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2726" w:rsidRPr="00A94D8B" w:rsidRDefault="00C3636E" w:rsidP="00AD1C0A">
      <w:pPr>
        <w:pStyle w:val="Frontpage"/>
        <w:ind w:left="-1418" w:right="-1418"/>
        <w:jc w:val="both"/>
        <w:rPr>
          <w:rFonts w:ascii="Arial" w:hAnsi="Arial" w:cs="Arial"/>
          <w:color w:val="1F497D"/>
        </w:rPr>
      </w:pPr>
      <w:r>
        <w:rPr>
          <w:rFonts w:ascii="Arial" w:hAnsi="Arial" w:cs="Arial"/>
          <w:noProof/>
          <w:color w:val="1F497D"/>
          <w:lang w:val="fr-BE" w:eastAsia="fr-BE"/>
        </w:rPr>
        <w:drawing>
          <wp:anchor distT="0" distB="0" distL="114300" distR="114300" simplePos="0" relativeHeight="251657728" behindDoc="1" locked="0" layoutInCell="1" allowOverlap="1">
            <wp:simplePos x="0" y="0"/>
            <wp:positionH relativeFrom="column">
              <wp:posOffset>-895985</wp:posOffset>
            </wp:positionH>
            <wp:positionV relativeFrom="paragraph">
              <wp:posOffset>-617855</wp:posOffset>
            </wp:positionV>
            <wp:extent cx="7729220" cy="1238250"/>
            <wp:effectExtent l="19050" t="0" r="5080" b="0"/>
            <wp:wrapNone/>
            <wp:docPr id="4" name="Bild 4" descr="Header@2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ader@2x"/>
                    <pic:cNvPicPr>
                      <a:picLocks noChangeAspect="1" noChangeArrowheads="1"/>
                    </pic:cNvPicPr>
                  </pic:nvPicPr>
                  <pic:blipFill>
                    <a:blip r:embed="rId9" cstate="print"/>
                    <a:srcRect/>
                    <a:stretch>
                      <a:fillRect/>
                    </a:stretch>
                  </pic:blipFill>
                  <pic:spPr bwMode="auto">
                    <a:xfrm>
                      <a:off x="0" y="0"/>
                      <a:ext cx="7729220" cy="1238250"/>
                    </a:xfrm>
                    <a:prstGeom prst="rect">
                      <a:avLst/>
                    </a:prstGeom>
                    <a:noFill/>
                    <a:ln w="9525">
                      <a:noFill/>
                      <a:miter lim="800000"/>
                      <a:headEnd/>
                      <a:tailEnd/>
                    </a:ln>
                  </pic:spPr>
                </pic:pic>
              </a:graphicData>
            </a:graphic>
          </wp:anchor>
        </w:drawing>
      </w:r>
    </w:p>
    <w:p w:rsidR="000A2726" w:rsidRPr="00A94D8B" w:rsidRDefault="000A2726" w:rsidP="00AD1C0A">
      <w:pPr>
        <w:pStyle w:val="Frontpage"/>
        <w:jc w:val="both"/>
        <w:rPr>
          <w:rFonts w:ascii="Arial" w:hAnsi="Arial" w:cs="Arial"/>
          <w:color w:val="1F497D"/>
        </w:rPr>
      </w:pPr>
    </w:p>
    <w:p w:rsidR="000A2726" w:rsidRPr="00A94D8B" w:rsidRDefault="000A2726" w:rsidP="00AD1C0A">
      <w:pPr>
        <w:pStyle w:val="Frontpage"/>
        <w:jc w:val="both"/>
        <w:rPr>
          <w:rFonts w:ascii="Arial" w:hAnsi="Arial" w:cs="Arial"/>
          <w:color w:val="1F497D"/>
        </w:rPr>
      </w:pPr>
    </w:p>
    <w:p w:rsidR="000A2726" w:rsidRPr="00A94D8B" w:rsidRDefault="000A2726" w:rsidP="00AD1C0A">
      <w:pPr>
        <w:pStyle w:val="Frontpage"/>
        <w:jc w:val="both"/>
        <w:rPr>
          <w:rFonts w:ascii="Arial" w:hAnsi="Arial" w:cs="Arial"/>
          <w:color w:val="1F497D"/>
        </w:rPr>
      </w:pPr>
    </w:p>
    <w:p w:rsidR="000A2726" w:rsidRPr="00A94D8B" w:rsidRDefault="000A2726" w:rsidP="00AD1C0A">
      <w:pPr>
        <w:pStyle w:val="Frontpage"/>
        <w:jc w:val="both"/>
        <w:rPr>
          <w:rFonts w:ascii="Arial" w:hAnsi="Arial" w:cs="Arial"/>
          <w:color w:val="1F497D"/>
        </w:rPr>
      </w:pPr>
    </w:p>
    <w:p w:rsidR="000A2726" w:rsidRPr="00A94D8B" w:rsidRDefault="000A2726" w:rsidP="00AD1C0A">
      <w:pPr>
        <w:pStyle w:val="Frontpage"/>
        <w:jc w:val="both"/>
        <w:rPr>
          <w:rFonts w:ascii="Arial" w:hAnsi="Arial" w:cs="Arial"/>
          <w:color w:val="31849B"/>
        </w:rPr>
      </w:pPr>
    </w:p>
    <w:p w:rsidR="00F95527" w:rsidRPr="00A94D8B" w:rsidRDefault="00F95527" w:rsidP="00AD1C0A">
      <w:pPr>
        <w:pStyle w:val="Frontpage"/>
        <w:ind w:left="-142" w:right="-151"/>
        <w:jc w:val="both"/>
        <w:rPr>
          <w:rFonts w:ascii="Arial" w:hAnsi="Arial" w:cs="Arial"/>
          <w:color w:val="17365D"/>
          <w:sz w:val="28"/>
          <w:szCs w:val="28"/>
        </w:rPr>
      </w:pPr>
    </w:p>
    <w:p w:rsidR="00F95527" w:rsidRPr="00A94D8B" w:rsidRDefault="00F95527" w:rsidP="00AD1C0A">
      <w:pPr>
        <w:pStyle w:val="Frontpage"/>
        <w:ind w:left="-142" w:right="-151"/>
        <w:jc w:val="both"/>
        <w:rPr>
          <w:rFonts w:ascii="Arial" w:hAnsi="Arial" w:cs="Arial"/>
          <w:color w:val="17365D"/>
          <w:sz w:val="28"/>
          <w:szCs w:val="28"/>
        </w:rPr>
      </w:pPr>
    </w:p>
    <w:p w:rsidR="00F95527" w:rsidRPr="00A94D8B" w:rsidRDefault="00F95527" w:rsidP="00AD1C0A">
      <w:pPr>
        <w:pStyle w:val="Frontpage"/>
        <w:ind w:left="-142" w:right="-151"/>
        <w:jc w:val="both"/>
        <w:rPr>
          <w:rFonts w:ascii="Arial" w:hAnsi="Arial" w:cs="Arial"/>
          <w:color w:val="17365D"/>
          <w:sz w:val="28"/>
          <w:szCs w:val="28"/>
        </w:rPr>
      </w:pPr>
    </w:p>
    <w:p w:rsidR="00F95527" w:rsidRPr="00A94D8B" w:rsidRDefault="00F95527" w:rsidP="00AD1C0A">
      <w:pPr>
        <w:pStyle w:val="Frontpage"/>
        <w:ind w:left="-142" w:right="-151"/>
        <w:jc w:val="both"/>
        <w:rPr>
          <w:rFonts w:ascii="Arial" w:hAnsi="Arial" w:cs="Arial"/>
          <w:color w:val="17365D"/>
          <w:sz w:val="28"/>
          <w:szCs w:val="28"/>
        </w:rPr>
      </w:pPr>
    </w:p>
    <w:p w:rsidR="000A2726" w:rsidRPr="00D1792C" w:rsidRDefault="000A2726" w:rsidP="00AD1C0A">
      <w:pPr>
        <w:pStyle w:val="Frontpage"/>
        <w:ind w:left="-142" w:right="-151"/>
        <w:jc w:val="center"/>
        <w:rPr>
          <w:color w:val="17365D"/>
          <w:sz w:val="28"/>
          <w:szCs w:val="28"/>
          <w:lang w:val="fr-BE"/>
        </w:rPr>
      </w:pPr>
      <w:r>
        <w:rPr>
          <w:color w:val="17365D"/>
          <w:sz w:val="28"/>
          <w:szCs w:val="28"/>
          <w:lang w:val="fr"/>
        </w:rPr>
        <w:t>Contrat-cadre EuropeAid/127054/C/SER/Multi - Lot 6 : Environnement</w:t>
      </w:r>
    </w:p>
    <w:p w:rsidR="000A2726" w:rsidRPr="00D1792C" w:rsidRDefault="000A2726" w:rsidP="00AD1C0A">
      <w:pPr>
        <w:pStyle w:val="Frontpage"/>
        <w:ind w:left="-142" w:right="-151"/>
        <w:jc w:val="center"/>
        <w:rPr>
          <w:color w:val="17365D"/>
          <w:sz w:val="28"/>
          <w:szCs w:val="28"/>
          <w:lang w:val="fr-BE"/>
        </w:rPr>
      </w:pPr>
    </w:p>
    <w:p w:rsidR="000A2726" w:rsidRPr="00D1792C" w:rsidRDefault="000A2726" w:rsidP="00AD1C0A">
      <w:pPr>
        <w:pStyle w:val="Frontpage"/>
        <w:ind w:left="-142" w:right="-151"/>
        <w:jc w:val="center"/>
        <w:rPr>
          <w:color w:val="17365D"/>
          <w:sz w:val="28"/>
          <w:szCs w:val="28"/>
          <w:lang w:val="fr-BE"/>
        </w:rPr>
      </w:pPr>
      <w:r>
        <w:rPr>
          <w:color w:val="17365D"/>
          <w:sz w:val="28"/>
          <w:szCs w:val="28"/>
          <w:lang w:val="fr"/>
        </w:rPr>
        <w:t>Demande de services n° 2013/331334/1 &amp; 2013/331284/1</w:t>
      </w:r>
    </w:p>
    <w:p w:rsidR="000A2726" w:rsidRPr="00D1792C" w:rsidRDefault="000A2726" w:rsidP="00AD1C0A">
      <w:pPr>
        <w:pStyle w:val="Frontpage"/>
        <w:jc w:val="center"/>
        <w:rPr>
          <w:color w:val="17365D"/>
          <w:sz w:val="40"/>
          <w:lang w:val="fr-BE"/>
        </w:rPr>
      </w:pPr>
    </w:p>
    <w:p w:rsidR="000A2726" w:rsidRPr="00D1792C" w:rsidRDefault="000A2726" w:rsidP="00AD1C0A">
      <w:pPr>
        <w:pStyle w:val="Frontpage"/>
        <w:jc w:val="center"/>
        <w:rPr>
          <w:color w:val="17365D"/>
          <w:sz w:val="40"/>
          <w:lang w:val="fr-BE"/>
        </w:rPr>
      </w:pPr>
    </w:p>
    <w:p w:rsidR="000A2726" w:rsidRPr="00D1792C" w:rsidRDefault="000A2726" w:rsidP="00AD1C0A">
      <w:pPr>
        <w:pStyle w:val="Frontpage"/>
        <w:jc w:val="center"/>
        <w:rPr>
          <w:color w:val="17365D"/>
          <w:sz w:val="40"/>
          <w:lang w:val="fr-BE"/>
        </w:rPr>
      </w:pPr>
    </w:p>
    <w:p w:rsidR="00A64155" w:rsidRPr="00D1792C" w:rsidRDefault="00744B04" w:rsidP="00AD1C0A">
      <w:pPr>
        <w:pStyle w:val="Frontpage"/>
        <w:ind w:left="-142" w:right="-129"/>
        <w:jc w:val="center"/>
        <w:rPr>
          <w:color w:val="17365D"/>
          <w:sz w:val="40"/>
          <w:lang w:val="fr-BE"/>
        </w:rPr>
      </w:pPr>
      <w:r>
        <w:rPr>
          <w:color w:val="17365D"/>
          <w:sz w:val="40"/>
          <w:lang w:val="fr"/>
        </w:rPr>
        <w:t>Évaluation du Programme intra-ACP</w:t>
      </w:r>
    </w:p>
    <w:p w:rsidR="000A2726" w:rsidRPr="00D1792C" w:rsidRDefault="00A64155" w:rsidP="00AD1C0A">
      <w:pPr>
        <w:pStyle w:val="Frontpage"/>
        <w:ind w:left="-142" w:right="-129"/>
        <w:jc w:val="center"/>
        <w:rPr>
          <w:color w:val="17365D"/>
          <w:sz w:val="40"/>
          <w:lang w:val="fr-BE"/>
        </w:rPr>
      </w:pPr>
      <w:r>
        <w:rPr>
          <w:color w:val="17365D"/>
          <w:sz w:val="40"/>
          <w:lang w:val="fr"/>
        </w:rPr>
        <w:t xml:space="preserve"> </w:t>
      </w:r>
      <w:proofErr w:type="gramStart"/>
      <w:r>
        <w:rPr>
          <w:color w:val="17365D"/>
          <w:sz w:val="40"/>
          <w:lang w:val="fr"/>
        </w:rPr>
        <w:t>de</w:t>
      </w:r>
      <w:proofErr w:type="gramEnd"/>
      <w:r>
        <w:rPr>
          <w:color w:val="17365D"/>
          <w:sz w:val="40"/>
          <w:lang w:val="fr"/>
        </w:rPr>
        <w:t xml:space="preserve"> l'Alliance mondiale contre le changement climatique (AMCC)</w:t>
      </w:r>
    </w:p>
    <w:p w:rsidR="00744B04" w:rsidRPr="00D1792C" w:rsidRDefault="00744B04" w:rsidP="00AD1C0A">
      <w:pPr>
        <w:pStyle w:val="Frontpage"/>
        <w:jc w:val="center"/>
        <w:rPr>
          <w:color w:val="17365D"/>
          <w:sz w:val="40"/>
          <w:lang w:val="fr-BE"/>
        </w:rPr>
      </w:pPr>
    </w:p>
    <w:p w:rsidR="000A2726" w:rsidRPr="00D1792C" w:rsidRDefault="00744B04" w:rsidP="00AD1C0A">
      <w:pPr>
        <w:pStyle w:val="Frontpage"/>
        <w:jc w:val="center"/>
        <w:rPr>
          <w:color w:val="17365D"/>
          <w:sz w:val="40"/>
          <w:lang w:val="fr-BE"/>
        </w:rPr>
      </w:pPr>
      <w:r>
        <w:rPr>
          <w:color w:val="17365D"/>
          <w:sz w:val="40"/>
          <w:lang w:val="fr"/>
        </w:rPr>
        <w:t>Monde entier</w:t>
      </w:r>
    </w:p>
    <w:p w:rsidR="000A2726" w:rsidRPr="00D1792C" w:rsidRDefault="000A2726" w:rsidP="00AD1C0A">
      <w:pPr>
        <w:pStyle w:val="Frontpage"/>
        <w:jc w:val="center"/>
        <w:rPr>
          <w:color w:val="17365D"/>
          <w:sz w:val="40"/>
          <w:lang w:val="fr-BE"/>
        </w:rPr>
      </w:pPr>
    </w:p>
    <w:p w:rsidR="00744B04" w:rsidRPr="00D1792C" w:rsidRDefault="00744B04" w:rsidP="00AD1C0A">
      <w:pPr>
        <w:pStyle w:val="Frontpage"/>
        <w:jc w:val="center"/>
        <w:rPr>
          <w:color w:val="17365D"/>
          <w:sz w:val="40"/>
          <w:lang w:val="fr-BE"/>
        </w:rPr>
      </w:pPr>
    </w:p>
    <w:p w:rsidR="00744B04" w:rsidRPr="00D1792C" w:rsidRDefault="00744B04" w:rsidP="00AD1C0A">
      <w:pPr>
        <w:pStyle w:val="Frontpage"/>
        <w:jc w:val="center"/>
        <w:rPr>
          <w:color w:val="17365D"/>
          <w:sz w:val="40"/>
          <w:lang w:val="fr-BE"/>
        </w:rPr>
      </w:pPr>
    </w:p>
    <w:p w:rsidR="00744B04" w:rsidRPr="00D1792C" w:rsidRDefault="00744B04" w:rsidP="00AD1C0A">
      <w:pPr>
        <w:pStyle w:val="Frontpage"/>
        <w:jc w:val="center"/>
        <w:rPr>
          <w:color w:val="17365D"/>
          <w:sz w:val="40"/>
          <w:lang w:val="fr-BE"/>
        </w:rPr>
      </w:pPr>
    </w:p>
    <w:p w:rsidR="003551B4" w:rsidRPr="00D1792C" w:rsidRDefault="00553B17" w:rsidP="00AD1C0A">
      <w:pPr>
        <w:pStyle w:val="Frontpage"/>
        <w:jc w:val="center"/>
        <w:rPr>
          <w:color w:val="17365D"/>
          <w:sz w:val="40"/>
          <w:lang w:val="fr-BE"/>
        </w:rPr>
      </w:pPr>
      <w:r>
        <w:rPr>
          <w:color w:val="17365D"/>
          <w:sz w:val="40"/>
          <w:lang w:val="fr"/>
        </w:rPr>
        <w:t>Rapport final</w:t>
      </w:r>
    </w:p>
    <w:p w:rsidR="002A0D18" w:rsidRPr="00D1792C" w:rsidRDefault="002A0D18" w:rsidP="00AD1C0A">
      <w:pPr>
        <w:pStyle w:val="Frontpage"/>
        <w:jc w:val="center"/>
        <w:rPr>
          <w:color w:val="17365D"/>
          <w:sz w:val="40"/>
          <w:lang w:val="fr-BE"/>
        </w:rPr>
      </w:pPr>
    </w:p>
    <w:p w:rsidR="000A2726" w:rsidRPr="00D1792C" w:rsidRDefault="000A2726" w:rsidP="00AD1C0A">
      <w:pPr>
        <w:pStyle w:val="Frontpage"/>
        <w:jc w:val="center"/>
        <w:rPr>
          <w:color w:val="17365D"/>
          <w:sz w:val="40"/>
          <w:lang w:val="fr-BE"/>
        </w:rPr>
      </w:pPr>
    </w:p>
    <w:p w:rsidR="000A2726" w:rsidRPr="00D1792C" w:rsidRDefault="002A0D18" w:rsidP="00AD1C0A">
      <w:pPr>
        <w:pStyle w:val="Frontpage"/>
        <w:jc w:val="center"/>
        <w:rPr>
          <w:color w:val="17365D"/>
          <w:sz w:val="32"/>
          <w:szCs w:val="32"/>
          <w:lang w:val="fr-BE"/>
        </w:rPr>
      </w:pPr>
      <w:r>
        <w:rPr>
          <w:color w:val="17365D"/>
          <w:sz w:val="32"/>
          <w:szCs w:val="32"/>
          <w:lang w:val="fr"/>
        </w:rPr>
        <w:t>Le 17 novembre 2014</w:t>
      </w:r>
    </w:p>
    <w:p w:rsidR="000A2726" w:rsidRPr="00D1792C" w:rsidRDefault="000A2726" w:rsidP="00AD1C0A">
      <w:pPr>
        <w:pStyle w:val="Frontpage"/>
        <w:jc w:val="center"/>
        <w:rPr>
          <w:rFonts w:ascii="Arial" w:hAnsi="Arial" w:cs="Arial"/>
          <w:color w:val="17365D"/>
          <w:lang w:val="fr-BE"/>
        </w:rPr>
      </w:pPr>
    </w:p>
    <w:p w:rsidR="003551B4" w:rsidRPr="00D1792C" w:rsidRDefault="003551B4" w:rsidP="00AD1C0A">
      <w:pPr>
        <w:pStyle w:val="Frontpage"/>
        <w:jc w:val="center"/>
        <w:rPr>
          <w:rFonts w:ascii="Arial" w:hAnsi="Arial" w:cs="Arial"/>
          <w:color w:val="17365D"/>
          <w:lang w:val="fr-BE"/>
        </w:rPr>
      </w:pPr>
    </w:p>
    <w:p w:rsidR="003551B4" w:rsidRPr="00D1792C" w:rsidRDefault="003551B4" w:rsidP="00AD1C0A">
      <w:pPr>
        <w:pStyle w:val="Frontpage"/>
        <w:jc w:val="center"/>
        <w:rPr>
          <w:rFonts w:ascii="Arial" w:hAnsi="Arial" w:cs="Arial"/>
          <w:color w:val="17365D"/>
          <w:lang w:val="fr-BE"/>
        </w:rPr>
      </w:pPr>
    </w:p>
    <w:p w:rsidR="00F95527" w:rsidRPr="00D1792C" w:rsidRDefault="00F95527" w:rsidP="00AD1C0A">
      <w:pPr>
        <w:pStyle w:val="Frontpage"/>
        <w:jc w:val="center"/>
        <w:rPr>
          <w:rFonts w:ascii="Arial" w:hAnsi="Arial" w:cs="Arial"/>
          <w:b/>
          <w:color w:val="17365D"/>
          <w:lang w:val="fr-BE"/>
        </w:rPr>
      </w:pPr>
    </w:p>
    <w:p w:rsidR="000A2726" w:rsidRPr="00D1792C" w:rsidRDefault="000A2726" w:rsidP="00AD1C0A">
      <w:pPr>
        <w:pStyle w:val="Frontpage"/>
        <w:jc w:val="center"/>
        <w:rPr>
          <w:rFonts w:ascii="Arial" w:hAnsi="Arial" w:cs="Arial"/>
          <w:color w:val="17365D"/>
          <w:lang w:val="fr-BE"/>
        </w:rPr>
      </w:pPr>
    </w:p>
    <w:p w:rsidR="000A2726" w:rsidRPr="00D1792C" w:rsidRDefault="000A2726" w:rsidP="00AD1C0A">
      <w:pPr>
        <w:pStyle w:val="Frontpage"/>
        <w:jc w:val="center"/>
        <w:rPr>
          <w:rFonts w:ascii="Arial" w:hAnsi="Arial" w:cs="Arial"/>
          <w:color w:val="17365D"/>
          <w:lang w:val="fr-BE"/>
        </w:rPr>
      </w:pPr>
    </w:p>
    <w:p w:rsidR="000A2726" w:rsidRPr="00A94D8B" w:rsidRDefault="00C3636E" w:rsidP="00AD1C0A">
      <w:pPr>
        <w:pStyle w:val="Frontpage"/>
        <w:jc w:val="center"/>
        <w:rPr>
          <w:rFonts w:ascii="Arial" w:hAnsi="Arial" w:cs="Arial"/>
          <w:color w:val="17365D"/>
          <w:sz w:val="40"/>
        </w:rPr>
      </w:pPr>
      <w:r>
        <w:rPr>
          <w:rFonts w:ascii="Arial" w:hAnsi="Arial" w:cs="Arial"/>
          <w:noProof/>
          <w:color w:val="17365D"/>
          <w:sz w:val="20"/>
          <w:szCs w:val="20"/>
          <w:lang w:val="fr-BE" w:eastAsia="fr-BE"/>
        </w:rPr>
        <w:drawing>
          <wp:inline distT="0" distB="0" distL="0" distR="0">
            <wp:extent cx="609600" cy="428625"/>
            <wp:effectExtent l="19050" t="0" r="0" b="0"/>
            <wp:docPr id="1" name="Picture 1" descr="european-commission-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ropean-commission-flag"/>
                    <pic:cNvPicPr>
                      <a:picLocks noChangeAspect="1" noChangeArrowheads="1"/>
                    </pic:cNvPicPr>
                  </pic:nvPicPr>
                  <pic:blipFill>
                    <a:blip r:embed="rId10" cstate="print"/>
                    <a:srcRect/>
                    <a:stretch>
                      <a:fillRect/>
                    </a:stretch>
                  </pic:blipFill>
                  <pic:spPr bwMode="auto">
                    <a:xfrm>
                      <a:off x="0" y="0"/>
                      <a:ext cx="609600" cy="428625"/>
                    </a:xfrm>
                    <a:prstGeom prst="rect">
                      <a:avLst/>
                    </a:prstGeom>
                    <a:noFill/>
                    <a:ln w="9525">
                      <a:noFill/>
                      <a:miter lim="800000"/>
                      <a:headEnd/>
                      <a:tailEnd/>
                    </a:ln>
                  </pic:spPr>
                </pic:pic>
              </a:graphicData>
            </a:graphic>
          </wp:inline>
        </w:drawing>
      </w:r>
    </w:p>
    <w:p w:rsidR="000A2726" w:rsidRPr="00D1792C" w:rsidRDefault="000A2726" w:rsidP="00AD1C0A">
      <w:pPr>
        <w:pStyle w:val="Frontpage"/>
        <w:jc w:val="center"/>
        <w:rPr>
          <w:rFonts w:ascii="Arial" w:hAnsi="Arial" w:cs="Arial"/>
          <w:color w:val="17365D"/>
          <w:sz w:val="20"/>
          <w:szCs w:val="20"/>
          <w:lang w:val="fr-BE"/>
        </w:rPr>
      </w:pPr>
      <w:r>
        <w:rPr>
          <w:rFonts w:ascii="Arial" w:hAnsi="Arial" w:cs="Arial"/>
          <w:color w:val="17365D"/>
          <w:sz w:val="20"/>
          <w:szCs w:val="20"/>
          <w:lang w:val="fr"/>
        </w:rPr>
        <w:t>Projet financé par</w:t>
      </w:r>
    </w:p>
    <w:p w:rsidR="000A2726" w:rsidRPr="00D1792C" w:rsidRDefault="000A2726" w:rsidP="00AD1C0A">
      <w:pPr>
        <w:pStyle w:val="Frontpage"/>
        <w:jc w:val="center"/>
        <w:rPr>
          <w:rFonts w:ascii="Arial" w:hAnsi="Arial" w:cs="Arial"/>
          <w:color w:val="17365D"/>
          <w:sz w:val="20"/>
          <w:szCs w:val="20"/>
          <w:lang w:val="fr-BE"/>
        </w:rPr>
      </w:pPr>
      <w:proofErr w:type="gramStart"/>
      <w:r>
        <w:rPr>
          <w:rFonts w:ascii="Arial" w:hAnsi="Arial" w:cs="Arial"/>
          <w:color w:val="17365D"/>
          <w:sz w:val="20"/>
          <w:szCs w:val="20"/>
          <w:lang w:val="fr"/>
        </w:rPr>
        <w:t>l'Union</w:t>
      </w:r>
      <w:proofErr w:type="gramEnd"/>
      <w:r>
        <w:rPr>
          <w:rFonts w:ascii="Arial" w:hAnsi="Arial" w:cs="Arial"/>
          <w:color w:val="17365D"/>
          <w:sz w:val="20"/>
          <w:szCs w:val="20"/>
          <w:lang w:val="fr"/>
        </w:rPr>
        <w:t xml:space="preserve"> européenne</w:t>
      </w:r>
    </w:p>
    <w:p w:rsidR="004E7B95" w:rsidRPr="00D1792C" w:rsidRDefault="004E7B95" w:rsidP="00AD1C0A">
      <w:pPr>
        <w:spacing w:after="0" w:line="240" w:lineRule="auto"/>
        <w:jc w:val="center"/>
        <w:rPr>
          <w:rFonts w:ascii="Arial" w:hAnsi="Arial" w:cs="Arial"/>
          <w:color w:val="17365D"/>
          <w:sz w:val="20"/>
          <w:szCs w:val="20"/>
          <w:lang w:val="fr-BE"/>
        </w:rPr>
      </w:pPr>
      <w:r>
        <w:rPr>
          <w:rFonts w:ascii="Arial" w:hAnsi="Arial" w:cs="Arial"/>
          <w:color w:val="17365D"/>
          <w:sz w:val="20"/>
          <w:szCs w:val="20"/>
          <w:lang w:val="fr"/>
        </w:rPr>
        <w:br w:type="page"/>
      </w:r>
    </w:p>
    <w:p w:rsidR="003D513A" w:rsidRPr="00D1792C" w:rsidRDefault="003D513A" w:rsidP="00AD1C0A">
      <w:pPr>
        <w:pStyle w:val="Frontpage"/>
        <w:jc w:val="center"/>
        <w:rPr>
          <w:rFonts w:ascii="Arial" w:hAnsi="Arial" w:cs="Arial"/>
          <w:color w:val="17365D"/>
          <w:sz w:val="20"/>
          <w:szCs w:val="20"/>
          <w:lang w:val="fr-BE"/>
        </w:rPr>
      </w:pPr>
    </w:p>
    <w:p w:rsidR="003D513A" w:rsidRPr="00D1792C" w:rsidRDefault="003D513A" w:rsidP="00AD1C0A">
      <w:pPr>
        <w:pStyle w:val="Frontpage"/>
        <w:jc w:val="center"/>
        <w:rPr>
          <w:rFonts w:cs="Arial"/>
          <w:color w:val="1F497D"/>
          <w:sz w:val="22"/>
          <w:szCs w:val="22"/>
          <w:lang w:val="fr-BE"/>
        </w:rPr>
      </w:pPr>
    </w:p>
    <w:p w:rsidR="003D513A" w:rsidRPr="00D1792C" w:rsidRDefault="003D513A" w:rsidP="00AD1C0A">
      <w:pPr>
        <w:pStyle w:val="Frontpage"/>
        <w:jc w:val="center"/>
        <w:rPr>
          <w:rFonts w:cs="Arial"/>
          <w:color w:val="1F497D"/>
          <w:sz w:val="22"/>
          <w:szCs w:val="22"/>
          <w:lang w:val="fr-BE"/>
        </w:rPr>
      </w:pPr>
    </w:p>
    <w:p w:rsidR="003D513A" w:rsidRPr="00D1792C" w:rsidRDefault="003D513A" w:rsidP="00AD1C0A">
      <w:pPr>
        <w:pStyle w:val="Frontpage"/>
        <w:jc w:val="center"/>
        <w:rPr>
          <w:rFonts w:cs="Arial"/>
          <w:color w:val="1F497D"/>
          <w:sz w:val="22"/>
          <w:szCs w:val="22"/>
          <w:lang w:val="fr-BE"/>
        </w:rPr>
      </w:pPr>
    </w:p>
    <w:p w:rsidR="003D513A" w:rsidRPr="00D1792C" w:rsidRDefault="003D513A" w:rsidP="00AD1C0A">
      <w:pPr>
        <w:pStyle w:val="Frontpage"/>
        <w:jc w:val="center"/>
        <w:rPr>
          <w:rFonts w:cs="Arial"/>
          <w:color w:val="1F497D"/>
          <w:sz w:val="22"/>
          <w:szCs w:val="22"/>
          <w:lang w:val="fr-BE"/>
        </w:rPr>
      </w:pPr>
    </w:p>
    <w:p w:rsidR="003D513A" w:rsidRPr="00D1792C" w:rsidRDefault="003D513A" w:rsidP="00AD1C0A">
      <w:pPr>
        <w:pStyle w:val="Frontpage"/>
        <w:jc w:val="center"/>
        <w:rPr>
          <w:rFonts w:cs="Arial"/>
          <w:color w:val="1F497D"/>
          <w:sz w:val="22"/>
          <w:szCs w:val="22"/>
          <w:lang w:val="fr-BE"/>
        </w:rPr>
      </w:pPr>
    </w:p>
    <w:p w:rsidR="004E7B95" w:rsidRPr="00D1792C" w:rsidRDefault="004E7B95" w:rsidP="00AD1C0A">
      <w:pPr>
        <w:pStyle w:val="Frontpage"/>
        <w:jc w:val="center"/>
        <w:rPr>
          <w:rFonts w:cs="Arial"/>
          <w:color w:val="1F497D"/>
          <w:sz w:val="22"/>
          <w:szCs w:val="22"/>
          <w:lang w:val="fr-BE"/>
        </w:rPr>
      </w:pPr>
    </w:p>
    <w:p w:rsidR="004E7B95" w:rsidRPr="00D1792C" w:rsidRDefault="004E7B95" w:rsidP="00AD1C0A">
      <w:pPr>
        <w:pStyle w:val="Frontpage"/>
        <w:jc w:val="center"/>
        <w:rPr>
          <w:rFonts w:cs="Arial"/>
          <w:color w:val="1F497D"/>
          <w:sz w:val="22"/>
          <w:szCs w:val="22"/>
          <w:lang w:val="fr-BE"/>
        </w:rPr>
      </w:pPr>
    </w:p>
    <w:p w:rsidR="004E7B95" w:rsidRPr="00D1792C" w:rsidRDefault="004E7B95" w:rsidP="00AD1C0A">
      <w:pPr>
        <w:pStyle w:val="Frontpage"/>
        <w:jc w:val="center"/>
        <w:rPr>
          <w:rFonts w:cs="Arial"/>
          <w:color w:val="1F497D"/>
          <w:sz w:val="22"/>
          <w:szCs w:val="22"/>
          <w:lang w:val="fr-BE"/>
        </w:rPr>
      </w:pPr>
    </w:p>
    <w:p w:rsidR="003D513A" w:rsidRPr="00D1792C" w:rsidRDefault="003D513A" w:rsidP="00AD1C0A">
      <w:pPr>
        <w:pStyle w:val="Frontpage"/>
        <w:jc w:val="center"/>
        <w:rPr>
          <w:rFonts w:cs="Arial"/>
          <w:color w:val="1F497D"/>
          <w:sz w:val="22"/>
          <w:szCs w:val="22"/>
          <w:lang w:val="fr-BE"/>
        </w:rPr>
      </w:pPr>
    </w:p>
    <w:p w:rsidR="003D513A" w:rsidRPr="00D1792C" w:rsidRDefault="003D513A" w:rsidP="00AD1C0A">
      <w:pPr>
        <w:pStyle w:val="Frontpage"/>
        <w:jc w:val="center"/>
        <w:rPr>
          <w:rFonts w:cs="Arial"/>
          <w:color w:val="1F497D"/>
          <w:sz w:val="22"/>
          <w:szCs w:val="22"/>
          <w:lang w:val="fr-BE"/>
        </w:rPr>
      </w:pPr>
    </w:p>
    <w:p w:rsidR="003D513A" w:rsidRPr="00D1792C" w:rsidRDefault="003D513A" w:rsidP="00AD1C0A">
      <w:pPr>
        <w:pStyle w:val="Frontpage"/>
        <w:jc w:val="center"/>
        <w:rPr>
          <w:rFonts w:cs="Arial"/>
          <w:color w:val="1F497D"/>
          <w:sz w:val="22"/>
          <w:szCs w:val="22"/>
          <w:lang w:val="fr-BE"/>
        </w:rPr>
      </w:pPr>
    </w:p>
    <w:p w:rsidR="003D513A" w:rsidRPr="00D1792C" w:rsidRDefault="002930FB" w:rsidP="008F3618">
      <w:pPr>
        <w:pStyle w:val="Frontpage"/>
        <w:ind w:left="-284" w:right="142"/>
        <w:jc w:val="center"/>
        <w:rPr>
          <w:rFonts w:cs="Arial"/>
          <w:color w:val="1F497D"/>
          <w:sz w:val="22"/>
          <w:szCs w:val="22"/>
          <w:lang w:val="fr-BE"/>
        </w:rPr>
      </w:pPr>
      <w:r>
        <w:rPr>
          <w:rFonts w:cs="Arial"/>
          <w:color w:val="1F497D"/>
          <w:sz w:val="22"/>
          <w:szCs w:val="22"/>
          <w:lang w:val="fr"/>
        </w:rPr>
        <w:t>La présente évaluation, financée et guidée par la Commission européenne, est présentée par le consortium Euronet. Le rapport ne reflète pas nécessairement les points de vue et opinions de la Commission eur</w:t>
      </w:r>
      <w:r>
        <w:rPr>
          <w:rFonts w:cs="Arial"/>
          <w:color w:val="1F497D"/>
          <w:sz w:val="22"/>
          <w:szCs w:val="22"/>
          <w:lang w:val="fr"/>
        </w:rPr>
        <w:t>o</w:t>
      </w:r>
      <w:r>
        <w:rPr>
          <w:rFonts w:cs="Arial"/>
          <w:color w:val="1F497D"/>
          <w:sz w:val="22"/>
          <w:szCs w:val="22"/>
          <w:lang w:val="fr"/>
        </w:rPr>
        <w:t>péenne.</w:t>
      </w:r>
    </w:p>
    <w:p w:rsidR="003D513A" w:rsidRPr="00D1792C" w:rsidRDefault="003D513A" w:rsidP="00AD1C0A">
      <w:pPr>
        <w:pStyle w:val="Frontpage"/>
        <w:jc w:val="center"/>
        <w:rPr>
          <w:rFonts w:cs="Arial"/>
          <w:color w:val="1F497D"/>
          <w:sz w:val="22"/>
          <w:szCs w:val="22"/>
          <w:lang w:val="fr-BE"/>
        </w:rPr>
      </w:pPr>
    </w:p>
    <w:p w:rsidR="003D513A" w:rsidRPr="00D1792C" w:rsidRDefault="003D513A" w:rsidP="00AD1C0A">
      <w:pPr>
        <w:pStyle w:val="Frontpage"/>
        <w:jc w:val="center"/>
        <w:rPr>
          <w:rFonts w:cs="Arial"/>
          <w:color w:val="1F497D"/>
          <w:sz w:val="22"/>
          <w:szCs w:val="22"/>
          <w:lang w:val="fr-BE"/>
        </w:rPr>
      </w:pPr>
    </w:p>
    <w:p w:rsidR="003D513A" w:rsidRPr="00D1792C" w:rsidRDefault="003D513A" w:rsidP="00AD1C0A">
      <w:pPr>
        <w:pStyle w:val="Frontpage"/>
        <w:jc w:val="center"/>
        <w:rPr>
          <w:rFonts w:cs="Arial"/>
          <w:color w:val="1F497D"/>
          <w:sz w:val="22"/>
          <w:szCs w:val="22"/>
          <w:lang w:val="fr-BE"/>
        </w:rPr>
      </w:pPr>
    </w:p>
    <w:p w:rsidR="003D513A" w:rsidRPr="00D1792C" w:rsidRDefault="003D513A" w:rsidP="00AD1C0A">
      <w:pPr>
        <w:pStyle w:val="Frontpage"/>
        <w:jc w:val="center"/>
        <w:rPr>
          <w:rFonts w:cs="Arial"/>
          <w:color w:val="1F497D"/>
          <w:sz w:val="22"/>
          <w:szCs w:val="22"/>
          <w:lang w:val="fr-BE"/>
        </w:rPr>
      </w:pPr>
    </w:p>
    <w:p w:rsidR="003D513A" w:rsidRPr="00D1792C" w:rsidRDefault="003D513A" w:rsidP="00AD1C0A">
      <w:pPr>
        <w:pStyle w:val="Frontpage"/>
        <w:jc w:val="center"/>
        <w:rPr>
          <w:rFonts w:cs="Arial"/>
          <w:color w:val="1F497D"/>
          <w:sz w:val="22"/>
          <w:szCs w:val="22"/>
          <w:lang w:val="fr-BE"/>
        </w:rPr>
      </w:pPr>
    </w:p>
    <w:p w:rsidR="003D513A" w:rsidRPr="00D1792C" w:rsidRDefault="003D513A" w:rsidP="00AD1C0A">
      <w:pPr>
        <w:pStyle w:val="Frontpage"/>
        <w:jc w:val="center"/>
        <w:rPr>
          <w:rFonts w:cs="Arial"/>
          <w:color w:val="1F497D"/>
          <w:sz w:val="22"/>
          <w:szCs w:val="22"/>
          <w:lang w:val="fr-BE"/>
        </w:rPr>
      </w:pPr>
    </w:p>
    <w:p w:rsidR="003D513A" w:rsidRPr="00D1792C" w:rsidRDefault="003D513A" w:rsidP="00AD1C0A">
      <w:pPr>
        <w:pStyle w:val="Frontpage"/>
        <w:jc w:val="center"/>
        <w:rPr>
          <w:rFonts w:cs="Arial"/>
          <w:color w:val="1F497D"/>
          <w:sz w:val="22"/>
          <w:szCs w:val="22"/>
          <w:lang w:val="fr-BE"/>
        </w:rPr>
      </w:pPr>
    </w:p>
    <w:p w:rsidR="003D513A" w:rsidRPr="00D1792C" w:rsidRDefault="003D513A" w:rsidP="00AD1C0A">
      <w:pPr>
        <w:pStyle w:val="Frontpage"/>
        <w:jc w:val="center"/>
        <w:rPr>
          <w:rFonts w:cs="Arial"/>
          <w:color w:val="1F497D"/>
          <w:sz w:val="22"/>
          <w:szCs w:val="22"/>
          <w:lang w:val="fr-BE"/>
        </w:rPr>
      </w:pPr>
    </w:p>
    <w:p w:rsidR="003D513A" w:rsidRPr="00D1792C" w:rsidRDefault="003D513A" w:rsidP="00AD1C0A">
      <w:pPr>
        <w:pStyle w:val="Frontpage"/>
        <w:jc w:val="center"/>
        <w:rPr>
          <w:rFonts w:cs="Arial"/>
          <w:color w:val="1F497D"/>
          <w:sz w:val="22"/>
          <w:szCs w:val="22"/>
          <w:lang w:val="fr-BE"/>
        </w:rPr>
      </w:pPr>
    </w:p>
    <w:p w:rsidR="003D513A" w:rsidRPr="00D1792C" w:rsidRDefault="003D513A" w:rsidP="00AD1C0A">
      <w:pPr>
        <w:pStyle w:val="Frontpage"/>
        <w:jc w:val="center"/>
        <w:rPr>
          <w:rFonts w:cs="Arial"/>
          <w:color w:val="1F497D"/>
          <w:sz w:val="22"/>
          <w:szCs w:val="22"/>
          <w:lang w:val="fr-BE"/>
        </w:rPr>
      </w:pPr>
    </w:p>
    <w:p w:rsidR="003D513A" w:rsidRPr="00D1792C" w:rsidRDefault="0087037A" w:rsidP="00AD1C0A">
      <w:pPr>
        <w:pStyle w:val="Frontpage"/>
        <w:jc w:val="center"/>
        <w:rPr>
          <w:rFonts w:cs="Arial"/>
          <w:color w:val="1F497D"/>
          <w:sz w:val="22"/>
          <w:szCs w:val="22"/>
          <w:lang w:val="fr-BE"/>
        </w:rPr>
      </w:pPr>
      <w:r>
        <w:rPr>
          <w:rFonts w:cs="Arial"/>
          <w:color w:val="1F497D"/>
          <w:sz w:val="22"/>
          <w:szCs w:val="22"/>
          <w:lang w:val="fr"/>
        </w:rPr>
        <w:t>La mission a été réalisée par :</w:t>
      </w:r>
    </w:p>
    <w:p w:rsidR="00A64155" w:rsidRPr="00D1792C" w:rsidRDefault="00A64155" w:rsidP="00AD1C0A">
      <w:pPr>
        <w:pStyle w:val="Frontpage"/>
        <w:jc w:val="center"/>
        <w:rPr>
          <w:rFonts w:cs="Arial"/>
          <w:color w:val="1F497D"/>
          <w:sz w:val="22"/>
          <w:szCs w:val="22"/>
          <w:lang w:val="fr-BE"/>
        </w:rPr>
      </w:pPr>
    </w:p>
    <w:p w:rsidR="00F95527" w:rsidRPr="00D1792C" w:rsidRDefault="00F95527" w:rsidP="00AD1C0A">
      <w:pPr>
        <w:pStyle w:val="Frontpage"/>
        <w:jc w:val="center"/>
        <w:rPr>
          <w:rFonts w:cs="Arial"/>
          <w:color w:val="1F497D"/>
          <w:sz w:val="22"/>
          <w:szCs w:val="22"/>
          <w:lang w:val="fr-BE"/>
        </w:rPr>
      </w:pPr>
      <w:r>
        <w:rPr>
          <w:rFonts w:cs="Arial"/>
          <w:color w:val="1F497D"/>
          <w:sz w:val="22"/>
          <w:szCs w:val="22"/>
          <w:lang w:val="fr"/>
        </w:rPr>
        <w:t>Egger TOPPER</w:t>
      </w:r>
    </w:p>
    <w:p w:rsidR="003D513A" w:rsidRPr="00D1792C" w:rsidRDefault="00553B17" w:rsidP="00AD1C0A">
      <w:pPr>
        <w:pStyle w:val="Frontpage"/>
        <w:jc w:val="center"/>
        <w:rPr>
          <w:rFonts w:cs="Arial"/>
          <w:color w:val="1F497D"/>
          <w:sz w:val="22"/>
          <w:szCs w:val="22"/>
          <w:lang w:val="fr-BE"/>
        </w:rPr>
      </w:pPr>
      <w:r>
        <w:rPr>
          <w:rFonts w:cs="Arial"/>
          <w:color w:val="1F497D"/>
          <w:sz w:val="22"/>
          <w:szCs w:val="22"/>
          <w:lang w:val="fr"/>
        </w:rPr>
        <w:t>Dean PALLEN</w:t>
      </w:r>
    </w:p>
    <w:p w:rsidR="00F95527" w:rsidRPr="00D1792C" w:rsidRDefault="00F95527" w:rsidP="00AD1C0A">
      <w:pPr>
        <w:pStyle w:val="Frontpage"/>
        <w:jc w:val="center"/>
        <w:rPr>
          <w:rFonts w:cs="Arial"/>
          <w:color w:val="1F497D"/>
          <w:sz w:val="22"/>
          <w:szCs w:val="22"/>
          <w:lang w:val="fr-BE"/>
        </w:rPr>
      </w:pPr>
    </w:p>
    <w:p w:rsidR="003D513A" w:rsidRPr="00D1792C" w:rsidRDefault="003D513A" w:rsidP="00AD1C0A">
      <w:pPr>
        <w:pStyle w:val="Frontpage"/>
        <w:jc w:val="center"/>
        <w:rPr>
          <w:rFonts w:cs="Arial"/>
          <w:color w:val="1F497D"/>
          <w:sz w:val="22"/>
          <w:szCs w:val="22"/>
          <w:lang w:val="fr-BE"/>
        </w:rPr>
      </w:pPr>
      <w:r>
        <w:rPr>
          <w:rFonts w:cs="Arial"/>
          <w:color w:val="1F497D"/>
          <w:sz w:val="22"/>
          <w:szCs w:val="22"/>
          <w:lang w:val="fr"/>
        </w:rPr>
        <w:t xml:space="preserve">Contrôle de la qualité : Dolf Noppen et Per </w:t>
      </w:r>
      <w:proofErr w:type="spellStart"/>
      <w:r>
        <w:rPr>
          <w:rFonts w:cs="Arial"/>
          <w:color w:val="1F497D"/>
          <w:sz w:val="22"/>
          <w:szCs w:val="22"/>
          <w:lang w:val="fr"/>
        </w:rPr>
        <w:t>Kirkeman</w:t>
      </w:r>
      <w:proofErr w:type="spellEnd"/>
    </w:p>
    <w:p w:rsidR="003D513A" w:rsidRPr="00D1792C" w:rsidRDefault="003D513A" w:rsidP="00AD1C0A">
      <w:pPr>
        <w:pStyle w:val="Frontpage"/>
        <w:jc w:val="center"/>
        <w:rPr>
          <w:rFonts w:cs="Arial"/>
          <w:color w:val="1F497D"/>
          <w:sz w:val="22"/>
          <w:szCs w:val="22"/>
          <w:lang w:val="fr-BE"/>
        </w:rPr>
      </w:pPr>
    </w:p>
    <w:p w:rsidR="003D513A" w:rsidRPr="00D1792C" w:rsidRDefault="003D513A" w:rsidP="00AD1C0A">
      <w:pPr>
        <w:pStyle w:val="Frontpage"/>
        <w:jc w:val="center"/>
        <w:rPr>
          <w:rFonts w:cs="Arial"/>
          <w:color w:val="1F497D"/>
          <w:sz w:val="22"/>
          <w:szCs w:val="22"/>
          <w:lang w:val="fr-BE"/>
        </w:rPr>
      </w:pPr>
    </w:p>
    <w:p w:rsidR="003D513A" w:rsidRPr="00D1792C" w:rsidRDefault="003D513A" w:rsidP="00AD1C0A">
      <w:pPr>
        <w:pStyle w:val="Frontpage"/>
        <w:jc w:val="center"/>
        <w:rPr>
          <w:rFonts w:cs="Arial"/>
          <w:color w:val="1F497D"/>
          <w:sz w:val="22"/>
          <w:szCs w:val="22"/>
          <w:lang w:val="fr-BE"/>
        </w:rPr>
      </w:pPr>
    </w:p>
    <w:p w:rsidR="003D513A" w:rsidRPr="00D1792C" w:rsidRDefault="003D513A" w:rsidP="00AD1C0A">
      <w:pPr>
        <w:pStyle w:val="Frontpage"/>
        <w:jc w:val="center"/>
        <w:rPr>
          <w:rFonts w:cs="Arial"/>
          <w:color w:val="1F497D"/>
          <w:sz w:val="22"/>
          <w:szCs w:val="22"/>
          <w:lang w:val="fr-BE"/>
        </w:rPr>
      </w:pPr>
    </w:p>
    <w:p w:rsidR="003D513A" w:rsidRPr="00D1792C" w:rsidRDefault="003D513A" w:rsidP="00AD1C0A">
      <w:pPr>
        <w:pStyle w:val="Frontpage"/>
        <w:jc w:val="center"/>
        <w:rPr>
          <w:rFonts w:cs="Arial"/>
          <w:color w:val="1F497D"/>
          <w:sz w:val="22"/>
          <w:szCs w:val="22"/>
          <w:lang w:val="fr-BE"/>
        </w:rPr>
      </w:pPr>
    </w:p>
    <w:p w:rsidR="003D513A" w:rsidRPr="00D1792C" w:rsidRDefault="003D513A" w:rsidP="00AD1C0A">
      <w:pPr>
        <w:pStyle w:val="Frontpage"/>
        <w:jc w:val="center"/>
        <w:rPr>
          <w:rFonts w:cs="Arial"/>
          <w:color w:val="1F497D"/>
          <w:sz w:val="22"/>
          <w:szCs w:val="22"/>
          <w:lang w:val="fr-BE"/>
        </w:rPr>
      </w:pPr>
    </w:p>
    <w:p w:rsidR="003D513A" w:rsidRPr="00D1792C" w:rsidRDefault="003D513A" w:rsidP="00AD1C0A">
      <w:pPr>
        <w:pStyle w:val="Frontpage"/>
        <w:jc w:val="center"/>
        <w:rPr>
          <w:rFonts w:cs="Arial"/>
          <w:color w:val="1F497D"/>
          <w:sz w:val="22"/>
          <w:szCs w:val="22"/>
          <w:lang w:val="fr-BE"/>
        </w:rPr>
      </w:pPr>
    </w:p>
    <w:p w:rsidR="003D513A" w:rsidRPr="00D1792C" w:rsidRDefault="003D513A" w:rsidP="00AD1C0A">
      <w:pPr>
        <w:pStyle w:val="Frontpage"/>
        <w:jc w:val="center"/>
        <w:rPr>
          <w:rFonts w:cs="Arial"/>
          <w:color w:val="1F497D"/>
          <w:sz w:val="22"/>
          <w:szCs w:val="22"/>
          <w:lang w:val="fr-BE"/>
        </w:rPr>
      </w:pPr>
    </w:p>
    <w:p w:rsidR="003D513A" w:rsidRPr="00D1792C" w:rsidRDefault="003D513A" w:rsidP="00AD1C0A">
      <w:pPr>
        <w:pStyle w:val="Frontpage"/>
        <w:jc w:val="center"/>
        <w:rPr>
          <w:rFonts w:cs="Arial"/>
          <w:color w:val="1F497D"/>
          <w:sz w:val="22"/>
          <w:szCs w:val="22"/>
          <w:lang w:val="fr-BE"/>
        </w:rPr>
      </w:pPr>
    </w:p>
    <w:p w:rsidR="003D513A" w:rsidRPr="00D1792C" w:rsidRDefault="003D513A" w:rsidP="00AD1C0A">
      <w:pPr>
        <w:pStyle w:val="Frontpage"/>
        <w:jc w:val="center"/>
        <w:rPr>
          <w:rFonts w:cs="Arial"/>
          <w:color w:val="1F497D"/>
          <w:sz w:val="22"/>
          <w:szCs w:val="22"/>
          <w:lang w:val="fr-BE"/>
        </w:rPr>
      </w:pPr>
    </w:p>
    <w:p w:rsidR="003D513A" w:rsidRPr="00D1792C" w:rsidRDefault="003D513A" w:rsidP="00AD1C0A">
      <w:pPr>
        <w:pStyle w:val="Frontpage"/>
        <w:jc w:val="center"/>
        <w:rPr>
          <w:rFonts w:cs="Arial"/>
          <w:color w:val="1F497D"/>
          <w:sz w:val="22"/>
          <w:szCs w:val="22"/>
          <w:lang w:val="fr-BE"/>
        </w:rPr>
      </w:pPr>
    </w:p>
    <w:p w:rsidR="00A64155" w:rsidRPr="00D1792C" w:rsidRDefault="00A64155" w:rsidP="00AD1C0A">
      <w:pPr>
        <w:pStyle w:val="Frontpage"/>
        <w:jc w:val="center"/>
        <w:rPr>
          <w:rFonts w:cs="Arial"/>
          <w:color w:val="1F497D"/>
          <w:sz w:val="22"/>
          <w:szCs w:val="22"/>
          <w:lang w:val="fr-BE"/>
        </w:rPr>
      </w:pPr>
    </w:p>
    <w:p w:rsidR="00A64155" w:rsidRPr="00D1792C" w:rsidRDefault="00A64155" w:rsidP="00AD1C0A">
      <w:pPr>
        <w:pStyle w:val="Frontpage"/>
        <w:jc w:val="center"/>
        <w:rPr>
          <w:rFonts w:cs="Arial"/>
          <w:color w:val="1F497D"/>
          <w:sz w:val="22"/>
          <w:szCs w:val="22"/>
          <w:lang w:val="fr-BE"/>
        </w:rPr>
      </w:pPr>
    </w:p>
    <w:p w:rsidR="00A64155" w:rsidRPr="00D1792C" w:rsidRDefault="00A64155" w:rsidP="00AD1C0A">
      <w:pPr>
        <w:pStyle w:val="Frontpage"/>
        <w:jc w:val="center"/>
        <w:rPr>
          <w:rFonts w:cs="Arial"/>
          <w:color w:val="1F497D"/>
          <w:sz w:val="22"/>
          <w:szCs w:val="22"/>
          <w:lang w:val="fr-BE"/>
        </w:rPr>
      </w:pPr>
    </w:p>
    <w:p w:rsidR="00A64155" w:rsidRPr="00D1792C" w:rsidRDefault="00A64155" w:rsidP="00AD1C0A">
      <w:pPr>
        <w:pStyle w:val="Frontpage"/>
        <w:jc w:val="center"/>
        <w:rPr>
          <w:rFonts w:cs="Arial"/>
          <w:color w:val="1F497D"/>
          <w:sz w:val="22"/>
          <w:szCs w:val="22"/>
          <w:lang w:val="fr-BE"/>
        </w:rPr>
      </w:pPr>
    </w:p>
    <w:p w:rsidR="00A64155" w:rsidRPr="00D1792C" w:rsidRDefault="00A64155" w:rsidP="00AD1C0A">
      <w:pPr>
        <w:pStyle w:val="Frontpage"/>
        <w:jc w:val="center"/>
        <w:rPr>
          <w:rFonts w:cs="Arial"/>
          <w:color w:val="1F497D"/>
          <w:sz w:val="22"/>
          <w:szCs w:val="22"/>
          <w:lang w:val="fr-BE"/>
        </w:rPr>
      </w:pPr>
    </w:p>
    <w:p w:rsidR="003D513A" w:rsidRPr="00D1792C" w:rsidRDefault="003D513A" w:rsidP="00AD1C0A">
      <w:pPr>
        <w:pStyle w:val="Frontpage"/>
        <w:jc w:val="center"/>
        <w:rPr>
          <w:rFonts w:cs="Arial"/>
          <w:color w:val="1F497D"/>
          <w:sz w:val="22"/>
          <w:szCs w:val="22"/>
          <w:lang w:val="fr-BE"/>
        </w:rPr>
      </w:pPr>
    </w:p>
    <w:p w:rsidR="003D513A" w:rsidRPr="00D1792C" w:rsidRDefault="003D513A" w:rsidP="00AD1C0A">
      <w:pPr>
        <w:pStyle w:val="Frontpage"/>
        <w:jc w:val="center"/>
        <w:rPr>
          <w:rFonts w:cs="Arial"/>
          <w:color w:val="1F497D"/>
          <w:sz w:val="22"/>
          <w:szCs w:val="22"/>
          <w:lang w:val="fr-BE"/>
        </w:rPr>
      </w:pPr>
    </w:p>
    <w:p w:rsidR="003D513A" w:rsidRPr="00D1792C" w:rsidRDefault="003D513A" w:rsidP="00AD1C0A">
      <w:pPr>
        <w:pStyle w:val="Frontpage"/>
        <w:jc w:val="center"/>
        <w:rPr>
          <w:rFonts w:cs="Arial"/>
          <w:color w:val="1F497D"/>
          <w:sz w:val="22"/>
          <w:szCs w:val="22"/>
          <w:lang w:val="fr-BE"/>
        </w:rPr>
      </w:pPr>
    </w:p>
    <w:p w:rsidR="003D513A" w:rsidRPr="00D1792C" w:rsidRDefault="003D513A" w:rsidP="00AD1C0A">
      <w:pPr>
        <w:pStyle w:val="Frontpage"/>
        <w:jc w:val="center"/>
        <w:rPr>
          <w:rFonts w:cs="Arial"/>
          <w:color w:val="1F497D"/>
          <w:sz w:val="22"/>
          <w:szCs w:val="22"/>
          <w:lang w:val="fr-BE"/>
        </w:rPr>
      </w:pPr>
    </w:p>
    <w:p w:rsidR="003D513A" w:rsidRPr="00D1792C" w:rsidRDefault="003D513A" w:rsidP="00AD1C0A">
      <w:pPr>
        <w:pStyle w:val="Frontpage"/>
        <w:jc w:val="center"/>
        <w:rPr>
          <w:rFonts w:cs="Arial"/>
          <w:color w:val="1F497D"/>
          <w:sz w:val="22"/>
          <w:szCs w:val="22"/>
          <w:lang w:val="fr-BE"/>
        </w:rPr>
      </w:pPr>
    </w:p>
    <w:p w:rsidR="003D513A" w:rsidRPr="00D1792C" w:rsidRDefault="003D513A" w:rsidP="00AD1C0A">
      <w:pPr>
        <w:pStyle w:val="Frontpage"/>
        <w:jc w:val="center"/>
        <w:rPr>
          <w:rFonts w:cs="Arial"/>
          <w:color w:val="1F497D"/>
          <w:sz w:val="22"/>
          <w:szCs w:val="22"/>
          <w:lang w:val="fr-BE"/>
        </w:rPr>
      </w:pPr>
    </w:p>
    <w:p w:rsidR="003D513A" w:rsidRPr="00D1792C" w:rsidRDefault="003D513A" w:rsidP="00AD1C0A">
      <w:pPr>
        <w:pStyle w:val="Frontpage"/>
        <w:jc w:val="center"/>
        <w:rPr>
          <w:rFonts w:cs="Arial"/>
          <w:color w:val="1F497D"/>
          <w:sz w:val="22"/>
          <w:szCs w:val="22"/>
          <w:lang w:val="fr-BE"/>
        </w:rPr>
      </w:pPr>
    </w:p>
    <w:p w:rsidR="003D513A" w:rsidRPr="00D1792C" w:rsidRDefault="003D513A" w:rsidP="00AD1C0A">
      <w:pPr>
        <w:pStyle w:val="Frontpage"/>
        <w:jc w:val="center"/>
        <w:rPr>
          <w:rFonts w:cs="Arial"/>
          <w:color w:val="1F497D"/>
          <w:sz w:val="22"/>
          <w:szCs w:val="22"/>
          <w:lang w:val="fr-BE"/>
        </w:rPr>
      </w:pPr>
    </w:p>
    <w:p w:rsidR="003D513A" w:rsidRPr="00D1792C" w:rsidRDefault="003D513A" w:rsidP="00AD1C0A">
      <w:pPr>
        <w:pStyle w:val="Frontpage"/>
        <w:jc w:val="center"/>
        <w:rPr>
          <w:rFonts w:cs="Arial"/>
          <w:color w:val="1F497D"/>
          <w:sz w:val="22"/>
          <w:szCs w:val="22"/>
          <w:lang w:val="fr-BE"/>
        </w:rPr>
      </w:pPr>
      <w:r>
        <w:rPr>
          <w:rFonts w:cs="Arial"/>
          <w:color w:val="1F497D"/>
          <w:sz w:val="22"/>
          <w:szCs w:val="22"/>
          <w:lang w:val="fr"/>
        </w:rPr>
        <w:t>Le consortium EURONET est composé des partenaires suivants :</w:t>
      </w:r>
    </w:p>
    <w:p w:rsidR="003D513A" w:rsidRPr="00D1792C" w:rsidRDefault="003D513A" w:rsidP="00AD1C0A">
      <w:pPr>
        <w:pStyle w:val="Frontpage"/>
        <w:jc w:val="center"/>
        <w:rPr>
          <w:rFonts w:cs="Arial"/>
          <w:color w:val="1F497D"/>
          <w:sz w:val="22"/>
          <w:szCs w:val="22"/>
          <w:lang w:val="fr-BE"/>
        </w:rPr>
      </w:pPr>
      <w:proofErr w:type="spellStart"/>
      <w:r>
        <w:rPr>
          <w:rFonts w:cs="Arial"/>
          <w:color w:val="1F497D"/>
          <w:sz w:val="22"/>
          <w:szCs w:val="22"/>
          <w:lang w:val="fr"/>
        </w:rPr>
        <w:t>Ardanuy</w:t>
      </w:r>
      <w:proofErr w:type="spellEnd"/>
      <w:r>
        <w:rPr>
          <w:rFonts w:cs="Arial"/>
          <w:color w:val="1F497D"/>
          <w:sz w:val="22"/>
          <w:szCs w:val="22"/>
          <w:lang w:val="fr"/>
        </w:rPr>
        <w:t xml:space="preserve">, AGEG, ALATEC, </w:t>
      </w:r>
      <w:proofErr w:type="spellStart"/>
      <w:r>
        <w:rPr>
          <w:rFonts w:cs="Arial"/>
          <w:color w:val="1F497D"/>
          <w:sz w:val="22"/>
          <w:szCs w:val="22"/>
          <w:lang w:val="fr"/>
        </w:rPr>
        <w:t>Baastel</w:t>
      </w:r>
      <w:proofErr w:type="spellEnd"/>
      <w:r>
        <w:rPr>
          <w:rFonts w:cs="Arial"/>
          <w:color w:val="1F497D"/>
          <w:sz w:val="22"/>
          <w:szCs w:val="22"/>
          <w:lang w:val="fr"/>
        </w:rPr>
        <w:t xml:space="preserve">, CERC, DHI, </w:t>
      </w:r>
      <w:proofErr w:type="spellStart"/>
      <w:r>
        <w:rPr>
          <w:rFonts w:cs="Arial"/>
          <w:color w:val="1F497D"/>
          <w:sz w:val="22"/>
          <w:szCs w:val="22"/>
          <w:lang w:val="fr"/>
        </w:rPr>
        <w:t>Euronet</w:t>
      </w:r>
      <w:proofErr w:type="spellEnd"/>
      <w:r>
        <w:rPr>
          <w:rFonts w:cs="Arial"/>
          <w:color w:val="1F497D"/>
          <w:sz w:val="22"/>
          <w:szCs w:val="22"/>
          <w:lang w:val="fr"/>
        </w:rPr>
        <w:t>,</w:t>
      </w:r>
    </w:p>
    <w:p w:rsidR="003D513A" w:rsidRPr="00D1792C" w:rsidRDefault="003D513A" w:rsidP="00AD1C0A">
      <w:pPr>
        <w:pStyle w:val="Frontpage"/>
        <w:jc w:val="center"/>
        <w:rPr>
          <w:rFonts w:cs="Arial"/>
          <w:color w:val="1F497D"/>
          <w:sz w:val="22"/>
          <w:szCs w:val="22"/>
          <w:lang w:val="fr-BE"/>
        </w:rPr>
      </w:pPr>
      <w:proofErr w:type="spellStart"/>
      <w:r>
        <w:rPr>
          <w:rFonts w:cs="Arial"/>
          <w:color w:val="1F497D"/>
          <w:sz w:val="22"/>
          <w:szCs w:val="22"/>
          <w:lang w:val="fr"/>
        </w:rPr>
        <w:t>Hydroconseil</w:t>
      </w:r>
      <w:proofErr w:type="spellEnd"/>
      <w:r>
        <w:rPr>
          <w:rFonts w:cs="Arial"/>
          <w:color w:val="1F497D"/>
          <w:sz w:val="22"/>
          <w:szCs w:val="22"/>
          <w:lang w:val="fr"/>
        </w:rPr>
        <w:t xml:space="preserve">, </w:t>
      </w:r>
      <w:proofErr w:type="spellStart"/>
      <w:r>
        <w:rPr>
          <w:rFonts w:cs="Arial"/>
          <w:color w:val="1F497D"/>
          <w:sz w:val="22"/>
          <w:szCs w:val="22"/>
          <w:lang w:val="fr"/>
        </w:rPr>
        <w:t>Nordeco</w:t>
      </w:r>
      <w:proofErr w:type="spellEnd"/>
      <w:r>
        <w:rPr>
          <w:rFonts w:cs="Arial"/>
          <w:color w:val="1F497D"/>
          <w:sz w:val="22"/>
          <w:szCs w:val="22"/>
          <w:lang w:val="fr"/>
        </w:rPr>
        <w:t>, NCG et ORBICON.</w:t>
      </w:r>
    </w:p>
    <w:p w:rsidR="00E21A15" w:rsidRPr="00D1792C" w:rsidRDefault="00E21A15" w:rsidP="00AD1C0A">
      <w:pPr>
        <w:pStyle w:val="Frontpage"/>
        <w:jc w:val="center"/>
        <w:rPr>
          <w:rFonts w:cs="Arial"/>
          <w:color w:val="1F497D"/>
          <w:sz w:val="22"/>
          <w:szCs w:val="22"/>
          <w:lang w:val="fr-BE"/>
        </w:rPr>
      </w:pPr>
    </w:p>
    <w:p w:rsidR="003D513A" w:rsidRPr="00A94D8B" w:rsidRDefault="003D513A" w:rsidP="00AD1C0A">
      <w:pPr>
        <w:pStyle w:val="Frontpage"/>
        <w:jc w:val="center"/>
        <w:rPr>
          <w:rFonts w:cs="Arial"/>
          <w:color w:val="1F497D"/>
          <w:sz w:val="22"/>
          <w:szCs w:val="22"/>
        </w:rPr>
      </w:pPr>
      <w:r>
        <w:rPr>
          <w:rFonts w:cs="Arial"/>
          <w:noProof/>
          <w:color w:val="1F497D"/>
          <w:sz w:val="22"/>
          <w:szCs w:val="22"/>
          <w:lang w:val="fr-BE" w:eastAsia="fr-BE"/>
        </w:rPr>
        <w:drawing>
          <wp:inline distT="0" distB="0" distL="0" distR="0">
            <wp:extent cx="5762625" cy="504825"/>
            <wp:effectExtent l="19050" t="0" r="0" b="0"/>
            <wp:docPr id="3" name="Bild 1" descr="image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3"/>
                    <pic:cNvPicPr>
                      <a:picLocks noChangeAspect="1" noChangeArrowheads="1"/>
                    </pic:cNvPicPr>
                  </pic:nvPicPr>
                  <pic:blipFill>
                    <a:blip r:embed="rId11" cstate="print"/>
                    <a:srcRect/>
                    <a:stretch>
                      <a:fillRect/>
                    </a:stretch>
                  </pic:blipFill>
                  <pic:spPr bwMode="auto">
                    <a:xfrm>
                      <a:off x="0" y="0"/>
                      <a:ext cx="5762625" cy="504825"/>
                    </a:xfrm>
                    <a:prstGeom prst="rect">
                      <a:avLst/>
                    </a:prstGeom>
                    <a:noFill/>
                    <a:ln w="9525">
                      <a:noFill/>
                      <a:miter lim="800000"/>
                      <a:headEnd/>
                      <a:tailEnd/>
                    </a:ln>
                  </pic:spPr>
                </pic:pic>
              </a:graphicData>
            </a:graphic>
          </wp:inline>
        </w:drawing>
      </w:r>
    </w:p>
    <w:p w:rsidR="003D513A" w:rsidRPr="00A94D8B" w:rsidRDefault="003D513A" w:rsidP="00AD1C0A">
      <w:pPr>
        <w:pStyle w:val="Frontpage"/>
        <w:jc w:val="center"/>
        <w:rPr>
          <w:rFonts w:cs="Arial"/>
          <w:color w:val="1F497D"/>
          <w:sz w:val="22"/>
          <w:szCs w:val="22"/>
        </w:rPr>
      </w:pPr>
    </w:p>
    <w:p w:rsidR="003D513A" w:rsidRPr="00A94D8B" w:rsidRDefault="003D513A" w:rsidP="00AD1C0A">
      <w:pPr>
        <w:ind w:left="-1411"/>
        <w:sectPr w:rsidR="003D513A" w:rsidRPr="00A94D8B">
          <w:headerReference w:type="first" r:id="rId12"/>
          <w:footerReference w:type="first" r:id="rId13"/>
          <w:pgSz w:w="11907" w:h="16839" w:code="9"/>
          <w:pgMar w:top="0" w:right="1275" w:bottom="0" w:left="1276" w:header="706" w:footer="706" w:gutter="0"/>
          <w:pgNumType w:fmt="lowerRoman" w:start="1"/>
          <w:cols w:space="708"/>
          <w:titlePg/>
          <w:docGrid w:linePitch="360"/>
        </w:sectPr>
      </w:pPr>
    </w:p>
    <w:p w:rsidR="00817C1D" w:rsidRPr="00A94D8B" w:rsidRDefault="003D513A" w:rsidP="00AD1C0A">
      <w:pPr>
        <w:pStyle w:val="IntroandAnnexheading"/>
        <w:jc w:val="both"/>
      </w:pPr>
      <w:bookmarkStart w:id="0" w:name="_Toc376936419"/>
      <w:r>
        <w:rPr>
          <w:bCs/>
          <w:lang w:val="fr"/>
        </w:rPr>
        <w:lastRenderedPageBreak/>
        <w:t>Table des matières</w:t>
      </w:r>
      <w:bookmarkEnd w:id="0"/>
    </w:p>
    <w:p w:rsidR="00B12CD3" w:rsidRPr="00A94D8B" w:rsidRDefault="00B12CD3" w:rsidP="00AD1C0A">
      <w:pPr>
        <w:pStyle w:val="IntroandAnnexheading"/>
        <w:jc w:val="both"/>
      </w:pPr>
    </w:p>
    <w:p w:rsidR="00F00BAF" w:rsidRDefault="006069F3">
      <w:pPr>
        <w:pStyle w:val="TOC1"/>
        <w:rPr>
          <w:rFonts w:asciiTheme="minorHAnsi" w:eastAsiaTheme="minorEastAsia" w:hAnsiTheme="minorHAnsi" w:cstheme="minorBidi"/>
          <w:sz w:val="22"/>
          <w:szCs w:val="22"/>
          <w:lang w:val="fr-BE" w:eastAsia="fr-BE"/>
        </w:rPr>
      </w:pPr>
      <w:r>
        <w:rPr>
          <w:b/>
          <w:bCs/>
          <w:smallCaps/>
          <w:lang w:val="fr"/>
        </w:rPr>
        <w:fldChar w:fldCharType="begin"/>
      </w:r>
      <w:r>
        <w:rPr>
          <w:b/>
          <w:smallCaps/>
        </w:rPr>
        <w:instrText xml:space="preserve"> TOC \o "1-3" \h \z \t "Intro and Annex heading;1"  \* MERGEFORMAT </w:instrText>
      </w:r>
      <w:r>
        <w:rPr>
          <w:b/>
          <w:smallCaps/>
        </w:rPr>
        <w:fldChar w:fldCharType="separate"/>
      </w:r>
      <w:hyperlink w:anchor="_Toc406494010" w:history="1">
        <w:r w:rsidR="00F00BAF" w:rsidRPr="00013A3E">
          <w:rPr>
            <w:rStyle w:val="Hyperlink"/>
            <w:bCs/>
            <w:lang w:val="fr"/>
          </w:rPr>
          <w:t>ACRONYMES</w:t>
        </w:r>
        <w:r w:rsidR="00F00BAF">
          <w:rPr>
            <w:webHidden/>
          </w:rPr>
          <w:tab/>
        </w:r>
        <w:r w:rsidR="00F00BAF">
          <w:rPr>
            <w:webHidden/>
          </w:rPr>
          <w:fldChar w:fldCharType="begin"/>
        </w:r>
        <w:r w:rsidR="00F00BAF">
          <w:rPr>
            <w:webHidden/>
          </w:rPr>
          <w:instrText xml:space="preserve"> PAGEREF _Toc406494010 \h </w:instrText>
        </w:r>
        <w:r w:rsidR="00F00BAF">
          <w:rPr>
            <w:webHidden/>
          </w:rPr>
        </w:r>
        <w:r w:rsidR="00F00BAF">
          <w:rPr>
            <w:webHidden/>
          </w:rPr>
          <w:fldChar w:fldCharType="separate"/>
        </w:r>
        <w:r w:rsidR="00F00BAF">
          <w:rPr>
            <w:webHidden/>
          </w:rPr>
          <w:t>2</w:t>
        </w:r>
        <w:r w:rsidR="00F00BAF">
          <w:rPr>
            <w:webHidden/>
          </w:rPr>
          <w:fldChar w:fldCharType="end"/>
        </w:r>
      </w:hyperlink>
    </w:p>
    <w:p w:rsidR="00F00BAF" w:rsidRDefault="004C4EB5">
      <w:pPr>
        <w:pStyle w:val="TOC1"/>
        <w:rPr>
          <w:rFonts w:asciiTheme="minorHAnsi" w:eastAsiaTheme="minorEastAsia" w:hAnsiTheme="minorHAnsi" w:cstheme="minorBidi"/>
          <w:sz w:val="22"/>
          <w:szCs w:val="22"/>
          <w:lang w:val="fr-BE" w:eastAsia="fr-BE"/>
        </w:rPr>
      </w:pPr>
      <w:hyperlink w:anchor="_Toc406494011" w:history="1">
        <w:r w:rsidR="00F00BAF" w:rsidRPr="00013A3E">
          <w:rPr>
            <w:rStyle w:val="Hyperlink"/>
          </w:rPr>
          <w:t>1</w:t>
        </w:r>
        <w:r w:rsidR="00F00BAF">
          <w:rPr>
            <w:rFonts w:asciiTheme="minorHAnsi" w:eastAsiaTheme="minorEastAsia" w:hAnsiTheme="minorHAnsi" w:cstheme="minorBidi"/>
            <w:sz w:val="22"/>
            <w:szCs w:val="22"/>
            <w:lang w:val="fr-BE" w:eastAsia="fr-BE"/>
          </w:rPr>
          <w:tab/>
        </w:r>
        <w:r w:rsidR="00F00BAF" w:rsidRPr="00013A3E">
          <w:rPr>
            <w:rStyle w:val="Hyperlink"/>
            <w:bCs/>
            <w:lang w:val="fr"/>
          </w:rPr>
          <w:t>Résumé</w:t>
        </w:r>
        <w:r w:rsidR="00F00BAF">
          <w:rPr>
            <w:webHidden/>
          </w:rPr>
          <w:tab/>
        </w:r>
        <w:r w:rsidR="00F00BAF">
          <w:rPr>
            <w:webHidden/>
          </w:rPr>
          <w:fldChar w:fldCharType="begin"/>
        </w:r>
        <w:r w:rsidR="00F00BAF">
          <w:rPr>
            <w:webHidden/>
          </w:rPr>
          <w:instrText xml:space="preserve"> PAGEREF _Toc406494011 \h </w:instrText>
        </w:r>
        <w:r w:rsidR="00F00BAF">
          <w:rPr>
            <w:webHidden/>
          </w:rPr>
        </w:r>
        <w:r w:rsidR="00F00BAF">
          <w:rPr>
            <w:webHidden/>
          </w:rPr>
          <w:fldChar w:fldCharType="separate"/>
        </w:r>
        <w:r w:rsidR="00F00BAF">
          <w:rPr>
            <w:webHidden/>
          </w:rPr>
          <w:t>4</w:t>
        </w:r>
        <w:r w:rsidR="00F00BAF">
          <w:rPr>
            <w:webHidden/>
          </w:rPr>
          <w:fldChar w:fldCharType="end"/>
        </w:r>
      </w:hyperlink>
    </w:p>
    <w:p w:rsidR="00F00BAF" w:rsidRDefault="004C4EB5">
      <w:pPr>
        <w:pStyle w:val="TOC1"/>
        <w:rPr>
          <w:rFonts w:asciiTheme="minorHAnsi" w:eastAsiaTheme="minorEastAsia" w:hAnsiTheme="minorHAnsi" w:cstheme="minorBidi"/>
          <w:sz w:val="22"/>
          <w:szCs w:val="22"/>
          <w:lang w:val="fr-BE" w:eastAsia="fr-BE"/>
        </w:rPr>
      </w:pPr>
      <w:hyperlink w:anchor="_Toc406494012" w:history="1">
        <w:r w:rsidR="00F00BAF" w:rsidRPr="00013A3E">
          <w:rPr>
            <w:rStyle w:val="Hyperlink"/>
          </w:rPr>
          <w:t>2</w:t>
        </w:r>
        <w:r w:rsidR="00F00BAF">
          <w:rPr>
            <w:rFonts w:asciiTheme="minorHAnsi" w:eastAsiaTheme="minorEastAsia" w:hAnsiTheme="minorHAnsi" w:cstheme="minorBidi"/>
            <w:sz w:val="22"/>
            <w:szCs w:val="22"/>
            <w:lang w:val="fr-BE" w:eastAsia="fr-BE"/>
          </w:rPr>
          <w:tab/>
        </w:r>
        <w:r w:rsidR="00F00BAF" w:rsidRPr="00013A3E">
          <w:rPr>
            <w:rStyle w:val="Hyperlink"/>
            <w:bCs/>
            <w:lang w:val="fr"/>
          </w:rPr>
          <w:t>Introduction</w:t>
        </w:r>
        <w:r w:rsidR="00F00BAF">
          <w:rPr>
            <w:webHidden/>
          </w:rPr>
          <w:tab/>
        </w:r>
        <w:r w:rsidR="00F00BAF">
          <w:rPr>
            <w:webHidden/>
          </w:rPr>
          <w:fldChar w:fldCharType="begin"/>
        </w:r>
        <w:r w:rsidR="00F00BAF">
          <w:rPr>
            <w:webHidden/>
          </w:rPr>
          <w:instrText xml:space="preserve"> PAGEREF _Toc406494012 \h </w:instrText>
        </w:r>
        <w:r w:rsidR="00F00BAF">
          <w:rPr>
            <w:webHidden/>
          </w:rPr>
        </w:r>
        <w:r w:rsidR="00F00BAF">
          <w:rPr>
            <w:webHidden/>
          </w:rPr>
          <w:fldChar w:fldCharType="separate"/>
        </w:r>
        <w:r w:rsidR="00F00BAF">
          <w:rPr>
            <w:webHidden/>
          </w:rPr>
          <w:t>13</w:t>
        </w:r>
        <w:r w:rsidR="00F00BAF">
          <w:rPr>
            <w:webHidden/>
          </w:rPr>
          <w:fldChar w:fldCharType="end"/>
        </w:r>
      </w:hyperlink>
    </w:p>
    <w:p w:rsidR="00F00BAF" w:rsidRDefault="004C4EB5">
      <w:pPr>
        <w:pStyle w:val="TOC2"/>
        <w:rPr>
          <w:rFonts w:asciiTheme="minorHAnsi" w:eastAsiaTheme="minorEastAsia" w:hAnsiTheme="minorHAnsi" w:cstheme="minorBidi"/>
          <w:noProof/>
          <w:sz w:val="22"/>
          <w:szCs w:val="22"/>
          <w:lang w:val="fr-BE" w:eastAsia="fr-BE"/>
        </w:rPr>
      </w:pPr>
      <w:hyperlink w:anchor="_Toc406494013" w:history="1">
        <w:r w:rsidR="00F00BAF" w:rsidRPr="00013A3E">
          <w:rPr>
            <w:rStyle w:val="Hyperlink"/>
            <w:noProof/>
          </w:rPr>
          <w:t>2.1</w:t>
        </w:r>
        <w:r w:rsidR="00F00BAF">
          <w:rPr>
            <w:rFonts w:asciiTheme="minorHAnsi" w:eastAsiaTheme="minorEastAsia" w:hAnsiTheme="minorHAnsi" w:cstheme="minorBidi"/>
            <w:noProof/>
            <w:sz w:val="22"/>
            <w:szCs w:val="22"/>
            <w:lang w:val="fr-BE" w:eastAsia="fr-BE"/>
          </w:rPr>
          <w:tab/>
        </w:r>
        <w:r w:rsidR="00F00BAF" w:rsidRPr="00013A3E">
          <w:rPr>
            <w:rStyle w:val="Hyperlink"/>
            <w:bCs/>
            <w:noProof/>
            <w:lang w:val="fr"/>
          </w:rPr>
          <w:t>Contexte de l’évaluation</w:t>
        </w:r>
        <w:r w:rsidR="00F00BAF">
          <w:rPr>
            <w:noProof/>
            <w:webHidden/>
          </w:rPr>
          <w:tab/>
        </w:r>
        <w:r w:rsidR="00F00BAF">
          <w:rPr>
            <w:noProof/>
            <w:webHidden/>
          </w:rPr>
          <w:fldChar w:fldCharType="begin"/>
        </w:r>
        <w:r w:rsidR="00F00BAF">
          <w:rPr>
            <w:noProof/>
            <w:webHidden/>
          </w:rPr>
          <w:instrText xml:space="preserve"> PAGEREF _Toc406494013 \h </w:instrText>
        </w:r>
        <w:r w:rsidR="00F00BAF">
          <w:rPr>
            <w:noProof/>
            <w:webHidden/>
          </w:rPr>
        </w:r>
        <w:r w:rsidR="00F00BAF">
          <w:rPr>
            <w:noProof/>
            <w:webHidden/>
          </w:rPr>
          <w:fldChar w:fldCharType="separate"/>
        </w:r>
        <w:r w:rsidR="00F00BAF">
          <w:rPr>
            <w:noProof/>
            <w:webHidden/>
          </w:rPr>
          <w:t>13</w:t>
        </w:r>
        <w:r w:rsidR="00F00BAF">
          <w:rPr>
            <w:noProof/>
            <w:webHidden/>
          </w:rPr>
          <w:fldChar w:fldCharType="end"/>
        </w:r>
      </w:hyperlink>
    </w:p>
    <w:p w:rsidR="00F00BAF" w:rsidRDefault="004C4EB5">
      <w:pPr>
        <w:pStyle w:val="TOC3"/>
        <w:tabs>
          <w:tab w:val="left" w:pos="1200"/>
          <w:tab w:val="right" w:leader="dot" w:pos="9061"/>
        </w:tabs>
        <w:rPr>
          <w:rFonts w:asciiTheme="minorHAnsi" w:eastAsiaTheme="minorEastAsia" w:hAnsiTheme="minorHAnsi" w:cstheme="minorBidi"/>
          <w:noProof/>
          <w:sz w:val="22"/>
          <w:szCs w:val="22"/>
          <w:lang w:val="fr-BE" w:eastAsia="fr-BE"/>
        </w:rPr>
      </w:pPr>
      <w:hyperlink w:anchor="_Toc406494014" w:history="1">
        <w:r w:rsidR="00F00BAF" w:rsidRPr="00013A3E">
          <w:rPr>
            <w:rStyle w:val="Hyperlink"/>
            <w:noProof/>
          </w:rPr>
          <w:t>2.1.1</w:t>
        </w:r>
        <w:r w:rsidR="00F00BAF">
          <w:rPr>
            <w:rFonts w:asciiTheme="minorHAnsi" w:eastAsiaTheme="minorEastAsia" w:hAnsiTheme="minorHAnsi" w:cstheme="minorBidi"/>
            <w:noProof/>
            <w:sz w:val="22"/>
            <w:szCs w:val="22"/>
            <w:lang w:val="fr-BE" w:eastAsia="fr-BE"/>
          </w:rPr>
          <w:tab/>
        </w:r>
        <w:r w:rsidR="00F00BAF" w:rsidRPr="00013A3E">
          <w:rPr>
            <w:rStyle w:val="Hyperlink"/>
            <w:noProof/>
            <w:lang w:val="fr"/>
          </w:rPr>
          <w:t>La mission d'évaluation</w:t>
        </w:r>
        <w:r w:rsidR="00F00BAF">
          <w:rPr>
            <w:noProof/>
            <w:webHidden/>
          </w:rPr>
          <w:tab/>
        </w:r>
        <w:r w:rsidR="00F00BAF">
          <w:rPr>
            <w:noProof/>
            <w:webHidden/>
          </w:rPr>
          <w:fldChar w:fldCharType="begin"/>
        </w:r>
        <w:r w:rsidR="00F00BAF">
          <w:rPr>
            <w:noProof/>
            <w:webHidden/>
          </w:rPr>
          <w:instrText xml:space="preserve"> PAGEREF _Toc406494014 \h </w:instrText>
        </w:r>
        <w:r w:rsidR="00F00BAF">
          <w:rPr>
            <w:noProof/>
            <w:webHidden/>
          </w:rPr>
        </w:r>
        <w:r w:rsidR="00F00BAF">
          <w:rPr>
            <w:noProof/>
            <w:webHidden/>
          </w:rPr>
          <w:fldChar w:fldCharType="separate"/>
        </w:r>
        <w:r w:rsidR="00F00BAF">
          <w:rPr>
            <w:noProof/>
            <w:webHidden/>
          </w:rPr>
          <w:t>13</w:t>
        </w:r>
        <w:r w:rsidR="00F00BAF">
          <w:rPr>
            <w:noProof/>
            <w:webHidden/>
          </w:rPr>
          <w:fldChar w:fldCharType="end"/>
        </w:r>
      </w:hyperlink>
    </w:p>
    <w:p w:rsidR="00F00BAF" w:rsidRDefault="004C4EB5">
      <w:pPr>
        <w:pStyle w:val="TOC3"/>
        <w:tabs>
          <w:tab w:val="left" w:pos="1200"/>
          <w:tab w:val="right" w:leader="dot" w:pos="9061"/>
        </w:tabs>
        <w:rPr>
          <w:rFonts w:asciiTheme="minorHAnsi" w:eastAsiaTheme="minorEastAsia" w:hAnsiTheme="minorHAnsi" w:cstheme="minorBidi"/>
          <w:noProof/>
          <w:sz w:val="22"/>
          <w:szCs w:val="22"/>
          <w:lang w:val="fr-BE" w:eastAsia="fr-BE"/>
        </w:rPr>
      </w:pPr>
      <w:hyperlink w:anchor="_Toc406494015" w:history="1">
        <w:r w:rsidR="00F00BAF" w:rsidRPr="00013A3E">
          <w:rPr>
            <w:rStyle w:val="Hyperlink"/>
            <w:noProof/>
          </w:rPr>
          <w:t>2.1.2</w:t>
        </w:r>
        <w:r w:rsidR="00F00BAF">
          <w:rPr>
            <w:rFonts w:asciiTheme="minorHAnsi" w:eastAsiaTheme="minorEastAsia" w:hAnsiTheme="minorHAnsi" w:cstheme="minorBidi"/>
            <w:noProof/>
            <w:sz w:val="22"/>
            <w:szCs w:val="22"/>
            <w:lang w:val="fr-BE" w:eastAsia="fr-BE"/>
          </w:rPr>
          <w:tab/>
        </w:r>
        <w:r w:rsidR="00F00BAF" w:rsidRPr="00013A3E">
          <w:rPr>
            <w:rStyle w:val="Hyperlink"/>
            <w:noProof/>
            <w:lang w:val="fr"/>
          </w:rPr>
          <w:t>L'AMCC</w:t>
        </w:r>
        <w:r w:rsidR="00F00BAF">
          <w:rPr>
            <w:noProof/>
            <w:webHidden/>
          </w:rPr>
          <w:tab/>
        </w:r>
        <w:r w:rsidR="00F00BAF">
          <w:rPr>
            <w:noProof/>
            <w:webHidden/>
          </w:rPr>
          <w:fldChar w:fldCharType="begin"/>
        </w:r>
        <w:r w:rsidR="00F00BAF">
          <w:rPr>
            <w:noProof/>
            <w:webHidden/>
          </w:rPr>
          <w:instrText xml:space="preserve"> PAGEREF _Toc406494015 \h </w:instrText>
        </w:r>
        <w:r w:rsidR="00F00BAF">
          <w:rPr>
            <w:noProof/>
            <w:webHidden/>
          </w:rPr>
        </w:r>
        <w:r w:rsidR="00F00BAF">
          <w:rPr>
            <w:noProof/>
            <w:webHidden/>
          </w:rPr>
          <w:fldChar w:fldCharType="separate"/>
        </w:r>
        <w:r w:rsidR="00F00BAF">
          <w:rPr>
            <w:noProof/>
            <w:webHidden/>
          </w:rPr>
          <w:t>14</w:t>
        </w:r>
        <w:r w:rsidR="00F00BAF">
          <w:rPr>
            <w:noProof/>
            <w:webHidden/>
          </w:rPr>
          <w:fldChar w:fldCharType="end"/>
        </w:r>
      </w:hyperlink>
    </w:p>
    <w:p w:rsidR="00F00BAF" w:rsidRDefault="004C4EB5">
      <w:pPr>
        <w:pStyle w:val="TOC2"/>
        <w:rPr>
          <w:rFonts w:asciiTheme="minorHAnsi" w:eastAsiaTheme="minorEastAsia" w:hAnsiTheme="minorHAnsi" w:cstheme="minorBidi"/>
          <w:noProof/>
          <w:sz w:val="22"/>
          <w:szCs w:val="22"/>
          <w:lang w:val="fr-BE" w:eastAsia="fr-BE"/>
        </w:rPr>
      </w:pPr>
      <w:hyperlink w:anchor="_Toc406494016" w:history="1">
        <w:r w:rsidR="00F00BAF" w:rsidRPr="00013A3E">
          <w:rPr>
            <w:rStyle w:val="Hyperlink"/>
            <w:noProof/>
          </w:rPr>
          <w:t>2.2</w:t>
        </w:r>
        <w:r w:rsidR="00F00BAF">
          <w:rPr>
            <w:rFonts w:asciiTheme="minorHAnsi" w:eastAsiaTheme="minorEastAsia" w:hAnsiTheme="minorHAnsi" w:cstheme="minorBidi"/>
            <w:noProof/>
            <w:sz w:val="22"/>
            <w:szCs w:val="22"/>
            <w:lang w:val="fr-BE" w:eastAsia="fr-BE"/>
          </w:rPr>
          <w:tab/>
        </w:r>
        <w:r w:rsidR="00F00BAF" w:rsidRPr="00013A3E">
          <w:rPr>
            <w:rStyle w:val="Hyperlink"/>
            <w:bCs/>
            <w:noProof/>
            <w:lang w:val="fr"/>
          </w:rPr>
          <w:t>Méthodologie</w:t>
        </w:r>
        <w:r w:rsidR="00F00BAF">
          <w:rPr>
            <w:noProof/>
            <w:webHidden/>
          </w:rPr>
          <w:tab/>
        </w:r>
        <w:r w:rsidR="00F00BAF">
          <w:rPr>
            <w:noProof/>
            <w:webHidden/>
          </w:rPr>
          <w:fldChar w:fldCharType="begin"/>
        </w:r>
        <w:r w:rsidR="00F00BAF">
          <w:rPr>
            <w:noProof/>
            <w:webHidden/>
          </w:rPr>
          <w:instrText xml:space="preserve"> PAGEREF _Toc406494016 \h </w:instrText>
        </w:r>
        <w:r w:rsidR="00F00BAF">
          <w:rPr>
            <w:noProof/>
            <w:webHidden/>
          </w:rPr>
        </w:r>
        <w:r w:rsidR="00F00BAF">
          <w:rPr>
            <w:noProof/>
            <w:webHidden/>
          </w:rPr>
          <w:fldChar w:fldCharType="separate"/>
        </w:r>
        <w:r w:rsidR="00F00BAF">
          <w:rPr>
            <w:noProof/>
            <w:webHidden/>
          </w:rPr>
          <w:t>17</w:t>
        </w:r>
        <w:r w:rsidR="00F00BAF">
          <w:rPr>
            <w:noProof/>
            <w:webHidden/>
          </w:rPr>
          <w:fldChar w:fldCharType="end"/>
        </w:r>
      </w:hyperlink>
    </w:p>
    <w:p w:rsidR="00F00BAF" w:rsidRDefault="004C4EB5">
      <w:pPr>
        <w:pStyle w:val="TOC3"/>
        <w:tabs>
          <w:tab w:val="left" w:pos="1200"/>
          <w:tab w:val="right" w:leader="dot" w:pos="9061"/>
        </w:tabs>
        <w:rPr>
          <w:rFonts w:asciiTheme="minorHAnsi" w:eastAsiaTheme="minorEastAsia" w:hAnsiTheme="minorHAnsi" w:cstheme="minorBidi"/>
          <w:noProof/>
          <w:sz w:val="22"/>
          <w:szCs w:val="22"/>
          <w:lang w:val="fr-BE" w:eastAsia="fr-BE"/>
        </w:rPr>
      </w:pPr>
      <w:hyperlink w:anchor="_Toc406494017" w:history="1">
        <w:r w:rsidR="00F00BAF" w:rsidRPr="00013A3E">
          <w:rPr>
            <w:rStyle w:val="Hyperlink"/>
            <w:noProof/>
          </w:rPr>
          <w:t>2.2.1</w:t>
        </w:r>
        <w:r w:rsidR="00F00BAF">
          <w:rPr>
            <w:rFonts w:asciiTheme="minorHAnsi" w:eastAsiaTheme="minorEastAsia" w:hAnsiTheme="minorHAnsi" w:cstheme="minorBidi"/>
            <w:noProof/>
            <w:sz w:val="22"/>
            <w:szCs w:val="22"/>
            <w:lang w:val="fr-BE" w:eastAsia="fr-BE"/>
          </w:rPr>
          <w:tab/>
        </w:r>
        <w:r w:rsidR="00F00BAF" w:rsidRPr="00013A3E">
          <w:rPr>
            <w:rStyle w:val="Hyperlink"/>
            <w:noProof/>
            <w:lang w:val="fr"/>
          </w:rPr>
          <w:t>Questions d'évaluation</w:t>
        </w:r>
        <w:r w:rsidR="00F00BAF">
          <w:rPr>
            <w:noProof/>
            <w:webHidden/>
          </w:rPr>
          <w:tab/>
        </w:r>
        <w:r w:rsidR="00F00BAF">
          <w:rPr>
            <w:noProof/>
            <w:webHidden/>
          </w:rPr>
          <w:fldChar w:fldCharType="begin"/>
        </w:r>
        <w:r w:rsidR="00F00BAF">
          <w:rPr>
            <w:noProof/>
            <w:webHidden/>
          </w:rPr>
          <w:instrText xml:space="preserve"> PAGEREF _Toc406494017 \h </w:instrText>
        </w:r>
        <w:r w:rsidR="00F00BAF">
          <w:rPr>
            <w:noProof/>
            <w:webHidden/>
          </w:rPr>
        </w:r>
        <w:r w:rsidR="00F00BAF">
          <w:rPr>
            <w:noProof/>
            <w:webHidden/>
          </w:rPr>
          <w:fldChar w:fldCharType="separate"/>
        </w:r>
        <w:r w:rsidR="00F00BAF">
          <w:rPr>
            <w:noProof/>
            <w:webHidden/>
          </w:rPr>
          <w:t>17</w:t>
        </w:r>
        <w:r w:rsidR="00F00BAF">
          <w:rPr>
            <w:noProof/>
            <w:webHidden/>
          </w:rPr>
          <w:fldChar w:fldCharType="end"/>
        </w:r>
      </w:hyperlink>
    </w:p>
    <w:p w:rsidR="00F00BAF" w:rsidRDefault="004C4EB5">
      <w:pPr>
        <w:pStyle w:val="TOC3"/>
        <w:tabs>
          <w:tab w:val="left" w:pos="1200"/>
          <w:tab w:val="right" w:leader="dot" w:pos="9061"/>
        </w:tabs>
        <w:rPr>
          <w:rFonts w:asciiTheme="minorHAnsi" w:eastAsiaTheme="minorEastAsia" w:hAnsiTheme="minorHAnsi" w:cstheme="minorBidi"/>
          <w:noProof/>
          <w:sz w:val="22"/>
          <w:szCs w:val="22"/>
          <w:lang w:val="fr-BE" w:eastAsia="fr-BE"/>
        </w:rPr>
      </w:pPr>
      <w:hyperlink w:anchor="_Toc406494018" w:history="1">
        <w:r w:rsidR="00F00BAF" w:rsidRPr="00013A3E">
          <w:rPr>
            <w:rStyle w:val="Hyperlink"/>
            <w:noProof/>
          </w:rPr>
          <w:t>2.2.2</w:t>
        </w:r>
        <w:r w:rsidR="00F00BAF">
          <w:rPr>
            <w:rFonts w:asciiTheme="minorHAnsi" w:eastAsiaTheme="minorEastAsia" w:hAnsiTheme="minorHAnsi" w:cstheme="minorBidi"/>
            <w:noProof/>
            <w:sz w:val="22"/>
            <w:szCs w:val="22"/>
            <w:lang w:val="fr-BE" w:eastAsia="fr-BE"/>
          </w:rPr>
          <w:tab/>
        </w:r>
        <w:r w:rsidR="00F00BAF" w:rsidRPr="00013A3E">
          <w:rPr>
            <w:rStyle w:val="Hyperlink"/>
            <w:noProof/>
            <w:lang w:val="fr"/>
          </w:rPr>
          <w:t>Grille d'évaluation</w:t>
        </w:r>
        <w:r w:rsidR="00F00BAF">
          <w:rPr>
            <w:noProof/>
            <w:webHidden/>
          </w:rPr>
          <w:tab/>
        </w:r>
        <w:r w:rsidR="00F00BAF">
          <w:rPr>
            <w:noProof/>
            <w:webHidden/>
          </w:rPr>
          <w:fldChar w:fldCharType="begin"/>
        </w:r>
        <w:r w:rsidR="00F00BAF">
          <w:rPr>
            <w:noProof/>
            <w:webHidden/>
          </w:rPr>
          <w:instrText xml:space="preserve"> PAGEREF _Toc406494018 \h </w:instrText>
        </w:r>
        <w:r w:rsidR="00F00BAF">
          <w:rPr>
            <w:noProof/>
            <w:webHidden/>
          </w:rPr>
        </w:r>
        <w:r w:rsidR="00F00BAF">
          <w:rPr>
            <w:noProof/>
            <w:webHidden/>
          </w:rPr>
          <w:fldChar w:fldCharType="separate"/>
        </w:r>
        <w:r w:rsidR="00F00BAF">
          <w:rPr>
            <w:noProof/>
            <w:webHidden/>
          </w:rPr>
          <w:t>19</w:t>
        </w:r>
        <w:r w:rsidR="00F00BAF">
          <w:rPr>
            <w:noProof/>
            <w:webHidden/>
          </w:rPr>
          <w:fldChar w:fldCharType="end"/>
        </w:r>
      </w:hyperlink>
    </w:p>
    <w:p w:rsidR="00F00BAF" w:rsidRDefault="004C4EB5">
      <w:pPr>
        <w:pStyle w:val="TOC3"/>
        <w:tabs>
          <w:tab w:val="left" w:pos="1200"/>
          <w:tab w:val="right" w:leader="dot" w:pos="9061"/>
        </w:tabs>
        <w:rPr>
          <w:rFonts w:asciiTheme="minorHAnsi" w:eastAsiaTheme="minorEastAsia" w:hAnsiTheme="minorHAnsi" w:cstheme="minorBidi"/>
          <w:noProof/>
          <w:sz w:val="22"/>
          <w:szCs w:val="22"/>
          <w:lang w:val="fr-BE" w:eastAsia="fr-BE"/>
        </w:rPr>
      </w:pPr>
      <w:hyperlink w:anchor="_Toc406494019" w:history="1">
        <w:r w:rsidR="00F00BAF" w:rsidRPr="00013A3E">
          <w:rPr>
            <w:rStyle w:val="Hyperlink"/>
            <w:noProof/>
          </w:rPr>
          <w:t>2.2.3</w:t>
        </w:r>
        <w:r w:rsidR="00F00BAF">
          <w:rPr>
            <w:rFonts w:asciiTheme="minorHAnsi" w:eastAsiaTheme="minorEastAsia" w:hAnsiTheme="minorHAnsi" w:cstheme="minorBidi"/>
            <w:noProof/>
            <w:sz w:val="22"/>
            <w:szCs w:val="22"/>
            <w:lang w:val="fr-BE" w:eastAsia="fr-BE"/>
          </w:rPr>
          <w:tab/>
        </w:r>
        <w:r w:rsidR="00F00BAF" w:rsidRPr="00013A3E">
          <w:rPr>
            <w:rStyle w:val="Hyperlink"/>
            <w:noProof/>
            <w:lang w:val="fr"/>
          </w:rPr>
          <w:t>Tableau de notation</w:t>
        </w:r>
        <w:r w:rsidR="00F00BAF">
          <w:rPr>
            <w:noProof/>
            <w:webHidden/>
          </w:rPr>
          <w:tab/>
        </w:r>
        <w:r w:rsidR="00F00BAF">
          <w:rPr>
            <w:noProof/>
            <w:webHidden/>
          </w:rPr>
          <w:fldChar w:fldCharType="begin"/>
        </w:r>
        <w:r w:rsidR="00F00BAF">
          <w:rPr>
            <w:noProof/>
            <w:webHidden/>
          </w:rPr>
          <w:instrText xml:space="preserve"> PAGEREF _Toc406494019 \h </w:instrText>
        </w:r>
        <w:r w:rsidR="00F00BAF">
          <w:rPr>
            <w:noProof/>
            <w:webHidden/>
          </w:rPr>
        </w:r>
        <w:r w:rsidR="00F00BAF">
          <w:rPr>
            <w:noProof/>
            <w:webHidden/>
          </w:rPr>
          <w:fldChar w:fldCharType="separate"/>
        </w:r>
        <w:r w:rsidR="00F00BAF">
          <w:rPr>
            <w:noProof/>
            <w:webHidden/>
          </w:rPr>
          <w:t>20</w:t>
        </w:r>
        <w:r w:rsidR="00F00BAF">
          <w:rPr>
            <w:noProof/>
            <w:webHidden/>
          </w:rPr>
          <w:fldChar w:fldCharType="end"/>
        </w:r>
      </w:hyperlink>
    </w:p>
    <w:p w:rsidR="00F00BAF" w:rsidRDefault="004C4EB5">
      <w:pPr>
        <w:pStyle w:val="TOC3"/>
        <w:tabs>
          <w:tab w:val="left" w:pos="1200"/>
          <w:tab w:val="right" w:leader="dot" w:pos="9061"/>
        </w:tabs>
        <w:rPr>
          <w:rFonts w:asciiTheme="minorHAnsi" w:eastAsiaTheme="minorEastAsia" w:hAnsiTheme="minorHAnsi" w:cstheme="minorBidi"/>
          <w:noProof/>
          <w:sz w:val="22"/>
          <w:szCs w:val="22"/>
          <w:lang w:val="fr-BE" w:eastAsia="fr-BE"/>
        </w:rPr>
      </w:pPr>
      <w:hyperlink w:anchor="_Toc406494020" w:history="1">
        <w:r w:rsidR="00F00BAF" w:rsidRPr="00013A3E">
          <w:rPr>
            <w:rStyle w:val="Hyperlink"/>
            <w:noProof/>
          </w:rPr>
          <w:t>2.2.4</w:t>
        </w:r>
        <w:r w:rsidR="00F00BAF">
          <w:rPr>
            <w:rFonts w:asciiTheme="minorHAnsi" w:eastAsiaTheme="minorEastAsia" w:hAnsiTheme="minorHAnsi" w:cstheme="minorBidi"/>
            <w:noProof/>
            <w:sz w:val="22"/>
            <w:szCs w:val="22"/>
            <w:lang w:val="fr-BE" w:eastAsia="fr-BE"/>
          </w:rPr>
          <w:tab/>
        </w:r>
        <w:r w:rsidR="00F00BAF" w:rsidRPr="00013A3E">
          <w:rPr>
            <w:rStyle w:val="Hyperlink"/>
            <w:noProof/>
            <w:lang w:val="fr"/>
          </w:rPr>
          <w:t>Réflexions concernant la méthodologie</w:t>
        </w:r>
        <w:r w:rsidR="00F00BAF">
          <w:rPr>
            <w:noProof/>
            <w:webHidden/>
          </w:rPr>
          <w:tab/>
        </w:r>
        <w:r w:rsidR="00F00BAF">
          <w:rPr>
            <w:noProof/>
            <w:webHidden/>
          </w:rPr>
          <w:fldChar w:fldCharType="begin"/>
        </w:r>
        <w:r w:rsidR="00F00BAF">
          <w:rPr>
            <w:noProof/>
            <w:webHidden/>
          </w:rPr>
          <w:instrText xml:space="preserve"> PAGEREF _Toc406494020 \h </w:instrText>
        </w:r>
        <w:r w:rsidR="00F00BAF">
          <w:rPr>
            <w:noProof/>
            <w:webHidden/>
          </w:rPr>
        </w:r>
        <w:r w:rsidR="00F00BAF">
          <w:rPr>
            <w:noProof/>
            <w:webHidden/>
          </w:rPr>
          <w:fldChar w:fldCharType="separate"/>
        </w:r>
        <w:r w:rsidR="00F00BAF">
          <w:rPr>
            <w:noProof/>
            <w:webHidden/>
          </w:rPr>
          <w:t>20</w:t>
        </w:r>
        <w:r w:rsidR="00F00BAF">
          <w:rPr>
            <w:noProof/>
            <w:webHidden/>
          </w:rPr>
          <w:fldChar w:fldCharType="end"/>
        </w:r>
      </w:hyperlink>
    </w:p>
    <w:p w:rsidR="00F00BAF" w:rsidRDefault="004C4EB5">
      <w:pPr>
        <w:pStyle w:val="TOC1"/>
        <w:rPr>
          <w:rFonts w:asciiTheme="minorHAnsi" w:eastAsiaTheme="minorEastAsia" w:hAnsiTheme="minorHAnsi" w:cstheme="minorBidi"/>
          <w:sz w:val="22"/>
          <w:szCs w:val="22"/>
          <w:lang w:val="fr-BE" w:eastAsia="fr-BE"/>
        </w:rPr>
      </w:pPr>
      <w:hyperlink w:anchor="_Toc406494021" w:history="1">
        <w:r w:rsidR="00F00BAF" w:rsidRPr="00013A3E">
          <w:rPr>
            <w:rStyle w:val="Hyperlink"/>
          </w:rPr>
          <w:t>3</w:t>
        </w:r>
        <w:r w:rsidR="00F00BAF">
          <w:rPr>
            <w:rFonts w:asciiTheme="minorHAnsi" w:eastAsiaTheme="minorEastAsia" w:hAnsiTheme="minorHAnsi" w:cstheme="minorBidi"/>
            <w:sz w:val="22"/>
            <w:szCs w:val="22"/>
            <w:lang w:val="fr-BE" w:eastAsia="fr-BE"/>
          </w:rPr>
          <w:tab/>
        </w:r>
        <w:r w:rsidR="00F00BAF" w:rsidRPr="00013A3E">
          <w:rPr>
            <w:rStyle w:val="Hyperlink"/>
            <w:bCs/>
            <w:lang w:val="fr"/>
          </w:rPr>
          <w:t>Principales constatations</w:t>
        </w:r>
        <w:r w:rsidR="00F00BAF">
          <w:rPr>
            <w:webHidden/>
          </w:rPr>
          <w:tab/>
        </w:r>
        <w:r w:rsidR="00F00BAF">
          <w:rPr>
            <w:webHidden/>
          </w:rPr>
          <w:fldChar w:fldCharType="begin"/>
        </w:r>
        <w:r w:rsidR="00F00BAF">
          <w:rPr>
            <w:webHidden/>
          </w:rPr>
          <w:instrText xml:space="preserve"> PAGEREF _Toc406494021 \h </w:instrText>
        </w:r>
        <w:r w:rsidR="00F00BAF">
          <w:rPr>
            <w:webHidden/>
          </w:rPr>
        </w:r>
        <w:r w:rsidR="00F00BAF">
          <w:rPr>
            <w:webHidden/>
          </w:rPr>
          <w:fldChar w:fldCharType="separate"/>
        </w:r>
        <w:r w:rsidR="00F00BAF">
          <w:rPr>
            <w:webHidden/>
          </w:rPr>
          <w:t>22</w:t>
        </w:r>
        <w:r w:rsidR="00F00BAF">
          <w:rPr>
            <w:webHidden/>
          </w:rPr>
          <w:fldChar w:fldCharType="end"/>
        </w:r>
      </w:hyperlink>
    </w:p>
    <w:p w:rsidR="00F00BAF" w:rsidRDefault="004C4EB5">
      <w:pPr>
        <w:pStyle w:val="TOC2"/>
        <w:rPr>
          <w:rFonts w:asciiTheme="minorHAnsi" w:eastAsiaTheme="minorEastAsia" w:hAnsiTheme="minorHAnsi" w:cstheme="minorBidi"/>
          <w:noProof/>
          <w:sz w:val="22"/>
          <w:szCs w:val="22"/>
          <w:lang w:val="fr-BE" w:eastAsia="fr-BE"/>
        </w:rPr>
      </w:pPr>
      <w:hyperlink w:anchor="_Toc406494022" w:history="1">
        <w:r w:rsidR="00F00BAF" w:rsidRPr="00013A3E">
          <w:rPr>
            <w:rStyle w:val="Hyperlink"/>
            <w:noProof/>
          </w:rPr>
          <w:t>3.1</w:t>
        </w:r>
        <w:r w:rsidR="00F00BAF">
          <w:rPr>
            <w:rFonts w:asciiTheme="minorHAnsi" w:eastAsiaTheme="minorEastAsia" w:hAnsiTheme="minorHAnsi" w:cstheme="minorBidi"/>
            <w:noProof/>
            <w:sz w:val="22"/>
            <w:szCs w:val="22"/>
            <w:lang w:val="fr-BE" w:eastAsia="fr-BE"/>
          </w:rPr>
          <w:tab/>
        </w:r>
        <w:r w:rsidR="00F00BAF" w:rsidRPr="00013A3E">
          <w:rPr>
            <w:rStyle w:val="Hyperlink"/>
            <w:bCs/>
            <w:noProof/>
            <w:lang w:val="fr"/>
          </w:rPr>
          <w:t>Concernant la pertinence (problèmes et besoins)</w:t>
        </w:r>
        <w:r w:rsidR="00F00BAF">
          <w:rPr>
            <w:noProof/>
            <w:webHidden/>
          </w:rPr>
          <w:tab/>
        </w:r>
        <w:r w:rsidR="00F00BAF">
          <w:rPr>
            <w:noProof/>
            <w:webHidden/>
          </w:rPr>
          <w:fldChar w:fldCharType="begin"/>
        </w:r>
        <w:r w:rsidR="00F00BAF">
          <w:rPr>
            <w:noProof/>
            <w:webHidden/>
          </w:rPr>
          <w:instrText xml:space="preserve"> PAGEREF _Toc406494022 \h </w:instrText>
        </w:r>
        <w:r w:rsidR="00F00BAF">
          <w:rPr>
            <w:noProof/>
            <w:webHidden/>
          </w:rPr>
        </w:r>
        <w:r w:rsidR="00F00BAF">
          <w:rPr>
            <w:noProof/>
            <w:webHidden/>
          </w:rPr>
          <w:fldChar w:fldCharType="separate"/>
        </w:r>
        <w:r w:rsidR="00F00BAF">
          <w:rPr>
            <w:noProof/>
            <w:webHidden/>
          </w:rPr>
          <w:t>22</w:t>
        </w:r>
        <w:r w:rsidR="00F00BAF">
          <w:rPr>
            <w:noProof/>
            <w:webHidden/>
          </w:rPr>
          <w:fldChar w:fldCharType="end"/>
        </w:r>
      </w:hyperlink>
    </w:p>
    <w:p w:rsidR="00F00BAF" w:rsidRDefault="004C4EB5">
      <w:pPr>
        <w:pStyle w:val="TOC2"/>
        <w:rPr>
          <w:rFonts w:asciiTheme="minorHAnsi" w:eastAsiaTheme="minorEastAsia" w:hAnsiTheme="minorHAnsi" w:cstheme="minorBidi"/>
          <w:noProof/>
          <w:sz w:val="22"/>
          <w:szCs w:val="22"/>
          <w:lang w:val="fr-BE" w:eastAsia="fr-BE"/>
        </w:rPr>
      </w:pPr>
      <w:hyperlink w:anchor="_Toc406494023" w:history="1">
        <w:r w:rsidR="00F00BAF" w:rsidRPr="00013A3E">
          <w:rPr>
            <w:rStyle w:val="Hyperlink"/>
            <w:noProof/>
          </w:rPr>
          <w:t>3.2</w:t>
        </w:r>
        <w:r w:rsidR="00F00BAF">
          <w:rPr>
            <w:rFonts w:asciiTheme="minorHAnsi" w:eastAsiaTheme="minorEastAsia" w:hAnsiTheme="minorHAnsi" w:cstheme="minorBidi"/>
            <w:noProof/>
            <w:sz w:val="22"/>
            <w:szCs w:val="22"/>
            <w:lang w:val="fr-BE" w:eastAsia="fr-BE"/>
          </w:rPr>
          <w:tab/>
        </w:r>
        <w:r w:rsidR="00F00BAF" w:rsidRPr="00013A3E">
          <w:rPr>
            <w:rStyle w:val="Hyperlink"/>
            <w:bCs/>
            <w:noProof/>
            <w:lang w:val="fr"/>
          </w:rPr>
          <w:t>Concernant la conception</w:t>
        </w:r>
        <w:r w:rsidR="00F00BAF" w:rsidRPr="00013A3E">
          <w:rPr>
            <w:rStyle w:val="Hyperlink"/>
            <w:noProof/>
            <w:lang w:val="fr"/>
          </w:rPr>
          <w:t> :</w:t>
        </w:r>
        <w:r w:rsidR="00F00BAF">
          <w:rPr>
            <w:noProof/>
            <w:webHidden/>
          </w:rPr>
          <w:tab/>
        </w:r>
        <w:r w:rsidR="00F00BAF">
          <w:rPr>
            <w:noProof/>
            <w:webHidden/>
          </w:rPr>
          <w:fldChar w:fldCharType="begin"/>
        </w:r>
        <w:r w:rsidR="00F00BAF">
          <w:rPr>
            <w:noProof/>
            <w:webHidden/>
          </w:rPr>
          <w:instrText xml:space="preserve"> PAGEREF _Toc406494023 \h </w:instrText>
        </w:r>
        <w:r w:rsidR="00F00BAF">
          <w:rPr>
            <w:noProof/>
            <w:webHidden/>
          </w:rPr>
        </w:r>
        <w:r w:rsidR="00F00BAF">
          <w:rPr>
            <w:noProof/>
            <w:webHidden/>
          </w:rPr>
          <w:fldChar w:fldCharType="separate"/>
        </w:r>
        <w:r w:rsidR="00F00BAF">
          <w:rPr>
            <w:noProof/>
            <w:webHidden/>
          </w:rPr>
          <w:t>26</w:t>
        </w:r>
        <w:r w:rsidR="00F00BAF">
          <w:rPr>
            <w:noProof/>
            <w:webHidden/>
          </w:rPr>
          <w:fldChar w:fldCharType="end"/>
        </w:r>
      </w:hyperlink>
    </w:p>
    <w:p w:rsidR="00F00BAF" w:rsidRDefault="004C4EB5">
      <w:pPr>
        <w:pStyle w:val="TOC2"/>
        <w:rPr>
          <w:rFonts w:asciiTheme="minorHAnsi" w:eastAsiaTheme="minorEastAsia" w:hAnsiTheme="minorHAnsi" w:cstheme="minorBidi"/>
          <w:noProof/>
          <w:sz w:val="22"/>
          <w:szCs w:val="22"/>
          <w:lang w:val="fr-BE" w:eastAsia="fr-BE"/>
        </w:rPr>
      </w:pPr>
      <w:hyperlink w:anchor="_Toc406494024" w:history="1">
        <w:r w:rsidR="00F00BAF" w:rsidRPr="00013A3E">
          <w:rPr>
            <w:rStyle w:val="Hyperlink"/>
            <w:noProof/>
          </w:rPr>
          <w:t>3.3</w:t>
        </w:r>
        <w:r w:rsidR="00F00BAF">
          <w:rPr>
            <w:rFonts w:asciiTheme="minorHAnsi" w:eastAsiaTheme="minorEastAsia" w:hAnsiTheme="minorHAnsi" w:cstheme="minorBidi"/>
            <w:noProof/>
            <w:sz w:val="22"/>
            <w:szCs w:val="22"/>
            <w:lang w:val="fr-BE" w:eastAsia="fr-BE"/>
          </w:rPr>
          <w:tab/>
        </w:r>
        <w:r w:rsidR="00F00BAF" w:rsidRPr="00013A3E">
          <w:rPr>
            <w:rStyle w:val="Hyperlink"/>
            <w:bCs/>
            <w:noProof/>
            <w:lang w:val="fr"/>
          </w:rPr>
          <w:t>Concernant l'efficacité (réalisation de l'objectif)</w:t>
        </w:r>
        <w:r w:rsidR="00F00BAF">
          <w:rPr>
            <w:noProof/>
            <w:webHidden/>
          </w:rPr>
          <w:tab/>
        </w:r>
        <w:r w:rsidR="00F00BAF">
          <w:rPr>
            <w:noProof/>
            <w:webHidden/>
          </w:rPr>
          <w:fldChar w:fldCharType="begin"/>
        </w:r>
        <w:r w:rsidR="00F00BAF">
          <w:rPr>
            <w:noProof/>
            <w:webHidden/>
          </w:rPr>
          <w:instrText xml:space="preserve"> PAGEREF _Toc406494024 \h </w:instrText>
        </w:r>
        <w:r w:rsidR="00F00BAF">
          <w:rPr>
            <w:noProof/>
            <w:webHidden/>
          </w:rPr>
        </w:r>
        <w:r w:rsidR="00F00BAF">
          <w:rPr>
            <w:noProof/>
            <w:webHidden/>
          </w:rPr>
          <w:fldChar w:fldCharType="separate"/>
        </w:r>
        <w:r w:rsidR="00F00BAF">
          <w:rPr>
            <w:noProof/>
            <w:webHidden/>
          </w:rPr>
          <w:t>30</w:t>
        </w:r>
        <w:r w:rsidR="00F00BAF">
          <w:rPr>
            <w:noProof/>
            <w:webHidden/>
          </w:rPr>
          <w:fldChar w:fldCharType="end"/>
        </w:r>
      </w:hyperlink>
    </w:p>
    <w:p w:rsidR="00F00BAF" w:rsidRDefault="004C4EB5">
      <w:pPr>
        <w:pStyle w:val="TOC2"/>
        <w:rPr>
          <w:rFonts w:asciiTheme="minorHAnsi" w:eastAsiaTheme="minorEastAsia" w:hAnsiTheme="minorHAnsi" w:cstheme="minorBidi"/>
          <w:noProof/>
          <w:sz w:val="22"/>
          <w:szCs w:val="22"/>
          <w:lang w:val="fr-BE" w:eastAsia="fr-BE"/>
        </w:rPr>
      </w:pPr>
      <w:hyperlink w:anchor="_Toc406494025" w:history="1">
        <w:r w:rsidR="00F00BAF" w:rsidRPr="00013A3E">
          <w:rPr>
            <w:rStyle w:val="Hyperlink"/>
            <w:noProof/>
          </w:rPr>
          <w:t>3.4</w:t>
        </w:r>
        <w:r w:rsidR="00F00BAF">
          <w:rPr>
            <w:rFonts w:asciiTheme="minorHAnsi" w:eastAsiaTheme="minorEastAsia" w:hAnsiTheme="minorHAnsi" w:cstheme="minorBidi"/>
            <w:noProof/>
            <w:sz w:val="22"/>
            <w:szCs w:val="22"/>
            <w:lang w:val="fr-BE" w:eastAsia="fr-BE"/>
          </w:rPr>
          <w:tab/>
        </w:r>
        <w:r w:rsidR="00F00BAF" w:rsidRPr="00013A3E">
          <w:rPr>
            <w:rStyle w:val="Hyperlink"/>
            <w:bCs/>
            <w:noProof/>
            <w:lang w:val="fr"/>
          </w:rPr>
          <w:t>Efficience (gestion saine et optimisation des ressources)</w:t>
        </w:r>
        <w:r w:rsidR="00F00BAF">
          <w:rPr>
            <w:noProof/>
            <w:webHidden/>
          </w:rPr>
          <w:tab/>
        </w:r>
        <w:r w:rsidR="00F00BAF">
          <w:rPr>
            <w:noProof/>
            <w:webHidden/>
          </w:rPr>
          <w:fldChar w:fldCharType="begin"/>
        </w:r>
        <w:r w:rsidR="00F00BAF">
          <w:rPr>
            <w:noProof/>
            <w:webHidden/>
          </w:rPr>
          <w:instrText xml:space="preserve"> PAGEREF _Toc406494025 \h </w:instrText>
        </w:r>
        <w:r w:rsidR="00F00BAF">
          <w:rPr>
            <w:noProof/>
            <w:webHidden/>
          </w:rPr>
        </w:r>
        <w:r w:rsidR="00F00BAF">
          <w:rPr>
            <w:noProof/>
            <w:webHidden/>
          </w:rPr>
          <w:fldChar w:fldCharType="separate"/>
        </w:r>
        <w:r w:rsidR="00F00BAF">
          <w:rPr>
            <w:noProof/>
            <w:webHidden/>
          </w:rPr>
          <w:t>37</w:t>
        </w:r>
        <w:r w:rsidR="00F00BAF">
          <w:rPr>
            <w:noProof/>
            <w:webHidden/>
          </w:rPr>
          <w:fldChar w:fldCharType="end"/>
        </w:r>
      </w:hyperlink>
    </w:p>
    <w:p w:rsidR="00F00BAF" w:rsidRDefault="004C4EB5">
      <w:pPr>
        <w:pStyle w:val="TOC2"/>
        <w:rPr>
          <w:rFonts w:asciiTheme="minorHAnsi" w:eastAsiaTheme="minorEastAsia" w:hAnsiTheme="minorHAnsi" w:cstheme="minorBidi"/>
          <w:noProof/>
          <w:sz w:val="22"/>
          <w:szCs w:val="22"/>
          <w:lang w:val="fr-BE" w:eastAsia="fr-BE"/>
        </w:rPr>
      </w:pPr>
      <w:hyperlink w:anchor="_Toc406494026" w:history="1">
        <w:r w:rsidR="00F00BAF" w:rsidRPr="00013A3E">
          <w:rPr>
            <w:rStyle w:val="Hyperlink"/>
            <w:noProof/>
          </w:rPr>
          <w:t>3.5</w:t>
        </w:r>
        <w:r w:rsidR="00F00BAF">
          <w:rPr>
            <w:rFonts w:asciiTheme="minorHAnsi" w:eastAsiaTheme="minorEastAsia" w:hAnsiTheme="minorHAnsi" w:cstheme="minorBidi"/>
            <w:noProof/>
            <w:sz w:val="22"/>
            <w:szCs w:val="22"/>
            <w:lang w:val="fr-BE" w:eastAsia="fr-BE"/>
          </w:rPr>
          <w:tab/>
        </w:r>
        <w:r w:rsidR="00F00BAF" w:rsidRPr="00013A3E">
          <w:rPr>
            <w:rStyle w:val="Hyperlink"/>
            <w:bCs/>
            <w:noProof/>
            <w:lang w:val="fr"/>
          </w:rPr>
          <w:t>Concernant l’impact (réalisation d’effets plus généraux)</w:t>
        </w:r>
        <w:r w:rsidR="00F00BAF">
          <w:rPr>
            <w:noProof/>
            <w:webHidden/>
          </w:rPr>
          <w:tab/>
        </w:r>
        <w:r w:rsidR="00F00BAF">
          <w:rPr>
            <w:noProof/>
            <w:webHidden/>
          </w:rPr>
          <w:fldChar w:fldCharType="begin"/>
        </w:r>
        <w:r w:rsidR="00F00BAF">
          <w:rPr>
            <w:noProof/>
            <w:webHidden/>
          </w:rPr>
          <w:instrText xml:space="preserve"> PAGEREF _Toc406494026 \h </w:instrText>
        </w:r>
        <w:r w:rsidR="00F00BAF">
          <w:rPr>
            <w:noProof/>
            <w:webHidden/>
          </w:rPr>
        </w:r>
        <w:r w:rsidR="00F00BAF">
          <w:rPr>
            <w:noProof/>
            <w:webHidden/>
          </w:rPr>
          <w:fldChar w:fldCharType="separate"/>
        </w:r>
        <w:r w:rsidR="00F00BAF">
          <w:rPr>
            <w:noProof/>
            <w:webHidden/>
          </w:rPr>
          <w:t>45</w:t>
        </w:r>
        <w:r w:rsidR="00F00BAF">
          <w:rPr>
            <w:noProof/>
            <w:webHidden/>
          </w:rPr>
          <w:fldChar w:fldCharType="end"/>
        </w:r>
      </w:hyperlink>
    </w:p>
    <w:p w:rsidR="00F00BAF" w:rsidRDefault="004C4EB5">
      <w:pPr>
        <w:pStyle w:val="TOC2"/>
        <w:rPr>
          <w:rFonts w:asciiTheme="minorHAnsi" w:eastAsiaTheme="minorEastAsia" w:hAnsiTheme="minorHAnsi" w:cstheme="minorBidi"/>
          <w:noProof/>
          <w:sz w:val="22"/>
          <w:szCs w:val="22"/>
          <w:lang w:val="fr-BE" w:eastAsia="fr-BE"/>
        </w:rPr>
      </w:pPr>
      <w:hyperlink w:anchor="_Toc406494027" w:history="1">
        <w:r w:rsidR="00F00BAF" w:rsidRPr="00013A3E">
          <w:rPr>
            <w:rStyle w:val="Hyperlink"/>
            <w:noProof/>
          </w:rPr>
          <w:t>3.6</w:t>
        </w:r>
        <w:r w:rsidR="00F00BAF">
          <w:rPr>
            <w:rFonts w:asciiTheme="minorHAnsi" w:eastAsiaTheme="minorEastAsia" w:hAnsiTheme="minorHAnsi" w:cstheme="minorBidi"/>
            <w:noProof/>
            <w:sz w:val="22"/>
            <w:szCs w:val="22"/>
            <w:lang w:val="fr-BE" w:eastAsia="fr-BE"/>
          </w:rPr>
          <w:tab/>
        </w:r>
        <w:r w:rsidR="00F00BAF" w:rsidRPr="00013A3E">
          <w:rPr>
            <w:rStyle w:val="Hyperlink"/>
            <w:bCs/>
            <w:noProof/>
            <w:lang w:val="fr"/>
          </w:rPr>
          <w:t>Concernant la durabilité (suite probable des résultats atteints)</w:t>
        </w:r>
        <w:r w:rsidR="00F00BAF">
          <w:rPr>
            <w:noProof/>
            <w:webHidden/>
          </w:rPr>
          <w:tab/>
        </w:r>
        <w:r w:rsidR="00F00BAF">
          <w:rPr>
            <w:noProof/>
            <w:webHidden/>
          </w:rPr>
          <w:fldChar w:fldCharType="begin"/>
        </w:r>
        <w:r w:rsidR="00F00BAF">
          <w:rPr>
            <w:noProof/>
            <w:webHidden/>
          </w:rPr>
          <w:instrText xml:space="preserve"> PAGEREF _Toc406494027 \h </w:instrText>
        </w:r>
        <w:r w:rsidR="00F00BAF">
          <w:rPr>
            <w:noProof/>
            <w:webHidden/>
          </w:rPr>
        </w:r>
        <w:r w:rsidR="00F00BAF">
          <w:rPr>
            <w:noProof/>
            <w:webHidden/>
          </w:rPr>
          <w:fldChar w:fldCharType="separate"/>
        </w:r>
        <w:r w:rsidR="00F00BAF">
          <w:rPr>
            <w:noProof/>
            <w:webHidden/>
          </w:rPr>
          <w:t>50</w:t>
        </w:r>
        <w:r w:rsidR="00F00BAF">
          <w:rPr>
            <w:noProof/>
            <w:webHidden/>
          </w:rPr>
          <w:fldChar w:fldCharType="end"/>
        </w:r>
      </w:hyperlink>
    </w:p>
    <w:p w:rsidR="00F00BAF" w:rsidRDefault="004C4EB5">
      <w:pPr>
        <w:pStyle w:val="TOC1"/>
        <w:rPr>
          <w:rFonts w:asciiTheme="minorHAnsi" w:eastAsiaTheme="minorEastAsia" w:hAnsiTheme="minorHAnsi" w:cstheme="minorBidi"/>
          <w:sz w:val="22"/>
          <w:szCs w:val="22"/>
          <w:lang w:val="fr-BE" w:eastAsia="fr-BE"/>
        </w:rPr>
      </w:pPr>
      <w:hyperlink w:anchor="_Toc406494028" w:history="1">
        <w:r w:rsidR="00F00BAF" w:rsidRPr="00013A3E">
          <w:rPr>
            <w:rStyle w:val="Hyperlink"/>
          </w:rPr>
          <w:t>4</w:t>
        </w:r>
        <w:r w:rsidR="00F00BAF">
          <w:rPr>
            <w:rFonts w:asciiTheme="minorHAnsi" w:eastAsiaTheme="minorEastAsia" w:hAnsiTheme="minorHAnsi" w:cstheme="minorBidi"/>
            <w:sz w:val="22"/>
            <w:szCs w:val="22"/>
            <w:lang w:val="fr-BE" w:eastAsia="fr-BE"/>
          </w:rPr>
          <w:tab/>
        </w:r>
        <w:r w:rsidR="00F00BAF" w:rsidRPr="00013A3E">
          <w:rPr>
            <w:rStyle w:val="Hyperlink"/>
            <w:bCs/>
            <w:lang w:val="fr"/>
          </w:rPr>
          <w:t>Évaluation globale</w:t>
        </w:r>
        <w:r w:rsidR="00F00BAF">
          <w:rPr>
            <w:webHidden/>
          </w:rPr>
          <w:tab/>
        </w:r>
        <w:r w:rsidR="00F00BAF">
          <w:rPr>
            <w:webHidden/>
          </w:rPr>
          <w:fldChar w:fldCharType="begin"/>
        </w:r>
        <w:r w:rsidR="00F00BAF">
          <w:rPr>
            <w:webHidden/>
          </w:rPr>
          <w:instrText xml:space="preserve"> PAGEREF _Toc406494028 \h </w:instrText>
        </w:r>
        <w:r w:rsidR="00F00BAF">
          <w:rPr>
            <w:webHidden/>
          </w:rPr>
        </w:r>
        <w:r w:rsidR="00F00BAF">
          <w:rPr>
            <w:webHidden/>
          </w:rPr>
          <w:fldChar w:fldCharType="separate"/>
        </w:r>
        <w:r w:rsidR="00F00BAF">
          <w:rPr>
            <w:webHidden/>
          </w:rPr>
          <w:t>52</w:t>
        </w:r>
        <w:r w:rsidR="00F00BAF">
          <w:rPr>
            <w:webHidden/>
          </w:rPr>
          <w:fldChar w:fldCharType="end"/>
        </w:r>
      </w:hyperlink>
    </w:p>
    <w:p w:rsidR="00F00BAF" w:rsidRDefault="004C4EB5">
      <w:pPr>
        <w:pStyle w:val="TOC1"/>
        <w:rPr>
          <w:rFonts w:asciiTheme="minorHAnsi" w:eastAsiaTheme="minorEastAsia" w:hAnsiTheme="minorHAnsi" w:cstheme="minorBidi"/>
          <w:sz w:val="22"/>
          <w:szCs w:val="22"/>
          <w:lang w:val="fr-BE" w:eastAsia="fr-BE"/>
        </w:rPr>
      </w:pPr>
      <w:hyperlink w:anchor="_Toc406494029" w:history="1">
        <w:r w:rsidR="00F00BAF" w:rsidRPr="00013A3E">
          <w:rPr>
            <w:rStyle w:val="Hyperlink"/>
            <w:spacing w:val="-10"/>
          </w:rPr>
          <w:t>5</w:t>
        </w:r>
        <w:r w:rsidR="00F00BAF">
          <w:rPr>
            <w:rFonts w:asciiTheme="minorHAnsi" w:eastAsiaTheme="minorEastAsia" w:hAnsiTheme="minorHAnsi" w:cstheme="minorBidi"/>
            <w:sz w:val="22"/>
            <w:szCs w:val="22"/>
            <w:lang w:val="fr-BE" w:eastAsia="fr-BE"/>
          </w:rPr>
          <w:tab/>
        </w:r>
        <w:r w:rsidR="00F00BAF" w:rsidRPr="00013A3E">
          <w:rPr>
            <w:rStyle w:val="Hyperlink"/>
            <w:bCs/>
            <w:lang w:val="fr"/>
          </w:rPr>
          <w:t>Conclusions, recommandations &amp; enseignements tirés</w:t>
        </w:r>
        <w:r w:rsidR="00F00BAF">
          <w:rPr>
            <w:webHidden/>
          </w:rPr>
          <w:tab/>
        </w:r>
        <w:r w:rsidR="00F00BAF">
          <w:rPr>
            <w:webHidden/>
          </w:rPr>
          <w:fldChar w:fldCharType="begin"/>
        </w:r>
        <w:r w:rsidR="00F00BAF">
          <w:rPr>
            <w:webHidden/>
          </w:rPr>
          <w:instrText xml:space="preserve"> PAGEREF _Toc406494029 \h </w:instrText>
        </w:r>
        <w:r w:rsidR="00F00BAF">
          <w:rPr>
            <w:webHidden/>
          </w:rPr>
        </w:r>
        <w:r w:rsidR="00F00BAF">
          <w:rPr>
            <w:webHidden/>
          </w:rPr>
          <w:fldChar w:fldCharType="separate"/>
        </w:r>
        <w:r w:rsidR="00F00BAF">
          <w:rPr>
            <w:webHidden/>
          </w:rPr>
          <w:t>55</w:t>
        </w:r>
        <w:r w:rsidR="00F00BAF">
          <w:rPr>
            <w:webHidden/>
          </w:rPr>
          <w:fldChar w:fldCharType="end"/>
        </w:r>
      </w:hyperlink>
    </w:p>
    <w:p w:rsidR="00F00BAF" w:rsidRDefault="004C4EB5">
      <w:pPr>
        <w:pStyle w:val="TOC2"/>
        <w:rPr>
          <w:rFonts w:asciiTheme="minorHAnsi" w:eastAsiaTheme="minorEastAsia" w:hAnsiTheme="minorHAnsi" w:cstheme="minorBidi"/>
          <w:noProof/>
          <w:sz w:val="22"/>
          <w:szCs w:val="22"/>
          <w:lang w:val="fr-BE" w:eastAsia="fr-BE"/>
        </w:rPr>
      </w:pPr>
      <w:hyperlink w:anchor="_Toc406494030" w:history="1">
        <w:r w:rsidR="00F00BAF" w:rsidRPr="00013A3E">
          <w:rPr>
            <w:rStyle w:val="Hyperlink"/>
            <w:noProof/>
          </w:rPr>
          <w:t>5.1</w:t>
        </w:r>
        <w:r w:rsidR="00F00BAF">
          <w:rPr>
            <w:rFonts w:asciiTheme="minorHAnsi" w:eastAsiaTheme="minorEastAsia" w:hAnsiTheme="minorHAnsi" w:cstheme="minorBidi"/>
            <w:noProof/>
            <w:sz w:val="22"/>
            <w:szCs w:val="22"/>
            <w:lang w:val="fr-BE" w:eastAsia="fr-BE"/>
          </w:rPr>
          <w:tab/>
        </w:r>
        <w:r w:rsidR="00F00BAF" w:rsidRPr="00013A3E">
          <w:rPr>
            <w:rStyle w:val="Hyperlink"/>
            <w:bCs/>
            <w:noProof/>
            <w:lang w:val="fr"/>
          </w:rPr>
          <w:t>Conclusions et recommandations</w:t>
        </w:r>
        <w:r w:rsidR="00F00BAF">
          <w:rPr>
            <w:noProof/>
            <w:webHidden/>
          </w:rPr>
          <w:tab/>
        </w:r>
        <w:r w:rsidR="00F00BAF">
          <w:rPr>
            <w:noProof/>
            <w:webHidden/>
          </w:rPr>
          <w:fldChar w:fldCharType="begin"/>
        </w:r>
        <w:r w:rsidR="00F00BAF">
          <w:rPr>
            <w:noProof/>
            <w:webHidden/>
          </w:rPr>
          <w:instrText xml:space="preserve"> PAGEREF _Toc406494030 \h </w:instrText>
        </w:r>
        <w:r w:rsidR="00F00BAF">
          <w:rPr>
            <w:noProof/>
            <w:webHidden/>
          </w:rPr>
        </w:r>
        <w:r w:rsidR="00F00BAF">
          <w:rPr>
            <w:noProof/>
            <w:webHidden/>
          </w:rPr>
          <w:fldChar w:fldCharType="separate"/>
        </w:r>
        <w:r w:rsidR="00F00BAF">
          <w:rPr>
            <w:noProof/>
            <w:webHidden/>
          </w:rPr>
          <w:t>55</w:t>
        </w:r>
        <w:r w:rsidR="00F00BAF">
          <w:rPr>
            <w:noProof/>
            <w:webHidden/>
          </w:rPr>
          <w:fldChar w:fldCharType="end"/>
        </w:r>
      </w:hyperlink>
    </w:p>
    <w:p w:rsidR="00F00BAF" w:rsidRDefault="004C4EB5">
      <w:pPr>
        <w:pStyle w:val="TOC2"/>
        <w:rPr>
          <w:rFonts w:asciiTheme="minorHAnsi" w:eastAsiaTheme="minorEastAsia" w:hAnsiTheme="minorHAnsi" w:cstheme="minorBidi"/>
          <w:noProof/>
          <w:sz w:val="22"/>
          <w:szCs w:val="22"/>
          <w:lang w:val="fr-BE" w:eastAsia="fr-BE"/>
        </w:rPr>
      </w:pPr>
      <w:hyperlink w:anchor="_Toc406494031" w:history="1">
        <w:r w:rsidR="00F00BAF" w:rsidRPr="00013A3E">
          <w:rPr>
            <w:rStyle w:val="Hyperlink"/>
            <w:noProof/>
          </w:rPr>
          <w:t>5.2</w:t>
        </w:r>
        <w:r w:rsidR="00F00BAF">
          <w:rPr>
            <w:rFonts w:asciiTheme="minorHAnsi" w:eastAsiaTheme="minorEastAsia" w:hAnsiTheme="minorHAnsi" w:cstheme="minorBidi"/>
            <w:noProof/>
            <w:sz w:val="22"/>
            <w:szCs w:val="22"/>
            <w:lang w:val="fr-BE" w:eastAsia="fr-BE"/>
          </w:rPr>
          <w:tab/>
        </w:r>
        <w:r w:rsidR="00F00BAF" w:rsidRPr="00013A3E">
          <w:rPr>
            <w:rStyle w:val="Hyperlink"/>
            <w:bCs/>
            <w:noProof/>
            <w:lang w:val="fr"/>
          </w:rPr>
          <w:t>Enseignements tirés</w:t>
        </w:r>
        <w:r w:rsidR="00F00BAF">
          <w:rPr>
            <w:noProof/>
            <w:webHidden/>
          </w:rPr>
          <w:tab/>
        </w:r>
        <w:r w:rsidR="00F00BAF">
          <w:rPr>
            <w:noProof/>
            <w:webHidden/>
          </w:rPr>
          <w:fldChar w:fldCharType="begin"/>
        </w:r>
        <w:r w:rsidR="00F00BAF">
          <w:rPr>
            <w:noProof/>
            <w:webHidden/>
          </w:rPr>
          <w:instrText xml:space="preserve"> PAGEREF _Toc406494031 \h </w:instrText>
        </w:r>
        <w:r w:rsidR="00F00BAF">
          <w:rPr>
            <w:noProof/>
            <w:webHidden/>
          </w:rPr>
        </w:r>
        <w:r w:rsidR="00F00BAF">
          <w:rPr>
            <w:noProof/>
            <w:webHidden/>
          </w:rPr>
          <w:fldChar w:fldCharType="separate"/>
        </w:r>
        <w:r w:rsidR="00F00BAF">
          <w:rPr>
            <w:noProof/>
            <w:webHidden/>
          </w:rPr>
          <w:t>61</w:t>
        </w:r>
        <w:r w:rsidR="00F00BAF">
          <w:rPr>
            <w:noProof/>
            <w:webHidden/>
          </w:rPr>
          <w:fldChar w:fldCharType="end"/>
        </w:r>
      </w:hyperlink>
    </w:p>
    <w:p w:rsidR="00F00BAF" w:rsidRDefault="004C4EB5">
      <w:pPr>
        <w:pStyle w:val="TOC1"/>
        <w:rPr>
          <w:rFonts w:asciiTheme="minorHAnsi" w:eastAsiaTheme="minorEastAsia" w:hAnsiTheme="minorHAnsi" w:cstheme="minorBidi"/>
          <w:sz w:val="22"/>
          <w:szCs w:val="22"/>
          <w:lang w:val="fr-BE" w:eastAsia="fr-BE"/>
        </w:rPr>
      </w:pPr>
      <w:hyperlink w:anchor="_Toc406494032" w:history="1">
        <w:r w:rsidR="00F00BAF" w:rsidRPr="00013A3E">
          <w:rPr>
            <w:rStyle w:val="Hyperlink"/>
            <w:spacing w:val="-10"/>
          </w:rPr>
          <w:t>6</w:t>
        </w:r>
        <w:r w:rsidR="00F00BAF">
          <w:rPr>
            <w:rFonts w:asciiTheme="minorHAnsi" w:eastAsiaTheme="minorEastAsia" w:hAnsiTheme="minorHAnsi" w:cstheme="minorBidi"/>
            <w:sz w:val="22"/>
            <w:szCs w:val="22"/>
            <w:lang w:val="fr-BE" w:eastAsia="fr-BE"/>
          </w:rPr>
          <w:tab/>
        </w:r>
        <w:r w:rsidR="00F00BAF" w:rsidRPr="00013A3E">
          <w:rPr>
            <w:rStyle w:val="Hyperlink"/>
            <w:bCs/>
            <w:lang w:val="fr"/>
          </w:rPr>
          <w:t>Accord au point d'achèvement, octobre 2014.</w:t>
        </w:r>
        <w:r w:rsidR="00F00BAF">
          <w:rPr>
            <w:webHidden/>
          </w:rPr>
          <w:tab/>
        </w:r>
        <w:r w:rsidR="00F00BAF">
          <w:rPr>
            <w:webHidden/>
          </w:rPr>
          <w:fldChar w:fldCharType="begin"/>
        </w:r>
        <w:r w:rsidR="00F00BAF">
          <w:rPr>
            <w:webHidden/>
          </w:rPr>
          <w:instrText xml:space="preserve"> PAGEREF _Toc406494032 \h </w:instrText>
        </w:r>
        <w:r w:rsidR="00F00BAF">
          <w:rPr>
            <w:webHidden/>
          </w:rPr>
        </w:r>
        <w:r w:rsidR="00F00BAF">
          <w:rPr>
            <w:webHidden/>
          </w:rPr>
          <w:fldChar w:fldCharType="separate"/>
        </w:r>
        <w:r w:rsidR="00F00BAF">
          <w:rPr>
            <w:webHidden/>
          </w:rPr>
          <w:t>63</w:t>
        </w:r>
        <w:r w:rsidR="00F00BAF">
          <w:rPr>
            <w:webHidden/>
          </w:rPr>
          <w:fldChar w:fldCharType="end"/>
        </w:r>
      </w:hyperlink>
    </w:p>
    <w:p w:rsidR="00F00BAF" w:rsidRDefault="004C4EB5">
      <w:pPr>
        <w:pStyle w:val="TOC1"/>
        <w:rPr>
          <w:rFonts w:asciiTheme="minorHAnsi" w:eastAsiaTheme="minorEastAsia" w:hAnsiTheme="minorHAnsi" w:cstheme="minorBidi"/>
          <w:sz w:val="22"/>
          <w:szCs w:val="22"/>
          <w:lang w:val="fr-BE" w:eastAsia="fr-BE"/>
        </w:rPr>
      </w:pPr>
      <w:hyperlink w:anchor="_Toc406494033" w:history="1">
        <w:r w:rsidR="00F00BAF" w:rsidRPr="00013A3E">
          <w:rPr>
            <w:rStyle w:val="Hyperlink"/>
            <w:spacing w:val="-10"/>
          </w:rPr>
          <w:t>7</w:t>
        </w:r>
        <w:r w:rsidR="00F00BAF">
          <w:rPr>
            <w:rFonts w:asciiTheme="minorHAnsi" w:eastAsiaTheme="minorEastAsia" w:hAnsiTheme="minorHAnsi" w:cstheme="minorBidi"/>
            <w:sz w:val="22"/>
            <w:szCs w:val="22"/>
            <w:lang w:val="fr-BE" w:eastAsia="fr-BE"/>
          </w:rPr>
          <w:tab/>
        </w:r>
        <w:r w:rsidR="00F00BAF" w:rsidRPr="00013A3E">
          <w:rPr>
            <w:rStyle w:val="Hyperlink"/>
            <w:bCs/>
            <w:lang w:val="fr"/>
          </w:rPr>
          <w:t>Annexes</w:t>
        </w:r>
        <w:r w:rsidR="00F00BAF">
          <w:rPr>
            <w:webHidden/>
          </w:rPr>
          <w:tab/>
        </w:r>
        <w:r w:rsidR="00F00BAF">
          <w:rPr>
            <w:webHidden/>
          </w:rPr>
          <w:fldChar w:fldCharType="begin"/>
        </w:r>
        <w:r w:rsidR="00F00BAF">
          <w:rPr>
            <w:webHidden/>
          </w:rPr>
          <w:instrText xml:space="preserve"> PAGEREF _Toc406494033 \h </w:instrText>
        </w:r>
        <w:r w:rsidR="00F00BAF">
          <w:rPr>
            <w:webHidden/>
          </w:rPr>
        </w:r>
        <w:r w:rsidR="00F00BAF">
          <w:rPr>
            <w:webHidden/>
          </w:rPr>
          <w:fldChar w:fldCharType="separate"/>
        </w:r>
        <w:r w:rsidR="00F00BAF">
          <w:rPr>
            <w:webHidden/>
          </w:rPr>
          <w:t>69</w:t>
        </w:r>
        <w:r w:rsidR="00F00BAF">
          <w:rPr>
            <w:webHidden/>
          </w:rPr>
          <w:fldChar w:fldCharType="end"/>
        </w:r>
      </w:hyperlink>
    </w:p>
    <w:p w:rsidR="003D513A" w:rsidRPr="00A94D8B" w:rsidRDefault="006069F3" w:rsidP="00AD1C0A">
      <w:pPr>
        <w:pStyle w:val="Heading1"/>
        <w:sectPr w:rsidR="003D513A" w:rsidRPr="00A94D8B">
          <w:footerReference w:type="default" r:id="rId14"/>
          <w:pgSz w:w="11907" w:h="16839" w:code="9"/>
          <w:pgMar w:top="1418" w:right="1418" w:bottom="1418" w:left="1418" w:header="708" w:footer="708" w:gutter="0"/>
          <w:pgNumType w:start="1"/>
          <w:cols w:space="708"/>
          <w:docGrid w:linePitch="360"/>
        </w:sectPr>
      </w:pPr>
      <w:r>
        <w:rPr>
          <w:b w:val="0"/>
          <w:smallCaps w:val="0"/>
          <w:noProof/>
          <w:color w:val="auto"/>
          <w:sz w:val="24"/>
          <w:szCs w:val="24"/>
        </w:rPr>
        <w:fldChar w:fldCharType="end"/>
      </w:r>
    </w:p>
    <w:p w:rsidR="00C66C21" w:rsidRPr="00A94D8B" w:rsidRDefault="00C66C21" w:rsidP="00DA1EFC">
      <w:pPr>
        <w:pStyle w:val="Heading1"/>
        <w:ind w:left="357" w:hanging="357"/>
        <w:jc w:val="center"/>
      </w:pPr>
      <w:bookmarkStart w:id="1" w:name="_Toc392064203"/>
      <w:bookmarkStart w:id="2" w:name="_Toc336273430"/>
      <w:bookmarkStart w:id="3" w:name="_Toc314509605"/>
      <w:bookmarkStart w:id="4" w:name="_Toc406494010"/>
      <w:r>
        <w:rPr>
          <w:bCs/>
          <w:lang w:val="fr"/>
        </w:rPr>
        <w:lastRenderedPageBreak/>
        <w:t>ACRONYMES</w:t>
      </w:r>
      <w:bookmarkEnd w:id="1"/>
      <w:bookmarkEnd w:id="2"/>
      <w:bookmarkEnd w:id="3"/>
      <w:bookmarkEnd w:id="4"/>
    </w:p>
    <w:p w:rsidR="005E1E8E" w:rsidRDefault="005E1E8E"/>
    <w:tbl>
      <w:tblPr>
        <w:tblW w:w="9356" w:type="dxa"/>
        <w:tblInd w:w="-34" w:type="dxa"/>
        <w:tblLook w:val="04A0" w:firstRow="1" w:lastRow="0" w:firstColumn="1" w:lastColumn="0" w:noHBand="0" w:noVBand="1"/>
      </w:tblPr>
      <w:tblGrid>
        <w:gridCol w:w="1843"/>
        <w:gridCol w:w="7513"/>
      </w:tblGrid>
      <w:tr w:rsidR="005E1E8E" w:rsidRPr="00D1792C" w:rsidTr="005E1E8E">
        <w:tc>
          <w:tcPr>
            <w:tcW w:w="1843" w:type="dxa"/>
            <w:tcBorders>
              <w:top w:val="single" w:sz="4" w:space="0" w:color="auto"/>
              <w:left w:val="single" w:sz="4" w:space="0" w:color="auto"/>
              <w:bottom w:val="nil"/>
              <w:right w:val="nil"/>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ACP</w:t>
            </w:r>
          </w:p>
        </w:tc>
        <w:tc>
          <w:tcPr>
            <w:tcW w:w="7513" w:type="dxa"/>
            <w:tcBorders>
              <w:top w:val="single" w:sz="4" w:space="0" w:color="auto"/>
              <w:left w:val="single" w:sz="4" w:space="0" w:color="auto"/>
              <w:bottom w:val="nil"/>
              <w:right w:val="single" w:sz="4" w:space="0" w:color="auto"/>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Groupe des États d'Afrique, des Caraïbes et du Pacifique</w:t>
            </w:r>
          </w:p>
        </w:tc>
      </w:tr>
      <w:tr w:rsidR="005E1E8E" w:rsidRPr="005E1E8E" w:rsidTr="005E1E8E">
        <w:tc>
          <w:tcPr>
            <w:tcW w:w="1843" w:type="dxa"/>
            <w:tcBorders>
              <w:top w:val="nil"/>
              <w:left w:val="single" w:sz="4" w:space="0" w:color="auto"/>
              <w:bottom w:val="nil"/>
              <w:right w:val="nil"/>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AC</w:t>
            </w:r>
          </w:p>
        </w:tc>
        <w:tc>
          <w:tcPr>
            <w:tcW w:w="7513" w:type="dxa"/>
            <w:tcBorders>
              <w:top w:val="nil"/>
              <w:left w:val="single" w:sz="4" w:space="0" w:color="auto"/>
              <w:bottom w:val="nil"/>
              <w:right w:val="single" w:sz="4" w:space="0" w:color="auto"/>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Agriculture de conservation</w:t>
            </w:r>
          </w:p>
        </w:tc>
      </w:tr>
      <w:tr w:rsidR="005E1E8E" w:rsidRPr="005E1E8E" w:rsidTr="005E1E8E">
        <w:tc>
          <w:tcPr>
            <w:tcW w:w="1843" w:type="dxa"/>
            <w:tcBorders>
              <w:top w:val="nil"/>
              <w:left w:val="single" w:sz="4" w:space="0" w:color="auto"/>
              <w:bottom w:val="nil"/>
              <w:right w:val="nil"/>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ACC</w:t>
            </w:r>
          </w:p>
        </w:tc>
        <w:tc>
          <w:tcPr>
            <w:tcW w:w="7513" w:type="dxa"/>
            <w:tcBorders>
              <w:top w:val="nil"/>
              <w:left w:val="single" w:sz="4" w:space="0" w:color="auto"/>
              <w:bottom w:val="nil"/>
              <w:right w:val="single" w:sz="4" w:space="0" w:color="auto"/>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Adaptation au changement climatique</w:t>
            </w:r>
          </w:p>
        </w:tc>
      </w:tr>
      <w:tr w:rsidR="005E1E8E" w:rsidRPr="005E1E8E" w:rsidTr="005E1E8E">
        <w:tc>
          <w:tcPr>
            <w:tcW w:w="1843" w:type="dxa"/>
            <w:tcBorders>
              <w:top w:val="nil"/>
              <w:left w:val="single" w:sz="4" w:space="0" w:color="auto"/>
              <w:bottom w:val="nil"/>
              <w:right w:val="nil"/>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AGN</w:t>
            </w:r>
          </w:p>
        </w:tc>
        <w:tc>
          <w:tcPr>
            <w:tcW w:w="7513" w:type="dxa"/>
            <w:tcBorders>
              <w:top w:val="nil"/>
              <w:left w:val="single" w:sz="4" w:space="0" w:color="auto"/>
              <w:bottom w:val="nil"/>
              <w:right w:val="single" w:sz="4" w:space="0" w:color="auto"/>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Groupe des négociateurs africains</w:t>
            </w:r>
          </w:p>
        </w:tc>
      </w:tr>
      <w:tr w:rsidR="005E1E8E" w:rsidRPr="00D1792C" w:rsidTr="005E1E8E">
        <w:tc>
          <w:tcPr>
            <w:tcW w:w="1843" w:type="dxa"/>
            <w:tcBorders>
              <w:top w:val="nil"/>
              <w:left w:val="single" w:sz="4" w:space="0" w:color="auto"/>
              <w:bottom w:val="nil"/>
              <w:right w:val="nil"/>
            </w:tcBorders>
            <w:shd w:val="clear" w:color="auto" w:fill="auto"/>
            <w:vAlign w:val="center"/>
            <w:hideMark/>
          </w:tcPr>
          <w:p w:rsidR="005E1E8E" w:rsidRPr="005E1E8E" w:rsidRDefault="005E1E8E" w:rsidP="005E1E8E">
            <w:pPr>
              <w:spacing w:after="40" w:line="252" w:lineRule="auto"/>
              <w:rPr>
                <w:rFonts w:cs="Arial"/>
                <w:sz w:val="19"/>
                <w:szCs w:val="19"/>
                <w:lang w:val="fr"/>
              </w:rPr>
            </w:pPr>
            <w:proofErr w:type="spellStart"/>
            <w:r w:rsidRPr="005E1E8E">
              <w:rPr>
                <w:rFonts w:cs="Arial"/>
                <w:sz w:val="19"/>
                <w:szCs w:val="19"/>
                <w:lang w:val="fr"/>
              </w:rPr>
              <w:t>Agrhymet</w:t>
            </w:r>
            <w:proofErr w:type="spellEnd"/>
          </w:p>
        </w:tc>
        <w:tc>
          <w:tcPr>
            <w:tcW w:w="7513" w:type="dxa"/>
            <w:tcBorders>
              <w:top w:val="nil"/>
              <w:left w:val="single" w:sz="4" w:space="0" w:color="auto"/>
              <w:bottom w:val="nil"/>
              <w:right w:val="single" w:sz="4" w:space="0" w:color="auto"/>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 xml:space="preserve">Centre régional de formation et d'application en </w:t>
            </w:r>
            <w:proofErr w:type="spellStart"/>
            <w:r w:rsidRPr="005E1E8E">
              <w:rPr>
                <w:rFonts w:cs="Arial"/>
                <w:sz w:val="19"/>
                <w:szCs w:val="19"/>
                <w:lang w:val="fr"/>
              </w:rPr>
              <w:t>agrométéorologie</w:t>
            </w:r>
            <w:proofErr w:type="spellEnd"/>
            <w:r w:rsidRPr="005E1E8E">
              <w:rPr>
                <w:rFonts w:cs="Arial"/>
                <w:sz w:val="19"/>
                <w:szCs w:val="19"/>
                <w:lang w:val="fr"/>
              </w:rPr>
              <w:t xml:space="preserve"> et hydrologie opérationnelle</w:t>
            </w:r>
          </w:p>
        </w:tc>
      </w:tr>
      <w:tr w:rsidR="005E1E8E" w:rsidRPr="00D1792C" w:rsidTr="005E1E8E">
        <w:tc>
          <w:tcPr>
            <w:tcW w:w="1843" w:type="dxa"/>
            <w:tcBorders>
              <w:top w:val="nil"/>
              <w:left w:val="single" w:sz="4" w:space="0" w:color="auto"/>
              <w:bottom w:val="nil"/>
              <w:right w:val="nil"/>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AIC</w:t>
            </w:r>
          </w:p>
        </w:tc>
        <w:tc>
          <w:tcPr>
            <w:tcW w:w="7513" w:type="dxa"/>
            <w:tcBorders>
              <w:top w:val="nil"/>
              <w:left w:val="single" w:sz="4" w:space="0" w:color="auto"/>
              <w:bottom w:val="nil"/>
              <w:right w:val="single" w:sz="4" w:space="0" w:color="auto"/>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Agriculture intelligente face au climat</w:t>
            </w:r>
          </w:p>
        </w:tc>
      </w:tr>
      <w:tr w:rsidR="005E1E8E" w:rsidRPr="00D1792C" w:rsidTr="005E1E8E">
        <w:tc>
          <w:tcPr>
            <w:tcW w:w="1843" w:type="dxa"/>
            <w:tcBorders>
              <w:top w:val="nil"/>
              <w:left w:val="single" w:sz="4" w:space="0" w:color="auto"/>
              <w:bottom w:val="nil"/>
              <w:right w:val="nil"/>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ALAE</w:t>
            </w:r>
          </w:p>
        </w:tc>
        <w:tc>
          <w:tcPr>
            <w:tcW w:w="7513" w:type="dxa"/>
            <w:tcBorders>
              <w:top w:val="nil"/>
              <w:left w:val="single" w:sz="4" w:space="0" w:color="auto"/>
              <w:bottom w:val="nil"/>
              <w:right w:val="single" w:sz="4" w:space="0" w:color="auto"/>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Assemblée législative de l'Afrique de l'Est</w:t>
            </w:r>
          </w:p>
        </w:tc>
      </w:tr>
      <w:tr w:rsidR="005E1E8E" w:rsidRPr="00D1792C" w:rsidTr="005E1E8E">
        <w:tc>
          <w:tcPr>
            <w:tcW w:w="1843" w:type="dxa"/>
            <w:tcBorders>
              <w:top w:val="nil"/>
              <w:left w:val="single" w:sz="4" w:space="0" w:color="auto"/>
              <w:bottom w:val="nil"/>
              <w:right w:val="nil"/>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AMCC</w:t>
            </w:r>
          </w:p>
        </w:tc>
        <w:tc>
          <w:tcPr>
            <w:tcW w:w="7513" w:type="dxa"/>
            <w:tcBorders>
              <w:top w:val="nil"/>
              <w:left w:val="single" w:sz="4" w:space="0" w:color="auto"/>
              <w:bottom w:val="nil"/>
              <w:right w:val="single" w:sz="4" w:space="0" w:color="auto"/>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Alliance mondiale contre le changement climatique</w:t>
            </w:r>
          </w:p>
        </w:tc>
      </w:tr>
      <w:tr w:rsidR="005E1E8E" w:rsidRPr="005E1E8E" w:rsidTr="005E1E8E">
        <w:tc>
          <w:tcPr>
            <w:tcW w:w="1843" w:type="dxa"/>
            <w:tcBorders>
              <w:top w:val="nil"/>
              <w:left w:val="single" w:sz="4" w:space="0" w:color="auto"/>
              <w:bottom w:val="nil"/>
              <w:right w:val="nil"/>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AND</w:t>
            </w:r>
          </w:p>
        </w:tc>
        <w:tc>
          <w:tcPr>
            <w:tcW w:w="7513" w:type="dxa"/>
            <w:tcBorders>
              <w:top w:val="nil"/>
              <w:left w:val="single" w:sz="4" w:space="0" w:color="auto"/>
              <w:bottom w:val="nil"/>
              <w:right w:val="single" w:sz="4" w:space="0" w:color="auto"/>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Autorités nationales désignées</w:t>
            </w:r>
          </w:p>
        </w:tc>
      </w:tr>
      <w:tr w:rsidR="005E1E8E" w:rsidRPr="00D1792C" w:rsidTr="005E1E8E">
        <w:tc>
          <w:tcPr>
            <w:tcW w:w="1843" w:type="dxa"/>
            <w:tcBorders>
              <w:top w:val="nil"/>
              <w:left w:val="single" w:sz="4" w:space="0" w:color="auto"/>
              <w:bottom w:val="nil"/>
              <w:right w:val="nil"/>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AOSIS</w:t>
            </w:r>
          </w:p>
        </w:tc>
        <w:tc>
          <w:tcPr>
            <w:tcW w:w="7513" w:type="dxa"/>
            <w:tcBorders>
              <w:top w:val="nil"/>
              <w:left w:val="single" w:sz="4" w:space="0" w:color="auto"/>
              <w:bottom w:val="nil"/>
              <w:right w:val="single" w:sz="4" w:space="0" w:color="auto"/>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Alliance des petits États insulaires</w:t>
            </w:r>
          </w:p>
        </w:tc>
      </w:tr>
      <w:tr w:rsidR="005E1E8E" w:rsidRPr="005E1E8E" w:rsidTr="005E1E8E">
        <w:tc>
          <w:tcPr>
            <w:tcW w:w="1843" w:type="dxa"/>
            <w:tcBorders>
              <w:top w:val="nil"/>
              <w:left w:val="single" w:sz="4" w:space="0" w:color="auto"/>
              <w:bottom w:val="nil"/>
              <w:right w:val="nil"/>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AT</w:t>
            </w:r>
          </w:p>
        </w:tc>
        <w:tc>
          <w:tcPr>
            <w:tcW w:w="7513" w:type="dxa"/>
            <w:tcBorders>
              <w:top w:val="nil"/>
              <w:left w:val="single" w:sz="4" w:space="0" w:color="auto"/>
              <w:bottom w:val="nil"/>
              <w:right w:val="single" w:sz="4" w:space="0" w:color="auto"/>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Assistance technique</w:t>
            </w:r>
          </w:p>
        </w:tc>
      </w:tr>
      <w:tr w:rsidR="005E1E8E" w:rsidRPr="005E1E8E" w:rsidTr="005E1E8E">
        <w:tc>
          <w:tcPr>
            <w:tcW w:w="1843" w:type="dxa"/>
            <w:tcBorders>
              <w:top w:val="nil"/>
              <w:left w:val="single" w:sz="4" w:space="0" w:color="auto"/>
              <w:bottom w:val="nil"/>
              <w:right w:val="nil"/>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BAD</w:t>
            </w:r>
          </w:p>
        </w:tc>
        <w:tc>
          <w:tcPr>
            <w:tcW w:w="7513" w:type="dxa"/>
            <w:tcBorders>
              <w:top w:val="nil"/>
              <w:left w:val="single" w:sz="4" w:space="0" w:color="auto"/>
              <w:bottom w:val="nil"/>
              <w:right w:val="single" w:sz="4" w:space="0" w:color="auto"/>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Banque africaine de développement</w:t>
            </w:r>
          </w:p>
        </w:tc>
      </w:tr>
      <w:tr w:rsidR="005E1E8E" w:rsidRPr="00D1792C" w:rsidTr="005E1E8E">
        <w:tc>
          <w:tcPr>
            <w:tcW w:w="1843" w:type="dxa"/>
            <w:tcBorders>
              <w:top w:val="nil"/>
              <w:left w:val="single" w:sz="4" w:space="0" w:color="auto"/>
              <w:bottom w:val="nil"/>
              <w:right w:val="nil"/>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CAD</w:t>
            </w:r>
          </w:p>
        </w:tc>
        <w:tc>
          <w:tcPr>
            <w:tcW w:w="7513" w:type="dxa"/>
            <w:tcBorders>
              <w:top w:val="nil"/>
              <w:left w:val="single" w:sz="4" w:space="0" w:color="auto"/>
              <w:bottom w:val="nil"/>
              <w:right w:val="single" w:sz="4" w:space="0" w:color="auto"/>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Comité d'aide au développement (OCDE)</w:t>
            </w:r>
          </w:p>
        </w:tc>
      </w:tr>
      <w:tr w:rsidR="005E1E8E" w:rsidRPr="005E1E8E" w:rsidTr="005E1E8E">
        <w:tc>
          <w:tcPr>
            <w:tcW w:w="1843" w:type="dxa"/>
            <w:tcBorders>
              <w:top w:val="nil"/>
              <w:left w:val="single" w:sz="4" w:space="0" w:color="auto"/>
              <w:bottom w:val="nil"/>
              <w:right w:val="nil"/>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CAE</w:t>
            </w:r>
          </w:p>
        </w:tc>
        <w:tc>
          <w:tcPr>
            <w:tcW w:w="7513" w:type="dxa"/>
            <w:tcBorders>
              <w:top w:val="nil"/>
              <w:left w:val="single" w:sz="4" w:space="0" w:color="auto"/>
              <w:bottom w:val="nil"/>
              <w:right w:val="single" w:sz="4" w:space="0" w:color="auto"/>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Communauté d'Afrique de l'Est</w:t>
            </w:r>
          </w:p>
        </w:tc>
      </w:tr>
      <w:tr w:rsidR="005E1E8E" w:rsidRPr="00D1792C" w:rsidTr="005E1E8E">
        <w:tc>
          <w:tcPr>
            <w:tcW w:w="1843" w:type="dxa"/>
            <w:tcBorders>
              <w:top w:val="nil"/>
              <w:left w:val="single" w:sz="4" w:space="0" w:color="auto"/>
              <w:bottom w:val="nil"/>
              <w:right w:val="nil"/>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CAPC</w:t>
            </w:r>
          </w:p>
        </w:tc>
        <w:tc>
          <w:tcPr>
            <w:tcW w:w="7513" w:type="dxa"/>
            <w:tcBorders>
              <w:top w:val="nil"/>
              <w:left w:val="single" w:sz="4" w:space="0" w:color="auto"/>
              <w:bottom w:val="nil"/>
              <w:right w:val="single" w:sz="4" w:space="0" w:color="auto"/>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Centre africain pour la politique en matière de climat</w:t>
            </w:r>
          </w:p>
        </w:tc>
      </w:tr>
      <w:tr w:rsidR="005E1E8E" w:rsidRPr="00D1792C" w:rsidTr="005E1E8E">
        <w:tc>
          <w:tcPr>
            <w:tcW w:w="1843" w:type="dxa"/>
            <w:tcBorders>
              <w:top w:val="nil"/>
              <w:left w:val="single" w:sz="4" w:space="0" w:color="auto"/>
              <w:bottom w:val="nil"/>
              <w:right w:val="nil"/>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CARICOM</w:t>
            </w:r>
          </w:p>
        </w:tc>
        <w:tc>
          <w:tcPr>
            <w:tcW w:w="7513" w:type="dxa"/>
            <w:tcBorders>
              <w:top w:val="nil"/>
              <w:left w:val="single" w:sz="4" w:space="0" w:color="auto"/>
              <w:bottom w:val="nil"/>
              <w:right w:val="single" w:sz="4" w:space="0" w:color="auto"/>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Secrétariat de la Communauté des Caraïbes</w:t>
            </w:r>
          </w:p>
        </w:tc>
      </w:tr>
      <w:tr w:rsidR="005E1E8E" w:rsidRPr="00D1792C" w:rsidTr="005E1E8E">
        <w:tc>
          <w:tcPr>
            <w:tcW w:w="1843" w:type="dxa"/>
            <w:tcBorders>
              <w:top w:val="nil"/>
              <w:left w:val="single" w:sz="4" w:space="0" w:color="auto"/>
              <w:bottom w:val="nil"/>
              <w:right w:val="nil"/>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CARIFORUM</w:t>
            </w:r>
          </w:p>
        </w:tc>
        <w:tc>
          <w:tcPr>
            <w:tcW w:w="7513" w:type="dxa"/>
            <w:tcBorders>
              <w:top w:val="nil"/>
              <w:left w:val="single" w:sz="4" w:space="0" w:color="auto"/>
              <w:bottom w:val="nil"/>
              <w:right w:val="single" w:sz="4" w:space="0" w:color="auto"/>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Forum des États ACP des Caraïbes</w:t>
            </w:r>
          </w:p>
        </w:tc>
      </w:tr>
      <w:tr w:rsidR="005E1E8E" w:rsidRPr="00D1792C" w:rsidTr="005E1E8E">
        <w:tc>
          <w:tcPr>
            <w:tcW w:w="1843" w:type="dxa"/>
            <w:tcBorders>
              <w:top w:val="nil"/>
              <w:left w:val="single" w:sz="4" w:space="0" w:color="auto"/>
              <w:bottom w:val="nil"/>
              <w:right w:val="nil"/>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CCCCC</w:t>
            </w:r>
          </w:p>
        </w:tc>
        <w:tc>
          <w:tcPr>
            <w:tcW w:w="7513" w:type="dxa"/>
            <w:tcBorders>
              <w:top w:val="nil"/>
              <w:left w:val="single" w:sz="4" w:space="0" w:color="auto"/>
              <w:bottom w:val="nil"/>
              <w:right w:val="single" w:sz="4" w:space="0" w:color="auto"/>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Centre de la Communauté des Caraïbes sur le changement climatique</w:t>
            </w:r>
          </w:p>
        </w:tc>
      </w:tr>
      <w:tr w:rsidR="005E1E8E" w:rsidRPr="00D1792C" w:rsidTr="005E1E8E">
        <w:tc>
          <w:tcPr>
            <w:tcW w:w="1843" w:type="dxa"/>
            <w:tcBorders>
              <w:top w:val="nil"/>
              <w:left w:val="single" w:sz="4" w:space="0" w:color="auto"/>
              <w:bottom w:val="nil"/>
              <w:right w:val="nil"/>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CCCPIR</w:t>
            </w:r>
          </w:p>
        </w:tc>
        <w:tc>
          <w:tcPr>
            <w:tcW w:w="7513" w:type="dxa"/>
            <w:tcBorders>
              <w:top w:val="nil"/>
              <w:left w:val="single" w:sz="4" w:space="0" w:color="auto"/>
              <w:bottom w:val="nil"/>
              <w:right w:val="single" w:sz="4" w:space="0" w:color="auto"/>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Programme pour la gestion du changement climatique dans la région des îles du Pacifique</w:t>
            </w:r>
          </w:p>
        </w:tc>
      </w:tr>
      <w:tr w:rsidR="005E1E8E" w:rsidRPr="00D1792C" w:rsidTr="005E1E8E">
        <w:tc>
          <w:tcPr>
            <w:tcW w:w="1843" w:type="dxa"/>
            <w:tcBorders>
              <w:top w:val="nil"/>
              <w:left w:val="single" w:sz="4" w:space="0" w:color="auto"/>
              <w:bottom w:val="nil"/>
              <w:right w:val="nil"/>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CCNP</w:t>
            </w:r>
          </w:p>
        </w:tc>
        <w:tc>
          <w:tcPr>
            <w:tcW w:w="7513" w:type="dxa"/>
            <w:tcBorders>
              <w:top w:val="nil"/>
              <w:left w:val="single" w:sz="4" w:space="0" w:color="auto"/>
              <w:bottom w:val="nil"/>
              <w:right w:val="single" w:sz="4" w:space="0" w:color="auto"/>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Comités consultatifs nationaux de projet</w:t>
            </w:r>
          </w:p>
        </w:tc>
      </w:tr>
      <w:tr w:rsidR="005E1E8E" w:rsidRPr="00D1792C" w:rsidTr="005E1E8E">
        <w:tc>
          <w:tcPr>
            <w:tcW w:w="1843" w:type="dxa"/>
            <w:tcBorders>
              <w:top w:val="nil"/>
              <w:left w:val="single" w:sz="4" w:space="0" w:color="auto"/>
              <w:bottom w:val="nil"/>
              <w:right w:val="nil"/>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CCNUCC</w:t>
            </w:r>
          </w:p>
        </w:tc>
        <w:tc>
          <w:tcPr>
            <w:tcW w:w="7513" w:type="dxa"/>
            <w:tcBorders>
              <w:top w:val="nil"/>
              <w:left w:val="single" w:sz="4" w:space="0" w:color="auto"/>
              <w:bottom w:val="nil"/>
              <w:right w:val="single" w:sz="4" w:space="0" w:color="auto"/>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Convention-cadre des Nations unies sur les changements climatiques</w:t>
            </w:r>
          </w:p>
        </w:tc>
      </w:tr>
      <w:tr w:rsidR="005E1E8E" w:rsidRPr="00D1792C" w:rsidTr="005E1E8E">
        <w:tc>
          <w:tcPr>
            <w:tcW w:w="1843" w:type="dxa"/>
            <w:tcBorders>
              <w:top w:val="nil"/>
              <w:left w:val="single" w:sz="4" w:space="0" w:color="auto"/>
              <w:bottom w:val="nil"/>
              <w:right w:val="nil"/>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CDAA</w:t>
            </w:r>
          </w:p>
        </w:tc>
        <w:tc>
          <w:tcPr>
            <w:tcW w:w="7513" w:type="dxa"/>
            <w:tcBorders>
              <w:top w:val="nil"/>
              <w:left w:val="single" w:sz="4" w:space="0" w:color="auto"/>
              <w:bottom w:val="nil"/>
              <w:right w:val="single" w:sz="4" w:space="0" w:color="auto"/>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Communauté de développement de l'Afrique australe</w:t>
            </w:r>
          </w:p>
        </w:tc>
      </w:tr>
      <w:tr w:rsidR="005E1E8E" w:rsidRPr="005E1E8E" w:rsidTr="005E1E8E">
        <w:tc>
          <w:tcPr>
            <w:tcW w:w="1843" w:type="dxa"/>
            <w:tcBorders>
              <w:top w:val="nil"/>
              <w:left w:val="single" w:sz="4" w:space="0" w:color="auto"/>
              <w:bottom w:val="nil"/>
              <w:right w:val="nil"/>
            </w:tcBorders>
            <w:shd w:val="clear" w:color="auto" w:fill="auto"/>
            <w:vAlign w:val="center"/>
            <w:hideMark/>
          </w:tcPr>
          <w:p w:rsidR="005E1E8E" w:rsidRPr="005E1E8E" w:rsidRDefault="005E1E8E" w:rsidP="005E1E8E">
            <w:pPr>
              <w:spacing w:after="40" w:line="252" w:lineRule="auto"/>
              <w:rPr>
                <w:rFonts w:cs="Arial"/>
                <w:sz w:val="19"/>
                <w:szCs w:val="19"/>
                <w:lang w:val="fr"/>
              </w:rPr>
            </w:pPr>
            <w:proofErr w:type="spellStart"/>
            <w:r w:rsidRPr="005E1E8E">
              <w:rPr>
                <w:rFonts w:cs="Arial"/>
                <w:sz w:val="19"/>
                <w:szCs w:val="19"/>
                <w:lang w:val="fr"/>
              </w:rPr>
              <w:t>CdP</w:t>
            </w:r>
            <w:proofErr w:type="spellEnd"/>
          </w:p>
        </w:tc>
        <w:tc>
          <w:tcPr>
            <w:tcW w:w="7513" w:type="dxa"/>
            <w:tcBorders>
              <w:top w:val="nil"/>
              <w:left w:val="single" w:sz="4" w:space="0" w:color="auto"/>
              <w:bottom w:val="nil"/>
              <w:right w:val="single" w:sz="4" w:space="0" w:color="auto"/>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 xml:space="preserve">Conférence des parties </w:t>
            </w:r>
          </w:p>
        </w:tc>
      </w:tr>
      <w:tr w:rsidR="005E1E8E" w:rsidRPr="005E1E8E" w:rsidTr="005E1E8E">
        <w:tc>
          <w:tcPr>
            <w:tcW w:w="1843" w:type="dxa"/>
            <w:tcBorders>
              <w:top w:val="nil"/>
              <w:left w:val="single" w:sz="4" w:space="0" w:color="auto"/>
              <w:bottom w:val="nil"/>
              <w:right w:val="nil"/>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CE</w:t>
            </w:r>
          </w:p>
        </w:tc>
        <w:tc>
          <w:tcPr>
            <w:tcW w:w="7513" w:type="dxa"/>
            <w:tcBorders>
              <w:top w:val="nil"/>
              <w:left w:val="single" w:sz="4" w:space="0" w:color="auto"/>
              <w:bottom w:val="nil"/>
              <w:right w:val="single" w:sz="4" w:space="0" w:color="auto"/>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Commission européenne</w:t>
            </w:r>
          </w:p>
        </w:tc>
      </w:tr>
      <w:tr w:rsidR="005E1E8E" w:rsidRPr="00D1792C" w:rsidTr="005E1E8E">
        <w:tc>
          <w:tcPr>
            <w:tcW w:w="1843" w:type="dxa"/>
            <w:tcBorders>
              <w:top w:val="nil"/>
              <w:left w:val="single" w:sz="4" w:space="0" w:color="auto"/>
              <w:bottom w:val="nil"/>
              <w:right w:val="nil"/>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CEA-NU</w:t>
            </w:r>
          </w:p>
        </w:tc>
        <w:tc>
          <w:tcPr>
            <w:tcW w:w="7513" w:type="dxa"/>
            <w:tcBorders>
              <w:top w:val="nil"/>
              <w:left w:val="single" w:sz="4" w:space="0" w:color="auto"/>
              <w:bottom w:val="nil"/>
              <w:right w:val="single" w:sz="4" w:space="0" w:color="auto"/>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Commission économique des Nations unies pour l’Afrique</w:t>
            </w:r>
          </w:p>
        </w:tc>
      </w:tr>
      <w:tr w:rsidR="005E1E8E" w:rsidRPr="00D1792C" w:rsidTr="005E1E8E">
        <w:tc>
          <w:tcPr>
            <w:tcW w:w="1843" w:type="dxa"/>
            <w:tcBorders>
              <w:top w:val="nil"/>
              <w:left w:val="single" w:sz="4" w:space="0" w:color="auto"/>
              <w:bottom w:val="nil"/>
              <w:right w:val="nil"/>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CEDEAO</w:t>
            </w:r>
          </w:p>
        </w:tc>
        <w:tc>
          <w:tcPr>
            <w:tcW w:w="7513" w:type="dxa"/>
            <w:tcBorders>
              <w:top w:val="nil"/>
              <w:left w:val="single" w:sz="4" w:space="0" w:color="auto"/>
              <w:bottom w:val="nil"/>
              <w:right w:val="single" w:sz="4" w:space="0" w:color="auto"/>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Communauté économique des États d'Afrique de l'Ouest</w:t>
            </w:r>
          </w:p>
        </w:tc>
      </w:tr>
      <w:tr w:rsidR="005E1E8E" w:rsidRPr="005E1E8E" w:rsidTr="005E1E8E">
        <w:tc>
          <w:tcPr>
            <w:tcW w:w="1843" w:type="dxa"/>
            <w:tcBorders>
              <w:top w:val="nil"/>
              <w:left w:val="single" w:sz="4" w:space="0" w:color="auto"/>
              <w:bottom w:val="nil"/>
              <w:right w:val="nil"/>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CER</w:t>
            </w:r>
          </w:p>
        </w:tc>
        <w:tc>
          <w:tcPr>
            <w:tcW w:w="7513" w:type="dxa"/>
            <w:tcBorders>
              <w:top w:val="nil"/>
              <w:left w:val="single" w:sz="4" w:space="0" w:color="auto"/>
              <w:bottom w:val="nil"/>
              <w:right w:val="single" w:sz="4" w:space="0" w:color="auto"/>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Commission économique régionale</w:t>
            </w:r>
          </w:p>
        </w:tc>
      </w:tr>
      <w:tr w:rsidR="005E1E8E" w:rsidRPr="00D1792C" w:rsidTr="005E1E8E">
        <w:tc>
          <w:tcPr>
            <w:tcW w:w="1843" w:type="dxa"/>
            <w:tcBorders>
              <w:top w:val="nil"/>
              <w:left w:val="single" w:sz="4" w:space="0" w:color="auto"/>
              <w:bottom w:val="nil"/>
              <w:right w:val="nil"/>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CILSS</w:t>
            </w:r>
          </w:p>
        </w:tc>
        <w:tc>
          <w:tcPr>
            <w:tcW w:w="7513" w:type="dxa"/>
            <w:tcBorders>
              <w:top w:val="nil"/>
              <w:left w:val="single" w:sz="4" w:space="0" w:color="auto"/>
              <w:bottom w:val="nil"/>
              <w:right w:val="single" w:sz="4" w:space="0" w:color="auto"/>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Comité permanent inter-États de lutte contre la sécheresse au Sahel</w:t>
            </w:r>
          </w:p>
        </w:tc>
      </w:tr>
      <w:tr w:rsidR="005E1E8E" w:rsidRPr="005E1E8E" w:rsidTr="005E1E8E">
        <w:tc>
          <w:tcPr>
            <w:tcW w:w="1843" w:type="dxa"/>
            <w:tcBorders>
              <w:top w:val="nil"/>
              <w:left w:val="single" w:sz="4" w:space="0" w:color="auto"/>
              <w:bottom w:val="nil"/>
              <w:right w:val="nil"/>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CO2</w:t>
            </w:r>
          </w:p>
        </w:tc>
        <w:tc>
          <w:tcPr>
            <w:tcW w:w="7513" w:type="dxa"/>
            <w:tcBorders>
              <w:top w:val="nil"/>
              <w:left w:val="single" w:sz="4" w:space="0" w:color="auto"/>
              <w:bottom w:val="nil"/>
              <w:right w:val="single" w:sz="4" w:space="0" w:color="auto"/>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Dioxyde de carbone</w:t>
            </w:r>
          </w:p>
        </w:tc>
      </w:tr>
      <w:tr w:rsidR="005E1E8E" w:rsidRPr="00D1792C" w:rsidTr="005E1E8E">
        <w:tc>
          <w:tcPr>
            <w:tcW w:w="1843" w:type="dxa"/>
            <w:tcBorders>
              <w:top w:val="nil"/>
              <w:left w:val="single" w:sz="4" w:space="0" w:color="auto"/>
              <w:bottom w:val="nil"/>
              <w:right w:val="nil"/>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COMESA</w:t>
            </w:r>
          </w:p>
        </w:tc>
        <w:tc>
          <w:tcPr>
            <w:tcW w:w="7513" w:type="dxa"/>
            <w:tcBorders>
              <w:top w:val="nil"/>
              <w:left w:val="single" w:sz="4" w:space="0" w:color="auto"/>
              <w:bottom w:val="nil"/>
              <w:right w:val="single" w:sz="4" w:space="0" w:color="auto"/>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Marché commun de l’Afrique orientale et australe</w:t>
            </w:r>
          </w:p>
        </w:tc>
      </w:tr>
      <w:tr w:rsidR="005E1E8E" w:rsidRPr="00D1792C" w:rsidTr="005E1E8E">
        <w:tc>
          <w:tcPr>
            <w:tcW w:w="1843" w:type="dxa"/>
            <w:tcBorders>
              <w:top w:val="nil"/>
              <w:left w:val="single" w:sz="4" w:space="0" w:color="auto"/>
              <w:bottom w:val="nil"/>
              <w:right w:val="nil"/>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CPS</w:t>
            </w:r>
          </w:p>
        </w:tc>
        <w:tc>
          <w:tcPr>
            <w:tcW w:w="7513" w:type="dxa"/>
            <w:tcBorders>
              <w:top w:val="nil"/>
              <w:left w:val="single" w:sz="4" w:space="0" w:color="auto"/>
              <w:bottom w:val="nil"/>
              <w:right w:val="single" w:sz="4" w:space="0" w:color="auto"/>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Secrétariat général de la Communauté du Pacifique</w:t>
            </w:r>
          </w:p>
        </w:tc>
      </w:tr>
      <w:tr w:rsidR="005E1E8E" w:rsidRPr="00D1792C" w:rsidTr="005E1E8E">
        <w:tc>
          <w:tcPr>
            <w:tcW w:w="1843" w:type="dxa"/>
            <w:tcBorders>
              <w:top w:val="nil"/>
              <w:left w:val="single" w:sz="4" w:space="0" w:color="auto"/>
              <w:bottom w:val="nil"/>
              <w:right w:val="nil"/>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CREWS</w:t>
            </w:r>
          </w:p>
        </w:tc>
        <w:tc>
          <w:tcPr>
            <w:tcW w:w="7513" w:type="dxa"/>
            <w:tcBorders>
              <w:top w:val="nil"/>
              <w:left w:val="single" w:sz="4" w:space="0" w:color="auto"/>
              <w:bottom w:val="nil"/>
              <w:right w:val="single" w:sz="4" w:space="0" w:color="auto"/>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Système d'alerte précoce pour les récifs coralliens</w:t>
            </w:r>
          </w:p>
        </w:tc>
      </w:tr>
      <w:tr w:rsidR="005E1E8E" w:rsidRPr="00D1792C" w:rsidTr="005E1E8E">
        <w:tc>
          <w:tcPr>
            <w:tcW w:w="1843" w:type="dxa"/>
            <w:tcBorders>
              <w:top w:val="nil"/>
              <w:left w:val="single" w:sz="4" w:space="0" w:color="auto"/>
              <w:bottom w:val="nil"/>
              <w:right w:val="nil"/>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CSF</w:t>
            </w:r>
          </w:p>
        </w:tc>
        <w:tc>
          <w:tcPr>
            <w:tcW w:w="7513" w:type="dxa"/>
            <w:tcBorders>
              <w:top w:val="nil"/>
              <w:left w:val="single" w:sz="4" w:space="0" w:color="auto"/>
              <w:bottom w:val="nil"/>
              <w:right w:val="single" w:sz="4" w:space="0" w:color="auto"/>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Facilité climatique (composante du Programme intra-ACP de l'AMCC)</w:t>
            </w:r>
          </w:p>
        </w:tc>
      </w:tr>
      <w:tr w:rsidR="005E1E8E" w:rsidRPr="005E1E8E" w:rsidTr="005E1E8E">
        <w:tc>
          <w:tcPr>
            <w:tcW w:w="1843" w:type="dxa"/>
            <w:tcBorders>
              <w:top w:val="nil"/>
              <w:left w:val="single" w:sz="4" w:space="0" w:color="auto"/>
              <w:bottom w:val="nil"/>
              <w:right w:val="nil"/>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CUA</w:t>
            </w:r>
          </w:p>
        </w:tc>
        <w:tc>
          <w:tcPr>
            <w:tcW w:w="7513" w:type="dxa"/>
            <w:tcBorders>
              <w:top w:val="nil"/>
              <w:left w:val="single" w:sz="4" w:space="0" w:color="auto"/>
              <w:bottom w:val="nil"/>
              <w:right w:val="single" w:sz="4" w:space="0" w:color="auto"/>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Commission de l'Union africaine</w:t>
            </w:r>
          </w:p>
        </w:tc>
      </w:tr>
      <w:tr w:rsidR="005E1E8E" w:rsidRPr="005E1E8E" w:rsidTr="005E1E8E">
        <w:tc>
          <w:tcPr>
            <w:tcW w:w="1843" w:type="dxa"/>
            <w:tcBorders>
              <w:top w:val="nil"/>
              <w:left w:val="single" w:sz="4" w:space="0" w:color="auto"/>
              <w:bottom w:val="nil"/>
              <w:right w:val="nil"/>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DAV</w:t>
            </w:r>
          </w:p>
        </w:tc>
        <w:tc>
          <w:tcPr>
            <w:tcW w:w="7513" w:type="dxa"/>
            <w:tcBorders>
              <w:top w:val="nil"/>
              <w:left w:val="single" w:sz="4" w:space="0" w:color="auto"/>
              <w:bottom w:val="nil"/>
              <w:right w:val="single" w:sz="4" w:space="0" w:color="auto"/>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Dispositifs d'atténuation des vagues</w:t>
            </w:r>
          </w:p>
        </w:tc>
      </w:tr>
      <w:tr w:rsidR="005E1E8E" w:rsidRPr="00D1792C" w:rsidTr="005E1E8E">
        <w:tc>
          <w:tcPr>
            <w:tcW w:w="1843" w:type="dxa"/>
            <w:tcBorders>
              <w:top w:val="nil"/>
              <w:left w:val="single" w:sz="4" w:space="0" w:color="auto"/>
              <w:bottom w:val="nil"/>
              <w:right w:val="nil"/>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DEVCO</w:t>
            </w:r>
          </w:p>
        </w:tc>
        <w:tc>
          <w:tcPr>
            <w:tcW w:w="7513" w:type="dxa"/>
            <w:tcBorders>
              <w:top w:val="nil"/>
              <w:left w:val="single" w:sz="4" w:space="0" w:color="auto"/>
              <w:bottom w:val="nil"/>
              <w:right w:val="single" w:sz="4" w:space="0" w:color="auto"/>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Direction générale du développement et de la coopération</w:t>
            </w:r>
          </w:p>
        </w:tc>
      </w:tr>
      <w:tr w:rsidR="005E1E8E" w:rsidRPr="00D1792C" w:rsidTr="005E1E8E">
        <w:tc>
          <w:tcPr>
            <w:tcW w:w="1843" w:type="dxa"/>
            <w:tcBorders>
              <w:top w:val="nil"/>
              <w:left w:val="single" w:sz="4" w:space="0" w:color="auto"/>
              <w:bottom w:val="nil"/>
              <w:right w:val="nil"/>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DEVCO C2</w:t>
            </w:r>
          </w:p>
        </w:tc>
        <w:tc>
          <w:tcPr>
            <w:tcW w:w="7513" w:type="dxa"/>
            <w:tcBorders>
              <w:top w:val="nil"/>
              <w:left w:val="single" w:sz="4" w:space="0" w:color="auto"/>
              <w:bottom w:val="nil"/>
              <w:right w:val="single" w:sz="4" w:space="0" w:color="auto"/>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DEVCO – Unité « Changement climatique, environnement, ressources naturelles, eau »</w:t>
            </w:r>
          </w:p>
        </w:tc>
      </w:tr>
      <w:tr w:rsidR="005E1E8E" w:rsidRPr="00D1792C" w:rsidTr="005E1E8E">
        <w:tc>
          <w:tcPr>
            <w:tcW w:w="1843" w:type="dxa"/>
            <w:tcBorders>
              <w:top w:val="nil"/>
              <w:left w:val="single" w:sz="4" w:space="0" w:color="auto"/>
              <w:bottom w:val="nil"/>
              <w:right w:val="nil"/>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DEVCO E3</w:t>
            </w:r>
          </w:p>
        </w:tc>
        <w:tc>
          <w:tcPr>
            <w:tcW w:w="7513" w:type="dxa"/>
            <w:tcBorders>
              <w:top w:val="nil"/>
              <w:left w:val="single" w:sz="4" w:space="0" w:color="auto"/>
              <w:bottom w:val="nil"/>
              <w:right w:val="single" w:sz="4" w:space="0" w:color="auto"/>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DEVCO – Unité « Programmes régionaux pour l'Afrique subsaharienne et les pays ACP »</w:t>
            </w:r>
          </w:p>
        </w:tc>
      </w:tr>
      <w:tr w:rsidR="005E1E8E" w:rsidRPr="00D1792C" w:rsidTr="005E1E8E">
        <w:tc>
          <w:tcPr>
            <w:tcW w:w="1843" w:type="dxa"/>
            <w:tcBorders>
              <w:top w:val="nil"/>
              <w:left w:val="single" w:sz="4" w:space="0" w:color="auto"/>
              <w:bottom w:val="nil"/>
              <w:right w:val="nil"/>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DFID</w:t>
            </w:r>
          </w:p>
        </w:tc>
        <w:tc>
          <w:tcPr>
            <w:tcW w:w="7513" w:type="dxa"/>
            <w:tcBorders>
              <w:top w:val="nil"/>
              <w:left w:val="single" w:sz="4" w:space="0" w:color="auto"/>
              <w:bottom w:val="nil"/>
              <w:right w:val="single" w:sz="4" w:space="0" w:color="auto"/>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Ministère du développement international (Royaume-Uni)</w:t>
            </w:r>
          </w:p>
        </w:tc>
      </w:tr>
      <w:tr w:rsidR="005E1E8E" w:rsidRPr="005E1E8E" w:rsidTr="005E1E8E">
        <w:tc>
          <w:tcPr>
            <w:tcW w:w="1843" w:type="dxa"/>
            <w:tcBorders>
              <w:top w:val="nil"/>
              <w:left w:val="single" w:sz="4" w:space="0" w:color="auto"/>
              <w:bottom w:val="nil"/>
              <w:right w:val="nil"/>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ÉM</w:t>
            </w:r>
          </w:p>
        </w:tc>
        <w:tc>
          <w:tcPr>
            <w:tcW w:w="7513" w:type="dxa"/>
            <w:tcBorders>
              <w:top w:val="nil"/>
              <w:left w:val="single" w:sz="4" w:space="0" w:color="auto"/>
              <w:bottom w:val="nil"/>
              <w:right w:val="single" w:sz="4" w:space="0" w:color="auto"/>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État membre</w:t>
            </w:r>
          </w:p>
        </w:tc>
      </w:tr>
      <w:tr w:rsidR="005E1E8E" w:rsidRPr="005E1E8E" w:rsidTr="005E1E8E">
        <w:tc>
          <w:tcPr>
            <w:tcW w:w="1843" w:type="dxa"/>
            <w:tcBorders>
              <w:top w:val="nil"/>
              <w:left w:val="single" w:sz="4" w:space="0" w:color="auto"/>
              <w:bottom w:val="nil"/>
              <w:right w:val="nil"/>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ER</w:t>
            </w:r>
          </w:p>
        </w:tc>
        <w:tc>
          <w:tcPr>
            <w:tcW w:w="7513" w:type="dxa"/>
            <w:tcBorders>
              <w:top w:val="nil"/>
              <w:left w:val="single" w:sz="4" w:space="0" w:color="auto"/>
              <w:bottom w:val="nil"/>
              <w:right w:val="single" w:sz="4" w:space="0" w:color="auto"/>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Évaluation rapide</w:t>
            </w:r>
          </w:p>
        </w:tc>
      </w:tr>
      <w:tr w:rsidR="005E1E8E" w:rsidRPr="00D1792C" w:rsidTr="005E1E8E">
        <w:tc>
          <w:tcPr>
            <w:tcW w:w="1843" w:type="dxa"/>
            <w:tcBorders>
              <w:top w:val="nil"/>
              <w:left w:val="single" w:sz="4" w:space="0" w:color="auto"/>
              <w:bottom w:val="nil"/>
              <w:right w:val="nil"/>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EVC</w:t>
            </w:r>
          </w:p>
        </w:tc>
        <w:tc>
          <w:tcPr>
            <w:tcW w:w="7513" w:type="dxa"/>
            <w:tcBorders>
              <w:top w:val="nil"/>
              <w:left w:val="single" w:sz="4" w:space="0" w:color="auto"/>
              <w:bottom w:val="nil"/>
              <w:right w:val="single" w:sz="4" w:space="0" w:color="auto"/>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Évaluation de la vulnérabilité et des capacités</w:t>
            </w:r>
          </w:p>
        </w:tc>
      </w:tr>
      <w:tr w:rsidR="005E1E8E" w:rsidRPr="00D1792C" w:rsidTr="005E1E8E">
        <w:tc>
          <w:tcPr>
            <w:tcW w:w="1843" w:type="dxa"/>
            <w:tcBorders>
              <w:top w:val="nil"/>
              <w:left w:val="single" w:sz="4" w:space="0" w:color="auto"/>
              <w:bottom w:val="nil"/>
              <w:right w:val="nil"/>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FAO</w:t>
            </w:r>
          </w:p>
        </w:tc>
        <w:tc>
          <w:tcPr>
            <w:tcW w:w="7513" w:type="dxa"/>
            <w:tcBorders>
              <w:top w:val="nil"/>
              <w:left w:val="single" w:sz="4" w:space="0" w:color="auto"/>
              <w:bottom w:val="nil"/>
              <w:right w:val="single" w:sz="4" w:space="0" w:color="auto"/>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 xml:space="preserve">Organisation des Nations Unies pour l'alimentation et l'agriculture </w:t>
            </w:r>
          </w:p>
        </w:tc>
      </w:tr>
      <w:tr w:rsidR="005E1E8E" w:rsidRPr="005E1E8E" w:rsidTr="005E1E8E">
        <w:tc>
          <w:tcPr>
            <w:tcW w:w="1843" w:type="dxa"/>
            <w:tcBorders>
              <w:top w:val="nil"/>
              <w:left w:val="single" w:sz="4" w:space="0" w:color="auto"/>
              <w:bottom w:val="nil"/>
              <w:right w:val="nil"/>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FED</w:t>
            </w:r>
          </w:p>
        </w:tc>
        <w:tc>
          <w:tcPr>
            <w:tcW w:w="7513" w:type="dxa"/>
            <w:tcBorders>
              <w:top w:val="nil"/>
              <w:left w:val="single" w:sz="4" w:space="0" w:color="auto"/>
              <w:bottom w:val="nil"/>
              <w:right w:val="single" w:sz="4" w:space="0" w:color="auto"/>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Fonds européen de développement</w:t>
            </w:r>
          </w:p>
        </w:tc>
      </w:tr>
      <w:tr w:rsidR="005E1E8E" w:rsidRPr="00D1792C" w:rsidTr="005E1E8E">
        <w:tc>
          <w:tcPr>
            <w:tcW w:w="1843" w:type="dxa"/>
            <w:tcBorders>
              <w:top w:val="nil"/>
              <w:left w:val="single" w:sz="4" w:space="0" w:color="auto"/>
              <w:bottom w:val="nil"/>
              <w:right w:val="nil"/>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FFEM-CC</w:t>
            </w:r>
          </w:p>
        </w:tc>
        <w:tc>
          <w:tcPr>
            <w:tcW w:w="7513" w:type="dxa"/>
            <w:tcBorders>
              <w:top w:val="nil"/>
              <w:left w:val="single" w:sz="4" w:space="0" w:color="auto"/>
              <w:bottom w:val="nil"/>
              <w:right w:val="single" w:sz="4" w:space="0" w:color="auto"/>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Projet du Fonds français pour l'environnement mondial dans le domaine du changement clim</w:t>
            </w:r>
            <w:r w:rsidRPr="005E1E8E">
              <w:rPr>
                <w:rFonts w:cs="Arial"/>
                <w:sz w:val="19"/>
                <w:szCs w:val="19"/>
                <w:lang w:val="fr"/>
              </w:rPr>
              <w:t>a</w:t>
            </w:r>
            <w:r w:rsidRPr="005E1E8E">
              <w:rPr>
                <w:rFonts w:cs="Arial"/>
                <w:sz w:val="19"/>
                <w:szCs w:val="19"/>
                <w:lang w:val="fr"/>
              </w:rPr>
              <w:t>tique</w:t>
            </w:r>
          </w:p>
        </w:tc>
      </w:tr>
      <w:tr w:rsidR="005E1E8E" w:rsidRPr="005E1E8E" w:rsidTr="005E1E8E">
        <w:tc>
          <w:tcPr>
            <w:tcW w:w="1843" w:type="dxa"/>
            <w:tcBorders>
              <w:top w:val="nil"/>
              <w:left w:val="single" w:sz="4" w:space="0" w:color="auto"/>
              <w:bottom w:val="nil"/>
              <w:right w:val="nil"/>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FSCD</w:t>
            </w:r>
          </w:p>
        </w:tc>
        <w:tc>
          <w:tcPr>
            <w:tcW w:w="7513" w:type="dxa"/>
            <w:tcBorders>
              <w:top w:val="nil"/>
              <w:left w:val="single" w:sz="4" w:space="0" w:color="auto"/>
              <w:bottom w:val="nil"/>
              <w:right w:val="single" w:sz="4" w:space="0" w:color="auto"/>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 xml:space="preserve">Fonds spécial </w:t>
            </w:r>
            <w:proofErr w:type="spellStart"/>
            <w:r w:rsidRPr="005E1E8E">
              <w:rPr>
                <w:rFonts w:cs="Arial"/>
                <w:sz w:val="19"/>
                <w:szCs w:val="19"/>
                <w:lang w:val="fr"/>
              </w:rPr>
              <w:t>ClimDev</w:t>
            </w:r>
            <w:proofErr w:type="spellEnd"/>
            <w:r w:rsidRPr="005E1E8E">
              <w:rPr>
                <w:rFonts w:cs="Arial"/>
                <w:sz w:val="19"/>
                <w:szCs w:val="19"/>
                <w:lang w:val="fr"/>
              </w:rPr>
              <w:t>-Afrique</w:t>
            </w:r>
          </w:p>
        </w:tc>
      </w:tr>
      <w:tr w:rsidR="005E1E8E" w:rsidRPr="00D1792C" w:rsidTr="005E1E8E">
        <w:tc>
          <w:tcPr>
            <w:tcW w:w="1843" w:type="dxa"/>
            <w:tcBorders>
              <w:top w:val="nil"/>
              <w:left w:val="single" w:sz="4" w:space="0" w:color="auto"/>
              <w:bottom w:val="nil"/>
              <w:right w:val="nil"/>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FSF</w:t>
            </w:r>
          </w:p>
        </w:tc>
        <w:tc>
          <w:tcPr>
            <w:tcW w:w="7513" w:type="dxa"/>
            <w:tcBorders>
              <w:top w:val="nil"/>
              <w:left w:val="single" w:sz="4" w:space="0" w:color="auto"/>
              <w:bottom w:val="nil"/>
              <w:right w:val="single" w:sz="4" w:space="0" w:color="auto"/>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Financement à mise en œuvre rapide</w:t>
            </w:r>
          </w:p>
        </w:tc>
      </w:tr>
      <w:tr w:rsidR="005E1E8E" w:rsidRPr="00D1792C" w:rsidTr="005E1E8E">
        <w:tc>
          <w:tcPr>
            <w:tcW w:w="1843" w:type="dxa"/>
            <w:tcBorders>
              <w:top w:val="nil"/>
              <w:left w:val="single" w:sz="4" w:space="0" w:color="auto"/>
              <w:bottom w:val="nil"/>
              <w:right w:val="nil"/>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GES</w:t>
            </w:r>
          </w:p>
        </w:tc>
        <w:tc>
          <w:tcPr>
            <w:tcW w:w="7513" w:type="dxa"/>
            <w:tcBorders>
              <w:top w:val="nil"/>
              <w:left w:val="single" w:sz="4" w:space="0" w:color="auto"/>
              <w:bottom w:val="nil"/>
              <w:right w:val="single" w:sz="4" w:space="0" w:color="auto"/>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Gaz à effet de serre</w:t>
            </w:r>
          </w:p>
        </w:tc>
      </w:tr>
      <w:tr w:rsidR="005E1E8E" w:rsidRPr="00D1792C" w:rsidTr="005E1E8E">
        <w:tc>
          <w:tcPr>
            <w:tcW w:w="1843" w:type="dxa"/>
            <w:tcBorders>
              <w:top w:val="nil"/>
              <w:left w:val="single" w:sz="4" w:space="0" w:color="auto"/>
              <w:bottom w:val="nil"/>
              <w:right w:val="nil"/>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GIEC</w:t>
            </w:r>
          </w:p>
        </w:tc>
        <w:tc>
          <w:tcPr>
            <w:tcW w:w="7513" w:type="dxa"/>
            <w:tcBorders>
              <w:top w:val="nil"/>
              <w:left w:val="single" w:sz="4" w:space="0" w:color="auto"/>
              <w:bottom w:val="nil"/>
              <w:right w:val="single" w:sz="4" w:space="0" w:color="auto"/>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Groupe d'experts intergouvernemental sur l'évolution du climat</w:t>
            </w:r>
          </w:p>
        </w:tc>
      </w:tr>
      <w:tr w:rsidR="005E1E8E" w:rsidRPr="00D1792C" w:rsidTr="005E1E8E">
        <w:tc>
          <w:tcPr>
            <w:tcW w:w="1843" w:type="dxa"/>
            <w:tcBorders>
              <w:top w:val="nil"/>
              <w:left w:val="single" w:sz="4" w:space="0" w:color="auto"/>
              <w:bottom w:val="nil"/>
              <w:right w:val="nil"/>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lastRenderedPageBreak/>
              <w:t>GLACC</w:t>
            </w:r>
          </w:p>
        </w:tc>
        <w:tc>
          <w:tcPr>
            <w:tcW w:w="7513" w:type="dxa"/>
            <w:tcBorders>
              <w:top w:val="nil"/>
              <w:left w:val="single" w:sz="4" w:space="0" w:color="auto"/>
              <w:bottom w:val="nil"/>
              <w:right w:val="single" w:sz="4" w:space="0" w:color="auto"/>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Gestion locale de l'adaptation au changement climatique</w:t>
            </w:r>
          </w:p>
        </w:tc>
      </w:tr>
      <w:tr w:rsidR="005E1E8E" w:rsidRPr="00D1792C" w:rsidTr="005E1E8E">
        <w:tc>
          <w:tcPr>
            <w:tcW w:w="1843" w:type="dxa"/>
            <w:tcBorders>
              <w:top w:val="nil"/>
              <w:left w:val="single" w:sz="4" w:space="0" w:color="auto"/>
              <w:bottom w:val="nil"/>
              <w:right w:val="nil"/>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GMT</w:t>
            </w:r>
          </w:p>
        </w:tc>
        <w:tc>
          <w:tcPr>
            <w:tcW w:w="7513" w:type="dxa"/>
            <w:tcBorders>
              <w:top w:val="nil"/>
              <w:left w:val="single" w:sz="4" w:space="0" w:color="auto"/>
              <w:bottom w:val="nil"/>
              <w:right w:val="single" w:sz="4" w:space="0" w:color="auto"/>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Générateurs modulaires de turbulences pour récifs artificiels</w:t>
            </w:r>
          </w:p>
        </w:tc>
      </w:tr>
      <w:tr w:rsidR="005E1E8E" w:rsidRPr="00D1792C" w:rsidTr="005E1E8E">
        <w:tc>
          <w:tcPr>
            <w:tcW w:w="1843" w:type="dxa"/>
            <w:tcBorders>
              <w:top w:val="nil"/>
              <w:left w:val="single" w:sz="4" w:space="0" w:color="auto"/>
              <w:bottom w:val="nil"/>
              <w:right w:val="nil"/>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GRC</w:t>
            </w:r>
          </w:p>
        </w:tc>
        <w:tc>
          <w:tcPr>
            <w:tcW w:w="7513" w:type="dxa"/>
            <w:tcBorders>
              <w:top w:val="nil"/>
              <w:left w:val="single" w:sz="4" w:space="0" w:color="auto"/>
              <w:bottom w:val="nil"/>
              <w:right w:val="single" w:sz="4" w:space="0" w:color="auto"/>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Gestion des risques de catastrophes</w:t>
            </w:r>
          </w:p>
        </w:tc>
      </w:tr>
      <w:tr w:rsidR="005E1E8E" w:rsidRPr="00D1792C" w:rsidTr="005E1E8E">
        <w:tc>
          <w:tcPr>
            <w:tcW w:w="1843" w:type="dxa"/>
            <w:tcBorders>
              <w:top w:val="nil"/>
              <w:left w:val="single" w:sz="4" w:space="0" w:color="auto"/>
              <w:bottom w:val="nil"/>
              <w:right w:val="nil"/>
            </w:tcBorders>
            <w:shd w:val="clear" w:color="auto" w:fill="auto"/>
            <w:vAlign w:val="center"/>
            <w:hideMark/>
          </w:tcPr>
          <w:p w:rsidR="005E1E8E" w:rsidRPr="005E1E8E" w:rsidRDefault="005E1E8E" w:rsidP="005E1E8E">
            <w:pPr>
              <w:spacing w:after="40" w:line="252" w:lineRule="auto"/>
              <w:rPr>
                <w:rFonts w:cs="Arial"/>
                <w:sz w:val="19"/>
                <w:szCs w:val="19"/>
                <w:lang w:val="fr"/>
              </w:rPr>
            </w:pPr>
            <w:proofErr w:type="spellStart"/>
            <w:r w:rsidRPr="005E1E8E">
              <w:rPr>
                <w:rFonts w:cs="Arial"/>
                <w:sz w:val="19"/>
                <w:szCs w:val="19"/>
                <w:lang w:val="fr"/>
              </w:rPr>
              <w:t>GrEC</w:t>
            </w:r>
            <w:proofErr w:type="spellEnd"/>
          </w:p>
        </w:tc>
        <w:tc>
          <w:tcPr>
            <w:tcW w:w="7513" w:type="dxa"/>
            <w:tcBorders>
              <w:top w:val="nil"/>
              <w:left w:val="single" w:sz="4" w:space="0" w:color="auto"/>
              <w:bottom w:val="nil"/>
              <w:right w:val="single" w:sz="4" w:space="0" w:color="auto"/>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Groupe d'études climatiques de l'université des Indes occidentales de Jamaïque</w:t>
            </w:r>
          </w:p>
        </w:tc>
      </w:tr>
      <w:tr w:rsidR="005E1E8E" w:rsidRPr="00D1792C" w:rsidTr="005E1E8E">
        <w:tc>
          <w:tcPr>
            <w:tcW w:w="1843" w:type="dxa"/>
            <w:tcBorders>
              <w:top w:val="nil"/>
              <w:left w:val="single" w:sz="4" w:space="0" w:color="auto"/>
              <w:bottom w:val="nil"/>
              <w:right w:val="nil"/>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IACC</w:t>
            </w:r>
          </w:p>
        </w:tc>
        <w:tc>
          <w:tcPr>
            <w:tcW w:w="7513" w:type="dxa"/>
            <w:tcBorders>
              <w:top w:val="nil"/>
              <w:left w:val="single" w:sz="4" w:space="0" w:color="auto"/>
              <w:bottom w:val="nil"/>
              <w:right w:val="single" w:sz="4" w:space="0" w:color="auto"/>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Intégration de l'adaptation au changement climatique</w:t>
            </w:r>
          </w:p>
        </w:tc>
      </w:tr>
      <w:tr w:rsidR="005E1E8E" w:rsidRPr="005E1E8E" w:rsidTr="005E1E8E">
        <w:tc>
          <w:tcPr>
            <w:tcW w:w="1843" w:type="dxa"/>
            <w:tcBorders>
              <w:top w:val="nil"/>
              <w:left w:val="single" w:sz="4" w:space="0" w:color="auto"/>
              <w:bottom w:val="nil"/>
              <w:right w:val="nil"/>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INSMET</w:t>
            </w:r>
          </w:p>
        </w:tc>
        <w:tc>
          <w:tcPr>
            <w:tcW w:w="7513" w:type="dxa"/>
            <w:tcBorders>
              <w:top w:val="nil"/>
              <w:left w:val="single" w:sz="4" w:space="0" w:color="auto"/>
              <w:bottom w:val="nil"/>
              <w:right w:val="single" w:sz="4" w:space="0" w:color="auto"/>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Institut de météorologie (Cuba)</w:t>
            </w:r>
          </w:p>
        </w:tc>
      </w:tr>
      <w:tr w:rsidR="005E1E8E" w:rsidRPr="00D1792C" w:rsidTr="005E1E8E">
        <w:tc>
          <w:tcPr>
            <w:tcW w:w="1843" w:type="dxa"/>
            <w:tcBorders>
              <w:top w:val="nil"/>
              <w:left w:val="single" w:sz="4" w:space="0" w:color="auto"/>
              <w:bottom w:val="nil"/>
              <w:right w:val="nil"/>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IRI</w:t>
            </w:r>
          </w:p>
        </w:tc>
        <w:tc>
          <w:tcPr>
            <w:tcW w:w="7513" w:type="dxa"/>
            <w:tcBorders>
              <w:top w:val="nil"/>
              <w:left w:val="single" w:sz="4" w:space="0" w:color="auto"/>
              <w:bottom w:val="nil"/>
              <w:right w:val="single" w:sz="4" w:space="0" w:color="auto"/>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Institut international de recherche pour le climat et la société</w:t>
            </w:r>
          </w:p>
        </w:tc>
      </w:tr>
      <w:tr w:rsidR="005E1E8E" w:rsidRPr="00D1792C" w:rsidTr="005E1E8E">
        <w:tc>
          <w:tcPr>
            <w:tcW w:w="1843" w:type="dxa"/>
            <w:tcBorders>
              <w:top w:val="nil"/>
              <w:left w:val="single" w:sz="4" w:space="0" w:color="auto"/>
              <w:bottom w:val="nil"/>
              <w:right w:val="nil"/>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MAAN</w:t>
            </w:r>
          </w:p>
        </w:tc>
        <w:tc>
          <w:tcPr>
            <w:tcW w:w="7513" w:type="dxa"/>
            <w:tcBorders>
              <w:top w:val="nil"/>
              <w:left w:val="single" w:sz="4" w:space="0" w:color="auto"/>
              <w:bottom w:val="nil"/>
              <w:right w:val="single" w:sz="4" w:space="0" w:color="auto"/>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Mesures d'atténuation appropriées au niveau national</w:t>
            </w:r>
          </w:p>
        </w:tc>
      </w:tr>
      <w:tr w:rsidR="005E1E8E" w:rsidRPr="005E1E8E" w:rsidTr="005E1E8E">
        <w:tc>
          <w:tcPr>
            <w:tcW w:w="1843" w:type="dxa"/>
            <w:tcBorders>
              <w:top w:val="nil"/>
              <w:left w:val="single" w:sz="4" w:space="0" w:color="auto"/>
              <w:bottom w:val="nil"/>
              <w:right w:val="nil"/>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MDP</w:t>
            </w:r>
          </w:p>
        </w:tc>
        <w:tc>
          <w:tcPr>
            <w:tcW w:w="7513" w:type="dxa"/>
            <w:tcBorders>
              <w:top w:val="nil"/>
              <w:left w:val="single" w:sz="4" w:space="0" w:color="auto"/>
              <w:bottom w:val="nil"/>
              <w:right w:val="single" w:sz="4" w:space="0" w:color="auto"/>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Mécanisme de développement propre</w:t>
            </w:r>
          </w:p>
        </w:tc>
      </w:tr>
      <w:tr w:rsidR="005E1E8E" w:rsidRPr="005E1E8E" w:rsidTr="005E1E8E">
        <w:tc>
          <w:tcPr>
            <w:tcW w:w="1843" w:type="dxa"/>
            <w:tcBorders>
              <w:top w:val="nil"/>
              <w:left w:val="single" w:sz="4" w:space="0" w:color="auto"/>
              <w:bottom w:val="nil"/>
              <w:right w:val="nil"/>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NCG</w:t>
            </w:r>
          </w:p>
        </w:tc>
        <w:tc>
          <w:tcPr>
            <w:tcW w:w="7513" w:type="dxa"/>
            <w:tcBorders>
              <w:top w:val="nil"/>
              <w:left w:val="single" w:sz="4" w:space="0" w:color="auto"/>
              <w:bottom w:val="nil"/>
              <w:right w:val="single" w:sz="4" w:space="0" w:color="auto"/>
            </w:tcBorders>
            <w:shd w:val="clear" w:color="auto" w:fill="auto"/>
            <w:vAlign w:val="center"/>
            <w:hideMark/>
          </w:tcPr>
          <w:p w:rsidR="005E1E8E" w:rsidRPr="005E1E8E" w:rsidRDefault="005E1E8E" w:rsidP="005E1E8E">
            <w:pPr>
              <w:spacing w:after="40" w:line="252" w:lineRule="auto"/>
              <w:rPr>
                <w:rFonts w:cs="Arial"/>
                <w:sz w:val="19"/>
                <w:szCs w:val="19"/>
                <w:lang w:val="fr"/>
              </w:rPr>
            </w:pPr>
            <w:proofErr w:type="spellStart"/>
            <w:r w:rsidRPr="005E1E8E">
              <w:rPr>
                <w:rFonts w:cs="Arial"/>
                <w:sz w:val="19"/>
                <w:szCs w:val="19"/>
                <w:lang w:val="fr"/>
              </w:rPr>
              <w:t>Nordic</w:t>
            </w:r>
            <w:proofErr w:type="spellEnd"/>
            <w:r w:rsidRPr="005E1E8E">
              <w:rPr>
                <w:rFonts w:cs="Arial"/>
                <w:sz w:val="19"/>
                <w:szCs w:val="19"/>
                <w:lang w:val="fr"/>
              </w:rPr>
              <w:t xml:space="preserve"> Consulting Group</w:t>
            </w:r>
          </w:p>
        </w:tc>
      </w:tr>
      <w:tr w:rsidR="005E1E8E" w:rsidRPr="00D1792C" w:rsidTr="005E1E8E">
        <w:tc>
          <w:tcPr>
            <w:tcW w:w="1843" w:type="dxa"/>
            <w:tcBorders>
              <w:top w:val="nil"/>
              <w:left w:val="single" w:sz="4" w:space="0" w:color="auto"/>
              <w:bottom w:val="nil"/>
              <w:right w:val="nil"/>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NECJOGHA</w:t>
            </w:r>
          </w:p>
        </w:tc>
        <w:tc>
          <w:tcPr>
            <w:tcW w:w="7513" w:type="dxa"/>
            <w:tcBorders>
              <w:top w:val="nil"/>
              <w:left w:val="single" w:sz="4" w:space="0" w:color="auto"/>
              <w:bottom w:val="nil"/>
              <w:right w:val="single" w:sz="4" w:space="0" w:color="auto"/>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Réseau des journalistes spécialisés dans les questions climatiques dans la grande Corne de l'Afrique</w:t>
            </w:r>
          </w:p>
        </w:tc>
      </w:tr>
      <w:tr w:rsidR="005E1E8E" w:rsidRPr="00D1792C" w:rsidTr="005E1E8E">
        <w:tc>
          <w:tcPr>
            <w:tcW w:w="1843" w:type="dxa"/>
            <w:tcBorders>
              <w:top w:val="nil"/>
              <w:left w:val="single" w:sz="4" w:space="0" w:color="auto"/>
              <w:bottom w:val="nil"/>
              <w:right w:val="nil"/>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NEPAD</w:t>
            </w:r>
          </w:p>
        </w:tc>
        <w:tc>
          <w:tcPr>
            <w:tcW w:w="7513" w:type="dxa"/>
            <w:tcBorders>
              <w:top w:val="nil"/>
              <w:left w:val="single" w:sz="4" w:space="0" w:color="auto"/>
              <w:bottom w:val="nil"/>
              <w:right w:val="single" w:sz="4" w:space="0" w:color="auto"/>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Nouveau partenariat pour le développement de l'Afrique</w:t>
            </w:r>
          </w:p>
        </w:tc>
      </w:tr>
      <w:tr w:rsidR="005E1E8E" w:rsidRPr="00D1792C" w:rsidTr="005E1E8E">
        <w:tc>
          <w:tcPr>
            <w:tcW w:w="1843" w:type="dxa"/>
            <w:tcBorders>
              <w:top w:val="nil"/>
              <w:left w:val="single" w:sz="4" w:space="0" w:color="auto"/>
              <w:bottom w:val="nil"/>
              <w:right w:val="nil"/>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NOAA</w:t>
            </w:r>
          </w:p>
        </w:tc>
        <w:tc>
          <w:tcPr>
            <w:tcW w:w="7513" w:type="dxa"/>
            <w:tcBorders>
              <w:top w:val="nil"/>
              <w:left w:val="single" w:sz="4" w:space="0" w:color="auto"/>
              <w:bottom w:val="nil"/>
              <w:right w:val="single" w:sz="4" w:space="0" w:color="auto"/>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Agence américaine d'observation océanique et atmosphérique</w:t>
            </w:r>
          </w:p>
        </w:tc>
      </w:tr>
      <w:tr w:rsidR="005E1E8E" w:rsidRPr="00D1792C" w:rsidTr="005E1E8E">
        <w:tc>
          <w:tcPr>
            <w:tcW w:w="1843" w:type="dxa"/>
            <w:tcBorders>
              <w:top w:val="nil"/>
              <w:left w:val="single" w:sz="4" w:space="0" w:color="auto"/>
              <w:bottom w:val="nil"/>
              <w:right w:val="nil"/>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OECO</w:t>
            </w:r>
          </w:p>
        </w:tc>
        <w:tc>
          <w:tcPr>
            <w:tcW w:w="7513" w:type="dxa"/>
            <w:tcBorders>
              <w:top w:val="nil"/>
              <w:left w:val="single" w:sz="4" w:space="0" w:color="auto"/>
              <w:bottom w:val="nil"/>
              <w:right w:val="single" w:sz="4" w:space="0" w:color="auto"/>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Organisation des États des Caraïbes orientales</w:t>
            </w:r>
          </w:p>
        </w:tc>
      </w:tr>
      <w:tr w:rsidR="005E1E8E" w:rsidRPr="00D1792C" w:rsidTr="005E1E8E">
        <w:tc>
          <w:tcPr>
            <w:tcW w:w="1843" w:type="dxa"/>
            <w:tcBorders>
              <w:top w:val="nil"/>
              <w:left w:val="single" w:sz="4" w:space="0" w:color="auto"/>
              <w:bottom w:val="nil"/>
              <w:right w:val="nil"/>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OMD</w:t>
            </w:r>
          </w:p>
        </w:tc>
        <w:tc>
          <w:tcPr>
            <w:tcW w:w="7513" w:type="dxa"/>
            <w:tcBorders>
              <w:top w:val="nil"/>
              <w:left w:val="single" w:sz="4" w:space="0" w:color="auto"/>
              <w:bottom w:val="nil"/>
              <w:right w:val="single" w:sz="4" w:space="0" w:color="auto"/>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Objectifs du Millénaire pour le développement</w:t>
            </w:r>
          </w:p>
        </w:tc>
      </w:tr>
      <w:tr w:rsidR="005E1E8E" w:rsidRPr="005E1E8E" w:rsidTr="005E1E8E">
        <w:tc>
          <w:tcPr>
            <w:tcW w:w="1843" w:type="dxa"/>
            <w:tcBorders>
              <w:top w:val="nil"/>
              <w:left w:val="single" w:sz="4" w:space="0" w:color="auto"/>
              <w:bottom w:val="nil"/>
              <w:right w:val="nil"/>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OMM</w:t>
            </w:r>
          </w:p>
        </w:tc>
        <w:tc>
          <w:tcPr>
            <w:tcW w:w="7513" w:type="dxa"/>
            <w:tcBorders>
              <w:top w:val="nil"/>
              <w:left w:val="single" w:sz="4" w:space="0" w:color="auto"/>
              <w:bottom w:val="nil"/>
              <w:right w:val="single" w:sz="4" w:space="0" w:color="auto"/>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Organisation météorologique mondiale</w:t>
            </w:r>
          </w:p>
        </w:tc>
      </w:tr>
      <w:tr w:rsidR="005E1E8E" w:rsidRPr="005E1E8E" w:rsidTr="005E1E8E">
        <w:tc>
          <w:tcPr>
            <w:tcW w:w="1843" w:type="dxa"/>
            <w:tcBorders>
              <w:top w:val="nil"/>
              <w:left w:val="single" w:sz="4" w:space="0" w:color="auto"/>
              <w:bottom w:val="nil"/>
              <w:right w:val="nil"/>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ONG</w:t>
            </w:r>
          </w:p>
        </w:tc>
        <w:tc>
          <w:tcPr>
            <w:tcW w:w="7513" w:type="dxa"/>
            <w:tcBorders>
              <w:top w:val="nil"/>
              <w:left w:val="single" w:sz="4" w:space="0" w:color="auto"/>
              <w:bottom w:val="nil"/>
              <w:right w:val="single" w:sz="4" w:space="0" w:color="auto"/>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Organisations non gouvernementales</w:t>
            </w:r>
          </w:p>
        </w:tc>
      </w:tr>
      <w:tr w:rsidR="005E1E8E" w:rsidRPr="005E1E8E" w:rsidTr="005E1E8E">
        <w:tc>
          <w:tcPr>
            <w:tcW w:w="1843" w:type="dxa"/>
            <w:tcBorders>
              <w:top w:val="nil"/>
              <w:left w:val="single" w:sz="4" w:space="0" w:color="auto"/>
              <w:bottom w:val="nil"/>
              <w:right w:val="nil"/>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ONU</w:t>
            </w:r>
          </w:p>
        </w:tc>
        <w:tc>
          <w:tcPr>
            <w:tcW w:w="7513" w:type="dxa"/>
            <w:tcBorders>
              <w:top w:val="nil"/>
              <w:left w:val="single" w:sz="4" w:space="0" w:color="auto"/>
              <w:bottom w:val="nil"/>
              <w:right w:val="single" w:sz="4" w:space="0" w:color="auto"/>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Organisation des Nations unies</w:t>
            </w:r>
          </w:p>
        </w:tc>
      </w:tr>
      <w:tr w:rsidR="005E1E8E" w:rsidRPr="00D1792C" w:rsidTr="005E1E8E">
        <w:tc>
          <w:tcPr>
            <w:tcW w:w="1843" w:type="dxa"/>
            <w:tcBorders>
              <w:top w:val="nil"/>
              <w:left w:val="single" w:sz="4" w:space="0" w:color="auto"/>
              <w:bottom w:val="nil"/>
              <w:right w:val="nil"/>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PACC</w:t>
            </w:r>
          </w:p>
        </w:tc>
        <w:tc>
          <w:tcPr>
            <w:tcW w:w="7513" w:type="dxa"/>
            <w:tcBorders>
              <w:top w:val="nil"/>
              <w:left w:val="single" w:sz="4" w:space="0" w:color="auto"/>
              <w:bottom w:val="nil"/>
              <w:right w:val="single" w:sz="4" w:space="0" w:color="auto"/>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Projet d'adaptation au changement climatique (financé par l'USAID)</w:t>
            </w:r>
          </w:p>
        </w:tc>
      </w:tr>
      <w:tr w:rsidR="005E1E8E" w:rsidRPr="00D1792C" w:rsidTr="005E1E8E">
        <w:tc>
          <w:tcPr>
            <w:tcW w:w="1843" w:type="dxa"/>
            <w:tcBorders>
              <w:top w:val="nil"/>
              <w:left w:val="single" w:sz="4" w:space="0" w:color="auto"/>
              <w:bottom w:val="nil"/>
              <w:right w:val="nil"/>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PACE-SD</w:t>
            </w:r>
          </w:p>
        </w:tc>
        <w:tc>
          <w:tcPr>
            <w:tcW w:w="7513" w:type="dxa"/>
            <w:tcBorders>
              <w:top w:val="nil"/>
              <w:left w:val="single" w:sz="4" w:space="0" w:color="auto"/>
              <w:bottom w:val="nil"/>
              <w:right w:val="single" w:sz="4" w:space="0" w:color="auto"/>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Centre du Pacifique pour l'environnement et le développement durable</w:t>
            </w:r>
          </w:p>
        </w:tc>
      </w:tr>
      <w:tr w:rsidR="005E1E8E" w:rsidRPr="00D1792C" w:rsidTr="005E1E8E">
        <w:tc>
          <w:tcPr>
            <w:tcW w:w="1843" w:type="dxa"/>
            <w:tcBorders>
              <w:top w:val="nil"/>
              <w:left w:val="single" w:sz="4" w:space="0" w:color="auto"/>
              <w:bottom w:val="nil"/>
              <w:right w:val="nil"/>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PACJA</w:t>
            </w:r>
          </w:p>
        </w:tc>
        <w:tc>
          <w:tcPr>
            <w:tcW w:w="7513" w:type="dxa"/>
            <w:tcBorders>
              <w:top w:val="nil"/>
              <w:left w:val="single" w:sz="4" w:space="0" w:color="auto"/>
              <w:bottom w:val="nil"/>
              <w:right w:val="single" w:sz="4" w:space="0" w:color="auto"/>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Alliance panafricaine pour la justice climatique</w:t>
            </w:r>
          </w:p>
        </w:tc>
      </w:tr>
      <w:tr w:rsidR="005E1E8E" w:rsidRPr="00D1792C" w:rsidTr="005E1E8E">
        <w:tc>
          <w:tcPr>
            <w:tcW w:w="1843" w:type="dxa"/>
            <w:tcBorders>
              <w:top w:val="nil"/>
              <w:left w:val="single" w:sz="4" w:space="0" w:color="auto"/>
              <w:bottom w:val="nil"/>
              <w:right w:val="nil"/>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PACP</w:t>
            </w:r>
          </w:p>
        </w:tc>
        <w:tc>
          <w:tcPr>
            <w:tcW w:w="7513" w:type="dxa"/>
            <w:tcBorders>
              <w:top w:val="nil"/>
              <w:left w:val="single" w:sz="4" w:space="0" w:color="auto"/>
              <w:bottom w:val="nil"/>
              <w:right w:val="single" w:sz="4" w:space="0" w:color="auto"/>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Région Pacifique des pays ACP</w:t>
            </w:r>
          </w:p>
        </w:tc>
      </w:tr>
      <w:tr w:rsidR="005E1E8E" w:rsidRPr="005E1E8E" w:rsidTr="005E1E8E">
        <w:tc>
          <w:tcPr>
            <w:tcW w:w="1843" w:type="dxa"/>
            <w:tcBorders>
              <w:top w:val="nil"/>
              <w:left w:val="single" w:sz="4" w:space="0" w:color="auto"/>
              <w:bottom w:val="nil"/>
              <w:right w:val="nil"/>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PAI</w:t>
            </w:r>
          </w:p>
        </w:tc>
        <w:tc>
          <w:tcPr>
            <w:tcW w:w="7513" w:type="dxa"/>
            <w:tcBorders>
              <w:top w:val="nil"/>
              <w:left w:val="single" w:sz="4" w:space="0" w:color="auto"/>
              <w:bottom w:val="nil"/>
              <w:right w:val="single" w:sz="4" w:space="0" w:color="auto"/>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Plans annuels d'investissement</w:t>
            </w:r>
          </w:p>
        </w:tc>
      </w:tr>
      <w:tr w:rsidR="005E1E8E" w:rsidRPr="00D1792C" w:rsidTr="005E1E8E">
        <w:tc>
          <w:tcPr>
            <w:tcW w:w="1843" w:type="dxa"/>
            <w:tcBorders>
              <w:top w:val="nil"/>
              <w:left w:val="single" w:sz="4" w:space="0" w:color="auto"/>
              <w:bottom w:val="nil"/>
              <w:right w:val="nil"/>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PANA</w:t>
            </w:r>
          </w:p>
        </w:tc>
        <w:tc>
          <w:tcPr>
            <w:tcW w:w="7513" w:type="dxa"/>
            <w:tcBorders>
              <w:top w:val="nil"/>
              <w:left w:val="single" w:sz="4" w:space="0" w:color="auto"/>
              <w:bottom w:val="nil"/>
              <w:right w:val="single" w:sz="4" w:space="0" w:color="auto"/>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Programme d'action national aux fins de l'adaptation</w:t>
            </w:r>
          </w:p>
        </w:tc>
      </w:tr>
      <w:tr w:rsidR="005E1E8E" w:rsidRPr="005E1E8E" w:rsidTr="005E1E8E">
        <w:tc>
          <w:tcPr>
            <w:tcW w:w="1843" w:type="dxa"/>
            <w:tcBorders>
              <w:top w:val="nil"/>
              <w:left w:val="single" w:sz="4" w:space="0" w:color="auto"/>
              <w:bottom w:val="nil"/>
              <w:right w:val="nil"/>
            </w:tcBorders>
            <w:shd w:val="clear" w:color="auto" w:fill="auto"/>
            <w:vAlign w:val="center"/>
            <w:hideMark/>
          </w:tcPr>
          <w:p w:rsidR="005E1E8E" w:rsidRPr="005E1E8E" w:rsidRDefault="005E1E8E" w:rsidP="005E1E8E">
            <w:pPr>
              <w:spacing w:after="40" w:line="252" w:lineRule="auto"/>
              <w:rPr>
                <w:rFonts w:cs="Arial"/>
                <w:sz w:val="19"/>
                <w:szCs w:val="19"/>
                <w:lang w:val="fr"/>
              </w:rPr>
            </w:pPr>
            <w:proofErr w:type="spellStart"/>
            <w:r w:rsidRPr="005E1E8E">
              <w:rPr>
                <w:rFonts w:cs="Arial"/>
                <w:sz w:val="19"/>
                <w:szCs w:val="19"/>
                <w:lang w:val="fr"/>
              </w:rPr>
              <w:t>PdA</w:t>
            </w:r>
            <w:proofErr w:type="spellEnd"/>
          </w:p>
        </w:tc>
        <w:tc>
          <w:tcPr>
            <w:tcW w:w="7513" w:type="dxa"/>
            <w:tcBorders>
              <w:top w:val="nil"/>
              <w:left w:val="single" w:sz="4" w:space="0" w:color="auto"/>
              <w:bottom w:val="nil"/>
              <w:right w:val="single" w:sz="4" w:space="0" w:color="auto"/>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Protocole d'accord</w:t>
            </w:r>
          </w:p>
        </w:tc>
      </w:tr>
      <w:tr w:rsidR="005E1E8E" w:rsidRPr="005E1E8E" w:rsidTr="005E1E8E">
        <w:tc>
          <w:tcPr>
            <w:tcW w:w="1843" w:type="dxa"/>
            <w:tcBorders>
              <w:top w:val="nil"/>
              <w:left w:val="single" w:sz="4" w:space="0" w:color="auto"/>
              <w:bottom w:val="nil"/>
              <w:right w:val="nil"/>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PDC</w:t>
            </w:r>
          </w:p>
        </w:tc>
        <w:tc>
          <w:tcPr>
            <w:tcW w:w="7513" w:type="dxa"/>
            <w:tcBorders>
              <w:top w:val="nil"/>
              <w:left w:val="single" w:sz="4" w:space="0" w:color="auto"/>
              <w:bottom w:val="nil"/>
              <w:right w:val="single" w:sz="4" w:space="0" w:color="auto"/>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Plans de développement communautaire</w:t>
            </w:r>
          </w:p>
        </w:tc>
      </w:tr>
      <w:tr w:rsidR="005E1E8E" w:rsidRPr="00D1792C" w:rsidTr="005E1E8E">
        <w:tc>
          <w:tcPr>
            <w:tcW w:w="1843" w:type="dxa"/>
            <w:tcBorders>
              <w:top w:val="nil"/>
              <w:left w:val="single" w:sz="4" w:space="0" w:color="auto"/>
              <w:bottom w:val="nil"/>
              <w:right w:val="nil"/>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PDDAA</w:t>
            </w:r>
          </w:p>
        </w:tc>
        <w:tc>
          <w:tcPr>
            <w:tcW w:w="7513" w:type="dxa"/>
            <w:tcBorders>
              <w:top w:val="nil"/>
              <w:left w:val="single" w:sz="4" w:space="0" w:color="auto"/>
              <w:bottom w:val="nil"/>
              <w:right w:val="single" w:sz="4" w:space="0" w:color="auto"/>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Programme détaillé de développement de l'agriculture africaine</w:t>
            </w:r>
          </w:p>
        </w:tc>
      </w:tr>
      <w:tr w:rsidR="005E1E8E" w:rsidRPr="00D1792C" w:rsidTr="005E1E8E">
        <w:tc>
          <w:tcPr>
            <w:tcW w:w="1843" w:type="dxa"/>
            <w:tcBorders>
              <w:top w:val="nil"/>
              <w:left w:val="single" w:sz="4" w:space="0" w:color="auto"/>
              <w:bottom w:val="nil"/>
              <w:right w:val="nil"/>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PEID</w:t>
            </w:r>
          </w:p>
        </w:tc>
        <w:tc>
          <w:tcPr>
            <w:tcW w:w="7513" w:type="dxa"/>
            <w:tcBorders>
              <w:top w:val="nil"/>
              <w:left w:val="single" w:sz="4" w:space="0" w:color="auto"/>
              <w:bottom w:val="nil"/>
              <w:right w:val="single" w:sz="4" w:space="0" w:color="auto"/>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Petits États insulaires en développement</w:t>
            </w:r>
          </w:p>
        </w:tc>
      </w:tr>
      <w:tr w:rsidR="005E1E8E" w:rsidRPr="00D1792C" w:rsidTr="005E1E8E">
        <w:tc>
          <w:tcPr>
            <w:tcW w:w="1843" w:type="dxa"/>
            <w:tcBorders>
              <w:top w:val="nil"/>
              <w:left w:val="single" w:sz="4" w:space="0" w:color="auto"/>
              <w:bottom w:val="nil"/>
              <w:right w:val="nil"/>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PEIP</w:t>
            </w:r>
          </w:p>
        </w:tc>
        <w:tc>
          <w:tcPr>
            <w:tcW w:w="7513" w:type="dxa"/>
            <w:tcBorders>
              <w:top w:val="nil"/>
              <w:left w:val="single" w:sz="4" w:space="0" w:color="auto"/>
              <w:bottom w:val="nil"/>
              <w:right w:val="single" w:sz="4" w:space="0" w:color="auto"/>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Petits États insulaires du Pacifique</w:t>
            </w:r>
          </w:p>
        </w:tc>
      </w:tr>
      <w:tr w:rsidR="005E1E8E" w:rsidRPr="00D1792C" w:rsidTr="005E1E8E">
        <w:tc>
          <w:tcPr>
            <w:tcW w:w="1843" w:type="dxa"/>
            <w:tcBorders>
              <w:top w:val="nil"/>
              <w:left w:val="single" w:sz="4" w:space="0" w:color="auto"/>
              <w:bottom w:val="nil"/>
              <w:right w:val="nil"/>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PIFACC</w:t>
            </w:r>
          </w:p>
        </w:tc>
        <w:tc>
          <w:tcPr>
            <w:tcW w:w="7513" w:type="dxa"/>
            <w:tcBorders>
              <w:top w:val="nil"/>
              <w:left w:val="single" w:sz="4" w:space="0" w:color="auto"/>
              <w:bottom w:val="nil"/>
              <w:right w:val="single" w:sz="4" w:space="0" w:color="auto"/>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Cadre d'action contre le changement climatique des îles du Pacifique</w:t>
            </w:r>
          </w:p>
        </w:tc>
      </w:tr>
      <w:tr w:rsidR="005E1E8E" w:rsidRPr="005E1E8E" w:rsidTr="005E1E8E">
        <w:tc>
          <w:tcPr>
            <w:tcW w:w="1843" w:type="dxa"/>
            <w:tcBorders>
              <w:top w:val="nil"/>
              <w:left w:val="single" w:sz="4" w:space="0" w:color="auto"/>
              <w:bottom w:val="nil"/>
              <w:right w:val="nil"/>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PMA</w:t>
            </w:r>
          </w:p>
        </w:tc>
        <w:tc>
          <w:tcPr>
            <w:tcW w:w="7513" w:type="dxa"/>
            <w:tcBorders>
              <w:top w:val="nil"/>
              <w:left w:val="single" w:sz="4" w:space="0" w:color="auto"/>
              <w:bottom w:val="nil"/>
              <w:right w:val="single" w:sz="4" w:space="0" w:color="auto"/>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Pays les moins avancés</w:t>
            </w:r>
          </w:p>
        </w:tc>
      </w:tr>
      <w:tr w:rsidR="005E1E8E" w:rsidRPr="00D1792C" w:rsidTr="005E1E8E">
        <w:tc>
          <w:tcPr>
            <w:tcW w:w="1843" w:type="dxa"/>
            <w:tcBorders>
              <w:top w:val="nil"/>
              <w:left w:val="single" w:sz="4" w:space="0" w:color="auto"/>
              <w:bottom w:val="nil"/>
              <w:right w:val="nil"/>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PNUD</w:t>
            </w:r>
          </w:p>
        </w:tc>
        <w:tc>
          <w:tcPr>
            <w:tcW w:w="7513" w:type="dxa"/>
            <w:tcBorders>
              <w:top w:val="nil"/>
              <w:left w:val="single" w:sz="4" w:space="0" w:color="auto"/>
              <w:bottom w:val="nil"/>
              <w:right w:val="single" w:sz="4" w:space="0" w:color="auto"/>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Programme des Nations unies pour le développement</w:t>
            </w:r>
          </w:p>
        </w:tc>
      </w:tr>
      <w:tr w:rsidR="005E1E8E" w:rsidRPr="005E1E8E" w:rsidTr="005E1E8E">
        <w:tc>
          <w:tcPr>
            <w:tcW w:w="1843" w:type="dxa"/>
            <w:tcBorders>
              <w:top w:val="nil"/>
              <w:left w:val="single" w:sz="4" w:space="0" w:color="auto"/>
              <w:bottom w:val="nil"/>
              <w:right w:val="nil"/>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QE</w:t>
            </w:r>
          </w:p>
        </w:tc>
        <w:tc>
          <w:tcPr>
            <w:tcW w:w="7513" w:type="dxa"/>
            <w:tcBorders>
              <w:top w:val="nil"/>
              <w:left w:val="single" w:sz="4" w:space="0" w:color="auto"/>
              <w:bottom w:val="nil"/>
              <w:right w:val="single" w:sz="4" w:space="0" w:color="auto"/>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 xml:space="preserve">Questions d'évaluation </w:t>
            </w:r>
          </w:p>
        </w:tc>
      </w:tr>
      <w:tr w:rsidR="005E1E8E" w:rsidRPr="00D1792C" w:rsidTr="005E1E8E">
        <w:tc>
          <w:tcPr>
            <w:tcW w:w="1843" w:type="dxa"/>
            <w:tcBorders>
              <w:top w:val="nil"/>
              <w:left w:val="single" w:sz="4" w:space="0" w:color="auto"/>
              <w:bottom w:val="nil"/>
              <w:right w:val="nil"/>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REDD</w:t>
            </w:r>
          </w:p>
        </w:tc>
        <w:tc>
          <w:tcPr>
            <w:tcW w:w="7513" w:type="dxa"/>
            <w:tcBorders>
              <w:top w:val="nil"/>
              <w:left w:val="single" w:sz="4" w:space="0" w:color="auto"/>
              <w:bottom w:val="nil"/>
              <w:right w:val="single" w:sz="4" w:space="0" w:color="auto"/>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Réduction des émissions dues à la déforestation et à la dégradation des forêts</w:t>
            </w:r>
          </w:p>
        </w:tc>
      </w:tr>
      <w:tr w:rsidR="005E1E8E" w:rsidRPr="00D1792C" w:rsidTr="005E1E8E">
        <w:tc>
          <w:tcPr>
            <w:tcW w:w="1843" w:type="dxa"/>
            <w:tcBorders>
              <w:top w:val="nil"/>
              <w:left w:val="single" w:sz="4" w:space="0" w:color="auto"/>
              <w:bottom w:val="nil"/>
              <w:right w:val="nil"/>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ROM</w:t>
            </w:r>
          </w:p>
        </w:tc>
        <w:tc>
          <w:tcPr>
            <w:tcW w:w="7513" w:type="dxa"/>
            <w:tcBorders>
              <w:top w:val="nil"/>
              <w:left w:val="single" w:sz="4" w:space="0" w:color="auto"/>
              <w:bottom w:val="nil"/>
              <w:right w:val="single" w:sz="4" w:space="0" w:color="auto"/>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Suivi axé sur les résultats</w:t>
            </w:r>
          </w:p>
        </w:tc>
      </w:tr>
      <w:tr w:rsidR="005E1E8E" w:rsidRPr="00D1792C" w:rsidTr="005E1E8E">
        <w:tc>
          <w:tcPr>
            <w:tcW w:w="1843" w:type="dxa"/>
            <w:tcBorders>
              <w:top w:val="nil"/>
              <w:left w:val="single" w:sz="4" w:space="0" w:color="auto"/>
              <w:bottom w:val="nil"/>
              <w:right w:val="nil"/>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RRC</w:t>
            </w:r>
          </w:p>
        </w:tc>
        <w:tc>
          <w:tcPr>
            <w:tcW w:w="7513" w:type="dxa"/>
            <w:tcBorders>
              <w:top w:val="nil"/>
              <w:left w:val="single" w:sz="4" w:space="0" w:color="auto"/>
              <w:bottom w:val="nil"/>
              <w:right w:val="single" w:sz="4" w:space="0" w:color="auto"/>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Réduction des risques de catastrophes</w:t>
            </w:r>
          </w:p>
        </w:tc>
      </w:tr>
      <w:tr w:rsidR="005E1E8E" w:rsidRPr="005E1E8E" w:rsidTr="005E1E8E">
        <w:tc>
          <w:tcPr>
            <w:tcW w:w="1843" w:type="dxa"/>
            <w:tcBorders>
              <w:top w:val="nil"/>
              <w:left w:val="single" w:sz="4" w:space="0" w:color="auto"/>
              <w:bottom w:val="nil"/>
              <w:right w:val="nil"/>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S&amp;E</w:t>
            </w:r>
          </w:p>
        </w:tc>
        <w:tc>
          <w:tcPr>
            <w:tcW w:w="7513" w:type="dxa"/>
            <w:tcBorders>
              <w:top w:val="nil"/>
              <w:left w:val="single" w:sz="4" w:space="0" w:color="auto"/>
              <w:bottom w:val="nil"/>
              <w:right w:val="single" w:sz="4" w:space="0" w:color="auto"/>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Suivi et évaluation</w:t>
            </w:r>
          </w:p>
        </w:tc>
      </w:tr>
      <w:tr w:rsidR="005E1E8E" w:rsidRPr="00D1792C" w:rsidTr="005E1E8E">
        <w:tc>
          <w:tcPr>
            <w:tcW w:w="1843" w:type="dxa"/>
            <w:tcBorders>
              <w:top w:val="nil"/>
              <w:left w:val="single" w:sz="4" w:space="0" w:color="auto"/>
              <w:bottom w:val="nil"/>
              <w:right w:val="nil"/>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SDRP</w:t>
            </w:r>
          </w:p>
        </w:tc>
        <w:tc>
          <w:tcPr>
            <w:tcW w:w="7513" w:type="dxa"/>
            <w:tcBorders>
              <w:top w:val="nil"/>
              <w:left w:val="single" w:sz="4" w:space="0" w:color="auto"/>
              <w:bottom w:val="nil"/>
              <w:right w:val="single" w:sz="4" w:space="0" w:color="auto"/>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Stratégie en faveur d'un développement résistant aux catastrophes et aux risques climatiques dans le Pacifique</w:t>
            </w:r>
          </w:p>
        </w:tc>
      </w:tr>
      <w:tr w:rsidR="005E1E8E" w:rsidRPr="00D1792C" w:rsidTr="005E1E8E">
        <w:tc>
          <w:tcPr>
            <w:tcW w:w="1843" w:type="dxa"/>
            <w:tcBorders>
              <w:top w:val="nil"/>
              <w:left w:val="single" w:sz="4" w:space="0" w:color="auto"/>
              <w:bottom w:val="nil"/>
              <w:right w:val="nil"/>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SEI</w:t>
            </w:r>
          </w:p>
        </w:tc>
        <w:tc>
          <w:tcPr>
            <w:tcW w:w="7513" w:type="dxa"/>
            <w:tcBorders>
              <w:top w:val="nil"/>
              <w:left w:val="single" w:sz="4" w:space="0" w:color="auto"/>
              <w:bottom w:val="nil"/>
              <w:right w:val="single" w:sz="4" w:space="0" w:color="auto"/>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Institut de l'environnement de Stockholm</w:t>
            </w:r>
          </w:p>
        </w:tc>
      </w:tr>
      <w:tr w:rsidR="005E1E8E" w:rsidRPr="00D1792C" w:rsidTr="005E1E8E">
        <w:tc>
          <w:tcPr>
            <w:tcW w:w="1843" w:type="dxa"/>
            <w:tcBorders>
              <w:top w:val="nil"/>
              <w:left w:val="single" w:sz="4" w:space="0" w:color="auto"/>
              <w:bottom w:val="nil"/>
              <w:right w:val="nil"/>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SPACC</w:t>
            </w:r>
          </w:p>
        </w:tc>
        <w:tc>
          <w:tcPr>
            <w:tcW w:w="7513" w:type="dxa"/>
            <w:tcBorders>
              <w:top w:val="nil"/>
              <w:left w:val="single" w:sz="4" w:space="0" w:color="auto"/>
              <w:bottom w:val="nil"/>
              <w:right w:val="single" w:sz="4" w:space="0" w:color="auto"/>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Projet pilote spécial d'adaptation au changement climatique</w:t>
            </w:r>
          </w:p>
        </w:tc>
      </w:tr>
      <w:tr w:rsidR="005E1E8E" w:rsidRPr="00D1792C" w:rsidTr="005E1E8E">
        <w:tc>
          <w:tcPr>
            <w:tcW w:w="1843" w:type="dxa"/>
            <w:tcBorders>
              <w:top w:val="nil"/>
              <w:left w:val="single" w:sz="4" w:space="0" w:color="auto"/>
              <w:bottom w:val="nil"/>
              <w:right w:val="nil"/>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SPANA</w:t>
            </w:r>
          </w:p>
        </w:tc>
        <w:tc>
          <w:tcPr>
            <w:tcW w:w="7513" w:type="dxa"/>
            <w:tcBorders>
              <w:top w:val="nil"/>
              <w:left w:val="single" w:sz="4" w:space="0" w:color="auto"/>
              <w:bottom w:val="nil"/>
              <w:right w:val="single" w:sz="4" w:space="0" w:color="auto"/>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Stratégies et plans d'action nationaux aux fins de l'adaptation</w:t>
            </w:r>
          </w:p>
        </w:tc>
      </w:tr>
      <w:tr w:rsidR="005E1E8E" w:rsidRPr="00D1792C" w:rsidTr="005E1E8E">
        <w:tc>
          <w:tcPr>
            <w:tcW w:w="1843" w:type="dxa"/>
            <w:tcBorders>
              <w:top w:val="nil"/>
              <w:left w:val="single" w:sz="4" w:space="0" w:color="auto"/>
              <w:bottom w:val="nil"/>
              <w:right w:val="nil"/>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SPROE</w:t>
            </w:r>
          </w:p>
        </w:tc>
        <w:tc>
          <w:tcPr>
            <w:tcW w:w="7513" w:type="dxa"/>
            <w:tcBorders>
              <w:top w:val="nil"/>
              <w:left w:val="single" w:sz="4" w:space="0" w:color="auto"/>
              <w:bottom w:val="nil"/>
              <w:right w:val="single" w:sz="4" w:space="0" w:color="auto"/>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Secrétariat du Programme régional océanien de l’environnement</w:t>
            </w:r>
          </w:p>
        </w:tc>
      </w:tr>
      <w:tr w:rsidR="005E1E8E" w:rsidRPr="005E1E8E" w:rsidTr="005E1E8E">
        <w:tc>
          <w:tcPr>
            <w:tcW w:w="1843" w:type="dxa"/>
            <w:tcBorders>
              <w:top w:val="nil"/>
              <w:left w:val="single" w:sz="4" w:space="0" w:color="auto"/>
              <w:bottom w:val="nil"/>
              <w:right w:val="nil"/>
            </w:tcBorders>
            <w:shd w:val="clear" w:color="auto" w:fill="auto"/>
            <w:vAlign w:val="center"/>
            <w:hideMark/>
          </w:tcPr>
          <w:p w:rsidR="005E1E8E" w:rsidRPr="005E1E8E" w:rsidRDefault="005E1E8E" w:rsidP="005E1E8E">
            <w:pPr>
              <w:spacing w:after="40" w:line="252" w:lineRule="auto"/>
              <w:rPr>
                <w:rFonts w:cs="Arial"/>
                <w:sz w:val="19"/>
                <w:szCs w:val="19"/>
                <w:lang w:val="fr"/>
              </w:rPr>
            </w:pPr>
            <w:proofErr w:type="spellStart"/>
            <w:r w:rsidRPr="005E1E8E">
              <w:rPr>
                <w:rFonts w:cs="Arial"/>
                <w:sz w:val="19"/>
                <w:szCs w:val="19"/>
                <w:lang w:val="fr"/>
              </w:rPr>
              <w:t>TdR</w:t>
            </w:r>
            <w:proofErr w:type="spellEnd"/>
          </w:p>
        </w:tc>
        <w:tc>
          <w:tcPr>
            <w:tcW w:w="7513" w:type="dxa"/>
            <w:tcBorders>
              <w:top w:val="nil"/>
              <w:left w:val="single" w:sz="4" w:space="0" w:color="auto"/>
              <w:bottom w:val="nil"/>
              <w:right w:val="single" w:sz="4" w:space="0" w:color="auto"/>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Termes de référence</w:t>
            </w:r>
          </w:p>
        </w:tc>
      </w:tr>
      <w:tr w:rsidR="005E1E8E" w:rsidRPr="005E1E8E" w:rsidTr="005E1E8E">
        <w:tc>
          <w:tcPr>
            <w:tcW w:w="1843" w:type="dxa"/>
            <w:tcBorders>
              <w:top w:val="nil"/>
              <w:left w:val="single" w:sz="4" w:space="0" w:color="auto"/>
              <w:bottom w:val="nil"/>
              <w:right w:val="nil"/>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UE</w:t>
            </w:r>
          </w:p>
        </w:tc>
        <w:tc>
          <w:tcPr>
            <w:tcW w:w="7513" w:type="dxa"/>
            <w:tcBorders>
              <w:top w:val="nil"/>
              <w:left w:val="single" w:sz="4" w:space="0" w:color="auto"/>
              <w:bottom w:val="nil"/>
              <w:right w:val="single" w:sz="4" w:space="0" w:color="auto"/>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 xml:space="preserve">Union européenne </w:t>
            </w:r>
          </w:p>
        </w:tc>
      </w:tr>
      <w:tr w:rsidR="005E1E8E" w:rsidRPr="00D1792C" w:rsidTr="005E1E8E">
        <w:tc>
          <w:tcPr>
            <w:tcW w:w="1843" w:type="dxa"/>
            <w:tcBorders>
              <w:top w:val="nil"/>
              <w:left w:val="single" w:sz="4" w:space="0" w:color="auto"/>
              <w:bottom w:val="nil"/>
              <w:right w:val="nil"/>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UNICEF</w:t>
            </w:r>
          </w:p>
        </w:tc>
        <w:tc>
          <w:tcPr>
            <w:tcW w:w="7513" w:type="dxa"/>
            <w:tcBorders>
              <w:top w:val="nil"/>
              <w:left w:val="single" w:sz="4" w:space="0" w:color="auto"/>
              <w:bottom w:val="nil"/>
              <w:right w:val="single" w:sz="4" w:space="0" w:color="auto"/>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Fonds des Nations unies pour l’enfance</w:t>
            </w:r>
          </w:p>
        </w:tc>
      </w:tr>
      <w:tr w:rsidR="005E1E8E" w:rsidRPr="00D1792C" w:rsidTr="005E1E8E">
        <w:tc>
          <w:tcPr>
            <w:tcW w:w="1843" w:type="dxa"/>
            <w:tcBorders>
              <w:top w:val="nil"/>
              <w:left w:val="single" w:sz="4" w:space="0" w:color="auto"/>
              <w:bottom w:val="nil"/>
              <w:right w:val="nil"/>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USAID</w:t>
            </w:r>
          </w:p>
        </w:tc>
        <w:tc>
          <w:tcPr>
            <w:tcW w:w="7513" w:type="dxa"/>
            <w:tcBorders>
              <w:top w:val="nil"/>
              <w:left w:val="single" w:sz="4" w:space="0" w:color="auto"/>
              <w:bottom w:val="nil"/>
              <w:right w:val="single" w:sz="4" w:space="0" w:color="auto"/>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Agence des États-Unis pour le développement international</w:t>
            </w:r>
          </w:p>
        </w:tc>
      </w:tr>
      <w:tr w:rsidR="005E1E8E" w:rsidRPr="005E1E8E" w:rsidTr="005E1E8E">
        <w:tc>
          <w:tcPr>
            <w:tcW w:w="1843" w:type="dxa"/>
            <w:tcBorders>
              <w:top w:val="nil"/>
              <w:left w:val="single" w:sz="4" w:space="0" w:color="auto"/>
              <w:bottom w:val="nil"/>
              <w:right w:val="nil"/>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USP</w:t>
            </w:r>
          </w:p>
        </w:tc>
        <w:tc>
          <w:tcPr>
            <w:tcW w:w="7513" w:type="dxa"/>
            <w:tcBorders>
              <w:top w:val="nil"/>
              <w:left w:val="single" w:sz="4" w:space="0" w:color="auto"/>
              <w:bottom w:val="nil"/>
              <w:right w:val="single" w:sz="4" w:space="0" w:color="auto"/>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Université du Pacifique Sud</w:t>
            </w:r>
          </w:p>
        </w:tc>
      </w:tr>
      <w:tr w:rsidR="005E1E8E" w:rsidRPr="005E1E8E" w:rsidTr="005E1E8E">
        <w:tc>
          <w:tcPr>
            <w:tcW w:w="1843" w:type="dxa"/>
            <w:tcBorders>
              <w:top w:val="nil"/>
              <w:left w:val="single" w:sz="4" w:space="0" w:color="auto"/>
              <w:bottom w:val="nil"/>
              <w:right w:val="nil"/>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UWI</w:t>
            </w:r>
          </w:p>
        </w:tc>
        <w:tc>
          <w:tcPr>
            <w:tcW w:w="7513" w:type="dxa"/>
            <w:tcBorders>
              <w:top w:val="nil"/>
              <w:left w:val="single" w:sz="4" w:space="0" w:color="auto"/>
              <w:bottom w:val="nil"/>
              <w:right w:val="single" w:sz="4" w:space="0" w:color="auto"/>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Université des Indes occidentales</w:t>
            </w:r>
          </w:p>
        </w:tc>
      </w:tr>
      <w:tr w:rsidR="005E1E8E" w:rsidRPr="005E1E8E" w:rsidTr="005E1E8E">
        <w:tc>
          <w:tcPr>
            <w:tcW w:w="1843" w:type="dxa"/>
            <w:tcBorders>
              <w:top w:val="nil"/>
              <w:left w:val="single" w:sz="4" w:space="0" w:color="auto"/>
              <w:bottom w:val="nil"/>
              <w:right w:val="nil"/>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V&amp;A</w:t>
            </w:r>
          </w:p>
        </w:tc>
        <w:tc>
          <w:tcPr>
            <w:tcW w:w="7513" w:type="dxa"/>
            <w:tcBorders>
              <w:top w:val="nil"/>
              <w:left w:val="single" w:sz="4" w:space="0" w:color="auto"/>
              <w:bottom w:val="nil"/>
              <w:right w:val="single" w:sz="4" w:space="0" w:color="auto"/>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Vulnérabilité et adaptation</w:t>
            </w:r>
          </w:p>
        </w:tc>
      </w:tr>
      <w:tr w:rsidR="005E1E8E" w:rsidRPr="005E1E8E" w:rsidTr="005E1E8E">
        <w:tc>
          <w:tcPr>
            <w:tcW w:w="1843" w:type="dxa"/>
            <w:tcBorders>
              <w:top w:val="nil"/>
              <w:left w:val="single" w:sz="4" w:space="0" w:color="auto"/>
              <w:bottom w:val="single" w:sz="4" w:space="0" w:color="auto"/>
              <w:right w:val="nil"/>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WRI</w:t>
            </w:r>
          </w:p>
        </w:tc>
        <w:tc>
          <w:tcPr>
            <w:tcW w:w="7513" w:type="dxa"/>
            <w:tcBorders>
              <w:top w:val="nil"/>
              <w:left w:val="single" w:sz="4" w:space="0" w:color="auto"/>
              <w:bottom w:val="single" w:sz="4" w:space="0" w:color="auto"/>
              <w:right w:val="single" w:sz="4" w:space="0" w:color="auto"/>
            </w:tcBorders>
            <w:shd w:val="clear" w:color="auto" w:fill="auto"/>
            <w:vAlign w:val="center"/>
            <w:hideMark/>
          </w:tcPr>
          <w:p w:rsidR="005E1E8E" w:rsidRPr="005E1E8E" w:rsidRDefault="005E1E8E" w:rsidP="005E1E8E">
            <w:pPr>
              <w:spacing w:after="40" w:line="252" w:lineRule="auto"/>
              <w:rPr>
                <w:rFonts w:cs="Arial"/>
                <w:sz w:val="19"/>
                <w:szCs w:val="19"/>
                <w:lang w:val="fr"/>
              </w:rPr>
            </w:pPr>
            <w:r w:rsidRPr="005E1E8E">
              <w:rPr>
                <w:rFonts w:cs="Arial"/>
                <w:sz w:val="19"/>
                <w:szCs w:val="19"/>
                <w:lang w:val="fr"/>
              </w:rPr>
              <w:t xml:space="preserve">Institut des ressources mondiales </w:t>
            </w:r>
          </w:p>
        </w:tc>
      </w:tr>
    </w:tbl>
    <w:p w:rsidR="005E1E8E" w:rsidRDefault="005E1E8E">
      <w:pPr>
        <w:spacing w:after="0" w:line="240" w:lineRule="auto"/>
        <w:jc w:val="left"/>
        <w:rPr>
          <w:b/>
          <w:smallCaps/>
          <w:color w:val="17365D"/>
          <w:sz w:val="36"/>
          <w:szCs w:val="36"/>
        </w:rPr>
      </w:pPr>
    </w:p>
    <w:p w:rsidR="008B7FF8" w:rsidRDefault="008B7FF8">
      <w:pPr>
        <w:spacing w:after="0" w:line="240" w:lineRule="auto"/>
        <w:jc w:val="left"/>
        <w:rPr>
          <w:b/>
          <w:smallCaps/>
          <w:color w:val="17365D"/>
          <w:sz w:val="36"/>
          <w:szCs w:val="36"/>
        </w:rPr>
      </w:pPr>
      <w:r>
        <w:rPr>
          <w:b/>
          <w:smallCaps/>
          <w:color w:val="17365D"/>
          <w:sz w:val="36"/>
          <w:szCs w:val="36"/>
        </w:rPr>
        <w:br w:type="page"/>
      </w:r>
    </w:p>
    <w:p w:rsidR="007E12A7" w:rsidRPr="00A94D8B" w:rsidRDefault="007E12A7" w:rsidP="00AD1C0A">
      <w:pPr>
        <w:spacing w:after="0" w:line="240" w:lineRule="auto"/>
        <w:rPr>
          <w:b/>
          <w:smallCaps/>
          <w:color w:val="17365D"/>
          <w:sz w:val="36"/>
          <w:szCs w:val="36"/>
        </w:rPr>
      </w:pPr>
    </w:p>
    <w:p w:rsidR="002930FB" w:rsidRPr="00A94D8B" w:rsidRDefault="002930FB" w:rsidP="00AD1C0A">
      <w:pPr>
        <w:pStyle w:val="Heading1"/>
        <w:keepNext w:val="0"/>
        <w:numPr>
          <w:ilvl w:val="0"/>
          <w:numId w:val="2"/>
        </w:numPr>
        <w:spacing w:line="276" w:lineRule="auto"/>
        <w:contextualSpacing/>
      </w:pPr>
      <w:bookmarkStart w:id="5" w:name="_Toc392064204"/>
      <w:bookmarkStart w:id="6" w:name="_Toc406494011"/>
      <w:r>
        <w:rPr>
          <w:bCs/>
          <w:lang w:val="fr"/>
        </w:rPr>
        <w:t>Résumé</w:t>
      </w:r>
      <w:bookmarkEnd w:id="5"/>
      <w:bookmarkEnd w:id="6"/>
    </w:p>
    <w:p w:rsidR="008F3618" w:rsidRPr="00D1792C" w:rsidRDefault="00AD1C0A" w:rsidP="001B12C6">
      <w:pPr>
        <w:rPr>
          <w:lang w:val="fr-BE"/>
        </w:rPr>
      </w:pPr>
      <w:r>
        <w:rPr>
          <w:lang w:val="fr"/>
        </w:rPr>
        <w:t>L'Alliance mondiale contre le changement climatique (AMCC) a été instituée en 2007 en réponse à une communication de la Commission européenne (CE) intitulée « Construire une alliance mondiale contre le changement climatique entre l’Union européenne et les pays en développement pauvres et les plus vulnérables au changement climatique ». L'AMCC inte</w:t>
      </w:r>
      <w:r>
        <w:rPr>
          <w:lang w:val="fr"/>
        </w:rPr>
        <w:t>r</w:t>
      </w:r>
      <w:r>
        <w:rPr>
          <w:lang w:val="fr"/>
        </w:rPr>
        <w:t>vient dans cinq domaines prioritaires : 1) l'intégration du changement climatique dans les efforts de réduction de la pauvreté et de développement ; 2) l'adaptation ; 3) la réduction des risques de catastrophe (RRC) ; 4) la réduction des émissions dues à la déforestation et à la dégradation des forêts (REDD) ; et 5) le renforcement de la participation au marché mondial du carbone. Dans le cadre de l'AMCC, un programme spécifique a été créé afin de répondre aux besoins du groupe des États d'Afrique, des Caraïbes et du Pacifique (ACP). Le 13 janvier 2010, la CE et les États ACP ont signé une convention de financement au titre du 10</w:t>
      </w:r>
      <w:r>
        <w:rPr>
          <w:vertAlign w:val="superscript"/>
          <w:lang w:val="fr"/>
        </w:rPr>
        <w:t>e</w:t>
      </w:r>
      <w:r>
        <w:rPr>
          <w:lang w:val="fr"/>
        </w:rPr>
        <w:t> Fonds européen de développement (FED) (37,5 millions d'euros). Le Secrétariat ACP a été désigné en tant qu'ordonnateur, la fin de la période de mise en œuvre étant fixée au 13 février 2015.</w:t>
      </w:r>
    </w:p>
    <w:p w:rsidR="00AD1C0A" w:rsidRPr="00D1792C" w:rsidRDefault="00AD1C0A" w:rsidP="001B12C6">
      <w:pPr>
        <w:rPr>
          <w:lang w:val="fr-BE"/>
        </w:rPr>
      </w:pPr>
      <w:r>
        <w:rPr>
          <w:lang w:val="fr"/>
        </w:rPr>
        <w:t>Le Programme intra-ACP couvre 48 pays d'Afrique subsaharienne, 16 des Caraïbes et 15 du Pacifique. Nombre d'entre eux comptent parmi les pays les plus vulnérables aux effets du changement climatique : 40 États membres appartiennent au groupe des pays les moins ava</w:t>
      </w:r>
      <w:r>
        <w:rPr>
          <w:lang w:val="fr"/>
        </w:rPr>
        <w:t>n</w:t>
      </w:r>
      <w:r>
        <w:rPr>
          <w:lang w:val="fr"/>
        </w:rPr>
        <w:t>cés (PMA) et 37 appartiennent à la catégorie des petits États insulaires en développement (PEID). Les pays africains participants sont affectés par la sécheresse, la désertification et les inondations résultant de tendances climatiques changeantes et imprévisibles. Pour les PEID, les phénomènes météorologiques extrêmes et l'élévation du niveau de la mer sont deux pr</w:t>
      </w:r>
      <w:r>
        <w:rPr>
          <w:lang w:val="fr"/>
        </w:rPr>
        <w:t>é</w:t>
      </w:r>
      <w:r>
        <w:rPr>
          <w:lang w:val="fr"/>
        </w:rPr>
        <w:t>occupations majeures. Le Programme intra-ACP était également censé contribuer à la réalis</w:t>
      </w:r>
      <w:r>
        <w:rPr>
          <w:lang w:val="fr"/>
        </w:rPr>
        <w:t>a</w:t>
      </w:r>
      <w:r>
        <w:rPr>
          <w:lang w:val="fr"/>
        </w:rPr>
        <w:t>tion des objectifs du Millénaire pour le développement (OMD). La logique qui sous-tendait l'adoption d'une approche régionale était que le changement climatique est une force déstab</w:t>
      </w:r>
      <w:r>
        <w:rPr>
          <w:lang w:val="fr"/>
        </w:rPr>
        <w:t>i</w:t>
      </w:r>
      <w:r>
        <w:rPr>
          <w:lang w:val="fr"/>
        </w:rPr>
        <w:t>lisatrice qui compromet la réalisation des OMD et ne connaît pas de frontières. Dans le même temps, bon nombre des pays partenaires soutenus par l'AMCC sont également membres d'o</w:t>
      </w:r>
      <w:r>
        <w:rPr>
          <w:lang w:val="fr"/>
        </w:rPr>
        <w:t>r</w:t>
      </w:r>
      <w:r>
        <w:rPr>
          <w:lang w:val="fr"/>
        </w:rPr>
        <w:t>ganisations régionales.</w:t>
      </w:r>
      <w:r>
        <w:rPr>
          <w:rStyle w:val="FootnoteReference"/>
          <w:lang w:val="fr"/>
        </w:rPr>
        <w:t xml:space="preserve"> </w:t>
      </w:r>
      <w:r>
        <w:rPr>
          <w:lang w:val="fr"/>
        </w:rPr>
        <w:t>Le Programme intra-ACP doit également contribuer aux objectifs de l'accord de Cotonou, qui vise à éradiquer la pauvreté tout en soutenant un développement durable.</w:t>
      </w:r>
    </w:p>
    <w:p w:rsidR="008F3618" w:rsidRPr="00D1792C" w:rsidRDefault="004F58F6" w:rsidP="001B12C6">
      <w:pPr>
        <w:rPr>
          <w:lang w:val="fr-BE"/>
        </w:rPr>
      </w:pPr>
      <w:r>
        <w:rPr>
          <w:lang w:val="fr"/>
        </w:rPr>
        <w:t>Cinq programmes régionaux intra-ACP ont été établis</w:t>
      </w:r>
      <w:r w:rsidRPr="00281425">
        <w:rPr>
          <w:rStyle w:val="FootnoteReference"/>
          <w:lang w:val="fr"/>
        </w:rPr>
        <w:footnoteReference w:id="1"/>
      </w:r>
      <w:r>
        <w:rPr>
          <w:lang w:val="fr"/>
        </w:rPr>
        <w:t>, parmi lesquels une composante pan</w:t>
      </w:r>
      <w:r>
        <w:rPr>
          <w:lang w:val="fr"/>
        </w:rPr>
        <w:t>a</w:t>
      </w:r>
      <w:r>
        <w:rPr>
          <w:lang w:val="fr"/>
        </w:rPr>
        <w:t>fricaine connue sous le nom de « </w:t>
      </w:r>
      <w:r>
        <w:rPr>
          <w:b/>
          <w:bCs/>
          <w:i/>
          <w:iCs/>
          <w:lang w:val="fr"/>
        </w:rPr>
        <w:t>Climat pour le développement en Afrique </w:t>
      </w:r>
      <w:r>
        <w:rPr>
          <w:lang w:val="fr"/>
        </w:rPr>
        <w:t>» ou « ClimDev ». Ce programme est l'un des trois programmes mis en œuvre en Afrique. La Commission économique des Nations unies pour l'Afrique (CEA-NU) est l'autorité respo</w:t>
      </w:r>
      <w:r>
        <w:rPr>
          <w:lang w:val="fr"/>
        </w:rPr>
        <w:t>n</w:t>
      </w:r>
      <w:r>
        <w:rPr>
          <w:lang w:val="fr"/>
        </w:rPr>
        <w:t>sable des projets dans le cadre du programme ClimDev. Elle est soutenue par le Centre afr</w:t>
      </w:r>
      <w:r>
        <w:rPr>
          <w:lang w:val="fr"/>
        </w:rPr>
        <w:t>i</w:t>
      </w:r>
      <w:r>
        <w:rPr>
          <w:lang w:val="fr"/>
        </w:rPr>
        <w:t>cain pour la politique en matière de climat (CAPC), qui travaille sous ses auspices en collab</w:t>
      </w:r>
      <w:r>
        <w:rPr>
          <w:lang w:val="fr"/>
        </w:rPr>
        <w:t>o</w:t>
      </w:r>
      <w:r>
        <w:rPr>
          <w:lang w:val="fr"/>
        </w:rPr>
        <w:t>ration avec la Commission de l'Union africaine (CUA) et la Banque africaine de développ</w:t>
      </w:r>
      <w:r>
        <w:rPr>
          <w:lang w:val="fr"/>
        </w:rPr>
        <w:t>e</w:t>
      </w:r>
      <w:r>
        <w:rPr>
          <w:lang w:val="fr"/>
        </w:rPr>
        <w:t>ment (BAD), faisant office d'organismes de mise en œuvre. ClimDev a été conçu pour rem</w:t>
      </w:r>
      <w:r>
        <w:rPr>
          <w:lang w:val="fr"/>
        </w:rPr>
        <w:t>é</w:t>
      </w:r>
      <w:r>
        <w:rPr>
          <w:lang w:val="fr"/>
        </w:rPr>
        <w:t xml:space="preserve">dier aux défaillances existant au niveau de la demande et de l’offre de services climatiques, et pour améliorer l'utilisation des informations climatologiques. En Afrique australe et orientale, </w:t>
      </w:r>
      <w:r>
        <w:rPr>
          <w:lang w:val="fr"/>
        </w:rPr>
        <w:lastRenderedPageBreak/>
        <w:t>trois commissions économiques régionales (CER) ont été chargées de superviser le « </w:t>
      </w:r>
      <w:r>
        <w:rPr>
          <w:b/>
          <w:bCs/>
          <w:i/>
          <w:iCs/>
          <w:lang w:val="fr"/>
        </w:rPr>
        <w:t>Pr</w:t>
      </w:r>
      <w:r>
        <w:rPr>
          <w:b/>
          <w:bCs/>
          <w:i/>
          <w:iCs/>
          <w:lang w:val="fr"/>
        </w:rPr>
        <w:t>o</w:t>
      </w:r>
      <w:r>
        <w:rPr>
          <w:b/>
          <w:bCs/>
          <w:i/>
          <w:iCs/>
          <w:lang w:val="fr"/>
        </w:rPr>
        <w:t>gramme d'adaptation et d'atténuation des changements climatiques en Afrique australe et orientale (COMESA-EAC-SADC) </w:t>
      </w:r>
      <w:r>
        <w:rPr>
          <w:lang w:val="fr"/>
        </w:rPr>
        <w:t>». Le contractant est le Marché commun de l'Afrique orientale et australe (COMESA), la Communauté d'Afrique de l'Est (CAE) et la Communauté de développement de l'Afrique australe (CDAA) agissant en tant que partenaires. L'objectif du programme est de faire face aux impacts des changements climatiques à travers des a</w:t>
      </w:r>
      <w:r>
        <w:rPr>
          <w:lang w:val="fr"/>
        </w:rPr>
        <w:t>c</w:t>
      </w:r>
      <w:r>
        <w:rPr>
          <w:lang w:val="fr"/>
        </w:rPr>
        <w:t>tions d'adaptation et d'atténuation visant à renforcer la résilience économique et sociale. L'autorité responsable des projets dans le cadre de la « </w:t>
      </w:r>
      <w:r>
        <w:rPr>
          <w:b/>
          <w:bCs/>
          <w:i/>
          <w:iCs/>
          <w:lang w:val="fr"/>
        </w:rPr>
        <w:t>Composante Afrique de l'Ouest du Programme intra-ACP de l'AMCC</w:t>
      </w:r>
      <w:r>
        <w:rPr>
          <w:lang w:val="fr"/>
        </w:rPr>
        <w:t> » est le Comité permanent inter-États de lutte contre la sécheresse au Sahel (CILSS), l'une des branches techniques de la Communauté économique des États d'Afrique de l'Ouest (CEDEAO). La mise en œuvre est assurée par le Centre régi</w:t>
      </w:r>
      <w:r>
        <w:rPr>
          <w:lang w:val="fr"/>
        </w:rPr>
        <w:t>o</w:t>
      </w:r>
      <w:r>
        <w:rPr>
          <w:lang w:val="fr"/>
        </w:rPr>
        <w:t>nal de formation et d'application en agrométéorologie et hydrologie opérationnelle (Arghymet), un institut spécialisé du CILSS. La composante Afrique de l'Ouest a pour obje</w:t>
      </w:r>
      <w:r>
        <w:rPr>
          <w:lang w:val="fr"/>
        </w:rPr>
        <w:t>c</w:t>
      </w:r>
      <w:r>
        <w:rPr>
          <w:lang w:val="fr"/>
        </w:rPr>
        <w:t>tif de lutter contre les changements climatiques afin d'atteindre les OMD.</w:t>
      </w:r>
    </w:p>
    <w:p w:rsidR="008F3618" w:rsidRPr="00D1792C" w:rsidRDefault="00AD1C0A" w:rsidP="001B12C6">
      <w:pPr>
        <w:rPr>
          <w:lang w:val="fr-BE"/>
        </w:rPr>
      </w:pPr>
      <w:r>
        <w:rPr>
          <w:lang w:val="fr"/>
        </w:rPr>
        <w:t>Pour le Pacifique, il existe deux programmes régionaux étroitement liés entre eux. Le Centre du Pacifique pour l'environnement et le développement durable (PACE-SD) de l'université du Pacifique Sud (USP) est l'institution chargée de la mise en œuvre du programme « </w:t>
      </w:r>
      <w:r>
        <w:rPr>
          <w:b/>
          <w:bCs/>
          <w:i/>
          <w:iCs/>
          <w:lang w:val="fr"/>
        </w:rPr>
        <w:t>Soutien de l’AMCC par le biais du renforcement des capacités, de l’engagement communautaire et de la recherche appliquée</w:t>
      </w:r>
      <w:r>
        <w:rPr>
          <w:lang w:val="fr"/>
        </w:rPr>
        <w:t> », qui vise à favoriser le renforcement des capacités (au moyen de formations formelles et informelles), à promouvoir la recherche appliquée et à stimuler l'e</w:t>
      </w:r>
      <w:r>
        <w:rPr>
          <w:lang w:val="fr"/>
        </w:rPr>
        <w:t>n</w:t>
      </w:r>
      <w:r>
        <w:rPr>
          <w:lang w:val="fr"/>
        </w:rPr>
        <w:t>gagement communautaire dans des activités d'adaptation. Le deuxième programme du Pac</w:t>
      </w:r>
      <w:r>
        <w:rPr>
          <w:lang w:val="fr"/>
        </w:rPr>
        <w:t>i</w:t>
      </w:r>
      <w:r>
        <w:rPr>
          <w:lang w:val="fr"/>
        </w:rPr>
        <w:t>fique est celui intitulé « </w:t>
      </w:r>
      <w:r>
        <w:rPr>
          <w:b/>
          <w:bCs/>
          <w:i/>
          <w:iCs/>
          <w:lang w:val="fr"/>
        </w:rPr>
        <w:t>Secrétariat de la Communauté du Pacifique - AMCC</w:t>
      </w:r>
      <w:r>
        <w:rPr>
          <w:i/>
          <w:iCs/>
          <w:lang w:val="fr"/>
        </w:rPr>
        <w:t> :</w:t>
      </w:r>
      <w:r>
        <w:rPr>
          <w:b/>
          <w:bCs/>
          <w:i/>
          <w:iCs/>
          <w:lang w:val="fr"/>
        </w:rPr>
        <w:t xml:space="preserve"> petits États insulaires du Pacifique</w:t>
      </w:r>
      <w:r>
        <w:rPr>
          <w:lang w:val="fr"/>
        </w:rPr>
        <w:t> » (PEIP). Ce programme est directement financé à partir du budget général de l'AMCC. Il préconise une approche à long terme pour la planification de l'adapt</w:t>
      </w:r>
      <w:r>
        <w:rPr>
          <w:lang w:val="fr"/>
        </w:rPr>
        <w:t>a</w:t>
      </w:r>
      <w:r>
        <w:rPr>
          <w:lang w:val="fr"/>
        </w:rPr>
        <w:t>tion et s'efforce de contribuer à la coordination des modalités de fourniture de l'aide et au renforcement de l'efficacité de l'aide, aux niveaux national et régional. Le programme pour les PEIP est géré par le Secrétariat de la Communauté du Pacifique (CPS) et le Secrétariat du Programme régional océanien de l'environnement (SPROE).</w:t>
      </w:r>
    </w:p>
    <w:p w:rsidR="008F3618" w:rsidRPr="00D1792C" w:rsidRDefault="00AD1C0A" w:rsidP="001B12C6">
      <w:pPr>
        <w:rPr>
          <w:lang w:val="fr-BE"/>
        </w:rPr>
      </w:pPr>
      <w:r>
        <w:rPr>
          <w:lang w:val="fr"/>
        </w:rPr>
        <w:t>Les Caraïbes font également l'objet de deux programmes distincts. La « </w:t>
      </w:r>
      <w:r>
        <w:rPr>
          <w:b/>
          <w:bCs/>
          <w:i/>
          <w:iCs/>
          <w:lang w:val="fr"/>
        </w:rPr>
        <w:t>Composante ‘C</w:t>
      </w:r>
      <w:r>
        <w:rPr>
          <w:b/>
          <w:bCs/>
          <w:i/>
          <w:iCs/>
          <w:lang w:val="fr"/>
        </w:rPr>
        <w:t>a</w:t>
      </w:r>
      <w:r>
        <w:rPr>
          <w:b/>
          <w:bCs/>
          <w:i/>
          <w:iCs/>
          <w:lang w:val="fr"/>
        </w:rPr>
        <w:t>raïbes’ du Programme intra-ACP de l’AMCC</w:t>
      </w:r>
      <w:r w:rsidRPr="00281425">
        <w:rPr>
          <w:rStyle w:val="FootnoteReference"/>
          <w:lang w:val="fr"/>
        </w:rPr>
        <w:footnoteReference w:id="2"/>
      </w:r>
      <w:r>
        <w:rPr>
          <w:lang w:val="fr"/>
        </w:rPr>
        <w:t> » est mise en œuvre par le Centre de la Communauté des Caraïbes sur le changement climatique (CCCCC). Son objectif est de fou</w:t>
      </w:r>
      <w:r>
        <w:rPr>
          <w:lang w:val="fr"/>
        </w:rPr>
        <w:t>r</w:t>
      </w:r>
      <w:r>
        <w:rPr>
          <w:lang w:val="fr"/>
        </w:rPr>
        <w:t>nir aux pays participants les ressources et le soutien technique nécessaires pour pouvoir faire face aux changements climatiques. Le programme « </w:t>
      </w:r>
      <w:r>
        <w:rPr>
          <w:b/>
          <w:bCs/>
          <w:i/>
          <w:iCs/>
          <w:lang w:val="fr"/>
        </w:rPr>
        <w:t>Adaptation au changement climatique et aménagement durable du territoire dans les Caraïbes orientales</w:t>
      </w:r>
      <w:r>
        <w:rPr>
          <w:lang w:val="fr"/>
        </w:rPr>
        <w:t> » est mis en œuvre par l'Organisation des États des Caraïbes orientales (OECO) et n'est opérationnel que depuis la fin 2013. Ce programme n'est pas financé par le Programme intra-ACP et ne rentre pas dans le cadre de notre évaluation.</w:t>
      </w:r>
      <w:r>
        <w:rPr>
          <w:rStyle w:val="FootnoteReference"/>
          <w:lang w:val="fr"/>
        </w:rPr>
        <w:t xml:space="preserve"> </w:t>
      </w:r>
      <w:r>
        <w:rPr>
          <w:lang w:val="fr"/>
        </w:rPr>
        <w:t>Le programme régional mis en place en Asie du Sud-Est, baptisé « </w:t>
      </w:r>
      <w:r>
        <w:rPr>
          <w:b/>
          <w:bCs/>
          <w:i/>
          <w:iCs/>
          <w:lang w:val="fr"/>
        </w:rPr>
        <w:t>Initiative de la Commission du bassin du Mékong sur l’adaptation et le changement cl</w:t>
      </w:r>
      <w:r>
        <w:rPr>
          <w:b/>
          <w:bCs/>
          <w:i/>
          <w:iCs/>
          <w:lang w:val="fr"/>
        </w:rPr>
        <w:t>i</w:t>
      </w:r>
      <w:r>
        <w:rPr>
          <w:b/>
          <w:bCs/>
          <w:i/>
          <w:iCs/>
          <w:lang w:val="fr"/>
        </w:rPr>
        <w:t>matique</w:t>
      </w:r>
      <w:r>
        <w:rPr>
          <w:lang w:val="fr"/>
        </w:rPr>
        <w:t> » n'est pas non plus couvert par notre évaluation, pour des raisons d'incompatibilité du calendrier de l’évaluation avec celui de la planification des projets. Qui plus est, cette in</w:t>
      </w:r>
      <w:r>
        <w:rPr>
          <w:lang w:val="fr"/>
        </w:rPr>
        <w:t>i</w:t>
      </w:r>
      <w:r>
        <w:rPr>
          <w:lang w:val="fr"/>
        </w:rPr>
        <w:t>tiative n'est pas non plus financée par le Programme intra-ACP.</w:t>
      </w:r>
    </w:p>
    <w:p w:rsidR="008F3618" w:rsidRPr="00D1792C" w:rsidRDefault="00AD1C0A" w:rsidP="001B12C6">
      <w:pPr>
        <w:rPr>
          <w:lang w:val="fr-BE"/>
        </w:rPr>
      </w:pPr>
      <w:r>
        <w:rPr>
          <w:lang w:val="fr"/>
        </w:rPr>
        <w:lastRenderedPageBreak/>
        <w:t>Outre les composantes géographiques, le Programme intra-ACP possède également une co</w:t>
      </w:r>
      <w:r>
        <w:rPr>
          <w:lang w:val="fr"/>
        </w:rPr>
        <w:t>m</w:t>
      </w:r>
      <w:r>
        <w:rPr>
          <w:lang w:val="fr"/>
        </w:rPr>
        <w:t>posante d'assistance qui assure la coordination générale du programme, l'assistance au Secr</w:t>
      </w:r>
      <w:r>
        <w:rPr>
          <w:lang w:val="fr"/>
        </w:rPr>
        <w:t>é</w:t>
      </w:r>
      <w:r>
        <w:rPr>
          <w:lang w:val="fr"/>
        </w:rPr>
        <w:t>tariat ACP sur les enjeux relatifs aux changements climatiques et l'assistance technique (AT) aux États membres ACP selon différentes modalités, incluant la Facilité climatique (CSF), destinée à fournir aux États membres ACP une formation et une AT personnalisées de courte durée. Le Secrétariat ACP bénéficie aussi des conseils d'un assistant technique spécialisé dans les questions climatiques, qui est notamment chargé de soutenir la préparation des d</w:t>
      </w:r>
      <w:r>
        <w:rPr>
          <w:lang w:val="fr"/>
        </w:rPr>
        <w:t>e</w:t>
      </w:r>
      <w:r>
        <w:rPr>
          <w:lang w:val="fr"/>
        </w:rPr>
        <w:t>mandes auprès de la CSF.</w:t>
      </w:r>
    </w:p>
    <w:p w:rsidR="008F3618" w:rsidRPr="00D1792C" w:rsidRDefault="002F10A6" w:rsidP="001B12C6">
      <w:pPr>
        <w:rPr>
          <w:lang w:val="fr-BE"/>
        </w:rPr>
      </w:pPr>
      <w:r>
        <w:rPr>
          <w:lang w:val="fr"/>
        </w:rPr>
        <w:t>Depuis 2008, l'AMCC soutient également des programmes nationaux dans 38 États membres, dans les mêmes domaines thématiques. Certains de ces programmes sont arrivés à leur terme ou sont en passe de l'être. Afin de renforcer la coordination et la cohérence entre les activités de l'AMCC et celles menées dans le cadre de son Programme intra-ACP, il a été décidé de mener les évaluations simultanément. L'idée était de permettre l'identification et l'analyse des synergies, mais aussi de détecter les moyens d’accroître les bénéfices en termes de dévelo</w:t>
      </w:r>
      <w:r>
        <w:rPr>
          <w:lang w:val="fr"/>
        </w:rPr>
        <w:t>p</w:t>
      </w:r>
      <w:r>
        <w:rPr>
          <w:lang w:val="fr"/>
        </w:rPr>
        <w:t>pement. La procédure d'évaluation a débuté en décembre 2013. Le travail de terrain était complètement terminé en mai 2014. Les premières versions des rapports d’évaluation des activités de l’AMCC et du Programme intra-ACP ont été achevées en juin 2014, tandis que les rapports finaux ont été transmis en octobre 2014. Le présent rapport est accompagné d'aide-mémoires concernant les différents programmes régionaux et la CSF.</w:t>
      </w:r>
    </w:p>
    <w:p w:rsidR="00AD1C0A" w:rsidRPr="00D1792C" w:rsidRDefault="00AD1C0A" w:rsidP="001B12C6">
      <w:pPr>
        <w:rPr>
          <w:lang w:val="fr-BE"/>
        </w:rPr>
      </w:pPr>
      <w:r>
        <w:rPr>
          <w:lang w:val="fr"/>
        </w:rPr>
        <w:t xml:space="preserve">Ce rapport décrit les constatations et les analyses effectuées en lien avec cinq programmes régionaux financés par le Programme intra-ACP ainsi qu'avec le programme pour les PEIP financé par le budget général de l'AMCC. </w:t>
      </w:r>
      <w:r>
        <w:rPr>
          <w:b/>
          <w:bCs/>
          <w:i/>
          <w:iCs/>
          <w:lang w:val="fr"/>
        </w:rPr>
        <w:t>Cette évaluation a pour objectif : de fournir au Secrétariat ACP et aux services de la CE chargés de la coopération des informations, des analyses et des évaluations concernant les performances jusqu’à présent du Programme intra-ACP de l'AMCC ; de déterminer sa valeur ajoutée et ses principaux enseignements ; de recommander des mesures de suivi réalisables durant la période de validité restante des différentes composantes ; ainsi que de formuler des recommandations pour la conception d'une éventuelle deuxième phase à ce Programme intra-ACP, qui pourrait être financée au titre du 11</w:t>
      </w:r>
      <w:r>
        <w:rPr>
          <w:b/>
          <w:bCs/>
          <w:i/>
          <w:iCs/>
          <w:vertAlign w:val="superscript"/>
          <w:lang w:val="fr"/>
        </w:rPr>
        <w:t>e</w:t>
      </w:r>
      <w:r>
        <w:rPr>
          <w:b/>
          <w:bCs/>
          <w:i/>
          <w:iCs/>
          <w:lang w:val="fr"/>
        </w:rPr>
        <w:t xml:space="preserve"> FED dans le cadre de la nouvelle initiative phare de la CE baptisée AMCC+.</w:t>
      </w:r>
    </w:p>
    <w:p w:rsidR="00AD1C0A" w:rsidRPr="00D1792C" w:rsidRDefault="00AD1C0A" w:rsidP="001B12C6">
      <w:pPr>
        <w:rPr>
          <w:b/>
          <w:lang w:val="fr-BE"/>
        </w:rPr>
      </w:pPr>
      <w:r>
        <w:rPr>
          <w:b/>
          <w:bCs/>
          <w:lang w:val="fr"/>
        </w:rPr>
        <w:t>Constatations</w:t>
      </w:r>
    </w:p>
    <w:p w:rsidR="008F3618" w:rsidRPr="00D1792C" w:rsidRDefault="00AD1C0A" w:rsidP="001B12C6">
      <w:pPr>
        <w:rPr>
          <w:lang w:val="fr-BE"/>
        </w:rPr>
      </w:pPr>
      <w:r>
        <w:rPr>
          <w:lang w:val="fr"/>
        </w:rPr>
        <w:t>Le Programme intra-ACP de l'AMCC a soutenu avec succès les États membres ACP dans leurs efforts visant à renforcer leurs capacités à faire face aux changements climatiques. L'adaptation est le domaine où les plus grands progrès ont été réalisés, ce qui est relativement logique dans la mesure où c'est également le domaine où la demande d'assistance est la plus forte. Des besoins spécifiques exprimés aux niveaux national et régional ont pu être comblés et l'adoption d'une approche régionale s'est avérée justifiée. De nombreux problèmes peuvent être résolus rien qu'en encourageant la collaboration entre les pays et en veillant à ce que ceux-ci aient les mêmes capacités à faire face aux changements climatiques. Cependant, il reste, dans l'ensemble, une marge de progression considérable en ce qui concerne le dévelo</w:t>
      </w:r>
      <w:r>
        <w:rPr>
          <w:lang w:val="fr"/>
        </w:rPr>
        <w:t>p</w:t>
      </w:r>
      <w:r>
        <w:rPr>
          <w:lang w:val="fr"/>
        </w:rPr>
        <w:t>pement de nouvelles stratégies et activités au niveau régional. Certains programmes régi</w:t>
      </w:r>
      <w:r>
        <w:rPr>
          <w:lang w:val="fr"/>
        </w:rPr>
        <w:t>o</w:t>
      </w:r>
      <w:r>
        <w:rPr>
          <w:lang w:val="fr"/>
        </w:rPr>
        <w:t>naux sont plus efficaces que d'autres à renforcer la dynamique régionale. Dans le Pacifique, en Afrique orientale et dans les Caraïbes, les structures et réseaux existants renforcent les gains obtenus en facilitant l'établissement d'approches régionales ou en créant les bases n</w:t>
      </w:r>
      <w:r>
        <w:rPr>
          <w:lang w:val="fr"/>
        </w:rPr>
        <w:t>é</w:t>
      </w:r>
      <w:r>
        <w:rPr>
          <w:lang w:val="fr"/>
        </w:rPr>
        <w:t>cessaires à des partenariats régionaux améliorés. Cette première phase du Programme intra-</w:t>
      </w:r>
      <w:r>
        <w:rPr>
          <w:lang w:val="fr"/>
        </w:rPr>
        <w:lastRenderedPageBreak/>
        <w:t>ACP a jeté les fondements d'un mécanisme mondial visant à lutter contre le changement cl</w:t>
      </w:r>
      <w:r>
        <w:rPr>
          <w:lang w:val="fr"/>
        </w:rPr>
        <w:t>i</w:t>
      </w:r>
      <w:r>
        <w:rPr>
          <w:lang w:val="fr"/>
        </w:rPr>
        <w:t>matique grâce aux efforts combinés de plusieurs programmes régionaux.</w:t>
      </w:r>
    </w:p>
    <w:p w:rsidR="008F3618" w:rsidRPr="00D1792C" w:rsidRDefault="00D2294F" w:rsidP="001B12C6">
      <w:pPr>
        <w:rPr>
          <w:lang w:val="fr-BE"/>
        </w:rPr>
      </w:pPr>
      <w:r>
        <w:rPr>
          <w:lang w:val="fr"/>
        </w:rPr>
        <w:t>Plusieurs bonnes initiatives provenant des différents programmes régionaux pourraient servir de base pour l'élaboration d'une deuxième phase au Programme intra-ACP. Cette deuxième phase pourrait prévoir une activité pilote innovante, un renforcement des synergies entre les programmes régionaux et les programmes nationaux financés par le budget général de l'AMCC, la création de ressources et de capacités au niveau régional, tels que des services météorologiques communs, ainsi que le développement de stratégies et de politiques nati</w:t>
      </w:r>
      <w:r>
        <w:rPr>
          <w:lang w:val="fr"/>
        </w:rPr>
        <w:t>o</w:t>
      </w:r>
      <w:r>
        <w:rPr>
          <w:lang w:val="fr"/>
        </w:rPr>
        <w:t>nales permettant aux pays de faire face à des défis nationaux tout en créant une base plus s</w:t>
      </w:r>
      <w:r>
        <w:rPr>
          <w:lang w:val="fr"/>
        </w:rPr>
        <w:t>o</w:t>
      </w:r>
      <w:r>
        <w:rPr>
          <w:lang w:val="fr"/>
        </w:rPr>
        <w:t>lide pour leur participation au niveau régional. Au niveau national, des efforts concertés ont été déployés en vue de fournir une formation approfondie et/ou spécialisée et de favoriser le renforcement des capacités, par exemple en établissant des bureaux nationaux des chang</w:t>
      </w:r>
      <w:r>
        <w:rPr>
          <w:lang w:val="fr"/>
        </w:rPr>
        <w:t>e</w:t>
      </w:r>
      <w:r>
        <w:rPr>
          <w:lang w:val="fr"/>
        </w:rPr>
        <w:t>ments climatiques. Ces efforts ont, à certaines occasions, été menés en coordination avec l'aide fournie dans le cadre des programmes nationaux de l'AMCC.</w:t>
      </w:r>
    </w:p>
    <w:p w:rsidR="008F3618" w:rsidRPr="00D1792C" w:rsidRDefault="00D2294F" w:rsidP="001B12C6">
      <w:pPr>
        <w:rPr>
          <w:lang w:val="fr-BE"/>
        </w:rPr>
      </w:pPr>
      <w:r>
        <w:rPr>
          <w:lang w:val="fr"/>
        </w:rPr>
        <w:t>Il est important de remettre en contexte les résultats initiaux du Programme intra-ACP, étant donné qu'il reste encore un large fossé entre ce qui a été accompli et ce qui doit être fait. Le succès des programmes régionaux se mesure essentiellement aux premières avancées effe</w:t>
      </w:r>
      <w:r>
        <w:rPr>
          <w:lang w:val="fr"/>
        </w:rPr>
        <w:t>c</w:t>
      </w:r>
      <w:r>
        <w:rPr>
          <w:lang w:val="fr"/>
        </w:rPr>
        <w:t>tuées vers la mise en place de capacités d'une importance cruciale devant encore devenir ple</w:t>
      </w:r>
      <w:r>
        <w:rPr>
          <w:lang w:val="fr"/>
        </w:rPr>
        <w:t>i</w:t>
      </w:r>
      <w:r>
        <w:rPr>
          <w:lang w:val="fr"/>
        </w:rPr>
        <w:t xml:space="preserve">nement opérationnelles. Des projets </w:t>
      </w:r>
      <w:proofErr w:type="gramStart"/>
      <w:r>
        <w:rPr>
          <w:lang w:val="fr"/>
        </w:rPr>
        <w:t>pilotes</w:t>
      </w:r>
      <w:proofErr w:type="gramEnd"/>
      <w:r>
        <w:rPr>
          <w:lang w:val="fr"/>
        </w:rPr>
        <w:t xml:space="preserve"> et des démonstrations sur le terrain ont permis d'apprendre et d'expérimenter, mais le niveau de maîtrise des idées et des pratiques qui est nécessaire pour développer à plus grand échelle et reproduire des actions est encore loin d'être atteint. L'impact général du Programme intra-ACP a été amoindri de par la lenteur du démarrage des programmes régionaux, dont quatre (COMESA, CCCCC, CILSS et USP) ont dû être prolongés. On s'attendait à ce que les programmes régionaux deviennent opérationnels très rapidement, ce qui n'a pas forcément été le cas. Les programmes pouvant s'appuyer sur des projets existants et des partenaires de développement solides s'en sont généralement mieux sortis. Cependant, pour ceux </w:t>
      </w:r>
      <w:proofErr w:type="gramStart"/>
      <w:r>
        <w:rPr>
          <w:lang w:val="fr"/>
        </w:rPr>
        <w:t>qui partaient</w:t>
      </w:r>
      <w:proofErr w:type="gramEnd"/>
      <w:r>
        <w:rPr>
          <w:lang w:val="fr"/>
        </w:rPr>
        <w:t xml:space="preserve"> de rien, avec des partenaires de mise en œuvre dotés de capacités techniques et humaines limitées comme la CEA-NU et le COM</w:t>
      </w:r>
      <w:r>
        <w:rPr>
          <w:lang w:val="fr"/>
        </w:rPr>
        <w:t>E</w:t>
      </w:r>
      <w:r>
        <w:rPr>
          <w:lang w:val="fr"/>
        </w:rPr>
        <w:t>SA, il était impossible de produire immédiatement des résultats importants. Les procédures administratives et de passation de marchés de l’UE, des gouvernements nationaux et des pa</w:t>
      </w:r>
      <w:r>
        <w:rPr>
          <w:lang w:val="fr"/>
        </w:rPr>
        <w:t>r</w:t>
      </w:r>
      <w:r>
        <w:rPr>
          <w:lang w:val="fr"/>
        </w:rPr>
        <w:t>tenaires responsables du Programme intra-ACP ont également contribué à retarder la mise en œuvre des activités. Des problèmes liés, notamment, à la signature officielle d’un pays au Programme intra-ACP et au recrutement des effectifs ont eu des répercussions sur les résu</w:t>
      </w:r>
      <w:r>
        <w:rPr>
          <w:lang w:val="fr"/>
        </w:rPr>
        <w:t>l</w:t>
      </w:r>
      <w:r>
        <w:rPr>
          <w:lang w:val="fr"/>
        </w:rPr>
        <w:t>tats et sur les taux de décaissement.</w:t>
      </w:r>
    </w:p>
    <w:p w:rsidR="00AD1C0A" w:rsidRPr="00D1792C" w:rsidRDefault="007E3329" w:rsidP="001B12C6">
      <w:pPr>
        <w:rPr>
          <w:lang w:val="fr-BE"/>
        </w:rPr>
      </w:pPr>
      <w:r>
        <w:rPr>
          <w:lang w:val="fr"/>
        </w:rPr>
        <w:t>Par ailleurs, les différents programmes régionaux n'ont pas tous démontré la même efficacité. Alors que les deux programmes mis en œuvre par l'USP et le CPS dans le Pacifique, le pr</w:t>
      </w:r>
      <w:r>
        <w:rPr>
          <w:lang w:val="fr"/>
        </w:rPr>
        <w:t>o</w:t>
      </w:r>
      <w:r>
        <w:rPr>
          <w:lang w:val="fr"/>
        </w:rPr>
        <w:t xml:space="preserve">gramme CILSS en Afrique orientale et le programme CCCCC dans les Caraïbes peuvent être jugés </w:t>
      </w:r>
      <w:proofErr w:type="gramStart"/>
      <w:r>
        <w:rPr>
          <w:lang w:val="fr"/>
        </w:rPr>
        <w:t>réussis</w:t>
      </w:r>
      <w:proofErr w:type="gramEnd"/>
      <w:r>
        <w:rPr>
          <w:lang w:val="fr"/>
        </w:rPr>
        <w:t xml:space="preserve"> à des degrés divers, on ne peut pas en dire de même du programme ClimDev géré par la CEA-NU ou du programme dirigé par le COMESA. La principale différence entre les programmes régionaux réussis et les autres se situe au niveau des capacités. Tandis que l’Arghymet est une agence technique solide bien dotée en personnel, la CEA-NU dispose d'effectifs de qualité, mais en nombre insuffisant, pour gérer un programme hautement plur</w:t>
      </w:r>
      <w:r>
        <w:rPr>
          <w:lang w:val="fr"/>
        </w:rPr>
        <w:t>i</w:t>
      </w:r>
      <w:r>
        <w:rPr>
          <w:lang w:val="fr"/>
        </w:rPr>
        <w:t>disciplinaire englobant de nombreuses composantes. Si le CCCCC a été spécifiquement créé dans le but de lutter contre le changement climatique et a développé ses capacités et ses rel</w:t>
      </w:r>
      <w:r>
        <w:rPr>
          <w:lang w:val="fr"/>
        </w:rPr>
        <w:t>a</w:t>
      </w:r>
      <w:r>
        <w:rPr>
          <w:lang w:val="fr"/>
        </w:rPr>
        <w:lastRenderedPageBreak/>
        <w:t>tions en conséquence, les trois CER mises en places en Afrique orientale et australe dévelo</w:t>
      </w:r>
      <w:r>
        <w:rPr>
          <w:lang w:val="fr"/>
        </w:rPr>
        <w:t>p</w:t>
      </w:r>
      <w:r>
        <w:rPr>
          <w:lang w:val="fr"/>
        </w:rPr>
        <w:t>pent leurs capacités dans ce domaine au fur et à mesure de la mise en œuvre du programme</w:t>
      </w:r>
      <w:r w:rsidRPr="00281425">
        <w:rPr>
          <w:rStyle w:val="FootnoteReference"/>
          <w:lang w:val="fr"/>
        </w:rPr>
        <w:footnoteReference w:id="3"/>
      </w:r>
      <w:r>
        <w:rPr>
          <w:lang w:val="fr"/>
        </w:rPr>
        <w:t>. Dans ces circonstances, des procédures administratives trop longues ne font qu'aggraver la situation. Certains postes clés au sein de la CDAA et de la CAE n'ont été comblés que dans les dernières étapes d'existence du programme.</w:t>
      </w:r>
    </w:p>
    <w:p w:rsidR="00AD1C0A" w:rsidRPr="00D1792C" w:rsidRDefault="00F07B74" w:rsidP="001B12C6">
      <w:pPr>
        <w:rPr>
          <w:lang w:val="fr-BE"/>
        </w:rPr>
      </w:pPr>
      <w:r>
        <w:rPr>
          <w:lang w:val="fr"/>
        </w:rPr>
        <w:t>Il aurait été préférable de veiller en priorité à ce que les partenaires de mise en œuvre soient plus en mesure de gérer des programmes sur le changement climatique d'une ampleur régi</w:t>
      </w:r>
      <w:r>
        <w:rPr>
          <w:lang w:val="fr"/>
        </w:rPr>
        <w:t>o</w:t>
      </w:r>
      <w:r>
        <w:rPr>
          <w:lang w:val="fr"/>
        </w:rPr>
        <w:t>nale. Dans un sens, cela reste aujourd'hui encore une priorité. Ces deux programmes ont n</w:t>
      </w:r>
      <w:r>
        <w:rPr>
          <w:lang w:val="fr"/>
        </w:rPr>
        <w:t>é</w:t>
      </w:r>
      <w:r>
        <w:rPr>
          <w:lang w:val="fr"/>
        </w:rPr>
        <w:t>cessité une attention constante de la part de l'Union européenne et du Secrétariat ACP. Les efforts déployés par l'UE en vue d'établir un meilleur contrôle au-delà du système de suivi axé sur les résultats (ROM) et de désigner des agents nationaux responsables de surveiller la mise en œuvre du programme régional semblent se heurter à des difficultés d'ordre organis</w:t>
      </w:r>
      <w:r>
        <w:rPr>
          <w:lang w:val="fr"/>
        </w:rPr>
        <w:t>a</w:t>
      </w:r>
      <w:r>
        <w:rPr>
          <w:lang w:val="fr"/>
        </w:rPr>
        <w:t>tionnel. Déjà lors du stade de conception, la situation en Afrique aurait exigé davantage de réflexion et une meilleure planification. En réalité, les programmes régionaux auraient tous dû être guidés par une stratégie à plus long terme, qui aurait pu déboucher sur des approches plus spécialisées pour chaque programme régional et sur une stratégie globale définissant de manière plus précise les interactions entre les programmes régionaux et leurs liens avec les initiatives nationales mises en place dans le cadre de l'AMCC. Cette vision aurait dû être so</w:t>
      </w:r>
      <w:r>
        <w:rPr>
          <w:lang w:val="fr"/>
        </w:rPr>
        <w:t>u</w:t>
      </w:r>
      <w:r>
        <w:rPr>
          <w:lang w:val="fr"/>
        </w:rPr>
        <w:t>tenue par des partenaires de mise en œuvre solides, dotés de capacités suffisantes et ayant mis en place des pratiques de gestion appropriées.</w:t>
      </w:r>
    </w:p>
    <w:p w:rsidR="008F3618" w:rsidRPr="00D1792C" w:rsidRDefault="00CC00B7" w:rsidP="001B12C6">
      <w:pPr>
        <w:rPr>
          <w:lang w:val="fr-BE"/>
        </w:rPr>
      </w:pPr>
      <w:r>
        <w:rPr>
          <w:lang w:val="fr"/>
        </w:rPr>
        <w:t>Il conviendrait également de repenser la manière dont la Facilité climatique (CSF) soutient les programmes régionaux. La CSF a dû faire face à des problèmes de conception et à des difficultés administratives, ainsi qu'à un manque de compréhension de ses services. En effet, la demande n'a jamais réellement décollé. Bien que la composante Afrique de l'Ouest ait eu recours à la CSF pour soutenir sa mission, d'autres programmes pourtant moins bien lotis se sont abstenus de l'utiliser. Une relation structurée entre la CSF et les programmes régionaux intra-ACP est nécessaire pour que la CSF puisse apporter une réelle contribution.</w:t>
      </w:r>
    </w:p>
    <w:p w:rsidR="00AD1C0A" w:rsidRPr="00D1792C" w:rsidRDefault="00AD1C0A" w:rsidP="001B12C6">
      <w:pPr>
        <w:rPr>
          <w:lang w:val="fr-BE"/>
        </w:rPr>
      </w:pPr>
      <w:r>
        <w:rPr>
          <w:lang w:val="fr"/>
        </w:rPr>
        <w:t>Certains contractants tels que le COMESA ont aussi leur part de responsabilité pour certains des problèmes rencontrés. Des erreurs ont été commises par rapport aux pratiques administr</w:t>
      </w:r>
      <w:r>
        <w:rPr>
          <w:lang w:val="fr"/>
        </w:rPr>
        <w:t>a</w:t>
      </w:r>
      <w:r>
        <w:rPr>
          <w:lang w:val="fr"/>
        </w:rPr>
        <w:t xml:space="preserve">tives et de gestion, au niveau des décisions de programmation, ainsi que dans le domaine de la communication et de la coordination. Bien que les programmes régionaux aient été conçus de manière à apporter une assistance au niveau national et qu'ils aient effectivement contribué à renforcer les capacités nationales, certaines activités mises en œuvre au niveau des pays se sont révélées non pertinentes et insignifiantes. Il en ressort que le succès d'un programme régional ne se mesure pas au nombre d'activités mises en œuvre dans les différents pays. Les projets </w:t>
      </w:r>
      <w:proofErr w:type="gramStart"/>
      <w:r>
        <w:rPr>
          <w:lang w:val="fr"/>
        </w:rPr>
        <w:t>pilotes</w:t>
      </w:r>
      <w:proofErr w:type="gramEnd"/>
      <w:r>
        <w:rPr>
          <w:lang w:val="fr"/>
        </w:rPr>
        <w:t>, par exemple, devraient être pertinents pour la région. Les pays devraient être encouragés à adopter des approches collectives de résolution de problèmes. Ce type de r</w:t>
      </w:r>
      <w:r>
        <w:rPr>
          <w:lang w:val="fr"/>
        </w:rPr>
        <w:t>é</w:t>
      </w:r>
      <w:r>
        <w:rPr>
          <w:lang w:val="fr"/>
        </w:rPr>
        <w:t>flexion stratégique devrait être appliqué de manière plus systématique dans le cadre du Pr</w:t>
      </w:r>
      <w:r>
        <w:rPr>
          <w:lang w:val="fr"/>
        </w:rPr>
        <w:t>o</w:t>
      </w:r>
      <w:r>
        <w:rPr>
          <w:lang w:val="fr"/>
        </w:rPr>
        <w:t>gramme intra-ACP.</w:t>
      </w:r>
    </w:p>
    <w:p w:rsidR="008F3618" w:rsidRPr="00D1792C" w:rsidRDefault="00192D55" w:rsidP="001B12C6">
      <w:pPr>
        <w:rPr>
          <w:lang w:val="fr-BE"/>
        </w:rPr>
      </w:pPr>
      <w:r>
        <w:rPr>
          <w:lang w:val="fr"/>
        </w:rPr>
        <w:t xml:space="preserve">À certains endroits tels que la région du Pacifique, on a pu observer de fortes synergies avec d'autres initiatives en faveur du développement. En Afrique, en revanche, une meilleure </w:t>
      </w:r>
      <w:r>
        <w:rPr>
          <w:lang w:val="fr"/>
        </w:rPr>
        <w:lastRenderedPageBreak/>
        <w:t>coordination et des partenariats plus clairs seraient bénéfiques. S'agissant de la coordination avec les programmes nationaux de l'AMCC, les régions du Pacifique et des Caraïbes rego</w:t>
      </w:r>
      <w:r>
        <w:rPr>
          <w:lang w:val="fr"/>
        </w:rPr>
        <w:t>r</w:t>
      </w:r>
      <w:r>
        <w:rPr>
          <w:lang w:val="fr"/>
        </w:rPr>
        <w:t>gent d'exemples positifs. D'une manière générale, les programmes nationaux de l'AMCC d</w:t>
      </w:r>
      <w:r>
        <w:rPr>
          <w:lang w:val="fr"/>
        </w:rPr>
        <w:t>e</w:t>
      </w:r>
      <w:r>
        <w:rPr>
          <w:lang w:val="fr"/>
        </w:rPr>
        <w:t>vraient être considérés comme des sources d'innovation pour les programmes régionaux. Le programme national jamaïcain, avec son action pour la protection du littoral, est un exemple de programme national qui expérimente des innovations susceptibles de présenter un intérêt plus large. En Afrique, il ne semble pas non plus y avoir eu de réelle coordination entre les programmes régionaux, les programmes nationaux et les autres bailleurs de fonds, en vue de soutenir le groupe des négociateurs africains (AGN) dans le cadre des négociations intern</w:t>
      </w:r>
      <w:r>
        <w:rPr>
          <w:lang w:val="fr"/>
        </w:rPr>
        <w:t>a</w:t>
      </w:r>
      <w:r>
        <w:rPr>
          <w:lang w:val="fr"/>
        </w:rPr>
        <w:t>tionales sur le changement climatique.</w:t>
      </w:r>
    </w:p>
    <w:p w:rsidR="008F3618" w:rsidRPr="00D1792C" w:rsidRDefault="00AD1C0A" w:rsidP="001B12C6">
      <w:pPr>
        <w:rPr>
          <w:lang w:val="fr-BE"/>
        </w:rPr>
      </w:pPr>
      <w:r>
        <w:rPr>
          <w:lang w:val="fr"/>
        </w:rPr>
        <w:t>Afin de faciliter la compréhension et la comparaison des réalisations de chaque programme régional, un système de notation a été mis au point en partant des dix principales questions qui ont guidé l'évaluation. Ce système de notation couvre des aspects tels que la pertinence, la conception, l'efficacité, l'efficience et la durabilité. Le Programme intra-ACP de l'AMCC a obtenu une note globale de B (satisfaisant-bien), après s'être vu attribuer un B à huit que</w:t>
      </w:r>
      <w:r>
        <w:rPr>
          <w:lang w:val="fr"/>
        </w:rPr>
        <w:t>s</w:t>
      </w:r>
      <w:r>
        <w:rPr>
          <w:lang w:val="fr"/>
        </w:rPr>
        <w:t>tions sur dix. Les aspects « conception » et « réalisation des objectifs généraux » ont quant à eux récoltés un C. Le niveau de performance est apparu variable d'un programme à l'autre, avec une nette différence entre les quatre programmes les plus performants (les deux pr</w:t>
      </w:r>
      <w:r>
        <w:rPr>
          <w:lang w:val="fr"/>
        </w:rPr>
        <w:t>o</w:t>
      </w:r>
      <w:r>
        <w:rPr>
          <w:lang w:val="fr"/>
        </w:rPr>
        <w:t>grammes pour le Pacifique, le programme CILSS et le programme CCCCC) et les pr</w:t>
      </w:r>
      <w:r>
        <w:rPr>
          <w:lang w:val="fr"/>
        </w:rPr>
        <w:t>o</w:t>
      </w:r>
      <w:r>
        <w:rPr>
          <w:lang w:val="fr"/>
        </w:rPr>
        <w:t>grammes ClimDev et COMESA. Nos constatations sont présentées de manière plus détaillée au chapitre 4 portant sur l'évaluation générale du Programme intra-ACP de l'AMCC.</w:t>
      </w:r>
    </w:p>
    <w:p w:rsidR="008F3618" w:rsidRPr="00D1792C" w:rsidRDefault="004013F3" w:rsidP="001B12C6">
      <w:pPr>
        <w:rPr>
          <w:lang w:val="fr-BE"/>
        </w:rPr>
      </w:pPr>
      <w:r>
        <w:rPr>
          <w:lang w:val="fr"/>
        </w:rPr>
        <w:t>Compte tenu de la situation actuelle des marchés mondiaux du carbone, il semble utile de procéder à une réévaluation de la priorité 5 de l’AMCC « </w:t>
      </w:r>
      <w:r>
        <w:rPr>
          <w:i/>
          <w:iCs/>
          <w:lang w:val="fr"/>
        </w:rPr>
        <w:t>renforcement de la participation au marché mondial du carbone </w:t>
      </w:r>
      <w:r>
        <w:rPr>
          <w:lang w:val="fr"/>
        </w:rPr>
        <w:t>» et – dans une moindre mesure – de la priorité 4 « </w:t>
      </w:r>
      <w:r>
        <w:rPr>
          <w:i/>
          <w:iCs/>
          <w:lang w:val="fr"/>
        </w:rPr>
        <w:t>REDD </w:t>
      </w:r>
      <w:r>
        <w:rPr>
          <w:lang w:val="fr"/>
        </w:rPr>
        <w:t>». Le programme mis en œuvre dans les Caraïbes par le CCCCC s'est déjà détourné des marchés du carbone pour se recentrer sur des mesures d'atténuation appropriées au niveau national (MAAN) en s'appuyant sur de nouvelles sources de financement pour le climat, telles que le Fonds vert pour le climat, et en prenant en considération les mécanismes qui régiront la no</w:t>
      </w:r>
      <w:r>
        <w:rPr>
          <w:lang w:val="fr"/>
        </w:rPr>
        <w:t>u</w:t>
      </w:r>
      <w:r>
        <w:rPr>
          <w:lang w:val="fr"/>
        </w:rPr>
        <w:t>velle finance carbone à partir de 2015. La plupart des pays couverts par le Programme intra-ACP ne sont pas de grands émetteurs de gaz à effet de serre (GES) et, bien que les activités d'atténuation et la recherche de sources secondaires de financement aient encore une place dans le programme AMCC+, il serait utile d'entamer une réflexion et quelques recherches en vue de reformuler un domaine prioritaire (accès aux marchés du carbone) qui n'existe plus sous la même forme qu'auparavant. Une option serait de lier les actions d'atténuation à celles visant à réduire la pauvreté, comme c’est le cas pour les actions de REDD.</w:t>
      </w:r>
    </w:p>
    <w:p w:rsidR="008F3618" w:rsidRDefault="002F4363" w:rsidP="001B12C6">
      <w:pPr>
        <w:rPr>
          <w:b/>
        </w:rPr>
      </w:pPr>
      <w:r>
        <w:rPr>
          <w:b/>
          <w:bCs/>
          <w:lang w:val="fr"/>
        </w:rPr>
        <w:t>Principales recommandations</w:t>
      </w:r>
    </w:p>
    <w:p w:rsidR="008F3618" w:rsidRPr="00D1792C" w:rsidRDefault="00D52A4A" w:rsidP="002F4363">
      <w:pPr>
        <w:pStyle w:val="ListParagraph"/>
        <w:numPr>
          <w:ilvl w:val="0"/>
          <w:numId w:val="48"/>
        </w:numPr>
        <w:spacing w:after="0"/>
        <w:rPr>
          <w:lang w:val="fr-BE"/>
        </w:rPr>
      </w:pPr>
      <w:r>
        <w:rPr>
          <w:lang w:val="fr"/>
        </w:rPr>
        <w:t>La création de l’AMCC+, qui correspondrait à la seconde phase du Programme intra-ACP de l'AMCC, est fortement encouragée. Celle-ci devrait cependant être guidée par la définition d'une stratégie à long terme pour le Programme intra-ACP tenant compte de l'accord de Cotonou et anticipant le soutien de l'UE au-delà de l’AMCC+. Une telle str</w:t>
      </w:r>
      <w:r>
        <w:rPr>
          <w:lang w:val="fr"/>
        </w:rPr>
        <w:t>a</w:t>
      </w:r>
      <w:r>
        <w:rPr>
          <w:lang w:val="fr"/>
        </w:rPr>
        <w:t>tégie permettrait aux programmes régionaux de s'occuper des problèmes climatiques propres à leur région tout en favorisant le développement d'une alliance globale substa</w:t>
      </w:r>
      <w:r>
        <w:rPr>
          <w:lang w:val="fr"/>
        </w:rPr>
        <w:t>n</w:t>
      </w:r>
      <w:r>
        <w:rPr>
          <w:lang w:val="fr"/>
        </w:rPr>
        <w:t>tielle entre les pays ACP grâce à une programmation commune. Cette stratégie devrait également définir des paramètres susceptibles d'encourager le développement de syne</w:t>
      </w:r>
      <w:r>
        <w:rPr>
          <w:lang w:val="fr"/>
        </w:rPr>
        <w:t>r</w:t>
      </w:r>
      <w:r>
        <w:rPr>
          <w:lang w:val="fr"/>
        </w:rPr>
        <w:lastRenderedPageBreak/>
        <w:t>gies entre les programmes régionaux et les programmes nationaux de l'AMCC afin de favoriser la réalisation des objectifs nationaux, régionaux et mondiaux. Dans le même temps, il est impératif que chaque programme régional soit guidé par une stratégie régi</w:t>
      </w:r>
      <w:r>
        <w:rPr>
          <w:lang w:val="fr"/>
        </w:rPr>
        <w:t>o</w:t>
      </w:r>
      <w:r>
        <w:rPr>
          <w:lang w:val="fr"/>
        </w:rPr>
        <w:t>nale détaillée sur le changement climatique. À l'heure actuelle, certains programmes r</w:t>
      </w:r>
      <w:r>
        <w:rPr>
          <w:lang w:val="fr"/>
        </w:rPr>
        <w:t>é</w:t>
      </w:r>
      <w:r>
        <w:rPr>
          <w:lang w:val="fr"/>
        </w:rPr>
        <w:t>gionaux ne peuvent se référer à aucun document de ce genre.</w:t>
      </w:r>
    </w:p>
    <w:p w:rsidR="00D52A4A" w:rsidRPr="00D1792C" w:rsidRDefault="00D52A4A" w:rsidP="002F4363">
      <w:pPr>
        <w:spacing w:after="0"/>
        <w:rPr>
          <w:lang w:val="fr-BE"/>
        </w:rPr>
      </w:pPr>
    </w:p>
    <w:p w:rsidR="008F3618" w:rsidRPr="00D1792C" w:rsidRDefault="00D52A4A" w:rsidP="002F4363">
      <w:pPr>
        <w:pStyle w:val="ListParagraph"/>
        <w:numPr>
          <w:ilvl w:val="0"/>
          <w:numId w:val="48"/>
        </w:numPr>
        <w:spacing w:after="0"/>
        <w:rPr>
          <w:lang w:val="fr-BE"/>
        </w:rPr>
      </w:pPr>
      <w:r>
        <w:rPr>
          <w:lang w:val="fr"/>
        </w:rPr>
        <w:t>Une approche différenciée de la programmation régionale devrait être établie afin de reconnaître que tous les partenaires régionaux n'ont pas les mêmes capacités et que chaque région est confrontée à des défis très différents. Les mécanismes tels que la CSF ou l'AT au Secrétariat ACP devraient être mis davantage à profit pour développer les c</w:t>
      </w:r>
      <w:r>
        <w:rPr>
          <w:lang w:val="fr"/>
        </w:rPr>
        <w:t>a</w:t>
      </w:r>
      <w:r>
        <w:rPr>
          <w:lang w:val="fr"/>
        </w:rPr>
        <w:t>pacités des partenaires de mise en œuvre régionaux. En Afrique orientale et australe, par exemple, cela impliquerait de renforcer la communication directe entre la CDAA et la CAE, d'une part, et la CSF et l'AT au Secrétariat ACP, de l'autre. À cet égard, un effort concerté devrait être déployé de façon à veiller à ce que chaque programme régional r</w:t>
      </w:r>
      <w:r>
        <w:rPr>
          <w:lang w:val="fr"/>
        </w:rPr>
        <w:t>é</w:t>
      </w:r>
      <w:r>
        <w:rPr>
          <w:lang w:val="fr"/>
        </w:rPr>
        <w:t>ponde de manière aussi stratégique que possible aux problématiques de sa région, et de façon à exploiter pleinement les possibilités de synergies avec des organisations telles que le PNUD.</w:t>
      </w:r>
    </w:p>
    <w:p w:rsidR="00D52A4A" w:rsidRPr="00D1792C" w:rsidRDefault="00D52A4A" w:rsidP="002F4363">
      <w:pPr>
        <w:pStyle w:val="ListParagraph"/>
        <w:spacing w:after="0"/>
        <w:ind w:left="360"/>
        <w:rPr>
          <w:lang w:val="fr-BE"/>
        </w:rPr>
      </w:pPr>
    </w:p>
    <w:p w:rsidR="008F3618" w:rsidRPr="00D1792C" w:rsidRDefault="00D52A4A" w:rsidP="002F4363">
      <w:pPr>
        <w:pStyle w:val="ListParagraph"/>
        <w:numPr>
          <w:ilvl w:val="0"/>
          <w:numId w:val="48"/>
        </w:numPr>
        <w:spacing w:after="0"/>
        <w:rPr>
          <w:lang w:val="fr-BE"/>
        </w:rPr>
      </w:pPr>
      <w:r>
        <w:rPr>
          <w:lang w:val="fr"/>
        </w:rPr>
        <w:t>Il serait utile d’élaborer une stratégie en matière de gestion et d'administration qui aide à améliorer la cohérence des résultats tout en soutenant, par exemples, une application plus stricte de l'accord de Cotonou (en particulier, de son article 32A) et le développement de synergies entre les programmes régionaux intra-ACP et les programmes nationaux de l’AMCC+. Parmi les premières priorités figurent le développement et la mise en œuvre d'un plan visant à garantir une utilisation plus efficace de la CSF, ainsi que la mise en place d'un système global de suivi et d'évaluation amélioré.</w:t>
      </w:r>
    </w:p>
    <w:p w:rsidR="00D52A4A" w:rsidRPr="00D1792C" w:rsidRDefault="00D52A4A" w:rsidP="002F4363">
      <w:pPr>
        <w:spacing w:after="0"/>
        <w:ind w:firstLine="60"/>
        <w:rPr>
          <w:lang w:val="fr-BE"/>
        </w:rPr>
      </w:pPr>
    </w:p>
    <w:p w:rsidR="008F3618" w:rsidRPr="00D1792C" w:rsidRDefault="00D52A4A" w:rsidP="002F4363">
      <w:pPr>
        <w:pStyle w:val="ListParagraph"/>
        <w:numPr>
          <w:ilvl w:val="0"/>
          <w:numId w:val="48"/>
        </w:numPr>
        <w:spacing w:after="0"/>
        <w:rPr>
          <w:lang w:val="fr-BE"/>
        </w:rPr>
      </w:pPr>
      <w:r>
        <w:rPr>
          <w:lang w:val="fr"/>
        </w:rPr>
        <w:t>Une plus grande attention devrait être accordée à la promotion d'initiatives ayant des implications claires au niveau régional, dans le sens où elles répondent aux besoins p</w:t>
      </w:r>
      <w:r>
        <w:rPr>
          <w:lang w:val="fr"/>
        </w:rPr>
        <w:t>o</w:t>
      </w:r>
      <w:r>
        <w:rPr>
          <w:lang w:val="fr"/>
        </w:rPr>
        <w:t>tentiels de plusieurs pays. Ces initiatives pourraient prendre la forme de services, d'échanges d'informations et de stratégies collectives visant à résoudre des problèmes communs. Des projets pilotes ou des activités de démonstration devraient également être mis sur pied dans le cadre d'un effort plus prononcé visant à créer une forte dynamique régionale. Ces projets pilotes devraient présenter une valeur ajoutée en matière d'appre</w:t>
      </w:r>
      <w:r>
        <w:rPr>
          <w:lang w:val="fr"/>
        </w:rPr>
        <w:t>n</w:t>
      </w:r>
      <w:r>
        <w:rPr>
          <w:lang w:val="fr"/>
        </w:rPr>
        <w:t>tissage et de résolution de problèmes, ainsi qu'un intérêt suffisant pour être reproduit ou développé à plus grande échelle. Les activités actuellement mises en œuvre dans le cadre des programmes nationaux de l'AMCC devraient être considérées comme une source d'inspiration potentielle pour des activités pilotes au niveau régional.</w:t>
      </w:r>
    </w:p>
    <w:p w:rsidR="00D52A4A" w:rsidRPr="00D1792C" w:rsidRDefault="00D52A4A" w:rsidP="002F4363">
      <w:pPr>
        <w:spacing w:after="0"/>
        <w:rPr>
          <w:lang w:val="fr-BE"/>
        </w:rPr>
      </w:pPr>
    </w:p>
    <w:p w:rsidR="008F3618" w:rsidRPr="00D1792C" w:rsidRDefault="00D52A4A" w:rsidP="002F4363">
      <w:pPr>
        <w:pStyle w:val="ListParagraph"/>
        <w:numPr>
          <w:ilvl w:val="0"/>
          <w:numId w:val="48"/>
        </w:numPr>
        <w:spacing w:after="0"/>
        <w:rPr>
          <w:lang w:val="fr-BE"/>
        </w:rPr>
      </w:pPr>
      <w:r>
        <w:rPr>
          <w:lang w:val="fr"/>
        </w:rPr>
        <w:t>Il convient de renforcer les liens de programmation avec les programmes nationaux de l'AMCC. La programmation régionale devrait s'efforcer de combler les lacunes de la programmation nationale en rapport avec des préoccupations régionales. Il serait partic</w:t>
      </w:r>
      <w:r>
        <w:rPr>
          <w:lang w:val="fr"/>
        </w:rPr>
        <w:t>u</w:t>
      </w:r>
      <w:r>
        <w:rPr>
          <w:lang w:val="fr"/>
        </w:rPr>
        <w:t>lièrement intéressant d'examiner la possibilité d'appliquer au niveau régional les comp</w:t>
      </w:r>
      <w:r>
        <w:rPr>
          <w:lang w:val="fr"/>
        </w:rPr>
        <w:t>o</w:t>
      </w:r>
      <w:r>
        <w:rPr>
          <w:lang w:val="fr"/>
        </w:rPr>
        <w:t>santes les plus réussies des programmes nationaux de l'AMCC.</w:t>
      </w:r>
    </w:p>
    <w:p w:rsidR="00D52A4A" w:rsidRPr="00D1792C" w:rsidRDefault="00D52A4A" w:rsidP="002F4363">
      <w:pPr>
        <w:spacing w:after="0"/>
        <w:rPr>
          <w:lang w:val="fr-BE"/>
        </w:rPr>
      </w:pPr>
    </w:p>
    <w:p w:rsidR="008F3618" w:rsidRPr="00D1792C" w:rsidRDefault="00D52A4A" w:rsidP="002F4363">
      <w:pPr>
        <w:pStyle w:val="ListParagraph"/>
        <w:numPr>
          <w:ilvl w:val="0"/>
          <w:numId w:val="48"/>
        </w:numPr>
        <w:spacing w:after="0"/>
        <w:rPr>
          <w:lang w:val="fr-BE"/>
        </w:rPr>
      </w:pPr>
      <w:r>
        <w:rPr>
          <w:lang w:val="fr"/>
        </w:rPr>
        <w:t>Une analyse institutionnelle des capacités de lutte contre le changement climatique d</w:t>
      </w:r>
      <w:r>
        <w:rPr>
          <w:lang w:val="fr"/>
        </w:rPr>
        <w:t>e</w:t>
      </w:r>
      <w:r>
        <w:rPr>
          <w:lang w:val="fr"/>
        </w:rPr>
        <w:t xml:space="preserve">vrait être réalisée auprès de chaque partenaire clé impliqué dans les programmes </w:t>
      </w:r>
      <w:r>
        <w:rPr>
          <w:lang w:val="fr"/>
        </w:rPr>
        <w:lastRenderedPageBreak/>
        <w:t>ClimDev et COMESA. Les besoins de chaque organisation en termes de capacités adm</w:t>
      </w:r>
      <w:r>
        <w:rPr>
          <w:lang w:val="fr"/>
        </w:rPr>
        <w:t>i</w:t>
      </w:r>
      <w:r>
        <w:rPr>
          <w:lang w:val="fr"/>
        </w:rPr>
        <w:t>nistratives et techniques devraient être identifiés et des stratégies élaborées pour faire en sorte que ces programmes soient dotés de capacités institutionnelles comparables aux autres programmes intra-ACP. Cela devrait être une condition indispensable pour acc</w:t>
      </w:r>
      <w:r>
        <w:rPr>
          <w:lang w:val="fr"/>
        </w:rPr>
        <w:t>é</w:t>
      </w:r>
      <w:r>
        <w:rPr>
          <w:lang w:val="fr"/>
        </w:rPr>
        <w:t>der aux ressources de l'AMCC et du Programme intra-ACP+. Il pourrait également s'av</w:t>
      </w:r>
      <w:r>
        <w:rPr>
          <w:lang w:val="fr"/>
        </w:rPr>
        <w:t>é</w:t>
      </w:r>
      <w:r>
        <w:rPr>
          <w:lang w:val="fr"/>
        </w:rPr>
        <w:t>rer prudent d'examiner, en coopération avec les autres organisations dirigeant des pr</w:t>
      </w:r>
      <w:r>
        <w:rPr>
          <w:lang w:val="fr"/>
        </w:rPr>
        <w:t>o</w:t>
      </w:r>
      <w:r>
        <w:rPr>
          <w:lang w:val="fr"/>
        </w:rPr>
        <w:t>grammes régionaux, quels sont les aspects de leurs opérations qui pourraient bénéficier d'un renforcement via le Programme intra-ACP.</w:t>
      </w:r>
    </w:p>
    <w:p w:rsidR="002F4363" w:rsidRPr="00D1792C" w:rsidRDefault="002F4363" w:rsidP="002F4363">
      <w:pPr>
        <w:spacing w:after="0"/>
        <w:rPr>
          <w:lang w:val="fr-BE"/>
        </w:rPr>
      </w:pPr>
    </w:p>
    <w:p w:rsidR="008F3618" w:rsidRPr="00D1792C" w:rsidRDefault="00D52A4A" w:rsidP="002F4363">
      <w:pPr>
        <w:pStyle w:val="ListParagraph"/>
        <w:numPr>
          <w:ilvl w:val="0"/>
          <w:numId w:val="48"/>
        </w:numPr>
        <w:spacing w:after="0"/>
        <w:rPr>
          <w:lang w:val="fr-BE"/>
        </w:rPr>
      </w:pPr>
      <w:r>
        <w:rPr>
          <w:lang w:val="fr"/>
        </w:rPr>
        <w:t>L'Union européenne devrait mettre en place un mécanisme permettant de mieux survei</w:t>
      </w:r>
      <w:r>
        <w:rPr>
          <w:lang w:val="fr"/>
        </w:rPr>
        <w:t>l</w:t>
      </w:r>
      <w:r>
        <w:rPr>
          <w:lang w:val="fr"/>
        </w:rPr>
        <w:t>ler les programmes régionaux. Cette précaution est particulièrement importante pour les programmes plus problématiques. Parmi les options possibles, on pourrait renforcer le rôle des délégations de l'UE dans les pays ACP et, éventuellement, encourager le recours aux ressources de la CSF.</w:t>
      </w:r>
    </w:p>
    <w:p w:rsidR="00D52A4A" w:rsidRPr="00D1792C" w:rsidRDefault="00D52A4A" w:rsidP="002F4363">
      <w:pPr>
        <w:spacing w:after="0"/>
        <w:rPr>
          <w:lang w:val="fr-BE"/>
        </w:rPr>
      </w:pPr>
    </w:p>
    <w:p w:rsidR="008F3618" w:rsidRPr="00D1792C" w:rsidRDefault="00D52A4A" w:rsidP="002F4363">
      <w:pPr>
        <w:pStyle w:val="ListParagraph"/>
        <w:numPr>
          <w:ilvl w:val="0"/>
          <w:numId w:val="48"/>
        </w:numPr>
        <w:spacing w:after="0"/>
        <w:rPr>
          <w:lang w:val="fr-BE"/>
        </w:rPr>
      </w:pPr>
      <w:r>
        <w:rPr>
          <w:lang w:val="fr"/>
        </w:rPr>
        <w:t>L'AT au Secrétariat ACP et la CSF devraient être dotées d'une structure administrative claire de manière à garantir une utilisation plus efficace de ces services. La clé consiste à établir une structure garantissant l'existence d'une demande constante. Ceci pourrait, par exemple, être réalisé en donnant à l'AT au Secrétariat ACP et à la CSF plus de respons</w:t>
      </w:r>
      <w:r>
        <w:rPr>
          <w:lang w:val="fr"/>
        </w:rPr>
        <w:t>a</w:t>
      </w:r>
      <w:r>
        <w:rPr>
          <w:lang w:val="fr"/>
        </w:rPr>
        <w:t>bilités directes, comme celle de vérifier que le Programme intra-ACP de l’AMCC+ re</w:t>
      </w:r>
      <w:r>
        <w:rPr>
          <w:lang w:val="fr"/>
        </w:rPr>
        <w:t>s</w:t>
      </w:r>
      <w:r>
        <w:rPr>
          <w:lang w:val="fr"/>
        </w:rPr>
        <w:t>pecte les objectifs de l'accord de Cotonou. La CSF peut clairement contribuer à bâtir des ponts entre les programmes régionaux en vue d'atteindre des objectifs mondiaux. En ce qui concerne les différents programmes régionaux, une approche plus planifiée devrait être adoptée pour permettre à la CSF de soutenir des objectifs régionaux sous la forme d'une assistance technique. Il serait utile d'intensifier le dialogue et le partage d'inform</w:t>
      </w:r>
      <w:r>
        <w:rPr>
          <w:lang w:val="fr"/>
        </w:rPr>
        <w:t>a</w:t>
      </w:r>
      <w:r>
        <w:rPr>
          <w:lang w:val="fr"/>
        </w:rPr>
        <w:t>tions entre l'AT au Secrétariat ACP et la CSF, d'une part, et les différents programmes régionaux, d'autre part. Par exemple, des représentants de la CSF pourraient régulièr</w:t>
      </w:r>
      <w:r>
        <w:rPr>
          <w:lang w:val="fr"/>
        </w:rPr>
        <w:t>e</w:t>
      </w:r>
      <w:r>
        <w:rPr>
          <w:lang w:val="fr"/>
        </w:rPr>
        <w:t>ment assister aux réunions du comité directeur des programmes régionaux, auxquelles participent tous les partenaires clés.</w:t>
      </w:r>
    </w:p>
    <w:p w:rsidR="00D52A4A" w:rsidRPr="00D1792C" w:rsidRDefault="00D52A4A" w:rsidP="002F4363">
      <w:pPr>
        <w:spacing w:after="0"/>
        <w:rPr>
          <w:lang w:val="fr-BE"/>
        </w:rPr>
      </w:pPr>
    </w:p>
    <w:p w:rsidR="008F3618" w:rsidRPr="00D1792C" w:rsidRDefault="00D52A4A" w:rsidP="002F4363">
      <w:pPr>
        <w:pStyle w:val="ListParagraph"/>
        <w:numPr>
          <w:ilvl w:val="0"/>
          <w:numId w:val="48"/>
        </w:numPr>
        <w:spacing w:after="0"/>
        <w:rPr>
          <w:lang w:val="fr-BE"/>
        </w:rPr>
      </w:pPr>
      <w:r>
        <w:rPr>
          <w:lang w:val="fr"/>
        </w:rPr>
        <w:t>Les cinq domaines prioritaires du Programme intra-ACP devraient être réexaminés afin de vérifier qu'ils restent pertinents pour la deuxième phase du programme et au-delà. Les priorités concernant les mesures d'atténuation et le MDP méritent un intérêt particulier. L'amélioration du stock forestier en termes de volume et de diversité et la promotion de sources d'énergie neutres en carbone, par exemple, restent des objectifs louables. Compte tenu de la situation actuelle de la finance carbone, la question à se poser est la suivante : comment le Programme intra-ACP peut-il faire des avancées dans ce domaine et co</w:t>
      </w:r>
      <w:r>
        <w:rPr>
          <w:lang w:val="fr"/>
        </w:rPr>
        <w:t>m</w:t>
      </w:r>
      <w:r>
        <w:rPr>
          <w:lang w:val="fr"/>
        </w:rPr>
        <w:t>ment l'encadrer au mieux ? Dans le même temps, ce réexamen devrait être considéré comme l'occasion de recenser des initiatives mondiales susceptibles d'être partagées et soutenues par l'ensemble des programmes régionaux.</w:t>
      </w:r>
    </w:p>
    <w:p w:rsidR="00D52A4A" w:rsidRPr="00D1792C" w:rsidRDefault="00D52A4A" w:rsidP="002F4363">
      <w:pPr>
        <w:spacing w:after="0"/>
        <w:rPr>
          <w:lang w:val="fr-BE"/>
        </w:rPr>
      </w:pPr>
    </w:p>
    <w:p w:rsidR="008F3618" w:rsidRPr="00D1792C" w:rsidRDefault="00D52A4A" w:rsidP="002F4363">
      <w:pPr>
        <w:pStyle w:val="ListParagraph"/>
        <w:numPr>
          <w:ilvl w:val="0"/>
          <w:numId w:val="48"/>
        </w:numPr>
        <w:spacing w:after="0"/>
        <w:rPr>
          <w:lang w:val="fr-BE"/>
        </w:rPr>
      </w:pPr>
      <w:r>
        <w:rPr>
          <w:lang w:val="fr"/>
        </w:rPr>
        <w:t xml:space="preserve">Les fonds subsistant dans l'enveloppe du Programme intra-ACP devraient être utilisés à des fins concrètes, par exemple, pour financer des évaluations détaillées des programmes ClimDev et COMESA, dans la mesure où ces évaluations ne peuvent pas être financées à partir d'autres sources. Les évaluations devraient inclure une analyse institutionnelle des organisations partenaires de ces programmes (COMESA, CAE et CDAA) et conduire, </w:t>
      </w:r>
      <w:r>
        <w:rPr>
          <w:lang w:val="fr"/>
        </w:rPr>
        <w:lastRenderedPageBreak/>
        <w:t>lorsque cela s'avère nécessaire, à l'élaboration de stratégies de renforcement des capac</w:t>
      </w:r>
      <w:r>
        <w:rPr>
          <w:lang w:val="fr"/>
        </w:rPr>
        <w:t>i</w:t>
      </w:r>
      <w:r>
        <w:rPr>
          <w:lang w:val="fr"/>
        </w:rPr>
        <w:t>tés. Les fonds devraient aussi servir à développer une stratégie visant à renforcer la coo</w:t>
      </w:r>
      <w:r>
        <w:rPr>
          <w:lang w:val="fr"/>
        </w:rPr>
        <w:t>r</w:t>
      </w:r>
      <w:r>
        <w:rPr>
          <w:lang w:val="fr"/>
        </w:rPr>
        <w:t>dination de la programmation interrégionale et à soutenir la réalisation des objectifs de l'accord de Cotonou. L'enveloppe financière restante devrait également être utilisée pour des mesures destinées à encourager le recours à la CSF et à améliorer son fonctionn</w:t>
      </w:r>
      <w:r>
        <w:rPr>
          <w:lang w:val="fr"/>
        </w:rPr>
        <w:t>e</w:t>
      </w:r>
      <w:r>
        <w:rPr>
          <w:lang w:val="fr"/>
        </w:rPr>
        <w:t>ment.</w:t>
      </w:r>
    </w:p>
    <w:p w:rsidR="002F4363" w:rsidRPr="00D1792C" w:rsidRDefault="002F4363" w:rsidP="002F4363">
      <w:pPr>
        <w:pStyle w:val="ListParagraph"/>
        <w:rPr>
          <w:lang w:val="fr-BE"/>
        </w:rPr>
      </w:pPr>
    </w:p>
    <w:p w:rsidR="008F3618" w:rsidRPr="00D1792C" w:rsidRDefault="00D52A4A" w:rsidP="002F4363">
      <w:pPr>
        <w:pStyle w:val="ListParagraph"/>
        <w:numPr>
          <w:ilvl w:val="0"/>
          <w:numId w:val="48"/>
        </w:numPr>
        <w:spacing w:after="0"/>
        <w:rPr>
          <w:lang w:val="fr-BE"/>
        </w:rPr>
      </w:pPr>
      <w:r>
        <w:rPr>
          <w:lang w:val="fr"/>
        </w:rPr>
        <w:t>Afin d'améliorer la visibilité du Programme intra-ACP, le Secrétariat ACP et l'UE d</w:t>
      </w:r>
      <w:r>
        <w:rPr>
          <w:lang w:val="fr"/>
        </w:rPr>
        <w:t>e</w:t>
      </w:r>
      <w:r>
        <w:rPr>
          <w:lang w:val="fr"/>
        </w:rPr>
        <w:t>vraient établir des lignes directrices de façon à s'assurer que certaines attentes minimales soient satisfaites, par exemple en termes de présence sur internet. À l'heure actuelle, les programmes régionaux appliquent des stratégies de communication très différentes, dont certaines plus réussies que d'autres. Dans l'ensemble, cependant, il conviendrait de déf</w:t>
      </w:r>
      <w:r>
        <w:rPr>
          <w:lang w:val="fr"/>
        </w:rPr>
        <w:t>i</w:t>
      </w:r>
      <w:r>
        <w:rPr>
          <w:lang w:val="fr"/>
        </w:rPr>
        <w:t>nir des pratiques et des normes minimales pour les activités de communication qui soient communes à tous les programmes régionaux.</w:t>
      </w:r>
      <w:bookmarkStart w:id="7" w:name="_Toc392064205"/>
    </w:p>
    <w:p w:rsidR="008F3618" w:rsidRPr="00D1792C" w:rsidRDefault="008F3618" w:rsidP="008F3618">
      <w:pPr>
        <w:pStyle w:val="ListParagraph"/>
        <w:rPr>
          <w:lang w:val="fr-BE"/>
        </w:rPr>
      </w:pPr>
    </w:p>
    <w:p w:rsidR="002E3C3A" w:rsidRPr="00D1792C" w:rsidRDefault="002E3C3A" w:rsidP="002F4363">
      <w:pPr>
        <w:pStyle w:val="ListParagraph"/>
        <w:numPr>
          <w:ilvl w:val="0"/>
          <w:numId w:val="48"/>
        </w:numPr>
        <w:spacing w:after="0"/>
        <w:rPr>
          <w:lang w:val="fr-BE"/>
        </w:rPr>
      </w:pPr>
      <w:r>
        <w:rPr>
          <w:lang w:val="fr"/>
        </w:rPr>
        <w:br w:type="page"/>
      </w:r>
    </w:p>
    <w:p w:rsidR="008F3618" w:rsidRDefault="00E12449" w:rsidP="00AD1C0A">
      <w:pPr>
        <w:pStyle w:val="Heading1"/>
        <w:keepNext w:val="0"/>
        <w:numPr>
          <w:ilvl w:val="0"/>
          <w:numId w:val="2"/>
        </w:numPr>
        <w:spacing w:line="276" w:lineRule="auto"/>
        <w:contextualSpacing/>
      </w:pPr>
      <w:bookmarkStart w:id="8" w:name="_Toc406494012"/>
      <w:r>
        <w:rPr>
          <w:bCs/>
          <w:lang w:val="fr"/>
        </w:rPr>
        <w:lastRenderedPageBreak/>
        <w:t>Introduction</w:t>
      </w:r>
      <w:bookmarkEnd w:id="7"/>
      <w:bookmarkEnd w:id="8"/>
    </w:p>
    <w:p w:rsidR="00231F1A" w:rsidRPr="00A94D8B" w:rsidRDefault="00231F1A" w:rsidP="00AD1C0A">
      <w:pPr>
        <w:pStyle w:val="Heading2"/>
      </w:pPr>
      <w:bookmarkStart w:id="9" w:name="_Toc392064206"/>
      <w:bookmarkStart w:id="10" w:name="_Toc391490076"/>
      <w:bookmarkStart w:id="11" w:name="_Toc406494013"/>
      <w:r>
        <w:rPr>
          <w:bCs/>
          <w:lang w:val="fr"/>
        </w:rPr>
        <w:t>Contexte de l’évaluation</w:t>
      </w:r>
      <w:bookmarkEnd w:id="9"/>
      <w:bookmarkEnd w:id="10"/>
      <w:bookmarkEnd w:id="11"/>
    </w:p>
    <w:p w:rsidR="00231F1A" w:rsidRPr="00A94D8B" w:rsidRDefault="00231F1A" w:rsidP="00B235E4">
      <w:pPr>
        <w:pStyle w:val="Heading3"/>
        <w:numPr>
          <w:ilvl w:val="2"/>
          <w:numId w:val="11"/>
        </w:numPr>
      </w:pPr>
      <w:bookmarkStart w:id="12" w:name="_Toc392064207"/>
      <w:bookmarkStart w:id="13" w:name="_Toc391490077"/>
      <w:bookmarkStart w:id="14" w:name="_Toc406494014"/>
      <w:r>
        <w:rPr>
          <w:lang w:val="fr"/>
        </w:rPr>
        <w:t>La mission d'évaluation</w:t>
      </w:r>
      <w:bookmarkEnd w:id="12"/>
      <w:bookmarkEnd w:id="13"/>
      <w:bookmarkEnd w:id="14"/>
    </w:p>
    <w:p w:rsidR="00231F1A" w:rsidRPr="00D1792C" w:rsidRDefault="00231F1A" w:rsidP="00AD1C0A">
      <w:pPr>
        <w:autoSpaceDE w:val="0"/>
        <w:autoSpaceDN w:val="0"/>
        <w:rPr>
          <w:color w:val="1A1A18"/>
          <w:lang w:val="fr-BE"/>
        </w:rPr>
      </w:pPr>
      <w:r>
        <w:rPr>
          <w:color w:val="1A1A18"/>
          <w:lang w:val="fr"/>
        </w:rPr>
        <w:t>Le présent rapport constitue l'une des deux réalisations finales de l'équipe chargée de l'év</w:t>
      </w:r>
      <w:r>
        <w:rPr>
          <w:color w:val="1A1A18"/>
          <w:lang w:val="fr"/>
        </w:rPr>
        <w:t>a</w:t>
      </w:r>
      <w:r>
        <w:rPr>
          <w:color w:val="1A1A18"/>
          <w:lang w:val="fr"/>
        </w:rPr>
        <w:t xml:space="preserve">luation de l'AMCC et de l'évaluation à mi-parcours du Programme intra-ACP de l'AMCC, une tâche qui lui a été confiée en vertu du contrat-cadre EuropeAid/127054/C/SER/Multi - Lot 6 : Environnement. Les termes de référence (TdR) de cette tâche sont joints en </w:t>
      </w:r>
      <w:r>
        <w:rPr>
          <w:i/>
          <w:iCs/>
          <w:color w:val="1A1A18"/>
          <w:lang w:val="fr"/>
        </w:rPr>
        <w:t>annexe 1</w:t>
      </w:r>
      <w:r>
        <w:rPr>
          <w:color w:val="1A1A18"/>
          <w:lang w:val="fr"/>
        </w:rPr>
        <w:t xml:space="preserve">. Compte tenu de l'interaction et </w:t>
      </w:r>
      <w:proofErr w:type="gramStart"/>
      <w:r>
        <w:rPr>
          <w:color w:val="1A1A18"/>
          <w:lang w:val="fr"/>
        </w:rPr>
        <w:t>de la complémentarité présumées</w:t>
      </w:r>
      <w:proofErr w:type="gramEnd"/>
      <w:r>
        <w:rPr>
          <w:color w:val="1A1A18"/>
          <w:lang w:val="fr"/>
        </w:rPr>
        <w:t xml:space="preserve"> entre les deux programmes, il a été décidé d'examiner ces derniers en commandant une seule et même évaluation. De plus, le Programme intra-ACP est un sous-programme de l'initiative AMCC. Cependant, les programmes dépendent de sources de financement différentes. Par conséquent, deux rapports finaux distincts ont dû être élaborés,</w:t>
      </w:r>
      <w:r>
        <w:rPr>
          <w:lang w:val="fr"/>
        </w:rPr>
        <w:t xml:space="preserve"> </w:t>
      </w:r>
      <w:r>
        <w:rPr>
          <w:color w:val="1A1A18"/>
          <w:lang w:val="fr"/>
        </w:rPr>
        <w:t>un pour l'AMCC globale et un autre pour le Programme intra-ACP de l’AMCC.</w:t>
      </w:r>
    </w:p>
    <w:p w:rsidR="008F3618" w:rsidRPr="00D1792C" w:rsidRDefault="00231F1A" w:rsidP="00AD1C0A">
      <w:pPr>
        <w:autoSpaceDE w:val="0"/>
        <w:autoSpaceDN w:val="0"/>
        <w:rPr>
          <w:color w:val="1A1A18"/>
          <w:lang w:val="fr-BE"/>
        </w:rPr>
      </w:pPr>
      <w:r>
        <w:rPr>
          <w:color w:val="1A1A18"/>
          <w:lang w:val="fr"/>
        </w:rPr>
        <w:t>L'équipe mobilisée dans le cadre du consortium EURONET était composée de M. Egger Topper (AGEG Consultants), spécialiste en évaluation et en foresterie, et de M. Dean Pallen, expert en évaluation spécialisé dans le changement climatique (Baastel). M. Pallen a rempl</w:t>
      </w:r>
      <w:r>
        <w:rPr>
          <w:color w:val="1A1A18"/>
          <w:lang w:val="fr"/>
        </w:rPr>
        <w:t>a</w:t>
      </w:r>
      <w:r>
        <w:rPr>
          <w:color w:val="1A1A18"/>
          <w:lang w:val="fr"/>
        </w:rPr>
        <w:t>cé M. Alexandre Borde, économiste et expert en climat, dont la participation s'est limitée à la première phase de l'évaluation. M. Topper et M. Pallen étaient soutenus par le directeur de projet, M. Dolf Noppen (NCG), ainsi que par M. Per Kirkeman (NCG), expert en gestion d'évaluations. L'</w:t>
      </w:r>
      <w:r>
        <w:rPr>
          <w:i/>
          <w:iCs/>
          <w:color w:val="1A1A18"/>
          <w:lang w:val="fr"/>
        </w:rPr>
        <w:t>annexe 2</w:t>
      </w:r>
      <w:r>
        <w:rPr>
          <w:color w:val="1A1A18"/>
          <w:lang w:val="fr"/>
        </w:rPr>
        <w:t xml:space="preserve"> comporte de brèves biographies des membres de l'équipe.</w:t>
      </w:r>
    </w:p>
    <w:p w:rsidR="00231F1A" w:rsidRPr="00D1792C" w:rsidRDefault="00231F1A" w:rsidP="00AD1C0A">
      <w:pPr>
        <w:autoSpaceDE w:val="0"/>
        <w:autoSpaceDN w:val="0"/>
        <w:rPr>
          <w:color w:val="1A1A18"/>
          <w:lang w:val="fr-BE"/>
        </w:rPr>
      </w:pPr>
      <w:r>
        <w:rPr>
          <w:color w:val="1A1A18"/>
          <w:lang w:val="fr"/>
        </w:rPr>
        <w:t>La mission a débuté en décembre 2013 par une phase documentaire. Des visites sur le terrain ont été effectuées de février à mai 2014, tandis que les mois de juin et de juillet ont été cons</w:t>
      </w:r>
      <w:r>
        <w:rPr>
          <w:color w:val="1A1A18"/>
          <w:lang w:val="fr"/>
        </w:rPr>
        <w:t>a</w:t>
      </w:r>
      <w:r>
        <w:rPr>
          <w:color w:val="1A1A18"/>
          <w:lang w:val="fr"/>
        </w:rPr>
        <w:t>crés aux tâches de synthèse, de rédaction et de présentation. Les évaluateurs ont examiné un échantillon de six programmes régionaux et de dix programmes nationaux. Au terme d'une sélection fondée sur plusieurs critères (voir le rapport documentaire), les pays suivants ont été retenus pour faire l'objet de missions sur le terrain d'une durée de 3 à 5 jours chacune : en Asie, le Népal et le Bhoutan ; dans le Pacifique, Fidji ; en Afrique de l'Ouest, le Burkina F</w:t>
      </w:r>
      <w:r>
        <w:rPr>
          <w:color w:val="1A1A18"/>
          <w:lang w:val="fr"/>
        </w:rPr>
        <w:t>a</w:t>
      </w:r>
      <w:r>
        <w:rPr>
          <w:color w:val="1A1A18"/>
          <w:lang w:val="fr"/>
        </w:rPr>
        <w:t>so, le Niger et le Bénin ; dans les Caraïbes, le Belize et la Jamaïque ; en Afrique orientale, l’Éthiopie et le Rwanda ; en Afrique australe, la Zambie et le Mozambique ; et dans la région de l'océan Indien, l’île Maurice. Dans ces pays, les interventions aux niveaux régional et n</w:t>
      </w:r>
      <w:r>
        <w:rPr>
          <w:color w:val="1A1A18"/>
          <w:lang w:val="fr"/>
        </w:rPr>
        <w:t>a</w:t>
      </w:r>
      <w:r>
        <w:rPr>
          <w:color w:val="1A1A18"/>
          <w:lang w:val="fr"/>
        </w:rPr>
        <w:t>tional soutenues par les deux programmes ont été évaluées. Par ailleurs, des entretiens ont été menés avec le personnel de l'Assistance technique (AT) au Secrétariat ACP ainsi qu'avec la direction de la Facilité climatique. Un calendrier de travail est joint à l'</w:t>
      </w:r>
      <w:r>
        <w:rPr>
          <w:i/>
          <w:iCs/>
          <w:color w:val="1A1A18"/>
          <w:lang w:val="fr"/>
        </w:rPr>
        <w:t>annexe 6</w:t>
      </w:r>
      <w:r>
        <w:rPr>
          <w:color w:val="1A1A18"/>
          <w:lang w:val="fr"/>
        </w:rPr>
        <w:t>.</w:t>
      </w:r>
    </w:p>
    <w:p w:rsidR="008F3618" w:rsidRPr="00D1792C" w:rsidRDefault="00231F1A" w:rsidP="00AD1C0A">
      <w:pPr>
        <w:autoSpaceDE w:val="0"/>
        <w:autoSpaceDN w:val="0"/>
        <w:rPr>
          <w:color w:val="1A1A18"/>
          <w:lang w:val="fr-BE"/>
        </w:rPr>
      </w:pPr>
      <w:r>
        <w:rPr>
          <w:color w:val="1A1A18"/>
          <w:lang w:val="fr"/>
        </w:rPr>
        <w:t>Le présent rapport fait suite à celui transmis à la fin de la phase documentaire, qui décrivait l'approche et la méthodologie proposées. En essence, le rapport vise à répondre aux dix pri</w:t>
      </w:r>
      <w:r>
        <w:rPr>
          <w:color w:val="1A1A18"/>
          <w:lang w:val="fr"/>
        </w:rPr>
        <w:t>n</w:t>
      </w:r>
      <w:r>
        <w:rPr>
          <w:color w:val="1A1A18"/>
          <w:lang w:val="fr"/>
        </w:rPr>
        <w:t>cipales questions d'évaluation formulées durant la phase documentaire, en utilisant la grille d'évaluation présentée à l'</w:t>
      </w:r>
      <w:r>
        <w:rPr>
          <w:i/>
          <w:iCs/>
          <w:color w:val="1A1A18"/>
          <w:lang w:val="fr"/>
        </w:rPr>
        <w:t>annexe 4A</w:t>
      </w:r>
      <w:r>
        <w:rPr>
          <w:color w:val="1A1A18"/>
          <w:lang w:val="fr"/>
        </w:rPr>
        <w:t>. Le rapport fournit une analyse des constatations, des conclusions et des recommandations pour le programme AMCC global, en se concentrant sur les enjeux au niveau macro. Il est complété par un rapport concernant l'évaluation du Pr</w:t>
      </w:r>
      <w:r>
        <w:rPr>
          <w:color w:val="1A1A18"/>
          <w:lang w:val="fr"/>
        </w:rPr>
        <w:t>o</w:t>
      </w:r>
      <w:r>
        <w:rPr>
          <w:color w:val="1A1A18"/>
          <w:lang w:val="fr"/>
        </w:rPr>
        <w:t>gramme intra-ACP.</w:t>
      </w:r>
    </w:p>
    <w:p w:rsidR="008F3618" w:rsidRPr="00D1792C" w:rsidRDefault="00231F1A" w:rsidP="00AD1C0A">
      <w:pPr>
        <w:autoSpaceDE w:val="0"/>
        <w:autoSpaceDN w:val="0"/>
        <w:rPr>
          <w:color w:val="1A1A18"/>
          <w:lang w:val="fr-BE"/>
        </w:rPr>
      </w:pPr>
      <w:r>
        <w:rPr>
          <w:color w:val="1A1A18"/>
          <w:lang w:val="fr"/>
        </w:rPr>
        <w:lastRenderedPageBreak/>
        <w:t>Le rapport s'appuie essentiellement sur la série d'aide-mémoires de la mission (présentés à l'</w:t>
      </w:r>
      <w:r>
        <w:rPr>
          <w:i/>
          <w:iCs/>
          <w:color w:val="1A1A18"/>
          <w:lang w:val="fr"/>
        </w:rPr>
        <w:t>annexe 3</w:t>
      </w:r>
      <w:r>
        <w:rPr>
          <w:color w:val="1A1A18"/>
          <w:lang w:val="fr"/>
        </w:rPr>
        <w:t>), qui soulignent les forces et les défis des différents projets et programmes évalués. Les aide-mémoires contiennent également les enjeux au niveau micro. Bien qu'elles n'aient de réel intérêt que pour le pays ou la région concernée, ces informations ont été reprises ici au cas où elles s'avèreraient utiles dans le cadre de l'évaluation du programme général.</w:t>
      </w:r>
    </w:p>
    <w:p w:rsidR="00231F1A" w:rsidRPr="00D1792C" w:rsidRDefault="00231F1A" w:rsidP="00AD1C0A">
      <w:pPr>
        <w:autoSpaceDE w:val="0"/>
        <w:autoSpaceDN w:val="0"/>
        <w:rPr>
          <w:color w:val="1A1A18"/>
          <w:lang w:val="fr-BE"/>
        </w:rPr>
      </w:pPr>
      <w:r>
        <w:rPr>
          <w:color w:val="1A1A18"/>
          <w:lang w:val="fr"/>
        </w:rPr>
        <w:t>Le rapport est structuré de la manière suivante : la présente section 2.1 fournit des inform</w:t>
      </w:r>
      <w:r>
        <w:rPr>
          <w:color w:val="1A1A18"/>
          <w:lang w:val="fr"/>
        </w:rPr>
        <w:t>a</w:t>
      </w:r>
      <w:r>
        <w:rPr>
          <w:color w:val="1A1A18"/>
          <w:lang w:val="fr"/>
        </w:rPr>
        <w:t>tions générales sur l'initiative AMCC et le lien entre les différentes composantes. Il explique comment les différents instruments contribuent à la mise en œuvre de l'initiative. Il est pr</w:t>
      </w:r>
      <w:r>
        <w:rPr>
          <w:color w:val="1A1A18"/>
          <w:lang w:val="fr"/>
        </w:rPr>
        <w:t>i</w:t>
      </w:r>
      <w:r>
        <w:rPr>
          <w:color w:val="1A1A18"/>
          <w:lang w:val="fr"/>
        </w:rPr>
        <w:t>mordial de comprendre cette organisation pour saisir la manière dont cette évaluation a été conçue et menée.</w:t>
      </w:r>
    </w:p>
    <w:p w:rsidR="00231F1A" w:rsidRPr="00D1792C" w:rsidRDefault="00231F1A" w:rsidP="00AD1C0A">
      <w:pPr>
        <w:autoSpaceDE w:val="0"/>
        <w:autoSpaceDN w:val="0"/>
        <w:rPr>
          <w:color w:val="1A1A18"/>
          <w:lang w:val="fr-BE"/>
        </w:rPr>
      </w:pPr>
      <w:r>
        <w:rPr>
          <w:color w:val="1A1A18"/>
          <w:lang w:val="fr"/>
        </w:rPr>
        <w:t>La section 2.2 présente la méthodologie utilisée pour la collecte et l'analyse des données d</w:t>
      </w:r>
      <w:r>
        <w:rPr>
          <w:color w:val="1A1A18"/>
          <w:lang w:val="fr"/>
        </w:rPr>
        <w:t>u</w:t>
      </w:r>
      <w:r>
        <w:rPr>
          <w:color w:val="1A1A18"/>
          <w:lang w:val="fr"/>
        </w:rPr>
        <w:t>rant la procédure d'évaluation. Cette méthodologie se compose essentiellement de trois él</w:t>
      </w:r>
      <w:r>
        <w:rPr>
          <w:color w:val="1A1A18"/>
          <w:lang w:val="fr"/>
        </w:rPr>
        <w:t>é</w:t>
      </w:r>
      <w:r>
        <w:rPr>
          <w:color w:val="1A1A18"/>
          <w:lang w:val="fr"/>
        </w:rPr>
        <w:t>ments, à savoir 1) la formulation de dix questions d'évaluation, 2) une grille d'évaluation co</w:t>
      </w:r>
      <w:r>
        <w:rPr>
          <w:color w:val="1A1A18"/>
          <w:lang w:val="fr"/>
        </w:rPr>
        <w:t>n</w:t>
      </w:r>
      <w:r>
        <w:rPr>
          <w:color w:val="1A1A18"/>
          <w:lang w:val="fr"/>
        </w:rPr>
        <w:t>tenant un ensemble de questions et de sous-questions couvrant les critères d'évaluation déf</w:t>
      </w:r>
      <w:r>
        <w:rPr>
          <w:color w:val="1A1A18"/>
          <w:lang w:val="fr"/>
        </w:rPr>
        <w:t>i</w:t>
      </w:r>
      <w:r>
        <w:rPr>
          <w:color w:val="1A1A18"/>
          <w:lang w:val="fr"/>
        </w:rPr>
        <w:t>nis par le Comité d'aide au développement (CAD) et 3) un tableau de notation reflétant les performances de chaque projet et programme évalué par rapport aux différents critères et aux questions d'évaluation. Les détails de la méthodologie et le tableau de notation sont joints à l'</w:t>
      </w:r>
      <w:r>
        <w:rPr>
          <w:i/>
          <w:iCs/>
          <w:color w:val="1A1A18"/>
          <w:lang w:val="fr"/>
        </w:rPr>
        <w:t>annexe 4</w:t>
      </w:r>
      <w:r>
        <w:rPr>
          <w:color w:val="1A1A18"/>
          <w:lang w:val="fr"/>
        </w:rPr>
        <w:t>. La sous-section 2.2.4 est consacrée à une réflexion sur la méthodologie et sur ce</w:t>
      </w:r>
      <w:r>
        <w:rPr>
          <w:color w:val="1A1A18"/>
          <w:lang w:val="fr"/>
        </w:rPr>
        <w:t>r</w:t>
      </w:r>
      <w:r>
        <w:rPr>
          <w:color w:val="1A1A18"/>
          <w:lang w:val="fr"/>
        </w:rPr>
        <w:t>taines des difficultés rencontrées lors de la réalisation de la mission d'évaluation.</w:t>
      </w:r>
    </w:p>
    <w:p w:rsidR="008F3618" w:rsidRPr="00D1792C" w:rsidRDefault="00231F1A" w:rsidP="00AD1C0A">
      <w:pPr>
        <w:autoSpaceDE w:val="0"/>
        <w:autoSpaceDN w:val="0"/>
        <w:rPr>
          <w:lang w:val="fr-BE"/>
        </w:rPr>
      </w:pPr>
      <w:r>
        <w:rPr>
          <w:color w:val="1A1A18"/>
          <w:lang w:val="fr"/>
        </w:rPr>
        <w:t>Le chapitre 3 présente les principales constatations et les réponses à chacune des dix que</w:t>
      </w:r>
      <w:r>
        <w:rPr>
          <w:color w:val="1A1A18"/>
          <w:lang w:val="fr"/>
        </w:rPr>
        <w:t>s</w:t>
      </w:r>
      <w:r>
        <w:rPr>
          <w:color w:val="1A1A18"/>
          <w:lang w:val="fr"/>
        </w:rPr>
        <w:t>tions d'évaluation (QE), accompagnées d'éléments de preuve et d'un raisonnement. Le ch</w:t>
      </w:r>
      <w:r>
        <w:rPr>
          <w:color w:val="1A1A18"/>
          <w:lang w:val="fr"/>
        </w:rPr>
        <w:t>a</w:t>
      </w:r>
      <w:r>
        <w:rPr>
          <w:color w:val="1A1A18"/>
          <w:lang w:val="fr"/>
        </w:rPr>
        <w:t>pitre 4 synthétise toutes les réponses aux questions d'évaluation pour faire une évaluation globale du Programme intra-ACP. Le tableau 1 à la page 40 donne un aperçu des perfo</w:t>
      </w:r>
      <w:r>
        <w:rPr>
          <w:color w:val="1A1A18"/>
          <w:lang w:val="fr"/>
        </w:rPr>
        <w:t>r</w:t>
      </w:r>
      <w:r>
        <w:rPr>
          <w:color w:val="1A1A18"/>
          <w:lang w:val="fr"/>
        </w:rPr>
        <w:t>mances de chaque programme par rapport aux différents critères. Enfin, le chapitre 5 présente les conclusions, les recommandations et les enseignements tirés de l'évaluation.</w:t>
      </w:r>
    </w:p>
    <w:p w:rsidR="00231F1A" w:rsidRPr="00A94D8B" w:rsidRDefault="00231F1A" w:rsidP="00B235E4">
      <w:pPr>
        <w:pStyle w:val="Heading3"/>
        <w:numPr>
          <w:ilvl w:val="2"/>
          <w:numId w:val="11"/>
        </w:numPr>
      </w:pPr>
      <w:bookmarkStart w:id="15" w:name="_Toc392064208"/>
      <w:bookmarkStart w:id="16" w:name="_Toc391490078"/>
      <w:bookmarkStart w:id="17" w:name="_Toc406494015"/>
      <w:r>
        <w:rPr>
          <w:lang w:val="fr"/>
        </w:rPr>
        <w:t>L'AMCC</w:t>
      </w:r>
      <w:bookmarkEnd w:id="15"/>
      <w:bookmarkEnd w:id="16"/>
      <w:bookmarkEnd w:id="17"/>
    </w:p>
    <w:p w:rsidR="00231F1A" w:rsidRPr="00D1792C" w:rsidRDefault="00231F1A" w:rsidP="00AD1C0A">
      <w:pPr>
        <w:autoSpaceDE w:val="0"/>
        <w:autoSpaceDN w:val="0"/>
        <w:rPr>
          <w:color w:val="1A1A18"/>
          <w:lang w:val="fr-BE"/>
        </w:rPr>
      </w:pPr>
      <w:r>
        <w:rPr>
          <w:color w:val="1A1A18"/>
          <w:lang w:val="fr"/>
        </w:rPr>
        <w:t>L'AMCC est une initiative de l'Union européenne lancée en 2007 en réponse à une commun</w:t>
      </w:r>
      <w:r>
        <w:rPr>
          <w:color w:val="1A1A18"/>
          <w:lang w:val="fr"/>
        </w:rPr>
        <w:t>i</w:t>
      </w:r>
      <w:r>
        <w:rPr>
          <w:color w:val="1A1A18"/>
          <w:lang w:val="fr"/>
        </w:rPr>
        <w:t>cation de la Commission européenne au Conseil et au Parlement européen intitulée « </w:t>
      </w:r>
      <w:r>
        <w:rPr>
          <w:i/>
          <w:iCs/>
          <w:color w:val="1A1A18"/>
          <w:lang w:val="fr"/>
        </w:rPr>
        <w:t>Con</w:t>
      </w:r>
      <w:r>
        <w:rPr>
          <w:i/>
          <w:iCs/>
          <w:color w:val="1A1A18"/>
          <w:lang w:val="fr"/>
        </w:rPr>
        <w:t>s</w:t>
      </w:r>
      <w:r>
        <w:rPr>
          <w:i/>
          <w:iCs/>
          <w:color w:val="1A1A18"/>
          <w:lang w:val="fr"/>
        </w:rPr>
        <w:t>truire une alliance mondiale contre le changement climatique entre l’Union européenne et les pays en développement pauvres et les plus vulnérables au changement climatique</w:t>
      </w:r>
      <w:r>
        <w:rPr>
          <w:color w:val="1A1A18"/>
          <w:lang w:val="fr"/>
        </w:rPr>
        <w:t> » (</w:t>
      </w:r>
      <w:r>
        <w:rPr>
          <w:i/>
          <w:iCs/>
          <w:color w:val="1A1A18"/>
          <w:lang w:val="fr"/>
        </w:rPr>
        <w:t>COM (2007) 540 final</w:t>
      </w:r>
      <w:r>
        <w:rPr>
          <w:color w:val="1A1A18"/>
          <w:lang w:val="fr"/>
        </w:rPr>
        <w:t>). Les modalités de mise en œuvre de cette initiative ont été définies dans un document de travail des services de la Commission de juillet 2008 intitulé « Cadre de mise en œuvre de l'AMCC » (</w:t>
      </w:r>
      <w:proofErr w:type="spellStart"/>
      <w:r>
        <w:rPr>
          <w:color w:val="1A1A18"/>
          <w:lang w:val="fr"/>
        </w:rPr>
        <w:t>Implementation</w:t>
      </w:r>
      <w:proofErr w:type="spellEnd"/>
      <w:r>
        <w:rPr>
          <w:color w:val="1A1A18"/>
          <w:lang w:val="fr"/>
        </w:rPr>
        <w:t xml:space="preserve"> </w:t>
      </w:r>
      <w:proofErr w:type="spellStart"/>
      <w:r>
        <w:rPr>
          <w:color w:val="1A1A18"/>
          <w:lang w:val="fr"/>
        </w:rPr>
        <w:t>framework</w:t>
      </w:r>
      <w:proofErr w:type="spellEnd"/>
      <w:r>
        <w:rPr>
          <w:color w:val="1A1A18"/>
          <w:lang w:val="fr"/>
        </w:rPr>
        <w:t xml:space="preserve"> of the GCCA).</w:t>
      </w:r>
    </w:p>
    <w:p w:rsidR="008F3618" w:rsidRPr="00D1792C" w:rsidRDefault="00231F1A" w:rsidP="00AD1C0A">
      <w:pPr>
        <w:autoSpaceDE w:val="0"/>
        <w:autoSpaceDN w:val="0"/>
        <w:rPr>
          <w:color w:val="1A1A18"/>
          <w:lang w:val="fr-BE"/>
        </w:rPr>
      </w:pPr>
      <w:r>
        <w:rPr>
          <w:color w:val="1A1A18"/>
          <w:lang w:val="fr"/>
        </w:rPr>
        <w:t>L'AMCC vise à renforcer le dialogue et la coopération dans le domaine du changement cl</w:t>
      </w:r>
      <w:r>
        <w:rPr>
          <w:color w:val="1A1A18"/>
          <w:lang w:val="fr"/>
        </w:rPr>
        <w:t>i</w:t>
      </w:r>
      <w:r>
        <w:rPr>
          <w:color w:val="1A1A18"/>
          <w:lang w:val="fr"/>
        </w:rPr>
        <w:t>matique avec les pays en développement</w:t>
      </w:r>
      <w:r w:rsidRPr="00281425">
        <w:rPr>
          <w:color w:val="1A1A18"/>
          <w:vertAlign w:val="superscript"/>
          <w:lang w:val="fr"/>
        </w:rPr>
        <w:footnoteReference w:id="4"/>
      </w:r>
      <w:r>
        <w:rPr>
          <w:color w:val="1A1A18"/>
          <w:lang w:val="fr"/>
        </w:rPr>
        <w:t xml:space="preserve"> les plus vulnérables à ce changement, ainsi qu'à appuyer leurs efforts de développement et de mise en œuvre de réponses en termes d'adapt</w:t>
      </w:r>
      <w:r>
        <w:rPr>
          <w:color w:val="1A1A18"/>
          <w:lang w:val="fr"/>
        </w:rPr>
        <w:t>a</w:t>
      </w:r>
      <w:r>
        <w:rPr>
          <w:color w:val="1A1A18"/>
          <w:lang w:val="fr"/>
        </w:rPr>
        <w:t xml:space="preserve">tion et d'atténuation. Elle se concentre sur les pays qui ont le moins contribué aux émissions de gaz à effet de serre mais sont souvent les plus touchés par le changement climatique et ne disposent que de ressources limitées pour faire face aux défis qui s’y rapportent. L'AMCC </w:t>
      </w:r>
      <w:r>
        <w:rPr>
          <w:color w:val="1A1A18"/>
          <w:lang w:val="fr"/>
        </w:rPr>
        <w:lastRenderedPageBreak/>
        <w:t>réunit une grande diversité de partenaires à travers le monde et repose sur deux piliers, comme suit.</w:t>
      </w:r>
    </w:p>
    <w:p w:rsidR="00231F1A" w:rsidRPr="00A94D8B" w:rsidRDefault="00231F1A" w:rsidP="00AD1C0A">
      <w:pPr>
        <w:pStyle w:val="ListParagraph"/>
        <w:numPr>
          <w:ilvl w:val="0"/>
          <w:numId w:val="31"/>
        </w:numPr>
        <w:autoSpaceDE w:val="0"/>
        <w:autoSpaceDN w:val="0"/>
        <w:rPr>
          <w:i/>
          <w:color w:val="1A1A18"/>
        </w:rPr>
      </w:pPr>
      <w:r>
        <w:rPr>
          <w:i/>
          <w:iCs/>
          <w:color w:val="1A1A18"/>
          <w:lang w:val="fr"/>
        </w:rPr>
        <w:t>Dialogue politique et échange</w:t>
      </w:r>
    </w:p>
    <w:p w:rsidR="00231F1A" w:rsidRPr="00D1792C" w:rsidRDefault="00231F1A" w:rsidP="00AD1C0A">
      <w:pPr>
        <w:autoSpaceDE w:val="0"/>
        <w:autoSpaceDN w:val="0"/>
        <w:rPr>
          <w:color w:val="1A1A18"/>
          <w:lang w:val="fr-BE"/>
        </w:rPr>
      </w:pPr>
      <w:r>
        <w:rPr>
          <w:color w:val="1A1A18"/>
          <w:lang w:val="fr"/>
        </w:rPr>
        <w:t>Le premier pilier consiste en une plate-forme de dialogue et d'échange. L'AMCC encourage le dialogue entre l'UE et les pays en développement sur la politique climatique, dans le co</w:t>
      </w:r>
      <w:r>
        <w:rPr>
          <w:color w:val="1A1A18"/>
          <w:lang w:val="fr"/>
        </w:rPr>
        <w:t>n</w:t>
      </w:r>
      <w:r>
        <w:rPr>
          <w:color w:val="1A1A18"/>
          <w:lang w:val="fr"/>
        </w:rPr>
        <w:t>texte des négociations complexes en lien avec la Convention-cadre des Nations unies sur les changements climatiques (CCNUCC). Pour ce faire, l'AMCC favorise l'échange d'exp</w:t>
      </w:r>
      <w:r>
        <w:rPr>
          <w:color w:val="1A1A18"/>
          <w:lang w:val="fr"/>
        </w:rPr>
        <w:t>é</w:t>
      </w:r>
      <w:r>
        <w:rPr>
          <w:color w:val="1A1A18"/>
          <w:lang w:val="fr"/>
        </w:rPr>
        <w:t>riences concernant des approches pratiques permettant d'intégrer la dimension du changement climatique dans les politiques de développement et les budgets. Les résultats alimentent les discussions sur l’accord climatique post-Kyoto et inspirent la coopération technique et fina</w:t>
      </w:r>
      <w:r>
        <w:rPr>
          <w:color w:val="1A1A18"/>
          <w:lang w:val="fr"/>
        </w:rPr>
        <w:t>n</w:t>
      </w:r>
      <w:r>
        <w:rPr>
          <w:color w:val="1A1A18"/>
          <w:lang w:val="fr"/>
        </w:rPr>
        <w:t>cière appuyée par l’AMCC. Le dialogue se déroule aux niveaux mondial, régional et national.</w:t>
      </w:r>
    </w:p>
    <w:p w:rsidR="00231F1A" w:rsidRPr="00D1792C" w:rsidRDefault="00231F1A" w:rsidP="00AD1C0A">
      <w:pPr>
        <w:pStyle w:val="ListParagraph"/>
        <w:numPr>
          <w:ilvl w:val="0"/>
          <w:numId w:val="31"/>
        </w:numPr>
        <w:autoSpaceDE w:val="0"/>
        <w:autoSpaceDN w:val="0"/>
        <w:rPr>
          <w:i/>
          <w:color w:val="1A1A18"/>
          <w:lang w:val="fr-BE"/>
        </w:rPr>
      </w:pPr>
      <w:r>
        <w:rPr>
          <w:i/>
          <w:iCs/>
          <w:color w:val="1A1A18"/>
          <w:lang w:val="fr"/>
        </w:rPr>
        <w:t>Soutien technique et financier ainsi que coopération axée sur cinq domaines prior</w:t>
      </w:r>
      <w:r>
        <w:rPr>
          <w:i/>
          <w:iCs/>
          <w:color w:val="1A1A18"/>
          <w:lang w:val="fr"/>
        </w:rPr>
        <w:t>i</w:t>
      </w:r>
      <w:r>
        <w:rPr>
          <w:i/>
          <w:iCs/>
          <w:color w:val="1A1A18"/>
          <w:lang w:val="fr"/>
        </w:rPr>
        <w:t>taires</w:t>
      </w:r>
    </w:p>
    <w:p w:rsidR="008F3618" w:rsidRPr="00D1792C" w:rsidRDefault="00231F1A" w:rsidP="00AD1C0A">
      <w:pPr>
        <w:autoSpaceDE w:val="0"/>
        <w:autoSpaceDN w:val="0"/>
        <w:rPr>
          <w:color w:val="1A1A18"/>
          <w:lang w:val="fr-BE"/>
        </w:rPr>
      </w:pPr>
      <w:r>
        <w:rPr>
          <w:color w:val="1A1A18"/>
          <w:lang w:val="fr"/>
        </w:rPr>
        <w:t>Le second pilier de l'AMCC concerne la fourniture d'un soutien technique et financier, ainsi que la coopération avec les pays en développement les plus vulnérables. L'objectif est d'int</w:t>
      </w:r>
      <w:r>
        <w:rPr>
          <w:color w:val="1A1A18"/>
          <w:lang w:val="fr"/>
        </w:rPr>
        <w:t>é</w:t>
      </w:r>
      <w:r>
        <w:rPr>
          <w:color w:val="1A1A18"/>
          <w:lang w:val="fr"/>
        </w:rPr>
        <w:t>grer le changement climatique dans les politiques de développement et les budgets des pays vulnérables et de mettre en œuvre des actions d’adaptation et d’atténuation. Afin de trouver les meilleures solutions pour faire face au changement climatique, l'AMCC travaille avec des ministères et des agences gouvernementales, des organisations régionales, des organisations non gouvernementales, des institutions universitaires et scientifiques, ainsi qu'avec des repr</w:t>
      </w:r>
      <w:r>
        <w:rPr>
          <w:color w:val="1A1A18"/>
          <w:lang w:val="fr"/>
        </w:rPr>
        <w:t>é</w:t>
      </w:r>
      <w:r>
        <w:rPr>
          <w:color w:val="1A1A18"/>
          <w:lang w:val="fr"/>
        </w:rPr>
        <w:t>sentations locales d'organisations internationales, d'agences multilatérales et bilatérales de développement, au moyen d'une mise en commun des ressources, de l’expertise et des co</w:t>
      </w:r>
      <w:r>
        <w:rPr>
          <w:color w:val="1A1A18"/>
          <w:lang w:val="fr"/>
        </w:rPr>
        <w:t>n</w:t>
      </w:r>
      <w:r>
        <w:rPr>
          <w:color w:val="1A1A18"/>
          <w:lang w:val="fr"/>
        </w:rPr>
        <w:t>naissances. Ce soutien technique et financier et cette coopération permettent à leur tour d'al</w:t>
      </w:r>
      <w:r>
        <w:rPr>
          <w:color w:val="1A1A18"/>
          <w:lang w:val="fr"/>
        </w:rPr>
        <w:t>i</w:t>
      </w:r>
      <w:r>
        <w:rPr>
          <w:color w:val="1A1A18"/>
          <w:lang w:val="fr"/>
        </w:rPr>
        <w:t>menter le dialogue et l’échange d’expérience aux niveaux régional et mondial entre l’UE et les pays partenaires.</w:t>
      </w:r>
    </w:p>
    <w:p w:rsidR="00231F1A" w:rsidRPr="00D1792C" w:rsidRDefault="00231F1A" w:rsidP="00AD1C0A">
      <w:pPr>
        <w:autoSpaceDE w:val="0"/>
        <w:autoSpaceDN w:val="0"/>
        <w:rPr>
          <w:color w:val="1A1A18"/>
          <w:lang w:val="fr-BE"/>
        </w:rPr>
      </w:pPr>
      <w:r>
        <w:rPr>
          <w:color w:val="1A1A18"/>
          <w:lang w:val="fr"/>
        </w:rPr>
        <w:t>Cinq domaines prioritaires ont été définis aux fins de l'initiative AMCC, comme suit.</w:t>
      </w:r>
    </w:p>
    <w:p w:rsidR="00231F1A" w:rsidRPr="00D1792C" w:rsidRDefault="00231F1A" w:rsidP="00AD1C0A">
      <w:pPr>
        <w:numPr>
          <w:ilvl w:val="0"/>
          <w:numId w:val="8"/>
        </w:numPr>
        <w:autoSpaceDE w:val="0"/>
        <w:autoSpaceDN w:val="0"/>
        <w:rPr>
          <w:b/>
          <w:color w:val="1A1A18"/>
          <w:lang w:val="fr-BE"/>
        </w:rPr>
      </w:pPr>
      <w:r>
        <w:rPr>
          <w:i/>
          <w:iCs/>
          <w:color w:val="1A1A18"/>
          <w:lang w:val="fr"/>
        </w:rPr>
        <w:t>L'intégration du changement climatique dans les efforts de réduction de la pauvreté et de développement.</w:t>
      </w:r>
      <w:r>
        <w:rPr>
          <w:color w:val="1A1A18"/>
          <w:lang w:val="fr"/>
        </w:rPr>
        <w:t xml:space="preserve"> L’AMCC favorise l’intégration systématique des questions liées au changement climatique dans la planification du développement national, de l’élaboration des politiques et de la budgétisation jusqu'à la mise en œuvre et au suivi. Ce domaine prioritaire, qui porte essentiellement sur le renforcement institutionnel, est souvent associé à une autre priorité, en particulier l’adaptation.</w:t>
      </w:r>
    </w:p>
    <w:p w:rsidR="00231F1A" w:rsidRPr="00D1792C" w:rsidRDefault="00231F1A" w:rsidP="00AD1C0A">
      <w:pPr>
        <w:numPr>
          <w:ilvl w:val="0"/>
          <w:numId w:val="8"/>
        </w:numPr>
        <w:autoSpaceDE w:val="0"/>
        <w:autoSpaceDN w:val="0"/>
        <w:rPr>
          <w:b/>
          <w:color w:val="1A1A18"/>
          <w:lang w:val="fr-BE"/>
        </w:rPr>
      </w:pPr>
      <w:r>
        <w:rPr>
          <w:color w:val="1A1A18"/>
          <w:lang w:val="fr"/>
        </w:rPr>
        <w:t>L'AMCC entend contribuer à l'amélioration des connaissances relatives aux effets du changement climatique et à l'élaboration ainsi qu’à la mise en œuvre d'actions d'</w:t>
      </w:r>
      <w:r>
        <w:rPr>
          <w:i/>
          <w:iCs/>
          <w:color w:val="1A1A18"/>
          <w:lang w:val="fr"/>
        </w:rPr>
        <w:t>ada</w:t>
      </w:r>
      <w:r>
        <w:rPr>
          <w:i/>
          <w:iCs/>
          <w:color w:val="1A1A18"/>
          <w:lang w:val="fr"/>
        </w:rPr>
        <w:t>p</w:t>
      </w:r>
      <w:r>
        <w:rPr>
          <w:i/>
          <w:iCs/>
          <w:color w:val="1A1A18"/>
          <w:lang w:val="fr"/>
        </w:rPr>
        <w:t>tation</w:t>
      </w:r>
      <w:r>
        <w:rPr>
          <w:color w:val="1A1A18"/>
          <w:lang w:val="fr"/>
        </w:rPr>
        <w:t xml:space="preserve"> appropriées, notamment dans les secteurs de l'eau et de l'agriculture, afin de r</w:t>
      </w:r>
      <w:r>
        <w:rPr>
          <w:color w:val="1A1A18"/>
          <w:lang w:val="fr"/>
        </w:rPr>
        <w:t>é</w:t>
      </w:r>
      <w:r>
        <w:rPr>
          <w:color w:val="1A1A18"/>
          <w:lang w:val="fr"/>
        </w:rPr>
        <w:t>duire la vulnérabilité des populations à ces e</w:t>
      </w:r>
      <w:r w:rsidR="00253352">
        <w:rPr>
          <w:color w:val="1A1A18"/>
          <w:lang w:val="fr"/>
        </w:rPr>
        <w:t>ffets. L’AMCC s’appuie sur les p</w:t>
      </w:r>
      <w:r>
        <w:rPr>
          <w:color w:val="1A1A18"/>
          <w:lang w:val="fr"/>
        </w:rPr>
        <w:t>r</w:t>
      </w:r>
      <w:r>
        <w:rPr>
          <w:color w:val="1A1A18"/>
          <w:lang w:val="fr"/>
        </w:rPr>
        <w:t>o</w:t>
      </w:r>
      <w:r>
        <w:rPr>
          <w:color w:val="1A1A18"/>
          <w:lang w:val="fr"/>
        </w:rPr>
        <w:t>grammes d’action nationaux aux fins de l'adaptation (PANA) et d’autres plans nati</w:t>
      </w:r>
      <w:r>
        <w:rPr>
          <w:color w:val="1A1A18"/>
          <w:lang w:val="fr"/>
        </w:rPr>
        <w:t>o</w:t>
      </w:r>
      <w:r>
        <w:rPr>
          <w:color w:val="1A1A18"/>
          <w:lang w:val="fr"/>
        </w:rPr>
        <w:t>naux.</w:t>
      </w:r>
    </w:p>
    <w:p w:rsidR="00231F1A" w:rsidRPr="00D1792C" w:rsidRDefault="00231F1A" w:rsidP="00AD1C0A">
      <w:pPr>
        <w:numPr>
          <w:ilvl w:val="0"/>
          <w:numId w:val="8"/>
        </w:numPr>
        <w:autoSpaceDE w:val="0"/>
        <w:autoSpaceDN w:val="0"/>
        <w:rPr>
          <w:b/>
          <w:color w:val="1A1A18"/>
          <w:lang w:val="fr-BE"/>
        </w:rPr>
      </w:pPr>
      <w:r>
        <w:rPr>
          <w:color w:val="1A1A18"/>
          <w:lang w:val="fr"/>
        </w:rPr>
        <w:t xml:space="preserve">Le troisième domaine prioritaire concerne le soutien des </w:t>
      </w:r>
      <w:r>
        <w:rPr>
          <w:i/>
          <w:iCs/>
          <w:color w:val="1A1A18"/>
          <w:lang w:val="fr"/>
        </w:rPr>
        <w:t>activités liées à la réduction des émissions dues à la déforestation et à la dégradation des forêts (REDD)</w:t>
      </w:r>
      <w:r>
        <w:rPr>
          <w:color w:val="1A1A18"/>
          <w:lang w:val="fr"/>
        </w:rPr>
        <w:t xml:space="preserve">. Dans les PMA, 60 % des émissions sont dues à des changements dans l’utilisation des terres, </w:t>
      </w:r>
      <w:r>
        <w:rPr>
          <w:color w:val="1A1A18"/>
          <w:lang w:val="fr"/>
        </w:rPr>
        <w:lastRenderedPageBreak/>
        <w:t>principalement la déforestation. L’AMCC appuie la mise en œuvre de solutions visant à réduire les émissions de dioxyde de carbone (CO</w:t>
      </w:r>
      <w:r>
        <w:rPr>
          <w:color w:val="1A1A18"/>
          <w:vertAlign w:val="subscript"/>
          <w:lang w:val="fr"/>
        </w:rPr>
        <w:t>2</w:t>
      </w:r>
      <w:r>
        <w:rPr>
          <w:color w:val="1A1A18"/>
          <w:lang w:val="fr"/>
        </w:rPr>
        <w:t>) dues à la déforestation et à créer des mesures d’incitation en faveur de la protection des forêts, tout en préservant les moyens de subsistance des populations et les écosystèmes tributaires des forêts.</w:t>
      </w:r>
    </w:p>
    <w:p w:rsidR="00231F1A" w:rsidRPr="00D1792C" w:rsidRDefault="00231F1A" w:rsidP="00AD1C0A">
      <w:pPr>
        <w:numPr>
          <w:ilvl w:val="0"/>
          <w:numId w:val="8"/>
        </w:numPr>
        <w:autoSpaceDE w:val="0"/>
        <w:autoSpaceDN w:val="0"/>
        <w:rPr>
          <w:b/>
          <w:color w:val="1A1A18"/>
          <w:lang w:val="fr-BE"/>
        </w:rPr>
      </w:pPr>
      <w:r>
        <w:rPr>
          <w:color w:val="1A1A18"/>
          <w:lang w:val="fr"/>
        </w:rPr>
        <w:t xml:space="preserve">Un autre domaine prioritaire visant à réduire les émissions de gaz à effet de serre est celui concernant le </w:t>
      </w:r>
      <w:r>
        <w:rPr>
          <w:i/>
          <w:iCs/>
          <w:color w:val="1A1A18"/>
          <w:lang w:val="fr"/>
        </w:rPr>
        <w:t>renforcement de la participation au marché mondial du carbone</w:t>
      </w:r>
      <w:r>
        <w:rPr>
          <w:color w:val="1A1A18"/>
          <w:lang w:val="fr"/>
        </w:rPr>
        <w:t>. L’AMCC entend promouvoir une répartition géographique plus équitable des possib</w:t>
      </w:r>
      <w:r>
        <w:rPr>
          <w:color w:val="1A1A18"/>
          <w:lang w:val="fr"/>
        </w:rPr>
        <w:t>i</w:t>
      </w:r>
      <w:r>
        <w:rPr>
          <w:color w:val="1A1A18"/>
          <w:lang w:val="fr"/>
        </w:rPr>
        <w:t>lités de financement liées au Mécanisme de développement propre (MDP) en renfo</w:t>
      </w:r>
      <w:r>
        <w:rPr>
          <w:color w:val="1A1A18"/>
          <w:lang w:val="fr"/>
        </w:rPr>
        <w:t>r</w:t>
      </w:r>
      <w:r>
        <w:rPr>
          <w:color w:val="1A1A18"/>
          <w:lang w:val="fr"/>
        </w:rPr>
        <w:t>çant les capacités des pays partenaires à accéder à cette source de financement, n</w:t>
      </w:r>
      <w:r>
        <w:rPr>
          <w:color w:val="1A1A18"/>
          <w:lang w:val="fr"/>
        </w:rPr>
        <w:t>o</w:t>
      </w:r>
      <w:r>
        <w:rPr>
          <w:color w:val="1A1A18"/>
          <w:lang w:val="fr"/>
        </w:rPr>
        <w:t>tamment dans le domaine de l’énergie.</w:t>
      </w:r>
    </w:p>
    <w:p w:rsidR="00231F1A" w:rsidRPr="00D1792C" w:rsidRDefault="006A551F" w:rsidP="00AD1C0A">
      <w:pPr>
        <w:numPr>
          <w:ilvl w:val="0"/>
          <w:numId w:val="8"/>
        </w:numPr>
        <w:autoSpaceDE w:val="0"/>
        <w:autoSpaceDN w:val="0"/>
        <w:rPr>
          <w:b/>
          <w:color w:val="1A1A18"/>
          <w:lang w:val="fr-BE"/>
        </w:rPr>
      </w:pPr>
      <w:r>
        <w:rPr>
          <w:color w:val="1A1A18"/>
          <w:lang w:val="fr"/>
        </w:rPr>
        <w:t xml:space="preserve">La </w:t>
      </w:r>
      <w:r>
        <w:rPr>
          <w:i/>
          <w:iCs/>
          <w:color w:val="1A1A18"/>
          <w:lang w:val="fr"/>
        </w:rPr>
        <w:t>réduction des risques de catastrophe</w:t>
      </w:r>
      <w:r>
        <w:rPr>
          <w:color w:val="1A1A18"/>
          <w:lang w:val="fr"/>
        </w:rPr>
        <w:t xml:space="preserve"> </w:t>
      </w:r>
      <w:r>
        <w:rPr>
          <w:i/>
          <w:iCs/>
          <w:color w:val="1A1A18"/>
          <w:lang w:val="fr"/>
        </w:rPr>
        <w:t>(RRC)</w:t>
      </w:r>
      <w:r>
        <w:rPr>
          <w:color w:val="1A1A18"/>
          <w:lang w:val="fr"/>
        </w:rPr>
        <w:t xml:space="preserve"> est la dernière des cinq priorités de l'AMCC. L'objectif est d'aider les pays en développement à se préparer aux cata</w:t>
      </w:r>
      <w:r>
        <w:rPr>
          <w:color w:val="1A1A18"/>
          <w:lang w:val="fr"/>
        </w:rPr>
        <w:t>s</w:t>
      </w:r>
      <w:r>
        <w:rPr>
          <w:color w:val="1A1A18"/>
          <w:lang w:val="fr"/>
        </w:rPr>
        <w:t>trophes naturelles liées au climat, à réduire ces risques et à limiter leur impact.</w:t>
      </w:r>
    </w:p>
    <w:p w:rsidR="00517F12" w:rsidRPr="00D1792C" w:rsidRDefault="00231F1A" w:rsidP="00AD1C0A">
      <w:pPr>
        <w:autoSpaceDE w:val="0"/>
        <w:autoSpaceDN w:val="0"/>
        <w:rPr>
          <w:color w:val="1A1A18"/>
          <w:lang w:val="fr-BE"/>
        </w:rPr>
      </w:pPr>
      <w:r>
        <w:rPr>
          <w:color w:val="1A1A18"/>
          <w:lang w:val="fr"/>
        </w:rPr>
        <w:t xml:space="preserve">Dans la pratique, un troisième pilier a été identifié, qui couvre les nombreuses activités de </w:t>
      </w:r>
      <w:r>
        <w:rPr>
          <w:i/>
          <w:iCs/>
          <w:color w:val="1A1A18"/>
          <w:lang w:val="fr"/>
        </w:rPr>
        <w:t>gestion des connaissances et de communication</w:t>
      </w:r>
      <w:r>
        <w:rPr>
          <w:color w:val="1A1A18"/>
          <w:lang w:val="fr"/>
        </w:rPr>
        <w:t>. Ces activités sont le fruit d'un effort conjoint des différentes entités impliquées dans la gestion des deux programmes (généraux de l’AMCC). La structure organisationnelle de l'AMCC est schématisée à l'</w:t>
      </w:r>
      <w:r>
        <w:rPr>
          <w:i/>
          <w:iCs/>
          <w:color w:val="1A1A18"/>
          <w:lang w:val="fr"/>
        </w:rPr>
        <w:t>annexe 5</w:t>
      </w:r>
      <w:r>
        <w:rPr>
          <w:color w:val="1A1A18"/>
          <w:lang w:val="fr"/>
        </w:rPr>
        <w:t>.</w:t>
      </w:r>
    </w:p>
    <w:p w:rsidR="00BF60B6" w:rsidRPr="00D1792C" w:rsidRDefault="00C74D2B" w:rsidP="00A94D8B">
      <w:pPr>
        <w:spacing w:before="240" w:after="0" w:line="240" w:lineRule="auto"/>
        <w:jc w:val="left"/>
        <w:rPr>
          <w:i/>
          <w:color w:val="1A1A18"/>
          <w:lang w:val="fr-BE"/>
        </w:rPr>
      </w:pPr>
      <w:r>
        <w:rPr>
          <w:i/>
          <w:iCs/>
          <w:color w:val="1A1A18"/>
          <w:lang w:val="fr"/>
        </w:rPr>
        <w:t>Engagements financiers</w:t>
      </w:r>
    </w:p>
    <w:p w:rsidR="00A94D8B" w:rsidRPr="00D1792C" w:rsidRDefault="00A94D8B" w:rsidP="00A94D8B">
      <w:pPr>
        <w:spacing w:after="0" w:line="240" w:lineRule="auto"/>
        <w:jc w:val="left"/>
        <w:rPr>
          <w:i/>
          <w:color w:val="1A1A18"/>
          <w:lang w:val="fr-BE"/>
        </w:rPr>
      </w:pPr>
    </w:p>
    <w:p w:rsidR="008F3618" w:rsidRPr="00D1792C" w:rsidRDefault="00C74D2B" w:rsidP="00AD1C0A">
      <w:pPr>
        <w:autoSpaceDE w:val="0"/>
        <w:autoSpaceDN w:val="0"/>
        <w:rPr>
          <w:color w:val="1A1A18"/>
          <w:lang w:val="fr-BE"/>
        </w:rPr>
      </w:pPr>
      <w:r>
        <w:rPr>
          <w:color w:val="1A1A18"/>
          <w:lang w:val="fr"/>
        </w:rPr>
        <w:t>Depuis 2008, l'AMCC a engagé 287 millions d'euros émanant du budget communautaire, du 10</w:t>
      </w:r>
      <w:r>
        <w:rPr>
          <w:color w:val="1A1A18"/>
          <w:vertAlign w:val="superscript"/>
          <w:lang w:val="fr"/>
        </w:rPr>
        <w:t>e</w:t>
      </w:r>
      <w:r>
        <w:rPr>
          <w:color w:val="1A1A18"/>
          <w:lang w:val="fr"/>
        </w:rPr>
        <w:t xml:space="preserve"> FED et de contributions de différents États membres</w:t>
      </w:r>
      <w:r w:rsidRPr="00281425">
        <w:rPr>
          <w:color w:val="1A1A18"/>
          <w:vertAlign w:val="superscript"/>
          <w:lang w:val="fr"/>
        </w:rPr>
        <w:footnoteReference w:id="5"/>
      </w:r>
      <w:r>
        <w:rPr>
          <w:color w:val="1A1A18"/>
          <w:lang w:val="fr"/>
        </w:rPr>
        <w:t>. Ce montant inclut des financ</w:t>
      </w:r>
      <w:r>
        <w:rPr>
          <w:color w:val="1A1A18"/>
          <w:lang w:val="fr"/>
        </w:rPr>
        <w:t>e</w:t>
      </w:r>
      <w:r>
        <w:rPr>
          <w:color w:val="1A1A18"/>
          <w:lang w:val="fr"/>
        </w:rPr>
        <w:t>ments à mise en œuvre rapide (FSF) promis lors de la 15</w:t>
      </w:r>
      <w:r>
        <w:rPr>
          <w:color w:val="1A1A18"/>
          <w:vertAlign w:val="superscript"/>
          <w:lang w:val="fr"/>
        </w:rPr>
        <w:t>e</w:t>
      </w:r>
      <w:r>
        <w:rPr>
          <w:color w:val="1A1A18"/>
          <w:lang w:val="fr"/>
        </w:rPr>
        <w:t xml:space="preserve"> Conférence des parties (CdP) de la CCNUCC organisée à Copenhague en 2009 en vue d’appuyer une action immédiate de r</w:t>
      </w:r>
      <w:r>
        <w:rPr>
          <w:color w:val="1A1A18"/>
          <w:lang w:val="fr"/>
        </w:rPr>
        <w:t>é</w:t>
      </w:r>
      <w:r>
        <w:rPr>
          <w:color w:val="1A1A18"/>
          <w:lang w:val="fr"/>
        </w:rPr>
        <w:t>ponse au changement climatique dans les pays en développement. À ce jour, les financements à mise en œuvre rapide de la Commission européenne, de l’Irlande, de l’Estonie et de Chypre ont apporté près de 103 millions d'euros à des interventions soutenues par l’AMCC en Afrique, en Asie et dans le Pacifique.</w:t>
      </w:r>
    </w:p>
    <w:p w:rsidR="008F3618" w:rsidRPr="00D1792C" w:rsidRDefault="00C74D2B" w:rsidP="00AD1C0A">
      <w:pPr>
        <w:autoSpaceDE w:val="0"/>
        <w:autoSpaceDN w:val="0"/>
        <w:rPr>
          <w:color w:val="1A1A18"/>
          <w:lang w:val="fr-BE"/>
        </w:rPr>
      </w:pPr>
      <w:r>
        <w:rPr>
          <w:color w:val="1A1A18"/>
          <w:lang w:val="fr"/>
        </w:rPr>
        <w:t>L'AMCC finance des programmes visant à faire face au changement climatique dans plus de 35 pays et 4 régions à travers le monde. Près de 200 millions d'euros ont été engagés pour soutenir des programmes nationaux et l'AMCC appuie l'intégration du changement clim</w:t>
      </w:r>
      <w:r>
        <w:rPr>
          <w:color w:val="1A1A18"/>
          <w:lang w:val="fr"/>
        </w:rPr>
        <w:t>a</w:t>
      </w:r>
      <w:r>
        <w:rPr>
          <w:color w:val="1A1A18"/>
          <w:lang w:val="fr"/>
        </w:rPr>
        <w:t>tique dans la planification du développement national dans la majorité de ces pays. Elle so</w:t>
      </w:r>
      <w:r>
        <w:rPr>
          <w:color w:val="1A1A18"/>
          <w:lang w:val="fr"/>
        </w:rPr>
        <w:t>u</w:t>
      </w:r>
      <w:r>
        <w:rPr>
          <w:color w:val="1A1A18"/>
          <w:lang w:val="fr"/>
        </w:rPr>
        <w:t>tient des programmes d’adaptation dans des secteurs sensibles au climat tels que l’agriculture, la protection des zones côtières et la gestion des terres et de l’eau. L’AMCC est également active dans les domaines de la gestion des forêts, de la réduction des risques de catastrophes et des énergies propres.</w:t>
      </w:r>
    </w:p>
    <w:p w:rsidR="00C74D2B" w:rsidRPr="00D1792C" w:rsidRDefault="00C74D2B" w:rsidP="00AD1C0A">
      <w:pPr>
        <w:autoSpaceDE w:val="0"/>
        <w:autoSpaceDN w:val="0"/>
        <w:rPr>
          <w:color w:val="1A1A18"/>
          <w:lang w:val="fr-BE"/>
        </w:rPr>
      </w:pPr>
      <w:r>
        <w:rPr>
          <w:color w:val="1A1A18"/>
          <w:lang w:val="fr"/>
        </w:rPr>
        <w:t xml:space="preserve">À côté de l’aide offerte aux pays de manière individuelle, l’AMCC agit également au niveau régional, en soutenant des programmes axés sur des problèmes liés au changement climatique qui dépassent les frontières des pays. Cela suppose une mise en commun des ressources, un renforcement des capacités, un partage des connaissances et une action en partenariat avec les organisations régionales déjà en place, pour s’appuyer sur les travaux et les succès existants. </w:t>
      </w:r>
      <w:r>
        <w:rPr>
          <w:color w:val="1A1A18"/>
          <w:lang w:val="fr"/>
        </w:rPr>
        <w:lastRenderedPageBreak/>
        <w:t>À ce jour, plus de 60 millions d'euros ont été engagés pour soutenir des programmes régi</w:t>
      </w:r>
      <w:r>
        <w:rPr>
          <w:color w:val="1A1A18"/>
          <w:lang w:val="fr"/>
        </w:rPr>
        <w:t>o</w:t>
      </w:r>
      <w:r>
        <w:rPr>
          <w:color w:val="1A1A18"/>
          <w:lang w:val="fr"/>
        </w:rPr>
        <w:t>naux, dont 40 millions d'euros provenant du budget intra-ACP financé par le FED. De cette somme, en réalité, 37,5 millions d'euros seulement ont été engagés. Ces fonds ont servi à f</w:t>
      </w:r>
      <w:r>
        <w:rPr>
          <w:color w:val="1A1A18"/>
          <w:lang w:val="fr"/>
        </w:rPr>
        <w:t>i</w:t>
      </w:r>
      <w:r>
        <w:rPr>
          <w:color w:val="1A1A18"/>
          <w:lang w:val="fr"/>
        </w:rPr>
        <w:t>nancer un programme d'appui technique et financier baptisé « Programme intra-ACP », co</w:t>
      </w:r>
      <w:r>
        <w:rPr>
          <w:color w:val="1A1A18"/>
          <w:lang w:val="fr"/>
        </w:rPr>
        <w:t>m</w:t>
      </w:r>
      <w:r>
        <w:rPr>
          <w:color w:val="1A1A18"/>
          <w:lang w:val="fr"/>
        </w:rPr>
        <w:t>prenant une composante d'AT ainsi que cinq composantes régionales.</w:t>
      </w:r>
    </w:p>
    <w:p w:rsidR="008F3618" w:rsidRPr="00D1792C" w:rsidRDefault="00C74D2B" w:rsidP="00AD1C0A">
      <w:pPr>
        <w:autoSpaceDE w:val="0"/>
        <w:autoSpaceDN w:val="0"/>
        <w:rPr>
          <w:i/>
          <w:color w:val="1A1A18"/>
          <w:lang w:val="fr-BE"/>
        </w:rPr>
      </w:pPr>
      <w:r>
        <w:rPr>
          <w:i/>
          <w:iCs/>
          <w:color w:val="1A1A18"/>
          <w:lang w:val="fr"/>
        </w:rPr>
        <w:t>Coordination et mise en œuvre</w:t>
      </w:r>
    </w:p>
    <w:p w:rsidR="008F3618" w:rsidRPr="00D1792C" w:rsidRDefault="00C74D2B" w:rsidP="00AD1C0A">
      <w:pPr>
        <w:autoSpaceDE w:val="0"/>
        <w:autoSpaceDN w:val="0"/>
        <w:rPr>
          <w:color w:val="1A1A18"/>
          <w:lang w:val="fr-BE"/>
        </w:rPr>
      </w:pPr>
      <w:r>
        <w:rPr>
          <w:color w:val="1A1A18"/>
          <w:lang w:val="fr"/>
        </w:rPr>
        <w:t>L'initiative AMCC est coordonnée par la direction générale de la Commission européenne pour le développement et la coopération (DEVCO), et en particulier l'unité DEVCO C2 (Changement climatique, environnement, ressources naturelles, eau). La gestion générale de l'appui technique et financier est assuré par cette même unité, tandis que le Secrétariat ACP (agissant en tant que pouvoir adjudicateur) et l'unité DEVCO E3 (Programmes régionaux pour l'Afrique subsaharienne et les pays ACP) sont responsables de la gestion des 37,5 millions d'euros alloués à l'initiative (Programme intra-ACP de l'AMCC).</w:t>
      </w:r>
    </w:p>
    <w:p w:rsidR="00C74D2B" w:rsidRPr="00D1792C" w:rsidRDefault="00C74D2B" w:rsidP="00AD1C0A">
      <w:pPr>
        <w:autoSpaceDE w:val="0"/>
        <w:autoSpaceDN w:val="0"/>
        <w:rPr>
          <w:color w:val="1A1A18"/>
          <w:lang w:val="fr-BE"/>
        </w:rPr>
      </w:pPr>
      <w:r>
        <w:rPr>
          <w:color w:val="1A1A18"/>
          <w:lang w:val="fr"/>
        </w:rPr>
        <w:t>La combinaison de plusieurs instruments financiers contribuant à la même initiative mondiale nécessite une adaptation soigneuse des accords institutionnels, ainsi qu'une organisation c</w:t>
      </w:r>
      <w:r>
        <w:rPr>
          <w:color w:val="1A1A18"/>
          <w:lang w:val="fr"/>
        </w:rPr>
        <w:t>o</w:t>
      </w:r>
      <w:r>
        <w:rPr>
          <w:color w:val="1A1A18"/>
          <w:lang w:val="fr"/>
        </w:rPr>
        <w:t>hérente des services d'appui technique et des programmes nationaux, régionaux et plurinati</w:t>
      </w:r>
      <w:r>
        <w:rPr>
          <w:color w:val="1A1A18"/>
          <w:lang w:val="fr"/>
        </w:rPr>
        <w:t>o</w:t>
      </w:r>
      <w:r>
        <w:rPr>
          <w:color w:val="1A1A18"/>
          <w:lang w:val="fr"/>
        </w:rPr>
        <w:t>naux. Le graphique figurant à l'</w:t>
      </w:r>
      <w:r>
        <w:rPr>
          <w:i/>
          <w:iCs/>
          <w:color w:val="1A1A18"/>
          <w:lang w:val="fr"/>
        </w:rPr>
        <w:t>annexe 5</w:t>
      </w:r>
      <w:r>
        <w:rPr>
          <w:color w:val="1A1A18"/>
          <w:lang w:val="fr"/>
        </w:rPr>
        <w:t xml:space="preserve"> présente la structure organisationnelle générale de l'AMCC.</w:t>
      </w:r>
    </w:p>
    <w:p w:rsidR="008F3618" w:rsidRPr="00D1792C" w:rsidRDefault="00C74D2B" w:rsidP="00AD1C0A">
      <w:pPr>
        <w:autoSpaceDE w:val="0"/>
        <w:autoSpaceDN w:val="0"/>
        <w:rPr>
          <w:color w:val="1A1A18"/>
          <w:lang w:val="fr-BE"/>
        </w:rPr>
      </w:pPr>
      <w:r>
        <w:rPr>
          <w:color w:val="1A1A18"/>
          <w:lang w:val="fr"/>
        </w:rPr>
        <w:t>Compte tenu de la structure organisationnelle décrite ci-dessus, il a été décidé d'effectuer une seule évaluation globale de l'initiative, couvrant les différents mécanismes de financement.</w:t>
      </w:r>
    </w:p>
    <w:p w:rsidR="00960E37" w:rsidRPr="00A94D8B" w:rsidRDefault="00E12449" w:rsidP="00AD1C0A">
      <w:pPr>
        <w:pStyle w:val="Heading2"/>
      </w:pPr>
      <w:bookmarkStart w:id="18" w:name="_Toc392064209"/>
      <w:bookmarkStart w:id="19" w:name="_Toc406494016"/>
      <w:r>
        <w:rPr>
          <w:bCs/>
          <w:lang w:val="fr"/>
        </w:rPr>
        <w:t>Méthodologie</w:t>
      </w:r>
      <w:bookmarkEnd w:id="18"/>
      <w:bookmarkEnd w:id="19"/>
    </w:p>
    <w:p w:rsidR="001B649B" w:rsidRPr="00A94D8B" w:rsidRDefault="001B649B" w:rsidP="00AD1C0A">
      <w:pPr>
        <w:pStyle w:val="Heading3"/>
        <w:numPr>
          <w:ilvl w:val="2"/>
          <w:numId w:val="11"/>
        </w:numPr>
      </w:pPr>
      <w:bookmarkStart w:id="20" w:name="_Toc392064210"/>
      <w:bookmarkStart w:id="21" w:name="_Toc406494017"/>
      <w:r>
        <w:rPr>
          <w:lang w:val="fr"/>
        </w:rPr>
        <w:t>Questions d'évaluation</w:t>
      </w:r>
      <w:bookmarkEnd w:id="20"/>
      <w:bookmarkEnd w:id="21"/>
    </w:p>
    <w:p w:rsidR="008F3618" w:rsidRPr="00D1792C" w:rsidRDefault="00501605" w:rsidP="00AD1C0A">
      <w:pPr>
        <w:rPr>
          <w:lang w:val="fr-BE"/>
        </w:rPr>
      </w:pPr>
      <w:r>
        <w:rPr>
          <w:lang w:val="fr"/>
        </w:rPr>
        <w:t>Comme nous l'avions suggéré dans la section du rapport documentaire consacrée à la méth</w:t>
      </w:r>
      <w:r>
        <w:rPr>
          <w:lang w:val="fr"/>
        </w:rPr>
        <w:t>o</w:t>
      </w:r>
      <w:r>
        <w:rPr>
          <w:lang w:val="fr"/>
        </w:rPr>
        <w:t>dologie et à l'approche envisagées en vue de mener à bien la mission, le cadre d'évaluation repose sur dix QE, établies de façon à empêcher l'équipe d'évaluation de trop s'éparpiller. Les QE sont essentiellement fondées sur les points, questions et sous-questions d'évaluation co</w:t>
      </w:r>
      <w:r>
        <w:rPr>
          <w:lang w:val="fr"/>
        </w:rPr>
        <w:t>n</w:t>
      </w:r>
      <w:r>
        <w:rPr>
          <w:lang w:val="fr"/>
        </w:rPr>
        <w:t>tenus dans les termes de référence, auxquelles viennent s'ajouter des questions découlant du premier examen des documents de programmation. Ces QE ont été regroupées selon les cinq critères d'évaluation du Comité d’aide au développement de l’OCDE (CAD) – bien que les critères relatifs à la pertinence et à la conception aient été séparés – et reformulées comme suit.</w:t>
      </w:r>
    </w:p>
    <w:p w:rsidR="00AD1A7F" w:rsidRPr="00A94D8B" w:rsidRDefault="00AD1A7F" w:rsidP="00AD1C0A">
      <w:r>
        <w:rPr>
          <w:lang w:val="fr"/>
        </w:rPr>
        <w:t xml:space="preserve">Concernant la </w:t>
      </w:r>
      <w:r>
        <w:rPr>
          <w:b/>
          <w:bCs/>
          <w:lang w:val="fr"/>
        </w:rPr>
        <w:t>pertinence</w:t>
      </w:r>
      <w:r>
        <w:rPr>
          <w:lang w:val="fr"/>
        </w:rPr>
        <w:t> :</w:t>
      </w:r>
    </w:p>
    <w:p w:rsidR="008F3618" w:rsidRPr="00D1792C" w:rsidRDefault="00E74A9F" w:rsidP="00AD1C0A">
      <w:pPr>
        <w:pStyle w:val="ListParagraph"/>
        <w:numPr>
          <w:ilvl w:val="0"/>
          <w:numId w:val="7"/>
        </w:numPr>
        <w:rPr>
          <w:lang w:val="fr-BE"/>
        </w:rPr>
      </w:pPr>
      <w:r>
        <w:rPr>
          <w:lang w:val="fr"/>
        </w:rPr>
        <w:t>Dans quelle mesure les interventions de lutte contre les changements climatiques r</w:t>
      </w:r>
      <w:r>
        <w:rPr>
          <w:lang w:val="fr"/>
        </w:rPr>
        <w:t>é</w:t>
      </w:r>
      <w:r>
        <w:rPr>
          <w:lang w:val="fr"/>
        </w:rPr>
        <w:t>pondent-elles aux besoins des bénéficiaires (bénéficiaires finaux, gouvernements des pays partenaires et organisations régionales) et sont-elles pertinentes avec les pol</w:t>
      </w:r>
      <w:r>
        <w:rPr>
          <w:lang w:val="fr"/>
        </w:rPr>
        <w:t>i</w:t>
      </w:r>
      <w:r>
        <w:rPr>
          <w:lang w:val="fr"/>
        </w:rPr>
        <w:t>tiques, besoins et priorités déclarés de l'AMCC, de l’UE et des États membres de l'UE ?</w:t>
      </w:r>
    </w:p>
    <w:p w:rsidR="00AD1A7F" w:rsidRPr="00A94D8B" w:rsidRDefault="00AD1A7F" w:rsidP="00AD1C0A">
      <w:r>
        <w:rPr>
          <w:lang w:val="fr"/>
        </w:rPr>
        <w:t xml:space="preserve">Concernant la </w:t>
      </w:r>
      <w:r>
        <w:rPr>
          <w:b/>
          <w:bCs/>
          <w:lang w:val="fr"/>
        </w:rPr>
        <w:t>conception</w:t>
      </w:r>
      <w:r>
        <w:rPr>
          <w:lang w:val="fr"/>
        </w:rPr>
        <w:t> :</w:t>
      </w:r>
    </w:p>
    <w:p w:rsidR="00AD1A7F" w:rsidRPr="00D1792C" w:rsidRDefault="00AD1A7F" w:rsidP="00AD1C0A">
      <w:pPr>
        <w:pStyle w:val="ListParagraph"/>
        <w:numPr>
          <w:ilvl w:val="0"/>
          <w:numId w:val="7"/>
        </w:numPr>
        <w:rPr>
          <w:lang w:val="fr-BE"/>
        </w:rPr>
      </w:pPr>
      <w:r>
        <w:rPr>
          <w:lang w:val="fr"/>
        </w:rPr>
        <w:lastRenderedPageBreak/>
        <w:t>Dans quelle mesure la logique d'intervention est-elle cohérente et valide au regard des différents niveaux d'intervention ? Est-elle formalisée dans un cadre logique ou un autre format et est-elle activement utilisée ?</w:t>
      </w:r>
    </w:p>
    <w:p w:rsidR="00AD1A7F" w:rsidRPr="00A94D8B" w:rsidRDefault="00AD1A7F" w:rsidP="00AD1C0A">
      <w:pPr>
        <w:keepNext/>
        <w:keepLines/>
      </w:pPr>
      <w:r>
        <w:rPr>
          <w:lang w:val="fr"/>
        </w:rPr>
        <w:t>Concernant l'</w:t>
      </w:r>
      <w:r>
        <w:rPr>
          <w:b/>
          <w:bCs/>
          <w:lang w:val="fr"/>
        </w:rPr>
        <w:t>efficacité</w:t>
      </w:r>
      <w:r>
        <w:rPr>
          <w:lang w:val="fr"/>
        </w:rPr>
        <w:t> :</w:t>
      </w:r>
    </w:p>
    <w:p w:rsidR="008B4A5F" w:rsidRPr="00D1792C" w:rsidRDefault="008B4A5F" w:rsidP="00AD1C0A">
      <w:pPr>
        <w:pStyle w:val="ListParagraph"/>
        <w:keepNext/>
        <w:keepLines/>
        <w:numPr>
          <w:ilvl w:val="0"/>
          <w:numId w:val="7"/>
        </w:numPr>
        <w:rPr>
          <w:lang w:val="fr-BE"/>
        </w:rPr>
      </w:pPr>
      <w:r>
        <w:rPr>
          <w:lang w:val="fr"/>
        </w:rPr>
        <w:t>Dans quelle mesure l’AMCC fonctionne-t-elle bien comme une plateforme de di</w:t>
      </w:r>
      <w:r>
        <w:rPr>
          <w:lang w:val="fr"/>
        </w:rPr>
        <w:t>a</w:t>
      </w:r>
      <w:r>
        <w:rPr>
          <w:lang w:val="fr"/>
        </w:rPr>
        <w:t>logue (politique) et d'échange entre l'UE et les pays en développement pauvres et les plus vulnérables aux changements climatiques</w:t>
      </w:r>
      <w:r w:rsidRPr="00281425">
        <w:rPr>
          <w:rStyle w:val="FootnoteReference"/>
          <w:lang w:val="fr"/>
        </w:rPr>
        <w:footnoteReference w:id="6"/>
      </w:r>
      <w:r>
        <w:rPr>
          <w:lang w:val="fr"/>
        </w:rPr>
        <w:t xml:space="preserve"> (= pilier 1 des objectifs de l'AMCC) ?</w:t>
      </w:r>
    </w:p>
    <w:p w:rsidR="008B4A5F" w:rsidRPr="00D1792C" w:rsidRDefault="008B4A5F" w:rsidP="00AD1C0A">
      <w:pPr>
        <w:pStyle w:val="ListParagraph"/>
        <w:rPr>
          <w:lang w:val="fr-BE"/>
        </w:rPr>
      </w:pPr>
    </w:p>
    <w:p w:rsidR="008B4A5F" w:rsidRPr="00A94D8B" w:rsidRDefault="008B4A5F" w:rsidP="00AD1C0A">
      <w:pPr>
        <w:pStyle w:val="ListParagraph"/>
        <w:numPr>
          <w:ilvl w:val="0"/>
          <w:numId w:val="7"/>
        </w:numPr>
      </w:pPr>
      <w:r>
        <w:rPr>
          <w:lang w:val="fr"/>
        </w:rPr>
        <w:t>Dans quelle mesure l'AMCC constitue-t-elle un instrument viable pour une coopér</w:t>
      </w:r>
      <w:r>
        <w:rPr>
          <w:lang w:val="fr"/>
        </w:rPr>
        <w:t>a</w:t>
      </w:r>
      <w:r>
        <w:rPr>
          <w:lang w:val="fr"/>
        </w:rPr>
        <w:t>tion pratique permettant de relever le défi de lutter contre la pauvreté et le changement climatique ? (= pilier 2 des objectifs de l'AMCC) ?</w:t>
      </w:r>
    </w:p>
    <w:p w:rsidR="008B4A5F" w:rsidRPr="00A94D8B" w:rsidRDefault="008B4A5F" w:rsidP="00AD1C0A">
      <w:pPr>
        <w:pStyle w:val="ListParagraph"/>
      </w:pPr>
    </w:p>
    <w:p w:rsidR="00AD1A7F" w:rsidRPr="00D1792C" w:rsidRDefault="00AD1A7F" w:rsidP="00AD1C0A">
      <w:pPr>
        <w:pStyle w:val="ListParagraph"/>
        <w:numPr>
          <w:ilvl w:val="0"/>
          <w:numId w:val="7"/>
        </w:numPr>
        <w:rPr>
          <w:lang w:val="fr-BE"/>
        </w:rPr>
      </w:pPr>
      <w:r>
        <w:rPr>
          <w:lang w:val="fr"/>
        </w:rPr>
        <w:t>Dans quelle mesure le programme a-t-il contribué au renforcement efficace des cap</w:t>
      </w:r>
      <w:r>
        <w:rPr>
          <w:lang w:val="fr"/>
        </w:rPr>
        <w:t>a</w:t>
      </w:r>
      <w:r>
        <w:rPr>
          <w:lang w:val="fr"/>
        </w:rPr>
        <w:t>cités (= résultat intermédiaire contribuant à la réalisation des objectifs) ?</w:t>
      </w:r>
    </w:p>
    <w:p w:rsidR="00AD1A7F" w:rsidRPr="00D1792C" w:rsidRDefault="00AD1A7F" w:rsidP="00AD1C0A">
      <w:pPr>
        <w:rPr>
          <w:lang w:val="fr-BE"/>
        </w:rPr>
      </w:pPr>
      <w:r>
        <w:rPr>
          <w:lang w:val="fr"/>
        </w:rPr>
        <w:t>Concernant l'</w:t>
      </w:r>
      <w:r>
        <w:rPr>
          <w:b/>
          <w:bCs/>
          <w:lang w:val="fr"/>
        </w:rPr>
        <w:t>efficience</w:t>
      </w:r>
      <w:r>
        <w:rPr>
          <w:lang w:val="fr"/>
        </w:rPr>
        <w:t> :</w:t>
      </w:r>
    </w:p>
    <w:p w:rsidR="00AD1A7F" w:rsidRPr="00D1792C" w:rsidRDefault="00AD1A7F" w:rsidP="00AD1C0A">
      <w:pPr>
        <w:ind w:left="709" w:hanging="425"/>
        <w:rPr>
          <w:lang w:val="fr-BE"/>
        </w:rPr>
      </w:pPr>
      <w:r>
        <w:rPr>
          <w:lang w:val="fr"/>
        </w:rPr>
        <w:t>6.</w:t>
      </w:r>
      <w:r>
        <w:rPr>
          <w:lang w:val="fr"/>
        </w:rPr>
        <w:tab/>
        <w:t>Dans quelle mesure les montages institutionnels et les modalités de mise en œuvre pour la gestion des interventions sont-ils appropriés (c’est-à-dire fondés sur des év</w:t>
      </w:r>
      <w:r>
        <w:rPr>
          <w:lang w:val="fr"/>
        </w:rPr>
        <w:t>a</w:t>
      </w:r>
      <w:r>
        <w:rPr>
          <w:lang w:val="fr"/>
        </w:rPr>
        <w:t>luations réalistes du contexte et guidés par des principes relatifs à l'efficacité de l'aide) et fonctionnels ?</w:t>
      </w:r>
    </w:p>
    <w:p w:rsidR="00AD1A7F" w:rsidRPr="00D1792C" w:rsidRDefault="00AD1A7F" w:rsidP="00AD1C0A">
      <w:pPr>
        <w:ind w:left="709" w:hanging="425"/>
        <w:rPr>
          <w:lang w:val="fr-BE"/>
        </w:rPr>
      </w:pPr>
      <w:r>
        <w:rPr>
          <w:lang w:val="fr"/>
        </w:rPr>
        <w:t>7.</w:t>
      </w:r>
      <w:r>
        <w:rPr>
          <w:lang w:val="fr"/>
        </w:rPr>
        <w:tab/>
        <w:t>Dans quelle mesure le programme a-t-il établi des liens et des synergies (aux niveaux national, régional et ACP/mondial) avec d'autres actions similaires, y compris des in</w:t>
      </w:r>
      <w:r>
        <w:rPr>
          <w:lang w:val="fr"/>
        </w:rPr>
        <w:t>s</w:t>
      </w:r>
      <w:r>
        <w:rPr>
          <w:lang w:val="fr"/>
        </w:rPr>
        <w:t>truments et actions de l'UE, en conformité avec le principe d'harmonisation des inte</w:t>
      </w:r>
      <w:r>
        <w:rPr>
          <w:lang w:val="fr"/>
        </w:rPr>
        <w:t>r</w:t>
      </w:r>
      <w:r>
        <w:rPr>
          <w:lang w:val="fr"/>
        </w:rPr>
        <w:t>ventions ?</w:t>
      </w:r>
    </w:p>
    <w:p w:rsidR="00AD1A7F" w:rsidRPr="00D1792C" w:rsidRDefault="00AD1A7F" w:rsidP="00AD1C0A">
      <w:pPr>
        <w:rPr>
          <w:lang w:val="fr-BE"/>
        </w:rPr>
      </w:pPr>
      <w:r>
        <w:rPr>
          <w:lang w:val="fr"/>
        </w:rPr>
        <w:t>Concernant l'</w:t>
      </w:r>
      <w:r>
        <w:rPr>
          <w:b/>
          <w:bCs/>
          <w:lang w:val="fr"/>
        </w:rPr>
        <w:t>impact</w:t>
      </w:r>
      <w:r>
        <w:rPr>
          <w:lang w:val="fr"/>
        </w:rPr>
        <w:t> :</w:t>
      </w:r>
    </w:p>
    <w:p w:rsidR="008B4A5F" w:rsidRPr="00D1792C" w:rsidRDefault="00AD1A7F" w:rsidP="00AD1C0A">
      <w:pPr>
        <w:ind w:left="709" w:hanging="425"/>
        <w:rPr>
          <w:lang w:val="fr-BE"/>
        </w:rPr>
      </w:pPr>
      <w:r>
        <w:rPr>
          <w:lang w:val="fr"/>
        </w:rPr>
        <w:t>8.</w:t>
      </w:r>
      <w:r>
        <w:rPr>
          <w:lang w:val="fr"/>
        </w:rPr>
        <w:tab/>
        <w:t>Dans quelle mesure le programme a-t-il contribué à la réalisation des objectifs gén</w:t>
      </w:r>
      <w:r>
        <w:rPr>
          <w:lang w:val="fr"/>
        </w:rPr>
        <w:t>é</w:t>
      </w:r>
      <w:r>
        <w:rPr>
          <w:lang w:val="fr"/>
        </w:rPr>
        <w:t>raux ?</w:t>
      </w:r>
    </w:p>
    <w:p w:rsidR="008F3618" w:rsidRPr="00D1792C" w:rsidRDefault="00D930EF" w:rsidP="00AD1C0A">
      <w:pPr>
        <w:ind w:left="709"/>
        <w:rPr>
          <w:i/>
          <w:lang w:val="fr-BE"/>
        </w:rPr>
      </w:pPr>
      <w:r>
        <w:rPr>
          <w:lang w:val="fr"/>
        </w:rPr>
        <w:t xml:space="preserve">L'objectif du Programme intra-ACP est de </w:t>
      </w:r>
      <w:r>
        <w:rPr>
          <w:i/>
          <w:iCs/>
          <w:lang w:val="fr"/>
        </w:rPr>
        <w:t>réduire la pauvreté en permettant aux pays de se doter des capacités productives nécessaires en vue d'une adaptation durable au changement climatique</w:t>
      </w:r>
      <w:r>
        <w:rPr>
          <w:lang w:val="fr"/>
        </w:rPr>
        <w:t>.</w:t>
      </w:r>
    </w:p>
    <w:p w:rsidR="00AD1A7F" w:rsidRPr="00D1792C" w:rsidRDefault="00AD1A7F" w:rsidP="00AD1C0A">
      <w:pPr>
        <w:ind w:left="709" w:hanging="425"/>
        <w:rPr>
          <w:lang w:val="fr-BE"/>
        </w:rPr>
      </w:pPr>
      <w:r>
        <w:rPr>
          <w:lang w:val="fr"/>
        </w:rPr>
        <w:t>9.</w:t>
      </w:r>
      <w:r>
        <w:rPr>
          <w:lang w:val="fr"/>
        </w:rPr>
        <w:tab/>
        <w:t>Dans quelle mesure le programme contribue-t-il à la visibilité et à une bonne réput</w:t>
      </w:r>
      <w:r>
        <w:rPr>
          <w:lang w:val="fr"/>
        </w:rPr>
        <w:t>a</w:t>
      </w:r>
      <w:r>
        <w:rPr>
          <w:lang w:val="fr"/>
        </w:rPr>
        <w:t>tion des actions de l'UE et des États ACP dans le domaine de la lutte contre les cha</w:t>
      </w:r>
      <w:r>
        <w:rPr>
          <w:lang w:val="fr"/>
        </w:rPr>
        <w:t>n</w:t>
      </w:r>
      <w:r>
        <w:rPr>
          <w:lang w:val="fr"/>
        </w:rPr>
        <w:t>gements climatiques ?</w:t>
      </w:r>
    </w:p>
    <w:p w:rsidR="00AD1A7F" w:rsidRPr="00D1792C" w:rsidRDefault="00AD1A7F" w:rsidP="00AD1C0A">
      <w:pPr>
        <w:rPr>
          <w:lang w:val="fr-BE"/>
        </w:rPr>
      </w:pPr>
      <w:r>
        <w:rPr>
          <w:lang w:val="fr"/>
        </w:rPr>
        <w:t xml:space="preserve">Concernant la </w:t>
      </w:r>
      <w:r>
        <w:rPr>
          <w:b/>
          <w:bCs/>
          <w:lang w:val="fr"/>
        </w:rPr>
        <w:t>durabilité</w:t>
      </w:r>
      <w:r>
        <w:rPr>
          <w:lang w:val="fr"/>
        </w:rPr>
        <w:t> :</w:t>
      </w:r>
    </w:p>
    <w:p w:rsidR="008F3618" w:rsidRPr="00D1792C" w:rsidRDefault="00AD1A7F" w:rsidP="005B227C">
      <w:pPr>
        <w:ind w:left="709" w:hanging="425"/>
        <w:rPr>
          <w:lang w:val="fr-BE"/>
        </w:rPr>
      </w:pPr>
      <w:r>
        <w:rPr>
          <w:lang w:val="fr"/>
        </w:rPr>
        <w:lastRenderedPageBreak/>
        <w:t>10.</w:t>
      </w:r>
      <w:r>
        <w:rPr>
          <w:lang w:val="fr"/>
        </w:rPr>
        <w:tab/>
        <w:t>Dans quelle mesure les conditions sont-elles présentes et les mécanismes en place pour soutenir les résultats du programme et assurer la viabilité des bénéfices du pr</w:t>
      </w:r>
      <w:r>
        <w:rPr>
          <w:lang w:val="fr"/>
        </w:rPr>
        <w:t>o</w:t>
      </w:r>
      <w:r>
        <w:rPr>
          <w:lang w:val="fr"/>
        </w:rPr>
        <w:t>gramme sur le long terme auprès des bénéficiaires ?</w:t>
      </w:r>
    </w:p>
    <w:p w:rsidR="008F3618" w:rsidRPr="00D1792C" w:rsidRDefault="005B227C" w:rsidP="00FC2325">
      <w:pPr>
        <w:jc w:val="left"/>
        <w:rPr>
          <w:lang w:val="fr-BE"/>
        </w:rPr>
      </w:pPr>
      <w:r>
        <w:rPr>
          <w:lang w:val="fr"/>
        </w:rPr>
        <w:t>Cette évaluation avait également un certain nombre de responsabilités spécifiques en matière de collecte d'informations et de formulation de recommandations. C'est pourquoi le présent rapport se penche sur le rôle de la Facilité climatique (CSF) dans le Programme intra-ACP et inclut en annexe un aide-mémoire la concernant. La CSF œuvre depuis deux ans en tant que mécanisme de soutien pour le Programme intra-ACP de l'AMCC. Elle se veut un instrument axé sur la demande, répondant à un large éventail de besoins exprimés par les bénéficiaires et bénéficiaires potentiels du Programme intra-ACP. Il convient également d'étudier le rôle joué par l'AT au Secrétariat ACP et, plus précisément, la contribution du spécialiste en chang</w:t>
      </w:r>
      <w:r>
        <w:rPr>
          <w:lang w:val="fr"/>
        </w:rPr>
        <w:t>e</w:t>
      </w:r>
      <w:r>
        <w:rPr>
          <w:lang w:val="fr"/>
        </w:rPr>
        <w:t>ment climatique chargé de soutenir le Secrétariat ACP, plus communément appelé « Assi</w:t>
      </w:r>
      <w:r>
        <w:rPr>
          <w:lang w:val="fr"/>
        </w:rPr>
        <w:t>s</w:t>
      </w:r>
      <w:r>
        <w:rPr>
          <w:lang w:val="fr"/>
        </w:rPr>
        <w:t>tant technique auprès du secrétariat ACP ».</w:t>
      </w:r>
    </w:p>
    <w:p w:rsidR="008F3618" w:rsidRPr="00D1792C" w:rsidRDefault="005B227C" w:rsidP="006B27C6">
      <w:pPr>
        <w:rPr>
          <w:lang w:val="fr-BE"/>
        </w:rPr>
      </w:pPr>
      <w:r>
        <w:rPr>
          <w:lang w:val="fr"/>
        </w:rPr>
        <w:t>Par ailleurs, l'équipe d'évaluation a été chargée de recenser les priorités et de formuler des recommandations pour l'affectation du demi-million d'euros restant sur une enveloppe fina</w:t>
      </w:r>
      <w:r>
        <w:rPr>
          <w:lang w:val="fr"/>
        </w:rPr>
        <w:t>n</w:t>
      </w:r>
      <w:r>
        <w:rPr>
          <w:lang w:val="fr"/>
        </w:rPr>
        <w:t>cière d'un million d'euros allouée en vue de renforcer les efforts visant à compléter la mise en œuvre du programme actuel.</w:t>
      </w:r>
    </w:p>
    <w:p w:rsidR="001B649B" w:rsidRPr="00A94D8B" w:rsidRDefault="001B649B" w:rsidP="00AD1C0A">
      <w:pPr>
        <w:pStyle w:val="Heading3"/>
        <w:numPr>
          <w:ilvl w:val="2"/>
          <w:numId w:val="11"/>
        </w:numPr>
      </w:pPr>
      <w:bookmarkStart w:id="22" w:name="_Toc392064211"/>
      <w:bookmarkStart w:id="23" w:name="_Toc406494018"/>
      <w:r>
        <w:rPr>
          <w:lang w:val="fr"/>
        </w:rPr>
        <w:t>Grille d'évaluation</w:t>
      </w:r>
      <w:bookmarkEnd w:id="22"/>
      <w:bookmarkEnd w:id="23"/>
    </w:p>
    <w:p w:rsidR="008F3618" w:rsidRPr="00D1792C" w:rsidRDefault="00EC5001" w:rsidP="00AD1C0A">
      <w:pPr>
        <w:rPr>
          <w:lang w:val="fr-BE"/>
        </w:rPr>
      </w:pPr>
      <w:r>
        <w:rPr>
          <w:rFonts w:cs="Tahoma"/>
          <w:szCs w:val="26"/>
          <w:lang w:val="fr"/>
        </w:rPr>
        <w:t xml:space="preserve">Les dix questions d'évaluation ont été affinées en sous-questions, comme le reflète la grille d'évaluation présentée en </w:t>
      </w:r>
      <w:r>
        <w:rPr>
          <w:rFonts w:cs="Tahoma"/>
          <w:i/>
          <w:iCs/>
          <w:szCs w:val="26"/>
          <w:lang w:val="fr"/>
        </w:rPr>
        <w:t>annexe 4A</w:t>
      </w:r>
      <w:r>
        <w:rPr>
          <w:rFonts w:cs="Tahoma"/>
          <w:szCs w:val="26"/>
          <w:lang w:val="fr"/>
        </w:rPr>
        <w:t>. Pour chacune des QE, deux à cinq critères de jugement ont été formulés (colonne 5), accompagnés des indicateurs correspondants (colonne 6). La colonne 7 précise les données et les recherches requises pour répondre aux questions. La c</w:t>
      </w:r>
      <w:r>
        <w:rPr>
          <w:rFonts w:cs="Tahoma"/>
          <w:szCs w:val="26"/>
          <w:lang w:val="fr"/>
        </w:rPr>
        <w:t>o</w:t>
      </w:r>
      <w:r>
        <w:rPr>
          <w:rFonts w:cs="Tahoma"/>
          <w:szCs w:val="26"/>
          <w:lang w:val="fr"/>
        </w:rPr>
        <w:t>lonne 8 mentionne les éléments des TdR ayant été incorporés, ainsi que les critères qui ne figuraient pas explicitement dans les TdR mais qui ont été ajoutés par l'équipe d'évaluation.</w:t>
      </w:r>
    </w:p>
    <w:p w:rsidR="008F3618" w:rsidRPr="00D1792C" w:rsidRDefault="006A0272" w:rsidP="00AD1C0A">
      <w:pPr>
        <w:rPr>
          <w:lang w:val="fr-BE"/>
        </w:rPr>
      </w:pPr>
      <w:r>
        <w:rPr>
          <w:lang w:val="fr"/>
        </w:rPr>
        <w:t>Les questions et sous-questions figurant dans les TdR étaient de plusieurs ordres : certaines étaient des questions d'importance majeure et ont été conservées en tant que telles, d'autres ont été converties en critères de jugement attachés à la QE correspondante. Ainsi, toutes les questions ont été classées et ont trouvé leur place dans la grille d'évaluation. Des thèmes transversaux, tels que l'égalité entre les femmes et les hommes, et des thèmes horizontaux, comme la coopération technique et le renforcement des capacités, ont également été intégrés sous la forme de critères de jugement.</w:t>
      </w:r>
    </w:p>
    <w:p w:rsidR="008F3618" w:rsidRPr="00D1792C" w:rsidRDefault="006A0272" w:rsidP="00AD1C0A">
      <w:pPr>
        <w:rPr>
          <w:rFonts w:cs="Tahoma"/>
          <w:szCs w:val="26"/>
          <w:lang w:val="fr-BE"/>
        </w:rPr>
      </w:pPr>
      <w:r>
        <w:rPr>
          <w:rFonts w:cs="Tahoma"/>
          <w:szCs w:val="26"/>
          <w:lang w:val="fr"/>
        </w:rPr>
        <w:t>Les deux premières colonnes indiquent si les questions et les critères s'appliquent à l'initiative AMCC, au Programme intra-ACP ou aux deux. Le cas échéant, des questions et des critères de jugement séparés ont été formulés pour l’initiative AMCC et le Programme intra-ACP, ceci afin de répondre à des besoins précis en matière d'évaluation. Par ailleurs, les questions ont été adaptées de façon à pouvoir être appliquées aussi bien à l'échelle macro/mondiale qu'à l’échelle des actions individuelles (échelle micro), selon les cas.</w:t>
      </w:r>
    </w:p>
    <w:p w:rsidR="008F3618" w:rsidRPr="00D1792C" w:rsidRDefault="00940ADF" w:rsidP="00AD1C0A">
      <w:pPr>
        <w:rPr>
          <w:lang w:val="fr-BE"/>
        </w:rPr>
      </w:pPr>
      <w:r>
        <w:rPr>
          <w:lang w:val="fr"/>
        </w:rPr>
        <w:t>Étant donné que l'initiative AMCC ne s'accompagne d'aucun cadre logique auquel l'évalu</w:t>
      </w:r>
      <w:r>
        <w:rPr>
          <w:lang w:val="fr"/>
        </w:rPr>
        <w:t>a</w:t>
      </w:r>
      <w:r>
        <w:rPr>
          <w:lang w:val="fr"/>
        </w:rPr>
        <w:t xml:space="preserve">tion pourrait se référer, l'équipe d'évaluation a reconstruit une chaîne de résultats, présentée en </w:t>
      </w:r>
      <w:r>
        <w:rPr>
          <w:i/>
          <w:iCs/>
          <w:lang w:val="fr"/>
        </w:rPr>
        <w:t>annexe 6</w:t>
      </w:r>
      <w:r>
        <w:rPr>
          <w:lang w:val="fr"/>
        </w:rPr>
        <w:t xml:space="preserve">, qui </w:t>
      </w:r>
      <w:proofErr w:type="gramStart"/>
      <w:r>
        <w:rPr>
          <w:lang w:val="fr"/>
        </w:rPr>
        <w:t>a</w:t>
      </w:r>
      <w:proofErr w:type="gramEnd"/>
      <w:r>
        <w:rPr>
          <w:lang w:val="fr"/>
        </w:rPr>
        <w:t xml:space="preserve"> servi à poursuivre l’élaboration de la grille d'évaluation.</w:t>
      </w:r>
    </w:p>
    <w:p w:rsidR="001B649B" w:rsidRPr="00A94D8B" w:rsidRDefault="001B649B" w:rsidP="00AD1C0A">
      <w:pPr>
        <w:pStyle w:val="Heading3"/>
        <w:numPr>
          <w:ilvl w:val="2"/>
          <w:numId w:val="11"/>
        </w:numPr>
      </w:pPr>
      <w:bookmarkStart w:id="24" w:name="_Toc392064212"/>
      <w:bookmarkStart w:id="25" w:name="_Toc406494019"/>
      <w:r>
        <w:rPr>
          <w:lang w:val="fr"/>
        </w:rPr>
        <w:lastRenderedPageBreak/>
        <w:t>Tableau de notation</w:t>
      </w:r>
      <w:bookmarkEnd w:id="24"/>
      <w:bookmarkEnd w:id="25"/>
    </w:p>
    <w:p w:rsidR="008F3618" w:rsidRPr="00D1792C" w:rsidRDefault="00B62D31" w:rsidP="00AD1C0A">
      <w:pPr>
        <w:rPr>
          <w:lang w:val="fr-BE"/>
        </w:rPr>
      </w:pPr>
      <w:r>
        <w:rPr>
          <w:lang w:val="fr"/>
        </w:rPr>
        <w:t>Un troisième outil utilisé pour traiter la grande quantité de données recueillies durant la phase de travail sur le terrain est un tableau de notation, qui reprend les différentes composantes et interventions évaluées dans les 13 pays visités, en les regroupant par source de financement, par programme, par région et/ou par composante. Le tableau de notation est présenté à l'</w:t>
      </w:r>
      <w:r>
        <w:rPr>
          <w:i/>
          <w:iCs/>
          <w:lang w:val="fr"/>
        </w:rPr>
        <w:t>a</w:t>
      </w:r>
      <w:r>
        <w:rPr>
          <w:i/>
          <w:iCs/>
          <w:lang w:val="fr"/>
        </w:rPr>
        <w:t>n</w:t>
      </w:r>
      <w:r>
        <w:rPr>
          <w:i/>
          <w:iCs/>
          <w:lang w:val="fr"/>
        </w:rPr>
        <w:t>nexe 4B</w:t>
      </w:r>
      <w:r>
        <w:rPr>
          <w:lang w:val="fr"/>
        </w:rPr>
        <w:t>. Pour chaque QE, une note a été attribuée, en utilisant le même système de notation que celui de la méthodologie de suivi axé sur les résultats (ROM), à savoir une échelle allant de « </w:t>
      </w:r>
      <w:r>
        <w:rPr>
          <w:i/>
          <w:iCs/>
          <w:lang w:val="fr"/>
        </w:rPr>
        <w:t>A</w:t>
      </w:r>
      <w:r>
        <w:rPr>
          <w:lang w:val="fr"/>
        </w:rPr>
        <w:t> » (très bien) à « </w:t>
      </w:r>
      <w:r>
        <w:rPr>
          <w:i/>
          <w:iCs/>
          <w:lang w:val="fr"/>
        </w:rPr>
        <w:t>D</w:t>
      </w:r>
      <w:r>
        <w:rPr>
          <w:lang w:val="fr"/>
        </w:rPr>
        <w:t> » (graves lacunes). Le tableau ainsi créé permet de voir en un coup d'œil les performances des différentes interventions dans les différentes régions, d'une part, ainsi que les questions et les critères d'évaluation, d'autre part, aussi bien pour le Programme intra-ACP et l’initiative AMCC que pour leurs diverses composantes. Les résultats de la pr</w:t>
      </w:r>
      <w:r>
        <w:rPr>
          <w:lang w:val="fr"/>
        </w:rPr>
        <w:t>o</w:t>
      </w:r>
      <w:r>
        <w:rPr>
          <w:lang w:val="fr"/>
        </w:rPr>
        <w:t>cédure de notation sont examinés dans le chapitre 4 portant sur l'évaluation globale et sont synthétisés dans le tableau 1 à la page 40.</w:t>
      </w:r>
    </w:p>
    <w:p w:rsidR="008F3618" w:rsidRDefault="00C26500" w:rsidP="00AD1C0A">
      <w:pPr>
        <w:pStyle w:val="Heading3"/>
        <w:numPr>
          <w:ilvl w:val="2"/>
          <w:numId w:val="11"/>
        </w:numPr>
      </w:pPr>
      <w:bookmarkStart w:id="26" w:name="_Toc392064213"/>
      <w:bookmarkStart w:id="27" w:name="_Toc406494020"/>
      <w:r>
        <w:rPr>
          <w:lang w:val="fr"/>
        </w:rPr>
        <w:t>Réflexions concernant la méthodologie</w:t>
      </w:r>
      <w:bookmarkEnd w:id="26"/>
      <w:bookmarkEnd w:id="27"/>
    </w:p>
    <w:p w:rsidR="008F3618" w:rsidRPr="00D1792C" w:rsidRDefault="00A926DF" w:rsidP="00AD1C0A">
      <w:pPr>
        <w:rPr>
          <w:lang w:val="fr-BE"/>
        </w:rPr>
      </w:pPr>
      <w:r>
        <w:rPr>
          <w:lang w:val="fr"/>
        </w:rPr>
        <w:t>Durant l'évaluation et les missions sur le terrain, l'équipe d'évaluation a rencontré un certain nombre de difficultés et de défis, dont elle a tiré plusieurs enseignements. La plupart d'entre eux concernaient de près ou de loin la tentative de prendre des décisions importantes sur des programmes dans un laps de temps sur le terrain extrêmement court. En général, l'équipe d'évaluation a passé deux à trois jours sur le terrain pour chaque programme régional à év</w:t>
      </w:r>
      <w:r>
        <w:rPr>
          <w:lang w:val="fr"/>
        </w:rPr>
        <w:t>a</w:t>
      </w:r>
      <w:r>
        <w:rPr>
          <w:lang w:val="fr"/>
        </w:rPr>
        <w:t>luer. Ce temps s'est avéré insuffisant, compte tenu de la complexité des différents pr</w:t>
      </w:r>
      <w:r>
        <w:rPr>
          <w:lang w:val="fr"/>
        </w:rPr>
        <w:t>o</w:t>
      </w:r>
      <w:r>
        <w:rPr>
          <w:lang w:val="fr"/>
        </w:rPr>
        <w:t>grammes régionaux. Il aurait fallu visiter non seulement le pays où se trouve le siège du pr</w:t>
      </w:r>
      <w:r>
        <w:rPr>
          <w:lang w:val="fr"/>
        </w:rPr>
        <w:t>o</w:t>
      </w:r>
      <w:r>
        <w:rPr>
          <w:lang w:val="fr"/>
        </w:rPr>
        <w:t>gramme régional mais aussi, si possible, deux ou trois autres pays où le programme est mis en œuvre. Dans le cadre de l'évaluation du programme COMESA, par exemple, une visite a été effectuée dans un autre pays couvert par le programme, où il s'est avéré que les parties prenantes connaissaient très peu de choses à propos du programme régional. Autrement dit, le temps alloué aux visites dans les pays était très nettement insuffisant.</w:t>
      </w:r>
    </w:p>
    <w:p w:rsidR="008F3618" w:rsidRPr="00D1792C" w:rsidRDefault="002908D3" w:rsidP="00AD1C0A">
      <w:pPr>
        <w:rPr>
          <w:lang w:val="fr-BE"/>
        </w:rPr>
      </w:pPr>
      <w:r>
        <w:rPr>
          <w:lang w:val="fr"/>
        </w:rPr>
        <w:t>L'évaluation du Programme intra-ACP s'est principalement fondée sur cinq évaluations réal</w:t>
      </w:r>
      <w:r>
        <w:rPr>
          <w:lang w:val="fr"/>
        </w:rPr>
        <w:t>i</w:t>
      </w:r>
      <w:r>
        <w:rPr>
          <w:lang w:val="fr"/>
        </w:rPr>
        <w:t>sées sur cinq programmes différents dans un délai très court. Tous auraient mérité autant d'a</w:t>
      </w:r>
      <w:r>
        <w:rPr>
          <w:lang w:val="fr"/>
        </w:rPr>
        <w:t>t</w:t>
      </w:r>
      <w:r>
        <w:rPr>
          <w:lang w:val="fr"/>
        </w:rPr>
        <w:t>tention que n'importe quelle autre évaluation de programme. Les évaluateurs ont l'obligation professionnelle de garantir l'application des procédures d'évaluation standard, telles que la triangulation des informations. Cela n'a toutefois pas été possible dans le cadre de la méth</w:t>
      </w:r>
      <w:r>
        <w:rPr>
          <w:lang w:val="fr"/>
        </w:rPr>
        <w:t>o</w:t>
      </w:r>
      <w:r>
        <w:rPr>
          <w:lang w:val="fr"/>
        </w:rPr>
        <w:t>dologie utilisée pour cette évaluation. C'est pourquoi les aide-mémoires sur les programmes ClimDev et COMESA, par exemple, contiennent des recommandations concernant la réalis</w:t>
      </w:r>
      <w:r>
        <w:rPr>
          <w:lang w:val="fr"/>
        </w:rPr>
        <w:t>a</w:t>
      </w:r>
      <w:r>
        <w:rPr>
          <w:lang w:val="fr"/>
        </w:rPr>
        <w:t>tion d'évaluations plus approfondies afin de mieux comprendre ce qui se passe réellement au sein de ces programmes. D'autres programmes, tels que ceux mis en œuvre par le CCCCC dans les Caraïbes ou par le CILSS en Afrique de l'Ouest, ont pu faire l'objet d'observations plus complètes. Cependant, même dans les circonstances plus favorables, le temps alloué n'était pas suffisant pour procéder à la collecte et à l'analyse de toutes les informations.</w:t>
      </w:r>
    </w:p>
    <w:p w:rsidR="008F3618" w:rsidRPr="00D1792C" w:rsidRDefault="0068216B" w:rsidP="00AD1C0A">
      <w:pPr>
        <w:rPr>
          <w:lang w:val="fr-BE"/>
        </w:rPr>
      </w:pPr>
      <w:r>
        <w:rPr>
          <w:lang w:val="fr"/>
        </w:rPr>
        <w:t>Il est également utile de souligner à quel point chaque programme est différent. Même s'il fallait s'y attendre, les comparer – par exemple, dans le cadre d'un tableau de notation – s'est révélé relativement difficile, chacun méritant d'être jugé en fonction de ses mérites respectifs. Par exemple, il est compliqué et il n’est pas nécessairement équitable de comparer le CILSS avec l'unité Changement climatique du COMESA.</w:t>
      </w:r>
    </w:p>
    <w:p w:rsidR="008F3618" w:rsidRPr="00D1792C" w:rsidRDefault="00D56EB8" w:rsidP="00AD1C0A">
      <w:pPr>
        <w:rPr>
          <w:lang w:val="fr-BE"/>
        </w:rPr>
      </w:pPr>
      <w:r>
        <w:rPr>
          <w:lang w:val="fr"/>
        </w:rPr>
        <w:lastRenderedPageBreak/>
        <w:t>Un thème qui n'a, à tort, été abordé explicitement par aucune des questions d'évaluation est celui de la capacité des programmes à fonctionner en tant que programmes régionaux. Dans ce contexte, des critères tels que le leadership et la faculté à coordonner et à entretenir des partenariats auraient pu occuper une place plus importante. Par ailleurs, comme nous le so</w:t>
      </w:r>
      <w:r>
        <w:rPr>
          <w:lang w:val="fr"/>
        </w:rPr>
        <w:t>u</w:t>
      </w:r>
      <w:r>
        <w:rPr>
          <w:lang w:val="fr"/>
        </w:rPr>
        <w:t>lignerons à plusieurs reprises dans le présent rapport, un programme régional a la responsab</w:t>
      </w:r>
      <w:r>
        <w:rPr>
          <w:lang w:val="fr"/>
        </w:rPr>
        <w:t>i</w:t>
      </w:r>
      <w:r>
        <w:rPr>
          <w:lang w:val="fr"/>
        </w:rPr>
        <w:t>lité supplémentaire de démontrer la pertinence de ses activités pour la région et de gérer ces dernières en conséquence. De même, les questions d'évaluation auraient dû accorder plus d'importance à la relation entre les programmes régionaux et les programmes nationaux de l'AMCC. Ces thèmes sont néanmoins abordés dans le rapport, étant donné qu'ils ont constitué une piste de recherche importante tout au long de l'évaluation.</w:t>
      </w:r>
    </w:p>
    <w:p w:rsidR="00F80DF2" w:rsidRPr="00D1792C" w:rsidRDefault="00F80DF2">
      <w:pPr>
        <w:spacing w:after="0" w:line="240" w:lineRule="auto"/>
        <w:jc w:val="left"/>
        <w:rPr>
          <w:b/>
          <w:smallCaps/>
          <w:color w:val="17365D"/>
          <w:sz w:val="36"/>
          <w:szCs w:val="36"/>
          <w:lang w:val="fr-BE"/>
        </w:rPr>
      </w:pPr>
      <w:r>
        <w:rPr>
          <w:lang w:val="fr"/>
        </w:rPr>
        <w:br w:type="page"/>
      </w:r>
    </w:p>
    <w:p w:rsidR="00D036B2" w:rsidRPr="00A94D8B" w:rsidRDefault="00A926DF" w:rsidP="00AD1C0A">
      <w:pPr>
        <w:pStyle w:val="Heading1"/>
        <w:keepNext w:val="0"/>
        <w:numPr>
          <w:ilvl w:val="0"/>
          <w:numId w:val="2"/>
        </w:numPr>
        <w:spacing w:line="276" w:lineRule="auto"/>
        <w:contextualSpacing/>
      </w:pPr>
      <w:bookmarkStart w:id="28" w:name="_Toc392064214"/>
      <w:bookmarkStart w:id="29" w:name="_Toc406494021"/>
      <w:r>
        <w:rPr>
          <w:bCs/>
          <w:lang w:val="fr"/>
        </w:rPr>
        <w:lastRenderedPageBreak/>
        <w:t>Principales constatations</w:t>
      </w:r>
      <w:bookmarkEnd w:id="28"/>
      <w:bookmarkEnd w:id="29"/>
    </w:p>
    <w:p w:rsidR="0027479F" w:rsidRPr="00D1792C" w:rsidRDefault="0027479F" w:rsidP="0027479F">
      <w:pPr>
        <w:rPr>
          <w:lang w:val="fr-BE"/>
        </w:rPr>
      </w:pPr>
      <w:r>
        <w:rPr>
          <w:lang w:val="fr"/>
        </w:rPr>
        <w:t>Ce chapitre présente les réponses à chacune des dix questions d'évaluation, accompagnées d'éléments de preuve et d'un raisonnement.</w:t>
      </w:r>
    </w:p>
    <w:p w:rsidR="00D036B2" w:rsidRPr="00D1792C" w:rsidRDefault="00D036B2" w:rsidP="00AD1C0A">
      <w:pPr>
        <w:pStyle w:val="Heading2"/>
        <w:numPr>
          <w:ilvl w:val="1"/>
          <w:numId w:val="9"/>
        </w:numPr>
        <w:rPr>
          <w:lang w:val="fr-BE"/>
        </w:rPr>
      </w:pPr>
      <w:bookmarkStart w:id="30" w:name="_Toc392064215"/>
      <w:bookmarkStart w:id="31" w:name="_Toc406494022"/>
      <w:r>
        <w:rPr>
          <w:bCs/>
          <w:lang w:val="fr"/>
        </w:rPr>
        <w:t>Concernant la pertinence (problèmes et besoins)</w:t>
      </w:r>
      <w:bookmarkEnd w:id="30"/>
      <w:bookmarkEnd w:id="31"/>
    </w:p>
    <w:p w:rsidR="008F3618" w:rsidRPr="00D1792C" w:rsidRDefault="006C6102" w:rsidP="00AD1C0A">
      <w:pPr>
        <w:ind w:left="709" w:hanging="709"/>
        <w:rPr>
          <w:b/>
          <w:i/>
          <w:lang w:val="fr-BE"/>
        </w:rPr>
      </w:pPr>
      <w:r>
        <w:rPr>
          <w:b/>
          <w:bCs/>
          <w:i/>
          <w:iCs/>
          <w:lang w:val="fr"/>
        </w:rPr>
        <w:t>QE1.</w:t>
      </w:r>
      <w:r>
        <w:rPr>
          <w:lang w:val="fr"/>
        </w:rPr>
        <w:tab/>
      </w:r>
      <w:r>
        <w:rPr>
          <w:b/>
          <w:bCs/>
          <w:i/>
          <w:iCs/>
          <w:lang w:val="fr"/>
        </w:rPr>
        <w:t>Dans quelle mesure les interventions de lutte contre les changements climatiques répondent-elles aux besoins des bénéficiaires (bénéficiaires finaux, gouvernements des pays partenaires et organisations régionales) et sont-elles pertinentes avec les politiques, besoins et priorités déclarés de l'AMCC, de l’UE et des États membres de l'UE ?</w:t>
      </w:r>
    </w:p>
    <w:p w:rsidR="008F3618" w:rsidRPr="00D1792C" w:rsidRDefault="001A12F3" w:rsidP="00AD1C0A">
      <w:pPr>
        <w:rPr>
          <w:lang w:val="fr-BE"/>
        </w:rPr>
      </w:pPr>
      <w:r>
        <w:rPr>
          <w:lang w:val="fr"/>
        </w:rPr>
        <w:t>Les PEID sont au centre de la programmation intra-ACP dans le Pacifique, les Caraïbes et l'océan Indien. Lors de sa dixième session organisée en mars 2014 autour du thème « </w:t>
      </w:r>
      <w:r>
        <w:rPr>
          <w:i/>
          <w:iCs/>
          <w:lang w:val="fr"/>
        </w:rPr>
        <w:t>Inc</w:t>
      </w:r>
      <w:r>
        <w:rPr>
          <w:i/>
          <w:iCs/>
          <w:lang w:val="fr"/>
        </w:rPr>
        <w:t>i</w:t>
      </w:r>
      <w:r>
        <w:rPr>
          <w:i/>
          <w:iCs/>
          <w:lang w:val="fr"/>
        </w:rPr>
        <w:t>dences, adaptation et vulnérabilité</w:t>
      </w:r>
      <w:r>
        <w:rPr>
          <w:lang w:val="fr"/>
        </w:rPr>
        <w:t> », le deuxième groupe de travail (GT II)</w:t>
      </w:r>
      <w:r w:rsidRPr="00281425">
        <w:rPr>
          <w:rStyle w:val="FootnoteReference"/>
          <w:lang w:val="fr"/>
        </w:rPr>
        <w:footnoteReference w:id="7"/>
      </w:r>
      <w:r>
        <w:rPr>
          <w:lang w:val="fr"/>
        </w:rPr>
        <w:t xml:space="preserve"> du Groupe d'e</w:t>
      </w:r>
      <w:r>
        <w:rPr>
          <w:lang w:val="fr"/>
        </w:rPr>
        <w:t>x</w:t>
      </w:r>
      <w:r>
        <w:rPr>
          <w:lang w:val="fr"/>
        </w:rPr>
        <w:t>perts intergouvernemental sur l'évolution du climat (GIEC) a déclaré que les PEID figuraient parmi les pays ayant le plus besoin d'aide pour faire face aux changements climatiques. Les parties prenantes que nous avons interrogées dans le cadre du processus d'évaluation ont co</w:t>
      </w:r>
      <w:r>
        <w:rPr>
          <w:lang w:val="fr"/>
        </w:rPr>
        <w:t>n</w:t>
      </w:r>
      <w:r>
        <w:rPr>
          <w:lang w:val="fr"/>
        </w:rPr>
        <w:t>firmé ces propos en insistant longuement sur les défis auxquels les PEID sont confrontés.</w:t>
      </w:r>
    </w:p>
    <w:p w:rsidR="008F3618" w:rsidRPr="00D1792C" w:rsidRDefault="00606046" w:rsidP="00AD1C0A">
      <w:pPr>
        <w:rPr>
          <w:lang w:val="fr-BE"/>
        </w:rPr>
      </w:pPr>
      <w:r>
        <w:rPr>
          <w:lang w:val="fr"/>
        </w:rPr>
        <w:t>Dans le même temps, les États ACP sont confrontés à d'autres circonstances elles aussi e</w:t>
      </w:r>
      <w:r>
        <w:rPr>
          <w:lang w:val="fr"/>
        </w:rPr>
        <w:t>x</w:t>
      </w:r>
      <w:r>
        <w:rPr>
          <w:lang w:val="fr"/>
        </w:rPr>
        <w:t>trêmement difficiles. En Afrique australe et orientale, qui est également considérée comme l'une des régions les plus vulnérables au changement climatique</w:t>
      </w:r>
      <w:r w:rsidRPr="00281425">
        <w:rPr>
          <w:rStyle w:val="FootnoteReference"/>
          <w:lang w:val="fr"/>
        </w:rPr>
        <w:footnoteReference w:id="8"/>
      </w:r>
      <w:r>
        <w:rPr>
          <w:lang w:val="fr"/>
        </w:rPr>
        <w:t>, la promotion, par le Pr</w:t>
      </w:r>
      <w:r>
        <w:rPr>
          <w:lang w:val="fr"/>
        </w:rPr>
        <w:t>o</w:t>
      </w:r>
      <w:r>
        <w:rPr>
          <w:lang w:val="fr"/>
        </w:rPr>
        <w:t>gramme intra-ACP, des politiques et des pratiques de l'agriculture intelligente face au climat (AIC) et de l'agriculture de conservation (AC) est perçue comme une réponse extrêmement pertinente au changement climatique dans cette région d'Afrique où les moyens de subsi</w:t>
      </w:r>
      <w:r>
        <w:rPr>
          <w:lang w:val="fr"/>
        </w:rPr>
        <w:t>s</w:t>
      </w:r>
      <w:r>
        <w:rPr>
          <w:lang w:val="fr"/>
        </w:rPr>
        <w:t>tance dépendent en grande partie de l'agriculture. La situation est similaire en Afrique de l'Ouest, puisque, d'après l'Organisation des Nations unies (ONU), le changement climatique aurait déjà un effet désastreux sur les moyens de subsistance dans les 17 pays d'Afrique de l'Ouest, tandis que des zones de tension sont en train d'apparaître du fait de la compétition croissante entre les communautés et au sein de celles-ci face à des ressources naturelles de plus en plus rares</w:t>
      </w:r>
      <w:r w:rsidRPr="00281425">
        <w:rPr>
          <w:rStyle w:val="FootnoteReference"/>
          <w:lang w:val="fr"/>
        </w:rPr>
        <w:footnoteReference w:id="9"/>
      </w:r>
      <w:r>
        <w:rPr>
          <w:lang w:val="fr"/>
        </w:rPr>
        <w:t>. En réponse, la composante Afrique de l'Ouest du Programme intra-ACP gérée par le CILSS / l’Agrhymet vise à renforcer les capacités en matière de surveillance du climat afin de procéder à une analyse du changement climatique dans le Sahel (ainsi que dans les autres pays bénéficiaires) et de ses incidences sur les systèmes de production agro-</w:t>
      </w:r>
      <w:proofErr w:type="spellStart"/>
      <w:r>
        <w:rPr>
          <w:lang w:val="fr"/>
        </w:rPr>
        <w:t>sylvo</w:t>
      </w:r>
      <w:proofErr w:type="spellEnd"/>
      <w:r>
        <w:rPr>
          <w:lang w:val="fr"/>
        </w:rPr>
        <w:t>-pastoraux.</w:t>
      </w:r>
    </w:p>
    <w:p w:rsidR="008F3618" w:rsidRPr="00D1792C" w:rsidRDefault="00E03D77" w:rsidP="00AD1C0A">
      <w:pPr>
        <w:rPr>
          <w:lang w:val="fr-BE"/>
        </w:rPr>
      </w:pPr>
      <w:r>
        <w:rPr>
          <w:lang w:val="fr"/>
        </w:rPr>
        <w:t xml:space="preserve">Bon nombre des pays couverts par le Programme intra-ACP sont confrontés à de multiples défis liés au changement climatique. En l'espace de quelques années seulement, des PEID </w:t>
      </w:r>
      <w:r>
        <w:rPr>
          <w:lang w:val="fr"/>
        </w:rPr>
        <w:lastRenderedPageBreak/>
        <w:t>comme l'île Maurice peuvent être dévastés tour à tour par la sécheresse, par de fortes pluies et des inondations, ainsi que par des phénomènes météorologiques extrêmes tels que des c</w:t>
      </w:r>
      <w:r>
        <w:rPr>
          <w:lang w:val="fr"/>
        </w:rPr>
        <w:t>y</w:t>
      </w:r>
      <w:r>
        <w:rPr>
          <w:lang w:val="fr"/>
        </w:rPr>
        <w:t>clones. Au Belize, certaines zones peuvent être victimes d'inondations une année, puis sou</w:t>
      </w:r>
      <w:r>
        <w:rPr>
          <w:lang w:val="fr"/>
        </w:rPr>
        <w:t>f</w:t>
      </w:r>
      <w:r>
        <w:rPr>
          <w:lang w:val="fr"/>
        </w:rPr>
        <w:t>frir de la sécheresse la suivante.</w:t>
      </w:r>
    </w:p>
    <w:p w:rsidR="008F3618" w:rsidRPr="00D1792C" w:rsidRDefault="00D36E1E" w:rsidP="00AD1C0A">
      <w:pPr>
        <w:rPr>
          <w:lang w:val="fr-BE"/>
        </w:rPr>
      </w:pPr>
      <w:r>
        <w:rPr>
          <w:lang w:val="fr"/>
        </w:rPr>
        <w:t>Les États ACP peinent à établir et à maintenir les capacités techniques et les ressources f</w:t>
      </w:r>
      <w:r>
        <w:rPr>
          <w:lang w:val="fr"/>
        </w:rPr>
        <w:t>i</w:t>
      </w:r>
      <w:r>
        <w:rPr>
          <w:lang w:val="fr"/>
        </w:rPr>
        <w:t>nancières pour maîtriser les situations créées par le changement climatique. Il existe égal</w:t>
      </w:r>
      <w:r>
        <w:rPr>
          <w:lang w:val="fr"/>
        </w:rPr>
        <w:t>e</w:t>
      </w:r>
      <w:r>
        <w:rPr>
          <w:lang w:val="fr"/>
        </w:rPr>
        <w:t>ment de nombreux défis institutionnels, liés à la nécessité d'élaborer des politiques appr</w:t>
      </w:r>
      <w:r>
        <w:rPr>
          <w:lang w:val="fr"/>
        </w:rPr>
        <w:t>o</w:t>
      </w:r>
      <w:r>
        <w:rPr>
          <w:lang w:val="fr"/>
        </w:rPr>
        <w:t>priées et de maintenir des postes d'influence au sein des gouvernements nationaux grâce à l'établissement de bureaux des changements climatiques de façon à veiller à ce que cette question demeure une priorité forte. Un objectif clé est d'élever le niveau de tous les pays ACP pour leur permettre de relever les défis nationaux en matière de changement climatique tout en participant effectivement aux forums et aux processus régionaux et internationaux de manière à défendre leurs intérêts et ceux de leur région. Bien que de différentes manières et à des degrés divers, les six programmes que nous avons évalués contribuent à la réalisation de cet objectif.</w:t>
      </w:r>
    </w:p>
    <w:p w:rsidR="008F3618" w:rsidRPr="00D1792C" w:rsidRDefault="00ED1B0E" w:rsidP="00AD1C0A">
      <w:pPr>
        <w:rPr>
          <w:lang w:val="fr-BE"/>
        </w:rPr>
      </w:pPr>
      <w:r>
        <w:rPr>
          <w:lang w:val="fr"/>
        </w:rPr>
        <w:t>L'idée selon laquelle des institutions régionales compétentes peuvent aider à la réalisation des objectifs nationaux et régionaux est une hypothèse raisonnable. Des organisations telles que le CCCCC dans les Caraïbes, l’Agrhymet en Afrique de l'Ouest, ou encore l'USP, le PACE-SD, le CPS et le SPROE dans le Pacifique sont des institutions hautement crédibles qui di</w:t>
      </w:r>
      <w:r>
        <w:rPr>
          <w:lang w:val="fr"/>
        </w:rPr>
        <w:t>s</w:t>
      </w:r>
      <w:r>
        <w:rPr>
          <w:lang w:val="fr"/>
        </w:rPr>
        <w:t>posent chacune d'avantages comparatifs lorsqu'il s'agit de mener des missions régionales dans le domaine du changement climatique. Les profils de la CEA-NU et du COMESA semblent moins adaptés dans ce contexte. Il n'en demeure pas moins que l'Afrique a besoin d'un mei</w:t>
      </w:r>
      <w:r>
        <w:rPr>
          <w:lang w:val="fr"/>
        </w:rPr>
        <w:t>l</w:t>
      </w:r>
      <w:r>
        <w:rPr>
          <w:lang w:val="fr"/>
        </w:rPr>
        <w:t>leur leadership régional dans le domaine du changement climatique. La question est de savoir s'il existait une meilleure alternative aux institutions qui ont été choisies.</w:t>
      </w:r>
    </w:p>
    <w:p w:rsidR="009A16ED" w:rsidRPr="00D1792C" w:rsidRDefault="00BA3588" w:rsidP="00AD1C0A">
      <w:pPr>
        <w:rPr>
          <w:lang w:val="fr-BE"/>
        </w:rPr>
      </w:pPr>
      <w:r>
        <w:rPr>
          <w:lang w:val="fr"/>
        </w:rPr>
        <w:t>Le Programme intra-ACP opère sous la direction d’un large éventail de politiques et de str</w:t>
      </w:r>
      <w:r>
        <w:rPr>
          <w:lang w:val="fr"/>
        </w:rPr>
        <w:t>a</w:t>
      </w:r>
      <w:r>
        <w:rPr>
          <w:lang w:val="fr"/>
        </w:rPr>
        <w:t>tégies nationales et régionales. Dans les Caraïbes, par exemple, le programme CCCCC est mis en œuvre conformément à une stratégie intitulée « </w:t>
      </w:r>
      <w:r>
        <w:rPr>
          <w:i/>
          <w:iCs/>
          <w:lang w:val="fr"/>
        </w:rPr>
        <w:t>Le changement climatique et les C</w:t>
      </w:r>
      <w:r>
        <w:rPr>
          <w:i/>
          <w:iCs/>
          <w:lang w:val="fr"/>
        </w:rPr>
        <w:t>a</w:t>
      </w:r>
      <w:r>
        <w:rPr>
          <w:i/>
          <w:iCs/>
          <w:lang w:val="fr"/>
        </w:rPr>
        <w:t>raïbes : un cadre régional pour un développement résilient au changement climatique (2011-2021)</w:t>
      </w:r>
      <w:r>
        <w:rPr>
          <w:lang w:val="fr"/>
        </w:rPr>
        <w:t> », qui, en réalité, a été préparée par le CCCCC à la demande des chefs d'État des États membres du Secrétariat de la Communauté des Caraïbes (CARICOM). Dans le Pacifique, les deux programmes régionaux soutiennent la mise en œuvre de la stratégie intitulée « </w:t>
      </w:r>
      <w:r>
        <w:rPr>
          <w:i/>
          <w:iCs/>
          <w:lang w:val="fr"/>
        </w:rPr>
        <w:t>Cadre d'action contre le changement climatique des îles du Pacifique (PIFACC) »</w:t>
      </w:r>
      <w:r>
        <w:rPr>
          <w:lang w:val="fr"/>
        </w:rPr>
        <w:t>)</w:t>
      </w:r>
      <w:r>
        <w:rPr>
          <w:i/>
          <w:iCs/>
          <w:lang w:val="fr"/>
        </w:rPr>
        <w:t xml:space="preserve"> </w:t>
      </w:r>
      <w:r>
        <w:rPr>
          <w:lang w:val="fr"/>
        </w:rPr>
        <w:t>couvrant la p</w:t>
      </w:r>
      <w:r>
        <w:rPr>
          <w:lang w:val="fr"/>
        </w:rPr>
        <w:t>é</w:t>
      </w:r>
      <w:r>
        <w:rPr>
          <w:lang w:val="fr"/>
        </w:rPr>
        <w:t>riode 2006-2015.</w:t>
      </w:r>
      <w:r>
        <w:rPr>
          <w:i/>
          <w:iCs/>
          <w:lang w:val="fr"/>
        </w:rPr>
        <w:t xml:space="preserve"> </w:t>
      </w:r>
      <w:r>
        <w:rPr>
          <w:lang w:val="fr"/>
        </w:rPr>
        <w:t>Par ailleurs, un exercice de consultation / de formulation de politiques a été mené aux niveaux national et régional dans le Pacifique, ce qui a conduit à l'établissement d'une stratégie nationale et régionale fusionnant RRC et adaptation aux changements clim</w:t>
      </w:r>
      <w:r>
        <w:rPr>
          <w:lang w:val="fr"/>
        </w:rPr>
        <w:t>a</w:t>
      </w:r>
      <w:r>
        <w:rPr>
          <w:lang w:val="fr"/>
        </w:rPr>
        <w:t>tiques intitulée « </w:t>
      </w:r>
      <w:r>
        <w:rPr>
          <w:i/>
          <w:iCs/>
          <w:lang w:val="fr"/>
        </w:rPr>
        <w:t>Stratégie en faveur d'un développement résistant aux catastrophes et aux risques climatiques dans le Pacifique (SDRP) à partir de 2016</w:t>
      </w:r>
      <w:r>
        <w:rPr>
          <w:lang w:val="fr"/>
        </w:rPr>
        <w:t> ».</w:t>
      </w:r>
      <w:r>
        <w:rPr>
          <w:i/>
          <w:iCs/>
          <w:lang w:val="fr"/>
        </w:rPr>
        <w:t xml:space="preserve"> </w:t>
      </w:r>
      <w:r>
        <w:rPr>
          <w:lang w:val="fr"/>
        </w:rPr>
        <w:t>En Afrique, les trois pr</w:t>
      </w:r>
      <w:r>
        <w:rPr>
          <w:lang w:val="fr"/>
        </w:rPr>
        <w:t>o</w:t>
      </w:r>
      <w:r>
        <w:rPr>
          <w:lang w:val="fr"/>
        </w:rPr>
        <w:t xml:space="preserve">grammes sont alignés sur le </w:t>
      </w:r>
      <w:r>
        <w:rPr>
          <w:i/>
          <w:iCs/>
          <w:lang w:val="fr"/>
        </w:rPr>
        <w:t>Nouveau partenariat pour le développement de l'Afrique (N</w:t>
      </w:r>
      <w:r>
        <w:rPr>
          <w:i/>
          <w:iCs/>
          <w:lang w:val="fr"/>
        </w:rPr>
        <w:t>E</w:t>
      </w:r>
      <w:r>
        <w:rPr>
          <w:i/>
          <w:iCs/>
          <w:lang w:val="fr"/>
        </w:rPr>
        <w:t>PAD)</w:t>
      </w:r>
      <w:r>
        <w:rPr>
          <w:lang w:val="fr"/>
        </w:rPr>
        <w:t xml:space="preserve"> et sur le </w:t>
      </w:r>
      <w:r>
        <w:rPr>
          <w:i/>
          <w:iCs/>
          <w:lang w:val="fr"/>
        </w:rPr>
        <w:t>Programme détaillé de développement de l'agriculture africaine (PDDAA)</w:t>
      </w:r>
      <w:r>
        <w:rPr>
          <w:lang w:val="fr"/>
        </w:rPr>
        <w:t>. Tous les programmes soutiennent également la déclaration commune ACP-UE de 2009 sur le changement climatique et le développement et s'efforcent de contribuer aux priorités de la stratégie commune Afrique-UE et de son plan d'action 2008-2010 sur le changement clim</w:t>
      </w:r>
      <w:r>
        <w:rPr>
          <w:lang w:val="fr"/>
        </w:rPr>
        <w:t>a</w:t>
      </w:r>
      <w:r>
        <w:rPr>
          <w:lang w:val="fr"/>
        </w:rPr>
        <w:t>tique. En même temps, dans tous les pays où le Programme intra-ACP est opérationnel, il existe une obligation de respecter les politiques et les stratégies nationales liées au chang</w:t>
      </w:r>
      <w:r>
        <w:rPr>
          <w:lang w:val="fr"/>
        </w:rPr>
        <w:t>e</w:t>
      </w:r>
      <w:r>
        <w:rPr>
          <w:lang w:val="fr"/>
        </w:rPr>
        <w:lastRenderedPageBreak/>
        <w:t>ment climatique et au développement. Dans la plupart des cas, le Programme intra-ACP pa</w:t>
      </w:r>
      <w:r>
        <w:rPr>
          <w:lang w:val="fr"/>
        </w:rPr>
        <w:t>r</w:t>
      </w:r>
      <w:r>
        <w:rPr>
          <w:lang w:val="fr"/>
        </w:rPr>
        <w:t>ticipe effectivement au développement de ces stratégies et/ou à la création des conditions nécessaires pour garantir l'application des politiques et stratégies nationales.</w:t>
      </w:r>
    </w:p>
    <w:p w:rsidR="008F3618" w:rsidRPr="00D1792C" w:rsidRDefault="002B02CB" w:rsidP="00AD1C0A">
      <w:pPr>
        <w:rPr>
          <w:lang w:val="fr-BE"/>
        </w:rPr>
      </w:pPr>
      <w:r>
        <w:rPr>
          <w:lang w:val="fr"/>
        </w:rPr>
        <w:t>En général, la majorité des activités mises en œuvre dans le cadre du Programme intra-ACP se concentrent sur l'adaptation au changement climatique (ACC). À l'exception de quelques pays tels que Trinité et Tobago, les États ACP ne sont pas de grands émetteurs de GES et ne le deviendront probablement jamais. Le Programme intra-ACP est axé sur la demande et, de ce fait, les besoins des pays bénéficiaires se concentrent clairement sur la réduction de la vu</w:t>
      </w:r>
      <w:r>
        <w:rPr>
          <w:lang w:val="fr"/>
        </w:rPr>
        <w:t>l</w:t>
      </w:r>
      <w:r>
        <w:rPr>
          <w:lang w:val="fr"/>
        </w:rPr>
        <w:t>nérabilité au changement climatique. Les activités de type REDD telles que le reboisement devraient également être encouragées car, en plus de lutter contre le changement climatique, elles s'accompagnent d'importants bienfaits économiques, sociaux et environnementaux. Le lien avec les marchés internationaux du carbone est essentiel pour garantir le financement, mais ne remet pas en cause l'importance du reboisement dans le cadre de la lutte contre le changement climatique. Dans le même temps, la promotion des énergies renouvelables a des avantages évidents, dont l'indépendance énergétique n'est pas des moindres. Pour l'heure, le système mondial d’échange de crédits de carbone est encore loin d'être pleinement opératio</w:t>
      </w:r>
      <w:r>
        <w:rPr>
          <w:lang w:val="fr"/>
        </w:rPr>
        <w:t>n</w:t>
      </w:r>
      <w:r>
        <w:rPr>
          <w:lang w:val="fr"/>
        </w:rPr>
        <w:t>nel. En attendant, deux des cinq priorités du Programme intra-ACP touchent d'une manière ou d'une autre au financement carbone et à l'échange de crédits de carbone. Bien que les ci</w:t>
      </w:r>
      <w:r>
        <w:rPr>
          <w:lang w:val="fr"/>
        </w:rPr>
        <w:t>r</w:t>
      </w:r>
      <w:r>
        <w:rPr>
          <w:lang w:val="fr"/>
        </w:rPr>
        <w:t>constances entourant les marchés du carbone puissent évoluer, le domaine prioritaire 3 ainsi que les domaines prioritaires 4 (REDD) et 5 (MDP) devraient être réévalués. Sans pour a</w:t>
      </w:r>
      <w:r>
        <w:rPr>
          <w:lang w:val="fr"/>
        </w:rPr>
        <w:t>u</w:t>
      </w:r>
      <w:r>
        <w:rPr>
          <w:lang w:val="fr"/>
        </w:rPr>
        <w:t>tant remettre en cause la promotion d'activités de type REDD, il serait utile de réfléchir à des méthodes pour améliorer la conception de ce type d'activités et les intégrer de manière con</w:t>
      </w:r>
      <w:r>
        <w:rPr>
          <w:lang w:val="fr"/>
        </w:rPr>
        <w:t>s</w:t>
      </w:r>
      <w:r>
        <w:rPr>
          <w:lang w:val="fr"/>
        </w:rPr>
        <w:t>tante dans les programmes régionaux et nationaux, quelle que soit la situation des marchés du carbone.</w:t>
      </w:r>
    </w:p>
    <w:p w:rsidR="008F3618" w:rsidRPr="00D1792C" w:rsidRDefault="006A29AC" w:rsidP="00AD1C0A">
      <w:pPr>
        <w:rPr>
          <w:lang w:val="fr-BE"/>
        </w:rPr>
      </w:pPr>
      <w:r>
        <w:rPr>
          <w:lang w:val="fr"/>
        </w:rPr>
        <w:t>La pertinence de la CSF ne devrait faire aucun doute, compte tenu de sa fonction et de ses modalités de mise en œuvre. Pourtant, la réalité est tout autre. Ce service ne suscite pas une forte demande, ce qui serait le meilleur indicateur de sa pertinence. Mais il serait trop simple d'en conclure directement que la CSF n'est pas pertinente. Le mandat de la CSF est lié aux cinq domaines prioritaires de l'AMCC et les retours reçus sur les commandes de la CSF se</w:t>
      </w:r>
      <w:r>
        <w:rPr>
          <w:lang w:val="fr"/>
        </w:rPr>
        <w:t>m</w:t>
      </w:r>
      <w:r>
        <w:rPr>
          <w:lang w:val="fr"/>
        </w:rPr>
        <w:t>blent indiquer que le service, lorsqu'il est utilisé, répond aux attentes des bénéficiaires. Il convient donc de mieux comprendre les circonstances qui entourent la CSF afin d'améliorer sa pertinence.</w:t>
      </w:r>
    </w:p>
    <w:p w:rsidR="00F11D5B" w:rsidRPr="00D1792C" w:rsidRDefault="006A29AC" w:rsidP="006A29AC">
      <w:pPr>
        <w:rPr>
          <w:lang w:val="fr-BE"/>
        </w:rPr>
      </w:pPr>
      <w:r>
        <w:rPr>
          <w:lang w:val="fr"/>
        </w:rPr>
        <w:t>Le Programme intra-ACP est également censé contribuer aux objectifs de l'accord de Cot</w:t>
      </w:r>
      <w:r>
        <w:rPr>
          <w:lang w:val="fr"/>
        </w:rPr>
        <w:t>o</w:t>
      </w:r>
      <w:r>
        <w:rPr>
          <w:lang w:val="fr"/>
        </w:rPr>
        <w:t>nou et, en particulier, de son article 32A. L'accord de Cotonou vise à lutter contre la pauvreté tout en contribuant au développement durable. Il repose sur l'idée selon laquelle la pauvreté devrait être éradiquée tout en intégrant pleinement les pays ACP dans l'économie mondiale. L'accord contient également des objectifs spécifiques liés au climat. Le tableau ci-dessous présente ces objectifs ainsi que la contribution du Programme intra-ACP à leur réalisation.</w:t>
      </w:r>
    </w:p>
    <w:p w:rsidR="006A29AC" w:rsidRPr="00D1792C" w:rsidRDefault="00F11D5B" w:rsidP="006A29AC">
      <w:pPr>
        <w:rPr>
          <w:b/>
          <w:i/>
          <w:lang w:val="fr-BE"/>
        </w:rPr>
      </w:pPr>
      <w:r>
        <w:rPr>
          <w:b/>
          <w:bCs/>
          <w:i/>
          <w:iCs/>
          <w:lang w:val="fr"/>
        </w:rPr>
        <w:t>Tableau 1. Évaluation des réalisations du Programme intra-ACP à la lumière des objectifs définis à l'article 32A de l'accord de Cotonou</w:t>
      </w:r>
    </w:p>
    <w:tbl>
      <w:tblPr>
        <w:tblStyle w:val="TableGrid"/>
        <w:tblW w:w="0" w:type="auto"/>
        <w:tblLook w:val="04A0" w:firstRow="1" w:lastRow="0" w:firstColumn="1" w:lastColumn="0" w:noHBand="0" w:noVBand="1"/>
      </w:tblPr>
      <w:tblGrid>
        <w:gridCol w:w="4621"/>
        <w:gridCol w:w="4621"/>
      </w:tblGrid>
      <w:tr w:rsidR="006A29AC" w:rsidRPr="00D1792C">
        <w:tc>
          <w:tcPr>
            <w:tcW w:w="4621" w:type="dxa"/>
          </w:tcPr>
          <w:p w:rsidR="006A29AC" w:rsidRPr="00E97718" w:rsidRDefault="00E97718" w:rsidP="00E97718">
            <w:pPr>
              <w:rPr>
                <w:sz w:val="20"/>
                <w:szCs w:val="18"/>
                <w:lang w:val="fr-BE"/>
              </w:rPr>
            </w:pPr>
            <w:r w:rsidRPr="00E97718">
              <w:rPr>
                <w:color w:val="000000"/>
                <w:sz w:val="20"/>
                <w:szCs w:val="18"/>
                <w:lang w:val="fr"/>
              </w:rPr>
              <w:t>Éléments de l’article</w:t>
            </w:r>
            <w:r w:rsidR="006A29AC" w:rsidRPr="00E97718">
              <w:rPr>
                <w:color w:val="000000"/>
                <w:sz w:val="20"/>
                <w:szCs w:val="18"/>
                <w:lang w:val="fr"/>
              </w:rPr>
              <w:t> 3</w:t>
            </w:r>
            <w:r>
              <w:rPr>
                <w:color w:val="000000"/>
                <w:sz w:val="20"/>
                <w:szCs w:val="18"/>
                <w:lang w:val="fr"/>
              </w:rPr>
              <w:t>2A de l'accord de Cotonou</w:t>
            </w:r>
          </w:p>
        </w:tc>
        <w:tc>
          <w:tcPr>
            <w:tcW w:w="4621" w:type="dxa"/>
          </w:tcPr>
          <w:p w:rsidR="006A29AC" w:rsidRPr="00D1792C" w:rsidRDefault="006A29AC" w:rsidP="00AD1C0A">
            <w:pPr>
              <w:rPr>
                <w:sz w:val="20"/>
                <w:szCs w:val="18"/>
                <w:lang w:val="fr-BE"/>
              </w:rPr>
            </w:pPr>
            <w:r>
              <w:rPr>
                <w:sz w:val="20"/>
                <w:szCs w:val="18"/>
                <w:lang w:val="fr"/>
              </w:rPr>
              <w:t xml:space="preserve">Réalisations du Programme intra-AC de l'AMCC </w:t>
            </w:r>
          </w:p>
        </w:tc>
      </w:tr>
      <w:tr w:rsidR="006A29AC" w:rsidRPr="00D1792C">
        <w:tc>
          <w:tcPr>
            <w:tcW w:w="4621" w:type="dxa"/>
          </w:tcPr>
          <w:p w:rsidR="006A29AC" w:rsidRPr="00D1792C" w:rsidRDefault="006A29AC" w:rsidP="00AD1C0A">
            <w:pPr>
              <w:rPr>
                <w:color w:val="000000"/>
                <w:sz w:val="20"/>
                <w:szCs w:val="18"/>
                <w:lang w:val="fr-BE"/>
              </w:rPr>
            </w:pPr>
            <w:r>
              <w:rPr>
                <w:color w:val="000000"/>
                <w:sz w:val="20"/>
                <w:szCs w:val="18"/>
                <w:lang w:val="fr"/>
              </w:rPr>
              <w:t>a) reconnaît la vulnérabilité des États ACP et, en part</w:t>
            </w:r>
            <w:r>
              <w:rPr>
                <w:color w:val="000000"/>
                <w:sz w:val="20"/>
                <w:szCs w:val="18"/>
                <w:lang w:val="fr"/>
              </w:rPr>
              <w:t>i</w:t>
            </w:r>
            <w:r>
              <w:rPr>
                <w:color w:val="000000"/>
                <w:sz w:val="20"/>
                <w:szCs w:val="18"/>
                <w:lang w:val="fr"/>
              </w:rPr>
              <w:t xml:space="preserve">culier, des petites États ACP insulaires et de faible </w:t>
            </w:r>
            <w:r>
              <w:rPr>
                <w:color w:val="000000"/>
                <w:sz w:val="20"/>
                <w:szCs w:val="18"/>
                <w:lang w:val="fr"/>
              </w:rPr>
              <w:lastRenderedPageBreak/>
              <w:t>altitude aux phénomènes climatiques tels que l'érosion côtière, les cyclones et les inondations et aux dépl</w:t>
            </w:r>
            <w:r>
              <w:rPr>
                <w:color w:val="000000"/>
                <w:sz w:val="20"/>
                <w:szCs w:val="18"/>
                <w:lang w:val="fr"/>
              </w:rPr>
              <w:t>a</w:t>
            </w:r>
            <w:r>
              <w:rPr>
                <w:color w:val="000000"/>
                <w:sz w:val="20"/>
                <w:szCs w:val="18"/>
                <w:lang w:val="fr"/>
              </w:rPr>
              <w:t>cements de populations liés à l'environnement ainsi que l'aggravation du problème des inondations, de la sécheresse, de la déforestation et de la désertification qui touchent en particulier les États ACP les moins avancés et enclavés ;</w:t>
            </w:r>
          </w:p>
        </w:tc>
        <w:tc>
          <w:tcPr>
            <w:tcW w:w="4621" w:type="dxa"/>
          </w:tcPr>
          <w:p w:rsidR="006A29AC" w:rsidRPr="00D1792C" w:rsidRDefault="006A29AC" w:rsidP="00AD1C0A">
            <w:pPr>
              <w:rPr>
                <w:sz w:val="20"/>
                <w:szCs w:val="18"/>
                <w:lang w:val="fr-BE"/>
              </w:rPr>
            </w:pPr>
            <w:r>
              <w:rPr>
                <w:sz w:val="20"/>
                <w:szCs w:val="18"/>
                <w:lang w:val="fr"/>
              </w:rPr>
              <w:lastRenderedPageBreak/>
              <w:t xml:space="preserve">Les principaux axes de programmation du Programme intra-ACP sont directement liés à la reconnaissance de </w:t>
            </w:r>
            <w:r>
              <w:rPr>
                <w:sz w:val="20"/>
                <w:szCs w:val="18"/>
                <w:lang w:val="fr"/>
              </w:rPr>
              <w:lastRenderedPageBreak/>
              <w:t>la vulnérabilité des États ACP aux défis climatiques et aux phénomènes tels que les inondations et la séch</w:t>
            </w:r>
            <w:r>
              <w:rPr>
                <w:sz w:val="20"/>
                <w:szCs w:val="18"/>
                <w:lang w:val="fr"/>
              </w:rPr>
              <w:t>e</w:t>
            </w:r>
            <w:r>
              <w:rPr>
                <w:sz w:val="20"/>
                <w:szCs w:val="18"/>
                <w:lang w:val="fr"/>
              </w:rPr>
              <w:t xml:space="preserve">resse. Le Programme intra-ACP tente d'atténuer cette vulnérabilité au moyen de mesures concrètes sur le terrain telles que la planification de la gestion des risques de catastrophes et l'agriculture résistante à la sécheresse. Des efforts sont également déployés en vue d'institutionnaliser les politiques et les capacités en vue d'établir des mécanismes plus permanents pour réduire la vulnérabilité. </w:t>
            </w:r>
          </w:p>
        </w:tc>
      </w:tr>
      <w:tr w:rsidR="006A29AC" w:rsidRPr="00D1792C">
        <w:tc>
          <w:tcPr>
            <w:tcW w:w="4621" w:type="dxa"/>
          </w:tcPr>
          <w:p w:rsidR="006A29AC" w:rsidRPr="00D1792C" w:rsidRDefault="006A29AC" w:rsidP="00AD1C0A">
            <w:pPr>
              <w:rPr>
                <w:color w:val="000000"/>
                <w:sz w:val="20"/>
                <w:szCs w:val="18"/>
                <w:lang w:val="fr-BE"/>
              </w:rPr>
            </w:pPr>
            <w:r>
              <w:rPr>
                <w:color w:val="000000"/>
                <w:sz w:val="20"/>
                <w:szCs w:val="18"/>
                <w:lang w:val="fr"/>
              </w:rPr>
              <w:lastRenderedPageBreak/>
              <w:t>b) renforce et appuie les politiques et programmes qui visent à atténuer les conséquences des changements climatiques et à s'adapter aux risques qu'ils représe</w:t>
            </w:r>
            <w:r>
              <w:rPr>
                <w:color w:val="000000"/>
                <w:sz w:val="20"/>
                <w:szCs w:val="18"/>
                <w:lang w:val="fr"/>
              </w:rPr>
              <w:t>n</w:t>
            </w:r>
            <w:r>
              <w:rPr>
                <w:color w:val="000000"/>
                <w:sz w:val="20"/>
                <w:szCs w:val="18"/>
                <w:lang w:val="fr"/>
              </w:rPr>
              <w:t>tent, notamment à travers le développement instit</w:t>
            </w:r>
            <w:r>
              <w:rPr>
                <w:color w:val="000000"/>
                <w:sz w:val="20"/>
                <w:szCs w:val="18"/>
                <w:lang w:val="fr"/>
              </w:rPr>
              <w:t>u</w:t>
            </w:r>
            <w:r>
              <w:rPr>
                <w:color w:val="000000"/>
                <w:sz w:val="20"/>
                <w:szCs w:val="18"/>
                <w:lang w:val="fr"/>
              </w:rPr>
              <w:t>tionnel et le renforcement des capacités ;</w:t>
            </w:r>
          </w:p>
        </w:tc>
        <w:tc>
          <w:tcPr>
            <w:tcW w:w="4621" w:type="dxa"/>
          </w:tcPr>
          <w:p w:rsidR="006A29AC" w:rsidRPr="00D1792C" w:rsidRDefault="00414BF0" w:rsidP="00414BF0">
            <w:pPr>
              <w:rPr>
                <w:sz w:val="20"/>
                <w:szCs w:val="18"/>
                <w:lang w:val="fr-BE"/>
              </w:rPr>
            </w:pPr>
            <w:r>
              <w:rPr>
                <w:sz w:val="20"/>
                <w:szCs w:val="18"/>
                <w:lang w:val="fr"/>
              </w:rPr>
              <w:t>La programmation du Programme intra-ACP repose avant toute chose sur des activités d'adaptation. Cet accent sur l'adaptation a émergé en réponse aux b</w:t>
            </w:r>
            <w:r>
              <w:rPr>
                <w:sz w:val="20"/>
                <w:szCs w:val="18"/>
                <w:lang w:val="fr"/>
              </w:rPr>
              <w:t>e</w:t>
            </w:r>
            <w:r>
              <w:rPr>
                <w:sz w:val="20"/>
                <w:szCs w:val="18"/>
                <w:lang w:val="fr"/>
              </w:rPr>
              <w:t>soins exprimés aux niveaux régional, national et local. Sur le plan des politiques et de la recherche, par exemple, le Programme intra - ACP a soutenu les PANA et les SPANA. L'engagement n'a pas été aussi fort à l'égard des activités d'atténuation. Le Pr</w:t>
            </w:r>
            <w:r>
              <w:rPr>
                <w:sz w:val="20"/>
                <w:szCs w:val="18"/>
                <w:lang w:val="fr"/>
              </w:rPr>
              <w:t>o</w:t>
            </w:r>
            <w:r>
              <w:rPr>
                <w:sz w:val="20"/>
                <w:szCs w:val="18"/>
                <w:lang w:val="fr"/>
              </w:rPr>
              <w:t xml:space="preserve">gramme intra-ACP étant axé sur la demande, le fait que l'accent soit davantage placé sur l'adaptation ne fait que refléter les priorités des États concernés. Néanmoins, le programme intra-ACP a apporté un soutien à des efforts importants tels que la réalisation des MAAN. </w:t>
            </w:r>
          </w:p>
        </w:tc>
      </w:tr>
      <w:tr w:rsidR="006A29AC" w:rsidRPr="00D1792C">
        <w:tc>
          <w:tcPr>
            <w:tcW w:w="4621" w:type="dxa"/>
          </w:tcPr>
          <w:p w:rsidR="006A29AC" w:rsidRPr="00D1792C" w:rsidRDefault="006A29AC" w:rsidP="00AD1C0A">
            <w:pPr>
              <w:rPr>
                <w:color w:val="000000"/>
                <w:sz w:val="20"/>
                <w:szCs w:val="18"/>
                <w:lang w:val="fr-BE"/>
              </w:rPr>
            </w:pPr>
            <w:r>
              <w:rPr>
                <w:color w:val="000000"/>
                <w:sz w:val="20"/>
                <w:szCs w:val="18"/>
                <w:lang w:val="fr"/>
              </w:rPr>
              <w:t xml:space="preserve">c) renforce la capacité des États ACP à développer le marché mondial du carbone et à y participer ; </w:t>
            </w:r>
          </w:p>
        </w:tc>
        <w:tc>
          <w:tcPr>
            <w:tcW w:w="4621" w:type="dxa"/>
          </w:tcPr>
          <w:p w:rsidR="006A29AC" w:rsidRPr="00D1792C" w:rsidRDefault="00B60974" w:rsidP="00AD1C0A">
            <w:pPr>
              <w:rPr>
                <w:sz w:val="20"/>
                <w:szCs w:val="18"/>
                <w:lang w:val="fr-BE"/>
              </w:rPr>
            </w:pPr>
            <w:r>
              <w:rPr>
                <w:sz w:val="20"/>
                <w:szCs w:val="18"/>
                <w:lang w:val="fr"/>
              </w:rPr>
              <w:t>Depuis le lancement du Programme intra-ACP, des développements importants sont survenus en lien avec les marchés du carbone, qui ont provoqué une chute rapide de l'intérêt pour ce système et l'émergence d'un nouveau mécanisme de financement. Quelques pr</w:t>
            </w:r>
            <w:r>
              <w:rPr>
                <w:sz w:val="20"/>
                <w:szCs w:val="18"/>
                <w:lang w:val="fr"/>
              </w:rPr>
              <w:t>o</w:t>
            </w:r>
            <w:r>
              <w:rPr>
                <w:sz w:val="20"/>
                <w:szCs w:val="18"/>
                <w:lang w:val="fr"/>
              </w:rPr>
              <w:t xml:space="preserve">grammes régionaux ont tenté d'établir, par exemple, des autorités nationales désignées (AND) chargées d'approuver des projets MDP. Cependant, au moins un programme régional a choisi de se recentrer sur les MAAN et le système de finance carbone à partir de 2015. </w:t>
            </w:r>
          </w:p>
        </w:tc>
      </w:tr>
      <w:tr w:rsidR="006A29AC" w:rsidRPr="00D1792C">
        <w:tc>
          <w:tcPr>
            <w:tcW w:w="4621" w:type="dxa"/>
          </w:tcPr>
          <w:p w:rsidR="006A29AC" w:rsidRPr="00D1792C" w:rsidRDefault="006A29AC" w:rsidP="00AD1C0A">
            <w:pPr>
              <w:rPr>
                <w:color w:val="000000"/>
                <w:sz w:val="20"/>
                <w:szCs w:val="18"/>
                <w:lang w:val="fr-BE"/>
              </w:rPr>
            </w:pPr>
            <w:r>
              <w:rPr>
                <w:color w:val="000000"/>
                <w:sz w:val="20"/>
                <w:szCs w:val="18"/>
                <w:lang w:val="fr"/>
              </w:rPr>
              <w:t>met l'accent sur les activités suivantes :</w:t>
            </w:r>
          </w:p>
        </w:tc>
        <w:tc>
          <w:tcPr>
            <w:tcW w:w="4621" w:type="dxa"/>
          </w:tcPr>
          <w:p w:rsidR="006A29AC" w:rsidRPr="00D1792C" w:rsidRDefault="006A29AC" w:rsidP="00AD1C0A">
            <w:pPr>
              <w:rPr>
                <w:sz w:val="20"/>
                <w:szCs w:val="18"/>
                <w:lang w:val="fr-BE"/>
              </w:rPr>
            </w:pPr>
          </w:p>
        </w:tc>
      </w:tr>
      <w:tr w:rsidR="006A29AC" w:rsidRPr="00D1792C">
        <w:tc>
          <w:tcPr>
            <w:tcW w:w="4621" w:type="dxa"/>
          </w:tcPr>
          <w:p w:rsidR="006A29AC" w:rsidRPr="00D1792C" w:rsidRDefault="006A29AC" w:rsidP="006E555C">
            <w:pPr>
              <w:autoSpaceDE w:val="0"/>
              <w:autoSpaceDN w:val="0"/>
              <w:adjustRightInd w:val="0"/>
              <w:spacing w:after="120" w:line="240" w:lineRule="auto"/>
              <w:ind w:left="284"/>
              <w:rPr>
                <w:color w:val="000000"/>
                <w:sz w:val="20"/>
                <w:szCs w:val="18"/>
                <w:lang w:val="fr-BE"/>
              </w:rPr>
            </w:pPr>
            <w:r>
              <w:rPr>
                <w:color w:val="000000"/>
                <w:sz w:val="20"/>
                <w:szCs w:val="18"/>
                <w:lang w:val="fr"/>
              </w:rPr>
              <w:t>i) la prise en compte du changement climatique dans les stratégies de développement et les efforts de réduction de la pauvreté ;</w:t>
            </w:r>
          </w:p>
        </w:tc>
        <w:tc>
          <w:tcPr>
            <w:tcW w:w="4621" w:type="dxa"/>
          </w:tcPr>
          <w:p w:rsidR="006A29AC" w:rsidRPr="004C4EB5" w:rsidRDefault="00BD24F8" w:rsidP="006E555C">
            <w:pPr>
              <w:autoSpaceDE w:val="0"/>
              <w:autoSpaceDN w:val="0"/>
              <w:adjustRightInd w:val="0"/>
              <w:spacing w:after="120" w:line="240" w:lineRule="auto"/>
              <w:rPr>
                <w:color w:val="000000"/>
                <w:sz w:val="20"/>
                <w:szCs w:val="18"/>
                <w:lang w:val="fr-BE"/>
              </w:rPr>
            </w:pPr>
            <w:r w:rsidRPr="004C4EB5">
              <w:rPr>
                <w:color w:val="000000"/>
                <w:sz w:val="20"/>
                <w:szCs w:val="18"/>
                <w:lang w:val="fr"/>
              </w:rPr>
              <w:t>Le Programme intra-ACP a apporté un soutien au niveau national afin d'intégrer les considérations liées au changement climatique dans les pol</w:t>
            </w:r>
            <w:r w:rsidRPr="004C4EB5">
              <w:rPr>
                <w:color w:val="000000"/>
                <w:sz w:val="20"/>
                <w:szCs w:val="18"/>
                <w:lang w:val="fr"/>
              </w:rPr>
              <w:t>i</w:t>
            </w:r>
            <w:r w:rsidRPr="004C4EB5">
              <w:rPr>
                <w:color w:val="000000"/>
                <w:sz w:val="20"/>
                <w:szCs w:val="18"/>
                <w:lang w:val="fr"/>
              </w:rPr>
              <w:t>tiques et les pratiques. Il soutient les PANA et joue un rôle dans la création et le renforcement de bureaux nationaux des changements clim</w:t>
            </w:r>
            <w:r w:rsidRPr="004C4EB5">
              <w:rPr>
                <w:color w:val="000000"/>
                <w:sz w:val="20"/>
                <w:szCs w:val="18"/>
                <w:lang w:val="fr"/>
              </w:rPr>
              <w:t>a</w:t>
            </w:r>
            <w:r w:rsidRPr="004C4EB5">
              <w:rPr>
                <w:color w:val="000000"/>
                <w:sz w:val="20"/>
                <w:szCs w:val="18"/>
                <w:lang w:val="fr"/>
              </w:rPr>
              <w:t>tiques qui, à leur tour, soutiennent l'intégration du changement climatique dans les pol</w:t>
            </w:r>
            <w:r w:rsidRPr="004C4EB5">
              <w:rPr>
                <w:color w:val="000000"/>
                <w:sz w:val="20"/>
                <w:szCs w:val="18"/>
                <w:lang w:val="fr"/>
              </w:rPr>
              <w:t>i</w:t>
            </w:r>
            <w:r w:rsidRPr="004C4EB5">
              <w:rPr>
                <w:color w:val="000000"/>
                <w:sz w:val="20"/>
                <w:szCs w:val="18"/>
                <w:lang w:val="fr"/>
              </w:rPr>
              <w:t>tiques. Il encourage aussi le développement de pr</w:t>
            </w:r>
            <w:r w:rsidRPr="004C4EB5">
              <w:rPr>
                <w:color w:val="000000"/>
                <w:sz w:val="20"/>
                <w:szCs w:val="18"/>
                <w:lang w:val="fr"/>
              </w:rPr>
              <w:t>a</w:t>
            </w:r>
            <w:r w:rsidRPr="004C4EB5">
              <w:rPr>
                <w:color w:val="000000"/>
                <w:sz w:val="20"/>
                <w:szCs w:val="18"/>
                <w:lang w:val="fr"/>
              </w:rPr>
              <w:t>tiques et de politiques agricoles plus attentives au cl</w:t>
            </w:r>
            <w:r w:rsidRPr="004C4EB5">
              <w:rPr>
                <w:color w:val="000000"/>
                <w:sz w:val="20"/>
                <w:szCs w:val="18"/>
                <w:lang w:val="fr"/>
              </w:rPr>
              <w:t>i</w:t>
            </w:r>
            <w:r w:rsidRPr="004C4EB5">
              <w:rPr>
                <w:color w:val="000000"/>
                <w:sz w:val="20"/>
                <w:szCs w:val="18"/>
                <w:lang w:val="fr"/>
              </w:rPr>
              <w:t xml:space="preserve">mat, tant au niveau national que régional. </w:t>
            </w:r>
          </w:p>
        </w:tc>
      </w:tr>
      <w:tr w:rsidR="006A29AC" w:rsidRPr="00D1792C">
        <w:tc>
          <w:tcPr>
            <w:tcW w:w="4621" w:type="dxa"/>
          </w:tcPr>
          <w:p w:rsidR="006A29AC" w:rsidRPr="00D1792C" w:rsidRDefault="006A29AC" w:rsidP="006E555C">
            <w:pPr>
              <w:autoSpaceDE w:val="0"/>
              <w:autoSpaceDN w:val="0"/>
              <w:adjustRightInd w:val="0"/>
              <w:spacing w:after="120" w:line="240" w:lineRule="auto"/>
              <w:ind w:left="284"/>
              <w:rPr>
                <w:color w:val="000000"/>
                <w:sz w:val="20"/>
                <w:szCs w:val="18"/>
                <w:lang w:val="fr-BE"/>
              </w:rPr>
            </w:pPr>
            <w:r>
              <w:rPr>
                <w:color w:val="000000"/>
                <w:sz w:val="20"/>
                <w:szCs w:val="18"/>
                <w:lang w:val="fr"/>
              </w:rPr>
              <w:t>ii) le renforcement de la dimension politique du changement climatique dans la coopération au d</w:t>
            </w:r>
            <w:r>
              <w:rPr>
                <w:color w:val="000000"/>
                <w:sz w:val="20"/>
                <w:szCs w:val="18"/>
                <w:lang w:val="fr"/>
              </w:rPr>
              <w:t>é</w:t>
            </w:r>
            <w:r>
              <w:rPr>
                <w:color w:val="000000"/>
                <w:sz w:val="20"/>
                <w:szCs w:val="18"/>
                <w:lang w:val="fr"/>
              </w:rPr>
              <w:t>veloppement, notamment au travers d'un dialogue politique approprié ;</w:t>
            </w:r>
          </w:p>
        </w:tc>
        <w:tc>
          <w:tcPr>
            <w:tcW w:w="4621" w:type="dxa"/>
          </w:tcPr>
          <w:p w:rsidR="006A29AC" w:rsidRPr="004C4EB5" w:rsidRDefault="00353D4C" w:rsidP="006E555C">
            <w:pPr>
              <w:autoSpaceDE w:val="0"/>
              <w:autoSpaceDN w:val="0"/>
              <w:adjustRightInd w:val="0"/>
              <w:spacing w:after="120" w:line="240" w:lineRule="auto"/>
              <w:rPr>
                <w:color w:val="000000"/>
                <w:sz w:val="20"/>
                <w:szCs w:val="18"/>
                <w:lang w:val="fr-BE"/>
              </w:rPr>
            </w:pPr>
            <w:r w:rsidRPr="004C4EB5">
              <w:rPr>
                <w:color w:val="000000"/>
                <w:sz w:val="20"/>
                <w:szCs w:val="18"/>
                <w:lang w:val="fr"/>
              </w:rPr>
              <w:t>Tous les programmes régionaux ont encouragé la participation aux forums et négociations internati</w:t>
            </w:r>
            <w:r w:rsidRPr="004C4EB5">
              <w:rPr>
                <w:color w:val="000000"/>
                <w:sz w:val="20"/>
                <w:szCs w:val="18"/>
                <w:lang w:val="fr"/>
              </w:rPr>
              <w:t>o</w:t>
            </w:r>
            <w:r w:rsidRPr="004C4EB5">
              <w:rPr>
                <w:color w:val="000000"/>
                <w:sz w:val="20"/>
                <w:szCs w:val="18"/>
                <w:lang w:val="fr"/>
              </w:rPr>
              <w:t>nales sur le changement climatique. Le di</w:t>
            </w:r>
            <w:r w:rsidRPr="004C4EB5">
              <w:rPr>
                <w:color w:val="000000"/>
                <w:sz w:val="20"/>
                <w:szCs w:val="18"/>
                <w:lang w:val="fr"/>
              </w:rPr>
              <w:t>a</w:t>
            </w:r>
            <w:r w:rsidRPr="004C4EB5">
              <w:rPr>
                <w:color w:val="000000"/>
                <w:sz w:val="20"/>
                <w:szCs w:val="18"/>
                <w:lang w:val="fr"/>
              </w:rPr>
              <w:t>logue et la tenue de débats ont été facilités, aussi bien au niveau national qu'au niveau régional. Des réunions/ateliers conjoints rassemblant des représentants des différents programmes régi</w:t>
            </w:r>
            <w:r w:rsidRPr="004C4EB5">
              <w:rPr>
                <w:color w:val="000000"/>
                <w:sz w:val="20"/>
                <w:szCs w:val="18"/>
                <w:lang w:val="fr"/>
              </w:rPr>
              <w:t>o</w:t>
            </w:r>
            <w:r w:rsidRPr="004C4EB5">
              <w:rPr>
                <w:color w:val="000000"/>
                <w:sz w:val="20"/>
                <w:szCs w:val="18"/>
                <w:lang w:val="fr"/>
              </w:rPr>
              <w:t>naux ont également été organisés. Il s'agit d'un domaine sur lequel le Programme intra-</w:t>
            </w:r>
            <w:r w:rsidRPr="004C4EB5">
              <w:rPr>
                <w:color w:val="000000"/>
                <w:sz w:val="20"/>
                <w:szCs w:val="18"/>
                <w:lang w:val="fr"/>
              </w:rPr>
              <w:lastRenderedPageBreak/>
              <w:t xml:space="preserve">ACP pourrait mettre davantage l'accent à l'avenir. </w:t>
            </w:r>
          </w:p>
        </w:tc>
      </w:tr>
      <w:tr w:rsidR="006A29AC" w:rsidRPr="00D1792C">
        <w:tc>
          <w:tcPr>
            <w:tcW w:w="4621" w:type="dxa"/>
          </w:tcPr>
          <w:p w:rsidR="006A29AC" w:rsidRPr="00D1792C" w:rsidRDefault="006A29AC" w:rsidP="006E555C">
            <w:pPr>
              <w:autoSpaceDE w:val="0"/>
              <w:autoSpaceDN w:val="0"/>
              <w:adjustRightInd w:val="0"/>
              <w:spacing w:after="120" w:line="240" w:lineRule="auto"/>
              <w:ind w:left="284"/>
              <w:rPr>
                <w:color w:val="000000"/>
                <w:sz w:val="20"/>
                <w:szCs w:val="18"/>
                <w:lang w:val="fr-BE"/>
              </w:rPr>
            </w:pPr>
            <w:r>
              <w:rPr>
                <w:color w:val="000000"/>
                <w:sz w:val="20"/>
                <w:szCs w:val="18"/>
                <w:lang w:val="fr"/>
              </w:rPr>
              <w:lastRenderedPageBreak/>
              <w:t>iii) l'apport d'une aide aux États ACP afin de leur permettre de s'adapter au changement climatique dans les secteurs pertinents tels que l'agriculture, la gestion de l'eau et les infrastructures, notamment par le transfert et l'adoption de technologies ada</w:t>
            </w:r>
            <w:r>
              <w:rPr>
                <w:color w:val="000000"/>
                <w:sz w:val="20"/>
                <w:szCs w:val="18"/>
                <w:lang w:val="fr"/>
              </w:rPr>
              <w:t>p</w:t>
            </w:r>
            <w:r>
              <w:rPr>
                <w:color w:val="000000"/>
                <w:sz w:val="20"/>
                <w:szCs w:val="18"/>
                <w:lang w:val="fr"/>
              </w:rPr>
              <w:t>tées et saines pour l'environnement ;</w:t>
            </w:r>
          </w:p>
        </w:tc>
        <w:tc>
          <w:tcPr>
            <w:tcW w:w="4621" w:type="dxa"/>
          </w:tcPr>
          <w:p w:rsidR="006A29AC" w:rsidRPr="004C4EB5" w:rsidRDefault="00294155" w:rsidP="00294155">
            <w:pPr>
              <w:autoSpaceDE w:val="0"/>
              <w:autoSpaceDN w:val="0"/>
              <w:adjustRightInd w:val="0"/>
              <w:spacing w:after="120" w:line="240" w:lineRule="auto"/>
              <w:rPr>
                <w:color w:val="000000"/>
                <w:sz w:val="20"/>
                <w:szCs w:val="18"/>
                <w:lang w:val="fr-BE"/>
              </w:rPr>
            </w:pPr>
            <w:r w:rsidRPr="004C4EB5">
              <w:rPr>
                <w:color w:val="000000"/>
                <w:sz w:val="20"/>
                <w:szCs w:val="18"/>
                <w:lang w:val="fr"/>
              </w:rPr>
              <w:t xml:space="preserve">Il existe un certain nombre d'exemples d'actions mises sur pied en vue de soutenir directement des secteurs spécifiques. Dans les Caraïbes, par exemple, diverses actions ont été entreprises afin de soutenir le secteur de l'eau, notamment par la promotion de technologies améliorées permettant de mieux gérer les ressources en eau. En Afrique australe et orientale, le programme régional vise avant tout à améliorer la production agricole. </w:t>
            </w:r>
            <w:bookmarkStart w:id="32" w:name="_GoBack"/>
            <w:bookmarkEnd w:id="32"/>
          </w:p>
        </w:tc>
      </w:tr>
      <w:tr w:rsidR="006A29AC" w:rsidRPr="00D1792C">
        <w:tc>
          <w:tcPr>
            <w:tcW w:w="4621" w:type="dxa"/>
          </w:tcPr>
          <w:p w:rsidR="006A29AC" w:rsidRPr="00D1792C" w:rsidRDefault="006A29AC" w:rsidP="006E555C">
            <w:pPr>
              <w:autoSpaceDE w:val="0"/>
              <w:autoSpaceDN w:val="0"/>
              <w:adjustRightInd w:val="0"/>
              <w:spacing w:after="120" w:line="240" w:lineRule="auto"/>
              <w:ind w:left="284"/>
              <w:rPr>
                <w:color w:val="000000"/>
                <w:sz w:val="20"/>
                <w:szCs w:val="18"/>
                <w:lang w:val="fr-BE"/>
              </w:rPr>
            </w:pPr>
            <w:r>
              <w:rPr>
                <w:color w:val="000000"/>
                <w:sz w:val="20"/>
                <w:szCs w:val="18"/>
                <w:lang w:val="fr"/>
              </w:rPr>
              <w:t>iv) la promotion de la réduction des risques de c</w:t>
            </w:r>
            <w:r>
              <w:rPr>
                <w:color w:val="000000"/>
                <w:sz w:val="20"/>
                <w:szCs w:val="18"/>
                <w:lang w:val="fr"/>
              </w:rPr>
              <w:t>a</w:t>
            </w:r>
            <w:r>
              <w:rPr>
                <w:color w:val="000000"/>
                <w:sz w:val="20"/>
                <w:szCs w:val="18"/>
                <w:lang w:val="fr"/>
              </w:rPr>
              <w:t>tastrophes, compte tenu du fait qu'une proportion croissante de catastrophes sont liées au chang</w:t>
            </w:r>
            <w:r>
              <w:rPr>
                <w:color w:val="000000"/>
                <w:sz w:val="20"/>
                <w:szCs w:val="18"/>
                <w:lang w:val="fr"/>
              </w:rPr>
              <w:t>e</w:t>
            </w:r>
            <w:r>
              <w:rPr>
                <w:color w:val="000000"/>
                <w:sz w:val="20"/>
                <w:szCs w:val="18"/>
                <w:lang w:val="fr"/>
              </w:rPr>
              <w:t>ment climatique ;</w:t>
            </w:r>
          </w:p>
        </w:tc>
        <w:tc>
          <w:tcPr>
            <w:tcW w:w="4621" w:type="dxa"/>
          </w:tcPr>
          <w:p w:rsidR="006A29AC" w:rsidRPr="004C4EB5" w:rsidRDefault="004671AA" w:rsidP="006E555C">
            <w:pPr>
              <w:autoSpaceDE w:val="0"/>
              <w:autoSpaceDN w:val="0"/>
              <w:adjustRightInd w:val="0"/>
              <w:spacing w:after="120" w:line="240" w:lineRule="auto"/>
              <w:rPr>
                <w:color w:val="000000"/>
                <w:sz w:val="20"/>
                <w:szCs w:val="18"/>
                <w:lang w:val="fr-BE"/>
              </w:rPr>
            </w:pPr>
            <w:r w:rsidRPr="004C4EB5">
              <w:rPr>
                <w:color w:val="000000"/>
                <w:sz w:val="20"/>
                <w:szCs w:val="18"/>
                <w:lang w:val="fr"/>
              </w:rPr>
              <w:t>Dans le Pacifique et les Caraïbes, les activités de RRC constituent des éléments clés de progra</w:t>
            </w:r>
            <w:r w:rsidRPr="004C4EB5">
              <w:rPr>
                <w:color w:val="000000"/>
                <w:sz w:val="20"/>
                <w:szCs w:val="18"/>
                <w:lang w:val="fr"/>
              </w:rPr>
              <w:t>m</w:t>
            </w:r>
            <w:r w:rsidRPr="004C4EB5">
              <w:rPr>
                <w:color w:val="000000"/>
                <w:sz w:val="20"/>
                <w:szCs w:val="18"/>
                <w:lang w:val="fr"/>
              </w:rPr>
              <w:t>mation. En Afrique, le soutien porte davantage sur le développ</w:t>
            </w:r>
            <w:r w:rsidRPr="004C4EB5">
              <w:rPr>
                <w:color w:val="000000"/>
                <w:sz w:val="20"/>
                <w:szCs w:val="18"/>
                <w:lang w:val="fr"/>
              </w:rPr>
              <w:t>e</w:t>
            </w:r>
            <w:r w:rsidRPr="004C4EB5">
              <w:rPr>
                <w:color w:val="000000"/>
                <w:sz w:val="20"/>
                <w:szCs w:val="18"/>
                <w:lang w:val="fr"/>
              </w:rPr>
              <w:t xml:space="preserve">ment d'une agriculture résistante à la sécheresse. </w:t>
            </w:r>
          </w:p>
        </w:tc>
      </w:tr>
      <w:tr w:rsidR="006A29AC" w:rsidRPr="00D1792C">
        <w:tc>
          <w:tcPr>
            <w:tcW w:w="4621" w:type="dxa"/>
          </w:tcPr>
          <w:p w:rsidR="006A29AC" w:rsidRPr="00D1792C" w:rsidRDefault="006A29AC" w:rsidP="006E555C">
            <w:pPr>
              <w:autoSpaceDE w:val="0"/>
              <w:autoSpaceDN w:val="0"/>
              <w:adjustRightInd w:val="0"/>
              <w:spacing w:after="120" w:line="240" w:lineRule="auto"/>
              <w:ind w:left="284"/>
              <w:rPr>
                <w:color w:val="000000"/>
                <w:sz w:val="20"/>
                <w:szCs w:val="18"/>
                <w:lang w:val="fr-BE"/>
              </w:rPr>
            </w:pPr>
            <w:r>
              <w:rPr>
                <w:color w:val="000000"/>
                <w:sz w:val="20"/>
                <w:szCs w:val="18"/>
                <w:lang w:val="fr"/>
              </w:rPr>
              <w:t>v) l'apport d'une aide financière et technique aux mesures d'atténuation prises par les États ACP qui vont dans le sens de leurs objectifs en matière de réduction de la pauvreté et de développement d</w:t>
            </w:r>
            <w:r>
              <w:rPr>
                <w:color w:val="000000"/>
                <w:sz w:val="20"/>
                <w:szCs w:val="18"/>
                <w:lang w:val="fr"/>
              </w:rPr>
              <w:t>u</w:t>
            </w:r>
            <w:r>
              <w:rPr>
                <w:color w:val="000000"/>
                <w:sz w:val="20"/>
                <w:szCs w:val="18"/>
                <w:lang w:val="fr"/>
              </w:rPr>
              <w:t>rable et contribuent notamment à la réduction des émissions liées à la déforestation, à la dégradation des forêts et à la réduction des émissions dans le secteur agricole ;</w:t>
            </w:r>
          </w:p>
        </w:tc>
        <w:tc>
          <w:tcPr>
            <w:tcW w:w="4621" w:type="dxa"/>
          </w:tcPr>
          <w:p w:rsidR="006A29AC" w:rsidRPr="004C4EB5" w:rsidRDefault="004671AA" w:rsidP="006E555C">
            <w:pPr>
              <w:autoSpaceDE w:val="0"/>
              <w:autoSpaceDN w:val="0"/>
              <w:adjustRightInd w:val="0"/>
              <w:spacing w:after="120" w:line="240" w:lineRule="auto"/>
              <w:rPr>
                <w:color w:val="000000"/>
                <w:sz w:val="20"/>
                <w:szCs w:val="18"/>
                <w:lang w:val="fr-BE"/>
              </w:rPr>
            </w:pPr>
            <w:r w:rsidRPr="004C4EB5">
              <w:rPr>
                <w:color w:val="000000"/>
                <w:sz w:val="20"/>
                <w:szCs w:val="18"/>
                <w:lang w:val="fr"/>
              </w:rPr>
              <w:t>Comme nous l'avons signalé plus haut, les activ</w:t>
            </w:r>
            <w:r w:rsidRPr="004C4EB5">
              <w:rPr>
                <w:color w:val="000000"/>
                <w:sz w:val="20"/>
                <w:szCs w:val="18"/>
                <w:lang w:val="fr"/>
              </w:rPr>
              <w:t>i</w:t>
            </w:r>
            <w:r w:rsidRPr="004C4EB5">
              <w:rPr>
                <w:color w:val="000000"/>
                <w:sz w:val="20"/>
                <w:szCs w:val="18"/>
                <w:lang w:val="fr"/>
              </w:rPr>
              <w:t>tés d'atténuation ne constituent pas nécessair</w:t>
            </w:r>
            <w:r w:rsidRPr="004C4EB5">
              <w:rPr>
                <w:color w:val="000000"/>
                <w:sz w:val="20"/>
                <w:szCs w:val="18"/>
                <w:lang w:val="fr"/>
              </w:rPr>
              <w:t>e</w:t>
            </w:r>
            <w:r w:rsidRPr="004C4EB5">
              <w:rPr>
                <w:color w:val="000000"/>
                <w:sz w:val="20"/>
                <w:szCs w:val="18"/>
                <w:lang w:val="fr"/>
              </w:rPr>
              <w:t xml:space="preserve">ment le point fort des programmes régionaux examinés. </w:t>
            </w:r>
          </w:p>
        </w:tc>
      </w:tr>
      <w:tr w:rsidR="006A29AC" w:rsidRPr="00D1792C">
        <w:tc>
          <w:tcPr>
            <w:tcW w:w="4621" w:type="dxa"/>
          </w:tcPr>
          <w:p w:rsidR="006A29AC" w:rsidRPr="00D1792C" w:rsidRDefault="006A29AC" w:rsidP="006E555C">
            <w:pPr>
              <w:autoSpaceDE w:val="0"/>
              <w:autoSpaceDN w:val="0"/>
              <w:adjustRightInd w:val="0"/>
              <w:spacing w:after="120" w:line="240" w:lineRule="auto"/>
              <w:ind w:left="284"/>
              <w:rPr>
                <w:color w:val="000000"/>
                <w:sz w:val="20"/>
                <w:szCs w:val="18"/>
                <w:lang w:val="fr-BE"/>
              </w:rPr>
            </w:pPr>
            <w:r>
              <w:rPr>
                <w:color w:val="000000"/>
                <w:sz w:val="20"/>
                <w:szCs w:val="18"/>
                <w:lang w:val="fr"/>
              </w:rPr>
              <w:t>vi) l'amélioration des informations et des prév</w:t>
            </w:r>
            <w:r>
              <w:rPr>
                <w:color w:val="000000"/>
                <w:sz w:val="20"/>
                <w:szCs w:val="18"/>
                <w:lang w:val="fr"/>
              </w:rPr>
              <w:t>i</w:t>
            </w:r>
            <w:r>
              <w:rPr>
                <w:color w:val="000000"/>
                <w:sz w:val="20"/>
                <w:szCs w:val="18"/>
                <w:lang w:val="fr"/>
              </w:rPr>
              <w:t>sions météorologiques et climatiques ainsi que des systèmes d'alerte précoce ;</w:t>
            </w:r>
          </w:p>
        </w:tc>
        <w:tc>
          <w:tcPr>
            <w:tcW w:w="4621" w:type="dxa"/>
          </w:tcPr>
          <w:p w:rsidR="006A29AC" w:rsidRPr="004C4EB5" w:rsidRDefault="004671AA" w:rsidP="006E555C">
            <w:pPr>
              <w:autoSpaceDE w:val="0"/>
              <w:autoSpaceDN w:val="0"/>
              <w:adjustRightInd w:val="0"/>
              <w:spacing w:after="120" w:line="240" w:lineRule="auto"/>
              <w:rPr>
                <w:color w:val="000000"/>
                <w:sz w:val="20"/>
                <w:szCs w:val="19"/>
                <w:lang w:val="fr-BE"/>
              </w:rPr>
            </w:pPr>
            <w:r w:rsidRPr="004C4EB5">
              <w:rPr>
                <w:color w:val="000000"/>
                <w:sz w:val="20"/>
                <w:szCs w:val="19"/>
                <w:lang w:val="fr"/>
              </w:rPr>
              <w:t>Dans les Caraïbes, on constate un effort concerté v</w:t>
            </w:r>
            <w:r w:rsidRPr="004C4EB5">
              <w:rPr>
                <w:color w:val="000000"/>
                <w:sz w:val="20"/>
                <w:szCs w:val="19"/>
                <w:lang w:val="fr"/>
              </w:rPr>
              <w:t>i</w:t>
            </w:r>
            <w:r w:rsidRPr="004C4EB5">
              <w:rPr>
                <w:color w:val="000000"/>
                <w:sz w:val="20"/>
                <w:szCs w:val="19"/>
                <w:lang w:val="fr"/>
              </w:rPr>
              <w:t>sant à améliorer l'utilisation des informations climat</w:t>
            </w:r>
            <w:r w:rsidRPr="004C4EB5">
              <w:rPr>
                <w:color w:val="000000"/>
                <w:sz w:val="20"/>
                <w:szCs w:val="19"/>
                <w:lang w:val="fr"/>
              </w:rPr>
              <w:t>o</w:t>
            </w:r>
            <w:r w:rsidRPr="004C4EB5">
              <w:rPr>
                <w:color w:val="000000"/>
                <w:sz w:val="20"/>
                <w:szCs w:val="19"/>
                <w:lang w:val="fr"/>
              </w:rPr>
              <w:t>logiques en permettant une application de ces inform</w:t>
            </w:r>
            <w:r w:rsidRPr="004C4EB5">
              <w:rPr>
                <w:color w:val="000000"/>
                <w:sz w:val="20"/>
                <w:szCs w:val="19"/>
                <w:lang w:val="fr"/>
              </w:rPr>
              <w:t>a</w:t>
            </w:r>
            <w:r w:rsidRPr="004C4EB5">
              <w:rPr>
                <w:color w:val="000000"/>
                <w:sz w:val="20"/>
                <w:szCs w:val="19"/>
                <w:lang w:val="fr"/>
              </w:rPr>
              <w:t xml:space="preserve">tions à plus petite échelle. </w:t>
            </w:r>
          </w:p>
        </w:tc>
      </w:tr>
    </w:tbl>
    <w:p w:rsidR="009C3AF4" w:rsidRPr="00D1792C" w:rsidRDefault="009C3AF4" w:rsidP="00AD1C0A">
      <w:pPr>
        <w:rPr>
          <w:lang w:val="fr-BE"/>
        </w:rPr>
      </w:pPr>
    </w:p>
    <w:p w:rsidR="008F3618" w:rsidRPr="00D1792C" w:rsidRDefault="00501DED" w:rsidP="00AD1C0A">
      <w:pPr>
        <w:rPr>
          <w:lang w:val="fr-BE"/>
        </w:rPr>
      </w:pPr>
      <w:r>
        <w:rPr>
          <w:lang w:val="fr"/>
        </w:rPr>
        <w:t>Le score agrégé du Programme intra-ACP, basé sur l'évaluation de ses différentes comp</w:t>
      </w:r>
      <w:r>
        <w:rPr>
          <w:lang w:val="fr"/>
        </w:rPr>
        <w:t>o</w:t>
      </w:r>
      <w:r>
        <w:rPr>
          <w:lang w:val="fr"/>
        </w:rPr>
        <w:t>santes régionales, est de B (</w:t>
      </w:r>
      <w:r w:rsidR="00D1792C">
        <w:rPr>
          <w:lang w:val="fr"/>
        </w:rPr>
        <w:t>bien</w:t>
      </w:r>
      <w:r>
        <w:rPr>
          <w:lang w:val="fr"/>
        </w:rPr>
        <w:t>). Le Programme intra-ACP s'efforce manifestement de r</w:t>
      </w:r>
      <w:r>
        <w:rPr>
          <w:lang w:val="fr"/>
        </w:rPr>
        <w:t>é</w:t>
      </w:r>
      <w:r>
        <w:rPr>
          <w:lang w:val="fr"/>
        </w:rPr>
        <w:t>pondre aux besoins de ses États membres, en mettant surtout l'accent sur les priorités liées au climat qui leur sont spécifiques. Dans le même temps, le processus d'évaluation a démontré qu'il était possible pour un programme régional d'apporter un soutien dans un domaine prior</w:t>
      </w:r>
      <w:r>
        <w:rPr>
          <w:lang w:val="fr"/>
        </w:rPr>
        <w:t>i</w:t>
      </w:r>
      <w:r>
        <w:rPr>
          <w:lang w:val="fr"/>
        </w:rPr>
        <w:t>taire, sans pour autant que cette intervention ne soit nécessairement plus stratégique qu'une autre. Par exemple, le COMESA soutient l'Afrique australe et orientale en mettant en place des activités d'AC et d'AIC, mais c'est également le cas de nombreuses autres organisations. Un programme régional devrait avoir la responsabilité supplémentaire de veiller à ce que ses activités apportent une valeur ajoutée à l'échelle de la région. Chaque activité doit faire l'objet d'un examen plus poussé à cet égard.</w:t>
      </w:r>
    </w:p>
    <w:p w:rsidR="00D036B2" w:rsidRPr="00A94D8B" w:rsidRDefault="00D036B2" w:rsidP="00AD1C0A">
      <w:pPr>
        <w:pStyle w:val="Heading2"/>
        <w:numPr>
          <w:ilvl w:val="1"/>
          <w:numId w:val="9"/>
        </w:numPr>
      </w:pPr>
      <w:bookmarkStart w:id="33" w:name="_Toc392064216"/>
      <w:bookmarkStart w:id="34" w:name="_Toc406494023"/>
      <w:r>
        <w:rPr>
          <w:bCs/>
          <w:lang w:val="fr"/>
        </w:rPr>
        <w:t>Concernant la conception</w:t>
      </w:r>
      <w:r>
        <w:rPr>
          <w:b w:val="0"/>
          <w:lang w:val="fr"/>
        </w:rPr>
        <w:t> :</w:t>
      </w:r>
      <w:bookmarkEnd w:id="33"/>
      <w:bookmarkEnd w:id="34"/>
    </w:p>
    <w:p w:rsidR="00C84203" w:rsidRPr="00D1792C" w:rsidRDefault="006C6102" w:rsidP="00AD1C0A">
      <w:pPr>
        <w:ind w:left="709" w:hanging="709"/>
        <w:rPr>
          <w:b/>
          <w:i/>
          <w:lang w:val="fr-BE"/>
        </w:rPr>
      </w:pPr>
      <w:r>
        <w:rPr>
          <w:b/>
          <w:bCs/>
          <w:i/>
          <w:iCs/>
          <w:lang w:val="fr"/>
        </w:rPr>
        <w:t>QE2.</w:t>
      </w:r>
      <w:r>
        <w:rPr>
          <w:lang w:val="fr"/>
        </w:rPr>
        <w:tab/>
      </w:r>
      <w:r>
        <w:rPr>
          <w:b/>
          <w:bCs/>
          <w:i/>
          <w:iCs/>
          <w:lang w:val="fr"/>
        </w:rPr>
        <w:t>Dans quelle mesure la logique d'intervention est-elle cohérente et valide au regard des différents niveaux d'intervention ? Est-elle formalisée dans un cadre logique ou un autre format et est-elle activement utilisée ?</w:t>
      </w:r>
    </w:p>
    <w:p w:rsidR="008F3618" w:rsidRPr="00D1792C" w:rsidRDefault="00B733E4" w:rsidP="00AD1C0A">
      <w:pPr>
        <w:rPr>
          <w:lang w:val="fr-BE"/>
        </w:rPr>
      </w:pPr>
      <w:r>
        <w:rPr>
          <w:lang w:val="fr"/>
        </w:rPr>
        <w:t>Les documents de projet initiaux des programmes régionaux intra-ACP donnent une bonne idée de ce qui pourrait finalement advenir des programmes régionaux qui ne reposent sur aucun autre indicateur que leur cadre logique. En ce qui concerne le programme COMESA, le cadre logique en place est toujours aussi mal conçu, alors que le programme continue de rencontrer des difficultés. Le cadre logique est considéré comme n'ayant que peu d'utilité, ses objectifs et indicateurs étant parfois jugés trop optimistes. Par exemple, pour atteindre l'o</w:t>
      </w:r>
      <w:r>
        <w:rPr>
          <w:lang w:val="fr"/>
        </w:rPr>
        <w:t>b</w:t>
      </w:r>
      <w:r>
        <w:rPr>
          <w:lang w:val="fr"/>
        </w:rPr>
        <w:lastRenderedPageBreak/>
        <w:t>jectif n° 3 concernant l'adoption de pratiques d'AC et d'AIC, il faudrait que 1,2 million d'agr</w:t>
      </w:r>
      <w:r>
        <w:rPr>
          <w:lang w:val="fr"/>
        </w:rPr>
        <w:t>i</w:t>
      </w:r>
      <w:r>
        <w:rPr>
          <w:lang w:val="fr"/>
        </w:rPr>
        <w:t>culteurs adoptent des éléments d'AC d'ici 2016. Le cadre logique du programme ClimDev rencontre des problèmes similaires. Le cadre logique original avait été jugé trop flou, avec une trop grande confusion entre les résultats, produits et effets. À un moment donné, la thé</w:t>
      </w:r>
      <w:r>
        <w:rPr>
          <w:lang w:val="fr"/>
        </w:rPr>
        <w:t>o</w:t>
      </w:r>
      <w:r>
        <w:rPr>
          <w:lang w:val="fr"/>
        </w:rPr>
        <w:t>rie du changement a été appliquée dans le but d'améliorer le cadre logique, mais au moment de la visite de terrain pour cette évaluation, des problèmes subsistaient tant en rapport avec le programme qu'avec le cadre logique.</w:t>
      </w:r>
    </w:p>
    <w:p w:rsidR="008F3618" w:rsidRPr="00D1792C" w:rsidRDefault="00B733E4" w:rsidP="00AD1C0A">
      <w:pPr>
        <w:rPr>
          <w:lang w:val="fr-BE"/>
        </w:rPr>
      </w:pPr>
      <w:r>
        <w:rPr>
          <w:lang w:val="fr"/>
        </w:rPr>
        <w:t>Dans la région Pacifique, les deux programmes ont rencontré des difficultés au début, leurs cadres logiques étant inadaptés. Cependant, des modifications ont finalement été apportées. Après les visites ROM pour les deux programmes, les cadres logiques ont été modifiés de façon à relier les objectifs à des indicateurs vérifiables plus réalistes. En ce qui concerne les programmes CCCCC et CLISS/Agrhymet, les cadres logiques n'ont jamais véritablement posé problème. Le programme CCCCC a mis du temps à produire des résultats, mais ce délai est davantage lié à d'autres facteurs, par exemple le fait que certains pays aient pris trop de temps avant de signer le protocole d'accord (</w:t>
      </w:r>
      <w:proofErr w:type="spellStart"/>
      <w:r>
        <w:rPr>
          <w:lang w:val="fr"/>
        </w:rPr>
        <w:t>PdA</w:t>
      </w:r>
      <w:proofErr w:type="spellEnd"/>
      <w:r>
        <w:rPr>
          <w:lang w:val="fr"/>
        </w:rPr>
        <w:t>) du programme.</w:t>
      </w:r>
    </w:p>
    <w:p w:rsidR="008F3618" w:rsidRPr="00D1792C" w:rsidRDefault="005263DA" w:rsidP="00AD1C0A">
      <w:pPr>
        <w:rPr>
          <w:lang w:val="fr-BE"/>
        </w:rPr>
      </w:pPr>
      <w:r>
        <w:rPr>
          <w:lang w:val="fr"/>
        </w:rPr>
        <w:t>Différents programmes présentent des caractéristiques de conception intéressantes. Dans les Caraïbes, par exemple, l'environnement de travail peut se révéler très difficile du fait de la lenteur de la communication et des procédures administratives. C'est pourquoi il a été décidé de travailler autant que possible à partir de projets et de partenariats préexistants. Par exemple, lors d'anciens projets non financés par l'UE, le CCCCC avait investi beaucoup de temps et d'efforts pour aider le gouvernement du Suriname à renforcer ses capacités de lutte contre le changement climatique. Dans le cadre du Programme intra-ACP, le Suriname joue maintenant le rôle de chef de file dans une initiative concernant la mise en place de services de données météorologiques au niveau régional. Une autre bonne idée du programme dans les Caraïbes a été de s'associer avec le CARIFORUM</w:t>
      </w:r>
      <w:r w:rsidRPr="00281425">
        <w:rPr>
          <w:rStyle w:val="FootnoteReference"/>
          <w:lang w:val="fr"/>
        </w:rPr>
        <w:footnoteReference w:id="10"/>
      </w:r>
      <w:r>
        <w:rPr>
          <w:lang w:val="fr"/>
        </w:rPr>
        <w:t xml:space="preserve"> plutôt qu'avec le CARICOM. En effet, Cuba et la République dominicaine sont membres du CARIFORUM, mais pas du CAR</w:t>
      </w:r>
      <w:r>
        <w:rPr>
          <w:lang w:val="fr"/>
        </w:rPr>
        <w:t>I</w:t>
      </w:r>
      <w:r>
        <w:rPr>
          <w:lang w:val="fr"/>
        </w:rPr>
        <w:t>COM. Le fait d'impliquer ces deux pays a ouvert des possibilités d'apprentissage pour les autres États, Cuba, en particulier, étant très avancé dans des domaines tels que la RRC.</w:t>
      </w:r>
    </w:p>
    <w:p w:rsidR="008F3618" w:rsidRPr="00D1792C" w:rsidRDefault="00B733E4" w:rsidP="00AD1C0A">
      <w:pPr>
        <w:rPr>
          <w:lang w:val="fr-BE"/>
        </w:rPr>
      </w:pPr>
      <w:r>
        <w:rPr>
          <w:lang w:val="fr"/>
        </w:rPr>
        <w:t>Dans le Pacifique, le programme PEIP a été conçu de manière à permettre aux pays de choisir leur secteur d'intérêt prioritaire. Ils recevaient ensuite une aide afin de développer un projet d'adaptation pour une valeur d'un demi-million d'euros. Ils étaient aussi soutenus au moyen d'activités favorisant l'intégration du changement climatique dans les politiques, et de renfo</w:t>
      </w:r>
      <w:r>
        <w:rPr>
          <w:lang w:val="fr"/>
        </w:rPr>
        <w:t>r</w:t>
      </w:r>
      <w:r>
        <w:rPr>
          <w:lang w:val="fr"/>
        </w:rPr>
        <w:t>cement des capacités. Grâce à cette approche, les pays se sont davantage investis dans les activités. Par conséquent, même si ces activités recouvraient un grand nombre de secteurs très variés (par exemple, un projet dans l'agroforesterie et un projet de structure de stabilisation des côtes), il existait une stratégie générale qui permettait aux pays de définir leurs priorités et de choisir des projets en conséquence. Une autre spécificité du programme PEIP a été de tr</w:t>
      </w:r>
      <w:r>
        <w:rPr>
          <w:lang w:val="fr"/>
        </w:rPr>
        <w:t>a</w:t>
      </w:r>
      <w:r>
        <w:rPr>
          <w:lang w:val="fr"/>
        </w:rPr>
        <w:t xml:space="preserve">vailler directement avec les programmes nationaux de l'AMCC afin d'améliorer les capacités </w:t>
      </w:r>
      <w:r>
        <w:rPr>
          <w:lang w:val="fr"/>
        </w:rPr>
        <w:lastRenderedPageBreak/>
        <w:t>et les connaissances liées au changement climatique au moyen d'un appui budgétaire sectoriel et national.</w:t>
      </w:r>
    </w:p>
    <w:p w:rsidR="008F3618" w:rsidRPr="00D1792C" w:rsidRDefault="008D0D2B" w:rsidP="00AD1C0A">
      <w:pPr>
        <w:rPr>
          <w:lang w:val="fr-BE"/>
        </w:rPr>
      </w:pPr>
      <w:r>
        <w:rPr>
          <w:lang w:val="fr"/>
        </w:rPr>
        <w:t>Les programmes du Pacifique et des Caraïbes ont également pour caractéristique commune de s'insérer dans le cadre d'une stratégie climatique régionale bien définie. Pour les pr</w:t>
      </w:r>
      <w:r>
        <w:rPr>
          <w:lang w:val="fr"/>
        </w:rPr>
        <w:t>o</w:t>
      </w:r>
      <w:r>
        <w:rPr>
          <w:lang w:val="fr"/>
        </w:rPr>
        <w:t>grammes du Pacifique, il s'agit du PIFACC, qui couvre la période 2006-2015. Dans les C</w:t>
      </w:r>
      <w:r>
        <w:rPr>
          <w:lang w:val="fr"/>
        </w:rPr>
        <w:t>a</w:t>
      </w:r>
      <w:r>
        <w:rPr>
          <w:lang w:val="fr"/>
        </w:rPr>
        <w:t>raïbes, le Cadre régional pour un développement résilient au changement climatique est une stratégie à dix ans qui définit les domaines prioritaires et les institutions de la région susce</w:t>
      </w:r>
      <w:r>
        <w:rPr>
          <w:lang w:val="fr"/>
        </w:rPr>
        <w:t>p</w:t>
      </w:r>
      <w:r>
        <w:rPr>
          <w:lang w:val="fr"/>
        </w:rPr>
        <w:t>tibles d'assumer le rôle d'organismes chefs de file et/ou d’organismes partenaires. En r</w:t>
      </w:r>
      <w:r>
        <w:rPr>
          <w:lang w:val="fr"/>
        </w:rPr>
        <w:t>e</w:t>
      </w:r>
      <w:r>
        <w:rPr>
          <w:lang w:val="fr"/>
        </w:rPr>
        <w:t>vanche, le programme COMESA en Afrique australe et orientale s'appuie sur le document « African Climate Solution » (« Solution pour le climat de l'Afrique »), qui est loin d'offrir le même niveau de détail et d'attention que les documents adoptés dans le Pacifique et dans les Caraïbes.</w:t>
      </w:r>
    </w:p>
    <w:p w:rsidR="008F3618" w:rsidRPr="00D1792C" w:rsidRDefault="006F0804" w:rsidP="00AD1C0A">
      <w:pPr>
        <w:rPr>
          <w:lang w:val="fr-BE"/>
        </w:rPr>
      </w:pPr>
      <w:r>
        <w:rPr>
          <w:lang w:val="fr"/>
        </w:rPr>
        <w:t>Le programme USP, reconnaissant la nécessité d'optimiser l'utilisation de ressources h</w:t>
      </w:r>
      <w:r>
        <w:rPr>
          <w:lang w:val="fr"/>
        </w:rPr>
        <w:t>u</w:t>
      </w:r>
      <w:r>
        <w:rPr>
          <w:lang w:val="fr"/>
        </w:rPr>
        <w:t>maines, techniques et financières limitées, intègre des objectifs en matière de changement climatique et de gestion des risques de catastrophes dans certaines activités du Programme intra-ACP. Ces objectifs sont réalisés au moyen de formations formelles et non formelles, ainsi que par l'élaboration de boîtes à outils axées sur les collectivités. La formation sur la gestion des risques de catastrophes (GRC), développée et dispensée dans le cadre du projet, comporte deux modules portant sur l'intégration de l'ACC et de la RRC. Les formations non formelles organisées aux niveaux régional et sous-régional comprennent une séance sur l'intégration de l'ACC et de la RRC dans les plans de résilience communautaires. La boîte à outils développée à l'intention des collectivités comporte des informations sur les questions liées au changement climatique et aux catastrophes naturelles, ce qui permet aux collectivités de se rendre compte des points communs qui existent entre les deux types d'actions se rappo</w:t>
      </w:r>
      <w:r>
        <w:rPr>
          <w:lang w:val="fr"/>
        </w:rPr>
        <w:t>r</w:t>
      </w:r>
      <w:r>
        <w:rPr>
          <w:lang w:val="fr"/>
        </w:rPr>
        <w:t>tant à ces questions.</w:t>
      </w:r>
    </w:p>
    <w:p w:rsidR="008F3618" w:rsidRPr="00D1792C" w:rsidRDefault="00B1098E" w:rsidP="00AD1C0A">
      <w:pPr>
        <w:rPr>
          <w:lang w:val="fr-BE"/>
        </w:rPr>
      </w:pPr>
      <w:r>
        <w:rPr>
          <w:lang w:val="fr"/>
        </w:rPr>
        <w:t>Le programme CILSS/</w:t>
      </w:r>
      <w:proofErr w:type="spellStart"/>
      <w:r>
        <w:rPr>
          <w:lang w:val="fr"/>
        </w:rPr>
        <w:t>Agrhymet</w:t>
      </w:r>
      <w:proofErr w:type="spellEnd"/>
      <w:r>
        <w:rPr>
          <w:lang w:val="fr"/>
        </w:rPr>
        <w:t xml:space="preserve"> en Afrique de l'Ouest a été conçu de façon à se concentrer sur le renforcement des capacités à un certain nombre de niveaux, ainsi que sur la consolid</w:t>
      </w:r>
      <w:r>
        <w:rPr>
          <w:lang w:val="fr"/>
        </w:rPr>
        <w:t>a</w:t>
      </w:r>
      <w:r>
        <w:rPr>
          <w:lang w:val="fr"/>
        </w:rPr>
        <w:t>tion des connaissances sur les incidences du changement climatique en Afrique de l'Ouest. Ce programme n'est pas nécessairement très innovant, mais s'est avéré extrêmement efficace.</w:t>
      </w:r>
    </w:p>
    <w:p w:rsidR="008F3618" w:rsidRPr="00D1792C" w:rsidRDefault="00B1098E" w:rsidP="00AD1C0A">
      <w:pPr>
        <w:rPr>
          <w:lang w:val="fr-BE"/>
        </w:rPr>
      </w:pPr>
      <w:r>
        <w:rPr>
          <w:lang w:val="fr"/>
        </w:rPr>
        <w:t>Par rapport à d'autres programmes régionaux, le programme COMESA devrait être salué pour sa tentative de faire le lien entre les activités sur le terrain et les politiques adoptées au plus haut niveau, comme il le fait en rapport avec l'AIC. L'attention portée aux femmes m</w:t>
      </w:r>
      <w:r>
        <w:rPr>
          <w:lang w:val="fr"/>
        </w:rPr>
        <w:t>é</w:t>
      </w:r>
      <w:r>
        <w:rPr>
          <w:lang w:val="fr"/>
        </w:rPr>
        <w:t>rite également d'être soulignée, même si en dehors de cela, le programme s'est révélé probl</w:t>
      </w:r>
      <w:r>
        <w:rPr>
          <w:lang w:val="fr"/>
        </w:rPr>
        <w:t>é</w:t>
      </w:r>
      <w:r>
        <w:rPr>
          <w:lang w:val="fr"/>
        </w:rPr>
        <w:t>matique. En effet, le programme a été autorisé à souscrire à un agenda très ambitieux que les trois partenaires de mise en œuvre (COMESA, CDAA et CAE) n'étaient pas prêts à exécuter. Alors que le financement accordé par l'UE au programme COMESA arrive à son terme</w:t>
      </w:r>
      <w:r w:rsidRPr="00281425">
        <w:rPr>
          <w:rStyle w:val="FootnoteReference"/>
          <w:lang w:val="fr"/>
        </w:rPr>
        <w:footnoteReference w:id="11"/>
      </w:r>
      <w:r>
        <w:rPr>
          <w:lang w:val="fr"/>
        </w:rPr>
        <w:t>, on peut affirmer que le renforcement des capacités des partenaires de mise en œuvre aurait dû et devrait toujours être la priorité première du programme. Le choix des trois CER en tant que partenaires de mise en œuvre n'était pas aussi évident que ne l'était celui de l'institut tec</w:t>
      </w:r>
      <w:r>
        <w:rPr>
          <w:lang w:val="fr"/>
        </w:rPr>
        <w:t>h</w:t>
      </w:r>
      <w:r>
        <w:rPr>
          <w:lang w:val="fr"/>
        </w:rPr>
        <w:t xml:space="preserve">nique Agrhymet en Afrique de l'Ouest. Cette réalité aurait dû être reflétée dans la stratégie du </w:t>
      </w:r>
      <w:r>
        <w:rPr>
          <w:lang w:val="fr"/>
        </w:rPr>
        <w:lastRenderedPageBreak/>
        <w:t>programme. Une analyse de la situation aurait dû être effectuée dans au moins quelques pays avant le lancement du programme. Pendant ce temps, les CER en question auraient pu être préparées à assumer les responsabilités liées au programme. Dans la réalité, des analyses de situation ont été achevées en 2013, ce qui leur a au moins permis de servir à d'autres fins.</w:t>
      </w:r>
    </w:p>
    <w:p w:rsidR="008F3618" w:rsidRPr="00D1792C" w:rsidRDefault="00B733E4" w:rsidP="00AD1C0A">
      <w:pPr>
        <w:rPr>
          <w:lang w:val="fr-BE"/>
        </w:rPr>
      </w:pPr>
      <w:r>
        <w:rPr>
          <w:lang w:val="fr"/>
        </w:rPr>
        <w:t>Bien que la décision d'axer le programme COMESA sur le secteur de l'agriculture ait été j</w:t>
      </w:r>
      <w:r>
        <w:rPr>
          <w:lang w:val="fr"/>
        </w:rPr>
        <w:t>u</w:t>
      </w:r>
      <w:r>
        <w:rPr>
          <w:lang w:val="fr"/>
        </w:rPr>
        <w:t>dicieuse, le programme devrait toutefois s'appuyer sur une stratégie ou une vision régionale permettant une plus grande flexibilité de façon à couvrir de manière plus détaillée les que</w:t>
      </w:r>
      <w:r>
        <w:rPr>
          <w:lang w:val="fr"/>
        </w:rPr>
        <w:t>s</w:t>
      </w:r>
      <w:r>
        <w:rPr>
          <w:lang w:val="fr"/>
        </w:rPr>
        <w:t>tions liées à la sylviculture et à l'aménagement du territoire, tel que le prévoyait initialement le programme. Le document de base qui guide le programme, « African Climate Solution » (« Solution pour le climat de l'Afrique »), ne semble pas avoir une grande utilité. Il cite l'agr</w:t>
      </w:r>
      <w:r>
        <w:rPr>
          <w:lang w:val="fr"/>
        </w:rPr>
        <w:t>i</w:t>
      </w:r>
      <w:r>
        <w:rPr>
          <w:lang w:val="fr"/>
        </w:rPr>
        <w:t>culture, la sylviculture et l'aménagement du territoire en tant que possibles domaines d'inte</w:t>
      </w:r>
      <w:r>
        <w:rPr>
          <w:lang w:val="fr"/>
        </w:rPr>
        <w:t>r</w:t>
      </w:r>
      <w:r>
        <w:rPr>
          <w:lang w:val="fr"/>
        </w:rPr>
        <w:t>vention, alors que le programme COMESA se concentre désormais exclusivement sur l'agr</w:t>
      </w:r>
      <w:r>
        <w:rPr>
          <w:lang w:val="fr"/>
        </w:rPr>
        <w:t>i</w:t>
      </w:r>
      <w:r>
        <w:rPr>
          <w:lang w:val="fr"/>
        </w:rPr>
        <w:t>culture.</w:t>
      </w:r>
    </w:p>
    <w:p w:rsidR="008F3618" w:rsidRPr="00D1792C" w:rsidRDefault="008022AA" w:rsidP="00AD1C0A">
      <w:pPr>
        <w:rPr>
          <w:lang w:val="fr-BE"/>
        </w:rPr>
      </w:pPr>
      <w:r>
        <w:rPr>
          <w:lang w:val="fr"/>
        </w:rPr>
        <w:t>En ce qui concerne le programme ClimDev, l'application de la nouvelle théorie du chang</w:t>
      </w:r>
      <w:r>
        <w:rPr>
          <w:lang w:val="fr"/>
        </w:rPr>
        <w:t>e</w:t>
      </w:r>
      <w:r>
        <w:rPr>
          <w:lang w:val="fr"/>
        </w:rPr>
        <w:t>ment et de la stratégie de suivi et d'évaluation (S&amp;E) correspondante nécessiterait d'affecter du personnel aux activités de S&amp;E et de préparer celui-ci à utiliser le système. La formation est, semble-t-il, toujours en cours. Toutefois, si l'on en croit les récents rapports d'avanc</w:t>
      </w:r>
      <w:r>
        <w:rPr>
          <w:lang w:val="fr"/>
        </w:rPr>
        <w:t>e</w:t>
      </w:r>
      <w:r>
        <w:rPr>
          <w:lang w:val="fr"/>
        </w:rPr>
        <w:t>ment, il semblerait que la logique de S&amp;E n'ait pas encore été internalisée par les partenaires de mise en œuvre. Le plan de travail comporte une grille de gestion des risques, mais qui en était encore au stade théorique au moment de l'évaluation.</w:t>
      </w:r>
    </w:p>
    <w:p w:rsidR="008F3618" w:rsidRPr="00D1792C" w:rsidRDefault="0060624D" w:rsidP="00AD1C0A">
      <w:pPr>
        <w:rPr>
          <w:lang w:val="fr-BE"/>
        </w:rPr>
      </w:pPr>
      <w:r>
        <w:rPr>
          <w:lang w:val="fr"/>
        </w:rPr>
        <w:t>Si l'on considère l'ensemble du Programme intra-ACP, quatre des six programmes régionaux ont connu des débuts laborieux et ont demandé ou devront demander une prolongation pour achever leurs activités. Dans le cas du programme CCCCC, un certain nombre d'études clés ne seront pas achevées dans les délais impartis. S'agissant des programmes COMESA et ClimDev, plusieurs activités demanderont là aussi plus de temps. La principale leçon à retenir est qu'il était illusoire de penser que les programmes régionaux pourraient être directement opérationnels.</w:t>
      </w:r>
    </w:p>
    <w:p w:rsidR="008F3618" w:rsidRPr="00D1792C" w:rsidRDefault="00F90E81" w:rsidP="00AD1C0A">
      <w:pPr>
        <w:rPr>
          <w:lang w:val="fr-BE"/>
        </w:rPr>
      </w:pPr>
      <w:r>
        <w:rPr>
          <w:lang w:val="fr"/>
        </w:rPr>
        <w:t>Il n'existe que peu des structures ou de mesures incitatives pour encourager une interaction plus proactive entre les programmes régionaux et ainsi favoriser la mise sur pied d'activités collectives ayant des effets au niveau mondial. Peut-être que les responsables de la mise en œuvre des programmes régionaux se souciaient davantage de garantir le fonctionnement eff</w:t>
      </w:r>
      <w:r>
        <w:rPr>
          <w:lang w:val="fr"/>
        </w:rPr>
        <w:t>i</w:t>
      </w:r>
      <w:r>
        <w:rPr>
          <w:lang w:val="fr"/>
        </w:rPr>
        <w:t>cace de leurs programmes respectifs. Dans le contexte de l'AMCC+, la conception d'e</w:t>
      </w:r>
      <w:r>
        <w:rPr>
          <w:lang w:val="fr"/>
        </w:rPr>
        <w:t>n</w:t>
      </w:r>
      <w:r>
        <w:rPr>
          <w:lang w:val="fr"/>
        </w:rPr>
        <w:t>semble du Programme intra-ACP+ devrait faire en sorte d'améliorer le positionnement des programmes afin que ceux-ci jouent un rôle plus stratégique, tant au niveau de chaque région qu'au niveau mondial.</w:t>
      </w:r>
    </w:p>
    <w:p w:rsidR="008F3618" w:rsidRPr="00D1792C" w:rsidRDefault="00D73B2C" w:rsidP="00D73B2C">
      <w:pPr>
        <w:rPr>
          <w:lang w:val="fr-BE"/>
        </w:rPr>
      </w:pPr>
      <w:r>
        <w:rPr>
          <w:lang w:val="fr"/>
        </w:rPr>
        <w:t>S'agissant de la CSF, certains problèmes de conception semblent affecter le recours à ce se</w:t>
      </w:r>
      <w:r>
        <w:rPr>
          <w:lang w:val="fr"/>
        </w:rPr>
        <w:t>r</w:t>
      </w:r>
      <w:r>
        <w:rPr>
          <w:lang w:val="fr"/>
        </w:rPr>
        <w:t xml:space="preserve">vice. Par exemple, aucun mécanisme ou processus n'a été </w:t>
      </w:r>
      <w:proofErr w:type="gramStart"/>
      <w:r>
        <w:rPr>
          <w:lang w:val="fr"/>
        </w:rPr>
        <w:t>mis</w:t>
      </w:r>
      <w:proofErr w:type="gramEnd"/>
      <w:r>
        <w:rPr>
          <w:lang w:val="fr"/>
        </w:rPr>
        <w:t xml:space="preserve"> en place pour encourager ou imposer l'utilisation de ce service gratuit. Les programmes régionaux fonctionnant de m</w:t>
      </w:r>
      <w:r>
        <w:rPr>
          <w:lang w:val="fr"/>
        </w:rPr>
        <w:t>a</w:t>
      </w:r>
      <w:r>
        <w:rPr>
          <w:lang w:val="fr"/>
        </w:rPr>
        <w:t xml:space="preserve">nière relativement indépendante, il n'existe pas de système structuré au sein duquel la CSF pourrait être utilisée en tant que ressource partagée. Un rapport ROM sur la CSF indique en outre que le système en place pour identifier les besoins et les demandes de soutien à la CSF est inapproprié. Il est arrivé que des besoins soient décelés au sein d'un pays ou d'une région par des programmes régionaux ou par d'autres acteurs (tels que le PNUD), mais ne soient pas </w:t>
      </w:r>
      <w:r>
        <w:rPr>
          <w:lang w:val="fr"/>
        </w:rPr>
        <w:lastRenderedPageBreak/>
        <w:t>dirigés vers la CSF. Il semble également y avoir des problèmes au niveau de l'évaluation des demandes initiales et de la vitesse de préparation des commandes. L'incapacité d'établir une stratégie de communication efficace afin d'attirer l'attention sur les services et les ressources de la CSF constitue un autre motif de préoccupation. Le manque de demande peut également s'expliquer par le fait que certains programmes régionaux aient éprouvé des difficultés à util</w:t>
      </w:r>
      <w:r>
        <w:rPr>
          <w:lang w:val="fr"/>
        </w:rPr>
        <w:t>i</w:t>
      </w:r>
      <w:r>
        <w:rPr>
          <w:lang w:val="fr"/>
        </w:rPr>
        <w:t>ser les ressources financières qui leur avaient été allouées. Dans un tel contexte, la gratuité des services de la CSF n'est pas un argument suffisant.</w:t>
      </w:r>
    </w:p>
    <w:p w:rsidR="008F3618" w:rsidRPr="00D1792C" w:rsidRDefault="002C1124" w:rsidP="00D73B2C">
      <w:pPr>
        <w:rPr>
          <w:lang w:val="fr-BE"/>
        </w:rPr>
      </w:pPr>
      <w:r>
        <w:rPr>
          <w:lang w:val="fr"/>
        </w:rPr>
        <w:t>Certains observateurs pointent du doigt la structure de la CSF. Les activités de la Facilité sont divisées en deux contrats. Les travaux préparatoires (contacter les bénéficiaires potentiels, recevoir les demandes et les transformer en commandes) et les évaluations post-service (év</w:t>
      </w:r>
      <w:r>
        <w:rPr>
          <w:lang w:val="fr"/>
        </w:rPr>
        <w:t>a</w:t>
      </w:r>
      <w:r>
        <w:rPr>
          <w:lang w:val="fr"/>
        </w:rPr>
        <w:t>luer la satisfaction des bénéficiaires quant à la qualité des services fournis) sont réalisés par l'assistant technique du Secrétariat ACP dans le cadre d'un contrat. La prestation de service en tant que telle fait l'objet d'un autre contrat. Cette structure a été mise en place de façon à év</w:t>
      </w:r>
      <w:r>
        <w:rPr>
          <w:lang w:val="fr"/>
        </w:rPr>
        <w:t>i</w:t>
      </w:r>
      <w:r>
        <w:rPr>
          <w:lang w:val="fr"/>
        </w:rPr>
        <w:t xml:space="preserve">ter de possibles conflits d'intérêts et à empêcher le prestataire de services de créer </w:t>
      </w:r>
      <w:proofErr w:type="gramStart"/>
      <w:r>
        <w:rPr>
          <w:lang w:val="fr"/>
        </w:rPr>
        <w:t>sa</w:t>
      </w:r>
      <w:proofErr w:type="gramEnd"/>
      <w:r>
        <w:rPr>
          <w:lang w:val="fr"/>
        </w:rPr>
        <w:t xml:space="preserve"> propre demande.</w:t>
      </w:r>
    </w:p>
    <w:p w:rsidR="008F3618" w:rsidRPr="00D1792C" w:rsidRDefault="007A5DA5" w:rsidP="00AD1C0A">
      <w:pPr>
        <w:rPr>
          <w:lang w:val="fr-BE"/>
        </w:rPr>
      </w:pPr>
      <w:r>
        <w:rPr>
          <w:lang w:val="fr"/>
        </w:rPr>
        <w:t>En ce qui concerne le critère de la conception, les programmes régionaux ont obtenu une note collective de C, ce qui est inférieur à la moyenne. De nombreux problèmes pourraient être éliminés ne fût-ce qu'en accordant plus d'attention à des détails tels que l'élaboration d'une stratégie régionale claire, la préparation de documents de projet (comme les cadres logiques) appropriés et la mise en place de systèmes de S&amp;E. Les entités chargées de superviser le Pr</w:t>
      </w:r>
      <w:r>
        <w:rPr>
          <w:lang w:val="fr"/>
        </w:rPr>
        <w:t>o</w:t>
      </w:r>
      <w:r>
        <w:rPr>
          <w:lang w:val="fr"/>
        </w:rPr>
        <w:t>gramme intra-ACP ont également une part de responsabilité dans les difficultés rencontrées. Dans certains cas, des mesures correctives sont nécessaires mais elles ne verront jamais le jour sans aide ou pression. Il est également clair que la conception de la CSF demande elle aussi une plus grande réflexion.</w:t>
      </w:r>
    </w:p>
    <w:p w:rsidR="00D036B2" w:rsidRPr="00D1792C" w:rsidRDefault="00D036B2" w:rsidP="00AD1C0A">
      <w:pPr>
        <w:pStyle w:val="Heading2"/>
        <w:numPr>
          <w:ilvl w:val="1"/>
          <w:numId w:val="9"/>
        </w:numPr>
        <w:rPr>
          <w:lang w:val="fr-BE"/>
        </w:rPr>
      </w:pPr>
      <w:bookmarkStart w:id="35" w:name="_Toc392064217"/>
      <w:bookmarkStart w:id="36" w:name="_Toc406494024"/>
      <w:r>
        <w:rPr>
          <w:bCs/>
          <w:lang w:val="fr"/>
        </w:rPr>
        <w:t>Concernant l'efficacité (réalisation de l'objectif)</w:t>
      </w:r>
      <w:bookmarkEnd w:id="35"/>
      <w:bookmarkEnd w:id="36"/>
    </w:p>
    <w:p w:rsidR="00D036B2" w:rsidRPr="00D1792C" w:rsidRDefault="006C6102" w:rsidP="00AD1C0A">
      <w:pPr>
        <w:ind w:left="709" w:hanging="709"/>
        <w:rPr>
          <w:b/>
          <w:i/>
          <w:lang w:val="fr-BE"/>
        </w:rPr>
      </w:pPr>
      <w:r>
        <w:rPr>
          <w:b/>
          <w:bCs/>
          <w:i/>
          <w:iCs/>
          <w:lang w:val="fr"/>
        </w:rPr>
        <w:t>QE3.</w:t>
      </w:r>
      <w:r>
        <w:rPr>
          <w:lang w:val="fr"/>
        </w:rPr>
        <w:tab/>
      </w:r>
      <w:r>
        <w:rPr>
          <w:b/>
          <w:bCs/>
          <w:i/>
          <w:iCs/>
          <w:lang w:val="fr"/>
        </w:rPr>
        <w:t>Dans quelle mesure l’AMCC fonctionne-t-elle bien comme une plateforme de di</w:t>
      </w:r>
      <w:r>
        <w:rPr>
          <w:b/>
          <w:bCs/>
          <w:i/>
          <w:iCs/>
          <w:lang w:val="fr"/>
        </w:rPr>
        <w:t>a</w:t>
      </w:r>
      <w:r>
        <w:rPr>
          <w:b/>
          <w:bCs/>
          <w:i/>
          <w:iCs/>
          <w:lang w:val="fr"/>
        </w:rPr>
        <w:t>logue (politique) et d'échange entre l'UE et les pays en développement pauvres et les plus vulnérables aux changements climatiques (= pilier 1 des objectifs de l'AMCC) ?</w:t>
      </w:r>
    </w:p>
    <w:p w:rsidR="008F3618" w:rsidRPr="00D1792C" w:rsidRDefault="005475D3" w:rsidP="00AD1C0A">
      <w:pPr>
        <w:rPr>
          <w:lang w:val="fr-BE"/>
        </w:rPr>
      </w:pPr>
      <w:r>
        <w:rPr>
          <w:lang w:val="fr"/>
        </w:rPr>
        <w:t>Il existe plusieurs exemples indiquant que le Programme intra-ACP contribue au dialogue sur le changement climatique tant au niveau régional que mondial. La communication a été fac</w:t>
      </w:r>
      <w:r>
        <w:rPr>
          <w:lang w:val="fr"/>
        </w:rPr>
        <w:t>i</w:t>
      </w:r>
      <w:r>
        <w:rPr>
          <w:lang w:val="fr"/>
        </w:rPr>
        <w:t>litée par diverses voies de communication mais, à part le fait que la plupart des programmes régionaux soutiennent la participation aux négociations internationales sur le changement climatique, aucune autre tendance générale ne se dégage de la nature du dialogue ainsi établi.</w:t>
      </w:r>
    </w:p>
    <w:p w:rsidR="008F3618" w:rsidRPr="00D1792C" w:rsidRDefault="00860E04" w:rsidP="00AD1C0A">
      <w:pPr>
        <w:rPr>
          <w:lang w:val="fr-BE"/>
        </w:rPr>
      </w:pPr>
      <w:r>
        <w:rPr>
          <w:lang w:val="fr"/>
        </w:rPr>
        <w:t>Le dialogue politique était une priorité essentielle du programme CILSS/Agrhymet. L'objectif n° 3 de ce programme concernait le renforcement des capacités dans le cadre des négoci</w:t>
      </w:r>
      <w:r>
        <w:rPr>
          <w:lang w:val="fr"/>
        </w:rPr>
        <w:t>a</w:t>
      </w:r>
      <w:r>
        <w:rPr>
          <w:lang w:val="fr"/>
        </w:rPr>
        <w:t>tions sur le climat et de l'accès aux mécanismes de financement du marché du carbone. Dix-sept négociateurs de l'AGN ont bénéficié d'une formation. Suite à quoi, lors de la CdP 19, l’AGN a soumis un document de prise de position et le groupe de l'Afrique de l'Ouest a ég</w:t>
      </w:r>
      <w:r>
        <w:rPr>
          <w:lang w:val="fr"/>
        </w:rPr>
        <w:t>a</w:t>
      </w:r>
      <w:r>
        <w:rPr>
          <w:lang w:val="fr"/>
        </w:rPr>
        <w:t xml:space="preserve">lement organisé une manifestation parallèle. Le document exposait les raisons pour lesquelles l'agroforesterie devrait devenir éligible au </w:t>
      </w:r>
      <w:r>
        <w:rPr>
          <w:rStyle w:val="hps"/>
          <w:lang w:val="fr"/>
        </w:rPr>
        <w:t>protocole de Kyoto</w:t>
      </w:r>
      <w:r>
        <w:rPr>
          <w:lang w:val="fr"/>
        </w:rPr>
        <w:t xml:space="preserve"> </w:t>
      </w:r>
      <w:r>
        <w:rPr>
          <w:rStyle w:val="hps"/>
          <w:lang w:val="fr"/>
        </w:rPr>
        <w:t>et</w:t>
      </w:r>
      <w:r>
        <w:rPr>
          <w:lang w:val="fr"/>
        </w:rPr>
        <w:t xml:space="preserve"> </w:t>
      </w:r>
      <w:r>
        <w:rPr>
          <w:rStyle w:val="hps"/>
          <w:lang w:val="fr"/>
        </w:rPr>
        <w:t>au</w:t>
      </w:r>
      <w:r>
        <w:rPr>
          <w:lang w:val="fr"/>
        </w:rPr>
        <w:t xml:space="preserve"> </w:t>
      </w:r>
      <w:r>
        <w:rPr>
          <w:rStyle w:val="hps"/>
          <w:lang w:val="fr"/>
        </w:rPr>
        <w:t>MDP</w:t>
      </w:r>
      <w:r>
        <w:rPr>
          <w:lang w:val="fr"/>
        </w:rPr>
        <w:t xml:space="preserve">. Le </w:t>
      </w:r>
      <w:r>
        <w:rPr>
          <w:rStyle w:val="hps"/>
          <w:lang w:val="fr"/>
        </w:rPr>
        <w:t xml:space="preserve">CILSS / </w:t>
      </w:r>
      <w:r>
        <w:rPr>
          <w:rStyle w:val="hps"/>
          <w:lang w:val="fr"/>
        </w:rPr>
        <w:lastRenderedPageBreak/>
        <w:t>l’Agrhymet</w:t>
      </w:r>
      <w:r>
        <w:rPr>
          <w:lang w:val="fr"/>
        </w:rPr>
        <w:t xml:space="preserve"> </w:t>
      </w:r>
      <w:r>
        <w:rPr>
          <w:rStyle w:val="hps"/>
          <w:lang w:val="fr"/>
        </w:rPr>
        <w:t>ont fourni</w:t>
      </w:r>
      <w:r>
        <w:rPr>
          <w:lang w:val="fr"/>
        </w:rPr>
        <w:t xml:space="preserve"> un soutien </w:t>
      </w:r>
      <w:r>
        <w:rPr>
          <w:rStyle w:val="hps"/>
          <w:lang w:val="fr"/>
        </w:rPr>
        <w:t>scientifique et technique</w:t>
      </w:r>
      <w:r>
        <w:rPr>
          <w:lang w:val="fr"/>
        </w:rPr>
        <w:t xml:space="preserve"> à l'élaboration du document</w:t>
      </w:r>
      <w:r>
        <w:rPr>
          <w:rStyle w:val="hps"/>
          <w:lang w:val="fr"/>
        </w:rPr>
        <w:t>.</w:t>
      </w:r>
      <w:r>
        <w:rPr>
          <w:lang w:val="fr"/>
        </w:rPr>
        <w:t xml:space="preserve"> Le COMESA et ClimDev ont également contribué à l'élaboration de documents de prise de pos</w:t>
      </w:r>
      <w:r>
        <w:rPr>
          <w:lang w:val="fr"/>
        </w:rPr>
        <w:t>i</w:t>
      </w:r>
      <w:r>
        <w:rPr>
          <w:lang w:val="fr"/>
        </w:rPr>
        <w:t>tion.</w:t>
      </w:r>
    </w:p>
    <w:p w:rsidR="008F3618" w:rsidRPr="00D1792C" w:rsidRDefault="005475D3" w:rsidP="00AD1C0A">
      <w:pPr>
        <w:rPr>
          <w:lang w:val="fr-BE"/>
        </w:rPr>
      </w:pPr>
      <w:r>
        <w:rPr>
          <w:lang w:val="fr"/>
        </w:rPr>
        <w:t>Dans les trois pays visités dans le cadre de l'évaluation du programme CILSS/Agrhymet, les actions visant à soutenir l'AGN et la participation de représentants de l'Afrique de l'Ouest à d'autres conférences internationales ont été bien accueillies. Cependant, il est important de souligner qu'en Afrique de l'Ouest, il subsiste des divergences de vues considérables entre la société civile et les gouvernements en ce qui concerne les négociations sur le climat. Par ai</w:t>
      </w:r>
      <w:r>
        <w:rPr>
          <w:lang w:val="fr"/>
        </w:rPr>
        <w:t>l</w:t>
      </w:r>
      <w:r>
        <w:rPr>
          <w:lang w:val="fr"/>
        </w:rPr>
        <w:t>leurs, le soutien apporté par le programme durant les négociations pourrait être plus efficace. Afin de corriger cette situation, le programme explore la possibilité d'une collaboration avec l'Alliance panafricaine pour la justice climatique (PACJA), une organisation représentant la société civile africaine active dans le domaine du changement climatique.</w:t>
      </w:r>
    </w:p>
    <w:p w:rsidR="008F3618" w:rsidRPr="00D1792C" w:rsidRDefault="00542C9F" w:rsidP="00AD1C0A">
      <w:pPr>
        <w:rPr>
          <w:lang w:val="fr-BE"/>
        </w:rPr>
      </w:pPr>
      <w:r>
        <w:rPr>
          <w:lang w:val="fr"/>
        </w:rPr>
        <w:t>Le programme COMESA présente quelques aspects positifs concernant la mise en place d'un dialogue plus large. Cet objectif passe notamment par l’aide à la création du Réseau des m</w:t>
      </w:r>
      <w:r>
        <w:rPr>
          <w:lang w:val="fr"/>
        </w:rPr>
        <w:t>é</w:t>
      </w:r>
      <w:r>
        <w:rPr>
          <w:lang w:val="fr"/>
        </w:rPr>
        <w:t>dias d'Afrique australe et orientale sur les changements climatiques, un espace permettant l'échange de vues et la sensibilisation des journalistes en matière de changement climatique, qui sont à leur tour censés informer le public sur les questions liées à ce sujet. Ce réseau fait suite à une idée lancée lors d'une réunion entre le COMESA et le Réseau des journalistes spécialisés dans les questions climatiques dans la grande Corne de l'Afrique (NECJOGHA). Le programme COMESA a également soutenu trois conférences régionales dont l'objectif était de rassembler des jeunes afin que ceux-ci puissent apprendre et développer leur point de vue sur le changement climatique. Le programme COMESA mérite également d'être salué pour avoir mis un point d'honneur à garantir la participation des femmes à ses activités.</w:t>
      </w:r>
    </w:p>
    <w:p w:rsidR="008F3618" w:rsidRPr="00D1792C" w:rsidRDefault="00221265" w:rsidP="00AD1C0A">
      <w:pPr>
        <w:rPr>
          <w:lang w:val="fr-BE"/>
        </w:rPr>
      </w:pPr>
      <w:r>
        <w:rPr>
          <w:lang w:val="fr"/>
        </w:rPr>
        <w:t>Par ailleurs, dans le cadre du programme COMESA, des parlementaires régionaux ont été sensibilisés par l'intermédiaire de l'Assemblée législative de l'Afrique de l'Est (ALAE), ce qui a conduit à l'adoption de la résolution de la CAE sur le changement climatique. Celle-ci a elle-même ouvert la voie au projet de loi de la CAE sur le changement climatique, dont le but est de fournir un cadre juridique pour la mise en œuvre de la politique de la CAE dans ce domaine. La volonté politique a été mobilisée au niveau régional grâce à l’animation d’une retraite des chefs d'État de la CAE en 2010 sur les changements climatiques et la sécurité alimentaire, qui a donné naissance à la déclaration des chefs d'État de la CAE sur les cha</w:t>
      </w:r>
      <w:r>
        <w:rPr>
          <w:lang w:val="fr"/>
        </w:rPr>
        <w:t>n</w:t>
      </w:r>
      <w:r>
        <w:rPr>
          <w:lang w:val="fr"/>
        </w:rPr>
        <w:t>gements climatiques et la sécurité alimentaire.</w:t>
      </w:r>
    </w:p>
    <w:p w:rsidR="008F3618" w:rsidRPr="00D1792C" w:rsidRDefault="00221265" w:rsidP="00AD1C0A">
      <w:pPr>
        <w:rPr>
          <w:lang w:val="fr-BE"/>
        </w:rPr>
      </w:pPr>
      <w:r>
        <w:rPr>
          <w:lang w:val="fr"/>
        </w:rPr>
        <w:t>Comme indiqué précédemment, le programme COMESA s'efforce de faciliter la participation de l'AGN. Certains problèmes ont été observés dans le domaine administratif ainsi qu'en ra</w:t>
      </w:r>
      <w:r>
        <w:rPr>
          <w:lang w:val="fr"/>
        </w:rPr>
        <w:t>p</w:t>
      </w:r>
      <w:r>
        <w:rPr>
          <w:lang w:val="fr"/>
        </w:rPr>
        <w:t>port avec le processus de sélection utilisé pour désigner les délégués. Certaines personnes pensent que la CDAA, la CAE et les États membres en général devraient être plus direct</w:t>
      </w:r>
      <w:r>
        <w:rPr>
          <w:lang w:val="fr"/>
        </w:rPr>
        <w:t>e</w:t>
      </w:r>
      <w:r>
        <w:rPr>
          <w:lang w:val="fr"/>
        </w:rPr>
        <w:t>ment impliqués dans le processus de sélection. Aucune directive claire n'a été donnée quant à la manière dont les négociateurs sont sélectionnés et certains ont le sentiment que de bons candidats sont volontairement laissés de côté. Dans le même temps, cependant, le programme COMESA a le mérite de donner aux négociateurs une chance d'acquérir de l'expérience.</w:t>
      </w:r>
    </w:p>
    <w:p w:rsidR="008F3618" w:rsidRPr="00D1792C" w:rsidRDefault="005475D3" w:rsidP="00AD1C0A">
      <w:pPr>
        <w:rPr>
          <w:lang w:val="fr-BE"/>
        </w:rPr>
      </w:pPr>
      <w:r>
        <w:rPr>
          <w:lang w:val="fr"/>
        </w:rPr>
        <w:t>En ce qui concerne ClimDev, des lacunes en termes de rapports font qu'il est difficile de pr</w:t>
      </w:r>
      <w:r>
        <w:rPr>
          <w:lang w:val="fr"/>
        </w:rPr>
        <w:t>o</w:t>
      </w:r>
      <w:r>
        <w:rPr>
          <w:lang w:val="fr"/>
        </w:rPr>
        <w:t>céder à une évaluation raisonnable de ce qui est accompli dans ce domaine. Certains résultats liés à la participation ou à l'organisation de sommets, de comités, de conférences ou d'activ</w:t>
      </w:r>
      <w:r>
        <w:rPr>
          <w:lang w:val="fr"/>
        </w:rPr>
        <w:t>i</w:t>
      </w:r>
      <w:r>
        <w:rPr>
          <w:lang w:val="fr"/>
        </w:rPr>
        <w:lastRenderedPageBreak/>
        <w:t>tés de formation n'ont été communiqués ni à l'UE, ni à l'équipe d'évaluation. Par ailleurs, la manière dont les rapports sont élaborés ne permet pas de déterminer clairement la contrib</w:t>
      </w:r>
      <w:r>
        <w:rPr>
          <w:lang w:val="fr"/>
        </w:rPr>
        <w:t>u</w:t>
      </w:r>
      <w:r>
        <w:rPr>
          <w:lang w:val="fr"/>
        </w:rPr>
        <w:t>tion réelle de ClimDev (en termes de ressources financières et humaines) à ces événements et activités. Ceci soulève une question plus large sur le soutien fourni par les trois programmes régionaux intra-ACP en Afrique et par l'AMCC global. En raison des délais serrés dans le</w:t>
      </w:r>
      <w:r>
        <w:rPr>
          <w:lang w:val="fr"/>
        </w:rPr>
        <w:t>s</w:t>
      </w:r>
      <w:r>
        <w:rPr>
          <w:lang w:val="fr"/>
        </w:rPr>
        <w:t>quels s'est tenue la procédure d'évaluation, il n'a pas été possible de complètement appréhe</w:t>
      </w:r>
      <w:r>
        <w:rPr>
          <w:lang w:val="fr"/>
        </w:rPr>
        <w:t>n</w:t>
      </w:r>
      <w:r>
        <w:rPr>
          <w:lang w:val="fr"/>
        </w:rPr>
        <w:t>der ce qui se passait, mais il se pourrait qu'il existe un certain nombre de chevauchements entre les différentes activités visant à soutenir l'AGN. Par ailleurs, il semble y avoir peu ou pas de coordination entre les programmes régionaux et les programmes nationaux de l'AMCC sur les questions liées à la participation des négociateurs africains aux négociations intern</w:t>
      </w:r>
      <w:r>
        <w:rPr>
          <w:lang w:val="fr"/>
        </w:rPr>
        <w:t>a</w:t>
      </w:r>
      <w:r>
        <w:rPr>
          <w:lang w:val="fr"/>
        </w:rPr>
        <w:t>tionales sur le climat. Il n'existe apparemment pas non plus de coordination avec le Pr</w:t>
      </w:r>
      <w:r>
        <w:rPr>
          <w:lang w:val="fr"/>
        </w:rPr>
        <w:t>o</w:t>
      </w:r>
      <w:r>
        <w:rPr>
          <w:lang w:val="fr"/>
        </w:rPr>
        <w:t>gramme des Nations unies pour le développement (PNUD) à ce sujet, ce qui n'est pas du tout normal compte tenu du rôle joué par l'agence onusienne dans ce domaine. Cette situation m</w:t>
      </w:r>
      <w:r>
        <w:rPr>
          <w:lang w:val="fr"/>
        </w:rPr>
        <w:t>é</w:t>
      </w:r>
      <w:r>
        <w:rPr>
          <w:lang w:val="fr"/>
        </w:rPr>
        <w:t>riterait de faire l'objet d'une enquête de suivi.</w:t>
      </w:r>
    </w:p>
    <w:p w:rsidR="008F3618" w:rsidRPr="00D1792C" w:rsidRDefault="00B92875" w:rsidP="00B92875">
      <w:pPr>
        <w:rPr>
          <w:lang w:val="fr-BE"/>
        </w:rPr>
      </w:pPr>
      <w:r>
        <w:rPr>
          <w:lang w:val="fr"/>
        </w:rPr>
        <w:t>Le programme USP a contribué au dialogue par l'intermédiaire de sa composante axée sur la formation, dans le cadre de laquelle des étudiants ont été invités à rejoindre la délégation de leur pays lors des négociations de la CCNUCC. En 2013, par exemple, sept étudiants ont pa</w:t>
      </w:r>
      <w:r>
        <w:rPr>
          <w:lang w:val="fr"/>
        </w:rPr>
        <w:t>r</w:t>
      </w:r>
      <w:r>
        <w:rPr>
          <w:lang w:val="fr"/>
        </w:rPr>
        <w:t>ticipé à la CdP 19 à Varsovie, en Pologne. Six étudiants représentaient la République de Na</w:t>
      </w:r>
      <w:r>
        <w:rPr>
          <w:lang w:val="fr"/>
        </w:rPr>
        <w:t>u</w:t>
      </w:r>
      <w:r>
        <w:rPr>
          <w:lang w:val="fr"/>
        </w:rPr>
        <w:t>ru dans le cadre de la délégation de l'Alliance des petits États insulaires (AOSIS), tandis que le septième faisait partie de la délégation des Îles Solomon. Le programme USP a permis l'intégration au niveau national de plans locaux d'adaptation développés dans le cadre du pr</w:t>
      </w:r>
      <w:r>
        <w:rPr>
          <w:lang w:val="fr"/>
        </w:rPr>
        <w:t>o</w:t>
      </w:r>
      <w:r>
        <w:rPr>
          <w:lang w:val="fr"/>
        </w:rPr>
        <w:t>gramme. Le lien instauré entre le plan stratégique national des îles Tuvalu et le plan de dév</w:t>
      </w:r>
      <w:r>
        <w:rPr>
          <w:lang w:val="fr"/>
        </w:rPr>
        <w:t>e</w:t>
      </w:r>
      <w:r>
        <w:rPr>
          <w:lang w:val="fr"/>
        </w:rPr>
        <w:t>loppement communautaire de l’île de Niue en est un parfait exemple. En ce qui concerne le dialogue, les processus reposent sur une communication cohérente entre les coordinateurs nationaux du programme et le personnel de l'UE, ainsi qu'avec les décideurs clés des comm</w:t>
      </w:r>
      <w:r>
        <w:rPr>
          <w:lang w:val="fr"/>
        </w:rPr>
        <w:t>u</w:t>
      </w:r>
      <w:r>
        <w:rPr>
          <w:lang w:val="fr"/>
        </w:rPr>
        <w:t>nautés et des ministères compétents.</w:t>
      </w:r>
    </w:p>
    <w:p w:rsidR="008F3618" w:rsidRPr="00D1792C" w:rsidRDefault="00066242" w:rsidP="00066242">
      <w:pPr>
        <w:rPr>
          <w:lang w:val="fr-BE"/>
        </w:rPr>
      </w:pPr>
      <w:r>
        <w:rPr>
          <w:lang w:val="fr"/>
        </w:rPr>
        <w:t>Le programme PEIP a aidé l'AOSIS à consolider les perspectives des États insulaires du Pac</w:t>
      </w:r>
      <w:r>
        <w:rPr>
          <w:lang w:val="fr"/>
        </w:rPr>
        <w:t>i</w:t>
      </w:r>
      <w:r>
        <w:rPr>
          <w:lang w:val="fr"/>
        </w:rPr>
        <w:t>fique et à agir en tant que groupe de pression et négociateur ad hoc au sein du système on</w:t>
      </w:r>
      <w:r>
        <w:rPr>
          <w:lang w:val="fr"/>
        </w:rPr>
        <w:t>u</w:t>
      </w:r>
      <w:r>
        <w:rPr>
          <w:lang w:val="fr"/>
        </w:rPr>
        <w:t>sien. Il a aussi permis à certains pays (Îles Cook, Kiribati et Tonga) de participer aux CdP 18 et 19 et a joué un rôle dans la participation de l’AOSIS dans les négociations de la CdP. Par ailleurs, le programme PEIP a soutenu la Table ronde du Pacifique sur le changement clim</w:t>
      </w:r>
      <w:r>
        <w:rPr>
          <w:lang w:val="fr"/>
        </w:rPr>
        <w:t>a</w:t>
      </w:r>
      <w:r>
        <w:rPr>
          <w:lang w:val="fr"/>
        </w:rPr>
        <w:t>tique qui s’est tenue en 2013 et qui a rassemblé un large éventail de parties prenantes, parmi lesquelles des bailleurs de fonds, en vue d'améliorer la collaboration dans le domaine de la lutte contre le changement climatique.</w:t>
      </w:r>
    </w:p>
    <w:p w:rsidR="008F3618" w:rsidRPr="00D1792C" w:rsidRDefault="009C6760" w:rsidP="00AD1C0A">
      <w:pPr>
        <w:rPr>
          <w:lang w:val="fr-BE"/>
        </w:rPr>
      </w:pPr>
      <w:r>
        <w:rPr>
          <w:lang w:val="fr"/>
        </w:rPr>
        <w:t>Le programme CCCCC ne prévoit rien d'exceptionnel en ce qui concerne le dialogue pol</w:t>
      </w:r>
      <w:r>
        <w:rPr>
          <w:lang w:val="fr"/>
        </w:rPr>
        <w:t>i</w:t>
      </w:r>
      <w:r>
        <w:rPr>
          <w:lang w:val="fr"/>
        </w:rPr>
        <w:t>tique, mais ne contient rien d'inquiétant non plus. Le programme profite du dialogue continu que le CCCCC entretient avec les pays du CARIFORUM. Le programme CCCCC a égal</w:t>
      </w:r>
      <w:r>
        <w:rPr>
          <w:lang w:val="fr"/>
        </w:rPr>
        <w:t>e</w:t>
      </w:r>
      <w:r>
        <w:rPr>
          <w:lang w:val="fr"/>
        </w:rPr>
        <w:t>ment soutenu la création d'un bureau national des changements climatiques au sein du go</w:t>
      </w:r>
      <w:r>
        <w:rPr>
          <w:lang w:val="fr"/>
        </w:rPr>
        <w:t>u</w:t>
      </w:r>
      <w:r>
        <w:rPr>
          <w:lang w:val="fr"/>
        </w:rPr>
        <w:t>vernement du Belize, qui joue un rôle essentiel pour maintenir le dialogue politique.</w:t>
      </w:r>
    </w:p>
    <w:p w:rsidR="008F3618" w:rsidRPr="00D1792C" w:rsidRDefault="00952186" w:rsidP="00AD1C0A">
      <w:pPr>
        <w:rPr>
          <w:lang w:val="fr-BE"/>
        </w:rPr>
      </w:pPr>
      <w:r>
        <w:rPr>
          <w:lang w:val="fr"/>
        </w:rPr>
        <w:t>Les programmes régionaux intra-ACP obtiennent une note globale de B (bien), les différents programmes ayant chacun reçu cette note. C'est le signe que, dans l'ensemble, tous les pr</w:t>
      </w:r>
      <w:r>
        <w:rPr>
          <w:lang w:val="fr"/>
        </w:rPr>
        <w:t>o</w:t>
      </w:r>
      <w:r>
        <w:rPr>
          <w:lang w:val="fr"/>
        </w:rPr>
        <w:t>grammes régionaux ont pris au sérieux la question du dialogue politique.</w:t>
      </w:r>
    </w:p>
    <w:p w:rsidR="008F3618" w:rsidRPr="00D1792C" w:rsidRDefault="008F3618" w:rsidP="00AD1C0A">
      <w:pPr>
        <w:spacing w:after="120"/>
        <w:ind w:left="360"/>
        <w:rPr>
          <w:lang w:val="fr-BE"/>
        </w:rPr>
      </w:pPr>
    </w:p>
    <w:p w:rsidR="00D036B2" w:rsidRPr="00D1792C" w:rsidRDefault="006C6102" w:rsidP="00AD1C0A">
      <w:pPr>
        <w:ind w:left="709" w:hanging="709"/>
        <w:rPr>
          <w:b/>
          <w:i/>
          <w:lang w:val="fr-BE"/>
        </w:rPr>
      </w:pPr>
      <w:r>
        <w:rPr>
          <w:b/>
          <w:bCs/>
          <w:i/>
          <w:iCs/>
          <w:lang w:val="fr"/>
        </w:rPr>
        <w:lastRenderedPageBreak/>
        <w:t>QE4.</w:t>
      </w:r>
      <w:r>
        <w:rPr>
          <w:lang w:val="fr"/>
        </w:rPr>
        <w:tab/>
      </w:r>
      <w:r>
        <w:rPr>
          <w:b/>
          <w:bCs/>
          <w:i/>
          <w:iCs/>
          <w:lang w:val="fr"/>
        </w:rPr>
        <w:t>Dans quelle mesure l'AMCC constitue-t-elle un instrument viable pour une coop</w:t>
      </w:r>
      <w:r>
        <w:rPr>
          <w:b/>
          <w:bCs/>
          <w:i/>
          <w:iCs/>
          <w:lang w:val="fr"/>
        </w:rPr>
        <w:t>é</w:t>
      </w:r>
      <w:r>
        <w:rPr>
          <w:b/>
          <w:bCs/>
          <w:i/>
          <w:iCs/>
          <w:lang w:val="fr"/>
        </w:rPr>
        <w:t>ration pratique permettant de relever le défi de lutter contre la pauvreté et le cha</w:t>
      </w:r>
      <w:r>
        <w:rPr>
          <w:b/>
          <w:bCs/>
          <w:i/>
          <w:iCs/>
          <w:lang w:val="fr"/>
        </w:rPr>
        <w:t>n</w:t>
      </w:r>
      <w:r>
        <w:rPr>
          <w:b/>
          <w:bCs/>
          <w:i/>
          <w:iCs/>
          <w:lang w:val="fr"/>
        </w:rPr>
        <w:t>gement climatique ? (= pilier 2 des objectifs de l'AMCC) ?</w:t>
      </w:r>
    </w:p>
    <w:p w:rsidR="008F3618" w:rsidRPr="00D1792C" w:rsidRDefault="008610DC" w:rsidP="00AD1C0A">
      <w:pPr>
        <w:rPr>
          <w:lang w:val="fr-BE"/>
        </w:rPr>
      </w:pPr>
      <w:r>
        <w:rPr>
          <w:lang w:val="fr"/>
        </w:rPr>
        <w:t>Le double objectif de réduire la pauvreté et de lutter contre le changement climatique est un domaine qui, à première vue, ne semble pas considéré comme un point fort du Programme intra-ACP. Par ailleurs, il n'est pas toujours nécessaire ou stratégique de consacrer chaque activité à la lutte contre la pauvreté. S'il est vrai que toutes les activités qui contribuent à r</w:t>
      </w:r>
      <w:r>
        <w:rPr>
          <w:lang w:val="fr"/>
        </w:rPr>
        <w:t>é</w:t>
      </w:r>
      <w:r>
        <w:rPr>
          <w:lang w:val="fr"/>
        </w:rPr>
        <w:t>duire les risques et à renforcer la résistance aux impacts du changement climatique créent un contexte plus favorable à la lutte contre la pauvreté, il existe clairement d'autres moyens plus directs de réduire cette dernière.</w:t>
      </w:r>
    </w:p>
    <w:p w:rsidR="008F3618" w:rsidRPr="00D1792C" w:rsidRDefault="008610DC" w:rsidP="00AD1C0A">
      <w:pPr>
        <w:rPr>
          <w:lang w:val="fr-BE"/>
        </w:rPr>
      </w:pPr>
      <w:r>
        <w:rPr>
          <w:lang w:val="fr"/>
        </w:rPr>
        <w:t>Trois programmes (CILSS CCCCC, et ClimDev) ont été conçus pour traiter indirectement de la question de la lutte contre la pauvreté. Le CILSS / l’Agrhymet et le CCCCC supervisent notamment la recherche, la formation et d'autres activités de renforcement des capacités e</w:t>
      </w:r>
      <w:r>
        <w:rPr>
          <w:lang w:val="fr"/>
        </w:rPr>
        <w:t>s</w:t>
      </w:r>
      <w:r>
        <w:rPr>
          <w:lang w:val="fr"/>
        </w:rPr>
        <w:t>sentielles, tout en collaborant avec des gouvernements nationaux, souvent à un niveau strat</w:t>
      </w:r>
      <w:r>
        <w:rPr>
          <w:lang w:val="fr"/>
        </w:rPr>
        <w:t>é</w:t>
      </w:r>
      <w:r>
        <w:rPr>
          <w:lang w:val="fr"/>
        </w:rPr>
        <w:t>gique. Dans le même temps, l’Agrhymet a toujours eu des difficultés à devenir un véritable organisme de terrain, qui serait ainsi mieux placé pour obtenir des résultats plus directs dans le domaine de la lutte contre la pauvreté.</w:t>
      </w:r>
    </w:p>
    <w:p w:rsidR="00D036B2" w:rsidRPr="00D1792C" w:rsidRDefault="00661FE6" w:rsidP="00AD1C0A">
      <w:pPr>
        <w:rPr>
          <w:lang w:val="fr-BE"/>
        </w:rPr>
      </w:pPr>
      <w:r>
        <w:rPr>
          <w:lang w:val="fr"/>
        </w:rPr>
        <w:t>Toutefois, certains aspects du Programme intra-ACP concernent directement la réduction de la pauvreté. Le programme COMESA, par exemple, promeut l'agriculture de conservation (AC) et l'agriculture intelligente face au climat (AIC), et ce dans un contexte africain, où la survie d'un pourcentage élevé de la population dépend de la production agricole. Des activités pilotes d'AIC sont en cours en Ouganda, au Kenya (dans la région de la CAE) et en Zambie, au Malawi et au Zimbabwe (dans la région de la CDAA). La CAE prévoit de lancer des act</w:t>
      </w:r>
      <w:r>
        <w:rPr>
          <w:lang w:val="fr"/>
        </w:rPr>
        <w:t>i</w:t>
      </w:r>
      <w:r>
        <w:rPr>
          <w:lang w:val="fr"/>
        </w:rPr>
        <w:t xml:space="preserve">vités pilotes d'AIC au Burundi, au Rwanda et en Tanzanie en 2014, en vue d’augmenter </w:t>
      </w:r>
      <w:proofErr w:type="gramStart"/>
      <w:r>
        <w:rPr>
          <w:lang w:val="fr"/>
        </w:rPr>
        <w:t>ce types d’activités</w:t>
      </w:r>
      <w:proofErr w:type="gramEnd"/>
      <w:r>
        <w:rPr>
          <w:lang w:val="fr"/>
        </w:rPr>
        <w:t>. L'accent mis par le programme COMESA sur les femmes contribuerait ég</w:t>
      </w:r>
      <w:r>
        <w:rPr>
          <w:lang w:val="fr"/>
        </w:rPr>
        <w:t>a</w:t>
      </w:r>
      <w:r>
        <w:rPr>
          <w:lang w:val="fr"/>
        </w:rPr>
        <w:t>lement à lutter contre la pauvreté.</w:t>
      </w:r>
    </w:p>
    <w:p w:rsidR="00174810" w:rsidRPr="00D1792C" w:rsidRDefault="00661FE6" w:rsidP="00AD1C0A">
      <w:pPr>
        <w:rPr>
          <w:lang w:val="fr-BE"/>
        </w:rPr>
      </w:pPr>
      <w:r>
        <w:rPr>
          <w:lang w:val="fr"/>
        </w:rPr>
        <w:t>Concernant les petits États insulaires du Pacifique (PEIP) dans les Kiribati, un laboratoire de surveillance de l'hygiène de l'environnement, qui a été récemment rénové, a souligné que les épidémies de maladies liées au climat telles que la dengue, la diarrhée et la giardose dev</w:t>
      </w:r>
      <w:r>
        <w:rPr>
          <w:lang w:val="fr"/>
        </w:rPr>
        <w:t>e</w:t>
      </w:r>
      <w:r>
        <w:rPr>
          <w:lang w:val="fr"/>
        </w:rPr>
        <w:t xml:space="preserve">naient plus fréquentes. De plus, </w:t>
      </w:r>
      <w:r>
        <w:rPr>
          <w:color w:val="000000"/>
          <w:lang w:val="fr"/>
        </w:rPr>
        <w:t>cinq PEIP ont choisi d’observer de plus près les activités m</w:t>
      </w:r>
      <w:r>
        <w:rPr>
          <w:color w:val="000000"/>
          <w:lang w:val="fr"/>
        </w:rPr>
        <w:t>e</w:t>
      </w:r>
      <w:r>
        <w:rPr>
          <w:color w:val="000000"/>
          <w:lang w:val="fr"/>
        </w:rPr>
        <w:t>nées dans le cadre de projets d'adaptation dans les îles périphériques, sachant que dans de nombreux cas, les personnes vivant sur ces îles sont isolées et ont peu voire aucun accès à d'autres sources d'aliments, d'eau et de revenus. Le programme PEIP tente de maintenir une approche qui offre suffisamment de flexibilité pour gérer ces situations particulières liées à la pauvreté.</w:t>
      </w:r>
    </w:p>
    <w:p w:rsidR="008F3618" w:rsidRPr="00D1792C" w:rsidRDefault="00F238A0" w:rsidP="00AD1C0A">
      <w:pPr>
        <w:rPr>
          <w:lang w:val="fr-BE"/>
        </w:rPr>
      </w:pPr>
      <w:r>
        <w:rPr>
          <w:lang w:val="fr"/>
        </w:rPr>
        <w:t>Les projets pilotes du programme USP ont été mis en œuvre pour aider les communautés vulnérables à la périphérie en renforçant leurs capacités à lutter contre les effets combinés de la pauvreté et du changement climatique. D'ici à la fin du programme USP, 43 communautés qui font l’objet d’activités de démonstration dans 15 pays devraient créer un réseau de strat</w:t>
      </w:r>
      <w:r>
        <w:rPr>
          <w:lang w:val="fr"/>
        </w:rPr>
        <w:t>é</w:t>
      </w:r>
      <w:r>
        <w:rPr>
          <w:lang w:val="fr"/>
        </w:rPr>
        <w:t>gies d'ACC efficaces dans l’ensemble de la région des îles du Pacifique. Le réseau de la Ge</w:t>
      </w:r>
      <w:r>
        <w:rPr>
          <w:lang w:val="fr"/>
        </w:rPr>
        <w:t>s</w:t>
      </w:r>
      <w:r>
        <w:rPr>
          <w:lang w:val="fr"/>
        </w:rPr>
        <w:t>tion locale de l'adaptation au changement climatique (GLACC) comprend des communautés, des organisations non gouvernementales (ONG) et des autorités locales. Par la suite, les m</w:t>
      </w:r>
      <w:r>
        <w:rPr>
          <w:lang w:val="fr"/>
        </w:rPr>
        <w:t>é</w:t>
      </w:r>
      <w:r>
        <w:rPr>
          <w:lang w:val="fr"/>
        </w:rPr>
        <w:t xml:space="preserve">thodologies des évaluations rapides (ER) et de la vulnérabilité et de l'adaptation (V&amp;A) ont </w:t>
      </w:r>
      <w:r>
        <w:rPr>
          <w:lang w:val="fr"/>
        </w:rPr>
        <w:lastRenderedPageBreak/>
        <w:t>été utilisées par les gouvernements, notamment les ministères de l'Environnement, dans tous les pays participants. Dans le Timor oriental, le ministère des Affaires environnementales et du changement climatique n'était pas, jusqu'à présent, familier des méthodes participatives ; ses connaissances et son expérience sur les modalités de réalisation des évaluations – et donc sa capacité à obtenir des résultats dans les communautés pauvres – ont été renforcées. De même, à l’île de Niue, les méthodologies ER et V&amp;A ont servi de base au plan national d'adaptation et aux plans de développement durable à l'échelle des villages.</w:t>
      </w:r>
    </w:p>
    <w:p w:rsidR="008F3618" w:rsidRPr="00D1792C" w:rsidRDefault="00213DF5" w:rsidP="00AD1C0A">
      <w:pPr>
        <w:rPr>
          <w:rFonts w:eastAsia="Times New Roman"/>
          <w:lang w:val="fr-BE"/>
        </w:rPr>
      </w:pPr>
      <w:r>
        <w:rPr>
          <w:lang w:val="fr"/>
        </w:rPr>
        <w:t>Concernant le programme CILSS/</w:t>
      </w:r>
      <w:proofErr w:type="spellStart"/>
      <w:r>
        <w:rPr>
          <w:lang w:val="fr"/>
        </w:rPr>
        <w:t>Agrhymet</w:t>
      </w:r>
      <w:proofErr w:type="spellEnd"/>
      <w:r>
        <w:rPr>
          <w:lang w:val="fr"/>
        </w:rPr>
        <w:t>, il crée des systèmes d'informations hydro-climatologiques, qui fournissent des informations très utiles aux cultivateurs et aux éleveurs sur les prévisions météorologiques et l'identification de risques agro-hydrologiques, ou sur des inondations potentielles. Toutefois, pour être utiles aux utilisateurs finaux, ces inform</w:t>
      </w:r>
      <w:r>
        <w:rPr>
          <w:lang w:val="fr"/>
        </w:rPr>
        <w:t>a</w:t>
      </w:r>
      <w:r>
        <w:rPr>
          <w:lang w:val="fr"/>
        </w:rPr>
        <w:t>tions doivent être converties en outils pratiques et traduites dans les langues locales ; elles doivent également être reliées à des structures permettant de les diffuser. Ce type d'activité n'est pas l'un des points forts de l'Agrhymet. Le gouvernement de la Grenade a demandé au CCCCC de soutenir l'installation d'une usine de dessalement par osmose inversée afin de créer une source durable d'eau douce sur une île isolée. Le potentiel de cette technologie pour réduire la pauvreté, si elle était reproduite dans l'ensemble des Caraïbes, est également cons</w:t>
      </w:r>
      <w:r>
        <w:rPr>
          <w:lang w:val="fr"/>
        </w:rPr>
        <w:t>i</w:t>
      </w:r>
      <w:r>
        <w:rPr>
          <w:lang w:val="fr"/>
        </w:rPr>
        <w:t>dérable.</w:t>
      </w:r>
    </w:p>
    <w:p w:rsidR="008F3618" w:rsidRPr="00D1792C" w:rsidRDefault="00213DF5" w:rsidP="00AD1C0A">
      <w:pPr>
        <w:rPr>
          <w:lang w:val="fr-BE"/>
        </w:rPr>
      </w:pPr>
      <w:r>
        <w:rPr>
          <w:lang w:val="fr"/>
        </w:rPr>
        <w:t>Le Programme intra-ACP de l'AMCC reçoit une note globale de B sur le lien entre pauvreté et changement climatique, en ayant à l'esprit que ce programme peut obtenir des résultats significatifs sans mettre systématiquement l'accent sur des activités consacrées à la lutte contre la pauvreté, comme la génération de revenus.</w:t>
      </w:r>
    </w:p>
    <w:p w:rsidR="001F5B08" w:rsidRPr="00D1792C" w:rsidRDefault="006C6102" w:rsidP="00AD1C0A">
      <w:pPr>
        <w:ind w:left="709" w:hanging="709"/>
        <w:rPr>
          <w:b/>
          <w:i/>
          <w:lang w:val="fr-BE"/>
        </w:rPr>
      </w:pPr>
      <w:r>
        <w:rPr>
          <w:b/>
          <w:bCs/>
          <w:i/>
          <w:iCs/>
          <w:lang w:val="fr"/>
        </w:rPr>
        <w:t>QE5.</w:t>
      </w:r>
      <w:r>
        <w:rPr>
          <w:lang w:val="fr"/>
        </w:rPr>
        <w:tab/>
      </w:r>
      <w:r>
        <w:rPr>
          <w:b/>
          <w:bCs/>
          <w:i/>
          <w:iCs/>
          <w:lang w:val="fr"/>
        </w:rPr>
        <w:t>Dans quelle mesure le programme a-t-il contribué au renforcement efficace des capacités (= résultat intermédiaire contribuant à la réalisation des objectifs) ?</w:t>
      </w:r>
    </w:p>
    <w:p w:rsidR="008F3618" w:rsidRPr="00D1792C" w:rsidRDefault="00C473B2" w:rsidP="00AD1C0A">
      <w:pPr>
        <w:rPr>
          <w:lang w:val="fr-BE"/>
        </w:rPr>
      </w:pPr>
      <w:r>
        <w:rPr>
          <w:lang w:val="fr"/>
        </w:rPr>
        <w:t>L'ensemble des six programmes régionaux font des efforts considérables pour renforcer les capacités, et ce auprès de parties prenantes au niveau communautaire et de décideurs aux plus hauts niveaux au sein des gouvernements nationaux. De nombreuses formations spécialisées dans des domaines tels que la modélisation du climat ont également été soutenues. De l'aide a été fournie pour créer des institutions et définir des politiques et stratégies. La liste ci-dessous ne prétend pas être exhaustive, mais donne un aperçu des activités de renforcement des cap</w:t>
      </w:r>
      <w:r>
        <w:rPr>
          <w:lang w:val="fr"/>
        </w:rPr>
        <w:t>a</w:t>
      </w:r>
      <w:r>
        <w:rPr>
          <w:lang w:val="fr"/>
        </w:rPr>
        <w:t>cités soutenues dans le cadre du Programme intra-ACP.</w:t>
      </w:r>
    </w:p>
    <w:p w:rsidR="008F3618" w:rsidRPr="00D1792C" w:rsidRDefault="00C473B2" w:rsidP="00AD1C0A">
      <w:pPr>
        <w:rPr>
          <w:lang w:val="fr-BE"/>
        </w:rPr>
      </w:pPr>
      <w:r>
        <w:rPr>
          <w:lang w:val="fr"/>
        </w:rPr>
        <w:t>Comme souligné précédemment, le programme CILSS/Agrhymet a fortement mis l'accent sur la formation et le renforcement des capacités. On peut notamment citer la formation d'environ 40 directeurs des services météorologiques et hydrologiques et des organismes de bassin de la région qui portait sur les prévisions saisonnières pour les pluies et les flux d'eaux des princ</w:t>
      </w:r>
      <w:r>
        <w:rPr>
          <w:lang w:val="fr"/>
        </w:rPr>
        <w:t>i</w:t>
      </w:r>
      <w:r>
        <w:rPr>
          <w:lang w:val="fr"/>
        </w:rPr>
        <w:t>pales sources d'eau. Au Niger, les formations visant à intégrer des considérations liées au changement climatique dans les exercices de planification ont eu un succès considérable. L'un des objectifs directs a consisté à « adapter » les plans de développement communautaire (PDC). À ce jour, 34 PDC et 46 plans annuels d'investissement (PAI) (des plans élaborés tous les ans pour mettre en œuvre les PDC) ont intégré des considérations liées au changement climatique, avec le soutien de plusieurs sources de financement telles que CARE et le Fonds des Nations unies pour l'enfance (UNICEF).</w:t>
      </w:r>
    </w:p>
    <w:p w:rsidR="008F3618" w:rsidRPr="00D1792C" w:rsidRDefault="00ED239B" w:rsidP="00AD1C0A">
      <w:pPr>
        <w:rPr>
          <w:lang w:val="fr-BE"/>
        </w:rPr>
      </w:pPr>
      <w:r>
        <w:rPr>
          <w:lang w:val="fr"/>
        </w:rPr>
        <w:lastRenderedPageBreak/>
        <w:t>Au Niger, le secteur de la santé a également intégré la dimension du changement climatique dans sa planification et le ministère des Transports est en passe de le faire. Comme indiqué dans la section consacrée à QE 3, des activités ont été organisées pour préparer des experts d'Afrique de l'Ouest à la CdP 19 (Varsovie), qui ont été globalement bien accueillies. Tout</w:t>
      </w:r>
      <w:r>
        <w:rPr>
          <w:lang w:val="fr"/>
        </w:rPr>
        <w:t>e</w:t>
      </w:r>
      <w:r>
        <w:rPr>
          <w:lang w:val="fr"/>
        </w:rPr>
        <w:t>fois, certaines personnes contactées durant l'évaluation ont indiqué que l'efficacité opératio</w:t>
      </w:r>
      <w:r>
        <w:rPr>
          <w:lang w:val="fr"/>
        </w:rPr>
        <w:t>n</w:t>
      </w:r>
      <w:r>
        <w:rPr>
          <w:lang w:val="fr"/>
        </w:rPr>
        <w:t>nelle était limitée et que les activités pourraient être plus efficientes en prenant en compte l'expérience des PEID dans ce domaine. Enfin, bien que cela ne soit pas prévu dans le contrat, le programme a soutenu les activités éducatives de l'Agrhymet, notamment dans le cadre de son programme de master universitaire « changement climatique et développement durable ».</w:t>
      </w:r>
    </w:p>
    <w:p w:rsidR="008F3618" w:rsidRPr="00D1792C" w:rsidRDefault="00C473B2" w:rsidP="00AD1C0A">
      <w:pPr>
        <w:rPr>
          <w:lang w:val="fr-BE"/>
        </w:rPr>
      </w:pPr>
      <w:r>
        <w:rPr>
          <w:lang w:val="fr"/>
        </w:rPr>
        <w:t>Dans la même lignée, l'USP a créé des programmes de bourses dédiés pour les qualifications UE-AMCC suivantes : le diplôme de troisième cycle, le master et le doctorat sur le chang</w:t>
      </w:r>
      <w:r>
        <w:rPr>
          <w:lang w:val="fr"/>
        </w:rPr>
        <w:t>e</w:t>
      </w:r>
      <w:r>
        <w:rPr>
          <w:lang w:val="fr"/>
        </w:rPr>
        <w:t>ment climatique. La formation formelle a mis l'accent sur le renforcement des capacités à long terme en concevant un programme d'enseignement de troisième cycle sur le changement climatique à l'USP, qui propose un contrôle continu et des formations aux étudiants du d</w:t>
      </w:r>
      <w:r>
        <w:rPr>
          <w:lang w:val="fr"/>
        </w:rPr>
        <w:t>i</w:t>
      </w:r>
      <w:r>
        <w:rPr>
          <w:lang w:val="fr"/>
        </w:rPr>
        <w:t>plôme de troisième cycle, ainsi que de la recherche appliquée aux étudiants de master et de doctorat. Le programme d’enseignement sur le changement climatique continue de renforcer les capacités des responsables gouvernementaux et d'autres parties prenantes dans le cadre d'un programme de formation plus long et plus approfondi, parallèlement au programme de formation informel. Le programme d’enseignement de l'USP consacré au changement clim</w:t>
      </w:r>
      <w:r>
        <w:rPr>
          <w:lang w:val="fr"/>
        </w:rPr>
        <w:t>a</w:t>
      </w:r>
      <w:r>
        <w:rPr>
          <w:lang w:val="fr"/>
        </w:rPr>
        <w:t>tique, qui s'appuie sur le programme d'origine sur le changement climatique lancé à l'aide du financement de l'AusAID, a été renforcé par des bourses et la mise à disposition de cours supplémentaires. Des bourses pour le diplôme de troisième cycle, le master ès sciences et le doctorat ont été proposées aux étudiants de la région, afin de leur permettre, selon le cas, de suivre les cours du diplôme de troisième cycle, ou de réaliser leurs projets de recherche sur les différents aspects du changement climatique dans le cadre de leur master ou de leur doct</w:t>
      </w:r>
      <w:r>
        <w:rPr>
          <w:lang w:val="fr"/>
        </w:rPr>
        <w:t>o</w:t>
      </w:r>
      <w:r>
        <w:rPr>
          <w:lang w:val="fr"/>
        </w:rPr>
        <w:t>rat.</w:t>
      </w:r>
    </w:p>
    <w:p w:rsidR="008F3618" w:rsidRPr="00D1792C" w:rsidRDefault="00B721FC" w:rsidP="00306821">
      <w:pPr>
        <w:rPr>
          <w:lang w:val="fr-BE"/>
        </w:rPr>
      </w:pPr>
      <w:r>
        <w:rPr>
          <w:lang w:val="fr"/>
        </w:rPr>
        <w:t>Quatre nouveaux cours, conçus pour répondre aux besoins spécifiques de la région, sont co</w:t>
      </w:r>
      <w:r>
        <w:rPr>
          <w:lang w:val="fr"/>
        </w:rPr>
        <w:t>n</w:t>
      </w:r>
      <w:r>
        <w:rPr>
          <w:lang w:val="fr"/>
        </w:rPr>
        <w:t>sacrés aux sciences du climat et à l'adaptation aux changements climatiques. Depuis le début de ce programme, 84 étudiants ont obtenu un diplôme de troisième cycle, 17 un master ès science et sept étudiants travaillent actuellement à l’obtention d’un doctorat, avec respect</w:t>
      </w:r>
      <w:r>
        <w:rPr>
          <w:lang w:val="fr"/>
        </w:rPr>
        <w:t>i</w:t>
      </w:r>
      <w:r>
        <w:rPr>
          <w:lang w:val="fr"/>
        </w:rPr>
        <w:t>vement 31 %, 47 % et 57 % des étudiants bénéficiant de bourses de l’UE. Parmi ces étudiants figurent de jeunes diplômés du deuxième cycle, ainsi que des responsables gouvernementaux plus âgés qui reprennent leurs études dans le cadre du programme sur le changement clim</w:t>
      </w:r>
      <w:r>
        <w:rPr>
          <w:lang w:val="fr"/>
        </w:rPr>
        <w:t>a</w:t>
      </w:r>
      <w:r>
        <w:rPr>
          <w:lang w:val="fr"/>
        </w:rPr>
        <w:t>tique.</w:t>
      </w:r>
      <w:r>
        <w:rPr>
          <w:b/>
          <w:bCs/>
          <w:lang w:val="fr"/>
        </w:rPr>
        <w:t xml:space="preserve"> </w:t>
      </w:r>
      <w:r>
        <w:rPr>
          <w:lang w:val="fr"/>
        </w:rPr>
        <w:t>De plus, 15 comités consultatifs nationaux de projet (CCNP) ont été créés dans les 15 pays du programme, qui ont contribué à la mise en œuvre de 26 plans communautaires d'adaptation sur 43. En soutien des plans locaux d'adaptation, les communautés locales ont été formées dans certains domaines techniques importants pour leurs plans d'adaptation re</w:t>
      </w:r>
      <w:r>
        <w:rPr>
          <w:lang w:val="fr"/>
        </w:rPr>
        <w:t>s</w:t>
      </w:r>
      <w:r>
        <w:rPr>
          <w:lang w:val="fr"/>
        </w:rPr>
        <w:t>pectifs. Aux îles Tuvalu, par exemple, trois sites pilotes situés dans des îles éloignées ont installé des réservoirs à eau de 10 500 litres chacun et ont formé plus de 35 personnes à la gestion de l'eau.</w:t>
      </w:r>
    </w:p>
    <w:p w:rsidR="008F3618" w:rsidRPr="00D1792C" w:rsidRDefault="00306821" w:rsidP="00306821">
      <w:pPr>
        <w:rPr>
          <w:lang w:val="fr-BE"/>
        </w:rPr>
      </w:pPr>
      <w:r>
        <w:rPr>
          <w:lang w:val="fr"/>
        </w:rPr>
        <w:t>L'une des modalités adoptées par le programme PEIP consiste à proposer une formation n</w:t>
      </w:r>
      <w:r>
        <w:rPr>
          <w:lang w:val="fr"/>
        </w:rPr>
        <w:t>a</w:t>
      </w:r>
      <w:r>
        <w:rPr>
          <w:lang w:val="fr"/>
        </w:rPr>
        <w:t>tionale, réalisée dans le pays, sur les pratiques de base de la gestion de projets. Parmi les thèmes abordés figurent la préparation de proposition, l'utilisation de la méthode du cadre logique ainsi que, dans le cadre d’une formation de suivi, la conception de projet, la défin</w:t>
      </w:r>
      <w:r>
        <w:rPr>
          <w:lang w:val="fr"/>
        </w:rPr>
        <w:t>i</w:t>
      </w:r>
      <w:r>
        <w:rPr>
          <w:lang w:val="fr"/>
        </w:rPr>
        <w:lastRenderedPageBreak/>
        <w:t>tion de budget, le contrôle et l'évaluation. Cette formation a été réalisée dans l'ensemble des neuf pays du programme. Elle a suscité des réactions très positives de la part des participants. À l’île de Niue, six mois après la formation, une évaluation d'impact a indiqué que, depuis la formation, 33 % des participants avaient utilisé la méthode du cadre logique pour préparer une proposition de projet. De plus, 25 % des participants ont obtenu le financement de leur proposition. Parmi les autres types de formations proposés et considérés comme utiles fig</w:t>
      </w:r>
      <w:r>
        <w:rPr>
          <w:lang w:val="fr"/>
        </w:rPr>
        <w:t>u</w:t>
      </w:r>
      <w:r>
        <w:rPr>
          <w:lang w:val="fr"/>
        </w:rPr>
        <w:t>rent les formations spéciales dans les secteurs de la santé et de l'agriculture, les échanges d'expériences entre pays (dans le domaine de l'érosion des côtes) et les formations en milieu professionnel, notamment dans le domaine de la gestion financière.</w:t>
      </w:r>
    </w:p>
    <w:p w:rsidR="008F3618" w:rsidRPr="00D1792C" w:rsidRDefault="00C473B2" w:rsidP="00AD1C0A">
      <w:pPr>
        <w:rPr>
          <w:lang w:val="fr-BE"/>
        </w:rPr>
      </w:pPr>
      <w:r>
        <w:rPr>
          <w:lang w:val="fr"/>
        </w:rPr>
        <w:t xml:space="preserve">Concernant </w:t>
      </w:r>
      <w:proofErr w:type="spellStart"/>
      <w:r>
        <w:rPr>
          <w:lang w:val="fr"/>
        </w:rPr>
        <w:t>ClimDev</w:t>
      </w:r>
      <w:proofErr w:type="spellEnd"/>
      <w:r>
        <w:rPr>
          <w:lang w:val="fr"/>
        </w:rPr>
        <w:t>, s'il n'y a pas de contrôle systématique des résultats obtenus par le pr</w:t>
      </w:r>
      <w:r>
        <w:rPr>
          <w:lang w:val="fr"/>
        </w:rPr>
        <w:t>o</w:t>
      </w:r>
      <w:r>
        <w:rPr>
          <w:lang w:val="fr"/>
        </w:rPr>
        <w:t>gramme dans le domaine du renforcement des capacités, le processus d'évaluation a néa</w:t>
      </w:r>
      <w:r>
        <w:rPr>
          <w:lang w:val="fr"/>
        </w:rPr>
        <w:t>n</w:t>
      </w:r>
      <w:r>
        <w:rPr>
          <w:lang w:val="fr"/>
        </w:rPr>
        <w:t>moins conclu que ClimDev contribuait à renforcer les capacités (africaines) sur l'élaboration de politiques, les analyses et les études relatives au changement climatique à plusieurs n</w:t>
      </w:r>
      <w:r>
        <w:rPr>
          <w:lang w:val="fr"/>
        </w:rPr>
        <w:t>i</w:t>
      </w:r>
      <w:r>
        <w:rPr>
          <w:lang w:val="fr"/>
        </w:rPr>
        <w:t>veaux et dans différents secteurs, grâce aux formations formelles et aux évènements de re</w:t>
      </w:r>
      <w:r>
        <w:rPr>
          <w:lang w:val="fr"/>
        </w:rPr>
        <w:t>n</w:t>
      </w:r>
      <w:r>
        <w:rPr>
          <w:lang w:val="fr"/>
        </w:rPr>
        <w:t>forcement des capacités, ainsi qu'aux formations en milieu professionnel (avec participation à des évènements et des ateliers). On peut citer notamment en exemple les ateliers de formation sur le financement de la lutte contre le changement climatique. D'importantes ressources ont été consacrées à la prestation d’aide technique à l'AGN dans le cadre de ClimDev. Le Centre africain pour la politique en matière de climat (CAPC) chargé de gérer les activités du projet manque de personnel et doit être renforcé ; il s'agit de la première mesure à prendre pour s'assurer qu'à l'avenir, les activités générales de renforcement des capacités du programme puissent être correctement exécutées et contrôlées.</w:t>
      </w:r>
    </w:p>
    <w:p w:rsidR="008F3618" w:rsidRPr="00D1792C" w:rsidRDefault="00736BC8" w:rsidP="00AD1C0A">
      <w:pPr>
        <w:rPr>
          <w:lang w:val="fr-BE"/>
        </w:rPr>
      </w:pPr>
      <w:r>
        <w:rPr>
          <w:lang w:val="fr"/>
        </w:rPr>
        <w:t>De même, concernant le programme COMESA, le renforcement des capacités aurait dû commencer en interne. Il faut un minimum de capacités techniques et administratives pour assurer la bonne exécution des activités de programmation. C'est le cas, petit à petit. La pri</w:t>
      </w:r>
      <w:r>
        <w:rPr>
          <w:lang w:val="fr"/>
        </w:rPr>
        <w:t>n</w:t>
      </w:r>
      <w:r>
        <w:rPr>
          <w:lang w:val="fr"/>
        </w:rPr>
        <w:t>cipale équipe de gestion du programme COMESA est passée de trois à 16 personnes. Les équipes de la CDAA et de la CAE sont finalement en place. Dans le cas de la CAE, cela n'a eu lieu qu’en janvier 2014. L'actuelle équipe du COMESA est considérée comme ayant du potentiel, mais est limitée par son manque d'expérience dans le domaine du changement cl</w:t>
      </w:r>
      <w:r>
        <w:rPr>
          <w:lang w:val="fr"/>
        </w:rPr>
        <w:t>i</w:t>
      </w:r>
      <w:r>
        <w:rPr>
          <w:lang w:val="fr"/>
        </w:rPr>
        <w:t>matique et dans la gestion d'un programme régional de cette nature. Au-delà des avantages obtenus à la suite de la transformation des CER, les capacités des institutions affiliées au pr</w:t>
      </w:r>
      <w:r>
        <w:rPr>
          <w:lang w:val="fr"/>
        </w:rPr>
        <w:t>o</w:t>
      </w:r>
      <w:r>
        <w:rPr>
          <w:lang w:val="fr"/>
        </w:rPr>
        <w:t>gramme COMESA ont été renforcées. On peut notamment citer en exemple l'Assemblée lég</w:t>
      </w:r>
      <w:r>
        <w:rPr>
          <w:lang w:val="fr"/>
        </w:rPr>
        <w:t>i</w:t>
      </w:r>
      <w:r>
        <w:rPr>
          <w:lang w:val="fr"/>
        </w:rPr>
        <w:t>slative de l'Afrique de l'Est (ALAE), qui a amélioré sa compréhension du changement clim</w:t>
      </w:r>
      <w:r>
        <w:rPr>
          <w:lang w:val="fr"/>
        </w:rPr>
        <w:t>a</w:t>
      </w:r>
      <w:r>
        <w:rPr>
          <w:lang w:val="fr"/>
        </w:rPr>
        <w:t>tique dans le cadre du Comité sur l'agriculture, les ressources naturelles et le tourisme. Le rôle des parlementaires dans la gestion du changement climatique au niveau régional a ainsi été renforcé. Une résolution de la CAE sur le changement climatique a été adoptée en 2013 et le processus d'élaboration de la politique de lutte contre le changement climatique de la CAE a été lancé en 2014.</w:t>
      </w:r>
    </w:p>
    <w:p w:rsidR="00C473B2" w:rsidRPr="00D1792C" w:rsidRDefault="00C473B2" w:rsidP="00AD1C0A">
      <w:pPr>
        <w:rPr>
          <w:lang w:val="fr-BE"/>
        </w:rPr>
      </w:pPr>
      <w:r>
        <w:rPr>
          <w:lang w:val="fr"/>
        </w:rPr>
        <w:t>Les capacités techniques et les connaissances de la pratique de l'AIC ont également été re</w:t>
      </w:r>
      <w:r>
        <w:rPr>
          <w:lang w:val="fr"/>
        </w:rPr>
        <w:t>n</w:t>
      </w:r>
      <w:r>
        <w:rPr>
          <w:lang w:val="fr"/>
        </w:rPr>
        <w:t xml:space="preserve">forcées dans la région grâce à des visites sur le terrain ainsi qu’au lancement et à la mise en œuvre d'activités dans les pays des projets </w:t>
      </w:r>
      <w:proofErr w:type="gramStart"/>
      <w:r>
        <w:rPr>
          <w:lang w:val="fr"/>
        </w:rPr>
        <w:t>pilotes</w:t>
      </w:r>
      <w:proofErr w:type="gramEnd"/>
      <w:r>
        <w:rPr>
          <w:lang w:val="fr"/>
        </w:rPr>
        <w:t xml:space="preserve"> d'AIC. Comme souligné précédemment, les conseillers techniques et les négociateurs africains ont désormais plus de capacités de nég</w:t>
      </w:r>
      <w:r>
        <w:rPr>
          <w:lang w:val="fr"/>
        </w:rPr>
        <w:t>o</w:t>
      </w:r>
      <w:r>
        <w:rPr>
          <w:lang w:val="fr"/>
        </w:rPr>
        <w:t>ciation, ces derniers étant désormais en mesure de négocier dans des domaines tels que l'agr</w:t>
      </w:r>
      <w:r>
        <w:rPr>
          <w:lang w:val="fr"/>
        </w:rPr>
        <w:t>i</w:t>
      </w:r>
      <w:r>
        <w:rPr>
          <w:lang w:val="fr"/>
        </w:rPr>
        <w:t xml:space="preserve">culture, le renforcement des capacités et le transfert de technologies dans le cadre de la </w:t>
      </w:r>
      <w:r>
        <w:rPr>
          <w:lang w:val="fr"/>
        </w:rPr>
        <w:lastRenderedPageBreak/>
        <w:t>CCNUCC. De même, les initiatives visant à élaborer des politiques nationales de lutte contre le changement climatique, des stratégies de riposte et des plans d'action renforcent les capac</w:t>
      </w:r>
      <w:r>
        <w:rPr>
          <w:lang w:val="fr"/>
        </w:rPr>
        <w:t>i</w:t>
      </w:r>
      <w:r>
        <w:rPr>
          <w:lang w:val="fr"/>
        </w:rPr>
        <w:t>tés et constituent une référence, sous la forme de politiques et de stratégies qui peuvent guider les activités ultérieures.</w:t>
      </w:r>
    </w:p>
    <w:p w:rsidR="008F3618" w:rsidRPr="00D1792C" w:rsidRDefault="00C473B2" w:rsidP="00A20F88">
      <w:pPr>
        <w:rPr>
          <w:lang w:val="fr-BE"/>
        </w:rPr>
      </w:pPr>
      <w:r>
        <w:rPr>
          <w:lang w:val="fr"/>
        </w:rPr>
        <w:t>Enfin, concernant le programme CCCCC, l'accent a été mis sur la formation technique. Des ateliers régionaux de modélisation du climat ont été organisés en août 2012 et janvier 2013 pour les pays de l'ouest et du nord des Caraïbes. Au total, 31 personnes ont été formées. Le Groupe d'études climatiques (GrEC) de l'université des Indes occidentales (UIO) de J</w:t>
      </w:r>
      <w:r>
        <w:rPr>
          <w:lang w:val="fr"/>
        </w:rPr>
        <w:t>a</w:t>
      </w:r>
      <w:r>
        <w:rPr>
          <w:lang w:val="fr"/>
        </w:rPr>
        <w:t>maïque, ainsi que l'Institut de météorologie (INSMET) de Cuba, l'Institut caribéen pour la météorologie et l'hydrologie, et l'Agence américaine d'observation océanique et atmosph</w:t>
      </w:r>
      <w:r>
        <w:rPr>
          <w:lang w:val="fr"/>
        </w:rPr>
        <w:t>é</w:t>
      </w:r>
      <w:r>
        <w:rPr>
          <w:lang w:val="fr"/>
        </w:rPr>
        <w:t>rique (NOAA), ont été d'importants partenaires dans le cadre des activités de renforcement des capacités. Le GrEC et l'INSMET ont noué un partenariat avec le CCCCC pour la mise à l'échelle inférieure de modèles climatiques et le développement de scénarios relatifs au climat qui permettent de réaliser des évaluations d'impact et de vulnérabilité. Le GrEC et l'INSMET ont également participé à la planification et la préparation de l'atelier de formation sur l'util</w:t>
      </w:r>
      <w:r>
        <w:rPr>
          <w:lang w:val="fr"/>
        </w:rPr>
        <w:t>i</w:t>
      </w:r>
      <w:r>
        <w:rPr>
          <w:lang w:val="fr"/>
        </w:rPr>
        <w:t>sation de modèles spécifiques à certains secteurs (agriculture et eau) pour une évaluation de l'impact de l'adaptation au changement climatique. La NOAA a coopéré avec le programme CCCCC en vue d’étendre et de renforcer le réseau de surveillance des récifs coralliens dans les Caraïbes. Dans le cadre de cette activité, cinq stations pour systèmes d'alerte précoce pour les récifs coralliens (CREWS) ont été prévues et seront installées dans cinq pays du pr</w:t>
      </w:r>
      <w:r>
        <w:rPr>
          <w:lang w:val="fr"/>
        </w:rPr>
        <w:t>o</w:t>
      </w:r>
      <w:r>
        <w:rPr>
          <w:lang w:val="fr"/>
        </w:rPr>
        <w:t>gramme. Comme mentionné précédemment, le CCCCC a joué un rôle important dans la cré</w:t>
      </w:r>
      <w:r>
        <w:rPr>
          <w:lang w:val="fr"/>
        </w:rPr>
        <w:t>a</w:t>
      </w:r>
      <w:r>
        <w:rPr>
          <w:lang w:val="fr"/>
        </w:rPr>
        <w:t>tion du nouveau Bureau sur le changement climatique de Belize et de la division Changement climatique en Jamaïque. À Belize, le CCCCC a envoyé un membre de son personnel au B</w:t>
      </w:r>
      <w:r>
        <w:rPr>
          <w:lang w:val="fr"/>
        </w:rPr>
        <w:t>u</w:t>
      </w:r>
      <w:r>
        <w:rPr>
          <w:lang w:val="fr"/>
        </w:rPr>
        <w:t>reau sur le changement climatique et continue de lui verser son salaire. En Jamaïque, la div</w:t>
      </w:r>
      <w:r>
        <w:rPr>
          <w:lang w:val="fr"/>
        </w:rPr>
        <w:t>i</w:t>
      </w:r>
      <w:r>
        <w:rPr>
          <w:lang w:val="fr"/>
        </w:rPr>
        <w:t>sion Changement climatique considère que le Programme intra-ACP de l'AMCC lui a permis de devenir active durant ses premières années.</w:t>
      </w:r>
    </w:p>
    <w:p w:rsidR="008F3618" w:rsidRPr="00D1792C" w:rsidRDefault="00DB3AFA" w:rsidP="002C1124">
      <w:pPr>
        <w:rPr>
          <w:lang w:val="fr-BE"/>
        </w:rPr>
      </w:pPr>
      <w:r>
        <w:rPr>
          <w:lang w:val="fr"/>
        </w:rPr>
        <w:t>Concernant le renforcement des capacités, le Programme intra-ACP dispose d'un outil impo</w:t>
      </w:r>
      <w:r>
        <w:rPr>
          <w:lang w:val="fr"/>
        </w:rPr>
        <w:t>r</w:t>
      </w:r>
      <w:r>
        <w:rPr>
          <w:lang w:val="fr"/>
        </w:rPr>
        <w:t>tant : la facilité climatique (CSF). Bien que ce service ait été utilisé de manière efficace à plusieurs reprises, notamment en Afrique de l'Ouest, en règle générale, il n'a pas permis de renforcer les capacités comme il aurait pu le faire. Comme indiqué plus haut, de nombreuses activités de renforcement des capacités ont eu lieu, mais sans l'aide de la CSF. L'assistant technique pour les États ACP, qui gère les commandes de la CSF, a discuté avec les respo</w:t>
      </w:r>
      <w:r>
        <w:rPr>
          <w:lang w:val="fr"/>
        </w:rPr>
        <w:t>n</w:t>
      </w:r>
      <w:r>
        <w:rPr>
          <w:lang w:val="fr"/>
        </w:rPr>
        <w:t>sables de la mise en œuvre des programmes régionaux pour trouver des moyens d'utiliser davantage le service.</w:t>
      </w:r>
    </w:p>
    <w:p w:rsidR="008F3618" w:rsidRPr="00D1792C" w:rsidRDefault="00C473B2" w:rsidP="00AD1C0A">
      <w:pPr>
        <w:rPr>
          <w:lang w:val="fr-BE"/>
        </w:rPr>
      </w:pPr>
      <w:r>
        <w:rPr>
          <w:lang w:val="fr"/>
        </w:rPr>
        <w:t>Globalement, de grands efforts ont été faits pour améliorer les capacités pertinentes des pays ACP et commencer à renforcer les capacités au niveau régional. La note de B (bien) a été attribuée et trois programmes ont reçu la note de A (très bien).</w:t>
      </w:r>
    </w:p>
    <w:p w:rsidR="00D036B2" w:rsidRPr="00D1792C" w:rsidRDefault="00D036B2" w:rsidP="00AD1C0A">
      <w:pPr>
        <w:pStyle w:val="Heading2"/>
        <w:numPr>
          <w:ilvl w:val="1"/>
          <w:numId w:val="9"/>
        </w:numPr>
        <w:rPr>
          <w:lang w:val="fr-BE"/>
        </w:rPr>
      </w:pPr>
      <w:bookmarkStart w:id="37" w:name="_Toc392064218"/>
      <w:bookmarkStart w:id="38" w:name="_Toc406494025"/>
      <w:r>
        <w:rPr>
          <w:bCs/>
          <w:lang w:val="fr"/>
        </w:rPr>
        <w:t>Efficience (gestion saine et optimisation des ressources)</w:t>
      </w:r>
      <w:bookmarkEnd w:id="37"/>
      <w:bookmarkEnd w:id="38"/>
    </w:p>
    <w:p w:rsidR="00D036B2" w:rsidRPr="00D1792C" w:rsidRDefault="006C6102" w:rsidP="00AD1C0A">
      <w:pPr>
        <w:ind w:left="709" w:hanging="709"/>
        <w:rPr>
          <w:b/>
          <w:i/>
          <w:lang w:val="fr-BE"/>
        </w:rPr>
      </w:pPr>
      <w:r>
        <w:rPr>
          <w:b/>
          <w:bCs/>
          <w:i/>
          <w:iCs/>
          <w:lang w:val="fr"/>
        </w:rPr>
        <w:t>QE6.</w:t>
      </w:r>
      <w:r>
        <w:rPr>
          <w:lang w:val="fr"/>
        </w:rPr>
        <w:tab/>
      </w:r>
      <w:r>
        <w:rPr>
          <w:b/>
          <w:bCs/>
          <w:i/>
          <w:iCs/>
          <w:lang w:val="fr"/>
        </w:rPr>
        <w:t>Dans quelle mesure les montages institutionnels et les modalités de mise en œuvre pour la gestion des interventions sont-ils appropriés (c’est-à-dire fondés sur des év</w:t>
      </w:r>
      <w:r>
        <w:rPr>
          <w:b/>
          <w:bCs/>
          <w:i/>
          <w:iCs/>
          <w:lang w:val="fr"/>
        </w:rPr>
        <w:t>a</w:t>
      </w:r>
      <w:r>
        <w:rPr>
          <w:b/>
          <w:bCs/>
          <w:i/>
          <w:iCs/>
          <w:lang w:val="fr"/>
        </w:rPr>
        <w:t>luations réalistes du contexte et guidés par des principes relatifs à l'efficacité de l'aide) et fonctionnels ?</w:t>
      </w:r>
    </w:p>
    <w:p w:rsidR="008F3618" w:rsidRPr="00D1792C" w:rsidRDefault="00C1556C" w:rsidP="00AD1C0A">
      <w:pPr>
        <w:rPr>
          <w:lang w:val="fr-BE"/>
        </w:rPr>
      </w:pPr>
      <w:r>
        <w:rPr>
          <w:lang w:val="fr"/>
        </w:rPr>
        <w:lastRenderedPageBreak/>
        <w:t>Comme on peut le voir clairement avec le Programme intra-ACP, l'efficience et la non-efficience peuvent être évaluées de multiples façons. Concernant ce programme, l'un des fa</w:t>
      </w:r>
      <w:r>
        <w:rPr>
          <w:lang w:val="fr"/>
        </w:rPr>
        <w:t>c</w:t>
      </w:r>
      <w:r>
        <w:rPr>
          <w:lang w:val="fr"/>
        </w:rPr>
        <w:t>teurs clés en termes d'efficience consiste à s'appuyer sur les structures, relations et institutions compétentes qui existent déjà pour lancer les activités du programme.</w:t>
      </w:r>
    </w:p>
    <w:p w:rsidR="008F3618" w:rsidRPr="00D1792C" w:rsidRDefault="00C1556C" w:rsidP="00AD1C0A">
      <w:pPr>
        <w:rPr>
          <w:lang w:val="fr-BE"/>
        </w:rPr>
      </w:pPr>
      <w:r>
        <w:rPr>
          <w:lang w:val="fr"/>
        </w:rPr>
        <w:t>La présence d'un coordinateur du programme CILSS/Agrhymet au sein du secrétariat exécutif du CILSS et d'un coordinateur scientifique à l’Agrhymet a contribué à établir un lien satisfa</w:t>
      </w:r>
      <w:r>
        <w:rPr>
          <w:lang w:val="fr"/>
        </w:rPr>
        <w:t>i</w:t>
      </w:r>
      <w:r>
        <w:rPr>
          <w:lang w:val="fr"/>
        </w:rPr>
        <w:t>sant entre les politiques et stratégies du CILSS et les activités mises en œuvre par le pr</w:t>
      </w:r>
      <w:r>
        <w:rPr>
          <w:lang w:val="fr"/>
        </w:rPr>
        <w:t>o</w:t>
      </w:r>
      <w:r>
        <w:rPr>
          <w:lang w:val="fr"/>
        </w:rPr>
        <w:t>gramme, malgré la distance géographique entre Ouagadougou, au Burkina Faso (le siège p</w:t>
      </w:r>
      <w:r>
        <w:rPr>
          <w:lang w:val="fr"/>
        </w:rPr>
        <w:t>o</w:t>
      </w:r>
      <w:r>
        <w:rPr>
          <w:lang w:val="fr"/>
        </w:rPr>
        <w:t>litique du CILSS) et Niamey, au Niger (le siège de l'Agrhymet). Le comité directeur du pr</w:t>
      </w:r>
      <w:r>
        <w:rPr>
          <w:lang w:val="fr"/>
        </w:rPr>
        <w:t>o</w:t>
      </w:r>
      <w:r>
        <w:rPr>
          <w:lang w:val="fr"/>
        </w:rPr>
        <w:t>gramme CILSS/Agrhymet se réunit tous les ans pour définir les orientations stratégiques et surveiller les progrès réalisés. Compte tenu de l'expérience passée et de la réputation du CILSS et de l'Agrhymet, les deux institutions ont pu mettre à profit leurs capacités et les rel</w:t>
      </w:r>
      <w:r>
        <w:rPr>
          <w:lang w:val="fr"/>
        </w:rPr>
        <w:t>a</w:t>
      </w:r>
      <w:r>
        <w:rPr>
          <w:lang w:val="fr"/>
        </w:rPr>
        <w:t>tions qu'elles ont établies en Afrique de l'Ouest de façon efficiente. L’Agrhymet est très co</w:t>
      </w:r>
      <w:r>
        <w:rPr>
          <w:lang w:val="fr"/>
        </w:rPr>
        <w:t>n</w:t>
      </w:r>
      <w:r>
        <w:rPr>
          <w:lang w:val="fr"/>
        </w:rPr>
        <w:t>nu et jouit d'une solide réputation scientifique. Cependant, sur le plan de l'efficience, le choix de l'Agrhymet a comporté certaines limites. Ce choix a impliqué que le programme CILSS/Agrhymet soit davantage tourné vers les recherches, les expériences technologiques, la création d'un modèle ou la cartographie. Il n'a pas été facile de mettre naturellement l'a</w:t>
      </w:r>
      <w:r>
        <w:rPr>
          <w:lang w:val="fr"/>
        </w:rPr>
        <w:t>c</w:t>
      </w:r>
      <w:r>
        <w:rPr>
          <w:lang w:val="fr"/>
        </w:rPr>
        <w:t>cent sur les utilisateurs finaux des populations les plus vulnérables au changement climatique. La question de savoir comment les informations utiles pouvaient être diffusées en bonne et due forme aux bénéficiaires du programme n'a pas encore été suffisamment traitée.</w:t>
      </w:r>
    </w:p>
    <w:p w:rsidR="008F3618" w:rsidRPr="00D1792C" w:rsidRDefault="00040F3B" w:rsidP="00C03180">
      <w:pPr>
        <w:rPr>
          <w:lang w:val="fr-BE"/>
        </w:rPr>
      </w:pPr>
      <w:r>
        <w:rPr>
          <w:lang w:val="fr"/>
        </w:rPr>
        <w:t>Comme pour d'autres programmes, le lancement du programme CCCCC a été retardé. En effet, cela a pris au moins six mois pour que les pays adhèrent officiellement au programme. Un pays, à savoir les Bahamas, n'a pas encore ratifié l'accord. La Jamaïque a reconnu sa re</w:t>
      </w:r>
      <w:r>
        <w:rPr>
          <w:lang w:val="fr"/>
        </w:rPr>
        <w:t>s</w:t>
      </w:r>
      <w:r>
        <w:rPr>
          <w:lang w:val="fr"/>
        </w:rPr>
        <w:t>ponsabilité dans ce retard, le Programme intra-ACP s'étant perdu au milieu d'autres priorités. Malgré cela, le CCCCC continue de croire que tous les objectifs seront atteints, même si ce</w:t>
      </w:r>
      <w:r>
        <w:rPr>
          <w:lang w:val="fr"/>
        </w:rPr>
        <w:t>r</w:t>
      </w:r>
      <w:r>
        <w:rPr>
          <w:lang w:val="fr"/>
        </w:rPr>
        <w:t>taines activités devront être prolongées. Le programme CCCCC profite des relations qui ont été nouées dans les Caraïbes avec des institutions telles que l'UWI et, au niveau international, la NOAA.</w:t>
      </w:r>
    </w:p>
    <w:p w:rsidR="008F3618" w:rsidRPr="00D1792C" w:rsidRDefault="004E2C13" w:rsidP="00AD1C0A">
      <w:pPr>
        <w:rPr>
          <w:lang w:val="fr-BE"/>
        </w:rPr>
      </w:pPr>
      <w:r>
        <w:rPr>
          <w:lang w:val="fr"/>
        </w:rPr>
        <w:t>Il a été également ralenti par des demandes d'approvisionnement qui ont nécessité beaucoup de patience et de persévérance, le temps de trouver des fournisseurs européens d'équipement technique. En gérant d'autres aspects complexes des procédures de passation de marchés de l'UE, le CCCCC est parvenu à rendre les choses moins difficiles. En République domin</w:t>
      </w:r>
      <w:r>
        <w:rPr>
          <w:lang w:val="fr"/>
        </w:rPr>
        <w:t>i</w:t>
      </w:r>
      <w:r>
        <w:rPr>
          <w:lang w:val="fr"/>
        </w:rPr>
        <w:t>caine, par exemple, deux demandes de propositions, qui présentaient un important cheva</w:t>
      </w:r>
      <w:r>
        <w:rPr>
          <w:lang w:val="fr"/>
        </w:rPr>
        <w:t>u</w:t>
      </w:r>
      <w:r>
        <w:rPr>
          <w:lang w:val="fr"/>
        </w:rPr>
        <w:t>chement de leur contenu, ont été réunies. Une évaluation de la vulnérabilité et des capacités (EVC) et la préparation d'évaluations de l'impact spécifiques à certains secteurs, en vue d'él</w:t>
      </w:r>
      <w:r>
        <w:rPr>
          <w:lang w:val="fr"/>
        </w:rPr>
        <w:t>a</w:t>
      </w:r>
      <w:r>
        <w:rPr>
          <w:lang w:val="fr"/>
        </w:rPr>
        <w:t>borer des stratégies et plans d'action nationaux aux fins de l'adaptation (SPANA), ont été ré</w:t>
      </w:r>
      <w:r>
        <w:rPr>
          <w:lang w:val="fr"/>
        </w:rPr>
        <w:t>a</w:t>
      </w:r>
      <w:r>
        <w:rPr>
          <w:lang w:val="fr"/>
        </w:rPr>
        <w:t>lisées de concert pour le même montant, mais cela a facilité les choses car les études portaient en partie sur les mêmes aspects. Ainsi, la société de conseil et le CCCCC ont été efficaces en termes de coûts et de temps. L'évaluation a également souligné le fait que l'UE devait faire appel à un ou plusieurs consultants pour aider à concevoir le programme pour les Caraïbes. Au final, il est apparu que l'UE ne serait pas en mesure de le faire et le CCCCC a donc rap</w:t>
      </w:r>
      <w:r>
        <w:rPr>
          <w:lang w:val="fr"/>
        </w:rPr>
        <w:t>i</w:t>
      </w:r>
      <w:r>
        <w:rPr>
          <w:lang w:val="fr"/>
        </w:rPr>
        <w:t>dement effectué cette tâche lui-même pour rattraper le temps perdu.</w:t>
      </w:r>
    </w:p>
    <w:p w:rsidR="008F3618" w:rsidRPr="00D1792C" w:rsidRDefault="00C1556C" w:rsidP="00AD1C0A">
      <w:pPr>
        <w:rPr>
          <w:lang w:val="fr-BE"/>
        </w:rPr>
      </w:pPr>
      <w:r>
        <w:rPr>
          <w:lang w:val="fr"/>
        </w:rPr>
        <w:t>Au lancement du programme ClimDev, les parties prenantes ont convenu, de manière pert</w:t>
      </w:r>
      <w:r>
        <w:rPr>
          <w:lang w:val="fr"/>
        </w:rPr>
        <w:t>i</w:t>
      </w:r>
      <w:r>
        <w:rPr>
          <w:lang w:val="fr"/>
        </w:rPr>
        <w:t xml:space="preserve">nente, que le programme devait être une initiative africaine. Parmi les principaux partenaires </w:t>
      </w:r>
      <w:r>
        <w:rPr>
          <w:lang w:val="fr"/>
        </w:rPr>
        <w:lastRenderedPageBreak/>
        <w:t>africains figurent la Commission de l'Union africaine, la CEA-NU et la Banque africaine de développement (BAD) tandis que l'Institut international de recherche pour le climat et la s</w:t>
      </w:r>
      <w:r>
        <w:rPr>
          <w:lang w:val="fr"/>
        </w:rPr>
        <w:t>o</w:t>
      </w:r>
      <w:r>
        <w:rPr>
          <w:lang w:val="fr"/>
        </w:rPr>
        <w:t>ciété (IRI) est une ONG partenaire clé. L'une des grandes faiblesses de cette équipe de part</w:t>
      </w:r>
      <w:r>
        <w:rPr>
          <w:lang w:val="fr"/>
        </w:rPr>
        <w:t>e</w:t>
      </w:r>
      <w:r>
        <w:rPr>
          <w:lang w:val="fr"/>
        </w:rPr>
        <w:t>naires réside dans sa capacité limitée à recruter et à conserver du personnel dans le cadre du programme. De même, la faiblesse des taux de décaissement et d'exécution demeure un pr</w:t>
      </w:r>
      <w:r>
        <w:rPr>
          <w:lang w:val="fr"/>
        </w:rPr>
        <w:t>o</w:t>
      </w:r>
      <w:r>
        <w:rPr>
          <w:lang w:val="fr"/>
        </w:rPr>
        <w:t>blème. Comme pour le programme COMESA, ce processus d'évaluation n'a pas laissé suff</w:t>
      </w:r>
      <w:r>
        <w:rPr>
          <w:lang w:val="fr"/>
        </w:rPr>
        <w:t>i</w:t>
      </w:r>
      <w:r>
        <w:rPr>
          <w:lang w:val="fr"/>
        </w:rPr>
        <w:t>samment de temps pour comprendre et analyser toute la complexité de l'initiative ClimDev. Il n'est notamment pas parvenu à obtenir une bonne vue d'ensemble des activités du CAPC v</w:t>
      </w:r>
      <w:r>
        <w:rPr>
          <w:lang w:val="fr"/>
        </w:rPr>
        <w:t>i</w:t>
      </w:r>
      <w:r>
        <w:rPr>
          <w:lang w:val="fr"/>
        </w:rPr>
        <w:t>sant à gérer de nombreux projets qui doivent être financés. Il aurait également fallu mieux saisir les efforts déployés par la BAD pour soutenir la préparation des plans d'investissement correspondants, qui devaient accompagner le programme ClimDev. Un fonds de lutte contre le changement climatique, le fonds spécial ClimDev-Afrique (FSCD), devait être créé, son financement devant être assuré par des bailleurs de fonds pour un montant de 30 millions de dollars américains. Depuis 2012, les partenaires de ClimDev ont encouragé leurs équipes techniques à dialoguer avec les bailleurs de fonds pour obtenir le montant légal minimal en fonds propres de 30 milliards de dollars et permettre ainsi au FSCD de devenir opérationnel. Toutefois, à ce jour, cet objectif n'a pas été réalisé. Il s'agit d'une grande lacune du pr</w:t>
      </w:r>
      <w:r>
        <w:rPr>
          <w:lang w:val="fr"/>
        </w:rPr>
        <w:t>o</w:t>
      </w:r>
      <w:r>
        <w:rPr>
          <w:lang w:val="fr"/>
        </w:rPr>
        <w:t>gramme.</w:t>
      </w:r>
    </w:p>
    <w:p w:rsidR="008F3618" w:rsidRPr="00D1792C" w:rsidRDefault="00C1556C" w:rsidP="00AD1C0A">
      <w:pPr>
        <w:rPr>
          <w:lang w:val="fr-BE"/>
        </w:rPr>
      </w:pPr>
      <w:r>
        <w:rPr>
          <w:lang w:val="fr"/>
        </w:rPr>
        <w:t>Concernant le programme COMESA, on peut imaginer un scénario où des ressources fina</w:t>
      </w:r>
      <w:r>
        <w:rPr>
          <w:lang w:val="fr"/>
        </w:rPr>
        <w:t>n</w:t>
      </w:r>
      <w:r>
        <w:rPr>
          <w:lang w:val="fr"/>
        </w:rPr>
        <w:t>cières moins élevées et dépensées de façon plus stratégique donneraient lieu à un programme plus efficace. À l'été 2013, seuls 7 % de la contribution budgétaire de l'UE avaient été dépe</w:t>
      </w:r>
      <w:r>
        <w:rPr>
          <w:lang w:val="fr"/>
        </w:rPr>
        <w:t>n</w:t>
      </w:r>
      <w:r>
        <w:rPr>
          <w:lang w:val="fr"/>
        </w:rPr>
        <w:t>sés. Le COMESA reconnaît que les dépenses ont été effectuées lentement et qu'une demande de délai supplémentaire budgétairement neutre sera nécessaire. Toutefois, les dépenses ont atteint 40 % du budget entre l’été 2013 et le début de l'année 2014. Selon le COMESA, il semble que le programme ait été trop ambitieux, mais la situation évolue depuis que l'équipe et les capacités d'absorption ont été renforcées. Une mission ROM s’est achevée en 2013 et des rapports du ministère britannique du Développement international (DFID), l'un des bai</w:t>
      </w:r>
      <w:r>
        <w:rPr>
          <w:lang w:val="fr"/>
        </w:rPr>
        <w:t>l</w:t>
      </w:r>
      <w:r>
        <w:rPr>
          <w:lang w:val="fr"/>
        </w:rPr>
        <w:t>leurs de fonds du programme, qui critiquaient vivement le programme COMESA, ont été diffusés peu après. Les défis auxquels le programme fait face sont ouvertement débattus. S'il s'améliore, le style de gestion du COMESA pose problème étant donné son caractère trop lent, arbitraire et parfois autoritaire. Les préoccupations au sujet de la gestion du COMESA ont incité le DFID à reprendre le contrôle du financement DFID de l'objectif n° 5 sur la mise en œuvre des évaluations et analyses de la vulnérabilité au climat et de l'objectif n°7 sur l'o</w:t>
      </w:r>
      <w:r>
        <w:rPr>
          <w:lang w:val="fr"/>
        </w:rPr>
        <w:t>u</w:t>
      </w:r>
      <w:r>
        <w:rPr>
          <w:lang w:val="fr"/>
        </w:rPr>
        <w:t>til des résultats pour développer les activités d’AIC à plus grande échelle.</w:t>
      </w:r>
    </w:p>
    <w:p w:rsidR="00C1556C" w:rsidRPr="00D1792C" w:rsidRDefault="00C1556C" w:rsidP="00AD1C0A">
      <w:pPr>
        <w:rPr>
          <w:lang w:val="fr-BE"/>
        </w:rPr>
      </w:pPr>
      <w:r>
        <w:rPr>
          <w:lang w:val="fr"/>
        </w:rPr>
        <w:t>Une répartition plus claire des responsabilités entre les trois CER, qui serait reflétée dans un cadre révisé, permettrait de créer une structure de gestion plus efficace. Il y a actuellement trop de chevauchement entre les trois CER et la coordination peut poser problème. De simples demandes d'aide peuvent passer à travers les mailles du filet, comme l'a expérimenté le Mozambique quand il a tenté de demander de l'aide. Des activités peuvent être organisées dans une région sans que toutes les parties concernées en aient été suffisamment informées. Durant la période où la CAE et la CDAA ont connu des problèmes de personnel, leurs re</w:t>
      </w:r>
      <w:r>
        <w:rPr>
          <w:lang w:val="fr"/>
        </w:rPr>
        <w:t>s</w:t>
      </w:r>
      <w:r>
        <w:rPr>
          <w:lang w:val="fr"/>
        </w:rPr>
        <w:t>sources financières ont été suspendues. La CDAA et la CAE comprennent que le COMESA et les donateurs veuillent s'assurer que les fonds vont aux meilleures structures techniques et administratives possible, mais certains considèrent qu'une approche plus flexible de la situ</w:t>
      </w:r>
      <w:r>
        <w:rPr>
          <w:lang w:val="fr"/>
        </w:rPr>
        <w:t>a</w:t>
      </w:r>
      <w:r>
        <w:rPr>
          <w:lang w:val="fr"/>
        </w:rPr>
        <w:t xml:space="preserve">tion aurait peut-être été plus efficace, notamment en ce qui concerne les besoins opérationnels </w:t>
      </w:r>
      <w:r>
        <w:rPr>
          <w:lang w:val="fr"/>
        </w:rPr>
        <w:lastRenderedPageBreak/>
        <w:t>des deux organisations. Chaque organisation dispose de ses propres procédures administr</w:t>
      </w:r>
      <w:r>
        <w:rPr>
          <w:lang w:val="fr"/>
        </w:rPr>
        <w:t>a</w:t>
      </w:r>
      <w:r>
        <w:rPr>
          <w:lang w:val="fr"/>
        </w:rPr>
        <w:t>tives, qui doivent être respectées et peuvent ralentir les choses.</w:t>
      </w:r>
    </w:p>
    <w:p w:rsidR="008F3618" w:rsidRPr="00D1792C" w:rsidRDefault="00206A7F" w:rsidP="00AD1C0A">
      <w:pPr>
        <w:rPr>
          <w:lang w:val="fr-BE"/>
        </w:rPr>
      </w:pPr>
      <w:r>
        <w:rPr>
          <w:lang w:val="fr"/>
        </w:rPr>
        <w:t xml:space="preserve">La situation concernant </w:t>
      </w:r>
      <w:proofErr w:type="spellStart"/>
      <w:r>
        <w:rPr>
          <w:lang w:val="fr"/>
        </w:rPr>
        <w:t>ClimDev</w:t>
      </w:r>
      <w:proofErr w:type="spellEnd"/>
      <w:r>
        <w:rPr>
          <w:lang w:val="fr"/>
        </w:rPr>
        <w:t xml:space="preserve"> et le programme COMESA souligne le rôle, ou plutôt l'a</w:t>
      </w:r>
      <w:r>
        <w:rPr>
          <w:lang w:val="fr"/>
        </w:rPr>
        <w:t>b</w:t>
      </w:r>
      <w:r>
        <w:rPr>
          <w:lang w:val="fr"/>
        </w:rPr>
        <w:t>sence de rôle, de la CSF. Son soutien a été largement absent des deux programmes, tandis que le programme CILSS/Agrhymet, bien plus réussi, a beaucoup utilisé le service sans qu’il lui en coûte. La CSF propose une aide technique sur mesure à court terme et des formations aux États membres ACP. Elle consiste en une équipe d'experts dans de nombreux domaines relatifs au changement climatique. Les experts sont sollicités en passant par un système sur demande. Leur expertise peut servir à des fins de formation, pour des ateliers, des activités de renforcement des capacités, l'identification / l'élaboration de projets, des études de faisabilité ou encore l'évaluation de projets, et aide à accéder à des financements et à préparer des pol</w:t>
      </w:r>
      <w:r>
        <w:rPr>
          <w:lang w:val="fr"/>
        </w:rPr>
        <w:t>i</w:t>
      </w:r>
      <w:r>
        <w:rPr>
          <w:lang w:val="fr"/>
        </w:rPr>
        <w:t>tiques, des stratégies et des feuilles de route.</w:t>
      </w:r>
    </w:p>
    <w:p w:rsidR="008F3618" w:rsidRPr="00D1792C" w:rsidRDefault="00C1556C" w:rsidP="00AD1C0A">
      <w:pPr>
        <w:rPr>
          <w:lang w:val="fr-BE"/>
        </w:rPr>
      </w:pPr>
      <w:r>
        <w:rPr>
          <w:lang w:val="fr"/>
        </w:rPr>
        <w:t>La surveillance des programmes COMESA et ClimDev par l'UE pose problème. Concernant le programme COMESA, la délégation de l'UE auprès de la Zambie supervise le programme, qui est mis en œuvre dans 26 pays. Pendant la durée du programme, la délégation a connu plusieurs changements de personnel dans le bureau de l’UE en Zambie. Le chargé de projet actuel de l'UE a une certaine expérience de la gestion de projets européens relatifs au cha</w:t>
      </w:r>
      <w:r>
        <w:rPr>
          <w:lang w:val="fr"/>
        </w:rPr>
        <w:t>n</w:t>
      </w:r>
      <w:r>
        <w:rPr>
          <w:lang w:val="fr"/>
        </w:rPr>
        <w:t>gement climatique, mais ce n'est pas son premier domaine d'expertise. Les activités d’AIC du programme COMESA sont menées depuis Lusaka, mais des représentants de l'UE auprès de la CDAA et de la CAE pourraient également superviser les activités dans leurs régions re</w:t>
      </w:r>
      <w:r>
        <w:rPr>
          <w:lang w:val="fr"/>
        </w:rPr>
        <w:t>s</w:t>
      </w:r>
      <w:r>
        <w:rPr>
          <w:lang w:val="fr"/>
        </w:rPr>
        <w:t>pectives. La mission d’évaluation s'est demandé si le personnel de l'UE des délégations de Gaborone et d'Arusha ne pourrait pas participer au programme d’AIC de manière plus active. Un observateur de programme externe pourrait coopérer avec les groupes de contact S&amp;E du COMESA, de la CDAA et de la CAE, tandis que l'UE continuerait de superviser le pr</w:t>
      </w:r>
      <w:r>
        <w:rPr>
          <w:lang w:val="fr"/>
        </w:rPr>
        <w:t>o</w:t>
      </w:r>
      <w:r>
        <w:rPr>
          <w:lang w:val="fr"/>
        </w:rPr>
        <w:t>gramme dans son ensemble.</w:t>
      </w:r>
    </w:p>
    <w:p w:rsidR="008F3618" w:rsidRPr="00D1792C" w:rsidRDefault="00C1556C" w:rsidP="00AD1C0A">
      <w:pPr>
        <w:rPr>
          <w:lang w:val="fr-BE"/>
        </w:rPr>
      </w:pPr>
      <w:r>
        <w:rPr>
          <w:lang w:val="fr"/>
        </w:rPr>
        <w:t>Il semble que des efforts doivent être accomplis pour obtenir des fonds supplémentaires pour la lutte contre le changement climatique, et renforcer ainsi l'impact du programme COMESA. Cependant, l'Afrique a toujours joué un rôle marginal sur les marchés du carbone et le pr</w:t>
      </w:r>
      <w:r>
        <w:rPr>
          <w:lang w:val="fr"/>
        </w:rPr>
        <w:t>o</w:t>
      </w:r>
      <w:r>
        <w:rPr>
          <w:lang w:val="fr"/>
        </w:rPr>
        <w:t>gramme, qui met l'accent sur l'agriculture à petite échelle, ne permet guère d'attirer les fina</w:t>
      </w:r>
      <w:r>
        <w:rPr>
          <w:lang w:val="fr"/>
        </w:rPr>
        <w:t>n</w:t>
      </w:r>
      <w:r>
        <w:rPr>
          <w:lang w:val="fr"/>
        </w:rPr>
        <w:t>cements. Par ailleurs, des fonds sont disponibles pour des projets d'adaptation bien conçus, qui pourraient porter sur les secteurs de l'agriculture, de l'eau, de la sylviculture ou de l'affe</w:t>
      </w:r>
      <w:r>
        <w:rPr>
          <w:lang w:val="fr"/>
        </w:rPr>
        <w:t>c</w:t>
      </w:r>
      <w:r>
        <w:rPr>
          <w:lang w:val="fr"/>
        </w:rPr>
        <w:t>tation des terres, voire une combinaison de ces secteurs.</w:t>
      </w:r>
    </w:p>
    <w:p w:rsidR="008F3618" w:rsidRPr="00D1792C" w:rsidRDefault="00C03180" w:rsidP="00C03180">
      <w:pPr>
        <w:rPr>
          <w:lang w:val="fr-BE"/>
        </w:rPr>
      </w:pPr>
      <w:r>
        <w:rPr>
          <w:lang w:val="fr"/>
        </w:rPr>
        <w:t>Concernant le programme USP, de grands progrès ont été accomplis dans la mise en œuvre des projets après le changement de direction et l'arrivée d'un nouveau directeur, en 2013, en partenariat avec l'actuel directeur de programme. Le niveau d'efficience de certaines activités a néanmoins été remis en question, comme les frais prélevés pour les bourses régionales du programme. La délégation de l'UE en a été informée et un audit sera lancé en juillet 2014 pour examiner cette question.</w:t>
      </w:r>
    </w:p>
    <w:p w:rsidR="00C03180" w:rsidRPr="00D1792C" w:rsidRDefault="00C03180" w:rsidP="00C03180">
      <w:pPr>
        <w:rPr>
          <w:lang w:val="fr-BE"/>
        </w:rPr>
      </w:pPr>
      <w:r>
        <w:rPr>
          <w:lang w:val="fr"/>
        </w:rPr>
        <w:t>Concernant le programme PEIP, l'équipe de gestion de projets est directement rattachée au directeur général adjoint du CPS pour les opérations, qui supervise les six divisions du CPS. Le changement climatique étant un thème transversal, le fait de placer l'équipe de gestion de projets sous l'autorité du directeur général adjoint s'est avéré très stratégique pour atteindre tous les secteurs touchés par le programme PEIP. Après avoir surmonté les problèmes adm</w:t>
      </w:r>
      <w:r>
        <w:rPr>
          <w:lang w:val="fr"/>
        </w:rPr>
        <w:t>i</w:t>
      </w:r>
      <w:r>
        <w:rPr>
          <w:lang w:val="fr"/>
        </w:rPr>
        <w:lastRenderedPageBreak/>
        <w:t>nistratifs initiaux, les niveaux de dépense ont considérablement augmenté, soulignant une hausse du taux de mise en œuvre.</w:t>
      </w:r>
    </w:p>
    <w:p w:rsidR="008F3618" w:rsidRPr="00D1792C" w:rsidRDefault="00BF6C84" w:rsidP="00C83B91">
      <w:pPr>
        <w:rPr>
          <w:lang w:val="fr-BE"/>
        </w:rPr>
      </w:pPr>
      <w:r>
        <w:rPr>
          <w:lang w:val="fr"/>
        </w:rPr>
        <w:t>L'un des enjeux essentiels du mandat du Programme intra-ACP consiste à déterminer dans quelle mesure le programme a mis en place des mécanismes en vue d'intégrer les pays membres et les régions dans des structures et processus de lutte contre le changement clim</w:t>
      </w:r>
      <w:r>
        <w:rPr>
          <w:lang w:val="fr"/>
        </w:rPr>
        <w:t>a</w:t>
      </w:r>
      <w:r>
        <w:rPr>
          <w:lang w:val="fr"/>
        </w:rPr>
        <w:t>tique de plus grande envergure. Dans la même lignée, la question consiste à savoir dans quelle mesure le Programme intra-ACP est efficient pour relier les programmes nationaux de l'AMCC entre eux. L'objectif est de renforcer la cohérence et la complémentarité avec les différents programmes de l’UE. Comme évoqué dans d'autres parties du rapport, le Pr</w:t>
      </w:r>
      <w:r>
        <w:rPr>
          <w:lang w:val="fr"/>
        </w:rPr>
        <w:t>o</w:t>
      </w:r>
      <w:r>
        <w:rPr>
          <w:lang w:val="fr"/>
        </w:rPr>
        <w:t>gramme intra-ACP aurait pu être plus efficient tant au niveau de la réalisation d'activités r</w:t>
      </w:r>
      <w:r>
        <w:rPr>
          <w:lang w:val="fr"/>
        </w:rPr>
        <w:t>é</w:t>
      </w:r>
      <w:r>
        <w:rPr>
          <w:lang w:val="fr"/>
        </w:rPr>
        <w:t>gionales spécifiques que du renforcement des connexions mondiales. L'AMCC+ doit s'ass</w:t>
      </w:r>
      <w:r>
        <w:rPr>
          <w:lang w:val="fr"/>
        </w:rPr>
        <w:t>u</w:t>
      </w:r>
      <w:r>
        <w:rPr>
          <w:lang w:val="fr"/>
        </w:rPr>
        <w:t>rer que la nécessité de faire plus d'efforts dans ces deux domaines est reconnue.</w:t>
      </w:r>
    </w:p>
    <w:p w:rsidR="008F3618" w:rsidRPr="00D1792C" w:rsidRDefault="006E555C" w:rsidP="00C83B91">
      <w:pPr>
        <w:rPr>
          <w:lang w:val="fr-BE"/>
        </w:rPr>
      </w:pPr>
      <w:r>
        <w:rPr>
          <w:lang w:val="fr"/>
        </w:rPr>
        <w:t>Il existe un certain nombre de questions concernant l’efficience de la CSF. Depuis sa cré</w:t>
      </w:r>
      <w:r>
        <w:rPr>
          <w:lang w:val="fr"/>
        </w:rPr>
        <w:t>a</w:t>
      </w:r>
      <w:r>
        <w:rPr>
          <w:lang w:val="fr"/>
        </w:rPr>
        <w:t>tion, la demande de services de la CSF n'a jamais été constante. Le fait que seules 50 co</w:t>
      </w:r>
      <w:r>
        <w:rPr>
          <w:lang w:val="fr"/>
        </w:rPr>
        <w:t>m</w:t>
      </w:r>
      <w:r>
        <w:rPr>
          <w:lang w:val="fr"/>
        </w:rPr>
        <w:t>mandes (qui couvraient toute une série d'activités) aient été passées a été considéré comme décevant. Environ une commande par mois a été enregistrée, alors que certains estimaient que 2,5 commandes auraient été une valeur raisonnable. Toutefois, le chiffre de 2,5 par mois est remis en question comme étant peut-être trop ambitieux, car il a été établi à une époque où la CSF rattrapait son retard après un démarrage lent. Certaines périodes ont connu une activ</w:t>
      </w:r>
      <w:r>
        <w:rPr>
          <w:lang w:val="fr"/>
        </w:rPr>
        <w:t>i</w:t>
      </w:r>
      <w:r>
        <w:rPr>
          <w:lang w:val="fr"/>
        </w:rPr>
        <w:t>té plus intense, mais d'autres ont été particulièrement lentes. Le problème de la CSF reste que le service repose sur la demande et, malgré les efforts pour promouvoir son utilisation, cette dernière n'a pas augmenté. Cela a donné lieu à un taux de dépenses correspondant d'environ 50 % du budget, même si les récents projets sont légèrement plus importants en taille et en budget.</w:t>
      </w:r>
    </w:p>
    <w:p w:rsidR="008F3618" w:rsidRPr="00D1792C" w:rsidRDefault="00732467" w:rsidP="00C83B91">
      <w:pPr>
        <w:rPr>
          <w:lang w:val="fr-BE"/>
        </w:rPr>
      </w:pPr>
      <w:r>
        <w:rPr>
          <w:lang w:val="fr"/>
        </w:rPr>
        <w:t>Une autre contrainte concerne le fait que les informations sur les initiatives entre les branches de l'AMCC (AMCC globale et intra-ACP) ne sont pas toujours suffisamment partagées. Il en va de même pour les échanges d'information entre les programmes régionaux et la CSF – qui sont tous deux financés dans le cadre du Programme intra-ACP de l'AMCC. Mises à part les réunions des équipes régionales, il n'existe aucune communication structurée entre la CSF et les partenaires des programmes régionaux. L'assistant technique du Secrétariat ACP semble le mieux placé pour assurer et coordonner cette communication. La participation régulière, soit de l'assistant technique du Secrétariat, soit d'un représentant de la CSF aux réunions du comité directeur de chaque programme régional pourrait être une solution. L'examen des ra</w:t>
      </w:r>
      <w:r>
        <w:rPr>
          <w:lang w:val="fr"/>
        </w:rPr>
        <w:t>p</w:t>
      </w:r>
      <w:r>
        <w:rPr>
          <w:lang w:val="fr"/>
        </w:rPr>
        <w:t>ports ROM sur les activités de la CSF indique que les services fournis sont bien exécutés. La plupart des demandes d'aide des programmes régionaux (CILSS, USP, CCCCC) à la CSF ont porté sur la couverture des dépenses accessoires (voyages, séminaires, visites d'échange), et non sur l'assistance technique. Dans le Pacifique, des négociations sont en cours avec le S</w:t>
      </w:r>
      <w:r>
        <w:rPr>
          <w:lang w:val="fr"/>
        </w:rPr>
        <w:t>e</w:t>
      </w:r>
      <w:r>
        <w:rPr>
          <w:lang w:val="fr"/>
        </w:rPr>
        <w:t>crétariat ACP afin d'adopter des amendements pour permettre le financement d'activités dans le cadre de la CSF qui n'étaient pas couvertes jusqu'à présent, comme la couverture des frais de déplacement des délégués pour assister aux conférences. Il a été établi que la CSF pouvait être une ressource efficace et efficiente, mais elle nécessite plus d'attention et un dialogue soutenu entre les parties prenantes sur les moyens de la rendre plus viable. Plusieurs initi</w:t>
      </w:r>
      <w:r>
        <w:rPr>
          <w:lang w:val="fr"/>
        </w:rPr>
        <w:t>a</w:t>
      </w:r>
      <w:r>
        <w:rPr>
          <w:lang w:val="fr"/>
        </w:rPr>
        <w:t>tives ont été menées pour renforcer la sensibilisation à la CSF et sa visibilité. Puisqu’il s’agit d'un service complémentaire, la question est de savoir pourquoi la CSF devrait faire des e</w:t>
      </w:r>
      <w:r>
        <w:rPr>
          <w:lang w:val="fr"/>
        </w:rPr>
        <w:t>f</w:t>
      </w:r>
      <w:r>
        <w:rPr>
          <w:lang w:val="fr"/>
        </w:rPr>
        <w:lastRenderedPageBreak/>
        <w:t>forts afin de promouvoir son utilisation ? La réponse est évidemment qu'il ne devrait pas être nécessaire de promouvoir la CSF si elle était bien conçue à l'origine.</w:t>
      </w:r>
    </w:p>
    <w:p w:rsidR="008F3618" w:rsidRPr="00D1792C" w:rsidRDefault="00C1556C" w:rsidP="00C03180">
      <w:pPr>
        <w:rPr>
          <w:lang w:val="fr-BE"/>
        </w:rPr>
      </w:pPr>
      <w:r>
        <w:rPr>
          <w:lang w:val="fr"/>
        </w:rPr>
        <w:t>Compte tenu de toutes ces tendances divergentes, il est difficile d'attribuer une note globale en termes d'efficience. Cependant, à partir des notes respectives de chaque programme régi</w:t>
      </w:r>
      <w:r>
        <w:rPr>
          <w:lang w:val="fr"/>
        </w:rPr>
        <w:t>o</w:t>
      </w:r>
      <w:r>
        <w:rPr>
          <w:lang w:val="fr"/>
        </w:rPr>
        <w:t>nal, une note globale de B a été attribuée. Deux C ont été donnés à des programmes régi</w:t>
      </w:r>
      <w:r>
        <w:rPr>
          <w:lang w:val="fr"/>
        </w:rPr>
        <w:t>o</w:t>
      </w:r>
      <w:r>
        <w:rPr>
          <w:lang w:val="fr"/>
        </w:rPr>
        <w:t>naux en réponse à cette question. Le démarrage lent des programmes régionaux semble, pour l'essentiel, la responsabilité partagée des programmes régionaux, de l'UE et de l'ACP.</w:t>
      </w:r>
    </w:p>
    <w:p w:rsidR="009D470A" w:rsidRPr="00D1792C" w:rsidRDefault="006C6102" w:rsidP="00AD1C0A">
      <w:pPr>
        <w:ind w:left="709" w:hanging="709"/>
        <w:rPr>
          <w:b/>
          <w:i/>
          <w:lang w:val="fr-BE"/>
        </w:rPr>
      </w:pPr>
      <w:r>
        <w:rPr>
          <w:b/>
          <w:bCs/>
          <w:i/>
          <w:iCs/>
          <w:lang w:val="fr"/>
        </w:rPr>
        <w:t>QE7.</w:t>
      </w:r>
      <w:r>
        <w:rPr>
          <w:lang w:val="fr"/>
        </w:rPr>
        <w:tab/>
      </w:r>
      <w:r>
        <w:rPr>
          <w:b/>
          <w:bCs/>
          <w:i/>
          <w:iCs/>
          <w:lang w:val="fr"/>
        </w:rPr>
        <w:t>Dans quelle mesure le programme a-t-il établi des liens et des synergies (aux n</w:t>
      </w:r>
      <w:r>
        <w:rPr>
          <w:b/>
          <w:bCs/>
          <w:i/>
          <w:iCs/>
          <w:lang w:val="fr"/>
        </w:rPr>
        <w:t>i</w:t>
      </w:r>
      <w:r>
        <w:rPr>
          <w:b/>
          <w:bCs/>
          <w:i/>
          <w:iCs/>
          <w:lang w:val="fr"/>
        </w:rPr>
        <w:t>veaux national, régional et ACP/mondial) avec d'autres actions similaires, y co</w:t>
      </w:r>
      <w:r>
        <w:rPr>
          <w:b/>
          <w:bCs/>
          <w:i/>
          <w:iCs/>
          <w:lang w:val="fr"/>
        </w:rPr>
        <w:t>m</w:t>
      </w:r>
      <w:r>
        <w:rPr>
          <w:b/>
          <w:bCs/>
          <w:i/>
          <w:iCs/>
          <w:lang w:val="fr"/>
        </w:rPr>
        <w:t>pris des instruments et actions de l'UE, en conformité avec le principe d'harmonis</w:t>
      </w:r>
      <w:r>
        <w:rPr>
          <w:b/>
          <w:bCs/>
          <w:i/>
          <w:iCs/>
          <w:lang w:val="fr"/>
        </w:rPr>
        <w:t>a</w:t>
      </w:r>
      <w:r>
        <w:rPr>
          <w:b/>
          <w:bCs/>
          <w:i/>
          <w:iCs/>
          <w:lang w:val="fr"/>
        </w:rPr>
        <w:t>tion des interventions ?</w:t>
      </w:r>
    </w:p>
    <w:p w:rsidR="008F3618" w:rsidRPr="00D1792C" w:rsidRDefault="00F61AFA" w:rsidP="00AD1C0A">
      <w:pPr>
        <w:rPr>
          <w:lang w:val="fr-BE"/>
        </w:rPr>
      </w:pPr>
      <w:r>
        <w:rPr>
          <w:lang w:val="fr"/>
        </w:rPr>
        <w:t>Dans le cadre du Programme intra-ACP, il existe de nombreux exemples de liens et de syne</w:t>
      </w:r>
      <w:r>
        <w:rPr>
          <w:lang w:val="fr"/>
        </w:rPr>
        <w:t>r</w:t>
      </w:r>
      <w:r>
        <w:rPr>
          <w:lang w:val="fr"/>
        </w:rPr>
        <w:t>gies créés selon plusieurs scénarios, notamment entre les programmes nationaux de l'AMCC et les programmes régionaux intra-ACP ; la principale question reste de savoir s'il pourrait y avoir encore plus de synergies et de créativité dans ce domaine. Les exemples suivants ont pour objectif de donner une vue d'ensemble de ce qui a été réalisé.</w:t>
      </w:r>
    </w:p>
    <w:p w:rsidR="009130F2" w:rsidRPr="00D1792C" w:rsidRDefault="009130F2" w:rsidP="00AD1C0A">
      <w:pPr>
        <w:rPr>
          <w:lang w:val="fr-BE"/>
        </w:rPr>
      </w:pPr>
      <w:r>
        <w:rPr>
          <w:lang w:val="fr"/>
        </w:rPr>
        <w:t>Le programme CILSS/</w:t>
      </w:r>
      <w:proofErr w:type="spellStart"/>
      <w:r>
        <w:rPr>
          <w:lang w:val="fr"/>
        </w:rPr>
        <w:t>Agrhymet</w:t>
      </w:r>
      <w:proofErr w:type="spellEnd"/>
      <w:r>
        <w:rPr>
          <w:lang w:val="fr"/>
        </w:rPr>
        <w:t xml:space="preserve"> profite considérablement de la collaboration passée et pr</w:t>
      </w:r>
      <w:r>
        <w:rPr>
          <w:lang w:val="fr"/>
        </w:rPr>
        <w:t>é</w:t>
      </w:r>
      <w:r>
        <w:rPr>
          <w:lang w:val="fr"/>
        </w:rPr>
        <w:t>sente dans le domaine des sciences de l'eau et du climat. Il coopère étroitement avec le projet du FFEM-CC (projet du Fonds français pour l'environnement mondial dans le domaine du changement climatique), facilitant la communication entre des experts de différents pays et offrant au grand public un accès aux informations actuelles sur le changement climatique. De plus, la collaboration avec les personnes de contact à la CCNUCC a été considérablement renforcée et toutes les activités au niveau national sont menées en coopération avec ces de</w:t>
      </w:r>
      <w:r>
        <w:rPr>
          <w:lang w:val="fr"/>
        </w:rPr>
        <w:t>r</w:t>
      </w:r>
      <w:r>
        <w:rPr>
          <w:lang w:val="fr"/>
        </w:rPr>
        <w:t>nières. Comme indiqué précédemment, au Niger, le programme CILSS/Agrhymet est parv</w:t>
      </w:r>
      <w:r>
        <w:rPr>
          <w:lang w:val="fr"/>
        </w:rPr>
        <w:t>e</w:t>
      </w:r>
      <w:r>
        <w:rPr>
          <w:lang w:val="fr"/>
        </w:rPr>
        <w:t>nu à obtenir de l'aide financière de la part de nombreux bailleurs de fonds tels que l'UNICEF, l'agence allemande de coopération internationale pour le développement (GIZ) et CARE pour les PDC développés par le programme. L'évaluation a néanmoins conclu qu'il était possible de renforcer encore la coopération sur plusieurs fronts en lien avec les activités actuelles du programme. La coopération avec la CEDEAO elle-même, par exemple, sur des politiques et stratégies régionales relatives au changement climatique, pourrait être renforcée.</w:t>
      </w:r>
    </w:p>
    <w:p w:rsidR="008F3618" w:rsidRPr="00D1792C" w:rsidRDefault="00D03428" w:rsidP="00AD1C0A">
      <w:pPr>
        <w:rPr>
          <w:lang w:val="fr-BE"/>
        </w:rPr>
      </w:pPr>
      <w:r>
        <w:rPr>
          <w:lang w:val="fr"/>
        </w:rPr>
        <w:t>Le programme COMESA a noué des partenariats au niveau national avec des organisations telles que l'Organisation des Nations unies pour l'alimentation et l'agriculture (FAO). De même, la CDAA a établi un partenariat avec le DFID et la CAE, ainsi qu'avec l'Agence des États-Unis pour le développement international (USAID). Cependant, les partenaires bai</w:t>
      </w:r>
      <w:r>
        <w:rPr>
          <w:lang w:val="fr"/>
        </w:rPr>
        <w:t>l</w:t>
      </w:r>
      <w:r>
        <w:rPr>
          <w:lang w:val="fr"/>
        </w:rPr>
        <w:t>leurs de fonds du programme ont souligné qu'ils souhaiteraient voir davantage de partenariats stratégiques avec des structures plus officielles, et ce non seulement pour améliorer le pr</w:t>
      </w:r>
      <w:r>
        <w:rPr>
          <w:lang w:val="fr"/>
        </w:rPr>
        <w:t>o</w:t>
      </w:r>
      <w:r>
        <w:rPr>
          <w:lang w:val="fr"/>
        </w:rPr>
        <w:t>gramme COMESA, mais également pour le légitimer.</w:t>
      </w:r>
    </w:p>
    <w:p w:rsidR="008F3618" w:rsidRPr="00D1792C" w:rsidRDefault="00C256DB" w:rsidP="00AD1C0A">
      <w:pPr>
        <w:rPr>
          <w:lang w:val="fr-BE"/>
        </w:rPr>
      </w:pPr>
      <w:r>
        <w:rPr>
          <w:lang w:val="fr"/>
        </w:rPr>
        <w:t xml:space="preserve">Le programme </w:t>
      </w:r>
      <w:proofErr w:type="spellStart"/>
      <w:r>
        <w:rPr>
          <w:lang w:val="fr"/>
        </w:rPr>
        <w:t>ClimDev</w:t>
      </w:r>
      <w:proofErr w:type="spellEnd"/>
      <w:r>
        <w:rPr>
          <w:lang w:val="fr"/>
        </w:rPr>
        <w:t xml:space="preserve"> peut potentiellement tirer sa force des avantages comparatifs que chacune des trois institutions partenaires possède dans les domaines respectifs de l'élabor</w:t>
      </w:r>
      <w:r>
        <w:rPr>
          <w:lang w:val="fr"/>
        </w:rPr>
        <w:t>a</w:t>
      </w:r>
      <w:r>
        <w:rPr>
          <w:lang w:val="fr"/>
        </w:rPr>
        <w:t>tion des politiques, de la défense d'intérêts et de la prise de décisions, et des investissements. Cependant, ces avantages comparatifs n'ont pas encore été pleinement développés, en grande partie du fait que le FSCD n'a pas encore été créé. Le programme ClimDev est complété par une autre action menée par la CEA-NU dans le domaine de l'adaptation au changement cl</w:t>
      </w:r>
      <w:r>
        <w:rPr>
          <w:lang w:val="fr"/>
        </w:rPr>
        <w:t>i</w:t>
      </w:r>
      <w:r>
        <w:rPr>
          <w:lang w:val="fr"/>
        </w:rPr>
        <w:lastRenderedPageBreak/>
        <w:t>matique et de l'atténuation de ce dernier. La CEA-NU a réalisé des études de cas sur les év</w:t>
      </w:r>
      <w:r>
        <w:rPr>
          <w:lang w:val="fr"/>
        </w:rPr>
        <w:t>a</w:t>
      </w:r>
      <w:r>
        <w:rPr>
          <w:lang w:val="fr"/>
        </w:rPr>
        <w:t>luations des pertes et dégâts, par exemple, qui ont contribué aux discussions sur le pr</w:t>
      </w:r>
      <w:r>
        <w:rPr>
          <w:lang w:val="fr"/>
        </w:rPr>
        <w:t>o</w:t>
      </w:r>
      <w:r>
        <w:rPr>
          <w:lang w:val="fr"/>
        </w:rPr>
        <w:t>gramme de travail relatif aux pertes et dégâts de la 19</w:t>
      </w:r>
      <w:r>
        <w:rPr>
          <w:vertAlign w:val="superscript"/>
          <w:lang w:val="fr"/>
        </w:rPr>
        <w:t>e</w:t>
      </w:r>
      <w:r>
        <w:rPr>
          <w:lang w:val="fr"/>
        </w:rPr>
        <w:t xml:space="preserve"> session de la Conférence des Parties à la CCNUCC (Varsovie, novembre 2013).</w:t>
      </w:r>
    </w:p>
    <w:p w:rsidR="009130F2" w:rsidRPr="00D1792C" w:rsidRDefault="00C256DB" w:rsidP="00AD1C0A">
      <w:pPr>
        <w:rPr>
          <w:lang w:val="fr-BE"/>
        </w:rPr>
      </w:pPr>
      <w:r>
        <w:rPr>
          <w:lang w:val="fr"/>
        </w:rPr>
        <w:t>En plus des fonds de l'AMCC, ClimDev est soutenu par d'autres partenaires de développ</w:t>
      </w:r>
      <w:r>
        <w:rPr>
          <w:lang w:val="fr"/>
        </w:rPr>
        <w:t>e</w:t>
      </w:r>
      <w:r>
        <w:rPr>
          <w:lang w:val="fr"/>
        </w:rPr>
        <w:t>ment, notamment l'ambassade de Suède, l'ambassade de Norvège, le DFID et l'USAID. R</w:t>
      </w:r>
      <w:r>
        <w:rPr>
          <w:lang w:val="fr"/>
        </w:rPr>
        <w:t>é</w:t>
      </w:r>
      <w:r>
        <w:rPr>
          <w:lang w:val="fr"/>
        </w:rPr>
        <w:t>cemment, les bailleurs de fonds ont commencé à organiser des réunions communes afin d'identifier clairement les progrès réalisés dans le cadre des activités des projets, des fonds obtenus et des montants dépensés. Auparavant, les informations sur ces questions n'étaient pas communiquées aux bailleurs de fonds. ClimDev a noué de multiples partenariats (environ 30) avec une toute une série d'organisations telles que l'Organisation météorologique mo</w:t>
      </w:r>
      <w:r>
        <w:rPr>
          <w:lang w:val="fr"/>
        </w:rPr>
        <w:t>n</w:t>
      </w:r>
      <w:r>
        <w:rPr>
          <w:lang w:val="fr"/>
        </w:rPr>
        <w:t>diale (OMM), l'Institut des ressources mondiales (WRI), l'Institut de l'environnement de Stockholm (SEI) et beaucoup d'autres. Comme le souligne l'aide-mémoire, l'objectif et les résultats de ces partenariats ne sont pas toujours très clairs et il n'est pas non plus évident de savoir dans quelle mesure ils sont réellement fonctionnels. Bien que le programme ait une fonction distincte de réseautage et a besoin d'un important réseau pour renforcer sa portée, il est souhaitable de se concentrer davantage sur la création et le maintien de ses activités pri</w:t>
      </w:r>
      <w:r>
        <w:rPr>
          <w:lang w:val="fr"/>
        </w:rPr>
        <w:t>n</w:t>
      </w:r>
      <w:r>
        <w:rPr>
          <w:lang w:val="fr"/>
        </w:rPr>
        <w:t>cipales.</w:t>
      </w:r>
    </w:p>
    <w:p w:rsidR="008F3618" w:rsidRPr="00D1792C" w:rsidRDefault="00D828B4" w:rsidP="00D828B4">
      <w:pPr>
        <w:rPr>
          <w:lang w:val="fr-BE"/>
        </w:rPr>
      </w:pPr>
      <w:r>
        <w:rPr>
          <w:lang w:val="fr"/>
        </w:rPr>
        <w:t xml:space="preserve">Le programme PEIP s'est beaucoup consacré à établir des liens avec d'autres initiatives de lutte contre le changement climatique. On peut citer comme exemple intéressant le </w:t>
      </w:r>
      <w:r>
        <w:rPr>
          <w:i/>
          <w:iCs/>
          <w:lang w:val="fr"/>
        </w:rPr>
        <w:t>pr</w:t>
      </w:r>
      <w:r>
        <w:rPr>
          <w:i/>
          <w:iCs/>
          <w:lang w:val="fr"/>
        </w:rPr>
        <w:t>o</w:t>
      </w:r>
      <w:r>
        <w:rPr>
          <w:i/>
          <w:iCs/>
          <w:lang w:val="fr"/>
        </w:rPr>
        <w:t>gramme pour la gestion du changement climatique dans la région des îles du Pacifique</w:t>
      </w:r>
      <w:r>
        <w:rPr>
          <w:lang w:val="fr"/>
        </w:rPr>
        <w:t xml:space="preserve"> (CCCPIR) mis en œuvre par la GIZ, l'Allemagne étant le seul État membre de l'UE fortement impliqué dans la lutte contre le changement climatique dans le Pacifique. Le CCCPIR est cogéré par le CPS et s'aligne sur le PIFACC. Le programme propose de l'assistance technique et ne soutient pas les activités d'adaptation sur le terrain. A l'inverse, près de la moitié du budget du programme PEIP est consacré aux actions d'adaptation sur le terrain. Le CCCPIR est hébergé au sein du CPS et coordonne ses actions avec le programme PEIP.</w:t>
      </w:r>
    </w:p>
    <w:p w:rsidR="009916E6" w:rsidRPr="00D1792C" w:rsidRDefault="00D828B4" w:rsidP="009916E6">
      <w:pPr>
        <w:rPr>
          <w:lang w:val="fr-BE"/>
        </w:rPr>
      </w:pPr>
      <w:r>
        <w:rPr>
          <w:lang w:val="fr"/>
        </w:rPr>
        <w:t>Le programme USP a également noué plusieurs partenariats avec d'autres projets financés par des bailleurs de fonds, tels que l'AusAID, l'OMM et l'USAID. Il faut en fait consulter l'aide-mémoire du programme USP pour comprendre le degré de connexion du programme USP avec d'autres initiatives de développement. Une collaboration se met en place avec le pr</w:t>
      </w:r>
      <w:r>
        <w:rPr>
          <w:lang w:val="fr"/>
        </w:rPr>
        <w:t>o</w:t>
      </w:r>
      <w:r>
        <w:rPr>
          <w:lang w:val="fr"/>
        </w:rPr>
        <w:t>gramme PEIP, « l'autre programme financé par l'AMCC », qui comporte une coordination régulière au travers du CPS et une certaine collaboration directe sur le terrain (communauté d'</w:t>
      </w:r>
      <w:r>
        <w:rPr>
          <w:i/>
          <w:iCs/>
          <w:lang w:val="fr"/>
        </w:rPr>
        <w:t>Ewena</w:t>
      </w:r>
      <w:r>
        <w:rPr>
          <w:lang w:val="fr"/>
        </w:rPr>
        <w:t xml:space="preserve"> sur l'île d'</w:t>
      </w:r>
      <w:r>
        <w:rPr>
          <w:i/>
          <w:iCs/>
          <w:lang w:val="fr"/>
        </w:rPr>
        <w:t>Abaiang</w:t>
      </w:r>
      <w:r>
        <w:rPr>
          <w:lang w:val="fr"/>
        </w:rPr>
        <w:t>). L'équipe de projet PEIP (Gestion intégrée des ressources en eau et département de l'Environnement) pour le projet de collecte des eaux de pluie de l’île de Niue a également utilisé des rapports V&amp;A préparés par le programme USP pour des prése</w:t>
      </w:r>
      <w:r>
        <w:rPr>
          <w:lang w:val="fr"/>
        </w:rPr>
        <w:t>n</w:t>
      </w:r>
      <w:r>
        <w:rPr>
          <w:lang w:val="fr"/>
        </w:rPr>
        <w:t>tations dans des villages ; il s'agit d'un exemple concret de la complémentarité des deux pr</w:t>
      </w:r>
      <w:r>
        <w:rPr>
          <w:lang w:val="fr"/>
        </w:rPr>
        <w:t>o</w:t>
      </w:r>
      <w:r>
        <w:rPr>
          <w:lang w:val="fr"/>
        </w:rPr>
        <w:t>jets financés par l'AMCC.</w:t>
      </w:r>
    </w:p>
    <w:p w:rsidR="008F3618" w:rsidRPr="00D1792C" w:rsidRDefault="00D828B4" w:rsidP="00D828B4">
      <w:pPr>
        <w:rPr>
          <w:lang w:val="fr-BE"/>
        </w:rPr>
      </w:pPr>
      <w:r>
        <w:rPr>
          <w:lang w:val="fr"/>
        </w:rPr>
        <w:t xml:space="preserve">L'USP coopère également avec le projet ACP-UE de </w:t>
      </w:r>
      <w:r>
        <w:rPr>
          <w:i/>
          <w:iCs/>
          <w:lang w:val="fr"/>
        </w:rPr>
        <w:t>renforcement de la sécurité et de la rés</w:t>
      </w:r>
      <w:r>
        <w:rPr>
          <w:i/>
          <w:iCs/>
          <w:lang w:val="fr"/>
        </w:rPr>
        <w:t>i</w:t>
      </w:r>
      <w:r>
        <w:rPr>
          <w:i/>
          <w:iCs/>
          <w:lang w:val="fr"/>
        </w:rPr>
        <w:t>lience du Pacifique</w:t>
      </w:r>
      <w:r>
        <w:rPr>
          <w:lang w:val="fr"/>
        </w:rPr>
        <w:t>, financé par l’enveloppe intra-ACP du 10</w:t>
      </w:r>
      <w:r>
        <w:rPr>
          <w:vertAlign w:val="superscript"/>
          <w:lang w:val="fr"/>
        </w:rPr>
        <w:t>e</w:t>
      </w:r>
      <w:r>
        <w:rPr>
          <w:lang w:val="fr"/>
        </w:rPr>
        <w:t xml:space="preserve"> FED pour la RRC, dont l'o</w:t>
      </w:r>
      <w:r>
        <w:rPr>
          <w:lang w:val="fr"/>
        </w:rPr>
        <w:t>b</w:t>
      </w:r>
      <w:r>
        <w:rPr>
          <w:lang w:val="fr"/>
        </w:rPr>
        <w:t>jectif est de réduire la vulnérabilité, ainsi que les coûts sociaux, économiques et environn</w:t>
      </w:r>
      <w:r>
        <w:rPr>
          <w:lang w:val="fr"/>
        </w:rPr>
        <w:t>e</w:t>
      </w:r>
      <w:r>
        <w:rPr>
          <w:lang w:val="fr"/>
        </w:rPr>
        <w:t>mentaux des catastrophes naturelles. Enfin, le programme USP collabore également avec le CCCPIR, qui vise à intégrer le changement climatique dans l'enseignement primaire et s</w:t>
      </w:r>
      <w:r>
        <w:rPr>
          <w:lang w:val="fr"/>
        </w:rPr>
        <w:t>e</w:t>
      </w:r>
      <w:r>
        <w:rPr>
          <w:lang w:val="fr"/>
        </w:rPr>
        <w:t xml:space="preserve">condaire, et dans la formation technique et professionnelle. Le CCCPIR a sollicité l'aide du </w:t>
      </w:r>
      <w:r>
        <w:rPr>
          <w:lang w:val="fr"/>
        </w:rPr>
        <w:lastRenderedPageBreak/>
        <w:t>programme USP pour examiner les modules et le cursus d'enseignement sur la GRC et l'ACC destinés aux animateurs de ces cours.</w:t>
      </w:r>
    </w:p>
    <w:p w:rsidR="008F3618" w:rsidRPr="00D1792C" w:rsidRDefault="00D828B4" w:rsidP="00D828B4">
      <w:pPr>
        <w:rPr>
          <w:lang w:val="fr-BE"/>
        </w:rPr>
      </w:pPr>
      <w:r>
        <w:rPr>
          <w:lang w:val="fr"/>
        </w:rPr>
        <w:t>Comme dans la région Pacifique, certains bons concepts sont issus des Caraïbes sur la cré</w:t>
      </w:r>
      <w:r>
        <w:rPr>
          <w:lang w:val="fr"/>
        </w:rPr>
        <w:t>a</w:t>
      </w:r>
      <w:r>
        <w:rPr>
          <w:lang w:val="fr"/>
        </w:rPr>
        <w:t>tion de liens et de synergies. Dans les Caraïbes, le programme CCCCC a tenté de tirer parti de plusieurs projets antérieurs, notamment le projet IACC (Intégration de l'adaptation au changement climatique) et le projet SPACC (Projet pilote spécial d'adaptation au changement climatique). Il s'est appuyé sur les initiatives du projet IACC en exposant des praticiens n</w:t>
      </w:r>
      <w:r>
        <w:rPr>
          <w:lang w:val="fr"/>
        </w:rPr>
        <w:t>a</w:t>
      </w:r>
      <w:r>
        <w:rPr>
          <w:lang w:val="fr"/>
        </w:rPr>
        <w:t>tionaux à des modèles biophysiques de changement climatique dans les secteurs de l'agricu</w:t>
      </w:r>
      <w:r>
        <w:rPr>
          <w:lang w:val="fr"/>
        </w:rPr>
        <w:t>l</w:t>
      </w:r>
      <w:r>
        <w:rPr>
          <w:lang w:val="fr"/>
        </w:rPr>
        <w:t>ture, de l'eau, de la gestion du milieu marin et du littoral, de la santé et des services sociaux, qui avaient été développés, dans un premier temps, dans le cadre de l’IACC. Deux (2) ateliers de formation sectoriels sur l'application de ces modèles ont été organisés.</w:t>
      </w:r>
    </w:p>
    <w:p w:rsidR="008F3618" w:rsidRPr="00D1792C" w:rsidRDefault="00D828B4" w:rsidP="00D828B4">
      <w:pPr>
        <w:rPr>
          <w:lang w:val="fr-BE"/>
        </w:rPr>
      </w:pPr>
      <w:r>
        <w:rPr>
          <w:lang w:val="fr"/>
        </w:rPr>
        <w:t>Dans certains pays des Caraïbes, une bonne coordination a été mise en place entre les activ</w:t>
      </w:r>
      <w:r>
        <w:rPr>
          <w:lang w:val="fr"/>
        </w:rPr>
        <w:t>i</w:t>
      </w:r>
      <w:r>
        <w:rPr>
          <w:lang w:val="fr"/>
        </w:rPr>
        <w:t>tés de projets des programmes nationaux de l'AMCC et le Programme intra-ACP. En J</w:t>
      </w:r>
      <w:r>
        <w:rPr>
          <w:lang w:val="fr"/>
        </w:rPr>
        <w:t>a</w:t>
      </w:r>
      <w:r>
        <w:rPr>
          <w:lang w:val="fr"/>
        </w:rPr>
        <w:t>maïque, par exemple, le programme national a réussi à soutenir des domaines tels que la sy</w:t>
      </w:r>
      <w:r>
        <w:rPr>
          <w:lang w:val="fr"/>
        </w:rPr>
        <w:t>l</w:t>
      </w:r>
      <w:r>
        <w:rPr>
          <w:lang w:val="fr"/>
        </w:rPr>
        <w:t>viculture et la gestion du littoral. Par la suite, le programme régional complétera cette activité en soutenant le secteur de la pêche en Jamaïque, dans le cadre d'une étude détaillée. Par ai</w:t>
      </w:r>
      <w:r>
        <w:rPr>
          <w:lang w:val="fr"/>
        </w:rPr>
        <w:t>l</w:t>
      </w:r>
      <w:r>
        <w:rPr>
          <w:lang w:val="fr"/>
        </w:rPr>
        <w:t>leurs, le programme national de l'AMCC au Belize et le programme régional soutiennent le Bureau sur le changement climatique récemment créé dans le pays. À la Grenade, le pr</w:t>
      </w:r>
      <w:r>
        <w:rPr>
          <w:lang w:val="fr"/>
        </w:rPr>
        <w:t>o</w:t>
      </w:r>
      <w:r>
        <w:rPr>
          <w:lang w:val="fr"/>
        </w:rPr>
        <w:t>gramme CCCCC se coordonne avec le programme OECO pour l'installation d'une usine de dessalement par osmose inversée et espère agrandir le réseau de distribution de l'eau. Le pr</w:t>
      </w:r>
      <w:r>
        <w:rPr>
          <w:lang w:val="fr"/>
        </w:rPr>
        <w:t>o</w:t>
      </w:r>
      <w:r>
        <w:rPr>
          <w:lang w:val="fr"/>
        </w:rPr>
        <w:t>gramme CCCCC a également permis la collaboration entre des pays des Caraïbes. Des e</w:t>
      </w:r>
      <w:r>
        <w:rPr>
          <w:lang w:val="fr"/>
        </w:rPr>
        <w:t>x</w:t>
      </w:r>
      <w:r>
        <w:rPr>
          <w:lang w:val="fr"/>
        </w:rPr>
        <w:t>perts cubains coopèrent actuellement, par exemple, avec la ville de Belize pour élaborer une stratégie d'adaptation globale.</w:t>
      </w:r>
    </w:p>
    <w:p w:rsidR="008F3618" w:rsidRPr="00D1792C" w:rsidRDefault="003E37B7" w:rsidP="00AD1C0A">
      <w:pPr>
        <w:rPr>
          <w:bCs/>
          <w:lang w:val="fr-BE"/>
        </w:rPr>
      </w:pPr>
      <w:r>
        <w:rPr>
          <w:lang w:val="fr"/>
        </w:rPr>
        <w:t xml:space="preserve">Cependant, en général, des efforts supplémentaires pourraient être réalisés pour renforcer les liens et les synergies, à commencer par le réseau de programmes régionaux et nationaux de l'AMCC. En Jamaïque, dans le cadre du programme national, des efforts encourageants sont faits pour piloter de nouvelles technologies visant à protéger les littoraux. Il s'agit notamment de la propagation de prairies sous-marines, de générateurs modulaires de turbulences pour récifs artificiels (GMT), de dispositifs d'atténuation des vagues (DAV), de la plantation de mangroves, et d'expériences avec la technologie brevetée </w:t>
      </w:r>
      <w:r>
        <w:rPr>
          <w:i/>
          <w:iCs/>
          <w:lang w:val="fr"/>
        </w:rPr>
        <w:t>« Shorelock »</w:t>
      </w:r>
      <w:r>
        <w:rPr>
          <w:lang w:val="fr"/>
        </w:rPr>
        <w:t xml:space="preserve">. Si ces technologies et pratiques s'avèrent être des solutions viables, leur utilisation devra alors être activement encouragée, dans un premier temps, en Jamaïque, puis dans l'ensemble du réseau de pays de l'AMCC. Ce n'est qu'un exemple de la façon dont les synergies pourraient être </w:t>
      </w:r>
      <w:proofErr w:type="gramStart"/>
      <w:r>
        <w:rPr>
          <w:lang w:val="fr"/>
        </w:rPr>
        <w:t>renforcées</w:t>
      </w:r>
      <w:proofErr w:type="gramEnd"/>
      <w:r>
        <w:rPr>
          <w:lang w:val="fr"/>
        </w:rPr>
        <w:t xml:space="preserve"> avec les programmes nationaux de l'AMCC. On pourrait également citer la participation des partenaires de l'AMCC issus du CCCCC, de l'île Maurice, des îles Samoa et des îles Salomon à la réunion régionale sur le financement de la lutte contre le changement climatique à l'aide des modalités d'appui budgétaire, qui s'est tenue à Tonga, en septembre 2013, ou encore la participation du CCCCC à la troisième réunion du comité directeur du programme PEIP. S'appuyant sur les fondements établis dans chaque programme régional, la prochaine phase doit offrir davantage de possibilités de relier les projets et les programmes entre eux, de nouer des alliances, et de promouvoir des idées et des pratiques d'exception, pour le bienfait de toutes les régions. Dans l'ensemble, les programmes régionaux ont reçu la note de B sur cette question, mais les attentes pour la prochaine phase doivent être plus élevées.</w:t>
      </w:r>
    </w:p>
    <w:p w:rsidR="008F3618" w:rsidRPr="00D1792C" w:rsidRDefault="008B6B4A" w:rsidP="00506D93">
      <w:pPr>
        <w:rPr>
          <w:bCs/>
          <w:lang w:val="fr-BE"/>
        </w:rPr>
      </w:pPr>
      <w:r>
        <w:rPr>
          <w:lang w:val="fr"/>
        </w:rPr>
        <w:lastRenderedPageBreak/>
        <w:t>Du fait de l'article 12 de l'annexe 4 de l'accord de Cotonou, certains espèrent que la coopér</w:t>
      </w:r>
      <w:r>
        <w:rPr>
          <w:lang w:val="fr"/>
        </w:rPr>
        <w:t>a</w:t>
      </w:r>
      <w:r>
        <w:rPr>
          <w:lang w:val="fr"/>
        </w:rPr>
        <w:t>tion intra-ACP contribuera à atteindre l'objectif du partenariat ACP-CE et renforcera la co</w:t>
      </w:r>
      <w:r>
        <w:rPr>
          <w:lang w:val="fr"/>
        </w:rPr>
        <w:t>o</w:t>
      </w:r>
      <w:r>
        <w:rPr>
          <w:lang w:val="fr"/>
        </w:rPr>
        <w:t>pération suprarégionale. Il est également prévu, dans le cadre de l'accord de Cotonou, que des initiatives telles que le Programme intra-ACP aient une réelle valeur ajoutée, comparé à d'autres programmes de développement. Il s'agit notamment de ses activités axées sur le cl</w:t>
      </w:r>
      <w:r>
        <w:rPr>
          <w:lang w:val="fr"/>
        </w:rPr>
        <w:t>i</w:t>
      </w:r>
      <w:r>
        <w:rPr>
          <w:lang w:val="fr"/>
        </w:rPr>
        <w:t>mat et, d’ailleurs, du potentiel d'établir des liens avec les programmes nationaux de l'AMCC. En ce qui concerne le Programme intra-ACP, l'accord de Cotonou est avant tout un cadre permettant de relier des programmes régionaux et nationaux entre eux pour lutter contre le changement climatique. Le fait que le Programme intra-ACP soit une illustration de l'accord de Cotonou est plus anecdotique que systématique. Il faut également tenir compte de l'initi</w:t>
      </w:r>
      <w:r>
        <w:rPr>
          <w:lang w:val="fr"/>
        </w:rPr>
        <w:t>a</w:t>
      </w:r>
      <w:r>
        <w:rPr>
          <w:lang w:val="fr"/>
        </w:rPr>
        <w:t>tive AMCC+, qui sera financée dans le cadre du 11</w:t>
      </w:r>
      <w:r>
        <w:rPr>
          <w:vertAlign w:val="superscript"/>
          <w:lang w:val="fr"/>
        </w:rPr>
        <w:t>e</w:t>
      </w:r>
      <w:r>
        <w:rPr>
          <w:lang w:val="fr"/>
        </w:rPr>
        <w:t xml:space="preserve"> FED. En effet, les synergies et les liens entre l'accord de Cotonou et la transition vers l'AMCC+ ne semblent pas avoir été pleinement explorés. Le Secrétariat ACP, en collaboration avec les partenaires régionaux du Programme intra-ACP, ne semble pas disposer d'une stratégie globale sur la façon dont l'accord de Cot</w:t>
      </w:r>
      <w:r>
        <w:rPr>
          <w:lang w:val="fr"/>
        </w:rPr>
        <w:t>o</w:t>
      </w:r>
      <w:r>
        <w:rPr>
          <w:lang w:val="fr"/>
        </w:rPr>
        <w:t>nou encadre la transition de l'actuel programme vers l'AMCC+.</w:t>
      </w:r>
    </w:p>
    <w:p w:rsidR="008F3618" w:rsidRPr="00D1792C" w:rsidRDefault="00775E67" w:rsidP="006A29AC">
      <w:pPr>
        <w:rPr>
          <w:lang w:val="fr-BE"/>
        </w:rPr>
      </w:pPr>
      <w:r>
        <w:rPr>
          <w:lang w:val="fr"/>
        </w:rPr>
        <w:t>Il faut prendre en considération le ou les rôles que la CSF pourrait avoir joué pour faciliter les synergies et les liens à valeur ajoutée entre les programmes régionaux. Jusqu'à présent, la CSF n'a pas été réellement un facteur décisif. Toutefois, la situation peut changer. Une r</w:t>
      </w:r>
      <w:r>
        <w:rPr>
          <w:lang w:val="fr"/>
        </w:rPr>
        <w:t>é</w:t>
      </w:r>
      <w:r>
        <w:rPr>
          <w:lang w:val="fr"/>
        </w:rPr>
        <w:t>cente réunion du Programme intra-ACP dans le Pacifique a été l'occasion d'évoquer dans quelle mesure la CSF pouvait davantage contribuer à renforcer les synergies et à partager les résultats des projets. Certains envisagent de soutenir, dans le cadre de la CSF, un évènement de réseautage régional dans chaque région ACP, ainsi qu'un évènement de réseautage global, qui couvre l'ensemble des pays ACP. Ces événements permettraient de partager les résultats et les conclusions des projets, de renforcer les synergies, ainsi que d'échanger et de présenter les outils créés dans le cadre de l'ensemble des projets AMCC. Deux recommandations issues de la troisième réunion du comité directeur du Programme intra-ACP de l'AMCC, qui s'est tenue dans les Fidji, les 9 et 10 juillet 2014, ont porté sur la future utilisation de la CSF, comme suit.</w:t>
      </w:r>
    </w:p>
    <w:p w:rsidR="006A29AC" w:rsidRPr="00D1792C" w:rsidRDefault="006A29AC" w:rsidP="006A29AC">
      <w:pPr>
        <w:rPr>
          <w:lang w:val="fr-BE"/>
        </w:rPr>
      </w:pPr>
      <w:r>
        <w:rPr>
          <w:lang w:val="fr"/>
        </w:rPr>
        <w:t>1) Le comité directeur du Programme intra-ACP a décidé de continuer à renforcer les syne</w:t>
      </w:r>
      <w:r>
        <w:rPr>
          <w:lang w:val="fr"/>
        </w:rPr>
        <w:t>r</w:t>
      </w:r>
      <w:r>
        <w:rPr>
          <w:lang w:val="fr"/>
        </w:rPr>
        <w:t>gies et les réseaux entre les organisations régionales et avec le Secrétariat ACP et l'initiative AMCC. Le Secrétariat ACP coopérera avec les organismes d'exécution régionaux pour org</w:t>
      </w:r>
      <w:r>
        <w:rPr>
          <w:lang w:val="fr"/>
        </w:rPr>
        <w:t>a</w:t>
      </w:r>
      <w:r>
        <w:rPr>
          <w:lang w:val="fr"/>
        </w:rPr>
        <w:t>niser et proposer des outils permettant ce renforcement.</w:t>
      </w:r>
    </w:p>
    <w:p w:rsidR="006A29AC" w:rsidRPr="00D1792C" w:rsidRDefault="006A29AC" w:rsidP="00AD1C0A">
      <w:pPr>
        <w:rPr>
          <w:lang w:val="fr-BE"/>
        </w:rPr>
      </w:pPr>
      <w:r>
        <w:rPr>
          <w:lang w:val="fr"/>
        </w:rPr>
        <w:t>2) Le comité directeur du Programme intra-ACP a adopté le troisième programme de travail annuel de la CSF pour 2014-2015.</w:t>
      </w:r>
    </w:p>
    <w:p w:rsidR="00D036B2" w:rsidRPr="00D1792C" w:rsidRDefault="00D036B2" w:rsidP="00AD1C0A">
      <w:pPr>
        <w:pStyle w:val="Heading2"/>
        <w:numPr>
          <w:ilvl w:val="1"/>
          <w:numId w:val="9"/>
        </w:numPr>
        <w:rPr>
          <w:lang w:val="fr-BE"/>
        </w:rPr>
      </w:pPr>
      <w:bookmarkStart w:id="39" w:name="_Toc392064219"/>
      <w:bookmarkStart w:id="40" w:name="_Toc406494026"/>
      <w:r>
        <w:rPr>
          <w:bCs/>
          <w:lang w:val="fr"/>
        </w:rPr>
        <w:t>Concernant l’impact (réalisation d’effets plus généraux)</w:t>
      </w:r>
      <w:bookmarkEnd w:id="39"/>
      <w:bookmarkEnd w:id="40"/>
    </w:p>
    <w:p w:rsidR="00D036B2" w:rsidRPr="00D1792C" w:rsidRDefault="006C6102" w:rsidP="00AD1C0A">
      <w:pPr>
        <w:ind w:left="709" w:hanging="709"/>
        <w:rPr>
          <w:b/>
          <w:i/>
          <w:lang w:val="fr-BE"/>
        </w:rPr>
      </w:pPr>
      <w:r>
        <w:rPr>
          <w:b/>
          <w:bCs/>
          <w:i/>
          <w:iCs/>
          <w:lang w:val="fr"/>
        </w:rPr>
        <w:t>QE8.</w:t>
      </w:r>
      <w:r>
        <w:rPr>
          <w:lang w:val="fr"/>
        </w:rPr>
        <w:tab/>
      </w:r>
      <w:r>
        <w:rPr>
          <w:b/>
          <w:bCs/>
          <w:i/>
          <w:iCs/>
          <w:lang w:val="fr"/>
        </w:rPr>
        <w:t>Dans quelle mesure le programme a-t-il contribué à la réalisation des objectifs g</w:t>
      </w:r>
      <w:r>
        <w:rPr>
          <w:b/>
          <w:bCs/>
          <w:i/>
          <w:iCs/>
          <w:lang w:val="fr"/>
        </w:rPr>
        <w:t>é</w:t>
      </w:r>
      <w:r>
        <w:rPr>
          <w:b/>
          <w:bCs/>
          <w:i/>
          <w:iCs/>
          <w:lang w:val="fr"/>
        </w:rPr>
        <w:t>néraux ?</w:t>
      </w:r>
    </w:p>
    <w:p w:rsidR="008F3618" w:rsidRPr="00D1792C" w:rsidRDefault="00574F09" w:rsidP="00AD1C0A">
      <w:pPr>
        <w:rPr>
          <w:lang w:val="fr-BE"/>
        </w:rPr>
      </w:pPr>
      <w:r>
        <w:rPr>
          <w:lang w:val="fr"/>
        </w:rPr>
        <w:t>L'objectif général du Programme intra-ACP de l'AMCC est de réduire la pauvreté en perme</w:t>
      </w:r>
      <w:r>
        <w:rPr>
          <w:lang w:val="fr"/>
        </w:rPr>
        <w:t>t</w:t>
      </w:r>
      <w:r>
        <w:rPr>
          <w:lang w:val="fr"/>
        </w:rPr>
        <w:t>tant aux pays de se doter de capacités de production pour une adaptation durable au chang</w:t>
      </w:r>
      <w:r>
        <w:rPr>
          <w:lang w:val="fr"/>
        </w:rPr>
        <w:t>e</w:t>
      </w:r>
      <w:r>
        <w:rPr>
          <w:lang w:val="fr"/>
        </w:rPr>
        <w:t>ment climatique. Comme évoqué précédemment dans ce rapport, un grand nombre des activ</w:t>
      </w:r>
      <w:r>
        <w:rPr>
          <w:lang w:val="fr"/>
        </w:rPr>
        <w:t>i</w:t>
      </w:r>
      <w:r>
        <w:rPr>
          <w:lang w:val="fr"/>
        </w:rPr>
        <w:t xml:space="preserve">tés soutenues par le Programme intra-ACP peuvent être très utiles sans pour autant réduire la </w:t>
      </w:r>
      <w:r>
        <w:rPr>
          <w:lang w:val="fr"/>
        </w:rPr>
        <w:lastRenderedPageBreak/>
        <w:t>pauvreté de manière proactive. Mis à part cela, un examen des impacts peut être réalisé à l'aide d'une interprétation moins stricte de cet objectif général. Il est apparent que les m</w:t>
      </w:r>
      <w:r>
        <w:rPr>
          <w:lang w:val="fr"/>
        </w:rPr>
        <w:t>é</w:t>
      </w:r>
      <w:r>
        <w:rPr>
          <w:lang w:val="fr"/>
        </w:rPr>
        <w:t>thodes utilisées par les programmes régionaux pour évaluer l'objectif général de leurs pr</w:t>
      </w:r>
      <w:r>
        <w:rPr>
          <w:lang w:val="fr"/>
        </w:rPr>
        <w:t>o</w:t>
      </w:r>
      <w:r>
        <w:rPr>
          <w:lang w:val="fr"/>
        </w:rPr>
        <w:t>grammes sont très différentes.</w:t>
      </w:r>
    </w:p>
    <w:p w:rsidR="008F3618" w:rsidRPr="00D1792C" w:rsidRDefault="00FD2139" w:rsidP="00AD1C0A">
      <w:pPr>
        <w:rPr>
          <w:lang w:val="fr-BE"/>
        </w:rPr>
      </w:pPr>
      <w:r>
        <w:rPr>
          <w:lang w:val="fr"/>
        </w:rPr>
        <w:t xml:space="preserve">Concernant </w:t>
      </w:r>
      <w:proofErr w:type="spellStart"/>
      <w:r>
        <w:rPr>
          <w:lang w:val="fr"/>
        </w:rPr>
        <w:t>ClimDev</w:t>
      </w:r>
      <w:proofErr w:type="spellEnd"/>
      <w:r>
        <w:rPr>
          <w:lang w:val="fr"/>
        </w:rPr>
        <w:t>, l'objectif général est que les politiques et décisions sur les pratiques en Afrique tiennent pleinement compte des risques et opportunités liés au changement clim</w:t>
      </w:r>
      <w:r>
        <w:rPr>
          <w:lang w:val="fr"/>
        </w:rPr>
        <w:t>a</w:t>
      </w:r>
      <w:r>
        <w:rPr>
          <w:lang w:val="fr"/>
        </w:rPr>
        <w:t>tique à tous les niveaux (régional, sous-régional, national, local, communautaire et indiv</w:t>
      </w:r>
      <w:r>
        <w:rPr>
          <w:lang w:val="fr"/>
        </w:rPr>
        <w:t>i</w:t>
      </w:r>
      <w:r>
        <w:rPr>
          <w:lang w:val="fr"/>
        </w:rPr>
        <w:t>duel). Par nature, les premiers bénéficiaires sont les décideurs africains – notamment ceux des CER, des organismes de bassin, des gouvernements nationaux et les parlementaires – et les négociateurs africains sur le climat. Les organisations régionales pour le climat, les cond</w:t>
      </w:r>
      <w:r>
        <w:rPr>
          <w:lang w:val="fr"/>
        </w:rPr>
        <w:t>i</w:t>
      </w:r>
      <w:r>
        <w:rPr>
          <w:lang w:val="fr"/>
        </w:rPr>
        <w:t>tions météorologiques et l'eau seraient aussi des bénéficiaires et elles renforceraient les a</w:t>
      </w:r>
      <w:r>
        <w:rPr>
          <w:lang w:val="fr"/>
        </w:rPr>
        <w:t>c</w:t>
      </w:r>
      <w:r>
        <w:rPr>
          <w:lang w:val="fr"/>
        </w:rPr>
        <w:t>tions des organismes nationaux visant à lutter contre le changement climatique. Les bénéf</w:t>
      </w:r>
      <w:r>
        <w:rPr>
          <w:lang w:val="fr"/>
        </w:rPr>
        <w:t>i</w:t>
      </w:r>
      <w:r>
        <w:rPr>
          <w:lang w:val="fr"/>
        </w:rPr>
        <w:t>ciaires finaux seraient les communautés rurales et urbaines dont les moyens de subsistance sont les plus touchés par le changement climatique. Parmi tous ces groupes, ce sont les nég</w:t>
      </w:r>
      <w:r>
        <w:rPr>
          <w:lang w:val="fr"/>
        </w:rPr>
        <w:t>o</w:t>
      </w:r>
      <w:r>
        <w:rPr>
          <w:lang w:val="fr"/>
        </w:rPr>
        <w:t>ciateurs africains sur le climat qui semblent, jusqu'à présent, avoir bénéficié le plus direct</w:t>
      </w:r>
      <w:r>
        <w:rPr>
          <w:lang w:val="fr"/>
        </w:rPr>
        <w:t>e</w:t>
      </w:r>
      <w:r>
        <w:rPr>
          <w:lang w:val="fr"/>
        </w:rPr>
        <w:t>ment du programme, les décideurs africains étant des bénéficiaires plus indirects. Il reste e</w:t>
      </w:r>
      <w:r>
        <w:rPr>
          <w:lang w:val="fr"/>
        </w:rPr>
        <w:t>n</w:t>
      </w:r>
      <w:r>
        <w:rPr>
          <w:lang w:val="fr"/>
        </w:rPr>
        <w:t>core beaucoup à faire avant que tous les groupes de bénéficiaires potentiels profitent réell</w:t>
      </w:r>
      <w:r>
        <w:rPr>
          <w:lang w:val="fr"/>
        </w:rPr>
        <w:t>e</w:t>
      </w:r>
      <w:r>
        <w:rPr>
          <w:lang w:val="fr"/>
        </w:rPr>
        <w:t xml:space="preserve">ment du programme </w:t>
      </w:r>
      <w:proofErr w:type="spellStart"/>
      <w:r>
        <w:rPr>
          <w:lang w:val="fr"/>
        </w:rPr>
        <w:t>ClimDev</w:t>
      </w:r>
      <w:proofErr w:type="spellEnd"/>
      <w:r>
        <w:rPr>
          <w:lang w:val="fr"/>
        </w:rPr>
        <w:t>.</w:t>
      </w:r>
    </w:p>
    <w:p w:rsidR="008F3618" w:rsidRPr="00D1792C" w:rsidRDefault="00FD2139" w:rsidP="00AD1C0A">
      <w:pPr>
        <w:rPr>
          <w:lang w:val="fr-BE"/>
        </w:rPr>
      </w:pPr>
      <w:r>
        <w:rPr>
          <w:lang w:val="fr"/>
        </w:rPr>
        <w:t>Concernant le programme USP, l'équipe de gestion du programme a souligné qu'il était i</w:t>
      </w:r>
      <w:r>
        <w:rPr>
          <w:lang w:val="fr"/>
        </w:rPr>
        <w:t>m</w:t>
      </w:r>
      <w:r>
        <w:rPr>
          <w:lang w:val="fr"/>
        </w:rPr>
        <w:t>portant de tenir compte de l'accent mis par le programme sur l'enseignement supérieur – n</w:t>
      </w:r>
      <w:r>
        <w:rPr>
          <w:lang w:val="fr"/>
        </w:rPr>
        <w:t>o</w:t>
      </w:r>
      <w:r>
        <w:rPr>
          <w:lang w:val="fr"/>
        </w:rPr>
        <w:t>tamment pour l'élément 1. D'un point de vue réaliste, les impacts ne sont susceptibles de se manifester qu'à moyen ou long terme. Toutefois, des étudiants donnent déjà des conseils pol</w:t>
      </w:r>
      <w:r>
        <w:rPr>
          <w:lang w:val="fr"/>
        </w:rPr>
        <w:t>i</w:t>
      </w:r>
      <w:r>
        <w:rPr>
          <w:lang w:val="fr"/>
        </w:rPr>
        <w:t>tiques aux pays ACP, au travers des délégations de la région Pacifique des pays ACP (PACP), lors des négociations sur le changement climatique menées dans le cadre de la CCNUCC. Il sera important de suivre la carrière de ces étudiants et une base de données est en cours de réalisation par l'USP à cette fin.</w:t>
      </w:r>
    </w:p>
    <w:p w:rsidR="008F3618" w:rsidRPr="00D1792C" w:rsidRDefault="007323AE" w:rsidP="00AD1C0A">
      <w:pPr>
        <w:rPr>
          <w:color w:val="000000"/>
          <w:lang w:val="fr-BE"/>
        </w:rPr>
      </w:pPr>
      <w:r>
        <w:rPr>
          <w:lang w:val="fr"/>
        </w:rPr>
        <w:t>Concernant le programme PEIP, les impacts attendus sont mesurés en termes de résistance au changement climatique de la population la plus vulnérable du Pacifique. L'une des façons de mesurer cette résistance consistera à obtenir le nombre de personnes qui bénéficient du pr</w:t>
      </w:r>
      <w:r>
        <w:rPr>
          <w:lang w:val="fr"/>
        </w:rPr>
        <w:t>o</w:t>
      </w:r>
      <w:r>
        <w:rPr>
          <w:lang w:val="fr"/>
        </w:rPr>
        <w:t>gramme. Sur l'île de Niue, par exemple, le projet d'adaptation vise à fournir à toutes les ma</w:t>
      </w:r>
      <w:r>
        <w:rPr>
          <w:lang w:val="fr"/>
        </w:rPr>
        <w:t>i</w:t>
      </w:r>
      <w:r>
        <w:rPr>
          <w:lang w:val="fr"/>
        </w:rPr>
        <w:t>sons habitées de chaque communauté des systèmes de stockage de l'eau et ce projet est presque terminé depuis le 3 juin 2014. Sur l'île de Nauru, une analyse approfondie de 6 mois a été réalisée en 2013 en vue d'identifier les ménages les plus vulnérables et de leur fournir un système de récupération des eaux de pluie. Les neuf projets d'adaptation menés dans le cadre du programme PEIP sont censés contribuer à renforcer la résistance des communautés l</w:t>
      </w:r>
      <w:r>
        <w:rPr>
          <w:lang w:val="fr"/>
        </w:rPr>
        <w:t>o</w:t>
      </w:r>
      <w:r>
        <w:rPr>
          <w:lang w:val="fr"/>
        </w:rPr>
        <w:t xml:space="preserve">cales, réduire leur vulnérabilité à moyen terme et fournir des idées </w:t>
      </w:r>
      <w:r>
        <w:rPr>
          <w:color w:val="000000"/>
          <w:lang w:val="fr"/>
        </w:rPr>
        <w:t>et des expériences pour de futures interventions. En juin 2014, la 4</w:t>
      </w:r>
      <w:r>
        <w:rPr>
          <w:color w:val="000000"/>
          <w:vertAlign w:val="superscript"/>
          <w:lang w:val="fr"/>
        </w:rPr>
        <w:t>e</w:t>
      </w:r>
      <w:r>
        <w:rPr>
          <w:color w:val="000000"/>
          <w:lang w:val="fr"/>
        </w:rPr>
        <w:t xml:space="preserve"> réunion du comité directeur a eu pour objectif d'examiner les progrès dans le cadre de la stratégie de sortie du projet et, en coopération avec d'autres partenaires de développement, d'identifier des moyens de développer à plus grande échelle et de poursuivre certaines des activités existantes.</w:t>
      </w:r>
    </w:p>
    <w:p w:rsidR="00BF50CB" w:rsidRPr="00D1792C" w:rsidRDefault="00772C90" w:rsidP="00AD1C0A">
      <w:pPr>
        <w:rPr>
          <w:color w:val="000000"/>
          <w:lang w:val="fr-BE"/>
        </w:rPr>
      </w:pPr>
      <w:r>
        <w:rPr>
          <w:lang w:val="fr"/>
        </w:rPr>
        <w:t>Le programme CILSS/</w:t>
      </w:r>
      <w:proofErr w:type="spellStart"/>
      <w:r>
        <w:rPr>
          <w:lang w:val="fr"/>
        </w:rPr>
        <w:t>Agrhymet</w:t>
      </w:r>
      <w:proofErr w:type="spellEnd"/>
      <w:r>
        <w:rPr>
          <w:lang w:val="fr"/>
        </w:rPr>
        <w:t xml:space="preserve"> contribue le plus directement à l'objectif général du Pr</w:t>
      </w:r>
      <w:r>
        <w:rPr>
          <w:lang w:val="fr"/>
        </w:rPr>
        <w:t>o</w:t>
      </w:r>
      <w:r>
        <w:rPr>
          <w:lang w:val="fr"/>
        </w:rPr>
        <w:t xml:space="preserve">gramme intra-ACP de l'AMCC de </w:t>
      </w:r>
      <w:r>
        <w:rPr>
          <w:i/>
          <w:iCs/>
          <w:lang w:val="fr"/>
        </w:rPr>
        <w:t>réduire la pauvreté en permettant aux pays d'adopter des pratiques et des ressources durables pour s'adapter au changement climatique</w:t>
      </w:r>
      <w:r>
        <w:rPr>
          <w:lang w:val="fr"/>
        </w:rPr>
        <w:t xml:space="preserve">. L'évaluation du programme CILSS/Agrhymet a souligné que le programme contribuait de manière très </w:t>
      </w:r>
      <w:r>
        <w:rPr>
          <w:lang w:val="fr"/>
        </w:rPr>
        <w:lastRenderedPageBreak/>
        <w:t>utile et significative à renforcer les capacités des pays d'Afrique de l'Ouest et des acteurs r</w:t>
      </w:r>
      <w:r>
        <w:rPr>
          <w:lang w:val="fr"/>
        </w:rPr>
        <w:t>é</w:t>
      </w:r>
      <w:r>
        <w:rPr>
          <w:lang w:val="fr"/>
        </w:rPr>
        <w:t>gionaux, ainsi qu'à définir et mettre en œuvre des politiques et stratégies intégrant le chang</w:t>
      </w:r>
      <w:r>
        <w:rPr>
          <w:lang w:val="fr"/>
        </w:rPr>
        <w:t>e</w:t>
      </w:r>
      <w:r>
        <w:rPr>
          <w:lang w:val="fr"/>
        </w:rPr>
        <w:t xml:space="preserve">ment climatique dans les plans et les programmes de développement. </w:t>
      </w:r>
      <w:r>
        <w:rPr>
          <w:color w:val="000000"/>
          <w:lang w:val="fr"/>
        </w:rPr>
        <w:t xml:space="preserve">Le programme </w:t>
      </w:r>
      <w:r>
        <w:rPr>
          <w:lang w:val="fr"/>
        </w:rPr>
        <w:t xml:space="preserve">CILSS/Agrhymet est également sur la bonne voie pour obtenir les trois résultats attendus, même s'il faut prolonger le projet d'environ six mois. </w:t>
      </w:r>
      <w:r>
        <w:rPr>
          <w:lang w:val="fr"/>
        </w:rPr>
        <w:br/>
        <w:t>Les systèmes d'information sur le climat se sont nettement améliorés, ainsi que les capacités d'analyse de l'évolution du climat et de ses conséquences en Afrique de l'Ouest. Cependant, établir un lien plus direct avec les systèmes nationaux d'information sur le climat pour les agriculteurs, notamment les systèmes d'alerte précoce, améliorerait considérablement la pe</w:t>
      </w:r>
      <w:r>
        <w:rPr>
          <w:lang w:val="fr"/>
        </w:rPr>
        <w:t>r</w:t>
      </w:r>
      <w:r>
        <w:rPr>
          <w:lang w:val="fr"/>
        </w:rPr>
        <w:t>ception du programme. Les enjeux du changement climatique, des solutions à faibles émi</w:t>
      </w:r>
      <w:r>
        <w:rPr>
          <w:lang w:val="fr"/>
        </w:rPr>
        <w:t>s</w:t>
      </w:r>
      <w:r>
        <w:rPr>
          <w:lang w:val="fr"/>
        </w:rPr>
        <w:t>sions de carbone et de la résistance au climat sont aujourd'hui intégrés dans les stratégies n</w:t>
      </w:r>
      <w:r>
        <w:rPr>
          <w:lang w:val="fr"/>
        </w:rPr>
        <w:t>a</w:t>
      </w:r>
      <w:r>
        <w:rPr>
          <w:lang w:val="fr"/>
        </w:rPr>
        <w:t>tionales de développement, tandis que leur intégration dans les stratégies régionales (de la CEDEAO) est moins visible. Les capacités pour les négociations sur le climat et l'accès à des mécanismes de financement des marchés du carbone en Afrique de l'Ouest ont été renforcées, mais doivent l'être encore davantage, notamment afin de se préparer à la conférence CdP 21 (Paris, décembre 2015), en étroite coopération avec la société civile africaine.</w:t>
      </w:r>
    </w:p>
    <w:p w:rsidR="008F3618" w:rsidRPr="00D1792C" w:rsidRDefault="00981F6F" w:rsidP="00AD1C0A">
      <w:pPr>
        <w:rPr>
          <w:lang w:val="fr-BE"/>
        </w:rPr>
      </w:pPr>
      <w:r>
        <w:rPr>
          <w:color w:val="000000"/>
          <w:lang w:val="fr"/>
        </w:rPr>
        <w:t>L'objectif général du programme CCCCC</w:t>
      </w:r>
      <w:r>
        <w:rPr>
          <w:lang w:val="fr"/>
        </w:rPr>
        <w:t xml:space="preserve"> est de soutenir le développement durable dans la région des Caraïbes, en préservant les progrès réalisés par les pays sur la voie des OMD.</w:t>
      </w:r>
      <w:r>
        <w:rPr>
          <w:color w:val="000000"/>
          <w:lang w:val="fr"/>
        </w:rPr>
        <w:t xml:space="preserve"> Il est trop tôt pour parler</w:t>
      </w:r>
      <w:r>
        <w:rPr>
          <w:lang w:val="fr"/>
        </w:rPr>
        <w:t xml:space="preserve"> des impacts de ce programme, dans la mesure où l'essentiel des obje</w:t>
      </w:r>
      <w:r>
        <w:rPr>
          <w:lang w:val="fr"/>
        </w:rPr>
        <w:t>c</w:t>
      </w:r>
      <w:r>
        <w:rPr>
          <w:lang w:val="fr"/>
        </w:rPr>
        <w:t>tifs sont à très long terme et le programme a connu un démarrage lent. Même après la mise en œuvre de toutes les activités, ce qui se fera dans le cadre d'un léger rallongement du pr</w:t>
      </w:r>
      <w:r>
        <w:rPr>
          <w:lang w:val="fr"/>
        </w:rPr>
        <w:t>o</w:t>
      </w:r>
      <w:r>
        <w:rPr>
          <w:lang w:val="fr"/>
        </w:rPr>
        <w:t>gramme, le nombre de bénéficiaires identifiables sera faible. Cependant, le programme a de grandes chances d'avoir un impact plus visible et quantifiable sur le long terme.</w:t>
      </w:r>
    </w:p>
    <w:p w:rsidR="008F3618" w:rsidRPr="00D1792C" w:rsidRDefault="00981F6F" w:rsidP="00AD1C0A">
      <w:pPr>
        <w:rPr>
          <w:lang w:val="fr-BE"/>
        </w:rPr>
      </w:pPr>
      <w:r>
        <w:rPr>
          <w:color w:val="000000"/>
          <w:lang w:val="fr"/>
        </w:rPr>
        <w:t>Enfin, l'objectif général du programme COMESA</w:t>
      </w:r>
      <w:r>
        <w:rPr>
          <w:lang w:val="fr"/>
        </w:rPr>
        <w:t xml:space="preserve"> est de lutter contre les incidences du cha</w:t>
      </w:r>
      <w:r>
        <w:rPr>
          <w:lang w:val="fr"/>
        </w:rPr>
        <w:t>n</w:t>
      </w:r>
      <w:r>
        <w:rPr>
          <w:lang w:val="fr"/>
        </w:rPr>
        <w:t>gement climatique dans la région, grâce à des activités d'adaptation et d'atténuation qui re</w:t>
      </w:r>
      <w:r>
        <w:rPr>
          <w:lang w:val="fr"/>
        </w:rPr>
        <w:t>n</w:t>
      </w:r>
      <w:r>
        <w:rPr>
          <w:lang w:val="fr"/>
        </w:rPr>
        <w:t>forcent la résistance économique et sociale.</w:t>
      </w:r>
      <w:r w:rsidR="004A21A4">
        <w:rPr>
          <w:lang w:val="fr"/>
        </w:rPr>
        <w:t xml:space="preserve"> </w:t>
      </w:r>
      <w:r>
        <w:rPr>
          <w:color w:val="000000"/>
          <w:lang w:val="fr"/>
        </w:rPr>
        <w:t>L’impact</w:t>
      </w:r>
      <w:r>
        <w:rPr>
          <w:lang w:val="fr"/>
        </w:rPr>
        <w:t xml:space="preserve"> du programme COMESA n'a pas pu être correctement mesuré dans le cadre de cette évaluation, car davantage de temps et de d</w:t>
      </w:r>
      <w:r>
        <w:rPr>
          <w:lang w:val="fr"/>
        </w:rPr>
        <w:t>é</w:t>
      </w:r>
      <w:r>
        <w:rPr>
          <w:lang w:val="fr"/>
        </w:rPr>
        <w:t>placements dans plusieurs pays auraient été nécessaires. Il faut toutefois tenir compte de son démarrage lent ; le programme n'est devenu raisonnablement opérationnel qu'au cours des neuf derniers mois. Un autre problème concerne la façon dont les résultats sont communiqués et le manque de détails au sujet de ce que le programme soutient et réalise réellement. Comme le programme ClimDev, soutenir l'AGN est considéré comme l'un des principaux objectifs. L'accent mis par le programme COMESA sur les femmes et les activités sur le te</w:t>
      </w:r>
      <w:r>
        <w:rPr>
          <w:lang w:val="fr"/>
        </w:rPr>
        <w:t>r</w:t>
      </w:r>
      <w:r>
        <w:rPr>
          <w:lang w:val="fr"/>
        </w:rPr>
        <w:t>rain dans des domaines tels que l’AIC, en vue d'influencer les politiques, est remarquable, mais les résultats réellement obtenus doivent être mieux appréhendés. Maintenant que des experts en S&amp;E sont en place dans les trois CER, il est désormais possible d'améliorer aussi bien les activités de suivi que celles d'évaluation.</w:t>
      </w:r>
    </w:p>
    <w:p w:rsidR="00D522AD" w:rsidRPr="00D1792C" w:rsidRDefault="00D522AD" w:rsidP="00AD1C0A">
      <w:pPr>
        <w:rPr>
          <w:color w:val="808080" w:themeColor="background1" w:themeShade="80"/>
          <w:lang w:val="fr-BE"/>
        </w:rPr>
      </w:pPr>
      <w:r>
        <w:rPr>
          <w:lang w:val="fr"/>
        </w:rPr>
        <w:t>Globalement, les programmes régionaux ont reçu la note de C (problèmes) sur cette question d'évaluation, car trois programmes se situent « en-dessous de la norme ».</w:t>
      </w:r>
    </w:p>
    <w:p w:rsidR="00C50C75" w:rsidRPr="00D1792C" w:rsidRDefault="00C74D2B" w:rsidP="00AD1C0A">
      <w:pPr>
        <w:ind w:left="709" w:hanging="709"/>
        <w:rPr>
          <w:b/>
          <w:i/>
          <w:lang w:val="fr-BE"/>
        </w:rPr>
      </w:pPr>
      <w:r>
        <w:rPr>
          <w:b/>
          <w:bCs/>
          <w:i/>
          <w:iCs/>
          <w:lang w:val="fr"/>
        </w:rPr>
        <w:t>QE9.</w:t>
      </w:r>
      <w:r>
        <w:rPr>
          <w:lang w:val="fr"/>
        </w:rPr>
        <w:tab/>
      </w:r>
      <w:r>
        <w:rPr>
          <w:b/>
          <w:bCs/>
          <w:i/>
          <w:iCs/>
          <w:lang w:val="fr"/>
        </w:rPr>
        <w:t>Dans quelle mesure le programme contribue-t-il à la visibilité et à une bonne rép</w:t>
      </w:r>
      <w:r>
        <w:rPr>
          <w:b/>
          <w:bCs/>
          <w:i/>
          <w:iCs/>
          <w:lang w:val="fr"/>
        </w:rPr>
        <w:t>u</w:t>
      </w:r>
      <w:r>
        <w:rPr>
          <w:b/>
          <w:bCs/>
          <w:i/>
          <w:iCs/>
          <w:lang w:val="fr"/>
        </w:rPr>
        <w:t>tation des actions de l'UE et de l'ACP dans le domaine de la lutte contre les cha</w:t>
      </w:r>
      <w:r>
        <w:rPr>
          <w:b/>
          <w:bCs/>
          <w:i/>
          <w:iCs/>
          <w:lang w:val="fr"/>
        </w:rPr>
        <w:t>n</w:t>
      </w:r>
      <w:r>
        <w:rPr>
          <w:b/>
          <w:bCs/>
          <w:i/>
          <w:iCs/>
          <w:lang w:val="fr"/>
        </w:rPr>
        <w:t>gements climatiques ?</w:t>
      </w:r>
    </w:p>
    <w:p w:rsidR="008F3618" w:rsidRPr="00D1792C" w:rsidRDefault="0003569C" w:rsidP="00AD1C0A">
      <w:pPr>
        <w:rPr>
          <w:lang w:val="fr-BE"/>
        </w:rPr>
      </w:pPr>
      <w:r>
        <w:rPr>
          <w:lang w:val="fr"/>
        </w:rPr>
        <w:lastRenderedPageBreak/>
        <w:t>Cette question d'évaluation visait à recueillir des informations sur la sensibilisation au rôle important joué par l'UE et l'ACP dans le soutien des activités du Programme intra-ACP. Dans cette section, l'objectif est de donner une idée de la diversité et de la qualité des évènements et produits de visibilité, et de déterminer dans quelle mesure des progrès sont possibles.</w:t>
      </w:r>
    </w:p>
    <w:p w:rsidR="008F3618" w:rsidRPr="00D1792C" w:rsidRDefault="0003569C" w:rsidP="00AD1C0A">
      <w:pPr>
        <w:rPr>
          <w:lang w:val="fr-BE"/>
        </w:rPr>
      </w:pPr>
      <w:r>
        <w:rPr>
          <w:lang w:val="fr"/>
        </w:rPr>
        <w:t>Le CCCCC a fait plusieurs présentations sur le programme auprès des gouvernements nati</w:t>
      </w:r>
      <w:r>
        <w:rPr>
          <w:lang w:val="fr"/>
        </w:rPr>
        <w:t>o</w:t>
      </w:r>
      <w:r>
        <w:rPr>
          <w:lang w:val="fr"/>
        </w:rPr>
        <w:t>naux et autres organismes partenaires. Les logos de l'UE et de l'AMCC ont été utilisés sur des papiers à en-tête et des petits articles de bureau pour toutes les communications et ont été affichés dans des évènements publics, notamment des ateliers de formation et des réunions de planification relatifs au programme. De petits objets promotionnels tels que des chemises polo portant le logo du CCCCC et de l'UE ont été fabriqués et distribués lors des évènements du programme, y compris les ateliers de formation et les réunions de planification de projet. Tous les biens fabriqués pour le projet ont été ou seront estampillés du logo de l'UE, comme prévu. Par ailleurs, le spécialiste de la communication du CCCCC a développé une stratégie de communication globale et un plan de visibilité du programme, qui incluent des activités de communication et de visibilité. La visite d'évaluation au Belize a eu lieu juste après un « év</w:t>
      </w:r>
      <w:r>
        <w:rPr>
          <w:lang w:val="fr"/>
        </w:rPr>
        <w:t>è</w:t>
      </w:r>
      <w:r>
        <w:rPr>
          <w:lang w:val="fr"/>
        </w:rPr>
        <w:t>nement de visibilité média », auquel a participé le personnel de l'UE en provenance de J</w:t>
      </w:r>
      <w:r>
        <w:rPr>
          <w:lang w:val="fr"/>
        </w:rPr>
        <w:t>a</w:t>
      </w:r>
      <w:r>
        <w:rPr>
          <w:lang w:val="fr"/>
        </w:rPr>
        <w:t>maïque chargé de suivre le programme CCCCC. Si l'UE jouit d'une bonne visibilité, celle de l'ACP est minimale.</w:t>
      </w:r>
    </w:p>
    <w:p w:rsidR="008F3618" w:rsidRPr="00D1792C" w:rsidRDefault="0003569C" w:rsidP="00AD1C0A">
      <w:pPr>
        <w:rPr>
          <w:lang w:val="fr-BE"/>
        </w:rPr>
      </w:pPr>
      <w:r>
        <w:rPr>
          <w:lang w:val="fr"/>
        </w:rPr>
        <w:t>En Afrique de l'Ouest, concernant le programme CILSS/Agrhymet, l'évaluation a identifié de nombreuses activités de communication et de visibilité à fort impact. Elle a conclu que le programme CILSS/Agrhymet contribuait vivement à souligner le rôle important joué par l'UE et le Secrétariat ACP dans la lutte contre le changement climatique. Les activités en Afrique de l'Ouest du Programme intra-ACP font l'objet d'une bonne couverture médiatique, nota</w:t>
      </w:r>
      <w:r>
        <w:rPr>
          <w:lang w:val="fr"/>
        </w:rPr>
        <w:t>m</w:t>
      </w:r>
      <w:r>
        <w:rPr>
          <w:lang w:val="fr"/>
        </w:rPr>
        <w:t>ment la couverture des ateliers et évènements dans la presse nationale et dans des émissions télévisées nationales et sous-régionales. Le rôle joué par l'UE et le Secrétariat ACP pour o</w:t>
      </w:r>
      <w:r>
        <w:rPr>
          <w:lang w:val="fr"/>
        </w:rPr>
        <w:t>r</w:t>
      </w:r>
      <w:r>
        <w:rPr>
          <w:lang w:val="fr"/>
        </w:rPr>
        <w:t>ganiser ces activités est clairement souligné.</w:t>
      </w:r>
    </w:p>
    <w:p w:rsidR="008F3618" w:rsidRPr="00D1792C" w:rsidRDefault="0003569C" w:rsidP="00AD1C0A">
      <w:pPr>
        <w:rPr>
          <w:lang w:val="fr-BE"/>
        </w:rPr>
      </w:pPr>
      <w:r>
        <w:rPr>
          <w:lang w:val="fr"/>
        </w:rPr>
        <w:t>Concernant le programme USP, une page Internet a été créée, qui propose de nombreuses informations sur les activités du programme (http://eugcca.usp.ac.fj). La page Internet du centre d'information du programme USP propose un accès à des ressources en ligne telles que i) des informations sur la science du climat, ii) des documents sur les incidences du chang</w:t>
      </w:r>
      <w:r>
        <w:rPr>
          <w:lang w:val="fr"/>
        </w:rPr>
        <w:t>e</w:t>
      </w:r>
      <w:r>
        <w:rPr>
          <w:lang w:val="fr"/>
        </w:rPr>
        <w:t>ment et de la variabilité climatique, iii) des documents sur l'intégration des connaissances traditionnelles, iv) des enseignements tirés par les communautés et les anciens projets d'ada</w:t>
      </w:r>
      <w:r>
        <w:rPr>
          <w:lang w:val="fr"/>
        </w:rPr>
        <w:t>p</w:t>
      </w:r>
      <w:r>
        <w:rPr>
          <w:lang w:val="fr"/>
        </w:rPr>
        <w:t>tation communautaires et v) un catalogue des bonnes pratiques en matière d'adaptation. Le site Internet affiche à la fois les logos de l'UE et de l'ACP et des références sont faites à l'UE. Cependant, l'ACP n'est pas du tout expliqué. Si le programme USP l'est, l'acronyme intra-ACP est utilisé sans aucune information sur ce qu'il signifie.</w:t>
      </w:r>
    </w:p>
    <w:p w:rsidR="008F3618" w:rsidRPr="00D1792C" w:rsidRDefault="00B3318A" w:rsidP="00AD1C0A">
      <w:pPr>
        <w:rPr>
          <w:lang w:val="fr-BE"/>
        </w:rPr>
      </w:pPr>
      <w:r>
        <w:rPr>
          <w:lang w:val="fr"/>
        </w:rPr>
        <w:t>Concernant le programme PEIP de l'AMCC, les activités de communication et de visibilité sont considérées comme plutôt satisfaisantes. Un plan de communication sur le changement climatique a été préparé et sert à la planification et l'évaluation. Une page Internet (</w:t>
      </w:r>
      <w:hyperlink r:id="rId15" w:history="1">
        <w:r>
          <w:rPr>
            <w:lang w:val="fr"/>
          </w:rPr>
          <w:t>http://www.gcca.eu/fr/programmes-regionaux/amcc-pacifique-spc</w:t>
        </w:r>
      </w:hyperlink>
      <w:r>
        <w:rPr>
          <w:lang w:val="fr"/>
        </w:rPr>
        <w:t>) a été créée, avec des i</w:t>
      </w:r>
      <w:r>
        <w:rPr>
          <w:lang w:val="fr"/>
        </w:rPr>
        <w:t>n</w:t>
      </w:r>
      <w:r>
        <w:rPr>
          <w:lang w:val="fr"/>
        </w:rPr>
        <w:t>formations sur les activités par pays, mais elle fait partie du même site Internet que celui pa</w:t>
      </w:r>
      <w:r>
        <w:rPr>
          <w:lang w:val="fr"/>
        </w:rPr>
        <w:t>r</w:t>
      </w:r>
      <w:r>
        <w:rPr>
          <w:lang w:val="fr"/>
        </w:rPr>
        <w:t>tagé par tous les projets et programmes intra-ACP et AMCC. Le site Internet Pacific Climate Change Portal (portail sur le changement climatique dans le Pacifique) contient également des informations sur le projet et le logo de l'UE figure dans la section consacrée aux part</w:t>
      </w:r>
      <w:r>
        <w:rPr>
          <w:lang w:val="fr"/>
        </w:rPr>
        <w:t>e</w:t>
      </w:r>
      <w:r>
        <w:rPr>
          <w:lang w:val="fr"/>
        </w:rPr>
        <w:lastRenderedPageBreak/>
        <w:t>naires internationaux, mais pas celui de l'ACP. Des bulletins d’information sur le CPS et le SPROE, ainsi que des bulletins d’information nationaux et d'autres mécanismes sont utilisés à des fins de communication et soutenus par des communiqués de presse au niveau national et du CPS.</w:t>
      </w:r>
    </w:p>
    <w:p w:rsidR="008F3618" w:rsidRPr="00D1792C" w:rsidRDefault="00CB2CEB" w:rsidP="00AD1C0A">
      <w:pPr>
        <w:rPr>
          <w:lang w:val="fr-BE"/>
        </w:rPr>
      </w:pPr>
      <w:r>
        <w:rPr>
          <w:lang w:val="fr"/>
        </w:rPr>
        <w:t>Concernant le programme COMESA, des points positifs comme négatifs peuvent être ident</w:t>
      </w:r>
      <w:r>
        <w:rPr>
          <w:lang w:val="fr"/>
        </w:rPr>
        <w:t>i</w:t>
      </w:r>
      <w:r>
        <w:rPr>
          <w:lang w:val="fr"/>
        </w:rPr>
        <w:t>fiés. Une étape importante a consisté à recruter un spécialiste de la communication, qui prend la visibilité du programme très au sérieux et devrait améliorer ainsi son image. L'une des di</w:t>
      </w:r>
      <w:r>
        <w:rPr>
          <w:lang w:val="fr"/>
        </w:rPr>
        <w:t>f</w:t>
      </w:r>
      <w:r>
        <w:rPr>
          <w:lang w:val="fr"/>
        </w:rPr>
        <w:t>ficultés, à ce stade, est que le programme COMESA n’a pas encore fait ses preuves comme un organisme solide, viable et reconnu. Cela est en partie dû à la gestion du programme. Des évènements tels que des séances et des ateliers de formation peuvent avoir lieu dans diff</w:t>
      </w:r>
      <w:r>
        <w:rPr>
          <w:lang w:val="fr"/>
        </w:rPr>
        <w:t>é</w:t>
      </w:r>
      <w:r>
        <w:rPr>
          <w:lang w:val="fr"/>
        </w:rPr>
        <w:t>rents coins de la région, pourtant des acteurs pertinents des pays bénéficiaires, comme les personnes impliquées dans les projets nationaux de l'AMCC, l’ignorent. Une partie des pr</w:t>
      </w:r>
      <w:r>
        <w:rPr>
          <w:lang w:val="fr"/>
        </w:rPr>
        <w:t>o</w:t>
      </w:r>
      <w:r>
        <w:rPr>
          <w:lang w:val="fr"/>
        </w:rPr>
        <w:t>blèmes de visibilité du programme concerne son manque d'intégration dans le milieu des pr</w:t>
      </w:r>
      <w:r>
        <w:rPr>
          <w:lang w:val="fr"/>
        </w:rPr>
        <w:t>o</w:t>
      </w:r>
      <w:r>
        <w:rPr>
          <w:lang w:val="fr"/>
        </w:rPr>
        <w:t>fessionnels et organisations de lutte contre le changement climatique / de développement, ce qui est plus inquiétant que le manque de visibilité dans les médias. Une récente réunion du comité directeur du programme a souligné qu'une étape nécessaire serait de renforcer la vis</w:t>
      </w:r>
      <w:r>
        <w:rPr>
          <w:lang w:val="fr"/>
        </w:rPr>
        <w:t>i</w:t>
      </w:r>
      <w:r>
        <w:rPr>
          <w:lang w:val="fr"/>
        </w:rPr>
        <w:t>bilité du programme.</w:t>
      </w:r>
    </w:p>
    <w:p w:rsidR="0003569C" w:rsidRPr="00D1792C" w:rsidRDefault="0003569C" w:rsidP="00AD1C0A">
      <w:pPr>
        <w:rPr>
          <w:lang w:val="fr-BE"/>
        </w:rPr>
      </w:pPr>
      <w:r>
        <w:rPr>
          <w:lang w:val="fr"/>
        </w:rPr>
        <w:t>Lorsque le programme COMESA s'est affirmé sur les questions de communication, un effort délibéré a été fait afin de mettre l'UE en avant. Le programme a fortement contribué à la vis</w:t>
      </w:r>
      <w:r>
        <w:rPr>
          <w:lang w:val="fr"/>
        </w:rPr>
        <w:t>i</w:t>
      </w:r>
      <w:r>
        <w:rPr>
          <w:lang w:val="fr"/>
        </w:rPr>
        <w:t>bilité et à la bonne image de l'UE dans le domaine de la lutte contre le changement climatique grâce à la stratégie délibérée de valorisation de l’UE que les CER ont adoptée à titre indiv</w:t>
      </w:r>
      <w:r>
        <w:rPr>
          <w:lang w:val="fr"/>
        </w:rPr>
        <w:t>i</w:t>
      </w:r>
      <w:r>
        <w:rPr>
          <w:lang w:val="fr"/>
        </w:rPr>
        <w:t>duel ou de manière collective dans le cadre de la mise en œuvre des activités aux niveaux national, régional et international. On a pu notamment l'observer lors des négociations sur le changement climatique et au travers du soutien aux stratégies de riposte au changement cl</w:t>
      </w:r>
      <w:r>
        <w:rPr>
          <w:lang w:val="fr"/>
        </w:rPr>
        <w:t>i</w:t>
      </w:r>
      <w:r>
        <w:rPr>
          <w:lang w:val="fr"/>
        </w:rPr>
        <w:t>matique.</w:t>
      </w:r>
    </w:p>
    <w:p w:rsidR="0003569C" w:rsidRPr="00D1792C" w:rsidRDefault="0003569C" w:rsidP="00AD1C0A">
      <w:pPr>
        <w:rPr>
          <w:lang w:val="fr-BE"/>
        </w:rPr>
      </w:pPr>
      <w:r>
        <w:rPr>
          <w:lang w:val="fr"/>
        </w:rPr>
        <w:t>Le personnel chargé de l'information et de la communication de la CDAA et du COMESA définissent actuellement une stratégie renforcée de publicité et de communication pour le programme en 2014. Le COMESA et la CAE sont en train de développer des stratégies de communication sur le changement climatique, qui s'intégreront à la stratégie de communic</w:t>
      </w:r>
      <w:r>
        <w:rPr>
          <w:lang w:val="fr"/>
        </w:rPr>
        <w:t>a</w:t>
      </w:r>
      <w:r>
        <w:rPr>
          <w:lang w:val="fr"/>
        </w:rPr>
        <w:t>tion du programme afin de renforcer sa visibilité.</w:t>
      </w:r>
    </w:p>
    <w:p w:rsidR="008F3618" w:rsidRPr="00D1792C" w:rsidRDefault="0003569C" w:rsidP="00AD1C0A">
      <w:pPr>
        <w:rPr>
          <w:lang w:val="fr-BE"/>
        </w:rPr>
      </w:pPr>
      <w:r>
        <w:rPr>
          <w:lang w:val="fr"/>
        </w:rPr>
        <w:t>On ne trouve quasiment aucune trace du Programme intra-ACP sur le site Internet du COMESA. Il n'existe aucun site Internet mise à part la page Internet sur le site de l'AMCC. En revanche, le programme COMESA fait une utilisation unique des médias sociaux. Il s'agit, par exemple, du seul programme régional à avoir une page Facebook.</w:t>
      </w:r>
    </w:p>
    <w:p w:rsidR="0040349C" w:rsidRPr="00D1792C" w:rsidRDefault="0003569C" w:rsidP="00AD1C0A">
      <w:pPr>
        <w:rPr>
          <w:lang w:val="fr-BE"/>
        </w:rPr>
      </w:pPr>
      <w:r>
        <w:rPr>
          <w:lang w:val="fr"/>
        </w:rPr>
        <w:t>Globalement, la présence sur Internet de tous les programmes régionaux pourrait être améli</w:t>
      </w:r>
      <w:r>
        <w:rPr>
          <w:lang w:val="fr"/>
        </w:rPr>
        <w:t>o</w:t>
      </w:r>
      <w:r>
        <w:rPr>
          <w:lang w:val="fr"/>
        </w:rPr>
        <w:t>rée. Il pourrait s'agir, pour commencer, soit d'un site Internet dédié, soit au moins d'une se</w:t>
      </w:r>
      <w:r>
        <w:rPr>
          <w:lang w:val="fr"/>
        </w:rPr>
        <w:t>c</w:t>
      </w:r>
      <w:r>
        <w:rPr>
          <w:lang w:val="fr"/>
        </w:rPr>
        <w:t>tion claire et approfondie sur le site Internet du partenaire d'exécution. Des lignes directrices standard devraient être définies sur les attentes, pour chaque programme régional, en termes de niveaux de visibilité de l'UE et du Secrétariat ACP. Elles devraient également inclure des procédures standard pour s'assurer que des évènements tels que les séances de formation sont bien promus dans les pays bénéficiaires, que des occasions de renforcer la visibilité du pr</w:t>
      </w:r>
      <w:r>
        <w:rPr>
          <w:lang w:val="fr"/>
        </w:rPr>
        <w:t>o</w:t>
      </w:r>
      <w:r>
        <w:rPr>
          <w:lang w:val="fr"/>
        </w:rPr>
        <w:t>gramme dans les médias sont exploitées et qu'il n'y a pas de confusion entre les programmes régionaux et les activités des programmes nationaux de l'AMCC.</w:t>
      </w:r>
    </w:p>
    <w:p w:rsidR="008F3618" w:rsidRPr="00D1792C" w:rsidRDefault="001D5A5D" w:rsidP="00AD1C0A">
      <w:pPr>
        <w:rPr>
          <w:lang w:val="fr-BE"/>
        </w:rPr>
      </w:pPr>
      <w:r>
        <w:rPr>
          <w:lang w:val="fr"/>
        </w:rPr>
        <w:lastRenderedPageBreak/>
        <w:t>Dans l'ensemble, la note de B est attribuée sur la question de la visibilité de l'UE et de l'ACP.</w:t>
      </w:r>
    </w:p>
    <w:p w:rsidR="00D036B2" w:rsidRPr="00D1792C" w:rsidRDefault="00D036B2" w:rsidP="00AD1C0A">
      <w:pPr>
        <w:pStyle w:val="Heading2"/>
        <w:numPr>
          <w:ilvl w:val="1"/>
          <w:numId w:val="9"/>
        </w:numPr>
        <w:rPr>
          <w:lang w:val="fr-BE"/>
        </w:rPr>
      </w:pPr>
      <w:bookmarkStart w:id="41" w:name="_Toc392064220"/>
      <w:bookmarkStart w:id="42" w:name="_Toc406494027"/>
      <w:r>
        <w:rPr>
          <w:bCs/>
          <w:lang w:val="fr"/>
        </w:rPr>
        <w:t>Concernant la durabilité (suite probable des résultats atteints)</w:t>
      </w:r>
      <w:bookmarkEnd w:id="41"/>
      <w:bookmarkEnd w:id="42"/>
    </w:p>
    <w:p w:rsidR="008F3618" w:rsidRPr="00D1792C" w:rsidRDefault="00C76D67" w:rsidP="00AD1C0A">
      <w:pPr>
        <w:ind w:left="709" w:hanging="709"/>
        <w:rPr>
          <w:lang w:val="fr-BE"/>
        </w:rPr>
      </w:pPr>
      <w:r>
        <w:rPr>
          <w:b/>
          <w:bCs/>
          <w:i/>
          <w:iCs/>
          <w:lang w:val="fr"/>
        </w:rPr>
        <w:t>QE 10.</w:t>
      </w:r>
      <w:r>
        <w:rPr>
          <w:lang w:val="fr"/>
        </w:rPr>
        <w:tab/>
      </w:r>
      <w:r>
        <w:rPr>
          <w:b/>
          <w:bCs/>
          <w:i/>
          <w:iCs/>
          <w:lang w:val="fr"/>
        </w:rPr>
        <w:t xml:space="preserve"> Dans quelle mesure les conditions sont-elles présentes et les mécanismes en place pour soutenir les résultats du programme et assurer la viabilité des bénéfices du programme sur le long terme auprès des bénéficiaires ?</w:t>
      </w:r>
    </w:p>
    <w:p w:rsidR="008F3618" w:rsidRPr="00D1792C" w:rsidRDefault="009E0ECC" w:rsidP="00AD1C0A">
      <w:pPr>
        <w:rPr>
          <w:lang w:val="fr-BE"/>
        </w:rPr>
      </w:pPr>
      <w:r>
        <w:rPr>
          <w:lang w:val="fr"/>
        </w:rPr>
        <w:t>Étant donné le lent démarrage de la plupart des programmes régionaux, une discussion sur la durabilité semble quelque peu prématurée. Cette discussion est donc davantage axée sur la réalisation des conditions de durabilité. Toutefois, il existe certains exemples satisfaisants de durabilité et d'autres points importants sont examinés.</w:t>
      </w:r>
    </w:p>
    <w:p w:rsidR="008F3618" w:rsidRPr="00D1792C" w:rsidRDefault="00A93019" w:rsidP="00AD1C0A">
      <w:pPr>
        <w:rPr>
          <w:iCs/>
          <w:lang w:val="fr-BE"/>
        </w:rPr>
      </w:pPr>
      <w:r>
        <w:rPr>
          <w:lang w:val="fr"/>
        </w:rPr>
        <w:t>Concernant le programme CCCCC, le principal objectif a été de s'assurer que les actions étaient bien conçues et intégrées dans les systèmes et structures nationaux. Comme le so</w:t>
      </w:r>
      <w:r>
        <w:rPr>
          <w:lang w:val="fr"/>
        </w:rPr>
        <w:t>u</w:t>
      </w:r>
      <w:r>
        <w:rPr>
          <w:lang w:val="fr"/>
        </w:rPr>
        <w:t>ligne le CCCCC, il est toujours difficile d'aligner les activités des programmes sur les pol</w:t>
      </w:r>
      <w:r>
        <w:rPr>
          <w:lang w:val="fr"/>
        </w:rPr>
        <w:t>i</w:t>
      </w:r>
      <w:r>
        <w:rPr>
          <w:lang w:val="fr"/>
        </w:rPr>
        <w:t>tiques et les structures des différents gouvernements avec lesquels il travaille au sein de la région. Selon celui-ci, il y a toujours un « risque fiduciaire », autrement dit il faut avoir co</w:t>
      </w:r>
      <w:r>
        <w:rPr>
          <w:lang w:val="fr"/>
        </w:rPr>
        <w:t>n</w:t>
      </w:r>
      <w:r>
        <w:rPr>
          <w:lang w:val="fr"/>
        </w:rPr>
        <w:t>fiance dans le fait que les gouvernements agissant en tant qu'agents du programme gèrent une activité comme prévu. En termes de durabilité à court et moyen terme, en combinant leurs forces avec les projets nationaux de l'AMCC au Belize et en Jamaïque, les bureaux consacrés à la lutte contre le changement climatique dans ces pays sont devenus beaucoup plus viables. Dans ces deux pays également, des efforts sont faits pour sensibiliser le gouvernement à l'i</w:t>
      </w:r>
      <w:r>
        <w:rPr>
          <w:lang w:val="fr"/>
        </w:rPr>
        <w:t>m</w:t>
      </w:r>
      <w:r>
        <w:rPr>
          <w:lang w:val="fr"/>
        </w:rPr>
        <w:t>portance de la lutte contre le changement climatique, à un niveau où des décisions sont prises.</w:t>
      </w:r>
    </w:p>
    <w:p w:rsidR="008F3618" w:rsidRPr="00D1792C" w:rsidRDefault="009E0ECC" w:rsidP="00AD1C0A">
      <w:pPr>
        <w:rPr>
          <w:lang w:val="fr-BE"/>
        </w:rPr>
      </w:pPr>
      <w:r>
        <w:rPr>
          <w:lang w:val="fr"/>
        </w:rPr>
        <w:t>Comme le programme CCCCC, le programme PEIP a aussi tenté d'intégrer la durabilité dans les systèmes et structures, ainsi que dans la conception de projets d'adaptation. La contrib</w:t>
      </w:r>
      <w:r>
        <w:rPr>
          <w:lang w:val="fr"/>
        </w:rPr>
        <w:t>u</w:t>
      </w:r>
      <w:r>
        <w:rPr>
          <w:lang w:val="fr"/>
        </w:rPr>
        <w:t>tion et les responsabilités des bénéficiaires sont planifiés et des stratégies de sortie sont prêtes pour chaque projet. Le programme PEIP recherche les collaborations avec des activités co</w:t>
      </w:r>
      <w:r>
        <w:rPr>
          <w:lang w:val="fr"/>
        </w:rPr>
        <w:t>r</w:t>
      </w:r>
      <w:r>
        <w:rPr>
          <w:lang w:val="fr"/>
        </w:rPr>
        <w:t>respondantes, financées par d'autres partenaires de développement, notamment celles qui ont un calendrier plus long que l'AMCC. C'est une façon intelligente de maintenir la dynamique.</w:t>
      </w:r>
    </w:p>
    <w:p w:rsidR="008F3618" w:rsidRPr="00D1792C" w:rsidRDefault="009E0ECC" w:rsidP="00AD1C0A">
      <w:pPr>
        <w:rPr>
          <w:lang w:val="fr-BE"/>
        </w:rPr>
      </w:pPr>
      <w:r>
        <w:rPr>
          <w:lang w:val="fr"/>
        </w:rPr>
        <w:t>Concernant le programme COMESA, il est difficile, à ce stade, de parler de durabilité. Compte tenu de son démarrage lent et du délai de seulement 54 mois pour mettre en œuvre un programme très ambitieux, où les principaux partenaires de mise en œuvre étaient, dans une certaine mesure, de nouveaux arrivants dans le domaine de la lutte contre le changement climatique, réalistiquement on ne pouvait s’attendre à ce que des fondements soient en place pour favoriser la durabilité. Cependant, les capacités des trois CER ont été renforcées, ce qui pourrait leur permettre de mieux gérer et mettre en œuvre les activités ultérieures du Pr</w:t>
      </w:r>
      <w:r>
        <w:rPr>
          <w:lang w:val="fr"/>
        </w:rPr>
        <w:t>o</w:t>
      </w:r>
      <w:r>
        <w:rPr>
          <w:lang w:val="fr"/>
        </w:rPr>
        <w:t>gramme intra-ACP et d'autres initiatives de lutte contre le changement climatique. Des pr</w:t>
      </w:r>
      <w:r>
        <w:rPr>
          <w:lang w:val="fr"/>
        </w:rPr>
        <w:t>o</w:t>
      </w:r>
      <w:r>
        <w:rPr>
          <w:lang w:val="fr"/>
        </w:rPr>
        <w:t>positions techniques en vue de créer une unité de coordination de la lutte contre le chang</w:t>
      </w:r>
      <w:r>
        <w:rPr>
          <w:lang w:val="fr"/>
        </w:rPr>
        <w:t>e</w:t>
      </w:r>
      <w:r>
        <w:rPr>
          <w:lang w:val="fr"/>
        </w:rPr>
        <w:t>ment climatique au sein de la CAE ont été préparées et soumises au processus d'examen inst</w:t>
      </w:r>
      <w:r>
        <w:rPr>
          <w:lang w:val="fr"/>
        </w:rPr>
        <w:t>i</w:t>
      </w:r>
      <w:r>
        <w:rPr>
          <w:lang w:val="fr"/>
        </w:rPr>
        <w:t>tutionnel de la CAE. Chose positive : la contribution du programme à l'élaboration de strat</w:t>
      </w:r>
      <w:r>
        <w:rPr>
          <w:lang w:val="fr"/>
        </w:rPr>
        <w:t>é</w:t>
      </w:r>
      <w:r>
        <w:rPr>
          <w:lang w:val="fr"/>
        </w:rPr>
        <w:t xml:space="preserve">gies nationales sur le changement climatique et de plans de mobilisation des ressources peut servir de base aux États membres pour favoriser la lutte contre le changement climatique. Les efforts faits pour développer l'AC et l’AIC à plus grande échelle soutiennent les politiques </w:t>
      </w:r>
      <w:r>
        <w:rPr>
          <w:lang w:val="fr"/>
        </w:rPr>
        <w:lastRenderedPageBreak/>
        <w:t>existantes et les projets pilotes d’AIC sont intégrés dans les cadres stratégiques régionaux et nationaux relatifs au changement climatique et à l'agriculture, ce qui contribue à la durabilité.</w:t>
      </w:r>
    </w:p>
    <w:p w:rsidR="008F3618" w:rsidRPr="00D1792C" w:rsidRDefault="009E0ECC" w:rsidP="00AD1C0A">
      <w:pPr>
        <w:rPr>
          <w:lang w:val="fr-BE"/>
        </w:rPr>
      </w:pPr>
      <w:r>
        <w:rPr>
          <w:lang w:val="fr"/>
        </w:rPr>
        <w:t>Le principal indicateur de durabilité pourrait être la façon dont le programme COMESA est perçu par les États membres. Il n'a toutefois pas été possible, pour l'équipe d'évaluation, d'évaluer cet aspect. Sur le plus long terme, la perception des CER en tant que leaders de la lutte contre le changement climatique pourrait devenir un indicateur encore plus important de ce qui a été réalisé.</w:t>
      </w:r>
    </w:p>
    <w:p w:rsidR="009E0ECC" w:rsidRPr="00D1792C" w:rsidRDefault="009920A1" w:rsidP="00AD1C0A">
      <w:pPr>
        <w:rPr>
          <w:lang w:val="fr-BE"/>
        </w:rPr>
      </w:pPr>
      <w:r>
        <w:rPr>
          <w:lang w:val="fr"/>
        </w:rPr>
        <w:t xml:space="preserve">Concernant le programme </w:t>
      </w:r>
      <w:proofErr w:type="spellStart"/>
      <w:r>
        <w:rPr>
          <w:lang w:val="fr"/>
        </w:rPr>
        <w:t>ClimDev</w:t>
      </w:r>
      <w:proofErr w:type="spellEnd"/>
      <w:r>
        <w:rPr>
          <w:lang w:val="fr"/>
        </w:rPr>
        <w:t>, il est considéré comme pleinement intégré aux structures nées et gérées en Afrique – soutenues par l'Union africaine –, avec un niveau élevé d'appr</w:t>
      </w:r>
      <w:r>
        <w:rPr>
          <w:lang w:val="fr"/>
        </w:rPr>
        <w:t>o</w:t>
      </w:r>
      <w:r>
        <w:rPr>
          <w:lang w:val="fr"/>
        </w:rPr>
        <w:t>priation régionale. Il s'agit d'une réalisation en soi, qui constitue une base solide pour soutenir les structures et les résultats du programme à l'avenir. Mis à part cela, une discussion sur la durabilité du programme est encore très hypothétique, ce dernier ayant tout juste commencé à produire des résultats dans certains domaines et le fonctionnement du Fonds de soutien du programme Climat pour le développement n'étant pas confirmé. Les chances de durabilité de ClimDev dépendent encore du soutien des bailleurs de fonds qui, à son tour, semble dépendre de la performance du programme. Globalement, la planification, la mise en œuvre et la ge</w:t>
      </w:r>
      <w:r>
        <w:rPr>
          <w:lang w:val="fr"/>
        </w:rPr>
        <w:t>s</w:t>
      </w:r>
      <w:r>
        <w:rPr>
          <w:lang w:val="fr"/>
        </w:rPr>
        <w:t>tion (suivi et établissement de rapports) doivent être considérablement améliorées.</w:t>
      </w:r>
    </w:p>
    <w:p w:rsidR="008F3618" w:rsidRPr="00D1792C" w:rsidRDefault="009E0ECC" w:rsidP="00AD1C0A">
      <w:pPr>
        <w:rPr>
          <w:lang w:val="fr-BE"/>
        </w:rPr>
      </w:pPr>
      <w:r>
        <w:rPr>
          <w:lang w:val="fr"/>
        </w:rPr>
        <w:t>Concernant le programme USP, les conditions pour obtenir des résultats à long terme sont plutôt bonnes. L'université a déjà intégré de nouveaux cours dans le programme d’enseignement et des possibilités de recherche dans son nouveau plan stratégique. La form</w:t>
      </w:r>
      <w:r>
        <w:rPr>
          <w:lang w:val="fr"/>
        </w:rPr>
        <w:t>a</w:t>
      </w:r>
      <w:r>
        <w:rPr>
          <w:lang w:val="fr"/>
        </w:rPr>
        <w:t>tion de professionnels et les cours sur le changement climatique développés par le pr</w:t>
      </w:r>
      <w:r>
        <w:rPr>
          <w:lang w:val="fr"/>
        </w:rPr>
        <w:t>o</w:t>
      </w:r>
      <w:r>
        <w:rPr>
          <w:lang w:val="fr"/>
        </w:rPr>
        <w:t>gramme USP devraient être maintenus à moyen et long terme. De plus, la demande de ces cours est en hausse. En termes de durabilité financière, le programme d’enseignement sur le changement climatique est parvenu à attirer suffisamment d'étudiants qualifiés pour disposer de fonds durables permettant d’embaucher des conférenciers. Les inscriptions sont plus no</w:t>
      </w:r>
      <w:r>
        <w:rPr>
          <w:lang w:val="fr"/>
        </w:rPr>
        <w:t>m</w:t>
      </w:r>
      <w:r>
        <w:rPr>
          <w:lang w:val="fr"/>
        </w:rPr>
        <w:t>breuses chaque année malgré la baisse du nombre de bourses disponibles.</w:t>
      </w:r>
    </w:p>
    <w:p w:rsidR="008F3618" w:rsidRPr="00D1792C" w:rsidRDefault="009920A1" w:rsidP="00AD1C0A">
      <w:pPr>
        <w:rPr>
          <w:lang w:val="fr-BE"/>
        </w:rPr>
      </w:pPr>
      <w:r>
        <w:rPr>
          <w:lang w:val="fr"/>
        </w:rPr>
        <w:t>Concernant le champ d'action, plusieurs stratégies d'intégration des plans d'adaptation co</w:t>
      </w:r>
      <w:r>
        <w:rPr>
          <w:lang w:val="fr"/>
        </w:rPr>
        <w:t>m</w:t>
      </w:r>
      <w:r>
        <w:rPr>
          <w:lang w:val="fr"/>
        </w:rPr>
        <w:t>munautaires aux niveaux local et national ont été mises en œuvre afin d'assurer la durabilité à plus long terme des interventions du projet. Aux Fidji, par exemple, la durabilité des sy</w:t>
      </w:r>
      <w:r>
        <w:rPr>
          <w:lang w:val="fr"/>
        </w:rPr>
        <w:t>s</w:t>
      </w:r>
      <w:r>
        <w:rPr>
          <w:lang w:val="fr"/>
        </w:rPr>
        <w:t>tèmes d'approvisionnement en eau est assurée grâce à la création de comités sur l'eau, qui établissent des règles sur l'utilisation durable de l'eau, l'entretien et la levée de fonds. Au n</w:t>
      </w:r>
      <w:r>
        <w:rPr>
          <w:lang w:val="fr"/>
        </w:rPr>
        <w:t>i</w:t>
      </w:r>
      <w:r>
        <w:rPr>
          <w:lang w:val="fr"/>
        </w:rPr>
        <w:t>veau communautaire, des collaborations régionales et nationales ont permis d'augmenter les ressources de co-financement pour les communautés pilotes. A Tuvalu, par exemple, la co</w:t>
      </w:r>
      <w:r>
        <w:rPr>
          <w:lang w:val="fr"/>
        </w:rPr>
        <w:t>l</w:t>
      </w:r>
      <w:r>
        <w:rPr>
          <w:lang w:val="fr"/>
        </w:rPr>
        <w:t>laboration avec le système de gouvernance de Kaupule dans l'atoll de Funafuti, de Nukulae et de Nanumaga, a garanti que le plan d'adaptation du projet était intégré aux plans stratégiques individuels de ces atolls, le co-financement de la mise en œuvre des mesures d'adaptation étant assuré.</w:t>
      </w:r>
    </w:p>
    <w:p w:rsidR="009E0ECC" w:rsidRPr="00D1792C" w:rsidRDefault="009E0ECC" w:rsidP="00AD1C0A">
      <w:pPr>
        <w:rPr>
          <w:lang w:val="fr-BE"/>
        </w:rPr>
      </w:pPr>
      <w:r>
        <w:rPr>
          <w:lang w:val="fr"/>
        </w:rPr>
        <w:t>L'intervention d'autres bailleurs de fonds peut également contribuer à soutenir les résultats des projets. Le projet d'adaptation au changement climatique financé par l'USAID et mis en œuvre par le PACE-SD a des sites pilotes semblables au programme USP. La collaboration au niveau du financement d'activités complémentaires (tel que le financement de l'installation de réservoirs d'eau par le PACC ou celui des formations sur la gestion de l'eau pour la co</w:t>
      </w:r>
      <w:r>
        <w:rPr>
          <w:lang w:val="fr"/>
        </w:rPr>
        <w:t>m</w:t>
      </w:r>
      <w:r>
        <w:rPr>
          <w:lang w:val="fr"/>
        </w:rPr>
        <w:lastRenderedPageBreak/>
        <w:t>munauté par l'UE-AMCC) sur certains sites pilotes, tels que Samoa et Tonga, a contribué à renforcer les activités d'adaptation qui sont mises en œuvre.</w:t>
      </w:r>
    </w:p>
    <w:p w:rsidR="008F3618" w:rsidRPr="00D1792C" w:rsidRDefault="002806E9" w:rsidP="00A20F88">
      <w:pPr>
        <w:rPr>
          <w:lang w:val="fr-BE"/>
        </w:rPr>
      </w:pPr>
      <w:r>
        <w:rPr>
          <w:lang w:val="fr"/>
        </w:rPr>
        <w:t>Concernant le programme CILSS/</w:t>
      </w:r>
      <w:proofErr w:type="spellStart"/>
      <w:r>
        <w:rPr>
          <w:lang w:val="fr"/>
        </w:rPr>
        <w:t>Agrhymet</w:t>
      </w:r>
      <w:proofErr w:type="spellEnd"/>
      <w:r>
        <w:rPr>
          <w:lang w:val="fr"/>
        </w:rPr>
        <w:t>, le principal objectif a été le renforcement des capacités. Ces capacités renforcées – dans les domaines de la recherche et de la technologie, des négociations et de la prise en compte du changement climatique dans les politiques – ont déjà des effets bénéfiques. De ce point de vue, les résultats du programme devraient être d</w:t>
      </w:r>
      <w:r>
        <w:rPr>
          <w:lang w:val="fr"/>
        </w:rPr>
        <w:t>u</w:t>
      </w:r>
      <w:r>
        <w:rPr>
          <w:lang w:val="fr"/>
        </w:rPr>
        <w:t>rables, car ils sont intégrés aux structures et systèmes nationaux de planification et de suivi. Les États membres de la CEDEAO sont invités à soutenir et renforcer les processus lancés par le CILSS dans le cadre du programme.</w:t>
      </w:r>
    </w:p>
    <w:p w:rsidR="008F3618" w:rsidRPr="00D1792C" w:rsidRDefault="009C6718" w:rsidP="00A20F88">
      <w:pPr>
        <w:rPr>
          <w:lang w:val="fr-BE"/>
        </w:rPr>
      </w:pPr>
      <w:r>
        <w:rPr>
          <w:lang w:val="fr"/>
        </w:rPr>
        <w:t>Globalement, selon l'équipe d'évaluation, de meilleurs résultats auraient pu être obtenus en matière de durabilité si une plus grande attention avait été accordée à l'enrichissement mutuel et l'intégration des activités du Programme intra-ACP dans les programmes nationaux de l'AMCC. Il aurait également été bénéfique, sur le plan de la durabilité, de renforcer l'intégr</w:t>
      </w:r>
      <w:r>
        <w:rPr>
          <w:lang w:val="fr"/>
        </w:rPr>
        <w:t>a</w:t>
      </w:r>
      <w:r>
        <w:rPr>
          <w:lang w:val="fr"/>
        </w:rPr>
        <w:t>tion et la coordination avec d'autres programmes et organisations de lutte contre le chang</w:t>
      </w:r>
      <w:r>
        <w:rPr>
          <w:lang w:val="fr"/>
        </w:rPr>
        <w:t>e</w:t>
      </w:r>
      <w:r>
        <w:rPr>
          <w:lang w:val="fr"/>
        </w:rPr>
        <w:t>ment climatique. La région du Pacifique est un bon exemple des résultats qui peuvent être obtenus à ce niveau. Dans les pays d'Afrique orientale et australe, une intégration plus pou</w:t>
      </w:r>
      <w:r>
        <w:rPr>
          <w:lang w:val="fr"/>
        </w:rPr>
        <w:t>s</w:t>
      </w:r>
      <w:r>
        <w:rPr>
          <w:lang w:val="fr"/>
        </w:rPr>
        <w:t>sée permettrait, entre autres, de renforcer considérablement la crédibilité du programme COMESA, de créer ainsi des possibilités d'apprentissage et de profiter de l'expérience d'autres organisations.</w:t>
      </w:r>
    </w:p>
    <w:p w:rsidR="008F3618" w:rsidRPr="00D1792C" w:rsidRDefault="00523B8E" w:rsidP="00FC286E">
      <w:pPr>
        <w:rPr>
          <w:lang w:val="fr-BE"/>
        </w:rPr>
      </w:pPr>
      <w:r>
        <w:rPr>
          <w:lang w:val="fr"/>
        </w:rPr>
        <w:t>Étant donné que trois des cinq programmes régionaux ont obtenu une note de B concernant la durabilité, la note globale de B a été attribuée.</w:t>
      </w:r>
    </w:p>
    <w:p w:rsidR="008F3618" w:rsidRDefault="00DD240C" w:rsidP="00AD1C0A">
      <w:pPr>
        <w:pStyle w:val="Heading1"/>
        <w:keepNext w:val="0"/>
        <w:numPr>
          <w:ilvl w:val="0"/>
          <w:numId w:val="2"/>
        </w:numPr>
        <w:spacing w:line="276" w:lineRule="auto"/>
        <w:contextualSpacing/>
      </w:pPr>
      <w:bookmarkStart w:id="43" w:name="_Toc392064221"/>
      <w:bookmarkStart w:id="44" w:name="_Toc406494028"/>
      <w:r>
        <w:rPr>
          <w:bCs/>
          <w:lang w:val="fr"/>
        </w:rPr>
        <w:t>Évaluation globale</w:t>
      </w:r>
      <w:bookmarkEnd w:id="43"/>
      <w:bookmarkEnd w:id="44"/>
    </w:p>
    <w:p w:rsidR="008F3618" w:rsidRPr="00D1792C" w:rsidRDefault="00F514A0" w:rsidP="00AD1C0A">
      <w:pPr>
        <w:rPr>
          <w:lang w:val="fr-BE"/>
        </w:rPr>
      </w:pPr>
      <w:r>
        <w:rPr>
          <w:lang w:val="fr"/>
        </w:rPr>
        <w:t>Afin de mieux comprendre les résultats obtenus par les programmes régionaux respectifs par rapport aux questions d'évaluation, dans le cadre de la méthodologie, un système de notation a été élaboré, qui couvre les dix principales questions de cette évaluation. Ce système de n</w:t>
      </w:r>
      <w:r>
        <w:rPr>
          <w:lang w:val="fr"/>
        </w:rPr>
        <w:t>o</w:t>
      </w:r>
      <w:r>
        <w:rPr>
          <w:lang w:val="fr"/>
        </w:rPr>
        <w:t>tation porte sur les principaux critères d'évaluation de la pertinence, de la conception, de l'e</w:t>
      </w:r>
      <w:r>
        <w:rPr>
          <w:lang w:val="fr"/>
        </w:rPr>
        <w:t>f</w:t>
      </w:r>
      <w:r>
        <w:rPr>
          <w:lang w:val="fr"/>
        </w:rPr>
        <w:t>ficience, de l'efficacité et de la durabilité. Pour chacune des QE, une note a été attribuée, sur le même modèle que le système de notation de la méthodologie ROM (suivi axé sur les résu</w:t>
      </w:r>
      <w:r>
        <w:rPr>
          <w:lang w:val="fr"/>
        </w:rPr>
        <w:t>l</w:t>
      </w:r>
      <w:r>
        <w:rPr>
          <w:lang w:val="fr"/>
        </w:rPr>
        <w:t xml:space="preserve">tats), les notes allant de </w:t>
      </w:r>
      <w:r>
        <w:rPr>
          <w:i/>
          <w:iCs/>
          <w:lang w:val="fr"/>
        </w:rPr>
        <w:t>« A »</w:t>
      </w:r>
      <w:r>
        <w:rPr>
          <w:lang w:val="fr"/>
        </w:rPr>
        <w:t xml:space="preserve"> (très bien) à </w:t>
      </w:r>
      <w:r>
        <w:rPr>
          <w:i/>
          <w:iCs/>
          <w:lang w:val="fr"/>
        </w:rPr>
        <w:t>« D »</w:t>
      </w:r>
      <w:r>
        <w:rPr>
          <w:lang w:val="fr"/>
        </w:rPr>
        <w:t xml:space="preserve"> (graves lacunes). Le tableau des notes peut être consulté à la page suivante. Les notes pour chaque QE sont indiquées dans leur section respective.</w:t>
      </w:r>
    </w:p>
    <w:p w:rsidR="008F3618" w:rsidRPr="00D1792C" w:rsidRDefault="005B4BF2" w:rsidP="00AD1C0A">
      <w:pPr>
        <w:rPr>
          <w:lang w:val="fr-BE"/>
        </w:rPr>
      </w:pPr>
      <w:r>
        <w:rPr>
          <w:lang w:val="fr"/>
        </w:rPr>
        <w:t>Elles sont également présentées dans le tableau ci-dessous, qui donne une vue d'ensemble systématique de la performance des diverses interventions dans le cadre du Programme intra-ACP de l'AMCC dans les différentes régions, d'une part, et des questions et critères d'évalu</w:t>
      </w:r>
      <w:r>
        <w:rPr>
          <w:lang w:val="fr"/>
        </w:rPr>
        <w:t>a</w:t>
      </w:r>
      <w:r>
        <w:rPr>
          <w:lang w:val="fr"/>
        </w:rPr>
        <w:t>tion, de l'autre. Ces notes sont toutefois loin d'être scientifiques. Il peut y avoir des variations entre un B solide et un B passable. Les notes ne tiennent pas non plus compte des difficultés très spécifiques rencontrées par certains programmes régionaux, telles que les démarrages lents, qui ont été surmontés dans la plupart des cas et ne sont pas forcément la faute des pr</w:t>
      </w:r>
      <w:r>
        <w:rPr>
          <w:lang w:val="fr"/>
        </w:rPr>
        <w:t>o</w:t>
      </w:r>
      <w:r>
        <w:rPr>
          <w:lang w:val="fr"/>
        </w:rPr>
        <w:t xml:space="preserve">grammes en tant que tel. Le programme CCCCC dans les Caraïbes, par exemple, aurait pu obtenir une note plus sévère si l'on devait attribuer au CCCCC la responsabilité concernant les procédures de passation de marchés léthargiques qui ont dû être suivies. Cependant, le fait d'attribuer une note plus sévère a été considéré comme injuste ; en effet, il apparaît clairement </w:t>
      </w:r>
      <w:r>
        <w:rPr>
          <w:lang w:val="fr"/>
        </w:rPr>
        <w:lastRenderedPageBreak/>
        <w:t>que le programme dans les Caraïbes est bien géré, mais doit faire face à de lentes procédures de passation de marchés.</w:t>
      </w:r>
    </w:p>
    <w:p w:rsidR="008F3618" w:rsidRPr="00D1792C" w:rsidRDefault="00041F72" w:rsidP="00AD1C0A">
      <w:pPr>
        <w:rPr>
          <w:lang w:val="fr-BE"/>
        </w:rPr>
      </w:pPr>
      <w:r>
        <w:rPr>
          <w:lang w:val="fr"/>
        </w:rPr>
        <w:t>De même, étant donné qu'aucune QE en particulier ne porte directement sur le sujet du re</w:t>
      </w:r>
      <w:r>
        <w:rPr>
          <w:lang w:val="fr"/>
        </w:rPr>
        <w:t>n</w:t>
      </w:r>
      <w:r>
        <w:rPr>
          <w:lang w:val="fr"/>
        </w:rPr>
        <w:t>forcement des liens entre les programmes régionaux ou entre le Programme intra-ACP et les programmes nationaux de l'AMCC, le système de notation ne permet pas une évaluation j</w:t>
      </w:r>
      <w:r>
        <w:rPr>
          <w:lang w:val="fr"/>
        </w:rPr>
        <w:t>u</w:t>
      </w:r>
      <w:r>
        <w:rPr>
          <w:lang w:val="fr"/>
        </w:rPr>
        <w:t>dicieuse des résultats dans ce domaine.</w:t>
      </w:r>
    </w:p>
    <w:p w:rsidR="00BE1289" w:rsidRPr="00D1792C" w:rsidRDefault="00F63A03" w:rsidP="00AD1C0A">
      <w:pPr>
        <w:rPr>
          <w:lang w:val="fr-BE"/>
        </w:rPr>
      </w:pPr>
      <w:r>
        <w:rPr>
          <w:lang w:val="fr"/>
        </w:rPr>
        <w:t>Globalement, le Programme intra-ACP a obtenu la note de B, et ce pour la raison très logique que sur dix questions, huit ont obtenu la note de B. Deux C ont été attribués, un pour la co</w:t>
      </w:r>
      <w:r>
        <w:rPr>
          <w:lang w:val="fr"/>
        </w:rPr>
        <w:t>n</w:t>
      </w:r>
      <w:r>
        <w:rPr>
          <w:lang w:val="fr"/>
        </w:rPr>
        <w:t>ception et l'autre pour la réalisation des objectifs globaux. Ces notes ne reflètent pas les n</w:t>
      </w:r>
      <w:r>
        <w:rPr>
          <w:lang w:val="fr"/>
        </w:rPr>
        <w:t>i</w:t>
      </w:r>
      <w:r>
        <w:rPr>
          <w:lang w:val="fr"/>
        </w:rPr>
        <w:t>veaux très distincts de performance entre les divers programmes régionaux, certains pr</w:t>
      </w:r>
      <w:r>
        <w:rPr>
          <w:lang w:val="fr"/>
        </w:rPr>
        <w:t>o</w:t>
      </w:r>
      <w:r>
        <w:rPr>
          <w:lang w:val="fr"/>
        </w:rPr>
        <w:t>grammes obtenant clairement de meilleurs résultats (les deux programmes du Pacifique, CILSS et CCCCC) que les programmes ClimDev et COMESA, qui font face à de multiples difficultés. En d'autres termes, deux programmes régionaux intra-ACP sur cinq ont obtenu des résultats « en-dessous de la norme ».</w:t>
      </w:r>
    </w:p>
    <w:p w:rsidR="002363B1" w:rsidRPr="00D1792C" w:rsidRDefault="002363B1" w:rsidP="00AD1C0A">
      <w:pPr>
        <w:rPr>
          <w:lang w:val="fr-BE"/>
        </w:rPr>
      </w:pPr>
    </w:p>
    <w:p w:rsidR="002363B1" w:rsidRPr="00D1792C" w:rsidRDefault="002363B1" w:rsidP="00AD1C0A">
      <w:pPr>
        <w:rPr>
          <w:lang w:val="fr-BE"/>
        </w:rPr>
        <w:sectPr w:rsidR="002363B1" w:rsidRPr="00D1792C">
          <w:pgSz w:w="11906" w:h="16838" w:code="9"/>
          <w:pgMar w:top="962" w:right="1440" w:bottom="709" w:left="1440" w:header="851" w:footer="851" w:gutter="0"/>
          <w:cols w:space="720"/>
          <w:docGrid w:linePitch="326"/>
        </w:sectPr>
      </w:pPr>
    </w:p>
    <w:p w:rsidR="006E77ED" w:rsidRPr="00A94D8B" w:rsidRDefault="002D48A8" w:rsidP="00A20F88">
      <w:pPr>
        <w:spacing w:after="0" w:line="240" w:lineRule="auto"/>
        <w:ind w:left="-567" w:right="-655"/>
        <w:jc w:val="center"/>
      </w:pPr>
      <w:bookmarkStart w:id="45" w:name="_Toc153339915"/>
      <w:bookmarkStart w:id="46" w:name="_Toc368557560"/>
      <w:r w:rsidRPr="002D48A8">
        <w:rPr>
          <w:noProof/>
          <w:lang w:val="fr-BE" w:eastAsia="fr-BE"/>
        </w:rPr>
        <w:lastRenderedPageBreak/>
        <w:drawing>
          <wp:inline distT="0" distB="0" distL="0" distR="0" wp14:anchorId="1FB030E4" wp14:editId="45505AE4">
            <wp:extent cx="9631045" cy="426328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631045" cy="4263284"/>
                    </a:xfrm>
                    <a:prstGeom prst="rect">
                      <a:avLst/>
                    </a:prstGeom>
                    <a:noFill/>
                    <a:ln>
                      <a:noFill/>
                    </a:ln>
                  </pic:spPr>
                </pic:pic>
              </a:graphicData>
            </a:graphic>
          </wp:inline>
        </w:drawing>
      </w:r>
    </w:p>
    <w:p w:rsidR="006E77ED" w:rsidRPr="00A94D8B" w:rsidRDefault="006E77ED" w:rsidP="00A20F88">
      <w:pPr>
        <w:spacing w:after="0" w:line="240" w:lineRule="auto"/>
        <w:jc w:val="center"/>
      </w:pPr>
    </w:p>
    <w:p w:rsidR="006E77ED" w:rsidRPr="00D1792C" w:rsidRDefault="006E77ED" w:rsidP="006E77ED">
      <w:pPr>
        <w:spacing w:after="0" w:line="240" w:lineRule="auto"/>
        <w:jc w:val="left"/>
        <w:rPr>
          <w:b/>
          <w:i/>
          <w:lang w:val="fr-BE"/>
        </w:rPr>
        <w:sectPr w:rsidR="006E77ED" w:rsidRPr="00D1792C">
          <w:pgSz w:w="16838" w:h="11906" w:orient="landscape" w:code="9"/>
          <w:pgMar w:top="1440" w:right="962" w:bottom="1440" w:left="709" w:header="851" w:footer="851" w:gutter="0"/>
          <w:cols w:space="720"/>
          <w:docGrid w:linePitch="326"/>
        </w:sectPr>
      </w:pPr>
      <w:r>
        <w:rPr>
          <w:b/>
          <w:bCs/>
          <w:i/>
          <w:iCs/>
          <w:lang w:val="fr"/>
        </w:rPr>
        <w:t xml:space="preserve">Tableau 2. </w:t>
      </w:r>
      <w:r>
        <w:rPr>
          <w:i/>
          <w:iCs/>
          <w:lang w:val="fr"/>
        </w:rPr>
        <w:t>Notes des programmes régionaux (financement du Programme intra-ACP de l’AMCC et de l’AMCC globale) sur les critères et questions d'év</w:t>
      </w:r>
      <w:r>
        <w:rPr>
          <w:i/>
          <w:iCs/>
          <w:lang w:val="fr"/>
        </w:rPr>
        <w:t>a</w:t>
      </w:r>
      <w:r>
        <w:rPr>
          <w:i/>
          <w:iCs/>
          <w:lang w:val="fr"/>
        </w:rPr>
        <w:t>luation</w:t>
      </w:r>
    </w:p>
    <w:p w:rsidR="00086478" w:rsidRPr="00A94D8B" w:rsidRDefault="00086478" w:rsidP="00AD1C0A">
      <w:pPr>
        <w:pStyle w:val="Heading1"/>
        <w:keepNext w:val="0"/>
        <w:numPr>
          <w:ilvl w:val="0"/>
          <w:numId w:val="2"/>
        </w:numPr>
        <w:spacing w:line="276" w:lineRule="auto"/>
        <w:contextualSpacing/>
        <w:rPr>
          <w:spacing w:val="-10"/>
        </w:rPr>
      </w:pPr>
      <w:bookmarkStart w:id="47" w:name="_Toc392064222"/>
      <w:bookmarkStart w:id="48" w:name="_Toc406494029"/>
      <w:r>
        <w:rPr>
          <w:bCs/>
          <w:lang w:val="fr"/>
        </w:rPr>
        <w:lastRenderedPageBreak/>
        <w:t>Conclusions, recommandations</w:t>
      </w:r>
      <w:bookmarkEnd w:id="45"/>
      <w:bookmarkEnd w:id="46"/>
      <w:r>
        <w:rPr>
          <w:bCs/>
          <w:lang w:val="fr"/>
        </w:rPr>
        <w:t xml:space="preserve"> &amp; enseignements tirés</w:t>
      </w:r>
      <w:bookmarkEnd w:id="47"/>
      <w:bookmarkEnd w:id="48"/>
    </w:p>
    <w:p w:rsidR="008F3618" w:rsidRDefault="00FC3E5E" w:rsidP="002A03DF">
      <w:pPr>
        <w:pStyle w:val="Heading2"/>
        <w:numPr>
          <w:ilvl w:val="1"/>
          <w:numId w:val="45"/>
        </w:numPr>
      </w:pPr>
      <w:bookmarkStart w:id="49" w:name="_Toc406494030"/>
      <w:r>
        <w:rPr>
          <w:bCs/>
          <w:lang w:val="fr"/>
        </w:rPr>
        <w:t>Conclusions et recommandations</w:t>
      </w:r>
      <w:bookmarkEnd w:id="49"/>
    </w:p>
    <w:p w:rsidR="00FC3E5E" w:rsidRPr="00A94D8B" w:rsidRDefault="00FC3E5E" w:rsidP="00FC3E5E">
      <w:pPr>
        <w:spacing w:after="0" w:line="240" w:lineRule="auto"/>
        <w:jc w:val="left"/>
        <w:rPr>
          <w:b/>
        </w:rPr>
      </w:pPr>
    </w:p>
    <w:p w:rsidR="008F3618" w:rsidRPr="00D1792C" w:rsidRDefault="006806DD" w:rsidP="00C76D67">
      <w:pPr>
        <w:spacing w:after="0"/>
        <w:rPr>
          <w:lang w:val="fr-BE"/>
        </w:rPr>
      </w:pPr>
      <w:r>
        <w:rPr>
          <w:lang w:val="fr"/>
        </w:rPr>
        <w:t xml:space="preserve">1. </w:t>
      </w:r>
      <w:r>
        <w:rPr>
          <w:lang w:val="fr"/>
        </w:rPr>
        <w:tab/>
        <w:t>La première phase du Programme intra-ACP peut être considérée comme une réussite. Bien que certains programmes régionaux faisant partie du Programme intra-ACP aient re</w:t>
      </w:r>
      <w:r>
        <w:rPr>
          <w:lang w:val="fr"/>
        </w:rPr>
        <w:t>n</w:t>
      </w:r>
      <w:r>
        <w:rPr>
          <w:lang w:val="fr"/>
        </w:rPr>
        <w:t>contré des difficultés, dans l'ensemble, les aspects positifs du Programme intra-ACP sont plus importants que ses lacunes. L'impact du Programme intra-ACP aurait pu être beaucoup plus important si les programmes régionaux n'avaient pas connu de lents démarrages. Durant la phase de lancement, des problèmes considérables se sont posés au niveau des démarches a</w:t>
      </w:r>
      <w:r>
        <w:rPr>
          <w:lang w:val="fr"/>
        </w:rPr>
        <w:t>d</w:t>
      </w:r>
      <w:r>
        <w:rPr>
          <w:lang w:val="fr"/>
        </w:rPr>
        <w:t>ministratives et des procédures de passation de marchés. On peut supposer que la seconde phase du Programme intra-ACP éviterait ces obstacles et serait directement en mesure d'o</w:t>
      </w:r>
      <w:r>
        <w:rPr>
          <w:lang w:val="fr"/>
        </w:rPr>
        <w:t>b</w:t>
      </w:r>
      <w:r>
        <w:rPr>
          <w:lang w:val="fr"/>
        </w:rPr>
        <w:t>tenir des résultats, bien que dans les Caraïbes, par exemple, les procédures de passation de marchés puissent continuer de poser problème.</w:t>
      </w:r>
    </w:p>
    <w:p w:rsidR="008F3618" w:rsidRPr="00D1792C" w:rsidRDefault="008F3618" w:rsidP="00C76D67">
      <w:pPr>
        <w:spacing w:after="0"/>
        <w:rPr>
          <w:lang w:val="fr-BE"/>
        </w:rPr>
      </w:pPr>
    </w:p>
    <w:p w:rsidR="008F3618" w:rsidRPr="00D1792C" w:rsidRDefault="006806DD" w:rsidP="00C76D67">
      <w:pPr>
        <w:spacing w:after="0"/>
        <w:rPr>
          <w:lang w:val="fr-BE"/>
        </w:rPr>
      </w:pPr>
      <w:r>
        <w:rPr>
          <w:lang w:val="fr"/>
        </w:rPr>
        <w:t>Des résultats variés ont été obtenus, avec différents niveaux de réussite, qui constituent une base solide pour passer à la seconde phase. Pourtant, malgré ce qui a pu être réalisé durant la phase actuelle, le processus d'évaluation a également conclu qu'il fallait continuer de soutenir les programmes régionaux au niveau de la lutte contre le changement climatique dans les pays ACP, afin de compléter les programmes nationaux de l'AMCC et de trouver des sol</w:t>
      </w:r>
      <w:r>
        <w:rPr>
          <w:lang w:val="fr"/>
        </w:rPr>
        <w:t>u</w:t>
      </w:r>
      <w:r>
        <w:rPr>
          <w:lang w:val="fr"/>
        </w:rPr>
        <w:t>tions aux problèmes que ces programmes nationaux ne pourraient résoudre.</w:t>
      </w:r>
    </w:p>
    <w:p w:rsidR="00FC3E5E" w:rsidRPr="00D1792C" w:rsidRDefault="00FC3E5E" w:rsidP="00C76D67">
      <w:pPr>
        <w:spacing w:after="0"/>
        <w:rPr>
          <w:lang w:val="fr-BE"/>
        </w:rPr>
      </w:pPr>
    </w:p>
    <w:p w:rsidR="008F3618" w:rsidRPr="00D1792C" w:rsidRDefault="00FC3E5E" w:rsidP="00C76D67">
      <w:pPr>
        <w:spacing w:after="0"/>
        <w:rPr>
          <w:lang w:val="fr-BE"/>
        </w:rPr>
      </w:pPr>
      <w:r>
        <w:rPr>
          <w:lang w:val="fr"/>
        </w:rPr>
        <w:t>Des documents ont été consultés concernant la possibilité d'une seconde phase du Programme intra-ACP dans le cadre de l'AMCC+. Il a été indiqué que l'AMCC+ soutiendrait l'adoption d'une double approche de planification stratégique et de renforcement des institutions, tout en encourageant la mise en œuvre de mesures politiques. À partir des enseignements tirés de la première phase du Programme intra-ACP, il serait judicieux de mettre l'accent sur des activ</w:t>
      </w:r>
      <w:r>
        <w:rPr>
          <w:lang w:val="fr"/>
        </w:rPr>
        <w:t>i</w:t>
      </w:r>
      <w:r>
        <w:rPr>
          <w:lang w:val="fr"/>
        </w:rPr>
        <w:t>tés régionales stratégiques, une planification stratégique, et le renforcement des capacités institutionnelles dans le cadre de l'AMCC+, d'autant plus s'il est possible de renforcer les s</w:t>
      </w:r>
      <w:r>
        <w:rPr>
          <w:lang w:val="fr"/>
        </w:rPr>
        <w:t>y</w:t>
      </w:r>
      <w:r>
        <w:rPr>
          <w:lang w:val="fr"/>
        </w:rPr>
        <w:t>nergies avec les programmes nationaux de l'AMCC et d'autres activités de l'UE et de pays non-européens.</w:t>
      </w:r>
    </w:p>
    <w:p w:rsidR="00FC3E5E" w:rsidRPr="00D1792C" w:rsidRDefault="00FC3E5E" w:rsidP="00C76D67">
      <w:pPr>
        <w:spacing w:after="0"/>
        <w:rPr>
          <w:lang w:val="fr-BE"/>
        </w:rPr>
      </w:pPr>
    </w:p>
    <w:p w:rsidR="008F3618" w:rsidRPr="00D1792C" w:rsidRDefault="00FC3E5E" w:rsidP="00C76D67">
      <w:pPr>
        <w:spacing w:after="0"/>
        <w:rPr>
          <w:i/>
          <w:lang w:val="fr-BE"/>
        </w:rPr>
      </w:pPr>
      <w:r>
        <w:rPr>
          <w:i/>
          <w:iCs/>
          <w:lang w:val="fr"/>
        </w:rPr>
        <w:t>Recommandation 1 – La première recommandation est une recommandation générale. Les recommandations suivantes porteront sur des aspects spécifiques de cette recommandation. La création de l'AMCC+, qui correspondrait à la seconde phase du Programme intra-ACP, est fortement encouragée. Celle-ci devrait cependant être guidée par la définition d'une str</w:t>
      </w:r>
      <w:r>
        <w:rPr>
          <w:i/>
          <w:iCs/>
          <w:lang w:val="fr"/>
        </w:rPr>
        <w:t>a</w:t>
      </w:r>
      <w:r>
        <w:rPr>
          <w:i/>
          <w:iCs/>
          <w:lang w:val="fr"/>
        </w:rPr>
        <w:t>tégie à long terme pour le Programme intra-ACP tenant clairement compte de l'accord de Cotonou et anticipant le soutien de l'UE au-delà de l'AMCC+. Une telle stratégie permettrait aux programmes régionaux de s'occuper des problèmes climatiques propres à leur région tout en favorisant le développement d'une alliance globale substantielle entre les pays ACP grâce à une programmation commune. Cette stratégie devrait également définir des par</w:t>
      </w:r>
      <w:r>
        <w:rPr>
          <w:i/>
          <w:iCs/>
          <w:lang w:val="fr"/>
        </w:rPr>
        <w:t>a</w:t>
      </w:r>
      <w:r>
        <w:rPr>
          <w:i/>
          <w:iCs/>
          <w:lang w:val="fr"/>
        </w:rPr>
        <w:t>mètres susceptibles d'encourager le développement de synergies entre les programmes régi</w:t>
      </w:r>
      <w:r>
        <w:rPr>
          <w:i/>
          <w:iCs/>
          <w:lang w:val="fr"/>
        </w:rPr>
        <w:t>o</w:t>
      </w:r>
      <w:r>
        <w:rPr>
          <w:i/>
          <w:iCs/>
          <w:lang w:val="fr"/>
        </w:rPr>
        <w:lastRenderedPageBreak/>
        <w:t>naux et les programmes nationaux de l'AMCC afin de favoriser la réalisation des objectifs nationaux, régionaux et mondiaux. Dans le même temps, il est impératif que chaque pr</w:t>
      </w:r>
      <w:r>
        <w:rPr>
          <w:i/>
          <w:iCs/>
          <w:lang w:val="fr"/>
        </w:rPr>
        <w:t>o</w:t>
      </w:r>
      <w:r>
        <w:rPr>
          <w:i/>
          <w:iCs/>
          <w:lang w:val="fr"/>
        </w:rPr>
        <w:t>gramme régional soit guidé par une stratégie régionale détaillée sur le changement clim</w:t>
      </w:r>
      <w:r>
        <w:rPr>
          <w:i/>
          <w:iCs/>
          <w:lang w:val="fr"/>
        </w:rPr>
        <w:t>a</w:t>
      </w:r>
      <w:r>
        <w:rPr>
          <w:i/>
          <w:iCs/>
          <w:lang w:val="fr"/>
        </w:rPr>
        <w:t>tique. À l'heure actuelle, certains programmes régionaux ne peuvent se référer à aucun d</w:t>
      </w:r>
      <w:r>
        <w:rPr>
          <w:i/>
          <w:iCs/>
          <w:lang w:val="fr"/>
        </w:rPr>
        <w:t>o</w:t>
      </w:r>
      <w:r>
        <w:rPr>
          <w:i/>
          <w:iCs/>
          <w:lang w:val="fr"/>
        </w:rPr>
        <w:t>cument de ce genre.</w:t>
      </w:r>
    </w:p>
    <w:p w:rsidR="00FC3E5E" w:rsidRPr="00D1792C" w:rsidRDefault="00FC3E5E" w:rsidP="00C76D67">
      <w:pPr>
        <w:spacing w:after="0"/>
        <w:rPr>
          <w:i/>
          <w:lang w:val="fr-BE"/>
        </w:rPr>
      </w:pPr>
    </w:p>
    <w:p w:rsidR="008F3618" w:rsidRPr="00D1792C" w:rsidRDefault="00FC3E5E" w:rsidP="00C76D67">
      <w:pPr>
        <w:spacing w:after="0"/>
        <w:rPr>
          <w:lang w:val="fr-BE"/>
        </w:rPr>
      </w:pPr>
      <w:r>
        <w:rPr>
          <w:lang w:val="fr"/>
        </w:rPr>
        <w:t>2.</w:t>
      </w:r>
      <w:r>
        <w:rPr>
          <w:lang w:val="fr"/>
        </w:rPr>
        <w:tab/>
        <w:t>Le Programme intra-ACP obtient ses meilleurs résultats quand il s'agit de renforcer les capacités au niveau régional et d'établir un consensus, tout en aidant les États membres de l'ACP à développer des capacités essentielles pour lutter contre le changement climatique et faire face aux enjeux de réduction des risques de catastrophes. La façon dont chaque pr</w:t>
      </w:r>
      <w:r>
        <w:rPr>
          <w:lang w:val="fr"/>
        </w:rPr>
        <w:t>o</w:t>
      </w:r>
      <w:r>
        <w:rPr>
          <w:lang w:val="fr"/>
        </w:rPr>
        <w:t>gramme régional contribue à développer des capacités régionales globales, tout en comblant les lacunes au niveau national qui ne le sont pas par les programmes nationaux de l'AMCC, peut varier grandement et il n'y a pas d'approche unique, les programmes régionaux étant tous mis en œuvre dans des circonstances très différentes. Le seul aspect commun à ces pr</w:t>
      </w:r>
      <w:r>
        <w:rPr>
          <w:lang w:val="fr"/>
        </w:rPr>
        <w:t>o</w:t>
      </w:r>
      <w:r>
        <w:rPr>
          <w:lang w:val="fr"/>
        </w:rPr>
        <w:t>grammes régionaux est la nature très complexe de leur environnement de mise en œuvre du point de vue politique, culturel, économique et géographique. Il faut souligner que certains programmes régionaux évolueront plus lentement que d'autres, mais qu'il est important que tous les partenaires de mise en œuvre disposent de capacités techniques solides et adaptées.</w:t>
      </w:r>
    </w:p>
    <w:p w:rsidR="00FC3E5E" w:rsidRPr="00D1792C" w:rsidRDefault="00FC3E5E" w:rsidP="00C76D67">
      <w:pPr>
        <w:spacing w:after="0"/>
        <w:rPr>
          <w:lang w:val="fr-BE"/>
        </w:rPr>
      </w:pPr>
    </w:p>
    <w:p w:rsidR="008F3618" w:rsidRPr="00D1792C" w:rsidRDefault="00FC3E5E" w:rsidP="00C76D67">
      <w:pPr>
        <w:spacing w:after="0"/>
        <w:rPr>
          <w:i/>
          <w:lang w:val="fr-BE"/>
        </w:rPr>
      </w:pPr>
      <w:r>
        <w:rPr>
          <w:i/>
          <w:iCs/>
          <w:lang w:val="fr"/>
        </w:rPr>
        <w:t>Recommandation 2 – Une approche différenciée de la programmation régionale devrait être établie afin de reconnaître que tous les partenaires régionaux n'ont pas les mêmes capacités et que chaque région est confrontée à des défis très différents. Les mécanismes tels que la CSF ou l’AT au Secrétariat ACP devraient être mis davantage à profit pour développer les capacités des partenaires de mise en œuvre régionaux. En Afrique orientale et australe, par exemple, cela impliquerait de renforcer la communication directe entre la CDAA et la CAE, d'une part, et la CSF et l'AT au Secrétariat ACP, de l'autre. À cet égard, un effort concerté devrait être déployé de façon à veiller à ce que chaque programme régional réponde de m</w:t>
      </w:r>
      <w:r>
        <w:rPr>
          <w:i/>
          <w:iCs/>
          <w:lang w:val="fr"/>
        </w:rPr>
        <w:t>a</w:t>
      </w:r>
      <w:r>
        <w:rPr>
          <w:i/>
          <w:iCs/>
          <w:lang w:val="fr"/>
        </w:rPr>
        <w:t>nière aussi stratégique que possible aux problématiques de sa région, et de façon à exploiter pleinement les possibilités de synergies avec des organisations telles que le PNUD.</w:t>
      </w:r>
    </w:p>
    <w:p w:rsidR="00FC3E5E" w:rsidRPr="00D1792C" w:rsidRDefault="00FC3E5E" w:rsidP="00C76D67">
      <w:pPr>
        <w:spacing w:after="0"/>
        <w:rPr>
          <w:lang w:val="fr-BE"/>
        </w:rPr>
      </w:pPr>
    </w:p>
    <w:p w:rsidR="008F3618" w:rsidRPr="00D1792C" w:rsidRDefault="00FC3E5E" w:rsidP="00C76D67">
      <w:pPr>
        <w:spacing w:after="0"/>
        <w:rPr>
          <w:lang w:val="fr-BE"/>
        </w:rPr>
      </w:pPr>
      <w:r>
        <w:rPr>
          <w:lang w:val="fr"/>
        </w:rPr>
        <w:t>3. Si le succès du Programme intra-ACP est flagrant, l'essentiel des résultats a été obtenu grâce aux partenaires régionaux solides, qui sont parvenus à assumer leurs responsabilités respectives sans le soutien d'une structure administrative globale pour l'ensemble du pr</w:t>
      </w:r>
      <w:r>
        <w:rPr>
          <w:lang w:val="fr"/>
        </w:rPr>
        <w:t>o</w:t>
      </w:r>
      <w:r>
        <w:rPr>
          <w:lang w:val="fr"/>
        </w:rPr>
        <w:t>gramme. Cependant, certaines faiblesses du Programme intra-ACP auraient pu bénéficier d'orientations générales et d'une surveillance plus poussées. Le Programme intra-ACP co</w:t>
      </w:r>
      <w:r>
        <w:rPr>
          <w:lang w:val="fr"/>
        </w:rPr>
        <w:t>m</w:t>
      </w:r>
      <w:r>
        <w:rPr>
          <w:lang w:val="fr"/>
        </w:rPr>
        <w:t>prend deux niveaux administratifs, l'UE et le Secrétariat ACP, ce qui implique à la fois des défis et des opportunités. L'une de ces opportunités est caractérisée par l'important appareil administratif que l'UE maintient dans l’ensemble des États membres de l'ACP. Pourtant, le niveau de réflexion en vue de déterminer dans quelle mesure ces capacités peuvent davantage contribuer à atteindre les objectifs du Programme intra-ACP+ n'est pas clair.</w:t>
      </w:r>
    </w:p>
    <w:p w:rsidR="00FC3E5E" w:rsidRPr="00D1792C" w:rsidRDefault="00FC3E5E" w:rsidP="00C76D67">
      <w:pPr>
        <w:spacing w:after="0"/>
        <w:rPr>
          <w:lang w:val="fr-BE"/>
        </w:rPr>
      </w:pPr>
    </w:p>
    <w:p w:rsidR="008F3618" w:rsidRPr="00D1792C" w:rsidRDefault="00FC3E5E" w:rsidP="00C76D67">
      <w:pPr>
        <w:spacing w:after="0"/>
        <w:rPr>
          <w:i/>
          <w:lang w:val="fr-BE"/>
        </w:rPr>
      </w:pPr>
      <w:r>
        <w:rPr>
          <w:i/>
          <w:iCs/>
          <w:lang w:val="fr"/>
        </w:rPr>
        <w:t>Recommandation 3 – Il serait utile d’élaborer une stratégie en matière de gestion et d'adm</w:t>
      </w:r>
      <w:r>
        <w:rPr>
          <w:i/>
          <w:iCs/>
          <w:lang w:val="fr"/>
        </w:rPr>
        <w:t>i</w:t>
      </w:r>
      <w:r>
        <w:rPr>
          <w:i/>
          <w:iCs/>
          <w:lang w:val="fr"/>
        </w:rPr>
        <w:t xml:space="preserve">nistration qui aide à améliorer la cohérence des résultats tout en soutenant, par exemples, une application plus stricte de l'accord de Cotonou (en particulier, de son article 32A) et le développement de synergies entre les programmes régionaux intra-ACP et les programmes </w:t>
      </w:r>
      <w:r>
        <w:rPr>
          <w:i/>
          <w:iCs/>
          <w:lang w:val="fr"/>
        </w:rPr>
        <w:lastRenderedPageBreak/>
        <w:t>nationaux de l’AMCC+. Parmi les premières priorités figurent le développement et la mise en œuvre d'un plan visant à garantir une utilisation plus efficace de la CSF, ainsi que la mise en place d'un système global de suivi et d'évaluation amélioré.</w:t>
      </w:r>
    </w:p>
    <w:p w:rsidR="008F3618" w:rsidRPr="00D1792C" w:rsidRDefault="008F3618" w:rsidP="00C76D67">
      <w:pPr>
        <w:spacing w:after="0"/>
        <w:rPr>
          <w:lang w:val="fr-BE"/>
        </w:rPr>
      </w:pPr>
    </w:p>
    <w:p w:rsidR="00FC3E5E" w:rsidRPr="00D1792C" w:rsidRDefault="00FC3E5E" w:rsidP="00C76D67">
      <w:pPr>
        <w:spacing w:after="0"/>
        <w:rPr>
          <w:lang w:val="fr-BE"/>
        </w:rPr>
      </w:pPr>
      <w:r>
        <w:rPr>
          <w:lang w:val="fr"/>
        </w:rPr>
        <w:t>4. Une stratégie doit être clairement définie sur la façon dont le Programme intra-ACP, dans le cadre des différents programmes régionaux, développe les forces régionales partagées entre les pays. Le Programme intra-ACP et les programmes régionaux doivent faire l'objet de d</w:t>
      </w:r>
      <w:r>
        <w:rPr>
          <w:lang w:val="fr"/>
        </w:rPr>
        <w:t>a</w:t>
      </w:r>
      <w:r>
        <w:rPr>
          <w:lang w:val="fr"/>
        </w:rPr>
        <w:t>vantage de réflexion afin d'éviter qu'ils deviennent simplement une autre source de financ</w:t>
      </w:r>
      <w:r>
        <w:rPr>
          <w:lang w:val="fr"/>
        </w:rPr>
        <w:t>e</w:t>
      </w:r>
      <w:r>
        <w:rPr>
          <w:lang w:val="fr"/>
        </w:rPr>
        <w:t>ment d'activités au niveau national. Cela ne sera pas simple ; les activités au niveau régional sont plus difficiles à mettre en œuvre, car elles nécessitent davantage de coordination, et les institutions régionales peuvent ne pas avoir l'influence nécessaire. L'UE et le Secrétariat ACP ont néanmoins tout à gagner à examiner comment renforcer l'approche régionale, car il s'agit d'une occasion unique de créer une plateforme mondiale pour les PEID et les PMA, qui pou</w:t>
      </w:r>
      <w:r>
        <w:rPr>
          <w:lang w:val="fr"/>
        </w:rPr>
        <w:t>r</w:t>
      </w:r>
      <w:r>
        <w:rPr>
          <w:lang w:val="fr"/>
        </w:rPr>
        <w:t>ront ainsi apprendre les uns des autres et progresser ensemble.</w:t>
      </w:r>
    </w:p>
    <w:p w:rsidR="00493D18" w:rsidRPr="00D1792C" w:rsidRDefault="00493D18" w:rsidP="00C76D67">
      <w:pPr>
        <w:spacing w:after="0"/>
        <w:rPr>
          <w:lang w:val="fr-BE"/>
        </w:rPr>
      </w:pPr>
    </w:p>
    <w:p w:rsidR="008F3618" w:rsidRPr="00D1792C" w:rsidRDefault="00FC3E5E" w:rsidP="00C76D67">
      <w:pPr>
        <w:spacing w:after="0"/>
        <w:rPr>
          <w:lang w:val="fr-BE"/>
        </w:rPr>
      </w:pPr>
      <w:r>
        <w:rPr>
          <w:lang w:val="fr"/>
        </w:rPr>
        <w:t>Dans le même temps, si certaines activités pilotes novatrices ont été soutenues, il faudrait les soutenir davantage, notamment celles qui peuvent être utiles pour toute une région. C'est le cas dans certaines régions ; dans les Caraïbes, par exemple, le CCCCC soutient l'installation d'une usine de dessalement par osmose inversée, en vue de créer une source d'eau douce sur une île isolée de la Grenade. Il pourrait s'agir d'un projet idéal pour le Programme intra-ACP, car il peut intéresser le reste des Caraïbes, du Pacifique et de l'océan Indien. Il est novateur et spectaculaire, et pourrait avoir un immense impact sur le développement s'il s'avérait viable. Tous les projets pilotes ne doivent pas forcément être aussi importants, mais il faudra mener davantage d'activités correspondant à ce type de projets au cours de la prochaine phase du Programme intra-ACP (Programme intra-ACP+).</w:t>
      </w:r>
    </w:p>
    <w:p w:rsidR="00FC3E5E" w:rsidRPr="00D1792C" w:rsidRDefault="00FC3E5E" w:rsidP="00C76D67">
      <w:pPr>
        <w:spacing w:after="0"/>
        <w:rPr>
          <w:lang w:val="fr-BE"/>
        </w:rPr>
      </w:pPr>
    </w:p>
    <w:p w:rsidR="008F3618" w:rsidRPr="00D1792C" w:rsidRDefault="00FC3E5E" w:rsidP="00C76D67">
      <w:pPr>
        <w:spacing w:after="0"/>
        <w:rPr>
          <w:i/>
          <w:lang w:val="fr-BE"/>
        </w:rPr>
      </w:pPr>
      <w:r>
        <w:rPr>
          <w:i/>
          <w:iCs/>
          <w:lang w:val="fr"/>
        </w:rPr>
        <w:t>Recommandation 4 –  Une plus grande attention devrait être accordée à la promotion d'in</w:t>
      </w:r>
      <w:r>
        <w:rPr>
          <w:i/>
          <w:iCs/>
          <w:lang w:val="fr"/>
        </w:rPr>
        <w:t>i</w:t>
      </w:r>
      <w:r>
        <w:rPr>
          <w:i/>
          <w:iCs/>
          <w:lang w:val="fr"/>
        </w:rPr>
        <w:t>tiatives ayant des implications claires au niveau régional, dans le sens où elles répondent aux besoins potentiels de plusieurs pays. Ces initiatives pourraient prendre la forme de services, d'échanges d'informations et de stratégies collectives visant à résoudre des problèmes co</w:t>
      </w:r>
      <w:r>
        <w:rPr>
          <w:i/>
          <w:iCs/>
          <w:lang w:val="fr"/>
        </w:rPr>
        <w:t>m</w:t>
      </w:r>
      <w:r>
        <w:rPr>
          <w:i/>
          <w:iCs/>
          <w:lang w:val="fr"/>
        </w:rPr>
        <w:t>muns. Des projets pilotes ou des activités de démonstration devraient également être mis sur pied dans le cadre d'un effort plus prononcé visant à créer une forte dynamique régionale. Ces projets pilotes devraient présenter une valeur ajoutée en matière d'apprentissage et de résolution de problèmes, ainsi qu'un intérêt suffisant pour être reproduit ou développé à plus grande échelle. Les activités actuellement mises en œuvre dans le cadre des programmes nationaux de l'AMCC devraient être considérées comme une source d'inspiration potentielle pour des activités pilotes au niveau régional.</w:t>
      </w:r>
    </w:p>
    <w:p w:rsidR="00FC3E5E" w:rsidRPr="00D1792C" w:rsidRDefault="00FC3E5E" w:rsidP="00C76D67">
      <w:pPr>
        <w:spacing w:after="0"/>
        <w:rPr>
          <w:lang w:val="fr-BE"/>
        </w:rPr>
      </w:pPr>
    </w:p>
    <w:p w:rsidR="00FC3E5E" w:rsidRPr="00D1792C" w:rsidRDefault="00FC3E5E" w:rsidP="00C76D67">
      <w:pPr>
        <w:spacing w:after="0"/>
        <w:rPr>
          <w:lang w:val="fr-BE"/>
        </w:rPr>
      </w:pPr>
      <w:r>
        <w:rPr>
          <w:lang w:val="fr"/>
        </w:rPr>
        <w:t>5. Il devrait être obligatoire de renforcer les synergies entre les programmes nationaux de l'AMCC et les programmes régionaux. L'évaluation a constaté que certains programmes n</w:t>
      </w:r>
      <w:r>
        <w:rPr>
          <w:lang w:val="fr"/>
        </w:rPr>
        <w:t>a</w:t>
      </w:r>
      <w:r>
        <w:rPr>
          <w:lang w:val="fr"/>
        </w:rPr>
        <w:t>tionaux de l'AMCC étaient conçus pour fournir de l'aide dans plusieurs domaines, notamment à de multiples départements gouvernementaux. Cette approche est souvent loin d'être globale et elle révèle d'autres domaines dans lesquels le besoin se fait sentir. Les programmes régi</w:t>
      </w:r>
      <w:r>
        <w:rPr>
          <w:lang w:val="fr"/>
        </w:rPr>
        <w:t>o</w:t>
      </w:r>
      <w:r>
        <w:rPr>
          <w:lang w:val="fr"/>
        </w:rPr>
        <w:t xml:space="preserve">naux peuvent jouer un rôle à ce niveau, notamment s'il est possible de renforcer les capacités techniques de base des partenaires nationaux. Le processus d'évaluation a également souligné </w:t>
      </w:r>
      <w:r>
        <w:rPr>
          <w:lang w:val="fr"/>
        </w:rPr>
        <w:lastRenderedPageBreak/>
        <w:t>de façon très claire qu'il fallait établir une coordination et une collaboration avec d'autres o</w:t>
      </w:r>
      <w:r>
        <w:rPr>
          <w:lang w:val="fr"/>
        </w:rPr>
        <w:t>r</w:t>
      </w:r>
      <w:r>
        <w:rPr>
          <w:lang w:val="fr"/>
        </w:rPr>
        <w:t>ganismes, notamment au niveau régional. Il ne s'agit pas réellement d'un problème dans le Pacifique, où le nombre élevé de très petits pays nécessite des approches communes. Cepe</w:t>
      </w:r>
      <w:r>
        <w:rPr>
          <w:lang w:val="fr"/>
        </w:rPr>
        <w:t>n</w:t>
      </w:r>
      <w:r>
        <w:rPr>
          <w:lang w:val="fr"/>
        </w:rPr>
        <w:t>dant, dans d'autres régions du monde, il faudra faire plus d'efforts pour nouer des partenariats, mais c’est indispensable. Il ne s'agit pas simplement de signer des PdA ; il faut également définir des stratégies en vue de répartir les responsabilités, et se coordonner sur des questions essentielles, telles que les négociations internationales sur le changement climatique, les a</w:t>
      </w:r>
      <w:r>
        <w:rPr>
          <w:lang w:val="fr"/>
        </w:rPr>
        <w:t>p</w:t>
      </w:r>
      <w:r>
        <w:rPr>
          <w:lang w:val="fr"/>
        </w:rPr>
        <w:t>proches régionales ou la résolution des problèmes.</w:t>
      </w:r>
    </w:p>
    <w:p w:rsidR="00FC3E5E" w:rsidRPr="00D1792C" w:rsidRDefault="00FC3E5E" w:rsidP="00C76D67">
      <w:pPr>
        <w:spacing w:after="0"/>
        <w:rPr>
          <w:lang w:val="fr-BE"/>
        </w:rPr>
      </w:pPr>
    </w:p>
    <w:p w:rsidR="008F3618" w:rsidRDefault="00FC3E5E" w:rsidP="00C76D67">
      <w:pPr>
        <w:spacing w:after="0"/>
        <w:rPr>
          <w:i/>
          <w:iCs/>
          <w:lang w:val="fr"/>
        </w:rPr>
      </w:pPr>
      <w:r>
        <w:rPr>
          <w:i/>
          <w:iCs/>
          <w:lang w:val="fr"/>
        </w:rPr>
        <w:t>Recommandation 5 – Il convient de renforcer les liens de programmation avec les pr</w:t>
      </w:r>
      <w:r>
        <w:rPr>
          <w:i/>
          <w:iCs/>
          <w:lang w:val="fr"/>
        </w:rPr>
        <w:t>o</w:t>
      </w:r>
      <w:r>
        <w:rPr>
          <w:i/>
          <w:iCs/>
          <w:lang w:val="fr"/>
        </w:rPr>
        <w:t>grammes nationaux de l'AMCC. La programmation régionale devrait s'efforcer de combler les lacunes de la programmation nationale en rapport avec des préoccupations régionales. Il serait particulièrement intéressant d'examiner la possibilité d'appliquer au niveau régional les composantes les plus réussies des programmes nationaux de l'AMCC.</w:t>
      </w:r>
    </w:p>
    <w:p w:rsidR="002D48A8" w:rsidRPr="00D1792C" w:rsidRDefault="002D48A8" w:rsidP="00C76D67">
      <w:pPr>
        <w:spacing w:after="0"/>
        <w:rPr>
          <w:i/>
          <w:lang w:val="fr-BE"/>
        </w:rPr>
      </w:pPr>
    </w:p>
    <w:p w:rsidR="008F3618" w:rsidRPr="00D1792C" w:rsidRDefault="00FC3E5E" w:rsidP="00C76D67">
      <w:pPr>
        <w:spacing w:after="0"/>
        <w:rPr>
          <w:lang w:val="fr-BE"/>
        </w:rPr>
      </w:pPr>
      <w:r>
        <w:rPr>
          <w:lang w:val="fr"/>
        </w:rPr>
        <w:t>6. Comme l'a souligné le rapport, tous les programmes régionaux n'ont pas obtenu les mêmes résultats. Les programmes du Pacifique, le programme CEDEAO/CILSS et le programme CCCCC ont été considérés comme des réussites, tandis que les programmes ClimDev et COMESA ont été qualifiés de problématiques. Comme indiqué précédemment, la différence entre les programmes COMESA et ClimDev et les autres réside dans les capacités limitées des responsables de la mise en œuvre du programme, tant sur le plan technique qu'administr</w:t>
      </w:r>
      <w:r>
        <w:rPr>
          <w:lang w:val="fr"/>
        </w:rPr>
        <w:t>a</w:t>
      </w:r>
      <w:r>
        <w:rPr>
          <w:lang w:val="fr"/>
        </w:rPr>
        <w:t>tif. On pourrait ajouter l'expérience limitée dans le domaine du changement climatique, n</w:t>
      </w:r>
      <w:r>
        <w:rPr>
          <w:lang w:val="fr"/>
        </w:rPr>
        <w:t>o</w:t>
      </w:r>
      <w:r>
        <w:rPr>
          <w:lang w:val="fr"/>
        </w:rPr>
        <w:t xml:space="preserve">tamment pour ce qui est d'assumer des responsabilités régionales. À noter également, certains aspects spécifiques des activités des responsables de la mise en œuvre d'autres programmes régionaux </w:t>
      </w:r>
      <w:proofErr w:type="gramStart"/>
      <w:r>
        <w:rPr>
          <w:lang w:val="fr"/>
        </w:rPr>
        <w:t>pourraient</w:t>
      </w:r>
      <w:proofErr w:type="gramEnd"/>
      <w:r>
        <w:rPr>
          <w:lang w:val="fr"/>
        </w:rPr>
        <w:t xml:space="preserve"> profiter d'une aide ciblée. L’Agrhymet, par exemple, a rencontré des difficultés pour transférer ses solides capacités techniques au niveau communautaire.</w:t>
      </w:r>
    </w:p>
    <w:p w:rsidR="00493D18" w:rsidRPr="00D1792C" w:rsidRDefault="00493D18" w:rsidP="00C76D67">
      <w:pPr>
        <w:spacing w:after="0"/>
        <w:rPr>
          <w:lang w:val="fr-BE"/>
        </w:rPr>
      </w:pPr>
    </w:p>
    <w:p w:rsidR="008F3618" w:rsidRPr="00D1792C" w:rsidRDefault="00FC3E5E" w:rsidP="00C76D67">
      <w:pPr>
        <w:spacing w:after="0"/>
        <w:rPr>
          <w:i/>
          <w:lang w:val="fr-BE"/>
        </w:rPr>
      </w:pPr>
      <w:r>
        <w:rPr>
          <w:i/>
          <w:iCs/>
          <w:lang w:val="fr"/>
        </w:rPr>
        <w:t>Recommandation 6 – Une analyse institutionnelle des capacités de lutte contre le chang</w:t>
      </w:r>
      <w:r>
        <w:rPr>
          <w:i/>
          <w:iCs/>
          <w:lang w:val="fr"/>
        </w:rPr>
        <w:t>e</w:t>
      </w:r>
      <w:r>
        <w:rPr>
          <w:i/>
          <w:iCs/>
          <w:lang w:val="fr"/>
        </w:rPr>
        <w:t>ment climatique devrait être réalisée auprès de chaque partenaire clé impliqué dans les pr</w:t>
      </w:r>
      <w:r>
        <w:rPr>
          <w:i/>
          <w:iCs/>
          <w:lang w:val="fr"/>
        </w:rPr>
        <w:t>o</w:t>
      </w:r>
      <w:r>
        <w:rPr>
          <w:i/>
          <w:iCs/>
          <w:lang w:val="fr"/>
        </w:rPr>
        <w:t>grammes ClimDev et COMESA. L'objectif devrait être d'identifier les besoins de chaque o</w:t>
      </w:r>
      <w:r>
        <w:rPr>
          <w:i/>
          <w:iCs/>
          <w:lang w:val="fr"/>
        </w:rPr>
        <w:t>r</w:t>
      </w:r>
      <w:r>
        <w:rPr>
          <w:i/>
          <w:iCs/>
          <w:lang w:val="fr"/>
        </w:rPr>
        <w:t>ganisation en termes de capacités administratives et techniques et d'élaborer des stratégies pour faire en sorte que ces programmes soient dotés de capacités institutionnelles comp</w:t>
      </w:r>
      <w:r>
        <w:rPr>
          <w:i/>
          <w:iCs/>
          <w:lang w:val="fr"/>
        </w:rPr>
        <w:t>a</w:t>
      </w:r>
      <w:r>
        <w:rPr>
          <w:i/>
          <w:iCs/>
          <w:lang w:val="fr"/>
        </w:rPr>
        <w:t>rables aux autres programmes régionaux intra-ACP. Cela devrait être une condition indi</w:t>
      </w:r>
      <w:r>
        <w:rPr>
          <w:i/>
          <w:iCs/>
          <w:lang w:val="fr"/>
        </w:rPr>
        <w:t>s</w:t>
      </w:r>
      <w:r>
        <w:rPr>
          <w:i/>
          <w:iCs/>
          <w:lang w:val="fr"/>
        </w:rPr>
        <w:t>pensable pour accéder aux ressources de l'AMCC et du Programme intra-ACP+. Il pourrait également s'avérer prudent d'examiner, en coopération avec les autres organisations dir</w:t>
      </w:r>
      <w:r>
        <w:rPr>
          <w:i/>
          <w:iCs/>
          <w:lang w:val="fr"/>
        </w:rPr>
        <w:t>i</w:t>
      </w:r>
      <w:r>
        <w:rPr>
          <w:i/>
          <w:iCs/>
          <w:lang w:val="fr"/>
        </w:rPr>
        <w:t>geant des programmes régionaux, quels sont les aspects de leurs opérations qui pourraient bénéficier d'un renforcement via le Programme intra-ACP.</w:t>
      </w:r>
    </w:p>
    <w:p w:rsidR="00FC3E5E" w:rsidRPr="00D1792C" w:rsidRDefault="00FC3E5E" w:rsidP="00C76D67">
      <w:pPr>
        <w:spacing w:after="0"/>
        <w:rPr>
          <w:lang w:val="fr-BE"/>
        </w:rPr>
      </w:pPr>
    </w:p>
    <w:p w:rsidR="008F3618" w:rsidRPr="00D1792C" w:rsidRDefault="00FC3E5E" w:rsidP="00C76D67">
      <w:pPr>
        <w:spacing w:after="0"/>
        <w:rPr>
          <w:lang w:val="fr-BE"/>
        </w:rPr>
      </w:pPr>
      <w:r>
        <w:rPr>
          <w:lang w:val="fr"/>
        </w:rPr>
        <w:t>7. Avec le recul, la priorité du Programme intra-ACP aurait dû consister à placer les instit</w:t>
      </w:r>
      <w:r>
        <w:rPr>
          <w:lang w:val="fr"/>
        </w:rPr>
        <w:t>u</w:t>
      </w:r>
      <w:r>
        <w:rPr>
          <w:lang w:val="fr"/>
        </w:rPr>
        <w:t>tions partenaires de la mise en œuvre des deux programmes régionaux problématiques au cœur de leurs programmes respectifs, en termes de… renforcement des capacités et d'intégr</w:t>
      </w:r>
      <w:r>
        <w:rPr>
          <w:lang w:val="fr"/>
        </w:rPr>
        <w:t>a</w:t>
      </w:r>
      <w:r>
        <w:rPr>
          <w:lang w:val="fr"/>
        </w:rPr>
        <w:t>tion du changement climatique. Dans le cas du programme pour l'Afrique orientale et au</w:t>
      </w:r>
      <w:r>
        <w:rPr>
          <w:lang w:val="fr"/>
        </w:rPr>
        <w:t>s</w:t>
      </w:r>
      <w:r>
        <w:rPr>
          <w:lang w:val="fr"/>
        </w:rPr>
        <w:t xml:space="preserve">trale, l'objectif prioritaire aurait dû être de renforcer les capacités des partenaires de mise en œuvre, à savoir le COMESA, la CAE et la CDAA. Le processus d'évaluation a conclu que, dans une certaine mesure, cela était probablement toujours vrai aujourd'hui. De plus, l'UE et </w:t>
      </w:r>
      <w:r>
        <w:rPr>
          <w:lang w:val="fr"/>
        </w:rPr>
        <w:lastRenderedPageBreak/>
        <w:t>le Secrétariat ACP doivent déterminer dans quelle mesure les programmes régionaux qui re</w:t>
      </w:r>
      <w:r>
        <w:rPr>
          <w:lang w:val="fr"/>
        </w:rPr>
        <w:t>n</w:t>
      </w:r>
      <w:r>
        <w:rPr>
          <w:lang w:val="fr"/>
        </w:rPr>
        <w:t xml:space="preserve">contrent des difficultés vont recevoir de l'aide. Il est </w:t>
      </w:r>
      <w:proofErr w:type="gramStart"/>
      <w:r>
        <w:rPr>
          <w:lang w:val="fr"/>
        </w:rPr>
        <w:t>important</w:t>
      </w:r>
      <w:proofErr w:type="gramEnd"/>
      <w:r>
        <w:rPr>
          <w:lang w:val="fr"/>
        </w:rPr>
        <w:t xml:space="preserve"> de respecter leur autonomie, notamment en vertu des principes de la Déclaration de Paris, mais une approche passive ou minimaliste consistant à s'appuyer sur le système ROM ne s’est pas avérée efficace et n'est dans l'intérêt d'aucune partie. Le processus d'évaluation a également conclu que des instit</w:t>
      </w:r>
      <w:r>
        <w:rPr>
          <w:lang w:val="fr"/>
        </w:rPr>
        <w:t>u</w:t>
      </w:r>
      <w:r>
        <w:rPr>
          <w:lang w:val="fr"/>
        </w:rPr>
        <w:t>tions telles que le COMESA et la CEA-NU devaient assumer la responsabilité de certaines difficultés rencontrées et que des pratiques de gestion étaient nécessaires pour corriger la s</w:t>
      </w:r>
      <w:r>
        <w:rPr>
          <w:lang w:val="fr"/>
        </w:rPr>
        <w:t>i</w:t>
      </w:r>
      <w:r>
        <w:rPr>
          <w:lang w:val="fr"/>
        </w:rPr>
        <w:t>tuation.</w:t>
      </w:r>
    </w:p>
    <w:p w:rsidR="00FC3E5E" w:rsidRPr="00D1792C" w:rsidRDefault="00FC3E5E" w:rsidP="00C76D67">
      <w:pPr>
        <w:spacing w:after="0"/>
        <w:rPr>
          <w:lang w:val="fr-BE"/>
        </w:rPr>
      </w:pPr>
    </w:p>
    <w:p w:rsidR="008F3618" w:rsidRPr="00D1792C" w:rsidRDefault="00FC3E5E" w:rsidP="00C76D67">
      <w:pPr>
        <w:spacing w:after="0"/>
        <w:rPr>
          <w:i/>
          <w:lang w:val="fr-BE"/>
        </w:rPr>
      </w:pPr>
      <w:r>
        <w:rPr>
          <w:i/>
          <w:iCs/>
          <w:lang w:val="fr"/>
        </w:rPr>
        <w:t>Recommandation 7 – L'Union européenne devrait mettre en place un mécanisme permettant de mieux surveiller les programmes régionaux. Cette précaution est particulièrement impo</w:t>
      </w:r>
      <w:r>
        <w:rPr>
          <w:i/>
          <w:iCs/>
          <w:lang w:val="fr"/>
        </w:rPr>
        <w:t>r</w:t>
      </w:r>
      <w:r>
        <w:rPr>
          <w:i/>
          <w:iCs/>
          <w:lang w:val="fr"/>
        </w:rPr>
        <w:t>tante pour les programmes plus problématiques. Parmi les options possibles, on pourrait renforcer le rôle des délégations de l'UE dans les pays ACP et, éventuellement, encourager le recours aux ressources de la CSF.</w:t>
      </w:r>
    </w:p>
    <w:p w:rsidR="00FC3E5E" w:rsidRPr="00D1792C" w:rsidRDefault="00FC3E5E" w:rsidP="00C76D67">
      <w:pPr>
        <w:spacing w:after="0"/>
        <w:rPr>
          <w:lang w:val="fr-BE"/>
        </w:rPr>
      </w:pPr>
    </w:p>
    <w:p w:rsidR="008F3618" w:rsidRPr="00D1792C" w:rsidRDefault="00FC3E5E" w:rsidP="00C76D67">
      <w:pPr>
        <w:spacing w:after="0"/>
        <w:rPr>
          <w:lang w:val="fr-BE"/>
        </w:rPr>
      </w:pPr>
      <w:r>
        <w:rPr>
          <w:lang w:val="fr"/>
        </w:rPr>
        <w:t>8. Le rôle de la CSF doit être renforcé. La CSF devrait soutenir les programmes régionaux et garantir que les plus faibles prennent les mesures nécessaires pour réduire les écarts entre les programmes régionaux, tant au niveau des capacités des institutions partenaires que de l'eff</w:t>
      </w:r>
      <w:r>
        <w:rPr>
          <w:lang w:val="fr"/>
        </w:rPr>
        <w:t>i</w:t>
      </w:r>
      <w:r>
        <w:rPr>
          <w:lang w:val="fr"/>
        </w:rPr>
        <w:t>cacité des activités de programmation, où la CSF peut fournir une aide technique adaptée. Elle doit également jouer un rôle plus important pour encourager et soutenir des plateformes communes et/ou des activités partagées par les différents programmes régionaux. S'appuyer sur l'aide de la CSF doit être considéré comme faisant partie d'une gestion proactive du pr</w:t>
      </w:r>
      <w:r>
        <w:rPr>
          <w:lang w:val="fr"/>
        </w:rPr>
        <w:t>o</w:t>
      </w:r>
      <w:r>
        <w:rPr>
          <w:lang w:val="fr"/>
        </w:rPr>
        <w:t>gramme. La façon dont le programme régional intra-ACP réussi d'Afrique de l'Ouest a su tirer profit de la CSF pourrait servir d'exemple pour réfléchir à l'utilisation de la CSF. Cepe</w:t>
      </w:r>
      <w:r>
        <w:rPr>
          <w:lang w:val="fr"/>
        </w:rPr>
        <w:t>n</w:t>
      </w:r>
      <w:r>
        <w:rPr>
          <w:lang w:val="fr"/>
        </w:rPr>
        <w:t>dant, à l'heure actuelle, la CSF est axée sur la demande et, globalement, la demande de se</w:t>
      </w:r>
      <w:r>
        <w:rPr>
          <w:lang w:val="fr"/>
        </w:rPr>
        <w:t>r</w:t>
      </w:r>
      <w:r>
        <w:rPr>
          <w:lang w:val="fr"/>
        </w:rPr>
        <w:t>vices de la CSF est très limitée. Si l'approche uniquement axée sur la demande de la CSF est reproduite avec le Programme intra-ACP+, ce programme doit alors être organisé de tel sorte que la CSF soit plus utile. Il pourrait notamment s'agir de faire en sorte qu'un représentant de la CSF assiste aux réunions du comité directeur du programme régional afin d'examiner comment utiliser la CSF pour aider les programmes régionaux respectifs à atteindre leurs objectifs.</w:t>
      </w:r>
    </w:p>
    <w:p w:rsidR="00FC3E5E" w:rsidRPr="00D1792C" w:rsidRDefault="00FC3E5E" w:rsidP="00C76D67">
      <w:pPr>
        <w:spacing w:after="0"/>
        <w:rPr>
          <w:lang w:val="fr-BE"/>
        </w:rPr>
      </w:pPr>
    </w:p>
    <w:p w:rsidR="008F3618" w:rsidRPr="00D1792C" w:rsidRDefault="00FC3E5E" w:rsidP="00C76D67">
      <w:pPr>
        <w:spacing w:after="0"/>
        <w:rPr>
          <w:lang w:val="fr-BE"/>
        </w:rPr>
      </w:pPr>
      <w:r>
        <w:rPr>
          <w:lang w:val="fr"/>
        </w:rPr>
        <w:t>La CSF pourrait être utilisée de nombreuses façons pratiques afin d'enrichir l'expérience gl</w:t>
      </w:r>
      <w:r>
        <w:rPr>
          <w:lang w:val="fr"/>
        </w:rPr>
        <w:t>o</w:t>
      </w:r>
      <w:r>
        <w:rPr>
          <w:lang w:val="fr"/>
        </w:rPr>
        <w:t>bale du Programme intra-ACP de l'AMCC. Dans le Pacifique, par exemple, la formation formelle sur le changement climatique a été soutenue avec succès sous la forme de diplômes universitaires. Dans le même temps, en Afrique de l'Ouest, le Programme intra-ACP a ég</w:t>
      </w:r>
      <w:r>
        <w:rPr>
          <w:lang w:val="fr"/>
        </w:rPr>
        <w:t>a</w:t>
      </w:r>
      <w:r>
        <w:rPr>
          <w:lang w:val="fr"/>
        </w:rPr>
        <w:t>lement soutenu l'enseignement formel relatif au changement climatique. Dans les Caraïbes, l'UWI pourrait, avec un peu d'aide, créer un diplôme universitaire sur le changement clim</w:t>
      </w:r>
      <w:r>
        <w:rPr>
          <w:lang w:val="fr"/>
        </w:rPr>
        <w:t>a</w:t>
      </w:r>
      <w:r>
        <w:rPr>
          <w:lang w:val="fr"/>
        </w:rPr>
        <w:t>tique. Dans ce contexte, on peut imaginer que la CSF pourrait faciliter la création d'un pr</w:t>
      </w:r>
      <w:r>
        <w:rPr>
          <w:lang w:val="fr"/>
        </w:rPr>
        <w:t>o</w:t>
      </w:r>
      <w:r>
        <w:rPr>
          <w:lang w:val="fr"/>
        </w:rPr>
        <w:t>gramme international de licence ou de master reconnu par l'UE et le Secrétariat ACP. Il ne s'agit que d'une suggestion. Toutefois, il faudra un jour prendre des mesures pour s'assurer que la CSF fait l'objet d'une demande raisonnable ou qu'on lui attribue les tâches et les fon</w:t>
      </w:r>
      <w:r>
        <w:rPr>
          <w:lang w:val="fr"/>
        </w:rPr>
        <w:t>c</w:t>
      </w:r>
      <w:r>
        <w:rPr>
          <w:lang w:val="fr"/>
        </w:rPr>
        <w:t>tions spécifiques nécessaires aux programmes régionaux.</w:t>
      </w:r>
    </w:p>
    <w:p w:rsidR="008F3618" w:rsidRPr="00D1792C" w:rsidRDefault="008F3618" w:rsidP="00C76D67">
      <w:pPr>
        <w:spacing w:after="0"/>
        <w:rPr>
          <w:lang w:val="fr-BE"/>
        </w:rPr>
      </w:pPr>
    </w:p>
    <w:p w:rsidR="008F3618" w:rsidRPr="00D1792C" w:rsidRDefault="00FC3E5E" w:rsidP="00C76D67">
      <w:pPr>
        <w:spacing w:after="0"/>
        <w:rPr>
          <w:i/>
          <w:lang w:val="fr-BE"/>
        </w:rPr>
      </w:pPr>
      <w:r>
        <w:rPr>
          <w:i/>
          <w:iCs/>
          <w:lang w:val="fr"/>
        </w:rPr>
        <w:lastRenderedPageBreak/>
        <w:t>Recommandation 8 – L'AT au Secrétariat ACP et la CSF devraient être dotées d'une stru</w:t>
      </w:r>
      <w:r>
        <w:rPr>
          <w:i/>
          <w:iCs/>
          <w:lang w:val="fr"/>
        </w:rPr>
        <w:t>c</w:t>
      </w:r>
      <w:r>
        <w:rPr>
          <w:i/>
          <w:iCs/>
          <w:lang w:val="fr"/>
        </w:rPr>
        <w:t>ture administrative claire de manière à garantir une utilisation plus efficace de ces services. La clé consiste à établir une structure garantissant l'existence d'une demande constante. Ceci pourrait, par exemple, être réalisé en donnant à l'AT au Secrétariat ACP et à la CSF plus de responsabilités directes, comme celle de vérifier que le Programme intra-ACP de l’AMCC+ respecte les objectifs de l'accord de Cotonou. La CSF peut clairement contribuer à bâtir des ponts entre les programmes régionaux en vue d'atteindre des objectifs mondiaux. En ce qui concerne les différents programmes régionaux, une approche plus planifiée devrait être adoptée pour permettre à la CSF de soutenir des objectifs régionaux sous la forme d'une a</w:t>
      </w:r>
      <w:r>
        <w:rPr>
          <w:i/>
          <w:iCs/>
          <w:lang w:val="fr"/>
        </w:rPr>
        <w:t>s</w:t>
      </w:r>
      <w:r>
        <w:rPr>
          <w:i/>
          <w:iCs/>
          <w:lang w:val="fr"/>
        </w:rPr>
        <w:t>sistance technique. Il serait utile d'intensifier le dialogue et le partage d'informations entre l'AT au Secrétariat ACP et la CSF, d'une part, et les différents programmes régionaux, d'autre part. Par exemple, des représentants de la CSF pourraient régulièrement assister aux réunions du comité directeur des programmes régionaux, auxquelles participent tous les pa</w:t>
      </w:r>
      <w:r>
        <w:rPr>
          <w:i/>
          <w:iCs/>
          <w:lang w:val="fr"/>
        </w:rPr>
        <w:t>r</w:t>
      </w:r>
      <w:r>
        <w:rPr>
          <w:i/>
          <w:iCs/>
          <w:lang w:val="fr"/>
        </w:rPr>
        <w:t>tenaires clés.</w:t>
      </w:r>
    </w:p>
    <w:p w:rsidR="00FC3E5E" w:rsidRPr="00D1792C" w:rsidRDefault="00FC3E5E" w:rsidP="00C76D67">
      <w:pPr>
        <w:spacing w:after="0"/>
        <w:rPr>
          <w:lang w:val="fr-BE"/>
        </w:rPr>
      </w:pPr>
    </w:p>
    <w:p w:rsidR="00FC3E5E" w:rsidRPr="00D1792C" w:rsidRDefault="00FC3E5E" w:rsidP="00C76D67">
      <w:pPr>
        <w:spacing w:after="0"/>
        <w:rPr>
          <w:lang w:val="fr-BE"/>
        </w:rPr>
      </w:pPr>
      <w:r>
        <w:rPr>
          <w:lang w:val="fr"/>
        </w:rPr>
        <w:t>9. L'UE et le Secrétariat ACP, en coopération avec leurs institutions partenaires supervisant les programmes régionaux, doivent réévaluer les domaines prioritaires du Programme intra-ACP, la situation ayant apparemment évolué concernant les domaines prioritaires quatre et cinq de l'AMCC. Les diverses parties prenantes pourraient souhaiter saisir cette occasion pour examiner dans quelle mesure de nouvelles caractéristiques peuvent être intégrées au Programme intra-ACP, en gardant à l'esprit les principes de l'accord de Cotonou.</w:t>
      </w:r>
    </w:p>
    <w:p w:rsidR="00FC3E5E" w:rsidRPr="00D1792C" w:rsidRDefault="00FC3E5E" w:rsidP="00C76D67">
      <w:pPr>
        <w:spacing w:after="0"/>
        <w:rPr>
          <w:lang w:val="fr-BE"/>
        </w:rPr>
      </w:pPr>
    </w:p>
    <w:p w:rsidR="008F3618" w:rsidRPr="00D1792C" w:rsidRDefault="00FC3E5E" w:rsidP="00C76D67">
      <w:pPr>
        <w:spacing w:after="0"/>
        <w:rPr>
          <w:i/>
          <w:lang w:val="fr-BE"/>
        </w:rPr>
      </w:pPr>
      <w:r>
        <w:rPr>
          <w:i/>
          <w:iCs/>
          <w:lang w:val="fr"/>
        </w:rPr>
        <w:t>Recommandation 9 – Les cinq domaines prioritaires du Programme intra-ACP devraient être réexaminés afin de vérifier qu'ils restent pertinents pour la deuxième phase du programme et au-delà. Les priorités concernant les mesures d'atténuation et le MDP méritent un intérêt particulier. L'amélioration du stock forestier en termes de volume et de diversité et la prom</w:t>
      </w:r>
      <w:r>
        <w:rPr>
          <w:i/>
          <w:iCs/>
          <w:lang w:val="fr"/>
        </w:rPr>
        <w:t>o</w:t>
      </w:r>
      <w:r>
        <w:rPr>
          <w:i/>
          <w:iCs/>
          <w:lang w:val="fr"/>
        </w:rPr>
        <w:t>tion de sources d'énergie neutres en carbone, par exemple, restent des objectifs louables. Compte tenu de la situation actuelle de la finance carbone, la question à se poser est la su</w:t>
      </w:r>
      <w:r>
        <w:rPr>
          <w:i/>
          <w:iCs/>
          <w:lang w:val="fr"/>
        </w:rPr>
        <w:t>i</w:t>
      </w:r>
      <w:r>
        <w:rPr>
          <w:i/>
          <w:iCs/>
          <w:lang w:val="fr"/>
        </w:rPr>
        <w:t>vante : comment le Programme intra-ACP peut-il faire des avancées dans ce domaine et comment l'encadrer au mieux ? Dans le même temps, ce réexamen devrait être considéré comme l'occasion de recenser des initiatives mondiales susceptibles d'être partagées et so</w:t>
      </w:r>
      <w:r>
        <w:rPr>
          <w:i/>
          <w:iCs/>
          <w:lang w:val="fr"/>
        </w:rPr>
        <w:t>u</w:t>
      </w:r>
      <w:r>
        <w:rPr>
          <w:i/>
          <w:iCs/>
          <w:lang w:val="fr"/>
        </w:rPr>
        <w:t>tenues par l'ensemble des programmes régionaux.</w:t>
      </w:r>
    </w:p>
    <w:p w:rsidR="00FC3E5E" w:rsidRPr="00D1792C" w:rsidRDefault="00FC3E5E" w:rsidP="00C76D67">
      <w:pPr>
        <w:spacing w:after="0"/>
        <w:rPr>
          <w:lang w:val="fr-BE"/>
        </w:rPr>
      </w:pPr>
    </w:p>
    <w:p w:rsidR="008F3618" w:rsidRPr="00D1792C" w:rsidRDefault="00FC3E5E" w:rsidP="00C76D67">
      <w:pPr>
        <w:spacing w:after="0"/>
        <w:rPr>
          <w:lang w:val="fr-BE"/>
        </w:rPr>
      </w:pPr>
      <w:r>
        <w:rPr>
          <w:lang w:val="fr"/>
        </w:rPr>
        <w:t>10. Cette évaluation était notamment chargée de déterminer comment utiliser les fonds re</w:t>
      </w:r>
      <w:r>
        <w:rPr>
          <w:lang w:val="fr"/>
        </w:rPr>
        <w:t>s</w:t>
      </w:r>
      <w:r>
        <w:rPr>
          <w:lang w:val="fr"/>
        </w:rPr>
        <w:t>tants de « l'enveloppe du Programme intra-ACP de l'AMCC », se montant à un million d’euros. Lors de l'évaluation, les fonds restants ne se montaient plus qu’à un demi-million d'euros. L'idée est qu'une partie de ces ressources devrait être utilisée pour faciliter la trans</w:t>
      </w:r>
      <w:r>
        <w:rPr>
          <w:lang w:val="fr"/>
        </w:rPr>
        <w:t>i</w:t>
      </w:r>
      <w:r>
        <w:rPr>
          <w:lang w:val="fr"/>
        </w:rPr>
        <w:t>tion vers le Programme intra-ACP+ en traitant certains problèmes cités dans ce rapport, comme la performance des programmes ClimDev et COMESA, bien que d'autres ressources soient utilisables à cette fin également. Dans le même temps, durant la mise en œuvre de cette évaluation, le Secrétariat ACP et DEVCO E3 ont décidé d'allouer le demi-million d'euros pour des coûts supplémentaires dans le cadre du contrat fournissant une aide technique au Secrétariat ACP. Ce service complémentaire, en plus de l'aide technique actuelle, a pour o</w:t>
      </w:r>
      <w:r>
        <w:rPr>
          <w:lang w:val="fr"/>
        </w:rPr>
        <w:t>b</w:t>
      </w:r>
      <w:r>
        <w:rPr>
          <w:lang w:val="fr"/>
        </w:rPr>
        <w:t>jectif de renforcer la coordination du Programme intra-ACP, en développant une plateforme de dialogue et des synergies entre les programmes régionaux, et en encourageant une utilis</w:t>
      </w:r>
      <w:r>
        <w:rPr>
          <w:lang w:val="fr"/>
        </w:rPr>
        <w:t>a</w:t>
      </w:r>
      <w:r>
        <w:rPr>
          <w:lang w:val="fr"/>
        </w:rPr>
        <w:lastRenderedPageBreak/>
        <w:t>tion accrue de la CSF. Le processus d'évaluation soutient cet objectif, mais souligne que ce</w:t>
      </w:r>
      <w:r>
        <w:rPr>
          <w:lang w:val="fr"/>
        </w:rPr>
        <w:t>r</w:t>
      </w:r>
      <w:r>
        <w:rPr>
          <w:lang w:val="fr"/>
        </w:rPr>
        <w:t>taines des ressources financières restantes devraient être utilisées pour évaluer les activités des programmes COMESA et ClimDev, qui ne sont pas au même niveau que celles des autres programmes. Il s'agit d'un aspect aussi important pour l’évolution du Programme intra-ACP que la transformation de la CSF en une entité plus fonctionnelle.</w:t>
      </w:r>
    </w:p>
    <w:p w:rsidR="00FC3E5E" w:rsidRPr="00D1792C" w:rsidRDefault="00FC3E5E" w:rsidP="00C76D67">
      <w:pPr>
        <w:spacing w:after="0"/>
        <w:rPr>
          <w:lang w:val="fr-BE"/>
        </w:rPr>
      </w:pPr>
    </w:p>
    <w:p w:rsidR="008F3618" w:rsidRPr="00D1792C" w:rsidRDefault="00FC3E5E" w:rsidP="00C76D67">
      <w:pPr>
        <w:spacing w:after="0"/>
        <w:rPr>
          <w:i/>
          <w:lang w:val="fr-BE"/>
        </w:rPr>
      </w:pPr>
      <w:r>
        <w:rPr>
          <w:i/>
          <w:iCs/>
          <w:lang w:val="fr"/>
        </w:rPr>
        <w:t>Recommandation 10 – Les fonds subsistant dans l'enveloppe du Programme intra-ACP d</w:t>
      </w:r>
      <w:r>
        <w:rPr>
          <w:i/>
          <w:iCs/>
          <w:lang w:val="fr"/>
        </w:rPr>
        <w:t>e</w:t>
      </w:r>
      <w:r>
        <w:rPr>
          <w:i/>
          <w:iCs/>
          <w:lang w:val="fr"/>
        </w:rPr>
        <w:t>vraient être utilisés à des fins concrètes, par exemple, pour financer des évaluations détai</w:t>
      </w:r>
      <w:r>
        <w:rPr>
          <w:i/>
          <w:iCs/>
          <w:lang w:val="fr"/>
        </w:rPr>
        <w:t>l</w:t>
      </w:r>
      <w:r>
        <w:rPr>
          <w:i/>
          <w:iCs/>
          <w:lang w:val="fr"/>
        </w:rPr>
        <w:t>lées des programmes ClimDev et COMESA, dans la mesure où ces évaluations ne peuvent pas être financées à partir d'autres sources. Les évaluations devraient inclure une analyse institutionnelle des organisations partenaires de ces programmes (COMESA, CAE et CDAA) et conduire, lorsque cela s'avère nécessaire, à l'élaboration de stratégies de renforcement des capacités. Les fonds devraient aussi servir à développer une stratégie visant à renforcer la coordination de la programmation interrégionale et à soutenir la réalisation des objectifs de l'accord de Cotonou. L'enveloppe financière restante devrait également être utilisée pour des mesures destinées à encourager le recours à la CSF et à améliorer son fonctionnement.</w:t>
      </w:r>
    </w:p>
    <w:p w:rsidR="008F3618" w:rsidRPr="00D1792C" w:rsidRDefault="008F3618" w:rsidP="00C76D67">
      <w:pPr>
        <w:spacing w:after="0"/>
        <w:rPr>
          <w:lang w:val="fr-BE"/>
        </w:rPr>
      </w:pPr>
    </w:p>
    <w:p w:rsidR="008F3618" w:rsidRPr="00D1792C" w:rsidRDefault="00FC3E5E" w:rsidP="00C76D67">
      <w:pPr>
        <w:spacing w:after="0"/>
        <w:rPr>
          <w:lang w:val="fr-BE"/>
        </w:rPr>
      </w:pPr>
      <w:r>
        <w:rPr>
          <w:lang w:val="fr"/>
        </w:rPr>
        <w:t>11. Le niveau de contribution des programmes régionaux intra-ACP à la visibilité et la bonne réputation des actions de l'UE et des États ACP dans le domaine du changement climatique varie considérablement selon les programmes régionaux, incluant aussi bien de solides activ</w:t>
      </w:r>
      <w:r>
        <w:rPr>
          <w:lang w:val="fr"/>
        </w:rPr>
        <w:t>i</w:t>
      </w:r>
      <w:r>
        <w:rPr>
          <w:lang w:val="fr"/>
        </w:rPr>
        <w:t>tés de communication et d'une grande visibilité à des activités d’une visibilité faible. La vis</w:t>
      </w:r>
      <w:r>
        <w:rPr>
          <w:lang w:val="fr"/>
        </w:rPr>
        <w:t>i</w:t>
      </w:r>
      <w:r>
        <w:rPr>
          <w:lang w:val="fr"/>
        </w:rPr>
        <w:t>bilité des États ACP, notamment, s'est avérée relativement faible par rapport à celle de l'UE. Cependant, tous les programmes considèrent désormais les activités de communication comme un domaine d'activité spécifique, et les sites Internet et pages web commencent à être utilisés de manière plus active, bien que ce soit dans des formats très différents. Il semble souhaitable de renforcer l'harmonisation.</w:t>
      </w:r>
    </w:p>
    <w:p w:rsidR="00FC3E5E" w:rsidRPr="00D1792C" w:rsidRDefault="00FC3E5E" w:rsidP="00C76D67">
      <w:pPr>
        <w:spacing w:after="0"/>
        <w:rPr>
          <w:lang w:val="fr-BE"/>
        </w:rPr>
      </w:pPr>
    </w:p>
    <w:p w:rsidR="008F3618" w:rsidRPr="00D1792C" w:rsidRDefault="00FC3E5E" w:rsidP="00C76D67">
      <w:pPr>
        <w:spacing w:after="0"/>
        <w:rPr>
          <w:b/>
          <w:i/>
          <w:lang w:val="fr-BE"/>
        </w:rPr>
      </w:pPr>
      <w:r>
        <w:rPr>
          <w:i/>
          <w:iCs/>
          <w:lang w:val="fr"/>
        </w:rPr>
        <w:t>Recommandation 11 – Afin d'améliorer la visibilité du Programme intra-ACP, le Secrétariat ACP et l'UE devraient établir des lignes directrices de façon à s'assurer que certaines a</w:t>
      </w:r>
      <w:r>
        <w:rPr>
          <w:i/>
          <w:iCs/>
          <w:lang w:val="fr"/>
        </w:rPr>
        <w:t>t</w:t>
      </w:r>
      <w:r>
        <w:rPr>
          <w:i/>
          <w:iCs/>
          <w:lang w:val="fr"/>
        </w:rPr>
        <w:t>tentes minimales soient satisfaites, par exemple en termes de présence sur internet. À l'heure actuelle, les programmes régionaux appliquent des stratégies de communication très diff</w:t>
      </w:r>
      <w:r>
        <w:rPr>
          <w:i/>
          <w:iCs/>
          <w:lang w:val="fr"/>
        </w:rPr>
        <w:t>é</w:t>
      </w:r>
      <w:r>
        <w:rPr>
          <w:i/>
          <w:iCs/>
          <w:lang w:val="fr"/>
        </w:rPr>
        <w:t>rentes, dont certaines plus réussies que d'autres. Dans l'ensemble, cependant, il conviendrait de définir des pratiques et des normes minimales pour les activités de communication qui soient communes à tous les programmes régionaux.</w:t>
      </w:r>
    </w:p>
    <w:p w:rsidR="00230EE0" w:rsidRPr="00A94D8B" w:rsidRDefault="00230EE0" w:rsidP="002A03DF">
      <w:pPr>
        <w:pStyle w:val="Heading2"/>
        <w:numPr>
          <w:ilvl w:val="1"/>
          <w:numId w:val="45"/>
        </w:numPr>
      </w:pPr>
      <w:bookmarkStart w:id="50" w:name="_Toc392064224"/>
      <w:bookmarkStart w:id="51" w:name="_Toc406494031"/>
      <w:r>
        <w:rPr>
          <w:bCs/>
          <w:lang w:val="fr"/>
        </w:rPr>
        <w:t>Enseignements tirés</w:t>
      </w:r>
      <w:bookmarkEnd w:id="50"/>
      <w:bookmarkEnd w:id="51"/>
    </w:p>
    <w:p w:rsidR="008F3618" w:rsidRPr="00D1792C" w:rsidRDefault="00762691" w:rsidP="00A20F88">
      <w:pPr>
        <w:pStyle w:val="ListParagraph"/>
        <w:numPr>
          <w:ilvl w:val="0"/>
          <w:numId w:val="35"/>
        </w:numPr>
        <w:rPr>
          <w:lang w:val="fr-BE"/>
        </w:rPr>
      </w:pPr>
      <w:r>
        <w:rPr>
          <w:lang w:val="fr"/>
        </w:rPr>
        <w:t>Les programmes régionaux sont des entités complexes mises en œuvre dans des circon</w:t>
      </w:r>
      <w:r>
        <w:rPr>
          <w:lang w:val="fr"/>
        </w:rPr>
        <w:t>s</w:t>
      </w:r>
      <w:r>
        <w:rPr>
          <w:lang w:val="fr"/>
        </w:rPr>
        <w:t>tances très difficiles. Il ne faut pas supposer que les procédures administratives et de pa</w:t>
      </w:r>
      <w:r>
        <w:rPr>
          <w:lang w:val="fr"/>
        </w:rPr>
        <w:t>s</w:t>
      </w:r>
      <w:r>
        <w:rPr>
          <w:lang w:val="fr"/>
        </w:rPr>
        <w:t>sation de marchés se mettront en place de manière efficace. Les programmes doivent être conçus pour pouvoir mieux anticiper et gérer les démarrages compliqués.</w:t>
      </w:r>
    </w:p>
    <w:p w:rsidR="00123A98" w:rsidRPr="00D1792C" w:rsidRDefault="00123A98" w:rsidP="00A20F88">
      <w:pPr>
        <w:pStyle w:val="ListParagraph"/>
        <w:ind w:left="375"/>
        <w:rPr>
          <w:lang w:val="fr-BE"/>
        </w:rPr>
      </w:pPr>
    </w:p>
    <w:p w:rsidR="008F3618" w:rsidRPr="00D1792C" w:rsidRDefault="00762691" w:rsidP="00A20F88">
      <w:pPr>
        <w:pStyle w:val="ListParagraph"/>
        <w:numPr>
          <w:ilvl w:val="0"/>
          <w:numId w:val="35"/>
        </w:numPr>
        <w:rPr>
          <w:lang w:val="fr-BE"/>
        </w:rPr>
      </w:pPr>
      <w:r>
        <w:rPr>
          <w:lang w:val="fr"/>
        </w:rPr>
        <w:lastRenderedPageBreak/>
        <w:t>Gérer un programme à l'échelon régional nécessite de l'expérience et les capacités néce</w:t>
      </w:r>
      <w:r>
        <w:rPr>
          <w:lang w:val="fr"/>
        </w:rPr>
        <w:t>s</w:t>
      </w:r>
      <w:r>
        <w:rPr>
          <w:lang w:val="fr"/>
        </w:rPr>
        <w:t>saires. Une fois les capacités institutionnelles en place, le partenaire de mise en œuvre doit être guidé par une stratégie régionale claire et adaptée.</w:t>
      </w:r>
    </w:p>
    <w:p w:rsidR="00123A98" w:rsidRPr="00D1792C" w:rsidRDefault="00123A98" w:rsidP="00A20F88">
      <w:pPr>
        <w:pStyle w:val="ListParagraph"/>
        <w:ind w:left="375"/>
        <w:rPr>
          <w:lang w:val="fr-BE"/>
        </w:rPr>
      </w:pPr>
    </w:p>
    <w:p w:rsidR="008F3618" w:rsidRPr="00D1792C" w:rsidRDefault="00762691" w:rsidP="00A20F88">
      <w:pPr>
        <w:pStyle w:val="ListParagraph"/>
        <w:numPr>
          <w:ilvl w:val="0"/>
          <w:numId w:val="35"/>
        </w:numPr>
        <w:rPr>
          <w:lang w:val="fr-BE"/>
        </w:rPr>
      </w:pPr>
      <w:r>
        <w:rPr>
          <w:lang w:val="fr"/>
        </w:rPr>
        <w:t>S'appuyer sur des structures existantes et des activités de projet déjà mises en œuvre d</w:t>
      </w:r>
      <w:r>
        <w:rPr>
          <w:lang w:val="fr"/>
        </w:rPr>
        <w:t>e</w:t>
      </w:r>
      <w:r>
        <w:rPr>
          <w:lang w:val="fr"/>
        </w:rPr>
        <w:t>vrait accroître le potentiel de réussite du projet. Dans l'ensemble des trois régions, de nombreux exemples existent où de précédents investissements ont profité au Programme intra-ACP.</w:t>
      </w:r>
    </w:p>
    <w:p w:rsidR="00123A98" w:rsidRPr="00D1792C" w:rsidRDefault="00123A98" w:rsidP="00A20F88">
      <w:pPr>
        <w:pStyle w:val="ListParagraph"/>
        <w:ind w:left="375"/>
        <w:rPr>
          <w:lang w:val="fr-BE"/>
        </w:rPr>
      </w:pPr>
    </w:p>
    <w:p w:rsidR="008F3618" w:rsidRPr="00D1792C" w:rsidRDefault="00762691" w:rsidP="00A20F88">
      <w:pPr>
        <w:pStyle w:val="ListParagraph"/>
        <w:numPr>
          <w:ilvl w:val="0"/>
          <w:numId w:val="35"/>
        </w:numPr>
        <w:rPr>
          <w:lang w:val="fr-BE"/>
        </w:rPr>
      </w:pPr>
      <w:r>
        <w:rPr>
          <w:lang w:val="fr"/>
        </w:rPr>
        <w:t>Il est plus essentiel que jamais de prendre les mesures nécessaires pour assurer la réussite de la programmation. Des cadres logiques, qui définissent des objectifs réalisables à l'aide d'indicateurs pertinents, doivent être mis en place, et des systèmes de suivi et d'évaluation sont indispensables. Ils peuvent être modifiés, comme cela a été le cas pour plusieurs des programmes évalués, mais ils ne doivent pas faire diversion et interférer avec la capacité de mesurer les résultats obtenus, comme cela a pu se produire avec deux des programmes africains.</w:t>
      </w:r>
    </w:p>
    <w:p w:rsidR="00123A98" w:rsidRPr="00D1792C" w:rsidRDefault="00123A98" w:rsidP="00A20F88">
      <w:pPr>
        <w:pStyle w:val="ListParagraph"/>
        <w:ind w:left="375"/>
        <w:rPr>
          <w:lang w:val="fr-BE"/>
        </w:rPr>
      </w:pPr>
    </w:p>
    <w:p w:rsidR="00762691" w:rsidRPr="00D1792C" w:rsidRDefault="00D77B28" w:rsidP="00A20F88">
      <w:pPr>
        <w:pStyle w:val="ListParagraph"/>
        <w:numPr>
          <w:ilvl w:val="0"/>
          <w:numId w:val="35"/>
        </w:numPr>
        <w:rPr>
          <w:lang w:val="fr-BE"/>
        </w:rPr>
      </w:pPr>
      <w:r>
        <w:rPr>
          <w:lang w:val="fr"/>
        </w:rPr>
        <w:t>L'importance de la flexibilité dans la conception du programme a été soulignée à pl</w:t>
      </w:r>
      <w:r>
        <w:rPr>
          <w:lang w:val="fr"/>
        </w:rPr>
        <w:t>u</w:t>
      </w:r>
      <w:r>
        <w:rPr>
          <w:lang w:val="fr"/>
        </w:rPr>
        <w:t>sieurs reprises durant l'évaluation du Programme intra-ACP. Cela semble évident pour les programmes qui couvrent des pays et des contextes de mise en œuvre très différents. Un programme régional peut combler des lacunes, tant au niveau régional que national, et il est important que la conception du programme offre cette flexibilité.</w:t>
      </w:r>
    </w:p>
    <w:p w:rsidR="00DA44FF" w:rsidRPr="00D1792C" w:rsidRDefault="00DA44FF" w:rsidP="00BE1289">
      <w:pPr>
        <w:spacing w:after="0" w:line="240" w:lineRule="auto"/>
        <w:rPr>
          <w:lang w:val="fr-BE"/>
        </w:rPr>
      </w:pPr>
    </w:p>
    <w:p w:rsidR="00AD5369" w:rsidRPr="00D1792C" w:rsidRDefault="0030418D">
      <w:pPr>
        <w:spacing w:after="0" w:line="240" w:lineRule="auto"/>
        <w:jc w:val="left"/>
        <w:rPr>
          <w:b/>
          <w:lang w:val="fr-BE"/>
        </w:rPr>
        <w:sectPr w:rsidR="00AD5369" w:rsidRPr="00D1792C">
          <w:pgSz w:w="11906" w:h="16838" w:code="9"/>
          <w:pgMar w:top="1387" w:right="1440" w:bottom="1080" w:left="1440" w:header="851" w:footer="851" w:gutter="0"/>
          <w:cols w:space="720"/>
          <w:docGrid w:linePitch="326"/>
        </w:sectPr>
      </w:pPr>
      <w:r>
        <w:rPr>
          <w:b/>
          <w:bCs/>
          <w:lang w:val="fr"/>
        </w:rPr>
        <w:br w:type="page"/>
      </w:r>
    </w:p>
    <w:p w:rsidR="00AD5369" w:rsidRPr="00D1792C" w:rsidRDefault="00AD5369" w:rsidP="00A01BD3">
      <w:pPr>
        <w:pStyle w:val="Heading1"/>
        <w:keepNext w:val="0"/>
        <w:numPr>
          <w:ilvl w:val="0"/>
          <w:numId w:val="45"/>
        </w:numPr>
        <w:spacing w:after="0" w:line="276" w:lineRule="auto"/>
        <w:ind w:left="431" w:hanging="431"/>
        <w:contextualSpacing/>
        <w:rPr>
          <w:spacing w:val="-10"/>
          <w:lang w:val="fr-BE"/>
        </w:rPr>
      </w:pPr>
      <w:bookmarkStart w:id="52" w:name="_Toc406494032"/>
      <w:r>
        <w:rPr>
          <w:bCs/>
          <w:lang w:val="fr"/>
        </w:rPr>
        <w:lastRenderedPageBreak/>
        <w:t>Accord au point d'achèvement</w:t>
      </w:r>
      <w:r w:rsidRPr="00281425">
        <w:rPr>
          <w:bCs/>
          <w:vertAlign w:val="superscript"/>
          <w:lang w:val="fr"/>
        </w:rPr>
        <w:footnoteReference w:id="12"/>
      </w:r>
      <w:r>
        <w:rPr>
          <w:bCs/>
          <w:lang w:val="fr"/>
        </w:rPr>
        <w:t>, octobre 2014.</w:t>
      </w:r>
      <w:bookmarkEnd w:id="52"/>
      <w:r>
        <w:rPr>
          <w:b w:val="0"/>
          <w:lang w:val="fr"/>
        </w:rPr>
        <w:t xml:space="preserve"> </w:t>
      </w: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529"/>
        <w:gridCol w:w="9072"/>
      </w:tblGrid>
      <w:tr w:rsidR="00AD5369" w:rsidRPr="00D1792C">
        <w:tc>
          <w:tcPr>
            <w:tcW w:w="5529" w:type="dxa"/>
          </w:tcPr>
          <w:p w:rsidR="00AD5369" w:rsidRPr="00AD5369" w:rsidRDefault="008F3618" w:rsidP="00AD5369">
            <w:pPr>
              <w:spacing w:before="120" w:after="120" w:line="240" w:lineRule="auto"/>
              <w:ind w:left="57" w:right="57"/>
              <w:jc w:val="left"/>
              <w:rPr>
                <w:rFonts w:eastAsia="Times New Roman"/>
                <w:b/>
                <w:sz w:val="22"/>
                <w:szCs w:val="22"/>
              </w:rPr>
            </w:pPr>
            <w:r>
              <w:rPr>
                <w:rFonts w:eastAsia="Times New Roman"/>
                <w:b/>
                <w:bCs/>
                <w:sz w:val="22"/>
                <w:szCs w:val="22"/>
                <w:lang w:val="fr"/>
              </w:rPr>
              <w:t xml:space="preserve"> Recommandations</w:t>
            </w:r>
          </w:p>
        </w:tc>
        <w:tc>
          <w:tcPr>
            <w:tcW w:w="9072" w:type="dxa"/>
            <w:tcMar>
              <w:top w:w="0" w:type="dxa"/>
              <w:left w:w="108" w:type="dxa"/>
              <w:bottom w:w="0" w:type="dxa"/>
              <w:right w:w="108" w:type="dxa"/>
            </w:tcMar>
          </w:tcPr>
          <w:p w:rsidR="00AD5369" w:rsidRPr="00D1792C" w:rsidRDefault="008F3618" w:rsidP="00AD5369">
            <w:pPr>
              <w:spacing w:before="120" w:after="120" w:line="240" w:lineRule="auto"/>
              <w:ind w:left="57" w:right="57"/>
              <w:jc w:val="left"/>
              <w:rPr>
                <w:rFonts w:eastAsia="Times New Roman"/>
                <w:b/>
                <w:sz w:val="22"/>
                <w:szCs w:val="22"/>
                <w:lang w:val="fr-BE"/>
              </w:rPr>
            </w:pPr>
            <w:r>
              <w:rPr>
                <w:rFonts w:eastAsia="Times New Roman"/>
                <w:b/>
                <w:bCs/>
                <w:sz w:val="22"/>
                <w:szCs w:val="22"/>
                <w:lang w:val="fr"/>
              </w:rPr>
              <w:t xml:space="preserve"> Suggestions de mise en œuvre</w:t>
            </w:r>
          </w:p>
        </w:tc>
      </w:tr>
      <w:tr w:rsidR="00AD5369" w:rsidRPr="00AD5369">
        <w:tc>
          <w:tcPr>
            <w:tcW w:w="5529" w:type="dxa"/>
            <w:tcMar>
              <w:top w:w="0" w:type="dxa"/>
              <w:left w:w="108" w:type="dxa"/>
              <w:bottom w:w="0" w:type="dxa"/>
              <w:right w:w="108" w:type="dxa"/>
            </w:tcMar>
          </w:tcPr>
          <w:p w:rsidR="00AD5369" w:rsidRPr="00D1792C" w:rsidRDefault="00AD5369" w:rsidP="00AD5369">
            <w:pPr>
              <w:numPr>
                <w:ilvl w:val="0"/>
                <w:numId w:val="50"/>
              </w:numPr>
              <w:spacing w:before="120" w:after="120" w:line="240" w:lineRule="auto"/>
              <w:ind w:right="57"/>
              <w:jc w:val="left"/>
              <w:rPr>
                <w:rFonts w:eastAsia="Times New Roman"/>
                <w:i/>
                <w:sz w:val="22"/>
                <w:szCs w:val="22"/>
                <w:lang w:val="fr-BE"/>
              </w:rPr>
            </w:pPr>
            <w:r>
              <w:rPr>
                <w:rFonts w:eastAsia="Times New Roman"/>
                <w:i/>
                <w:iCs/>
                <w:sz w:val="22"/>
                <w:szCs w:val="22"/>
                <w:lang w:val="fr"/>
              </w:rPr>
              <w:t>La création de l'AMCC+, qui correspondrait à la s</w:t>
            </w:r>
            <w:r>
              <w:rPr>
                <w:rFonts w:eastAsia="Times New Roman"/>
                <w:i/>
                <w:iCs/>
                <w:sz w:val="22"/>
                <w:szCs w:val="22"/>
                <w:lang w:val="fr"/>
              </w:rPr>
              <w:t>e</w:t>
            </w:r>
            <w:r>
              <w:rPr>
                <w:rFonts w:eastAsia="Times New Roman"/>
                <w:i/>
                <w:iCs/>
                <w:sz w:val="22"/>
                <w:szCs w:val="22"/>
                <w:lang w:val="fr"/>
              </w:rPr>
              <w:t>conde phase du Programme intra-ACP, est fortement encouragée. Celle-ci devrait cependant être guidée par la définition d'une stratégie à long terme pour le Programme intra-ACP tenant clairement compte de l'accord de Cotonou et anticipant le soutien de l'UE au-delà de l'AMCC+. Une telle stratégie permettrait aux programmes régionaux de s'occuper des pr</w:t>
            </w:r>
            <w:r>
              <w:rPr>
                <w:rFonts w:eastAsia="Times New Roman"/>
                <w:i/>
                <w:iCs/>
                <w:sz w:val="22"/>
                <w:szCs w:val="22"/>
                <w:lang w:val="fr"/>
              </w:rPr>
              <w:t>o</w:t>
            </w:r>
            <w:r>
              <w:rPr>
                <w:rFonts w:eastAsia="Times New Roman"/>
                <w:i/>
                <w:iCs/>
                <w:sz w:val="22"/>
                <w:szCs w:val="22"/>
                <w:lang w:val="fr"/>
              </w:rPr>
              <w:t>blèmes climatiques propres à leur région tout en fav</w:t>
            </w:r>
            <w:r>
              <w:rPr>
                <w:rFonts w:eastAsia="Times New Roman"/>
                <w:i/>
                <w:iCs/>
                <w:sz w:val="22"/>
                <w:szCs w:val="22"/>
                <w:lang w:val="fr"/>
              </w:rPr>
              <w:t>o</w:t>
            </w:r>
            <w:r>
              <w:rPr>
                <w:rFonts w:eastAsia="Times New Roman"/>
                <w:i/>
                <w:iCs/>
                <w:sz w:val="22"/>
                <w:szCs w:val="22"/>
                <w:lang w:val="fr"/>
              </w:rPr>
              <w:t>risant le développement d'une alliance globale sub</w:t>
            </w:r>
            <w:r>
              <w:rPr>
                <w:rFonts w:eastAsia="Times New Roman"/>
                <w:i/>
                <w:iCs/>
                <w:sz w:val="22"/>
                <w:szCs w:val="22"/>
                <w:lang w:val="fr"/>
              </w:rPr>
              <w:t>s</w:t>
            </w:r>
            <w:r>
              <w:rPr>
                <w:rFonts w:eastAsia="Times New Roman"/>
                <w:i/>
                <w:iCs/>
                <w:sz w:val="22"/>
                <w:szCs w:val="22"/>
                <w:lang w:val="fr"/>
              </w:rPr>
              <w:t>tantielle entre les pays ACP grâce à une programm</w:t>
            </w:r>
            <w:r>
              <w:rPr>
                <w:rFonts w:eastAsia="Times New Roman"/>
                <w:i/>
                <w:iCs/>
                <w:sz w:val="22"/>
                <w:szCs w:val="22"/>
                <w:lang w:val="fr"/>
              </w:rPr>
              <w:t>a</w:t>
            </w:r>
            <w:r>
              <w:rPr>
                <w:rFonts w:eastAsia="Times New Roman"/>
                <w:i/>
                <w:iCs/>
                <w:sz w:val="22"/>
                <w:szCs w:val="22"/>
                <w:lang w:val="fr"/>
              </w:rPr>
              <w:t>tion commune. Cette stratégie devrait également déf</w:t>
            </w:r>
            <w:r>
              <w:rPr>
                <w:rFonts w:eastAsia="Times New Roman"/>
                <w:i/>
                <w:iCs/>
                <w:sz w:val="22"/>
                <w:szCs w:val="22"/>
                <w:lang w:val="fr"/>
              </w:rPr>
              <w:t>i</w:t>
            </w:r>
            <w:r>
              <w:rPr>
                <w:rFonts w:eastAsia="Times New Roman"/>
                <w:i/>
                <w:iCs/>
                <w:sz w:val="22"/>
                <w:szCs w:val="22"/>
                <w:lang w:val="fr"/>
              </w:rPr>
              <w:t>nir des paramètres susceptibles d'encourager le dév</w:t>
            </w:r>
            <w:r>
              <w:rPr>
                <w:rFonts w:eastAsia="Times New Roman"/>
                <w:i/>
                <w:iCs/>
                <w:sz w:val="22"/>
                <w:szCs w:val="22"/>
                <w:lang w:val="fr"/>
              </w:rPr>
              <w:t>e</w:t>
            </w:r>
            <w:r>
              <w:rPr>
                <w:rFonts w:eastAsia="Times New Roman"/>
                <w:i/>
                <w:iCs/>
                <w:sz w:val="22"/>
                <w:szCs w:val="22"/>
                <w:lang w:val="fr"/>
              </w:rPr>
              <w:t>loppement de synergies entre les programmes régi</w:t>
            </w:r>
            <w:r>
              <w:rPr>
                <w:rFonts w:eastAsia="Times New Roman"/>
                <w:i/>
                <w:iCs/>
                <w:sz w:val="22"/>
                <w:szCs w:val="22"/>
                <w:lang w:val="fr"/>
              </w:rPr>
              <w:t>o</w:t>
            </w:r>
            <w:r>
              <w:rPr>
                <w:rFonts w:eastAsia="Times New Roman"/>
                <w:i/>
                <w:iCs/>
                <w:sz w:val="22"/>
                <w:szCs w:val="22"/>
                <w:lang w:val="fr"/>
              </w:rPr>
              <w:t>naux et les programmes nationaux de l'AMCC afin de favoriser la réalisation des objectifs nationaux, régi</w:t>
            </w:r>
            <w:r>
              <w:rPr>
                <w:rFonts w:eastAsia="Times New Roman"/>
                <w:i/>
                <w:iCs/>
                <w:sz w:val="22"/>
                <w:szCs w:val="22"/>
                <w:lang w:val="fr"/>
              </w:rPr>
              <w:t>o</w:t>
            </w:r>
            <w:r>
              <w:rPr>
                <w:rFonts w:eastAsia="Times New Roman"/>
                <w:i/>
                <w:iCs/>
                <w:sz w:val="22"/>
                <w:szCs w:val="22"/>
                <w:lang w:val="fr"/>
              </w:rPr>
              <w:t>naux et mondiaux. Dans le même temps, il est impér</w:t>
            </w:r>
            <w:r>
              <w:rPr>
                <w:rFonts w:eastAsia="Times New Roman"/>
                <w:i/>
                <w:iCs/>
                <w:sz w:val="22"/>
                <w:szCs w:val="22"/>
                <w:lang w:val="fr"/>
              </w:rPr>
              <w:t>a</w:t>
            </w:r>
            <w:r>
              <w:rPr>
                <w:rFonts w:eastAsia="Times New Roman"/>
                <w:i/>
                <w:iCs/>
                <w:sz w:val="22"/>
                <w:szCs w:val="22"/>
                <w:lang w:val="fr"/>
              </w:rPr>
              <w:t>tif que chaque programme régional soit guidé par une stratégie régionale détaillée sur le changement clim</w:t>
            </w:r>
            <w:r>
              <w:rPr>
                <w:rFonts w:eastAsia="Times New Roman"/>
                <w:i/>
                <w:iCs/>
                <w:sz w:val="22"/>
                <w:szCs w:val="22"/>
                <w:lang w:val="fr"/>
              </w:rPr>
              <w:t>a</w:t>
            </w:r>
            <w:r>
              <w:rPr>
                <w:rFonts w:eastAsia="Times New Roman"/>
                <w:i/>
                <w:iCs/>
                <w:sz w:val="22"/>
                <w:szCs w:val="22"/>
                <w:lang w:val="fr"/>
              </w:rPr>
              <w:t>tique. À l'heure actuelle, certains programmes régi</w:t>
            </w:r>
            <w:r>
              <w:rPr>
                <w:rFonts w:eastAsia="Times New Roman"/>
                <w:i/>
                <w:iCs/>
                <w:sz w:val="22"/>
                <w:szCs w:val="22"/>
                <w:lang w:val="fr"/>
              </w:rPr>
              <w:t>o</w:t>
            </w:r>
            <w:r>
              <w:rPr>
                <w:rFonts w:eastAsia="Times New Roman"/>
                <w:i/>
                <w:iCs/>
                <w:sz w:val="22"/>
                <w:szCs w:val="22"/>
                <w:lang w:val="fr"/>
              </w:rPr>
              <w:t>naux ne peuvent se référer à aucun document de ce genre.</w:t>
            </w:r>
          </w:p>
          <w:p w:rsidR="00AD5369" w:rsidRPr="00D1792C" w:rsidRDefault="00AD5369" w:rsidP="00AD5369">
            <w:pPr>
              <w:spacing w:before="120" w:after="120" w:line="240" w:lineRule="auto"/>
              <w:ind w:left="57" w:right="57"/>
              <w:jc w:val="left"/>
              <w:rPr>
                <w:rFonts w:eastAsia="Times New Roman"/>
                <w:sz w:val="22"/>
                <w:szCs w:val="22"/>
                <w:lang w:val="fr-BE"/>
              </w:rPr>
            </w:pPr>
          </w:p>
        </w:tc>
        <w:tc>
          <w:tcPr>
            <w:tcW w:w="9072" w:type="dxa"/>
            <w:tcMar>
              <w:top w:w="0" w:type="dxa"/>
              <w:left w:w="108" w:type="dxa"/>
              <w:bottom w:w="0" w:type="dxa"/>
              <w:right w:w="108" w:type="dxa"/>
            </w:tcMar>
          </w:tcPr>
          <w:p w:rsidR="008F3618" w:rsidRDefault="00AD5369" w:rsidP="00AD5369">
            <w:pPr>
              <w:numPr>
                <w:ilvl w:val="0"/>
                <w:numId w:val="49"/>
              </w:numPr>
              <w:spacing w:before="120" w:after="120" w:line="240" w:lineRule="auto"/>
              <w:ind w:left="600" w:right="57"/>
              <w:jc w:val="left"/>
              <w:rPr>
                <w:rFonts w:eastAsia="Times New Roman"/>
                <w:sz w:val="22"/>
                <w:szCs w:val="22"/>
              </w:rPr>
            </w:pPr>
            <w:r>
              <w:rPr>
                <w:rFonts w:eastAsia="Times New Roman"/>
                <w:sz w:val="22"/>
                <w:szCs w:val="22"/>
                <w:lang w:val="fr"/>
              </w:rPr>
              <w:t xml:space="preserve">Séance/atelier d'information obligatoire sur l'accord de Cotonou pour les administrateurs des programmes régionaux et les membres clés du personnel ayant des responsabilités dans la programmation. L'objectif serait d'examiner ensemble les options permettant de garantir la conformité avec l'accord. </w:t>
            </w:r>
            <w:r>
              <w:rPr>
                <w:rFonts w:eastAsia="Times New Roman"/>
                <w:sz w:val="22"/>
                <w:szCs w:val="22"/>
                <w:lang w:val="fr"/>
              </w:rPr>
              <w:br/>
            </w:r>
            <w:r>
              <w:rPr>
                <w:rFonts w:eastAsia="Times New Roman"/>
                <w:b/>
                <w:bCs/>
                <w:i/>
                <w:iCs/>
                <w:sz w:val="22"/>
                <w:szCs w:val="22"/>
                <w:lang w:val="fr"/>
              </w:rPr>
              <w:t>Rôle possible de la CSF</w:t>
            </w:r>
          </w:p>
          <w:p w:rsidR="00AD5369" w:rsidRPr="00AD5369" w:rsidRDefault="00AD5369" w:rsidP="00AD5369">
            <w:pPr>
              <w:numPr>
                <w:ilvl w:val="0"/>
                <w:numId w:val="49"/>
              </w:numPr>
              <w:spacing w:before="120" w:after="120" w:line="240" w:lineRule="auto"/>
              <w:ind w:left="600" w:right="57"/>
              <w:jc w:val="left"/>
              <w:rPr>
                <w:rFonts w:eastAsia="Times New Roman"/>
                <w:sz w:val="22"/>
                <w:szCs w:val="22"/>
              </w:rPr>
            </w:pPr>
            <w:r>
              <w:rPr>
                <w:rFonts w:eastAsia="Times New Roman"/>
                <w:sz w:val="22"/>
                <w:szCs w:val="22"/>
                <w:lang w:val="fr"/>
              </w:rPr>
              <w:t>Organiser une séance / un atelier de visualisation de l'avenir sur les objectifs de l'AMCC dans 10 à 15 ans. La stratégie adoptée doit reposer sur des attentes réalistes, telles qu'elles ont été définies par l'expérience de la première phase, concernant les progrès potentiels, le rythme des progrès et la capacité à entretenir le sentiment d'adhésion des États membres de l'ACP, y compris les moyens financiers de l'AMCC pour les processus régionaux et mo</w:t>
            </w:r>
            <w:r>
              <w:rPr>
                <w:rFonts w:eastAsia="Times New Roman"/>
                <w:sz w:val="22"/>
                <w:szCs w:val="22"/>
                <w:lang w:val="fr"/>
              </w:rPr>
              <w:t>n</w:t>
            </w:r>
            <w:r>
              <w:rPr>
                <w:rFonts w:eastAsia="Times New Roman"/>
                <w:sz w:val="22"/>
                <w:szCs w:val="22"/>
                <w:lang w:val="fr"/>
              </w:rPr>
              <w:t xml:space="preserve">diaux. Parmi les invités doivent figurer des concepteurs de programmes régionaux, des chefs de projet et un nombre restreint d’observateurs régionaux (non directement liés à l'AMCC), qui connaissent bien les caractéristiques de leur région respective concernant le changement climatique. Envisager d'inviter des représentants régionaux du PNUD ou d'organismes de développement ayant un mandat/champ d'action régional. </w:t>
            </w:r>
            <w:r>
              <w:rPr>
                <w:rFonts w:eastAsia="Times New Roman"/>
                <w:b/>
                <w:bCs/>
                <w:i/>
                <w:iCs/>
                <w:sz w:val="22"/>
                <w:szCs w:val="22"/>
                <w:lang w:val="fr"/>
              </w:rPr>
              <w:t>Rôle possible de la CSF</w:t>
            </w:r>
          </w:p>
          <w:p w:rsidR="008F3618" w:rsidRDefault="00AD5369" w:rsidP="00AD5369">
            <w:pPr>
              <w:numPr>
                <w:ilvl w:val="0"/>
                <w:numId w:val="49"/>
              </w:numPr>
              <w:spacing w:before="120" w:after="120" w:line="240" w:lineRule="auto"/>
              <w:ind w:left="600" w:right="57"/>
              <w:jc w:val="left"/>
              <w:rPr>
                <w:rFonts w:eastAsia="Times New Roman"/>
                <w:b/>
                <w:i/>
                <w:sz w:val="22"/>
                <w:szCs w:val="22"/>
              </w:rPr>
            </w:pPr>
            <w:r>
              <w:rPr>
                <w:rFonts w:eastAsia="Times New Roman"/>
                <w:sz w:val="22"/>
                <w:szCs w:val="22"/>
                <w:lang w:val="fr"/>
              </w:rPr>
              <w:t xml:space="preserve">Le dialogue en cours avec les programmes nationaux doit être amélioré à l'aide de moyens simples. Par exemple, lors des réunions des représentants des programmes régionaux, un nombre restreint mais stratégique de représentants des programmes nationaux de l'AMCC doit être invité. Une méthode doit être mise en place, à partir de laquelle les réunions doivent être organisées. Par exemple, quand une réunion du Programme intra-ACP est organisée dans le Pacifique, trois programmes nationaux de l'AMCC pourraient être représentés, avec un représentant de chacune des autres régions. La même méthode serait utilisée quand des réunions sont organisées dans les autres régions. </w:t>
            </w:r>
            <w:r>
              <w:rPr>
                <w:rFonts w:eastAsia="Times New Roman"/>
                <w:b/>
                <w:bCs/>
                <w:i/>
                <w:iCs/>
                <w:sz w:val="22"/>
                <w:szCs w:val="22"/>
                <w:lang w:val="fr"/>
              </w:rPr>
              <w:t>Rôle possible de la CSF</w:t>
            </w:r>
          </w:p>
          <w:p w:rsidR="00AD5369" w:rsidRPr="00AD5369" w:rsidRDefault="00AD5369" w:rsidP="00AD5369">
            <w:pPr>
              <w:numPr>
                <w:ilvl w:val="0"/>
                <w:numId w:val="49"/>
              </w:numPr>
              <w:spacing w:before="120" w:after="120" w:line="240" w:lineRule="auto"/>
              <w:ind w:left="600" w:right="57"/>
              <w:jc w:val="left"/>
              <w:rPr>
                <w:rFonts w:eastAsia="Times New Roman"/>
                <w:sz w:val="22"/>
                <w:szCs w:val="22"/>
              </w:rPr>
            </w:pPr>
            <w:r>
              <w:rPr>
                <w:rFonts w:eastAsia="Times New Roman"/>
                <w:sz w:val="22"/>
                <w:szCs w:val="22"/>
                <w:lang w:val="fr"/>
              </w:rPr>
              <w:t>Avant le lancement de l'AMCC+, chaque programme régional doit définir une stratégie r</w:t>
            </w:r>
            <w:r>
              <w:rPr>
                <w:rFonts w:eastAsia="Times New Roman"/>
                <w:sz w:val="22"/>
                <w:szCs w:val="22"/>
                <w:lang w:val="fr"/>
              </w:rPr>
              <w:t>é</w:t>
            </w:r>
            <w:r>
              <w:rPr>
                <w:rFonts w:eastAsia="Times New Roman"/>
                <w:sz w:val="22"/>
                <w:szCs w:val="22"/>
                <w:lang w:val="fr"/>
              </w:rPr>
              <w:t>gionale claire, qui soit approuvée, dans la mesure du possible, par les parties prenantes r</w:t>
            </w:r>
            <w:r>
              <w:rPr>
                <w:rFonts w:eastAsia="Times New Roman"/>
                <w:sz w:val="22"/>
                <w:szCs w:val="22"/>
                <w:lang w:val="fr"/>
              </w:rPr>
              <w:t>é</w:t>
            </w:r>
            <w:r>
              <w:rPr>
                <w:rFonts w:eastAsia="Times New Roman"/>
                <w:sz w:val="22"/>
                <w:szCs w:val="22"/>
                <w:lang w:val="fr"/>
              </w:rPr>
              <w:lastRenderedPageBreak/>
              <w:t xml:space="preserve">gionales. Certains ont déjà de bonnes stratégies, mais quelques-uns n'en ont pas. Tous les programmes régionaux doivent présenter des plans détaillés sur la manière dont ils prévoient d'adhérer à l'accord de Cotonou et de collaborer avec les programmes nationaux de l'AMCC. </w:t>
            </w:r>
            <w:r>
              <w:rPr>
                <w:rFonts w:eastAsia="Times New Roman"/>
                <w:b/>
                <w:bCs/>
                <w:i/>
                <w:iCs/>
                <w:sz w:val="22"/>
                <w:szCs w:val="22"/>
                <w:lang w:val="fr"/>
              </w:rPr>
              <w:t>Rôle possible de la CSF</w:t>
            </w:r>
            <w:r>
              <w:rPr>
                <w:rFonts w:eastAsia="Times New Roman"/>
                <w:sz w:val="22"/>
                <w:szCs w:val="22"/>
                <w:lang w:val="fr"/>
              </w:rPr>
              <w:t xml:space="preserve"> </w:t>
            </w:r>
          </w:p>
        </w:tc>
      </w:tr>
      <w:tr w:rsidR="00AD5369" w:rsidRPr="00D1792C">
        <w:tc>
          <w:tcPr>
            <w:tcW w:w="5529" w:type="dxa"/>
            <w:tcMar>
              <w:top w:w="0" w:type="dxa"/>
              <w:left w:w="108" w:type="dxa"/>
              <w:bottom w:w="0" w:type="dxa"/>
              <w:right w:w="108" w:type="dxa"/>
            </w:tcMar>
          </w:tcPr>
          <w:p w:rsidR="00AD5369" w:rsidRPr="00D1792C" w:rsidRDefault="00AD5369" w:rsidP="00AD5369">
            <w:pPr>
              <w:numPr>
                <w:ilvl w:val="0"/>
                <w:numId w:val="50"/>
              </w:numPr>
              <w:spacing w:before="120" w:after="120" w:line="240" w:lineRule="auto"/>
              <w:ind w:right="57"/>
              <w:jc w:val="left"/>
              <w:rPr>
                <w:rFonts w:eastAsia="Times New Roman"/>
                <w:i/>
                <w:sz w:val="22"/>
                <w:szCs w:val="22"/>
                <w:lang w:val="fr-BE"/>
              </w:rPr>
            </w:pPr>
            <w:r>
              <w:rPr>
                <w:rFonts w:eastAsia="Times New Roman"/>
                <w:sz w:val="22"/>
                <w:szCs w:val="22"/>
                <w:lang w:val="fr"/>
              </w:rPr>
              <w:lastRenderedPageBreak/>
              <w:br w:type="page"/>
            </w:r>
            <w:r>
              <w:rPr>
                <w:rFonts w:eastAsia="Times New Roman"/>
                <w:i/>
                <w:iCs/>
                <w:sz w:val="22"/>
                <w:szCs w:val="22"/>
                <w:lang w:val="fr"/>
              </w:rPr>
              <w:t>Une approche différenciée de la programmation r</w:t>
            </w:r>
            <w:r>
              <w:rPr>
                <w:rFonts w:eastAsia="Times New Roman"/>
                <w:i/>
                <w:iCs/>
                <w:sz w:val="22"/>
                <w:szCs w:val="22"/>
                <w:lang w:val="fr"/>
              </w:rPr>
              <w:t>é</w:t>
            </w:r>
            <w:r>
              <w:rPr>
                <w:rFonts w:eastAsia="Times New Roman"/>
                <w:i/>
                <w:iCs/>
                <w:sz w:val="22"/>
                <w:szCs w:val="22"/>
                <w:lang w:val="fr"/>
              </w:rPr>
              <w:t>gionale devrait être établie afin de reconnaître que tous les partenaires régionaux n'ont pas les mêmes capacités et que chaque région est confrontée à des défis très différents. Les mécanismes tels que la CSF ou l’AT au Secrétariat ACP devraient être mis dava</w:t>
            </w:r>
            <w:r>
              <w:rPr>
                <w:rFonts w:eastAsia="Times New Roman"/>
                <w:i/>
                <w:iCs/>
                <w:sz w:val="22"/>
                <w:szCs w:val="22"/>
                <w:lang w:val="fr"/>
              </w:rPr>
              <w:t>n</w:t>
            </w:r>
            <w:r>
              <w:rPr>
                <w:rFonts w:eastAsia="Times New Roman"/>
                <w:i/>
                <w:iCs/>
                <w:sz w:val="22"/>
                <w:szCs w:val="22"/>
                <w:lang w:val="fr"/>
              </w:rPr>
              <w:t>tage à profit pour développer les capacités des part</w:t>
            </w:r>
            <w:r>
              <w:rPr>
                <w:rFonts w:eastAsia="Times New Roman"/>
                <w:i/>
                <w:iCs/>
                <w:sz w:val="22"/>
                <w:szCs w:val="22"/>
                <w:lang w:val="fr"/>
              </w:rPr>
              <w:t>e</w:t>
            </w:r>
            <w:r>
              <w:rPr>
                <w:rFonts w:eastAsia="Times New Roman"/>
                <w:i/>
                <w:iCs/>
                <w:sz w:val="22"/>
                <w:szCs w:val="22"/>
                <w:lang w:val="fr"/>
              </w:rPr>
              <w:t>naires de mise en œuvre régionaux. En Afrique orie</w:t>
            </w:r>
            <w:r>
              <w:rPr>
                <w:rFonts w:eastAsia="Times New Roman"/>
                <w:i/>
                <w:iCs/>
                <w:sz w:val="22"/>
                <w:szCs w:val="22"/>
                <w:lang w:val="fr"/>
              </w:rPr>
              <w:t>n</w:t>
            </w:r>
            <w:r>
              <w:rPr>
                <w:rFonts w:eastAsia="Times New Roman"/>
                <w:i/>
                <w:iCs/>
                <w:sz w:val="22"/>
                <w:szCs w:val="22"/>
                <w:lang w:val="fr"/>
              </w:rPr>
              <w:t>tale et australe, par exemple, cela impliquerait de re</w:t>
            </w:r>
            <w:r>
              <w:rPr>
                <w:rFonts w:eastAsia="Times New Roman"/>
                <w:i/>
                <w:iCs/>
                <w:sz w:val="22"/>
                <w:szCs w:val="22"/>
                <w:lang w:val="fr"/>
              </w:rPr>
              <w:t>n</w:t>
            </w:r>
            <w:r>
              <w:rPr>
                <w:rFonts w:eastAsia="Times New Roman"/>
                <w:i/>
                <w:iCs/>
                <w:sz w:val="22"/>
                <w:szCs w:val="22"/>
                <w:lang w:val="fr"/>
              </w:rPr>
              <w:t>forcer la communication directe entre la CDAA et la CAE, d'une part, et la CSF et l'AT au Secrétariat ACP, de l'autre. À cet égard, un effort concerté devrait être déployé de façon à veiller à ce que chaque programme régional réponde de manière aussi stratégique que possible aux problématiques de sa région, et de façon à exploiter pleinement les possibilités de synergies avec des organisations telles que le PNUD.</w:t>
            </w:r>
          </w:p>
        </w:tc>
        <w:tc>
          <w:tcPr>
            <w:tcW w:w="9072" w:type="dxa"/>
            <w:tcMar>
              <w:top w:w="0" w:type="dxa"/>
              <w:left w:w="108" w:type="dxa"/>
              <w:bottom w:w="0" w:type="dxa"/>
              <w:right w:w="108" w:type="dxa"/>
            </w:tcMar>
          </w:tcPr>
          <w:p w:rsidR="00AD5369" w:rsidRPr="00D1792C" w:rsidRDefault="00AD5369" w:rsidP="00AD5369">
            <w:pPr>
              <w:numPr>
                <w:ilvl w:val="0"/>
                <w:numId w:val="49"/>
              </w:numPr>
              <w:spacing w:before="120" w:after="120" w:line="240" w:lineRule="auto"/>
              <w:ind w:left="600" w:right="57"/>
              <w:jc w:val="left"/>
              <w:rPr>
                <w:rFonts w:eastAsia="Times New Roman"/>
                <w:sz w:val="22"/>
                <w:szCs w:val="22"/>
                <w:lang w:val="fr-BE"/>
              </w:rPr>
            </w:pPr>
            <w:r>
              <w:rPr>
                <w:rFonts w:eastAsia="Times New Roman"/>
                <w:sz w:val="22"/>
                <w:szCs w:val="22"/>
                <w:lang w:val="fr"/>
              </w:rPr>
              <w:t>Une analyse institutionnelle doit être réalisée sur les départements consacrés au changement climatique du COMESA, de la CDAA, de la CAE et de ClimDev, afin de déterminer co</w:t>
            </w:r>
            <w:r>
              <w:rPr>
                <w:rFonts w:eastAsia="Times New Roman"/>
                <w:sz w:val="22"/>
                <w:szCs w:val="22"/>
                <w:lang w:val="fr"/>
              </w:rPr>
              <w:t>m</w:t>
            </w:r>
            <w:r>
              <w:rPr>
                <w:rFonts w:eastAsia="Times New Roman"/>
                <w:sz w:val="22"/>
                <w:szCs w:val="22"/>
                <w:lang w:val="fr"/>
              </w:rPr>
              <w:t>ment s'assurer que ces entités disposent des capacités nécessaires pour superviser les activ</w:t>
            </w:r>
            <w:r>
              <w:rPr>
                <w:rFonts w:eastAsia="Times New Roman"/>
                <w:sz w:val="22"/>
                <w:szCs w:val="22"/>
                <w:lang w:val="fr"/>
              </w:rPr>
              <w:t>i</w:t>
            </w:r>
            <w:r>
              <w:rPr>
                <w:rFonts w:eastAsia="Times New Roman"/>
                <w:sz w:val="22"/>
                <w:szCs w:val="22"/>
                <w:lang w:val="fr"/>
              </w:rPr>
              <w:t>tés de leur programme régional de lutte contre le changement climatique. Ce renforcement des capacités doit être intégré au cadre logique des programmes respectifs, avec des points de référence et des indicateurs de performance. Des discussions doivent être organisées avec le CCCCC et l’Agrhymet pour déterminer si ces institutions pourraient bénéficier du renfo</w:t>
            </w:r>
            <w:r>
              <w:rPr>
                <w:rFonts w:eastAsia="Times New Roman"/>
                <w:sz w:val="22"/>
                <w:szCs w:val="22"/>
                <w:lang w:val="fr"/>
              </w:rPr>
              <w:t>r</w:t>
            </w:r>
            <w:r>
              <w:rPr>
                <w:rFonts w:eastAsia="Times New Roman"/>
                <w:sz w:val="22"/>
                <w:szCs w:val="22"/>
                <w:lang w:val="fr"/>
              </w:rPr>
              <w:t>cement de leurs capacités dans certains domaines. Par exemple, les capacités de l'Agrhymet et du CCCCC au niveau communautaire ne semblent pas très solides. Le Programme intra-ACP pourrait-il intervenir en recrutant, par exemple, un spécialiste du développement co</w:t>
            </w:r>
            <w:r>
              <w:rPr>
                <w:rFonts w:eastAsia="Times New Roman"/>
                <w:sz w:val="22"/>
                <w:szCs w:val="22"/>
                <w:lang w:val="fr"/>
              </w:rPr>
              <w:t>m</w:t>
            </w:r>
            <w:r>
              <w:rPr>
                <w:rFonts w:eastAsia="Times New Roman"/>
                <w:sz w:val="22"/>
                <w:szCs w:val="22"/>
                <w:lang w:val="fr"/>
              </w:rPr>
              <w:t>munautaire ayant de l'expérience dans le domaine de l'adaptation au changement clim</w:t>
            </w:r>
            <w:r>
              <w:rPr>
                <w:rFonts w:eastAsia="Times New Roman"/>
                <w:sz w:val="22"/>
                <w:szCs w:val="22"/>
                <w:lang w:val="fr"/>
              </w:rPr>
              <w:t>a</w:t>
            </w:r>
            <w:r>
              <w:rPr>
                <w:rFonts w:eastAsia="Times New Roman"/>
                <w:sz w:val="22"/>
                <w:szCs w:val="22"/>
                <w:lang w:val="fr"/>
              </w:rPr>
              <w:t xml:space="preserve">tique ? </w:t>
            </w:r>
          </w:p>
        </w:tc>
      </w:tr>
      <w:tr w:rsidR="00AD5369" w:rsidRPr="00D1792C">
        <w:tc>
          <w:tcPr>
            <w:tcW w:w="5529" w:type="dxa"/>
            <w:tcMar>
              <w:top w:w="0" w:type="dxa"/>
              <w:left w:w="108" w:type="dxa"/>
              <w:bottom w:w="0" w:type="dxa"/>
              <w:right w:w="108" w:type="dxa"/>
            </w:tcMar>
          </w:tcPr>
          <w:p w:rsidR="00AD5369" w:rsidRPr="00D1792C" w:rsidRDefault="00AD5369" w:rsidP="00AD5369">
            <w:pPr>
              <w:numPr>
                <w:ilvl w:val="0"/>
                <w:numId w:val="50"/>
              </w:numPr>
              <w:spacing w:before="120" w:after="120" w:line="240" w:lineRule="auto"/>
              <w:ind w:right="57"/>
              <w:contextualSpacing/>
              <w:jc w:val="left"/>
              <w:rPr>
                <w:rFonts w:eastAsia="Times New Roman"/>
                <w:i/>
                <w:sz w:val="22"/>
                <w:szCs w:val="22"/>
                <w:lang w:val="fr-BE"/>
              </w:rPr>
            </w:pPr>
            <w:r>
              <w:rPr>
                <w:rFonts w:eastAsia="Times New Roman"/>
                <w:i/>
                <w:iCs/>
                <w:sz w:val="22"/>
                <w:szCs w:val="22"/>
                <w:lang w:val="fr"/>
              </w:rPr>
              <w:t>Il serait utile d’élaborer une stratégie en matière de gestion et d'administration qui aide à améliorer la c</w:t>
            </w:r>
            <w:r>
              <w:rPr>
                <w:rFonts w:eastAsia="Times New Roman"/>
                <w:i/>
                <w:iCs/>
                <w:sz w:val="22"/>
                <w:szCs w:val="22"/>
                <w:lang w:val="fr"/>
              </w:rPr>
              <w:t>o</w:t>
            </w:r>
            <w:r>
              <w:rPr>
                <w:rFonts w:eastAsia="Times New Roman"/>
                <w:i/>
                <w:iCs/>
                <w:sz w:val="22"/>
                <w:szCs w:val="22"/>
                <w:lang w:val="fr"/>
              </w:rPr>
              <w:t>hérence des résultats tout en soutenant, par exemples, une application plus stricte de l'accord de Cotonou (en particulier, de son article 32A) et le développ</w:t>
            </w:r>
            <w:r>
              <w:rPr>
                <w:rFonts w:eastAsia="Times New Roman"/>
                <w:i/>
                <w:iCs/>
                <w:sz w:val="22"/>
                <w:szCs w:val="22"/>
                <w:lang w:val="fr"/>
              </w:rPr>
              <w:t>e</w:t>
            </w:r>
            <w:r>
              <w:rPr>
                <w:rFonts w:eastAsia="Times New Roman"/>
                <w:i/>
                <w:iCs/>
                <w:sz w:val="22"/>
                <w:szCs w:val="22"/>
                <w:lang w:val="fr"/>
              </w:rPr>
              <w:t>ment de synergies entre les programmes régionaux i</w:t>
            </w:r>
            <w:r>
              <w:rPr>
                <w:rFonts w:eastAsia="Times New Roman"/>
                <w:i/>
                <w:iCs/>
                <w:sz w:val="22"/>
                <w:szCs w:val="22"/>
                <w:lang w:val="fr"/>
              </w:rPr>
              <w:t>n</w:t>
            </w:r>
            <w:r>
              <w:rPr>
                <w:rFonts w:eastAsia="Times New Roman"/>
                <w:i/>
                <w:iCs/>
                <w:sz w:val="22"/>
                <w:szCs w:val="22"/>
                <w:lang w:val="fr"/>
              </w:rPr>
              <w:t>tra-ACP et les programmes nationaux de l’AMCC+. Parmi les premières priorités figurent le développ</w:t>
            </w:r>
            <w:r>
              <w:rPr>
                <w:rFonts w:eastAsia="Times New Roman"/>
                <w:i/>
                <w:iCs/>
                <w:sz w:val="22"/>
                <w:szCs w:val="22"/>
                <w:lang w:val="fr"/>
              </w:rPr>
              <w:t>e</w:t>
            </w:r>
            <w:r>
              <w:rPr>
                <w:rFonts w:eastAsia="Times New Roman"/>
                <w:i/>
                <w:iCs/>
                <w:sz w:val="22"/>
                <w:szCs w:val="22"/>
                <w:lang w:val="fr"/>
              </w:rPr>
              <w:t>ment et la mise en œuvre d'un plan visant à garantir une utilisation plus efficace de la CSF, ainsi que la mise en place d'un système global de suivi et d'évalu</w:t>
            </w:r>
            <w:r>
              <w:rPr>
                <w:rFonts w:eastAsia="Times New Roman"/>
                <w:i/>
                <w:iCs/>
                <w:sz w:val="22"/>
                <w:szCs w:val="22"/>
                <w:lang w:val="fr"/>
              </w:rPr>
              <w:t>a</w:t>
            </w:r>
            <w:r>
              <w:rPr>
                <w:rFonts w:eastAsia="Times New Roman"/>
                <w:i/>
                <w:iCs/>
                <w:sz w:val="22"/>
                <w:szCs w:val="22"/>
                <w:lang w:val="fr"/>
              </w:rPr>
              <w:t>tion amélioré.</w:t>
            </w:r>
          </w:p>
          <w:p w:rsidR="00AD5369" w:rsidRPr="00D1792C" w:rsidRDefault="00AD5369" w:rsidP="00AD5369">
            <w:pPr>
              <w:spacing w:before="120" w:after="120" w:line="240" w:lineRule="auto"/>
              <w:ind w:left="57" w:right="57"/>
              <w:jc w:val="left"/>
              <w:rPr>
                <w:rFonts w:eastAsia="Times New Roman"/>
                <w:i/>
                <w:sz w:val="22"/>
                <w:szCs w:val="22"/>
                <w:lang w:val="fr-BE"/>
              </w:rPr>
            </w:pPr>
          </w:p>
        </w:tc>
        <w:tc>
          <w:tcPr>
            <w:tcW w:w="9072" w:type="dxa"/>
            <w:tcMar>
              <w:top w:w="0" w:type="dxa"/>
              <w:left w:w="108" w:type="dxa"/>
              <w:bottom w:w="0" w:type="dxa"/>
              <w:right w:w="108" w:type="dxa"/>
            </w:tcMar>
          </w:tcPr>
          <w:p w:rsidR="00AD5369" w:rsidRPr="00D1792C" w:rsidRDefault="00AD5369" w:rsidP="00AD5369">
            <w:pPr>
              <w:numPr>
                <w:ilvl w:val="0"/>
                <w:numId w:val="49"/>
              </w:numPr>
              <w:spacing w:before="120" w:after="120" w:line="240" w:lineRule="auto"/>
              <w:ind w:left="600" w:right="57"/>
              <w:contextualSpacing/>
              <w:jc w:val="left"/>
              <w:rPr>
                <w:rFonts w:eastAsia="Times New Roman"/>
                <w:sz w:val="22"/>
                <w:szCs w:val="22"/>
                <w:lang w:val="fr-BE"/>
              </w:rPr>
            </w:pPr>
            <w:r>
              <w:rPr>
                <w:rFonts w:eastAsia="Times New Roman"/>
                <w:sz w:val="22"/>
                <w:szCs w:val="22"/>
                <w:lang w:val="fr"/>
              </w:rPr>
              <w:t>Voir les mesures proposées dans le cadre de la recommandation 1, pour l'accord de Cotonou et les synergies avec les programmes nationaux de l'AMCC.</w:t>
            </w:r>
          </w:p>
          <w:p w:rsidR="008F3618" w:rsidRDefault="00AD5369" w:rsidP="00AD5369">
            <w:pPr>
              <w:numPr>
                <w:ilvl w:val="0"/>
                <w:numId w:val="49"/>
              </w:numPr>
              <w:spacing w:before="120" w:after="120" w:line="240" w:lineRule="auto"/>
              <w:ind w:left="600" w:right="57"/>
              <w:contextualSpacing/>
              <w:jc w:val="left"/>
              <w:rPr>
                <w:rFonts w:eastAsia="Times New Roman"/>
                <w:b/>
                <w:i/>
                <w:sz w:val="22"/>
                <w:szCs w:val="22"/>
              </w:rPr>
            </w:pPr>
            <w:r>
              <w:rPr>
                <w:rFonts w:eastAsia="Times New Roman"/>
                <w:sz w:val="22"/>
                <w:szCs w:val="22"/>
                <w:lang w:val="fr"/>
              </w:rPr>
              <w:t>La CSF pourrait être utilisée pour concevoir un système S&amp;E avec des objectifs et des ind</w:t>
            </w:r>
            <w:r>
              <w:rPr>
                <w:rFonts w:eastAsia="Times New Roman"/>
                <w:sz w:val="22"/>
                <w:szCs w:val="22"/>
                <w:lang w:val="fr"/>
              </w:rPr>
              <w:t>i</w:t>
            </w:r>
            <w:r>
              <w:rPr>
                <w:rFonts w:eastAsia="Times New Roman"/>
                <w:sz w:val="22"/>
                <w:szCs w:val="22"/>
                <w:lang w:val="fr"/>
              </w:rPr>
              <w:t>cateurs clairs. Les délégations de l'UE doivent participer au processus d'élaboration du sy</w:t>
            </w:r>
            <w:r>
              <w:rPr>
                <w:rFonts w:eastAsia="Times New Roman"/>
                <w:sz w:val="22"/>
                <w:szCs w:val="22"/>
                <w:lang w:val="fr"/>
              </w:rPr>
              <w:t>s</w:t>
            </w:r>
            <w:r>
              <w:rPr>
                <w:rFonts w:eastAsia="Times New Roman"/>
                <w:sz w:val="22"/>
                <w:szCs w:val="22"/>
                <w:lang w:val="fr"/>
              </w:rPr>
              <w:t xml:space="preserve">tème S&amp;E afin que l'UE joue un rôle plus proactif de suivi des programmes régionaux. Une autre option à explorer consisterait à recruter des observateurs de programme qui soient communs aux différents programmes régionaux. </w:t>
            </w:r>
            <w:r>
              <w:rPr>
                <w:rFonts w:eastAsia="Times New Roman"/>
                <w:sz w:val="22"/>
                <w:szCs w:val="22"/>
                <w:lang w:val="fr"/>
              </w:rPr>
              <w:br/>
            </w:r>
            <w:r>
              <w:rPr>
                <w:rFonts w:eastAsia="Times New Roman"/>
                <w:b/>
                <w:bCs/>
                <w:i/>
                <w:iCs/>
                <w:sz w:val="22"/>
                <w:szCs w:val="22"/>
                <w:lang w:val="fr"/>
              </w:rPr>
              <w:t>Rôle possible de la CSF</w:t>
            </w:r>
          </w:p>
          <w:p w:rsidR="00AD5369" w:rsidRPr="00D1792C" w:rsidRDefault="00AD5369" w:rsidP="00776596">
            <w:pPr>
              <w:numPr>
                <w:ilvl w:val="0"/>
                <w:numId w:val="49"/>
              </w:numPr>
              <w:spacing w:before="120" w:after="120" w:line="240" w:lineRule="auto"/>
              <w:ind w:left="600" w:right="57"/>
              <w:contextualSpacing/>
              <w:jc w:val="left"/>
              <w:rPr>
                <w:rFonts w:eastAsia="Times New Roman"/>
                <w:sz w:val="22"/>
                <w:szCs w:val="22"/>
                <w:lang w:val="fr-BE"/>
              </w:rPr>
            </w:pPr>
            <w:r>
              <w:rPr>
                <w:rFonts w:eastAsia="Times New Roman"/>
                <w:sz w:val="22"/>
                <w:szCs w:val="22"/>
                <w:lang w:val="fr"/>
              </w:rPr>
              <w:t>Les représentants du Secrétariat ACP, de la CE et des programmes régionaux doivent établir ensemble un processus qui permette de déterminer le rôle que doit jouer ou non la CSF. La question clé est de savoir comment organiser les ressources financières de l'AT. Les pr</w:t>
            </w:r>
            <w:r>
              <w:rPr>
                <w:rFonts w:eastAsia="Times New Roman"/>
                <w:sz w:val="22"/>
                <w:szCs w:val="22"/>
                <w:lang w:val="fr"/>
              </w:rPr>
              <w:t>o</w:t>
            </w:r>
            <w:r>
              <w:rPr>
                <w:rFonts w:eastAsia="Times New Roman"/>
                <w:sz w:val="22"/>
                <w:szCs w:val="22"/>
                <w:lang w:val="fr"/>
              </w:rPr>
              <w:t>grammes régionaux doivent définir clairement quels services ils souhaitent voir la CSF fou</w:t>
            </w:r>
            <w:r>
              <w:rPr>
                <w:rFonts w:eastAsia="Times New Roman"/>
                <w:sz w:val="22"/>
                <w:szCs w:val="22"/>
                <w:lang w:val="fr"/>
              </w:rPr>
              <w:t>r</w:t>
            </w:r>
            <w:r>
              <w:rPr>
                <w:rFonts w:eastAsia="Times New Roman"/>
                <w:sz w:val="22"/>
                <w:szCs w:val="22"/>
                <w:lang w:val="fr"/>
              </w:rPr>
              <w:t xml:space="preserve">nir. </w:t>
            </w:r>
          </w:p>
        </w:tc>
      </w:tr>
      <w:tr w:rsidR="00AD5369" w:rsidRPr="00D1792C">
        <w:tc>
          <w:tcPr>
            <w:tcW w:w="5529" w:type="dxa"/>
            <w:tcMar>
              <w:top w:w="0" w:type="dxa"/>
              <w:left w:w="108" w:type="dxa"/>
              <w:bottom w:w="0" w:type="dxa"/>
              <w:right w:w="108" w:type="dxa"/>
            </w:tcMar>
          </w:tcPr>
          <w:p w:rsidR="00AD5369" w:rsidRPr="00D1792C" w:rsidRDefault="00AD5369" w:rsidP="00AD5369">
            <w:pPr>
              <w:numPr>
                <w:ilvl w:val="0"/>
                <w:numId w:val="50"/>
              </w:numPr>
              <w:spacing w:before="120" w:after="120" w:line="240" w:lineRule="auto"/>
              <w:ind w:right="57"/>
              <w:contextualSpacing/>
              <w:jc w:val="left"/>
              <w:rPr>
                <w:rFonts w:eastAsia="Times New Roman"/>
                <w:i/>
                <w:sz w:val="22"/>
                <w:szCs w:val="22"/>
                <w:lang w:val="fr-BE"/>
              </w:rPr>
            </w:pPr>
            <w:r>
              <w:rPr>
                <w:rFonts w:eastAsia="Times New Roman"/>
                <w:i/>
                <w:iCs/>
                <w:sz w:val="22"/>
                <w:szCs w:val="22"/>
                <w:lang w:val="fr"/>
              </w:rPr>
              <w:lastRenderedPageBreak/>
              <w:t>Une plus grande attention devrait être accordée à la promotion d'initiatives ayant des implications claires au niveau régional, dans le sens où elles répondent aux besoins potentiels de plusieurs pays. Ces initi</w:t>
            </w:r>
            <w:r>
              <w:rPr>
                <w:rFonts w:eastAsia="Times New Roman"/>
                <w:i/>
                <w:iCs/>
                <w:sz w:val="22"/>
                <w:szCs w:val="22"/>
                <w:lang w:val="fr"/>
              </w:rPr>
              <w:t>a</w:t>
            </w:r>
            <w:r>
              <w:rPr>
                <w:rFonts w:eastAsia="Times New Roman"/>
                <w:i/>
                <w:iCs/>
                <w:sz w:val="22"/>
                <w:szCs w:val="22"/>
                <w:lang w:val="fr"/>
              </w:rPr>
              <w:t>tives pourraient prendre la forme de services, d'échanges d'informations et de stratégies collectives visant à résoudre des problèmes communs. Des pr</w:t>
            </w:r>
            <w:r>
              <w:rPr>
                <w:rFonts w:eastAsia="Times New Roman"/>
                <w:i/>
                <w:iCs/>
                <w:sz w:val="22"/>
                <w:szCs w:val="22"/>
                <w:lang w:val="fr"/>
              </w:rPr>
              <w:t>o</w:t>
            </w:r>
            <w:r>
              <w:rPr>
                <w:rFonts w:eastAsia="Times New Roman"/>
                <w:i/>
                <w:iCs/>
                <w:sz w:val="22"/>
                <w:szCs w:val="22"/>
                <w:lang w:val="fr"/>
              </w:rPr>
              <w:t>jets pilotes ou des activités de démonstration devraient également être mis sur pied dans le cadre d'un effort plus prononcé visant à créer une forte dynamique r</w:t>
            </w:r>
            <w:r>
              <w:rPr>
                <w:rFonts w:eastAsia="Times New Roman"/>
                <w:i/>
                <w:iCs/>
                <w:sz w:val="22"/>
                <w:szCs w:val="22"/>
                <w:lang w:val="fr"/>
              </w:rPr>
              <w:t>é</w:t>
            </w:r>
            <w:r>
              <w:rPr>
                <w:rFonts w:eastAsia="Times New Roman"/>
                <w:i/>
                <w:iCs/>
                <w:sz w:val="22"/>
                <w:szCs w:val="22"/>
                <w:lang w:val="fr"/>
              </w:rPr>
              <w:t>gionale. Ces projets pilotes devraient présenter une valeur ajoutée en matière d'apprentissage et de rés</w:t>
            </w:r>
            <w:r>
              <w:rPr>
                <w:rFonts w:eastAsia="Times New Roman"/>
                <w:i/>
                <w:iCs/>
                <w:sz w:val="22"/>
                <w:szCs w:val="22"/>
                <w:lang w:val="fr"/>
              </w:rPr>
              <w:t>o</w:t>
            </w:r>
            <w:r>
              <w:rPr>
                <w:rFonts w:eastAsia="Times New Roman"/>
                <w:i/>
                <w:iCs/>
                <w:sz w:val="22"/>
                <w:szCs w:val="22"/>
                <w:lang w:val="fr"/>
              </w:rPr>
              <w:t>lution de problèmes, ainsi qu'un intérêt suffisant pour être reproduit ou développé à plus grande échelle. Les activités actuellement mises en œuvre dans le cadre des programmes nationaux de l'AMCC devraient être considérées comme une source d'inspiration pote</w:t>
            </w:r>
            <w:r>
              <w:rPr>
                <w:rFonts w:eastAsia="Times New Roman"/>
                <w:i/>
                <w:iCs/>
                <w:sz w:val="22"/>
                <w:szCs w:val="22"/>
                <w:lang w:val="fr"/>
              </w:rPr>
              <w:t>n</w:t>
            </w:r>
            <w:r>
              <w:rPr>
                <w:rFonts w:eastAsia="Times New Roman"/>
                <w:i/>
                <w:iCs/>
                <w:sz w:val="22"/>
                <w:szCs w:val="22"/>
                <w:lang w:val="fr"/>
              </w:rPr>
              <w:t>tielle pour des activités pilotes au niveau régional.</w:t>
            </w:r>
          </w:p>
        </w:tc>
        <w:tc>
          <w:tcPr>
            <w:tcW w:w="9072" w:type="dxa"/>
            <w:tcMar>
              <w:top w:w="0" w:type="dxa"/>
              <w:left w:w="108" w:type="dxa"/>
              <w:bottom w:w="0" w:type="dxa"/>
              <w:right w:w="108" w:type="dxa"/>
            </w:tcMar>
          </w:tcPr>
          <w:p w:rsidR="008F3618" w:rsidRPr="00D1792C" w:rsidRDefault="00AD5369" w:rsidP="00AD5369">
            <w:pPr>
              <w:numPr>
                <w:ilvl w:val="0"/>
                <w:numId w:val="49"/>
              </w:numPr>
              <w:spacing w:before="120" w:after="120" w:line="240" w:lineRule="auto"/>
              <w:ind w:left="595" w:right="57" w:hanging="357"/>
              <w:jc w:val="left"/>
              <w:rPr>
                <w:rFonts w:eastAsia="Times New Roman"/>
                <w:sz w:val="22"/>
                <w:szCs w:val="22"/>
                <w:lang w:val="fr-BE"/>
              </w:rPr>
            </w:pPr>
            <w:r>
              <w:rPr>
                <w:rFonts w:eastAsia="Times New Roman"/>
                <w:sz w:val="22"/>
                <w:szCs w:val="22"/>
                <w:lang w:val="fr"/>
              </w:rPr>
              <w:t>Il faut dresser un inventaire des activités des projets et projets pilotes de l'AMCC (pr</w:t>
            </w:r>
            <w:r>
              <w:rPr>
                <w:rFonts w:eastAsia="Times New Roman"/>
                <w:sz w:val="22"/>
                <w:szCs w:val="22"/>
                <w:lang w:val="fr"/>
              </w:rPr>
              <w:t>o</w:t>
            </w:r>
            <w:r>
              <w:rPr>
                <w:rFonts w:eastAsia="Times New Roman"/>
                <w:sz w:val="22"/>
                <w:szCs w:val="22"/>
                <w:lang w:val="fr"/>
              </w:rPr>
              <w:t xml:space="preserve">grammes régionaux intra-ACP et nationaux) qui sont novatrices, ont des résultats avérés en termes de mise en œuvre réussie et peuvent être examinés visuellement via une visite du lieu </w:t>
            </w:r>
            <w:proofErr w:type="spellStart"/>
            <w:r>
              <w:rPr>
                <w:rFonts w:eastAsia="Times New Roman"/>
                <w:sz w:val="22"/>
                <w:szCs w:val="22"/>
                <w:lang w:val="fr"/>
              </w:rPr>
              <w:t>ou</w:t>
            </w:r>
            <w:proofErr w:type="spellEnd"/>
            <w:r>
              <w:rPr>
                <w:rFonts w:eastAsia="Times New Roman"/>
                <w:sz w:val="22"/>
                <w:szCs w:val="22"/>
                <w:lang w:val="fr"/>
              </w:rPr>
              <w:t xml:space="preserve"> un enregistrement vidéo.</w:t>
            </w:r>
          </w:p>
          <w:p w:rsidR="008F3618" w:rsidRPr="00D1792C" w:rsidRDefault="00AD5369" w:rsidP="00AD5369">
            <w:pPr>
              <w:numPr>
                <w:ilvl w:val="0"/>
                <w:numId w:val="49"/>
              </w:numPr>
              <w:spacing w:before="120" w:after="120" w:line="240" w:lineRule="auto"/>
              <w:ind w:left="595" w:right="57" w:hanging="357"/>
              <w:jc w:val="left"/>
              <w:rPr>
                <w:rFonts w:eastAsia="Times New Roman"/>
                <w:sz w:val="22"/>
                <w:szCs w:val="22"/>
                <w:lang w:val="fr-BE"/>
              </w:rPr>
            </w:pPr>
            <w:r>
              <w:rPr>
                <w:rFonts w:eastAsia="Times New Roman"/>
                <w:sz w:val="22"/>
                <w:szCs w:val="22"/>
                <w:lang w:val="fr"/>
              </w:rPr>
              <w:t>Le principal site Internet de l'AMCC doit permettre d'échanger des informations et de prop</w:t>
            </w:r>
            <w:r>
              <w:rPr>
                <w:rFonts w:eastAsia="Times New Roman"/>
                <w:sz w:val="22"/>
                <w:szCs w:val="22"/>
                <w:lang w:val="fr"/>
              </w:rPr>
              <w:t>o</w:t>
            </w:r>
            <w:r>
              <w:rPr>
                <w:rFonts w:eastAsia="Times New Roman"/>
                <w:sz w:val="22"/>
                <w:szCs w:val="22"/>
                <w:lang w:val="fr"/>
              </w:rPr>
              <w:t>ser notamment des vidéos sur les activités des projets et projets pilotes novatrices et réussies.</w:t>
            </w:r>
          </w:p>
          <w:p w:rsidR="00AD5369" w:rsidRPr="00D1792C" w:rsidRDefault="00AD5369" w:rsidP="00AD5369">
            <w:pPr>
              <w:numPr>
                <w:ilvl w:val="0"/>
                <w:numId w:val="49"/>
              </w:numPr>
              <w:spacing w:before="120" w:after="120" w:line="240" w:lineRule="auto"/>
              <w:ind w:left="595" w:right="57" w:hanging="357"/>
              <w:jc w:val="left"/>
              <w:rPr>
                <w:rFonts w:eastAsia="Times New Roman"/>
                <w:sz w:val="22"/>
                <w:szCs w:val="22"/>
                <w:lang w:val="fr-BE"/>
              </w:rPr>
            </w:pPr>
            <w:r>
              <w:rPr>
                <w:rFonts w:eastAsia="Times New Roman"/>
                <w:sz w:val="22"/>
                <w:szCs w:val="22"/>
                <w:lang w:val="fr"/>
              </w:rPr>
              <w:t>L'AMCC doit faciliter/créer des processus dotés de ressources, qui permettent aux pr</w:t>
            </w:r>
            <w:r>
              <w:rPr>
                <w:rFonts w:eastAsia="Times New Roman"/>
                <w:sz w:val="22"/>
                <w:szCs w:val="22"/>
                <w:lang w:val="fr"/>
              </w:rPr>
              <w:t>o</w:t>
            </w:r>
            <w:r>
              <w:rPr>
                <w:rFonts w:eastAsia="Times New Roman"/>
                <w:sz w:val="22"/>
                <w:szCs w:val="22"/>
                <w:lang w:val="fr"/>
              </w:rPr>
              <w:t>grammes régionaux de reproduire les activités importantes et réussies des programmes n</w:t>
            </w:r>
            <w:r>
              <w:rPr>
                <w:rFonts w:eastAsia="Times New Roman"/>
                <w:sz w:val="22"/>
                <w:szCs w:val="22"/>
                <w:lang w:val="fr"/>
              </w:rPr>
              <w:t>a</w:t>
            </w:r>
            <w:r>
              <w:rPr>
                <w:rFonts w:eastAsia="Times New Roman"/>
                <w:sz w:val="22"/>
                <w:szCs w:val="22"/>
                <w:lang w:val="fr"/>
              </w:rPr>
              <w:t>tionaux, et aux programmes régionaux de reproduire les activités d'autres programmes r</w:t>
            </w:r>
            <w:r>
              <w:rPr>
                <w:rFonts w:eastAsia="Times New Roman"/>
                <w:sz w:val="22"/>
                <w:szCs w:val="22"/>
                <w:lang w:val="fr"/>
              </w:rPr>
              <w:t>é</w:t>
            </w:r>
            <w:r>
              <w:rPr>
                <w:rFonts w:eastAsia="Times New Roman"/>
                <w:sz w:val="22"/>
                <w:szCs w:val="22"/>
                <w:lang w:val="fr"/>
              </w:rPr>
              <w:t>gionaux ; de plus, dans un contexte bien défini, certaines actions devraient devenir des initi</w:t>
            </w:r>
            <w:r>
              <w:rPr>
                <w:rFonts w:eastAsia="Times New Roman"/>
                <w:sz w:val="22"/>
                <w:szCs w:val="22"/>
                <w:lang w:val="fr"/>
              </w:rPr>
              <w:t>a</w:t>
            </w:r>
            <w:r>
              <w:rPr>
                <w:rFonts w:eastAsia="Times New Roman"/>
                <w:sz w:val="22"/>
                <w:szCs w:val="22"/>
                <w:lang w:val="fr"/>
              </w:rPr>
              <w:t xml:space="preserve">tives mondiales. Cet objectif ne peut être atteint que si un dialogue est établi à l'échelle de l'AMCC et si des informations sont diffusées. </w:t>
            </w:r>
          </w:p>
        </w:tc>
      </w:tr>
      <w:tr w:rsidR="00AD5369" w:rsidRPr="00D1792C">
        <w:tc>
          <w:tcPr>
            <w:tcW w:w="5529" w:type="dxa"/>
            <w:tcMar>
              <w:top w:w="0" w:type="dxa"/>
              <w:left w:w="108" w:type="dxa"/>
              <w:bottom w:w="0" w:type="dxa"/>
              <w:right w:w="108" w:type="dxa"/>
            </w:tcMar>
          </w:tcPr>
          <w:p w:rsidR="00AD5369" w:rsidRPr="00D1792C" w:rsidRDefault="00AD5369" w:rsidP="00AD5369">
            <w:pPr>
              <w:numPr>
                <w:ilvl w:val="0"/>
                <w:numId w:val="50"/>
              </w:numPr>
              <w:spacing w:before="120" w:after="120" w:line="240" w:lineRule="auto"/>
              <w:ind w:right="57"/>
              <w:contextualSpacing/>
              <w:jc w:val="left"/>
              <w:rPr>
                <w:rFonts w:eastAsia="Times New Roman"/>
                <w:i/>
                <w:sz w:val="22"/>
                <w:szCs w:val="22"/>
                <w:lang w:val="fr-BE"/>
              </w:rPr>
            </w:pPr>
            <w:r>
              <w:rPr>
                <w:rFonts w:eastAsia="Times New Roman"/>
                <w:i/>
                <w:iCs/>
                <w:sz w:val="22"/>
                <w:szCs w:val="22"/>
                <w:lang w:val="fr"/>
              </w:rPr>
              <w:t>Il convient de renforcer les liens de programmation avec les programmes nationaux de l'AMCC. La pr</w:t>
            </w:r>
            <w:r>
              <w:rPr>
                <w:rFonts w:eastAsia="Times New Roman"/>
                <w:i/>
                <w:iCs/>
                <w:sz w:val="22"/>
                <w:szCs w:val="22"/>
                <w:lang w:val="fr"/>
              </w:rPr>
              <w:t>o</w:t>
            </w:r>
            <w:r>
              <w:rPr>
                <w:rFonts w:eastAsia="Times New Roman"/>
                <w:i/>
                <w:iCs/>
                <w:sz w:val="22"/>
                <w:szCs w:val="22"/>
                <w:lang w:val="fr"/>
              </w:rPr>
              <w:t>grammation régionale devrait s'efforcer de combler les lacunes de la programmation nationale en rapport avec des préoccupations régionales. Il serait partic</w:t>
            </w:r>
            <w:r>
              <w:rPr>
                <w:rFonts w:eastAsia="Times New Roman"/>
                <w:i/>
                <w:iCs/>
                <w:sz w:val="22"/>
                <w:szCs w:val="22"/>
                <w:lang w:val="fr"/>
              </w:rPr>
              <w:t>u</w:t>
            </w:r>
            <w:r>
              <w:rPr>
                <w:rFonts w:eastAsia="Times New Roman"/>
                <w:i/>
                <w:iCs/>
                <w:sz w:val="22"/>
                <w:szCs w:val="22"/>
                <w:lang w:val="fr"/>
              </w:rPr>
              <w:t>lièrement intéressant d'examiner la possibilité d'a</w:t>
            </w:r>
            <w:r>
              <w:rPr>
                <w:rFonts w:eastAsia="Times New Roman"/>
                <w:i/>
                <w:iCs/>
                <w:sz w:val="22"/>
                <w:szCs w:val="22"/>
                <w:lang w:val="fr"/>
              </w:rPr>
              <w:t>p</w:t>
            </w:r>
            <w:r>
              <w:rPr>
                <w:rFonts w:eastAsia="Times New Roman"/>
                <w:i/>
                <w:iCs/>
                <w:sz w:val="22"/>
                <w:szCs w:val="22"/>
                <w:lang w:val="fr"/>
              </w:rPr>
              <w:t>pliquer au niveau régional les composantes les plus réussies des programmes nationaux de l'AMCC.</w:t>
            </w:r>
          </w:p>
        </w:tc>
        <w:tc>
          <w:tcPr>
            <w:tcW w:w="9072" w:type="dxa"/>
            <w:tcMar>
              <w:top w:w="0" w:type="dxa"/>
              <w:left w:w="108" w:type="dxa"/>
              <w:bottom w:w="0" w:type="dxa"/>
              <w:right w:w="108" w:type="dxa"/>
            </w:tcMar>
          </w:tcPr>
          <w:p w:rsidR="00AD5369" w:rsidRPr="00D1792C" w:rsidRDefault="00AD5369" w:rsidP="00AD5369">
            <w:pPr>
              <w:numPr>
                <w:ilvl w:val="0"/>
                <w:numId w:val="49"/>
              </w:numPr>
              <w:spacing w:before="120" w:after="120" w:line="240" w:lineRule="auto"/>
              <w:ind w:left="595" w:right="57" w:hanging="357"/>
              <w:jc w:val="left"/>
              <w:rPr>
                <w:rFonts w:eastAsia="Times New Roman"/>
                <w:sz w:val="22"/>
                <w:szCs w:val="22"/>
                <w:lang w:val="fr-BE"/>
              </w:rPr>
            </w:pPr>
            <w:r>
              <w:rPr>
                <w:rFonts w:eastAsia="Times New Roman"/>
                <w:sz w:val="22"/>
                <w:szCs w:val="22"/>
                <w:lang w:val="fr"/>
              </w:rPr>
              <w:t xml:space="preserve">Voir les suggestions </w:t>
            </w:r>
            <w:proofErr w:type="gramStart"/>
            <w:r>
              <w:rPr>
                <w:rFonts w:eastAsia="Times New Roman"/>
                <w:sz w:val="22"/>
                <w:szCs w:val="22"/>
                <w:lang w:val="fr"/>
              </w:rPr>
              <w:t>des recommandations</w:t>
            </w:r>
            <w:proofErr w:type="gramEnd"/>
            <w:r>
              <w:rPr>
                <w:rFonts w:eastAsia="Times New Roman"/>
                <w:sz w:val="22"/>
                <w:szCs w:val="22"/>
                <w:lang w:val="fr"/>
              </w:rPr>
              <w:t xml:space="preserve"> 4 et 1.</w:t>
            </w:r>
          </w:p>
        </w:tc>
      </w:tr>
      <w:tr w:rsidR="00AD5369" w:rsidRPr="00D1792C">
        <w:tc>
          <w:tcPr>
            <w:tcW w:w="5529" w:type="dxa"/>
            <w:tcMar>
              <w:top w:w="0" w:type="dxa"/>
              <w:left w:w="108" w:type="dxa"/>
              <w:bottom w:w="0" w:type="dxa"/>
              <w:right w:w="108" w:type="dxa"/>
            </w:tcMar>
          </w:tcPr>
          <w:p w:rsidR="00AD5369" w:rsidRPr="00D1792C" w:rsidRDefault="00AD5369" w:rsidP="00AD5369">
            <w:pPr>
              <w:numPr>
                <w:ilvl w:val="0"/>
                <w:numId w:val="50"/>
              </w:numPr>
              <w:spacing w:before="120" w:after="120" w:line="240" w:lineRule="auto"/>
              <w:ind w:right="57"/>
              <w:contextualSpacing/>
              <w:jc w:val="left"/>
              <w:rPr>
                <w:rFonts w:eastAsia="Times New Roman"/>
                <w:i/>
                <w:sz w:val="22"/>
                <w:szCs w:val="22"/>
                <w:lang w:val="fr-BE"/>
              </w:rPr>
            </w:pPr>
            <w:r>
              <w:rPr>
                <w:rFonts w:eastAsia="Times New Roman"/>
                <w:i/>
                <w:iCs/>
                <w:sz w:val="22"/>
                <w:szCs w:val="22"/>
                <w:lang w:val="fr"/>
              </w:rPr>
              <w:t xml:space="preserve">Une analyse institutionnelle des capacités de lutte contre le changement climatique devrait être réalisée auprès de chaque partenaire clé impliqué dans les programmes ClimDev et COMESA. L'objectif devrait être d'identifier les besoins de chaque organisation en termes de capacités administratives et techniques et d'élaborer des stratégies pour faire en sorte que ces programmes soient dotés de capacités institutionnelles comparables aux autres programmes régionaux intra-ACP. Cela devrait être une condition indispensable </w:t>
            </w:r>
            <w:r>
              <w:rPr>
                <w:rFonts w:eastAsia="Times New Roman"/>
                <w:i/>
                <w:iCs/>
                <w:sz w:val="22"/>
                <w:szCs w:val="22"/>
                <w:lang w:val="fr"/>
              </w:rPr>
              <w:lastRenderedPageBreak/>
              <w:t>pour accéder aux ressources de l'AMCC et du Pr</w:t>
            </w:r>
            <w:r>
              <w:rPr>
                <w:rFonts w:eastAsia="Times New Roman"/>
                <w:i/>
                <w:iCs/>
                <w:sz w:val="22"/>
                <w:szCs w:val="22"/>
                <w:lang w:val="fr"/>
              </w:rPr>
              <w:t>o</w:t>
            </w:r>
            <w:r>
              <w:rPr>
                <w:rFonts w:eastAsia="Times New Roman"/>
                <w:i/>
                <w:iCs/>
                <w:sz w:val="22"/>
                <w:szCs w:val="22"/>
                <w:lang w:val="fr"/>
              </w:rPr>
              <w:t>gramme intra-ACP+. Il pourrait également s'avérer prudent d'examiner, en coopération avec les autres organisations dirigeant des programmes régionaux, quels sont les aspects de leurs opérations qui pou</w:t>
            </w:r>
            <w:r>
              <w:rPr>
                <w:rFonts w:eastAsia="Times New Roman"/>
                <w:i/>
                <w:iCs/>
                <w:sz w:val="22"/>
                <w:szCs w:val="22"/>
                <w:lang w:val="fr"/>
              </w:rPr>
              <w:t>r</w:t>
            </w:r>
            <w:r>
              <w:rPr>
                <w:rFonts w:eastAsia="Times New Roman"/>
                <w:i/>
                <w:iCs/>
                <w:sz w:val="22"/>
                <w:szCs w:val="22"/>
                <w:lang w:val="fr"/>
              </w:rPr>
              <w:t>raient bénéficier d'un renforcement via le Programme intra-ACP.</w:t>
            </w:r>
          </w:p>
          <w:p w:rsidR="00AD5369" w:rsidRPr="00D1792C" w:rsidRDefault="00AD5369" w:rsidP="00AD5369">
            <w:pPr>
              <w:spacing w:before="120" w:after="120" w:line="240" w:lineRule="auto"/>
              <w:ind w:left="57" w:right="57"/>
              <w:jc w:val="left"/>
              <w:rPr>
                <w:rFonts w:eastAsia="Times New Roman"/>
                <w:sz w:val="22"/>
                <w:szCs w:val="22"/>
                <w:lang w:val="fr-BE"/>
              </w:rPr>
            </w:pPr>
          </w:p>
        </w:tc>
        <w:tc>
          <w:tcPr>
            <w:tcW w:w="9072" w:type="dxa"/>
            <w:tcMar>
              <w:top w:w="0" w:type="dxa"/>
              <w:left w:w="108" w:type="dxa"/>
              <w:bottom w:w="0" w:type="dxa"/>
              <w:right w:w="108" w:type="dxa"/>
            </w:tcMar>
          </w:tcPr>
          <w:p w:rsidR="00AD5369" w:rsidRPr="00D1792C" w:rsidRDefault="00AD5369" w:rsidP="00AD5369">
            <w:pPr>
              <w:numPr>
                <w:ilvl w:val="0"/>
                <w:numId w:val="49"/>
              </w:numPr>
              <w:spacing w:before="120" w:after="120" w:line="240" w:lineRule="auto"/>
              <w:ind w:left="600" w:right="57"/>
              <w:contextualSpacing/>
              <w:jc w:val="left"/>
              <w:rPr>
                <w:rFonts w:eastAsia="Times New Roman"/>
                <w:sz w:val="22"/>
                <w:szCs w:val="22"/>
                <w:lang w:val="fr-BE"/>
              </w:rPr>
            </w:pPr>
            <w:r>
              <w:rPr>
                <w:rFonts w:eastAsia="Times New Roman"/>
                <w:sz w:val="22"/>
                <w:szCs w:val="22"/>
                <w:lang w:val="fr"/>
              </w:rPr>
              <w:lastRenderedPageBreak/>
              <w:t>Voir les suggestions de la recommandation 2.</w:t>
            </w:r>
          </w:p>
        </w:tc>
      </w:tr>
      <w:tr w:rsidR="00AD5369" w:rsidRPr="00D1792C">
        <w:tc>
          <w:tcPr>
            <w:tcW w:w="5529" w:type="dxa"/>
            <w:tcMar>
              <w:top w:w="0" w:type="dxa"/>
              <w:left w:w="108" w:type="dxa"/>
              <w:bottom w:w="0" w:type="dxa"/>
              <w:right w:w="108" w:type="dxa"/>
            </w:tcMar>
          </w:tcPr>
          <w:p w:rsidR="00AD5369" w:rsidRPr="00D1792C" w:rsidRDefault="00AD5369" w:rsidP="00AD5369">
            <w:pPr>
              <w:numPr>
                <w:ilvl w:val="0"/>
                <w:numId w:val="50"/>
              </w:numPr>
              <w:spacing w:before="120" w:after="120" w:line="240" w:lineRule="auto"/>
              <w:ind w:right="57"/>
              <w:contextualSpacing/>
              <w:jc w:val="left"/>
              <w:rPr>
                <w:rFonts w:eastAsia="Times New Roman"/>
                <w:i/>
                <w:sz w:val="22"/>
                <w:szCs w:val="22"/>
                <w:lang w:val="fr-BE"/>
              </w:rPr>
            </w:pPr>
            <w:r>
              <w:rPr>
                <w:rFonts w:eastAsia="Times New Roman"/>
                <w:i/>
                <w:iCs/>
                <w:sz w:val="22"/>
                <w:szCs w:val="22"/>
                <w:lang w:val="fr"/>
              </w:rPr>
              <w:lastRenderedPageBreak/>
              <w:t>L'Union européenne devrait mettre en place un méc</w:t>
            </w:r>
            <w:r>
              <w:rPr>
                <w:rFonts w:eastAsia="Times New Roman"/>
                <w:i/>
                <w:iCs/>
                <w:sz w:val="22"/>
                <w:szCs w:val="22"/>
                <w:lang w:val="fr"/>
              </w:rPr>
              <w:t>a</w:t>
            </w:r>
            <w:r>
              <w:rPr>
                <w:rFonts w:eastAsia="Times New Roman"/>
                <w:i/>
                <w:iCs/>
                <w:sz w:val="22"/>
                <w:szCs w:val="22"/>
                <w:lang w:val="fr"/>
              </w:rPr>
              <w:t>nisme permettant de mieux surveiller les programmes régionaux. Cette précaution est particulièrement i</w:t>
            </w:r>
            <w:r>
              <w:rPr>
                <w:rFonts w:eastAsia="Times New Roman"/>
                <w:i/>
                <w:iCs/>
                <w:sz w:val="22"/>
                <w:szCs w:val="22"/>
                <w:lang w:val="fr"/>
              </w:rPr>
              <w:t>m</w:t>
            </w:r>
            <w:r>
              <w:rPr>
                <w:rFonts w:eastAsia="Times New Roman"/>
                <w:i/>
                <w:iCs/>
                <w:sz w:val="22"/>
                <w:szCs w:val="22"/>
                <w:lang w:val="fr"/>
              </w:rPr>
              <w:t xml:space="preserve">portante pour les programmes plus problématiques. Parmi les options possibles, on pourrait renforcer le rôle des délégations de l'UE dans les pays ACP et, éventuellement, encourager le recours aux ressources de la CSF. </w:t>
            </w:r>
          </w:p>
        </w:tc>
        <w:tc>
          <w:tcPr>
            <w:tcW w:w="9072" w:type="dxa"/>
            <w:tcMar>
              <w:top w:w="0" w:type="dxa"/>
              <w:left w:w="108" w:type="dxa"/>
              <w:bottom w:w="0" w:type="dxa"/>
              <w:right w:w="108" w:type="dxa"/>
            </w:tcMar>
          </w:tcPr>
          <w:p w:rsidR="00AD5369" w:rsidRPr="00D1792C" w:rsidRDefault="00AD5369" w:rsidP="00AD5369">
            <w:pPr>
              <w:numPr>
                <w:ilvl w:val="0"/>
                <w:numId w:val="49"/>
              </w:numPr>
              <w:spacing w:before="120" w:after="120" w:line="240" w:lineRule="auto"/>
              <w:ind w:left="601" w:right="57"/>
              <w:jc w:val="left"/>
              <w:rPr>
                <w:rFonts w:eastAsia="Times New Roman"/>
                <w:sz w:val="22"/>
                <w:szCs w:val="22"/>
                <w:lang w:val="fr-BE"/>
              </w:rPr>
            </w:pPr>
            <w:r>
              <w:rPr>
                <w:rFonts w:eastAsia="Times New Roman"/>
                <w:sz w:val="22"/>
                <w:szCs w:val="22"/>
                <w:lang w:val="fr"/>
              </w:rPr>
              <w:t>Voir les suggestions de la recommandation 3.</w:t>
            </w:r>
          </w:p>
          <w:p w:rsidR="00AD5369" w:rsidRPr="00D1792C" w:rsidRDefault="00AD5369" w:rsidP="00AD5369">
            <w:pPr>
              <w:spacing w:before="120" w:after="120" w:line="240" w:lineRule="auto"/>
              <w:ind w:left="601" w:right="57"/>
              <w:jc w:val="left"/>
              <w:rPr>
                <w:rFonts w:eastAsia="Times New Roman"/>
                <w:sz w:val="22"/>
                <w:szCs w:val="22"/>
                <w:lang w:val="fr-BE"/>
              </w:rPr>
            </w:pPr>
          </w:p>
        </w:tc>
      </w:tr>
    </w:tbl>
    <w:p w:rsidR="00776596" w:rsidRPr="00D1792C" w:rsidRDefault="00776596">
      <w:pPr>
        <w:rPr>
          <w:lang w:val="fr-BE"/>
        </w:rPr>
      </w:pPr>
      <w:r>
        <w:rPr>
          <w:lang w:val="fr"/>
        </w:rPr>
        <w:br w:type="page"/>
      </w: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529"/>
        <w:gridCol w:w="9072"/>
      </w:tblGrid>
      <w:tr w:rsidR="00AD5369" w:rsidRPr="00D1792C">
        <w:tc>
          <w:tcPr>
            <w:tcW w:w="5529" w:type="dxa"/>
            <w:tcMar>
              <w:top w:w="0" w:type="dxa"/>
              <w:left w:w="108" w:type="dxa"/>
              <w:bottom w:w="0" w:type="dxa"/>
              <w:right w:w="108" w:type="dxa"/>
            </w:tcMar>
          </w:tcPr>
          <w:p w:rsidR="00AD5369" w:rsidRPr="00D1792C" w:rsidRDefault="00AD5369" w:rsidP="00AD5369">
            <w:pPr>
              <w:numPr>
                <w:ilvl w:val="0"/>
                <w:numId w:val="50"/>
              </w:numPr>
              <w:spacing w:before="120" w:after="120" w:line="240" w:lineRule="auto"/>
              <w:ind w:right="57"/>
              <w:contextualSpacing/>
              <w:jc w:val="left"/>
              <w:rPr>
                <w:rFonts w:eastAsia="Times New Roman"/>
                <w:i/>
                <w:sz w:val="22"/>
                <w:szCs w:val="22"/>
                <w:lang w:val="fr-BE"/>
              </w:rPr>
            </w:pPr>
            <w:r>
              <w:rPr>
                <w:rFonts w:eastAsia="Times New Roman"/>
                <w:i/>
                <w:iCs/>
                <w:sz w:val="22"/>
                <w:szCs w:val="22"/>
                <w:lang w:val="fr"/>
              </w:rPr>
              <w:lastRenderedPageBreak/>
              <w:t>L'AT au Secrétariat ACP et la CSF devraient être d</w:t>
            </w:r>
            <w:r>
              <w:rPr>
                <w:rFonts w:eastAsia="Times New Roman"/>
                <w:i/>
                <w:iCs/>
                <w:sz w:val="22"/>
                <w:szCs w:val="22"/>
                <w:lang w:val="fr"/>
              </w:rPr>
              <w:t>o</w:t>
            </w:r>
            <w:r>
              <w:rPr>
                <w:rFonts w:eastAsia="Times New Roman"/>
                <w:i/>
                <w:iCs/>
                <w:sz w:val="22"/>
                <w:szCs w:val="22"/>
                <w:lang w:val="fr"/>
              </w:rPr>
              <w:t>tées d'une structure administrative claire de manière à garantir une utilisation plus efficace de ces services. La clé consiste à établir une structure garantissant l'existence d'une demande constante. Ceci pourrait, par exemple, être réalisé en donnant à l'AT au Secr</w:t>
            </w:r>
            <w:r>
              <w:rPr>
                <w:rFonts w:eastAsia="Times New Roman"/>
                <w:i/>
                <w:iCs/>
                <w:sz w:val="22"/>
                <w:szCs w:val="22"/>
                <w:lang w:val="fr"/>
              </w:rPr>
              <w:t>é</w:t>
            </w:r>
            <w:r>
              <w:rPr>
                <w:rFonts w:eastAsia="Times New Roman"/>
                <w:i/>
                <w:iCs/>
                <w:sz w:val="22"/>
                <w:szCs w:val="22"/>
                <w:lang w:val="fr"/>
              </w:rPr>
              <w:t>tariat ACP et à la CSF plus de responsabilités d</w:t>
            </w:r>
            <w:r>
              <w:rPr>
                <w:rFonts w:eastAsia="Times New Roman"/>
                <w:i/>
                <w:iCs/>
                <w:sz w:val="22"/>
                <w:szCs w:val="22"/>
                <w:lang w:val="fr"/>
              </w:rPr>
              <w:t>i</w:t>
            </w:r>
            <w:r>
              <w:rPr>
                <w:rFonts w:eastAsia="Times New Roman"/>
                <w:i/>
                <w:iCs/>
                <w:sz w:val="22"/>
                <w:szCs w:val="22"/>
                <w:lang w:val="fr"/>
              </w:rPr>
              <w:t>rectes, comme celle de vérifier que le Programme i</w:t>
            </w:r>
            <w:r>
              <w:rPr>
                <w:rFonts w:eastAsia="Times New Roman"/>
                <w:i/>
                <w:iCs/>
                <w:sz w:val="22"/>
                <w:szCs w:val="22"/>
                <w:lang w:val="fr"/>
              </w:rPr>
              <w:t>n</w:t>
            </w:r>
            <w:r>
              <w:rPr>
                <w:rFonts w:eastAsia="Times New Roman"/>
                <w:i/>
                <w:iCs/>
                <w:sz w:val="22"/>
                <w:szCs w:val="22"/>
                <w:lang w:val="fr"/>
              </w:rPr>
              <w:t>tra-ACP de l’AMCC+ respecte les objectifs de l'a</w:t>
            </w:r>
            <w:r>
              <w:rPr>
                <w:rFonts w:eastAsia="Times New Roman"/>
                <w:i/>
                <w:iCs/>
                <w:sz w:val="22"/>
                <w:szCs w:val="22"/>
                <w:lang w:val="fr"/>
              </w:rPr>
              <w:t>c</w:t>
            </w:r>
            <w:r>
              <w:rPr>
                <w:rFonts w:eastAsia="Times New Roman"/>
                <w:i/>
                <w:iCs/>
                <w:sz w:val="22"/>
                <w:szCs w:val="22"/>
                <w:lang w:val="fr"/>
              </w:rPr>
              <w:t>cord de Cotonou. La CSF peut clairement contribuer à bâtir des ponts entre les programmes régionaux en vue d'atteindre des objectifs mondiaux. En ce qui co</w:t>
            </w:r>
            <w:r>
              <w:rPr>
                <w:rFonts w:eastAsia="Times New Roman"/>
                <w:i/>
                <w:iCs/>
                <w:sz w:val="22"/>
                <w:szCs w:val="22"/>
                <w:lang w:val="fr"/>
              </w:rPr>
              <w:t>n</w:t>
            </w:r>
            <w:r>
              <w:rPr>
                <w:rFonts w:eastAsia="Times New Roman"/>
                <w:i/>
                <w:iCs/>
                <w:sz w:val="22"/>
                <w:szCs w:val="22"/>
                <w:lang w:val="fr"/>
              </w:rPr>
              <w:t>cerne les différents programmes régionaux, une a</w:t>
            </w:r>
            <w:r>
              <w:rPr>
                <w:rFonts w:eastAsia="Times New Roman"/>
                <w:i/>
                <w:iCs/>
                <w:sz w:val="22"/>
                <w:szCs w:val="22"/>
                <w:lang w:val="fr"/>
              </w:rPr>
              <w:t>p</w:t>
            </w:r>
            <w:r>
              <w:rPr>
                <w:rFonts w:eastAsia="Times New Roman"/>
                <w:i/>
                <w:iCs/>
                <w:sz w:val="22"/>
                <w:szCs w:val="22"/>
                <w:lang w:val="fr"/>
              </w:rPr>
              <w:t>proche plus planifiée devrait être adoptée pour pe</w:t>
            </w:r>
            <w:r>
              <w:rPr>
                <w:rFonts w:eastAsia="Times New Roman"/>
                <w:i/>
                <w:iCs/>
                <w:sz w:val="22"/>
                <w:szCs w:val="22"/>
                <w:lang w:val="fr"/>
              </w:rPr>
              <w:t>r</w:t>
            </w:r>
            <w:r>
              <w:rPr>
                <w:rFonts w:eastAsia="Times New Roman"/>
                <w:i/>
                <w:iCs/>
                <w:sz w:val="22"/>
                <w:szCs w:val="22"/>
                <w:lang w:val="fr"/>
              </w:rPr>
              <w:t>mettre à la CSF de soutenir des objectifs régionaux sous la forme d'une assistance technique. Il serait utile d'intensifier le dialogue et le partage d'informations entre l'AT au Secrétariat ACP et la CSF, d'une part, et les différents programmes régionaux, d'autre part. Par exemple, des représentants de la CSF pourraient r</w:t>
            </w:r>
            <w:r>
              <w:rPr>
                <w:rFonts w:eastAsia="Times New Roman"/>
                <w:i/>
                <w:iCs/>
                <w:sz w:val="22"/>
                <w:szCs w:val="22"/>
                <w:lang w:val="fr"/>
              </w:rPr>
              <w:t>é</w:t>
            </w:r>
            <w:r>
              <w:rPr>
                <w:rFonts w:eastAsia="Times New Roman"/>
                <w:i/>
                <w:iCs/>
                <w:sz w:val="22"/>
                <w:szCs w:val="22"/>
                <w:lang w:val="fr"/>
              </w:rPr>
              <w:t>gulièrement assister aux réunions du comité directeur des programmes régionaux, auxquelles participent tous les partenaires clés.</w:t>
            </w:r>
          </w:p>
        </w:tc>
        <w:tc>
          <w:tcPr>
            <w:tcW w:w="9072" w:type="dxa"/>
            <w:tcMar>
              <w:top w:w="0" w:type="dxa"/>
              <w:left w:w="108" w:type="dxa"/>
              <w:bottom w:w="0" w:type="dxa"/>
              <w:right w:w="108" w:type="dxa"/>
            </w:tcMar>
          </w:tcPr>
          <w:p w:rsidR="00AD5369" w:rsidRPr="00D1792C" w:rsidRDefault="00AD5369" w:rsidP="00AD5369">
            <w:pPr>
              <w:numPr>
                <w:ilvl w:val="0"/>
                <w:numId w:val="49"/>
              </w:numPr>
              <w:spacing w:before="120" w:after="120" w:line="240" w:lineRule="auto"/>
              <w:ind w:left="601" w:right="57"/>
              <w:jc w:val="left"/>
              <w:rPr>
                <w:rFonts w:eastAsia="Times New Roman"/>
                <w:sz w:val="22"/>
                <w:szCs w:val="22"/>
                <w:lang w:val="fr-BE"/>
              </w:rPr>
            </w:pPr>
            <w:r>
              <w:rPr>
                <w:rFonts w:eastAsia="Times New Roman"/>
                <w:sz w:val="22"/>
                <w:szCs w:val="22"/>
                <w:lang w:val="fr"/>
              </w:rPr>
              <w:t>Voir les suggestions de la recommandation 3.</w:t>
            </w:r>
          </w:p>
        </w:tc>
      </w:tr>
      <w:tr w:rsidR="00AD5369" w:rsidRPr="00D1792C">
        <w:tc>
          <w:tcPr>
            <w:tcW w:w="5529" w:type="dxa"/>
            <w:tcMar>
              <w:top w:w="0" w:type="dxa"/>
              <w:left w:w="108" w:type="dxa"/>
              <w:bottom w:w="0" w:type="dxa"/>
              <w:right w:w="108" w:type="dxa"/>
            </w:tcMar>
          </w:tcPr>
          <w:p w:rsidR="00AD5369" w:rsidRPr="00D1792C" w:rsidRDefault="00AD5369" w:rsidP="00AD5369">
            <w:pPr>
              <w:numPr>
                <w:ilvl w:val="0"/>
                <w:numId w:val="50"/>
              </w:numPr>
              <w:spacing w:before="120" w:after="120" w:line="240" w:lineRule="auto"/>
              <w:ind w:right="57"/>
              <w:contextualSpacing/>
              <w:jc w:val="left"/>
              <w:rPr>
                <w:rFonts w:eastAsia="Times New Roman"/>
                <w:i/>
                <w:sz w:val="22"/>
                <w:szCs w:val="22"/>
                <w:lang w:val="fr-BE"/>
              </w:rPr>
            </w:pPr>
            <w:r>
              <w:rPr>
                <w:rFonts w:eastAsia="Times New Roman"/>
                <w:i/>
                <w:iCs/>
                <w:sz w:val="22"/>
                <w:szCs w:val="22"/>
                <w:lang w:val="fr"/>
              </w:rPr>
              <w:t>Les cinq domaines prioritaires du Programme intra-ACP devraient être réexaminés afin de vérifier qu'ils restent pertinents pour la deuxième phase du pr</w:t>
            </w:r>
            <w:r>
              <w:rPr>
                <w:rFonts w:eastAsia="Times New Roman"/>
                <w:i/>
                <w:iCs/>
                <w:sz w:val="22"/>
                <w:szCs w:val="22"/>
                <w:lang w:val="fr"/>
              </w:rPr>
              <w:t>o</w:t>
            </w:r>
            <w:r>
              <w:rPr>
                <w:rFonts w:eastAsia="Times New Roman"/>
                <w:i/>
                <w:iCs/>
                <w:sz w:val="22"/>
                <w:szCs w:val="22"/>
                <w:lang w:val="fr"/>
              </w:rPr>
              <w:t>gramme et au-delà. Les priorités concernant les m</w:t>
            </w:r>
            <w:r>
              <w:rPr>
                <w:rFonts w:eastAsia="Times New Roman"/>
                <w:i/>
                <w:iCs/>
                <w:sz w:val="22"/>
                <w:szCs w:val="22"/>
                <w:lang w:val="fr"/>
              </w:rPr>
              <w:t>e</w:t>
            </w:r>
            <w:r>
              <w:rPr>
                <w:rFonts w:eastAsia="Times New Roman"/>
                <w:i/>
                <w:iCs/>
                <w:sz w:val="22"/>
                <w:szCs w:val="22"/>
                <w:lang w:val="fr"/>
              </w:rPr>
              <w:t>sures d'atténuation et le MDP méritent un intérêt pa</w:t>
            </w:r>
            <w:r>
              <w:rPr>
                <w:rFonts w:eastAsia="Times New Roman"/>
                <w:i/>
                <w:iCs/>
                <w:sz w:val="22"/>
                <w:szCs w:val="22"/>
                <w:lang w:val="fr"/>
              </w:rPr>
              <w:t>r</w:t>
            </w:r>
            <w:r>
              <w:rPr>
                <w:rFonts w:eastAsia="Times New Roman"/>
                <w:i/>
                <w:iCs/>
                <w:sz w:val="22"/>
                <w:szCs w:val="22"/>
                <w:lang w:val="fr"/>
              </w:rPr>
              <w:t>ticulier. L'amélioration du stock forestier en termes de volume et de diversité et la promotion de sources d'énergie neutres en carbone, par exemple, restent des objectifs louables. Compte tenu de la situation a</w:t>
            </w:r>
            <w:r>
              <w:rPr>
                <w:rFonts w:eastAsia="Times New Roman"/>
                <w:i/>
                <w:iCs/>
                <w:sz w:val="22"/>
                <w:szCs w:val="22"/>
                <w:lang w:val="fr"/>
              </w:rPr>
              <w:t>c</w:t>
            </w:r>
            <w:r>
              <w:rPr>
                <w:rFonts w:eastAsia="Times New Roman"/>
                <w:i/>
                <w:iCs/>
                <w:sz w:val="22"/>
                <w:szCs w:val="22"/>
                <w:lang w:val="fr"/>
              </w:rPr>
              <w:t>tuelle de la finance carbone, la question à se poser est la suivante : comment le Programme intra-ACP peut-il faire des avancées dans ce domaine et comment l'encadrer au mieux ? Dans le même temps, ce réex</w:t>
            </w:r>
            <w:r>
              <w:rPr>
                <w:rFonts w:eastAsia="Times New Roman"/>
                <w:i/>
                <w:iCs/>
                <w:sz w:val="22"/>
                <w:szCs w:val="22"/>
                <w:lang w:val="fr"/>
              </w:rPr>
              <w:t>a</w:t>
            </w:r>
            <w:r>
              <w:rPr>
                <w:rFonts w:eastAsia="Times New Roman"/>
                <w:i/>
                <w:iCs/>
                <w:sz w:val="22"/>
                <w:szCs w:val="22"/>
                <w:lang w:val="fr"/>
              </w:rPr>
              <w:lastRenderedPageBreak/>
              <w:t>men devrait être considéré comme l'occasion de r</w:t>
            </w:r>
            <w:r>
              <w:rPr>
                <w:rFonts w:eastAsia="Times New Roman"/>
                <w:i/>
                <w:iCs/>
                <w:sz w:val="22"/>
                <w:szCs w:val="22"/>
                <w:lang w:val="fr"/>
              </w:rPr>
              <w:t>e</w:t>
            </w:r>
            <w:r>
              <w:rPr>
                <w:rFonts w:eastAsia="Times New Roman"/>
                <w:i/>
                <w:iCs/>
                <w:sz w:val="22"/>
                <w:szCs w:val="22"/>
                <w:lang w:val="fr"/>
              </w:rPr>
              <w:t>censer des initiatives mondiales susceptibles d'être partagées et soutenues par l'ensemble des pr</w:t>
            </w:r>
            <w:r>
              <w:rPr>
                <w:rFonts w:eastAsia="Times New Roman"/>
                <w:i/>
                <w:iCs/>
                <w:sz w:val="22"/>
                <w:szCs w:val="22"/>
                <w:lang w:val="fr"/>
              </w:rPr>
              <w:t>o</w:t>
            </w:r>
            <w:r>
              <w:rPr>
                <w:rFonts w:eastAsia="Times New Roman"/>
                <w:i/>
                <w:iCs/>
                <w:sz w:val="22"/>
                <w:szCs w:val="22"/>
                <w:lang w:val="fr"/>
              </w:rPr>
              <w:t>grammes régionaux.</w:t>
            </w:r>
          </w:p>
        </w:tc>
        <w:tc>
          <w:tcPr>
            <w:tcW w:w="9072" w:type="dxa"/>
            <w:tcMar>
              <w:top w:w="0" w:type="dxa"/>
              <w:left w:w="108" w:type="dxa"/>
              <w:bottom w:w="0" w:type="dxa"/>
              <w:right w:w="108" w:type="dxa"/>
            </w:tcMar>
          </w:tcPr>
          <w:p w:rsidR="00AD5369" w:rsidRPr="00D1792C" w:rsidRDefault="00AD5369" w:rsidP="00AD5369">
            <w:pPr>
              <w:numPr>
                <w:ilvl w:val="0"/>
                <w:numId w:val="49"/>
              </w:numPr>
              <w:spacing w:before="120" w:after="120" w:line="240" w:lineRule="auto"/>
              <w:ind w:left="595" w:right="57" w:hanging="357"/>
              <w:jc w:val="left"/>
              <w:rPr>
                <w:rFonts w:eastAsia="Times New Roman"/>
                <w:sz w:val="22"/>
                <w:szCs w:val="22"/>
                <w:lang w:val="fr-BE"/>
              </w:rPr>
            </w:pPr>
            <w:r>
              <w:rPr>
                <w:rFonts w:eastAsia="Times New Roman"/>
                <w:sz w:val="22"/>
                <w:szCs w:val="22"/>
                <w:lang w:val="fr"/>
              </w:rPr>
              <w:lastRenderedPageBreak/>
              <w:t>Un examen approfondi des tendances, des approches et des sources de financement seco</w:t>
            </w:r>
            <w:r>
              <w:rPr>
                <w:rFonts w:eastAsia="Times New Roman"/>
                <w:sz w:val="22"/>
                <w:szCs w:val="22"/>
                <w:lang w:val="fr"/>
              </w:rPr>
              <w:t>n</w:t>
            </w:r>
            <w:r>
              <w:rPr>
                <w:rFonts w:eastAsia="Times New Roman"/>
                <w:sz w:val="22"/>
                <w:szCs w:val="22"/>
                <w:lang w:val="fr"/>
              </w:rPr>
              <w:t>daires pour des mesures d'atténuation doit être réalisé.</w:t>
            </w:r>
          </w:p>
          <w:p w:rsidR="00AD5369" w:rsidRPr="00D1792C" w:rsidRDefault="00AD5369" w:rsidP="00AD5369">
            <w:pPr>
              <w:numPr>
                <w:ilvl w:val="0"/>
                <w:numId w:val="49"/>
              </w:numPr>
              <w:spacing w:before="120" w:after="120" w:line="240" w:lineRule="auto"/>
              <w:ind w:left="595" w:right="57" w:hanging="357"/>
              <w:jc w:val="left"/>
              <w:rPr>
                <w:rFonts w:eastAsia="Times New Roman"/>
                <w:sz w:val="22"/>
                <w:szCs w:val="22"/>
                <w:lang w:val="fr-BE"/>
              </w:rPr>
            </w:pPr>
            <w:r>
              <w:rPr>
                <w:rFonts w:eastAsia="Times New Roman"/>
                <w:sz w:val="22"/>
                <w:szCs w:val="22"/>
                <w:lang w:val="fr"/>
              </w:rPr>
              <w:t xml:space="preserve">L'examen des priorités doit être l'occasion d'identifier les pratiques novatrices en matière d'atténuation, de MAAN et de REDD qui peuvent être reproduites dans le cadre de l'AMCC. Autrement dit, cela nécessite d'examiner à la fois les actions de l'AMCC et les autres actions. </w:t>
            </w:r>
          </w:p>
        </w:tc>
      </w:tr>
      <w:tr w:rsidR="00AD5369" w:rsidRPr="00AD5369">
        <w:tc>
          <w:tcPr>
            <w:tcW w:w="5529" w:type="dxa"/>
            <w:tcMar>
              <w:top w:w="0" w:type="dxa"/>
              <w:left w:w="108" w:type="dxa"/>
              <w:bottom w:w="0" w:type="dxa"/>
              <w:right w:w="108" w:type="dxa"/>
            </w:tcMar>
          </w:tcPr>
          <w:p w:rsidR="00AD5369" w:rsidRPr="00D1792C" w:rsidRDefault="00AD5369" w:rsidP="00AD5369">
            <w:pPr>
              <w:numPr>
                <w:ilvl w:val="0"/>
                <w:numId w:val="50"/>
              </w:numPr>
              <w:spacing w:before="120" w:after="120" w:line="240" w:lineRule="auto"/>
              <w:ind w:right="57"/>
              <w:contextualSpacing/>
              <w:jc w:val="left"/>
              <w:rPr>
                <w:rFonts w:eastAsia="Times New Roman"/>
                <w:i/>
                <w:sz w:val="22"/>
                <w:szCs w:val="22"/>
                <w:lang w:val="fr-BE"/>
              </w:rPr>
            </w:pPr>
            <w:r>
              <w:rPr>
                <w:rFonts w:eastAsia="Times New Roman"/>
                <w:i/>
                <w:iCs/>
                <w:sz w:val="22"/>
                <w:szCs w:val="22"/>
                <w:lang w:val="fr"/>
              </w:rPr>
              <w:lastRenderedPageBreak/>
              <w:t>Les fonds subsistant dans l'enveloppe du Programme intra-ACP devraient être utilisés à des fins concrètes, par exemple, pour financer des évaluations détaillées des programmes ClimDev et COMESA, dans la m</w:t>
            </w:r>
            <w:r>
              <w:rPr>
                <w:rFonts w:eastAsia="Times New Roman"/>
                <w:i/>
                <w:iCs/>
                <w:sz w:val="22"/>
                <w:szCs w:val="22"/>
                <w:lang w:val="fr"/>
              </w:rPr>
              <w:t>e</w:t>
            </w:r>
            <w:r>
              <w:rPr>
                <w:rFonts w:eastAsia="Times New Roman"/>
                <w:i/>
                <w:iCs/>
                <w:sz w:val="22"/>
                <w:szCs w:val="22"/>
                <w:lang w:val="fr"/>
              </w:rPr>
              <w:t>sure où ces évaluations ne peuvent pas être financées à partir d'autres sources. Les évaluations devraient inclure une analyse institutionnelle des organisations partenaires de ces programmes (COMESA, CAE et CDAA) et conduire, lorsque cela s'avère nécessaire, à l'élaboration de stratégies de renforcement des cap</w:t>
            </w:r>
            <w:r>
              <w:rPr>
                <w:rFonts w:eastAsia="Times New Roman"/>
                <w:i/>
                <w:iCs/>
                <w:sz w:val="22"/>
                <w:szCs w:val="22"/>
                <w:lang w:val="fr"/>
              </w:rPr>
              <w:t>a</w:t>
            </w:r>
            <w:r>
              <w:rPr>
                <w:rFonts w:eastAsia="Times New Roman"/>
                <w:i/>
                <w:iCs/>
                <w:sz w:val="22"/>
                <w:szCs w:val="22"/>
                <w:lang w:val="fr"/>
              </w:rPr>
              <w:t>cités. Les fonds devraient aussi servir à développer une stratégie visant à renforcer la coordination de la programmation interrégionale et à soutenir la réalis</w:t>
            </w:r>
            <w:r>
              <w:rPr>
                <w:rFonts w:eastAsia="Times New Roman"/>
                <w:i/>
                <w:iCs/>
                <w:sz w:val="22"/>
                <w:szCs w:val="22"/>
                <w:lang w:val="fr"/>
              </w:rPr>
              <w:t>a</w:t>
            </w:r>
            <w:r>
              <w:rPr>
                <w:rFonts w:eastAsia="Times New Roman"/>
                <w:i/>
                <w:iCs/>
                <w:sz w:val="22"/>
                <w:szCs w:val="22"/>
                <w:lang w:val="fr"/>
              </w:rPr>
              <w:t>tion des objectifs de l'accord de Cotonou. L'enveloppe financière restante devrait également être utilisée pour des mesures destinées à encourager le recours à la CSF et à améliorer son fonctionnement.</w:t>
            </w:r>
          </w:p>
        </w:tc>
        <w:tc>
          <w:tcPr>
            <w:tcW w:w="9072" w:type="dxa"/>
            <w:tcMar>
              <w:top w:w="0" w:type="dxa"/>
              <w:left w:w="108" w:type="dxa"/>
              <w:bottom w:w="0" w:type="dxa"/>
              <w:right w:w="108" w:type="dxa"/>
            </w:tcMar>
          </w:tcPr>
          <w:p w:rsidR="00AD5369" w:rsidRPr="00AD5369" w:rsidRDefault="00AD5369" w:rsidP="00AD5369">
            <w:pPr>
              <w:numPr>
                <w:ilvl w:val="0"/>
                <w:numId w:val="49"/>
              </w:numPr>
              <w:spacing w:before="120" w:after="120" w:line="240" w:lineRule="auto"/>
              <w:ind w:left="600" w:right="57"/>
              <w:contextualSpacing/>
              <w:jc w:val="left"/>
              <w:rPr>
                <w:rFonts w:eastAsia="Times New Roman"/>
                <w:sz w:val="22"/>
                <w:szCs w:val="22"/>
              </w:rPr>
            </w:pPr>
            <w:r>
              <w:rPr>
                <w:rFonts w:eastAsia="Times New Roman"/>
                <w:sz w:val="22"/>
                <w:szCs w:val="22"/>
                <w:lang w:val="fr"/>
              </w:rPr>
              <w:t>Aucune suggestion nécessaire.</w:t>
            </w:r>
          </w:p>
        </w:tc>
      </w:tr>
      <w:tr w:rsidR="00AD5369" w:rsidRPr="00D1792C">
        <w:tc>
          <w:tcPr>
            <w:tcW w:w="5529" w:type="dxa"/>
            <w:tcMar>
              <w:top w:w="0" w:type="dxa"/>
              <w:left w:w="108" w:type="dxa"/>
              <w:bottom w:w="0" w:type="dxa"/>
              <w:right w:w="108" w:type="dxa"/>
            </w:tcMar>
          </w:tcPr>
          <w:p w:rsidR="00AD5369" w:rsidRPr="00D1792C" w:rsidRDefault="00AD5369" w:rsidP="00AD5369">
            <w:pPr>
              <w:numPr>
                <w:ilvl w:val="0"/>
                <w:numId w:val="50"/>
              </w:numPr>
              <w:spacing w:before="120" w:after="120" w:line="240" w:lineRule="auto"/>
              <w:ind w:right="57"/>
              <w:contextualSpacing/>
              <w:jc w:val="left"/>
              <w:rPr>
                <w:rFonts w:eastAsia="Times New Roman"/>
                <w:sz w:val="22"/>
                <w:szCs w:val="22"/>
                <w:lang w:val="fr-BE"/>
              </w:rPr>
            </w:pPr>
            <w:r>
              <w:rPr>
                <w:rFonts w:eastAsia="Times New Roman"/>
                <w:i/>
                <w:iCs/>
                <w:sz w:val="22"/>
                <w:szCs w:val="22"/>
                <w:lang w:val="fr"/>
              </w:rPr>
              <w:t>Afin d'améliorer la visibilité du Programme intra-ACP, le Secrétariat ACP et l'UE devraient établir des lignes directrices de façon à s'assurer que certaines attentes minimales soient satisfaites, par exemple en termes de présence sur internet. À l'heure actuelle, les programmes régionaux appliquent des stratégies de communication très différentes, dont certaines plus réussies que d'autres. Dans l'ensemble, cependant, il conviendrait de définir des pratiques et des normes minimales pour les activités de communication qui soient communes à tous les programmes régionaux.</w:t>
            </w:r>
          </w:p>
        </w:tc>
        <w:tc>
          <w:tcPr>
            <w:tcW w:w="9072" w:type="dxa"/>
            <w:tcMar>
              <w:top w:w="0" w:type="dxa"/>
              <w:left w:w="108" w:type="dxa"/>
              <w:bottom w:w="0" w:type="dxa"/>
              <w:right w:w="108" w:type="dxa"/>
            </w:tcMar>
          </w:tcPr>
          <w:p w:rsidR="008F3618" w:rsidRPr="00D1792C" w:rsidRDefault="00AD5369" w:rsidP="00AD5369">
            <w:pPr>
              <w:numPr>
                <w:ilvl w:val="0"/>
                <w:numId w:val="49"/>
              </w:numPr>
              <w:spacing w:before="120" w:after="120" w:line="240" w:lineRule="auto"/>
              <w:ind w:left="600" w:right="57"/>
              <w:contextualSpacing/>
              <w:jc w:val="left"/>
              <w:rPr>
                <w:rFonts w:eastAsia="Times New Roman"/>
                <w:sz w:val="22"/>
                <w:szCs w:val="22"/>
                <w:lang w:val="fr-BE"/>
              </w:rPr>
            </w:pPr>
            <w:r>
              <w:rPr>
                <w:rFonts w:eastAsia="Times New Roman"/>
                <w:sz w:val="22"/>
                <w:szCs w:val="22"/>
                <w:lang w:val="fr"/>
              </w:rPr>
              <w:t>Étudier les stratégies de communication des programmes régionaux intra-ACP et des pr</w:t>
            </w:r>
            <w:r>
              <w:rPr>
                <w:rFonts w:eastAsia="Times New Roman"/>
                <w:sz w:val="22"/>
                <w:szCs w:val="22"/>
                <w:lang w:val="fr"/>
              </w:rPr>
              <w:t>o</w:t>
            </w:r>
            <w:r>
              <w:rPr>
                <w:rFonts w:eastAsia="Times New Roman"/>
                <w:sz w:val="22"/>
                <w:szCs w:val="22"/>
                <w:lang w:val="fr"/>
              </w:rPr>
              <w:t>grammes nationaux de l'AMCC remarquables, en vue d'identifier les meilleures pratiques qui pourraient permettre de définir et de mettre en œuvre des lignes directrices utilisées comme normes minimales pour les activités de communication de tous les programmes r</w:t>
            </w:r>
            <w:r>
              <w:rPr>
                <w:rFonts w:eastAsia="Times New Roman"/>
                <w:sz w:val="22"/>
                <w:szCs w:val="22"/>
                <w:lang w:val="fr"/>
              </w:rPr>
              <w:t>é</w:t>
            </w:r>
            <w:r>
              <w:rPr>
                <w:rFonts w:eastAsia="Times New Roman"/>
                <w:sz w:val="22"/>
                <w:szCs w:val="22"/>
                <w:lang w:val="fr"/>
              </w:rPr>
              <w:t>gionaux intra-ACP.</w:t>
            </w:r>
          </w:p>
          <w:p w:rsidR="00AD5369" w:rsidRPr="00D1792C" w:rsidRDefault="00AD5369" w:rsidP="00AD5369">
            <w:pPr>
              <w:spacing w:before="120" w:after="120" w:line="240" w:lineRule="auto"/>
              <w:ind w:left="600" w:right="57"/>
              <w:jc w:val="left"/>
              <w:rPr>
                <w:rFonts w:eastAsia="Times New Roman"/>
                <w:sz w:val="22"/>
                <w:szCs w:val="22"/>
                <w:lang w:val="fr-BE"/>
              </w:rPr>
            </w:pPr>
          </w:p>
        </w:tc>
      </w:tr>
    </w:tbl>
    <w:p w:rsidR="00AD5369" w:rsidRPr="00D1792C" w:rsidRDefault="00AD5369" w:rsidP="00AD5369">
      <w:pPr>
        <w:spacing w:before="120" w:after="120"/>
        <w:ind w:right="57"/>
        <w:jc w:val="left"/>
        <w:rPr>
          <w:rFonts w:eastAsia="Times New Roman"/>
          <w:sz w:val="2"/>
          <w:szCs w:val="22"/>
          <w:lang w:val="fr-BE"/>
        </w:rPr>
      </w:pPr>
    </w:p>
    <w:p w:rsidR="00AD5369" w:rsidRPr="00D1792C" w:rsidRDefault="00AD5369">
      <w:pPr>
        <w:spacing w:after="0" w:line="240" w:lineRule="auto"/>
        <w:jc w:val="left"/>
        <w:rPr>
          <w:b/>
          <w:lang w:val="fr-BE"/>
        </w:rPr>
        <w:sectPr w:rsidR="00AD5369" w:rsidRPr="00D1792C">
          <w:pgSz w:w="16838" w:h="11906" w:orient="landscape" w:code="9"/>
          <w:pgMar w:top="1276" w:right="1387" w:bottom="1440" w:left="1080" w:header="851" w:footer="851" w:gutter="0"/>
          <w:cols w:space="720"/>
          <w:docGrid w:linePitch="326"/>
        </w:sectPr>
      </w:pPr>
    </w:p>
    <w:p w:rsidR="00AD5369" w:rsidRPr="00D1792C" w:rsidRDefault="00AD5369">
      <w:pPr>
        <w:spacing w:after="0" w:line="240" w:lineRule="auto"/>
        <w:jc w:val="left"/>
        <w:rPr>
          <w:b/>
          <w:lang w:val="fr-BE"/>
        </w:rPr>
      </w:pPr>
    </w:p>
    <w:p w:rsidR="00230EE0" w:rsidRPr="00A94D8B" w:rsidRDefault="00230EE0" w:rsidP="002A03DF">
      <w:pPr>
        <w:pStyle w:val="Heading1"/>
        <w:keepNext w:val="0"/>
        <w:numPr>
          <w:ilvl w:val="0"/>
          <w:numId w:val="45"/>
        </w:numPr>
        <w:spacing w:line="276" w:lineRule="auto"/>
        <w:contextualSpacing/>
        <w:rPr>
          <w:spacing w:val="-10"/>
        </w:rPr>
      </w:pPr>
      <w:bookmarkStart w:id="53" w:name="_Toc406494033"/>
      <w:r>
        <w:rPr>
          <w:bCs/>
          <w:lang w:val="fr"/>
        </w:rPr>
        <w:t>Annexes</w:t>
      </w:r>
      <w:bookmarkEnd w:id="53"/>
    </w:p>
    <w:p w:rsidR="00130EC9" w:rsidRPr="00A94D8B" w:rsidRDefault="00130EC9" w:rsidP="00AD1C0A"/>
    <w:p w:rsidR="008F3618" w:rsidRPr="00D1792C" w:rsidRDefault="00F921F1" w:rsidP="00AD1C0A">
      <w:pPr>
        <w:rPr>
          <w:lang w:val="fr-BE"/>
        </w:rPr>
      </w:pPr>
      <w:r>
        <w:rPr>
          <w:lang w:val="fr"/>
        </w:rPr>
        <w:t>N.B. Toutes les annexes suivantes sont disponibles dans un document distinct (volume 2).</w:t>
      </w:r>
    </w:p>
    <w:p w:rsidR="000B4C18" w:rsidRPr="00D1792C" w:rsidRDefault="000B4C18" w:rsidP="000B4C18">
      <w:pPr>
        <w:rPr>
          <w:noProof/>
          <w:lang w:val="fr-BE"/>
        </w:rPr>
      </w:pPr>
    </w:p>
    <w:p w:rsidR="000B4C18" w:rsidRPr="00D1792C" w:rsidRDefault="000B4C18" w:rsidP="000B4C18">
      <w:pPr>
        <w:rPr>
          <w:noProof/>
          <w:lang w:val="fr-BE"/>
        </w:rPr>
      </w:pPr>
      <w:r>
        <w:rPr>
          <w:noProof/>
          <w:lang w:val="fr"/>
        </w:rPr>
        <w:t>Annexe 1. Termes de référence de l'évaluation</w:t>
      </w:r>
      <w:r>
        <w:rPr>
          <w:noProof/>
          <w:lang w:val="fr"/>
        </w:rPr>
        <w:tab/>
      </w:r>
      <w:r>
        <w:rPr>
          <w:noProof/>
          <w:lang w:val="fr"/>
        </w:rPr>
        <w:tab/>
      </w:r>
      <w:r>
        <w:rPr>
          <w:noProof/>
          <w:lang w:val="fr"/>
        </w:rPr>
        <w:tab/>
      </w:r>
      <w:r>
        <w:rPr>
          <w:noProof/>
          <w:lang w:val="fr"/>
        </w:rPr>
        <w:tab/>
      </w:r>
      <w:r>
        <w:rPr>
          <w:noProof/>
          <w:lang w:val="fr"/>
        </w:rPr>
        <w:tab/>
      </w:r>
      <w:r>
        <w:rPr>
          <w:noProof/>
          <w:lang w:val="fr"/>
        </w:rPr>
        <w:tab/>
        <w:t>4</w:t>
      </w:r>
    </w:p>
    <w:p w:rsidR="000B4C18" w:rsidRPr="00D1792C" w:rsidRDefault="000B4C18" w:rsidP="000B4C18">
      <w:pPr>
        <w:rPr>
          <w:noProof/>
          <w:lang w:val="fr-BE"/>
        </w:rPr>
      </w:pPr>
      <w:r>
        <w:rPr>
          <w:noProof/>
          <w:lang w:val="fr"/>
        </w:rPr>
        <w:t xml:space="preserve">Annexe 2. Composition de </w:t>
      </w:r>
      <w:r w:rsidR="002D48A8">
        <w:rPr>
          <w:noProof/>
          <w:lang w:val="fr"/>
        </w:rPr>
        <w:t>l'équipe d'évaluation</w:t>
      </w:r>
      <w:r w:rsidR="002D48A8">
        <w:rPr>
          <w:noProof/>
          <w:lang w:val="fr"/>
        </w:rPr>
        <w:tab/>
      </w:r>
      <w:r w:rsidR="002D48A8">
        <w:rPr>
          <w:noProof/>
          <w:lang w:val="fr"/>
        </w:rPr>
        <w:tab/>
      </w:r>
      <w:r w:rsidR="002D48A8">
        <w:rPr>
          <w:noProof/>
          <w:lang w:val="fr"/>
        </w:rPr>
        <w:tab/>
      </w:r>
      <w:r w:rsidR="002D48A8">
        <w:rPr>
          <w:noProof/>
          <w:lang w:val="fr"/>
        </w:rPr>
        <w:tab/>
      </w:r>
      <w:r w:rsidR="002D48A8">
        <w:rPr>
          <w:noProof/>
          <w:lang w:val="fr"/>
        </w:rPr>
        <w:tab/>
      </w:r>
      <w:r w:rsidR="002D48A8">
        <w:rPr>
          <w:noProof/>
          <w:lang w:val="fr"/>
        </w:rPr>
        <w:tab/>
      </w:r>
      <w:r>
        <w:rPr>
          <w:noProof/>
          <w:lang w:val="fr"/>
        </w:rPr>
        <w:t>40</w:t>
      </w:r>
    </w:p>
    <w:p w:rsidR="000B4C18" w:rsidRPr="00D1792C" w:rsidRDefault="000B4C18" w:rsidP="000B4C18">
      <w:pPr>
        <w:rPr>
          <w:noProof/>
          <w:lang w:val="fr-BE"/>
        </w:rPr>
      </w:pPr>
      <w:r>
        <w:rPr>
          <w:noProof/>
          <w:lang w:val="fr"/>
        </w:rPr>
        <w:t>Annexe 3. Aid</w:t>
      </w:r>
      <w:r w:rsidR="002D48A8">
        <w:rPr>
          <w:noProof/>
          <w:lang w:val="fr"/>
        </w:rPr>
        <w:t>e-mémoires de la mission</w:t>
      </w:r>
      <w:r w:rsidR="002D48A8">
        <w:rPr>
          <w:noProof/>
          <w:lang w:val="fr"/>
        </w:rPr>
        <w:tab/>
      </w:r>
      <w:r w:rsidR="002D48A8">
        <w:rPr>
          <w:noProof/>
          <w:lang w:val="fr"/>
        </w:rPr>
        <w:tab/>
      </w:r>
      <w:r w:rsidR="002D48A8">
        <w:rPr>
          <w:noProof/>
          <w:lang w:val="fr"/>
        </w:rPr>
        <w:tab/>
      </w:r>
      <w:r w:rsidR="002D48A8">
        <w:rPr>
          <w:noProof/>
          <w:lang w:val="fr"/>
        </w:rPr>
        <w:tab/>
      </w:r>
      <w:r w:rsidR="002D48A8">
        <w:rPr>
          <w:noProof/>
          <w:lang w:val="fr"/>
        </w:rPr>
        <w:tab/>
      </w:r>
      <w:r w:rsidR="002D48A8">
        <w:rPr>
          <w:noProof/>
          <w:lang w:val="fr"/>
        </w:rPr>
        <w:tab/>
      </w:r>
      <w:r w:rsidR="002D48A8">
        <w:rPr>
          <w:noProof/>
          <w:lang w:val="fr"/>
        </w:rPr>
        <w:tab/>
      </w:r>
      <w:r>
        <w:rPr>
          <w:noProof/>
          <w:lang w:val="fr"/>
        </w:rPr>
        <w:t>41</w:t>
      </w:r>
    </w:p>
    <w:p w:rsidR="000B4C18" w:rsidRPr="00D1792C" w:rsidRDefault="000B4C18" w:rsidP="000B4C18">
      <w:pPr>
        <w:ind w:firstLine="720"/>
        <w:rPr>
          <w:noProof/>
          <w:lang w:val="fr-BE"/>
        </w:rPr>
      </w:pPr>
      <w:r>
        <w:rPr>
          <w:noProof/>
          <w:lang w:val="fr"/>
        </w:rPr>
        <w:t>Annexe 3.1. ClimDev</w:t>
      </w:r>
      <w:r>
        <w:rPr>
          <w:noProof/>
          <w:lang w:val="fr"/>
        </w:rPr>
        <w:tab/>
      </w:r>
      <w:r>
        <w:rPr>
          <w:noProof/>
          <w:lang w:val="fr"/>
        </w:rPr>
        <w:tab/>
      </w:r>
      <w:r>
        <w:rPr>
          <w:noProof/>
          <w:lang w:val="fr"/>
        </w:rPr>
        <w:tab/>
      </w:r>
      <w:r>
        <w:rPr>
          <w:noProof/>
          <w:lang w:val="fr"/>
        </w:rPr>
        <w:tab/>
      </w:r>
      <w:r>
        <w:rPr>
          <w:noProof/>
          <w:lang w:val="fr"/>
        </w:rPr>
        <w:tab/>
      </w:r>
      <w:r>
        <w:rPr>
          <w:noProof/>
          <w:lang w:val="fr"/>
        </w:rPr>
        <w:tab/>
      </w:r>
      <w:r>
        <w:rPr>
          <w:noProof/>
          <w:lang w:val="fr"/>
        </w:rPr>
        <w:tab/>
      </w:r>
      <w:r>
        <w:rPr>
          <w:noProof/>
          <w:lang w:val="fr"/>
        </w:rPr>
        <w:tab/>
      </w:r>
      <w:r>
        <w:rPr>
          <w:noProof/>
          <w:lang w:val="fr"/>
        </w:rPr>
        <w:tab/>
        <w:t>42</w:t>
      </w:r>
    </w:p>
    <w:p w:rsidR="000B4C18" w:rsidRPr="00D1792C" w:rsidRDefault="000B4C18" w:rsidP="000B4C18">
      <w:pPr>
        <w:ind w:firstLine="720"/>
        <w:rPr>
          <w:noProof/>
          <w:lang w:val="fr-BE"/>
        </w:rPr>
      </w:pPr>
      <w:r>
        <w:rPr>
          <w:noProof/>
          <w:lang w:val="fr"/>
        </w:rPr>
        <w:t>Annexe 3.2. CEDEAO (CILSS)</w:t>
      </w:r>
      <w:r>
        <w:rPr>
          <w:noProof/>
          <w:lang w:val="fr"/>
        </w:rPr>
        <w:tab/>
      </w:r>
      <w:r>
        <w:rPr>
          <w:noProof/>
          <w:lang w:val="fr"/>
        </w:rPr>
        <w:tab/>
      </w:r>
      <w:r>
        <w:rPr>
          <w:noProof/>
          <w:lang w:val="fr"/>
        </w:rPr>
        <w:tab/>
      </w:r>
      <w:r>
        <w:rPr>
          <w:noProof/>
          <w:lang w:val="fr"/>
        </w:rPr>
        <w:tab/>
      </w:r>
      <w:r>
        <w:rPr>
          <w:noProof/>
          <w:lang w:val="fr"/>
        </w:rPr>
        <w:tab/>
      </w:r>
      <w:r>
        <w:rPr>
          <w:noProof/>
          <w:lang w:val="fr"/>
        </w:rPr>
        <w:tab/>
      </w:r>
      <w:r>
        <w:rPr>
          <w:noProof/>
          <w:lang w:val="fr"/>
        </w:rPr>
        <w:tab/>
        <w:t>66</w:t>
      </w:r>
    </w:p>
    <w:p w:rsidR="000B4C18" w:rsidRPr="00D1792C" w:rsidRDefault="002D48A8" w:rsidP="000B4C18">
      <w:pPr>
        <w:ind w:left="720"/>
        <w:rPr>
          <w:noProof/>
          <w:lang w:val="fr-BE"/>
        </w:rPr>
      </w:pPr>
      <w:r>
        <w:rPr>
          <w:noProof/>
          <w:lang w:val="fr"/>
        </w:rPr>
        <w:t>Annexe 3.3. COMESA</w:t>
      </w:r>
      <w:r>
        <w:rPr>
          <w:noProof/>
          <w:lang w:val="fr"/>
        </w:rPr>
        <w:tab/>
      </w:r>
      <w:r>
        <w:rPr>
          <w:noProof/>
          <w:lang w:val="fr"/>
        </w:rPr>
        <w:tab/>
      </w:r>
      <w:r>
        <w:rPr>
          <w:noProof/>
          <w:lang w:val="fr"/>
        </w:rPr>
        <w:tab/>
      </w:r>
      <w:r>
        <w:rPr>
          <w:noProof/>
          <w:lang w:val="fr"/>
        </w:rPr>
        <w:tab/>
      </w:r>
      <w:r>
        <w:rPr>
          <w:noProof/>
          <w:lang w:val="fr"/>
        </w:rPr>
        <w:tab/>
      </w:r>
      <w:r>
        <w:rPr>
          <w:noProof/>
          <w:lang w:val="fr"/>
        </w:rPr>
        <w:tab/>
      </w:r>
      <w:r>
        <w:rPr>
          <w:noProof/>
          <w:lang w:val="fr"/>
        </w:rPr>
        <w:tab/>
      </w:r>
      <w:r>
        <w:rPr>
          <w:noProof/>
          <w:lang w:val="fr"/>
        </w:rPr>
        <w:tab/>
      </w:r>
      <w:r w:rsidR="000B4C18">
        <w:rPr>
          <w:noProof/>
          <w:lang w:val="fr"/>
        </w:rPr>
        <w:t>84</w:t>
      </w:r>
    </w:p>
    <w:p w:rsidR="000B4C18" w:rsidRPr="00D1792C" w:rsidRDefault="000B4C18" w:rsidP="000B4C18">
      <w:pPr>
        <w:ind w:firstLine="720"/>
        <w:rPr>
          <w:noProof/>
          <w:lang w:val="fr-BE"/>
        </w:rPr>
      </w:pPr>
      <w:r>
        <w:rPr>
          <w:noProof/>
          <w:lang w:val="fr"/>
        </w:rPr>
        <w:t>Annexe 3.4</w:t>
      </w:r>
      <w:r w:rsidR="002D48A8">
        <w:rPr>
          <w:noProof/>
          <w:lang w:val="fr"/>
        </w:rPr>
        <w:t>. UE-AMCC Pacifique (USP)</w:t>
      </w:r>
      <w:r w:rsidR="002D48A8">
        <w:rPr>
          <w:noProof/>
          <w:lang w:val="fr"/>
        </w:rPr>
        <w:tab/>
      </w:r>
      <w:r w:rsidR="002D48A8">
        <w:rPr>
          <w:noProof/>
          <w:lang w:val="fr"/>
        </w:rPr>
        <w:tab/>
      </w:r>
      <w:r w:rsidR="002D48A8">
        <w:rPr>
          <w:noProof/>
          <w:lang w:val="fr"/>
        </w:rPr>
        <w:tab/>
      </w:r>
      <w:r w:rsidR="002D48A8">
        <w:rPr>
          <w:noProof/>
          <w:lang w:val="fr"/>
        </w:rPr>
        <w:tab/>
      </w:r>
      <w:r w:rsidR="002D48A8">
        <w:rPr>
          <w:noProof/>
          <w:lang w:val="fr"/>
        </w:rPr>
        <w:tab/>
      </w:r>
      <w:r w:rsidR="002D48A8">
        <w:rPr>
          <w:noProof/>
          <w:lang w:val="fr"/>
        </w:rPr>
        <w:tab/>
      </w:r>
      <w:r>
        <w:rPr>
          <w:noProof/>
          <w:lang w:val="fr"/>
        </w:rPr>
        <w:t>103</w:t>
      </w:r>
    </w:p>
    <w:p w:rsidR="000B4C18" w:rsidRPr="00D1792C" w:rsidRDefault="000B4C18" w:rsidP="000B4C18">
      <w:pPr>
        <w:ind w:firstLine="720"/>
        <w:rPr>
          <w:noProof/>
          <w:lang w:val="fr-BE"/>
        </w:rPr>
      </w:pPr>
      <w:r>
        <w:rPr>
          <w:noProof/>
          <w:lang w:val="fr"/>
        </w:rPr>
        <w:t>Annexe 3.5. AMCC : PEIP (CPS/SPROE)</w:t>
      </w:r>
      <w:r>
        <w:rPr>
          <w:noProof/>
          <w:lang w:val="fr"/>
        </w:rPr>
        <w:tab/>
      </w:r>
      <w:r>
        <w:rPr>
          <w:noProof/>
          <w:lang w:val="fr"/>
        </w:rPr>
        <w:tab/>
      </w:r>
      <w:r>
        <w:rPr>
          <w:noProof/>
          <w:lang w:val="fr"/>
        </w:rPr>
        <w:tab/>
      </w:r>
      <w:r>
        <w:rPr>
          <w:noProof/>
          <w:lang w:val="fr"/>
        </w:rPr>
        <w:tab/>
      </w:r>
      <w:r>
        <w:rPr>
          <w:noProof/>
          <w:lang w:val="fr"/>
        </w:rPr>
        <w:tab/>
      </w:r>
      <w:r>
        <w:rPr>
          <w:noProof/>
          <w:lang w:val="fr"/>
        </w:rPr>
        <w:tab/>
        <w:t>123</w:t>
      </w:r>
    </w:p>
    <w:p w:rsidR="000B4C18" w:rsidRPr="00D1792C" w:rsidRDefault="000B4C18" w:rsidP="000B4C18">
      <w:pPr>
        <w:ind w:firstLine="720"/>
        <w:rPr>
          <w:noProof/>
          <w:lang w:val="fr-BE"/>
        </w:rPr>
      </w:pPr>
      <w:r>
        <w:rPr>
          <w:noProof/>
          <w:lang w:val="fr"/>
        </w:rPr>
        <w:t>Annexe 3.6. CCCCC (Caraïbes)</w:t>
      </w:r>
      <w:r>
        <w:rPr>
          <w:noProof/>
          <w:lang w:val="fr"/>
        </w:rPr>
        <w:tab/>
      </w:r>
      <w:r>
        <w:rPr>
          <w:noProof/>
          <w:lang w:val="fr"/>
        </w:rPr>
        <w:tab/>
      </w:r>
      <w:r>
        <w:rPr>
          <w:noProof/>
          <w:lang w:val="fr"/>
        </w:rPr>
        <w:tab/>
      </w:r>
      <w:r>
        <w:rPr>
          <w:noProof/>
          <w:lang w:val="fr"/>
        </w:rPr>
        <w:tab/>
      </w:r>
      <w:r>
        <w:rPr>
          <w:noProof/>
          <w:lang w:val="fr"/>
        </w:rPr>
        <w:tab/>
      </w:r>
      <w:r>
        <w:rPr>
          <w:noProof/>
          <w:lang w:val="fr"/>
        </w:rPr>
        <w:tab/>
      </w:r>
      <w:r>
        <w:rPr>
          <w:noProof/>
          <w:lang w:val="fr"/>
        </w:rPr>
        <w:tab/>
        <w:t>138</w:t>
      </w:r>
    </w:p>
    <w:p w:rsidR="000B4C18" w:rsidRPr="00D1792C" w:rsidRDefault="000B4C18" w:rsidP="000B4C18">
      <w:pPr>
        <w:ind w:firstLine="720"/>
        <w:rPr>
          <w:noProof/>
          <w:lang w:val="fr-BE"/>
        </w:rPr>
      </w:pPr>
      <w:r>
        <w:rPr>
          <w:noProof/>
          <w:lang w:val="fr"/>
        </w:rPr>
        <w:t>Annexe 3.7. La Facilité climatique</w:t>
      </w:r>
      <w:r>
        <w:rPr>
          <w:noProof/>
          <w:lang w:val="fr"/>
        </w:rPr>
        <w:tab/>
      </w:r>
      <w:r>
        <w:rPr>
          <w:noProof/>
          <w:lang w:val="fr"/>
        </w:rPr>
        <w:tab/>
      </w:r>
      <w:r>
        <w:rPr>
          <w:noProof/>
          <w:lang w:val="fr"/>
        </w:rPr>
        <w:tab/>
      </w:r>
      <w:r>
        <w:rPr>
          <w:noProof/>
          <w:lang w:val="fr"/>
        </w:rPr>
        <w:tab/>
      </w:r>
      <w:r>
        <w:rPr>
          <w:noProof/>
          <w:lang w:val="fr"/>
        </w:rPr>
        <w:tab/>
      </w:r>
      <w:r w:rsidR="002D48A8">
        <w:rPr>
          <w:noProof/>
          <w:lang w:val="fr"/>
        </w:rPr>
        <w:tab/>
      </w:r>
      <w:r>
        <w:rPr>
          <w:noProof/>
          <w:lang w:val="fr"/>
        </w:rPr>
        <w:tab/>
        <w:t>155</w:t>
      </w:r>
    </w:p>
    <w:p w:rsidR="000B4C18" w:rsidRPr="00D1792C" w:rsidRDefault="000B4C18" w:rsidP="000B4C18">
      <w:pPr>
        <w:rPr>
          <w:noProof/>
          <w:lang w:val="fr-BE"/>
        </w:rPr>
      </w:pPr>
      <w:r>
        <w:rPr>
          <w:noProof/>
          <w:lang w:val="fr"/>
        </w:rPr>
        <w:t>Annexe 4. M</w:t>
      </w:r>
      <w:r w:rsidR="002D48A8">
        <w:rPr>
          <w:noProof/>
          <w:lang w:val="fr"/>
        </w:rPr>
        <w:t>éthodologie d'évaluation</w:t>
      </w:r>
      <w:r w:rsidR="002D48A8">
        <w:rPr>
          <w:noProof/>
          <w:lang w:val="fr"/>
        </w:rPr>
        <w:tab/>
      </w:r>
      <w:r w:rsidR="002D48A8">
        <w:rPr>
          <w:noProof/>
          <w:lang w:val="fr"/>
        </w:rPr>
        <w:tab/>
      </w:r>
      <w:r w:rsidR="002D48A8">
        <w:rPr>
          <w:noProof/>
          <w:lang w:val="fr"/>
        </w:rPr>
        <w:tab/>
      </w:r>
      <w:r w:rsidR="002D48A8">
        <w:rPr>
          <w:noProof/>
          <w:lang w:val="fr"/>
        </w:rPr>
        <w:tab/>
      </w:r>
      <w:r w:rsidR="002D48A8">
        <w:rPr>
          <w:noProof/>
          <w:lang w:val="fr"/>
        </w:rPr>
        <w:tab/>
      </w:r>
      <w:r w:rsidR="002D48A8">
        <w:rPr>
          <w:noProof/>
          <w:lang w:val="fr"/>
        </w:rPr>
        <w:tab/>
      </w:r>
      <w:r w:rsidR="002D48A8">
        <w:rPr>
          <w:noProof/>
          <w:lang w:val="fr"/>
        </w:rPr>
        <w:tab/>
      </w:r>
      <w:r>
        <w:rPr>
          <w:noProof/>
          <w:lang w:val="fr"/>
        </w:rPr>
        <w:t>160</w:t>
      </w:r>
    </w:p>
    <w:p w:rsidR="000B4C18" w:rsidRPr="00D1792C" w:rsidRDefault="000B4C18" w:rsidP="000B4C18">
      <w:pPr>
        <w:ind w:firstLine="720"/>
        <w:rPr>
          <w:noProof/>
          <w:lang w:val="fr-BE"/>
        </w:rPr>
      </w:pPr>
      <w:r>
        <w:rPr>
          <w:noProof/>
          <w:lang w:val="fr"/>
        </w:rPr>
        <w:t>Annexe</w:t>
      </w:r>
      <w:r w:rsidR="002D48A8">
        <w:rPr>
          <w:noProof/>
          <w:lang w:val="fr"/>
        </w:rPr>
        <w:t xml:space="preserve"> 4A. Grille d'évaluation</w:t>
      </w:r>
      <w:r w:rsidR="002D48A8">
        <w:rPr>
          <w:noProof/>
          <w:lang w:val="fr"/>
        </w:rPr>
        <w:tab/>
      </w:r>
      <w:r w:rsidR="002D48A8">
        <w:rPr>
          <w:noProof/>
          <w:lang w:val="fr"/>
        </w:rPr>
        <w:tab/>
      </w:r>
      <w:r w:rsidR="002D48A8">
        <w:rPr>
          <w:noProof/>
          <w:lang w:val="fr"/>
        </w:rPr>
        <w:tab/>
      </w:r>
      <w:r w:rsidR="002D48A8">
        <w:rPr>
          <w:noProof/>
          <w:lang w:val="fr"/>
        </w:rPr>
        <w:tab/>
      </w:r>
      <w:r w:rsidR="002D48A8">
        <w:rPr>
          <w:noProof/>
          <w:lang w:val="fr"/>
        </w:rPr>
        <w:tab/>
      </w:r>
      <w:r w:rsidR="002D48A8">
        <w:rPr>
          <w:noProof/>
          <w:lang w:val="fr"/>
        </w:rPr>
        <w:tab/>
      </w:r>
      <w:r w:rsidR="002D48A8">
        <w:rPr>
          <w:noProof/>
          <w:lang w:val="fr"/>
        </w:rPr>
        <w:tab/>
      </w:r>
      <w:r>
        <w:rPr>
          <w:noProof/>
          <w:lang w:val="fr"/>
        </w:rPr>
        <w:t>160</w:t>
      </w:r>
    </w:p>
    <w:p w:rsidR="000B4C18" w:rsidRPr="00D1792C" w:rsidRDefault="000B4C18" w:rsidP="000B4C18">
      <w:pPr>
        <w:ind w:firstLine="720"/>
        <w:rPr>
          <w:noProof/>
          <w:lang w:val="fr-BE"/>
        </w:rPr>
      </w:pPr>
      <w:r>
        <w:rPr>
          <w:noProof/>
          <w:lang w:val="fr"/>
        </w:rPr>
        <w:t>Annexe 4B. Tablea</w:t>
      </w:r>
      <w:r w:rsidR="002D48A8">
        <w:rPr>
          <w:noProof/>
          <w:lang w:val="fr"/>
        </w:rPr>
        <w:t>u de notation des projets</w:t>
      </w:r>
      <w:r w:rsidR="002D48A8">
        <w:rPr>
          <w:noProof/>
          <w:lang w:val="fr"/>
        </w:rPr>
        <w:tab/>
      </w:r>
      <w:r w:rsidR="002D48A8">
        <w:rPr>
          <w:noProof/>
          <w:lang w:val="fr"/>
        </w:rPr>
        <w:tab/>
      </w:r>
      <w:r w:rsidR="002D48A8">
        <w:rPr>
          <w:noProof/>
          <w:lang w:val="fr"/>
        </w:rPr>
        <w:tab/>
      </w:r>
      <w:r w:rsidR="002D48A8">
        <w:rPr>
          <w:noProof/>
          <w:lang w:val="fr"/>
        </w:rPr>
        <w:tab/>
      </w:r>
      <w:r w:rsidR="002D48A8">
        <w:rPr>
          <w:noProof/>
          <w:lang w:val="fr"/>
        </w:rPr>
        <w:tab/>
      </w:r>
      <w:r w:rsidR="002D48A8">
        <w:rPr>
          <w:noProof/>
          <w:lang w:val="fr"/>
        </w:rPr>
        <w:tab/>
      </w:r>
      <w:r>
        <w:rPr>
          <w:noProof/>
          <w:lang w:val="fr"/>
        </w:rPr>
        <w:t>175</w:t>
      </w:r>
    </w:p>
    <w:p w:rsidR="000B4C18" w:rsidRPr="00D1792C" w:rsidRDefault="000B4C18" w:rsidP="000B4C18">
      <w:pPr>
        <w:rPr>
          <w:noProof/>
          <w:lang w:val="fr-BE"/>
        </w:rPr>
      </w:pPr>
      <w:r>
        <w:rPr>
          <w:noProof/>
          <w:lang w:val="fr"/>
        </w:rPr>
        <w:t>Annexe 5. Structure or</w:t>
      </w:r>
      <w:r w:rsidR="002D48A8">
        <w:rPr>
          <w:noProof/>
          <w:lang w:val="fr"/>
        </w:rPr>
        <w:t>ganisationnelle de l'AMCC</w:t>
      </w:r>
      <w:r w:rsidR="002D48A8">
        <w:rPr>
          <w:noProof/>
          <w:lang w:val="fr"/>
        </w:rPr>
        <w:tab/>
      </w:r>
      <w:r w:rsidR="002D48A8">
        <w:rPr>
          <w:noProof/>
          <w:lang w:val="fr"/>
        </w:rPr>
        <w:tab/>
      </w:r>
      <w:r w:rsidR="002D48A8">
        <w:rPr>
          <w:noProof/>
          <w:lang w:val="fr"/>
        </w:rPr>
        <w:tab/>
      </w:r>
      <w:r w:rsidR="002D48A8">
        <w:rPr>
          <w:noProof/>
          <w:lang w:val="fr"/>
        </w:rPr>
        <w:tab/>
      </w:r>
      <w:r w:rsidR="002D48A8">
        <w:rPr>
          <w:noProof/>
          <w:lang w:val="fr"/>
        </w:rPr>
        <w:tab/>
      </w:r>
      <w:r w:rsidR="002D48A8">
        <w:rPr>
          <w:noProof/>
          <w:lang w:val="fr"/>
        </w:rPr>
        <w:tab/>
      </w:r>
      <w:r>
        <w:rPr>
          <w:noProof/>
          <w:lang w:val="fr"/>
        </w:rPr>
        <w:t>176</w:t>
      </w:r>
    </w:p>
    <w:p w:rsidR="000B4C18" w:rsidRPr="00D1792C" w:rsidRDefault="000B4C18" w:rsidP="000B4C18">
      <w:pPr>
        <w:rPr>
          <w:noProof/>
          <w:lang w:val="fr-BE"/>
        </w:rPr>
      </w:pPr>
      <w:r>
        <w:rPr>
          <w:noProof/>
          <w:lang w:val="fr"/>
        </w:rPr>
        <w:t>Annexe 6. AMCC – Logique d'intervention reconstituée</w:t>
      </w:r>
      <w:r>
        <w:rPr>
          <w:noProof/>
          <w:lang w:val="fr"/>
        </w:rPr>
        <w:tab/>
      </w:r>
      <w:r>
        <w:rPr>
          <w:noProof/>
          <w:lang w:val="fr"/>
        </w:rPr>
        <w:tab/>
      </w:r>
      <w:r>
        <w:rPr>
          <w:noProof/>
          <w:lang w:val="fr"/>
        </w:rPr>
        <w:tab/>
      </w:r>
      <w:r>
        <w:rPr>
          <w:noProof/>
          <w:lang w:val="fr"/>
        </w:rPr>
        <w:tab/>
      </w:r>
      <w:r>
        <w:rPr>
          <w:noProof/>
          <w:lang w:val="fr"/>
        </w:rPr>
        <w:tab/>
        <w:t>177</w:t>
      </w:r>
    </w:p>
    <w:p w:rsidR="000B4C18" w:rsidRPr="00D1792C" w:rsidRDefault="000B4C18" w:rsidP="000B4C18">
      <w:pPr>
        <w:rPr>
          <w:noProof/>
          <w:lang w:val="fr-BE"/>
        </w:rPr>
      </w:pPr>
      <w:r>
        <w:rPr>
          <w:noProof/>
          <w:lang w:val="fr"/>
        </w:rPr>
        <w:t>Annexe 7</w:t>
      </w:r>
      <w:r w:rsidR="002D48A8">
        <w:rPr>
          <w:noProof/>
          <w:lang w:val="fr"/>
        </w:rPr>
        <w:t>. Calendrier de travail</w:t>
      </w:r>
      <w:r w:rsidR="002D48A8">
        <w:rPr>
          <w:noProof/>
          <w:lang w:val="fr"/>
        </w:rPr>
        <w:tab/>
      </w:r>
      <w:r w:rsidR="002D48A8">
        <w:rPr>
          <w:noProof/>
          <w:lang w:val="fr"/>
        </w:rPr>
        <w:tab/>
      </w:r>
      <w:r w:rsidR="002D48A8">
        <w:rPr>
          <w:noProof/>
          <w:lang w:val="fr"/>
        </w:rPr>
        <w:tab/>
      </w:r>
      <w:r w:rsidR="002D48A8">
        <w:rPr>
          <w:noProof/>
          <w:lang w:val="fr"/>
        </w:rPr>
        <w:tab/>
      </w:r>
      <w:r w:rsidR="002D48A8">
        <w:rPr>
          <w:noProof/>
          <w:lang w:val="fr"/>
        </w:rPr>
        <w:tab/>
      </w:r>
      <w:r w:rsidR="002D48A8">
        <w:rPr>
          <w:noProof/>
          <w:lang w:val="fr"/>
        </w:rPr>
        <w:tab/>
      </w:r>
      <w:r w:rsidR="002D48A8">
        <w:rPr>
          <w:noProof/>
          <w:lang w:val="fr"/>
        </w:rPr>
        <w:tab/>
      </w:r>
      <w:r w:rsidR="002D48A8">
        <w:rPr>
          <w:noProof/>
          <w:lang w:val="fr"/>
        </w:rPr>
        <w:tab/>
      </w:r>
      <w:r>
        <w:rPr>
          <w:noProof/>
          <w:lang w:val="fr"/>
        </w:rPr>
        <w:t>179</w:t>
      </w:r>
    </w:p>
    <w:p w:rsidR="000B4C18" w:rsidRPr="00D1792C" w:rsidRDefault="000B4C18" w:rsidP="000B4C18">
      <w:pPr>
        <w:rPr>
          <w:noProof/>
          <w:lang w:val="fr-BE"/>
        </w:rPr>
      </w:pPr>
      <w:r>
        <w:rPr>
          <w:noProof/>
          <w:lang w:val="fr"/>
        </w:rPr>
        <w:t>Annexe 8. Références et documents consultés</w:t>
      </w:r>
      <w:r>
        <w:rPr>
          <w:noProof/>
          <w:lang w:val="fr"/>
        </w:rPr>
        <w:tab/>
      </w:r>
      <w:r>
        <w:rPr>
          <w:noProof/>
          <w:lang w:val="fr"/>
        </w:rPr>
        <w:tab/>
      </w:r>
      <w:r>
        <w:rPr>
          <w:noProof/>
          <w:lang w:val="fr"/>
        </w:rPr>
        <w:tab/>
      </w:r>
      <w:r>
        <w:rPr>
          <w:noProof/>
          <w:lang w:val="fr"/>
        </w:rPr>
        <w:tab/>
      </w:r>
      <w:r>
        <w:rPr>
          <w:noProof/>
          <w:lang w:val="fr"/>
        </w:rPr>
        <w:tab/>
      </w:r>
      <w:r>
        <w:rPr>
          <w:noProof/>
          <w:lang w:val="fr"/>
        </w:rPr>
        <w:tab/>
        <w:t>180</w:t>
      </w:r>
    </w:p>
    <w:p w:rsidR="000B4C18" w:rsidRPr="00D1792C" w:rsidRDefault="000B4C18" w:rsidP="000B4C18">
      <w:pPr>
        <w:rPr>
          <w:noProof/>
          <w:lang w:val="fr-BE"/>
        </w:rPr>
      </w:pPr>
      <w:r>
        <w:rPr>
          <w:noProof/>
          <w:lang w:val="fr"/>
        </w:rPr>
        <w:t>Annexe 9. Résumé de l'évaluation de l'AMCC globale</w:t>
      </w:r>
      <w:r>
        <w:rPr>
          <w:noProof/>
          <w:lang w:val="fr"/>
        </w:rPr>
        <w:tab/>
      </w:r>
      <w:r>
        <w:rPr>
          <w:noProof/>
          <w:lang w:val="fr"/>
        </w:rPr>
        <w:tab/>
      </w:r>
      <w:r>
        <w:rPr>
          <w:noProof/>
          <w:lang w:val="fr"/>
        </w:rPr>
        <w:tab/>
      </w:r>
      <w:r>
        <w:rPr>
          <w:noProof/>
          <w:lang w:val="fr"/>
        </w:rPr>
        <w:tab/>
      </w:r>
      <w:r>
        <w:rPr>
          <w:noProof/>
          <w:lang w:val="fr"/>
        </w:rPr>
        <w:tab/>
        <w:t>183</w:t>
      </w:r>
    </w:p>
    <w:p w:rsidR="000B4C18" w:rsidRPr="00D1792C" w:rsidRDefault="000B4C18" w:rsidP="000B4C18">
      <w:pPr>
        <w:rPr>
          <w:noProof/>
          <w:lang w:val="fr-BE"/>
        </w:rPr>
      </w:pPr>
      <w:r>
        <w:rPr>
          <w:noProof/>
          <w:lang w:val="fr"/>
        </w:rPr>
        <w:t xml:space="preserve">Annexe 10. </w:t>
      </w:r>
      <w:r w:rsidR="002D48A8">
        <w:rPr>
          <w:noProof/>
          <w:lang w:val="fr"/>
        </w:rPr>
        <w:t>Résumé d'une page du CAD</w:t>
      </w:r>
      <w:r w:rsidR="002D48A8">
        <w:rPr>
          <w:noProof/>
          <w:lang w:val="fr"/>
        </w:rPr>
        <w:tab/>
      </w:r>
      <w:r w:rsidR="002D48A8">
        <w:rPr>
          <w:noProof/>
          <w:lang w:val="fr"/>
        </w:rPr>
        <w:tab/>
      </w:r>
      <w:r w:rsidR="002D48A8">
        <w:rPr>
          <w:noProof/>
          <w:lang w:val="fr"/>
        </w:rPr>
        <w:tab/>
      </w:r>
      <w:r w:rsidR="002D48A8">
        <w:rPr>
          <w:noProof/>
          <w:lang w:val="fr"/>
        </w:rPr>
        <w:tab/>
      </w:r>
      <w:r w:rsidR="002D48A8">
        <w:rPr>
          <w:noProof/>
          <w:lang w:val="fr"/>
        </w:rPr>
        <w:tab/>
      </w:r>
      <w:r w:rsidR="002D48A8">
        <w:rPr>
          <w:noProof/>
          <w:lang w:val="fr"/>
        </w:rPr>
        <w:tab/>
      </w:r>
      <w:r w:rsidR="002D48A8">
        <w:rPr>
          <w:noProof/>
          <w:lang w:val="fr"/>
        </w:rPr>
        <w:tab/>
      </w:r>
      <w:r>
        <w:rPr>
          <w:noProof/>
          <w:lang w:val="fr"/>
        </w:rPr>
        <w:t>191</w:t>
      </w:r>
    </w:p>
    <w:p w:rsidR="00FB4FE6" w:rsidRPr="00D1792C" w:rsidRDefault="00FB4FE6" w:rsidP="007A47D6">
      <w:pPr>
        <w:rPr>
          <w:lang w:val="fr-BE"/>
        </w:rPr>
      </w:pPr>
    </w:p>
    <w:sectPr w:rsidR="00FB4FE6" w:rsidRPr="00D1792C" w:rsidSect="006E77ED">
      <w:pgSz w:w="11906" w:h="16838" w:code="9"/>
      <w:pgMar w:top="1387" w:right="1440" w:bottom="1080" w:left="1440" w:header="851" w:footer="851"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1635" w:rsidRDefault="00721635" w:rsidP="002F55B4">
      <w:r>
        <w:separator/>
      </w:r>
    </w:p>
  </w:endnote>
  <w:endnote w:type="continuationSeparator" w:id="0">
    <w:p w:rsidR="00721635" w:rsidRDefault="00721635" w:rsidP="002F55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angal">
    <w:panose1 w:val="02040503050203030202"/>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792C" w:rsidRPr="00E21A15" w:rsidRDefault="00D1792C">
    <w:pPr>
      <w:pStyle w:val="Footer"/>
      <w:jc w:val="center"/>
      <w:rPr>
        <w:b/>
        <w:i/>
        <w:noProof/>
        <w:sz w:val="18"/>
      </w:rPr>
    </w:pPr>
  </w:p>
  <w:p w:rsidR="00D1792C" w:rsidRDefault="00D1792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792C" w:rsidRPr="004138C5" w:rsidRDefault="00D1792C" w:rsidP="001C74E5">
    <w:pPr>
      <w:pStyle w:val="Header"/>
    </w:pPr>
    <w:r>
      <w:rPr>
        <w:b w:val="0"/>
        <w:i w:val="0"/>
        <w:lang w:val="fr"/>
      </w:rPr>
      <w:tab/>
    </w:r>
    <w:r>
      <w:rPr>
        <w:b w:val="0"/>
        <w:i w:val="0"/>
        <w:lang w:val="fr"/>
      </w:rPr>
      <w:fldChar w:fldCharType="begin"/>
    </w:r>
    <w:r>
      <w:rPr>
        <w:b w:val="0"/>
        <w:i w:val="0"/>
        <w:lang w:val="fr"/>
      </w:rPr>
      <w:instrText xml:space="preserve"> PAGE    \* MERGEFORMAT </w:instrText>
    </w:r>
    <w:r>
      <w:rPr>
        <w:b w:val="0"/>
        <w:i w:val="0"/>
        <w:lang w:val="fr"/>
      </w:rPr>
      <w:fldChar w:fldCharType="separate"/>
    </w:r>
    <w:r w:rsidR="004C4EB5" w:rsidRPr="004C4EB5">
      <w:rPr>
        <w:bCs/>
        <w:iCs/>
        <w:noProof/>
        <w:lang w:val="fr"/>
      </w:rPr>
      <w:t>22</w:t>
    </w:r>
    <w:r>
      <w:rPr>
        <w:b w:val="0"/>
        <w:i w:val="0"/>
        <w:noProof/>
        <w:lang w:val="f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1635" w:rsidRDefault="00721635" w:rsidP="002F55B4">
      <w:r>
        <w:separator/>
      </w:r>
    </w:p>
  </w:footnote>
  <w:footnote w:type="continuationSeparator" w:id="0">
    <w:p w:rsidR="00721635" w:rsidRDefault="00721635" w:rsidP="002F55B4">
      <w:r>
        <w:continuationSeparator/>
      </w:r>
    </w:p>
  </w:footnote>
  <w:footnote w:id="1">
    <w:p w:rsidR="00D1792C" w:rsidRPr="00D1792C" w:rsidRDefault="00D1792C">
      <w:pPr>
        <w:pStyle w:val="FootnoteText"/>
        <w:rPr>
          <w:lang w:val="fr-BE"/>
        </w:rPr>
      </w:pPr>
      <w:r w:rsidRPr="00281425">
        <w:rPr>
          <w:rStyle w:val="FootnoteReference"/>
          <w:lang w:val="fr"/>
        </w:rPr>
        <w:footnoteRef/>
      </w:r>
      <w:r>
        <w:rPr>
          <w:lang w:val="fr"/>
        </w:rPr>
        <w:t xml:space="preserve"> Au total, l'AMCC soutient huit programmes régionaux. </w:t>
      </w:r>
    </w:p>
  </w:footnote>
  <w:footnote w:id="2">
    <w:p w:rsidR="00D1792C" w:rsidRPr="00D1792C" w:rsidRDefault="00D1792C">
      <w:pPr>
        <w:pStyle w:val="FootnoteText"/>
        <w:rPr>
          <w:lang w:val="fr-BE"/>
        </w:rPr>
      </w:pPr>
      <w:r w:rsidRPr="00281425">
        <w:rPr>
          <w:rStyle w:val="FootnoteReference"/>
          <w:lang w:val="fr"/>
        </w:rPr>
        <w:footnoteRef/>
      </w:r>
      <w:r>
        <w:rPr>
          <w:lang w:val="fr"/>
        </w:rPr>
        <w:t xml:space="preserve"> Forum des États ACP des Caraïbes </w:t>
      </w:r>
    </w:p>
  </w:footnote>
  <w:footnote w:id="3">
    <w:p w:rsidR="00D1792C" w:rsidRPr="00D1792C" w:rsidRDefault="00D1792C" w:rsidP="00AD1C0A">
      <w:pPr>
        <w:pStyle w:val="FootnoteText"/>
        <w:rPr>
          <w:lang w:val="fr-BE"/>
        </w:rPr>
      </w:pPr>
      <w:r w:rsidRPr="00281425">
        <w:rPr>
          <w:rStyle w:val="FootnoteReference"/>
          <w:lang w:val="fr"/>
        </w:rPr>
        <w:footnoteRef/>
      </w:r>
      <w:r>
        <w:rPr>
          <w:lang w:val="fr"/>
        </w:rPr>
        <w:t xml:space="preserve"> Dans les trois CER, les procédures administratives ont causé d'importants retards dans le processus de recr</w:t>
      </w:r>
      <w:r>
        <w:rPr>
          <w:lang w:val="fr"/>
        </w:rPr>
        <w:t>u</w:t>
      </w:r>
      <w:r>
        <w:rPr>
          <w:lang w:val="fr"/>
        </w:rPr>
        <w:t xml:space="preserve">tement, ce qui a conduit à des difficultés majeures. </w:t>
      </w:r>
    </w:p>
  </w:footnote>
  <w:footnote w:id="4">
    <w:p w:rsidR="00D1792C" w:rsidRPr="00D1792C" w:rsidRDefault="00D1792C" w:rsidP="00231F1A">
      <w:pPr>
        <w:pStyle w:val="FootnoteText"/>
        <w:rPr>
          <w:lang w:val="fr-BE"/>
        </w:rPr>
      </w:pPr>
      <w:r w:rsidRPr="00281425">
        <w:rPr>
          <w:rStyle w:val="FootnoteReference"/>
          <w:lang w:val="fr"/>
        </w:rPr>
        <w:footnoteRef/>
      </w:r>
      <w:r>
        <w:rPr>
          <w:lang w:val="fr"/>
        </w:rPr>
        <w:t xml:space="preserve"> À savoir les pays les moins avancés (PMA) et les petits États insulaires en développement (PEID).</w:t>
      </w:r>
    </w:p>
  </w:footnote>
  <w:footnote w:id="5">
    <w:p w:rsidR="00D1792C" w:rsidRPr="00D1792C" w:rsidRDefault="00D1792C" w:rsidP="00C74D2B">
      <w:pPr>
        <w:pStyle w:val="FootnoteText"/>
        <w:rPr>
          <w:lang w:val="fr-BE"/>
        </w:rPr>
      </w:pPr>
      <w:r w:rsidRPr="00281425">
        <w:rPr>
          <w:rStyle w:val="FootnoteReference"/>
          <w:lang w:val="fr"/>
        </w:rPr>
        <w:footnoteRef/>
      </w:r>
      <w:r>
        <w:rPr>
          <w:lang w:val="fr"/>
        </w:rPr>
        <w:t xml:space="preserve"> Irlande, Suède, Estonie, Chypre et République tchèque.</w:t>
      </w:r>
    </w:p>
  </w:footnote>
  <w:footnote w:id="6">
    <w:p w:rsidR="00D1792C" w:rsidRPr="00D1792C" w:rsidRDefault="00D1792C" w:rsidP="008B4A5F">
      <w:pPr>
        <w:pStyle w:val="FootnoteText"/>
        <w:rPr>
          <w:lang w:val="fr-BE"/>
        </w:rPr>
      </w:pPr>
      <w:r w:rsidRPr="00281425">
        <w:rPr>
          <w:rStyle w:val="FootnoteReference"/>
          <w:lang w:val="fr"/>
        </w:rPr>
        <w:footnoteRef/>
      </w:r>
      <w:r>
        <w:rPr>
          <w:lang w:val="fr"/>
        </w:rPr>
        <w:t xml:space="preserve"> L'expression « pays en développement pauvres et les plus vulnérables aux changements climatiques » est tirée de l'objectif de l'AMCC tel qu'il est défini dans la communication de la Commission au Conseil et au Parlement européen « Construire une alliance mondiale contre le changement climatique entre l'Union européenne et les pays en développement pauvres et les plus vulnérables au changement climatique » (CE, 2007). Elle renvoie aux pays les moins avancés (PMA) et aux petits États insulaires en développement (PEID) les plus vulnérables aux changements climatiques.</w:t>
      </w:r>
    </w:p>
    <w:p w:rsidR="00D1792C" w:rsidRPr="00D1792C" w:rsidRDefault="00D1792C" w:rsidP="008B4A5F">
      <w:pPr>
        <w:pStyle w:val="FootnoteText"/>
        <w:rPr>
          <w:lang w:val="fr-BE"/>
        </w:rPr>
      </w:pPr>
    </w:p>
  </w:footnote>
  <w:footnote w:id="7">
    <w:p w:rsidR="00D1792C" w:rsidRPr="00D1792C" w:rsidRDefault="00D1792C" w:rsidP="00957644">
      <w:pPr>
        <w:pStyle w:val="FootnoteText"/>
        <w:rPr>
          <w:lang w:val="fr-BE"/>
        </w:rPr>
      </w:pPr>
      <w:r w:rsidRPr="00281425">
        <w:rPr>
          <w:rStyle w:val="FootnoteReference"/>
          <w:lang w:val="fr"/>
        </w:rPr>
        <w:footnoteRef/>
      </w:r>
      <w:r>
        <w:rPr>
          <w:lang w:val="fr"/>
        </w:rPr>
        <w:t xml:space="preserve"> </w:t>
      </w:r>
      <w:hyperlink r:id="rId1" w:history="1">
        <w:r>
          <w:rPr>
            <w:rStyle w:val="Hyperlink"/>
            <w:lang w:val="fr"/>
          </w:rPr>
          <w:t>http://www.climatechange2014.org</w:t>
        </w:r>
      </w:hyperlink>
      <w:r>
        <w:rPr>
          <w:lang w:val="fr"/>
        </w:rPr>
        <w:t xml:space="preserve"> </w:t>
      </w:r>
    </w:p>
  </w:footnote>
  <w:footnote w:id="8">
    <w:p w:rsidR="00D1792C" w:rsidRPr="00D1792C" w:rsidRDefault="00D1792C" w:rsidP="00960D75">
      <w:pPr>
        <w:pStyle w:val="FootnoteText"/>
        <w:rPr>
          <w:lang w:val="fr-BE"/>
        </w:rPr>
      </w:pPr>
      <w:r w:rsidRPr="00281425">
        <w:rPr>
          <w:rStyle w:val="FootnoteReference"/>
          <w:lang w:val="fr"/>
        </w:rPr>
        <w:footnoteRef/>
      </w:r>
      <w:hyperlink r:id="rId2" w:history="1">
        <w:r>
          <w:rPr>
            <w:rStyle w:val="Hyperlink"/>
            <w:lang w:val="fr"/>
          </w:rPr>
          <w:t>http://www.bvsde.paho.org/bvsacd/cd68/ClimAfrica.pdf</w:t>
        </w:r>
      </w:hyperlink>
      <w:r>
        <w:rPr>
          <w:lang w:val="fr"/>
        </w:rPr>
        <w:t>, « Climate Change in Eastern and Southern Africa : Impacts, Vulnerability and Adaptation » (Le changement climatique en Afrique australe et orientale : inc</w:t>
      </w:r>
      <w:r>
        <w:rPr>
          <w:lang w:val="fr"/>
        </w:rPr>
        <w:t>i</w:t>
      </w:r>
      <w:r>
        <w:rPr>
          <w:lang w:val="fr"/>
        </w:rPr>
        <w:t xml:space="preserve">dences, vulnérabilité et adaptation), Département de sociologie et de géographie humaine de l'université d'Oslo (2008). </w:t>
      </w:r>
    </w:p>
  </w:footnote>
  <w:footnote w:id="9">
    <w:p w:rsidR="00D1792C" w:rsidRPr="00D1792C" w:rsidRDefault="00D1792C">
      <w:pPr>
        <w:pStyle w:val="FootnoteText"/>
        <w:rPr>
          <w:lang w:val="fr-BE"/>
        </w:rPr>
      </w:pPr>
      <w:r w:rsidRPr="00281425">
        <w:rPr>
          <w:rStyle w:val="FootnoteReference"/>
          <w:lang w:val="fr"/>
        </w:rPr>
        <w:footnoteRef/>
      </w:r>
      <w:hyperlink r:id="rId3" w:history="1">
        <w:r>
          <w:rPr>
            <w:rStyle w:val="Hyperlink"/>
            <w:lang w:val="fr"/>
          </w:rPr>
          <w:t>http://www.unep.org/disastersandconflicts/Introduction/EnvironmentalCooperationforPeacebuilding/EnvironmentalDiplomacy/SahelReport/tabid/55812/Default.aspx</w:t>
        </w:r>
      </w:hyperlink>
      <w:r>
        <w:rPr>
          <w:lang w:val="fr"/>
        </w:rPr>
        <w:t xml:space="preserve"> </w:t>
      </w:r>
    </w:p>
  </w:footnote>
  <w:footnote w:id="10">
    <w:p w:rsidR="00D1792C" w:rsidRPr="00D1792C" w:rsidRDefault="00D1792C">
      <w:pPr>
        <w:pStyle w:val="FootnoteText"/>
        <w:rPr>
          <w:lang w:val="fr-BE"/>
        </w:rPr>
      </w:pPr>
      <w:r w:rsidRPr="00281425">
        <w:rPr>
          <w:rStyle w:val="FootnoteReference"/>
          <w:lang w:val="fr"/>
        </w:rPr>
        <w:footnoteRef/>
      </w:r>
      <w:r>
        <w:rPr>
          <w:lang w:val="fr"/>
        </w:rPr>
        <w:t xml:space="preserve"> Le Forum des États ACP des Caraïbes (CARIFORUM) est un organisme qui rassemble les États ACP des Caraïbes dans le but de promouvoir et de coordonner le dialogue politique, la coopération et l'intégration régi</w:t>
      </w:r>
      <w:r>
        <w:rPr>
          <w:lang w:val="fr"/>
        </w:rPr>
        <w:t>o</w:t>
      </w:r>
      <w:r>
        <w:rPr>
          <w:lang w:val="fr"/>
        </w:rPr>
        <w:t>nale, principalement dans le cadre de l'</w:t>
      </w:r>
      <w:hyperlink r:id="rId4" w:history="1">
        <w:r>
          <w:rPr>
            <w:rStyle w:val="Hyperlink"/>
            <w:lang w:val="fr"/>
          </w:rPr>
          <w:t>accord de Cotonou entre les pays ACP et l'Union européenne</w:t>
        </w:r>
      </w:hyperlink>
      <w:r>
        <w:rPr>
          <w:lang w:val="fr"/>
        </w:rPr>
        <w:t>, mais aussi de l'</w:t>
      </w:r>
      <w:hyperlink r:id="rId5" w:history="1">
        <w:r>
          <w:rPr>
            <w:rStyle w:val="Hyperlink"/>
            <w:lang w:val="fr"/>
          </w:rPr>
          <w:t>accord de partenariat économique (APE) entre le CARIFORUM et la Communauté européenne</w:t>
        </w:r>
        <w:r>
          <w:rPr>
            <w:rStyle w:val="Hyperlink"/>
            <w:u w:val="none"/>
            <w:lang w:val="fr"/>
          </w:rPr>
          <w:t>.</w:t>
        </w:r>
      </w:hyperlink>
      <w:r>
        <w:rPr>
          <w:lang w:val="fr"/>
        </w:rPr>
        <w:t xml:space="preserve"> L'</w:t>
      </w:r>
      <w:hyperlink r:id="rId6" w:history="1">
        <w:r>
          <w:rPr>
            <w:rStyle w:val="Hyperlink"/>
            <w:lang w:val="fr"/>
          </w:rPr>
          <w:t>Unité de mise en œuvre de l'APE</w:t>
        </w:r>
      </w:hyperlink>
      <w:r>
        <w:rPr>
          <w:lang w:val="fr"/>
        </w:rPr>
        <w:t xml:space="preserve"> dépend de la direction du CARIFORUM, établie au siège du Secrétariat du CARICOM.</w:t>
      </w:r>
    </w:p>
  </w:footnote>
  <w:footnote w:id="11">
    <w:p w:rsidR="00D1792C" w:rsidRPr="00D1792C" w:rsidRDefault="00D1792C">
      <w:pPr>
        <w:pStyle w:val="FootnoteText"/>
        <w:rPr>
          <w:lang w:val="fr-BE"/>
        </w:rPr>
      </w:pPr>
      <w:r w:rsidRPr="00281425">
        <w:rPr>
          <w:rStyle w:val="FootnoteReference"/>
          <w:lang w:val="fr"/>
        </w:rPr>
        <w:footnoteRef/>
      </w:r>
      <w:r>
        <w:rPr>
          <w:lang w:val="fr"/>
        </w:rPr>
        <w:t xml:space="preserve"> Le problème est que, trois bailleurs de fonds – l'UE, le ministère britannique du développement international (DFID) et la Norvège – ayant commencé à soutenir le programme à des moments différents, des exigences su</w:t>
      </w:r>
      <w:r>
        <w:rPr>
          <w:lang w:val="fr"/>
        </w:rPr>
        <w:t>p</w:t>
      </w:r>
      <w:r>
        <w:rPr>
          <w:lang w:val="fr"/>
        </w:rPr>
        <w:t>plémentaires se sont ajoutées en matière d'établissement de rapports.</w:t>
      </w:r>
    </w:p>
  </w:footnote>
  <w:footnote w:id="12">
    <w:p w:rsidR="00D1792C" w:rsidRPr="00D1792C" w:rsidRDefault="00D1792C" w:rsidP="00AD5369">
      <w:pPr>
        <w:widowControl w:val="0"/>
        <w:spacing w:after="0" w:line="240" w:lineRule="auto"/>
        <w:ind w:right="57"/>
        <w:contextualSpacing/>
        <w:rPr>
          <w:sz w:val="20"/>
          <w:lang w:val="fr-BE"/>
        </w:rPr>
      </w:pPr>
      <w:r w:rsidRPr="00281425">
        <w:rPr>
          <w:rStyle w:val="FootnoteReference"/>
          <w:sz w:val="20"/>
          <w:lang w:val="fr"/>
        </w:rPr>
        <w:footnoteRef/>
      </w:r>
      <w:r>
        <w:rPr>
          <w:sz w:val="20"/>
          <w:lang w:val="fr"/>
        </w:rPr>
        <w:t xml:space="preserve"> Les termes de référence de l'évaluation du Programme intra-ACP de l'AMCC stipulent que </w:t>
      </w:r>
      <w:r>
        <w:rPr>
          <w:i/>
          <w:iCs/>
          <w:sz w:val="20"/>
          <w:lang w:val="fr"/>
        </w:rPr>
        <w:t>« l'accord au point d'achèvement (d'environ 5 pages) sera spécifique au Programme intra-ACP de l'AMCC et résumera les conclusions et les recommandations communes à la Commission européenne et au Secrétariat ACP. Il reprendra les principales reco</w:t>
      </w:r>
      <w:r>
        <w:rPr>
          <w:i/>
          <w:iCs/>
          <w:sz w:val="20"/>
          <w:lang w:val="fr"/>
        </w:rPr>
        <w:t>m</w:t>
      </w:r>
      <w:r>
        <w:rPr>
          <w:i/>
          <w:iCs/>
          <w:sz w:val="20"/>
          <w:lang w:val="fr"/>
        </w:rPr>
        <w:t>mandations du rapport final d'évaluation une par une, et indiquera clairement les mesures concrètes qui seront prises pour les mettre en œuvre »</w:t>
      </w:r>
      <w:r>
        <w:rPr>
          <w:sz w:val="20"/>
          <w:lang w:val="fr"/>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792C" w:rsidRDefault="00D1792C" w:rsidP="002E7FEC">
    <w:pPr>
      <w:pStyle w:val="Header"/>
      <w:tabs>
        <w:tab w:val="clear" w:pos="9360"/>
        <w:tab w:val="left" w:pos="9045"/>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F515D"/>
    <w:multiLevelType w:val="hybridMultilevel"/>
    <w:tmpl w:val="E864EC22"/>
    <w:lvl w:ilvl="0" w:tplc="5388EB1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27B5F7B"/>
    <w:multiLevelType w:val="multilevel"/>
    <w:tmpl w:val="C268C432"/>
    <w:lvl w:ilvl="0">
      <w:start w:val="2"/>
      <w:numFmt w:val="decimal"/>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nsid w:val="0C303773"/>
    <w:multiLevelType w:val="hybridMultilevel"/>
    <w:tmpl w:val="FFAE77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051BD1"/>
    <w:multiLevelType w:val="hybridMultilevel"/>
    <w:tmpl w:val="11C40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7462C6"/>
    <w:multiLevelType w:val="hybridMultilevel"/>
    <w:tmpl w:val="CC684C94"/>
    <w:lvl w:ilvl="0" w:tplc="B56228C0">
      <w:start w:val="1"/>
      <w:numFmt w:val="decimal"/>
      <w:lvlText w:val="%1)"/>
      <w:lvlJc w:val="left"/>
      <w:pPr>
        <w:ind w:left="375" w:hanging="37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78A38F7"/>
    <w:multiLevelType w:val="hybridMultilevel"/>
    <w:tmpl w:val="71DC5F36"/>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8D42992"/>
    <w:multiLevelType w:val="hybridMultilevel"/>
    <w:tmpl w:val="12F6E91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nsid w:val="1AA90826"/>
    <w:multiLevelType w:val="hybridMultilevel"/>
    <w:tmpl w:val="FB243918"/>
    <w:lvl w:ilvl="0" w:tplc="3B6CF3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E3049AC"/>
    <w:multiLevelType w:val="hybridMultilevel"/>
    <w:tmpl w:val="3C760D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0742A14"/>
    <w:multiLevelType w:val="hybridMultilevel"/>
    <w:tmpl w:val="F5D21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0A212A7"/>
    <w:multiLevelType w:val="hybridMultilevel"/>
    <w:tmpl w:val="9DC05854"/>
    <w:lvl w:ilvl="0" w:tplc="86A0EEEC">
      <w:start w:val="1"/>
      <w:numFmt w:val="bullet"/>
      <w:pStyle w:val="reportbullets"/>
      <w:lvlText w:val=""/>
      <w:lvlJc w:val="left"/>
      <w:pPr>
        <w:tabs>
          <w:tab w:val="num" w:pos="360"/>
        </w:tabs>
        <w:ind w:left="180" w:hanging="180"/>
      </w:pPr>
      <w:rPr>
        <w:rFonts w:ascii="Symbol" w:hAnsi="Symbol" w:cs="Times New Roman" w:hint="default"/>
      </w:rPr>
    </w:lvl>
    <w:lvl w:ilvl="1" w:tplc="04090003">
      <w:start w:val="1"/>
      <w:numFmt w:val="bullet"/>
      <w:lvlText w:val="o"/>
      <w:lvlJc w:val="left"/>
      <w:pPr>
        <w:tabs>
          <w:tab w:val="num" w:pos="1440"/>
        </w:tabs>
        <w:ind w:left="1440" w:hanging="360"/>
      </w:pPr>
      <w:rPr>
        <w:rFonts w:ascii="Courier" w:hAnsi="Courier" w:cs="Times New Roman" w:hint="default"/>
      </w:rPr>
    </w:lvl>
    <w:lvl w:ilvl="2" w:tplc="04090005">
      <w:start w:val="1"/>
      <w:numFmt w:val="bullet"/>
      <w:lvlText w:val=""/>
      <w:lvlJc w:val="left"/>
      <w:pPr>
        <w:tabs>
          <w:tab w:val="num" w:pos="2160"/>
        </w:tabs>
        <w:ind w:left="2160" w:hanging="360"/>
      </w:pPr>
      <w:rPr>
        <w:rFonts w:ascii="Symbol" w:hAnsi="Symbol"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w:hAnsi="Courier" w:cs="Times New Roman" w:hint="default"/>
      </w:rPr>
    </w:lvl>
    <w:lvl w:ilvl="5" w:tplc="04090005">
      <w:start w:val="1"/>
      <w:numFmt w:val="bullet"/>
      <w:lvlText w:val=""/>
      <w:lvlJc w:val="left"/>
      <w:pPr>
        <w:tabs>
          <w:tab w:val="num" w:pos="4320"/>
        </w:tabs>
        <w:ind w:left="4320" w:hanging="360"/>
      </w:pPr>
      <w:rPr>
        <w:rFonts w:ascii="Symbol" w:hAnsi="Symbol"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w:hAnsi="Courier" w:cs="Times New Roman" w:hint="default"/>
      </w:rPr>
    </w:lvl>
    <w:lvl w:ilvl="8" w:tplc="04090005">
      <w:start w:val="1"/>
      <w:numFmt w:val="bullet"/>
      <w:lvlText w:val=""/>
      <w:lvlJc w:val="left"/>
      <w:pPr>
        <w:tabs>
          <w:tab w:val="num" w:pos="6480"/>
        </w:tabs>
        <w:ind w:left="6480" w:hanging="360"/>
      </w:pPr>
      <w:rPr>
        <w:rFonts w:ascii="Symbol" w:hAnsi="Symbol" w:cs="Times New Roman" w:hint="default"/>
      </w:rPr>
    </w:lvl>
  </w:abstractNum>
  <w:abstractNum w:abstractNumId="11">
    <w:nsid w:val="20D53850"/>
    <w:multiLevelType w:val="multilevel"/>
    <w:tmpl w:val="147668B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23006689"/>
    <w:multiLevelType w:val="hybridMultilevel"/>
    <w:tmpl w:val="098EF5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5FE2FBC"/>
    <w:multiLevelType w:val="hybridMultilevel"/>
    <w:tmpl w:val="ACA6FD1A"/>
    <w:lvl w:ilvl="0" w:tplc="515CAD1A">
      <w:start w:val="1"/>
      <w:numFmt w:val="bullet"/>
      <w:lvlText w:val=""/>
      <w:lvlJc w:val="left"/>
      <w:pPr>
        <w:ind w:left="720" w:hanging="360"/>
      </w:pPr>
      <w:rPr>
        <w:rFonts w:ascii="Symbol" w:hAnsi="Symbol" w:hint="default"/>
        <w:lang w:val="en-AU"/>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6A679A5"/>
    <w:multiLevelType w:val="hybridMultilevel"/>
    <w:tmpl w:val="36E65CF0"/>
    <w:lvl w:ilvl="0" w:tplc="411644DC">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C575308"/>
    <w:multiLevelType w:val="hybridMultilevel"/>
    <w:tmpl w:val="32E8609E"/>
    <w:lvl w:ilvl="0" w:tplc="5BF42094">
      <w:numFmt w:val="bullet"/>
      <w:lvlText w:val="-"/>
      <w:lvlJc w:val="left"/>
      <w:pPr>
        <w:ind w:left="927"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DAD1443"/>
    <w:multiLevelType w:val="multilevel"/>
    <w:tmpl w:val="27D0CCEA"/>
    <w:lvl w:ilvl="0">
      <w:start w:val="1"/>
      <w:numFmt w:val="decimal"/>
      <w:lvlText w:val="%1."/>
      <w:lvlJc w:val="left"/>
      <w:pPr>
        <w:ind w:left="432" w:hanging="432"/>
      </w:pPr>
      <w:rPr>
        <w:rFonts w:hint="default"/>
      </w:rPr>
    </w:lvl>
    <w:lvl w:ilvl="1">
      <w:start w:val="2"/>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nsid w:val="348B7CCA"/>
    <w:multiLevelType w:val="multilevel"/>
    <w:tmpl w:val="574428E6"/>
    <w:lvl w:ilvl="0">
      <w:start w:val="5"/>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nsid w:val="35BE72EF"/>
    <w:multiLevelType w:val="hybridMultilevel"/>
    <w:tmpl w:val="EAF677D2"/>
    <w:lvl w:ilvl="0" w:tplc="B56228C0">
      <w:start w:val="1"/>
      <w:numFmt w:val="decimal"/>
      <w:lvlText w:val="%1)"/>
      <w:lvlJc w:val="left"/>
      <w:pPr>
        <w:ind w:left="375" w:hanging="37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3CF00E18"/>
    <w:multiLevelType w:val="singleLevel"/>
    <w:tmpl w:val="4E1A982C"/>
    <w:lvl w:ilvl="0">
      <w:start w:val="1"/>
      <w:numFmt w:val="bullet"/>
      <w:pStyle w:val="ListBullet"/>
      <w:lvlText w:val=""/>
      <w:lvlJc w:val="left"/>
      <w:pPr>
        <w:tabs>
          <w:tab w:val="num" w:pos="283"/>
        </w:tabs>
        <w:ind w:left="283" w:hanging="283"/>
      </w:pPr>
      <w:rPr>
        <w:rFonts w:ascii="Symbol" w:hAnsi="Symbol" w:cs="Symbol"/>
      </w:rPr>
    </w:lvl>
  </w:abstractNum>
  <w:abstractNum w:abstractNumId="21">
    <w:nsid w:val="3E644051"/>
    <w:multiLevelType w:val="hybridMultilevel"/>
    <w:tmpl w:val="7A36F0AA"/>
    <w:lvl w:ilvl="0" w:tplc="60E46364">
      <w:start w:val="1"/>
      <w:numFmt w:val="decimal"/>
      <w:lvlText w:val="%1."/>
      <w:lvlJc w:val="left"/>
      <w:pPr>
        <w:ind w:left="360" w:hanging="360"/>
      </w:pPr>
      <w:rPr>
        <w:rFonts w:hint="default"/>
        <w: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41FA66AC"/>
    <w:multiLevelType w:val="hybridMultilevel"/>
    <w:tmpl w:val="AB2429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67B13D7"/>
    <w:multiLevelType w:val="hybridMultilevel"/>
    <w:tmpl w:val="AC06EA9C"/>
    <w:name w:val="4.12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nsid w:val="480E784B"/>
    <w:multiLevelType w:val="hybridMultilevel"/>
    <w:tmpl w:val="40AA44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Symbo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Symbol"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4DAA3F85"/>
    <w:multiLevelType w:val="hybridMultilevel"/>
    <w:tmpl w:val="A0E638BA"/>
    <w:lvl w:ilvl="0" w:tplc="E3EC75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FCB6BF5"/>
    <w:multiLevelType w:val="hybridMultilevel"/>
    <w:tmpl w:val="7FBA6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41503E8"/>
    <w:multiLevelType w:val="hybridMultilevel"/>
    <w:tmpl w:val="991C4A1C"/>
    <w:lvl w:ilvl="0" w:tplc="9438CAA4">
      <w:start w:val="1"/>
      <w:numFmt w:val="bullet"/>
      <w:lvlText w:val=""/>
      <w:lvlJc w:val="left"/>
      <w:pPr>
        <w:ind w:left="360" w:hanging="360"/>
      </w:pPr>
      <w:rPr>
        <w:rFonts w:ascii="Symbol" w:hAnsi="Symbol" w:hint="default"/>
        <w:lang w:val="en-CA"/>
      </w:rPr>
    </w:lvl>
    <w:lvl w:ilvl="1" w:tplc="04090003">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56CB7918"/>
    <w:multiLevelType w:val="hybridMultilevel"/>
    <w:tmpl w:val="CB18E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74942D5"/>
    <w:multiLevelType w:val="hybridMultilevel"/>
    <w:tmpl w:val="9DE6FC2A"/>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8CA762E"/>
    <w:multiLevelType w:val="hybridMultilevel"/>
    <w:tmpl w:val="3C82D42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nsid w:val="5B4070CF"/>
    <w:multiLevelType w:val="multilevel"/>
    <w:tmpl w:val="5590DB6A"/>
    <w:styleLink w:val="StyleNumbered"/>
    <w:lvl w:ilvl="0">
      <w:start w:val="1"/>
      <w:numFmt w:val="decimal"/>
      <w:lvlText w:val="%1)"/>
      <w:lvlJc w:val="left"/>
      <w:pPr>
        <w:tabs>
          <w:tab w:val="num" w:pos="794"/>
        </w:tabs>
        <w:ind w:left="794" w:hanging="397"/>
      </w:pPr>
      <w:rPr>
        <w:rFonts w:ascii="Arial" w:hAnsi="Arial" w:cs="Arial" w:hint="default"/>
        <w:sz w:val="22"/>
        <w:szCs w:val="22"/>
      </w:rPr>
    </w:lvl>
    <w:lvl w:ilvl="1">
      <w:start w:val="1"/>
      <w:numFmt w:val="lowerLetter"/>
      <w:lvlText w:val="%2."/>
      <w:lvlJc w:val="left"/>
      <w:pPr>
        <w:tabs>
          <w:tab w:val="num" w:pos="1191"/>
        </w:tabs>
        <w:ind w:left="1191" w:hanging="397"/>
      </w:pPr>
      <w:rPr>
        <w:rFonts w:hint="default"/>
      </w:rPr>
    </w:lvl>
    <w:lvl w:ilvl="2">
      <w:start w:val="1"/>
      <w:numFmt w:val="lowerRoman"/>
      <w:lvlText w:val="%3."/>
      <w:lvlJc w:val="right"/>
      <w:pPr>
        <w:tabs>
          <w:tab w:val="num" w:pos="2367"/>
        </w:tabs>
        <w:ind w:left="2367" w:hanging="180"/>
      </w:pPr>
      <w:rPr>
        <w:rFonts w:hint="default"/>
      </w:rPr>
    </w:lvl>
    <w:lvl w:ilvl="3">
      <w:start w:val="1"/>
      <w:numFmt w:val="decimal"/>
      <w:lvlText w:val="%4."/>
      <w:lvlJc w:val="left"/>
      <w:pPr>
        <w:tabs>
          <w:tab w:val="num" w:pos="3087"/>
        </w:tabs>
        <w:ind w:left="3087" w:hanging="360"/>
      </w:pPr>
      <w:rPr>
        <w:rFonts w:hint="default"/>
      </w:rPr>
    </w:lvl>
    <w:lvl w:ilvl="4">
      <w:start w:val="1"/>
      <w:numFmt w:val="lowerLetter"/>
      <w:lvlText w:val="%5."/>
      <w:lvlJc w:val="left"/>
      <w:pPr>
        <w:tabs>
          <w:tab w:val="num" w:pos="3807"/>
        </w:tabs>
        <w:ind w:left="3807" w:hanging="360"/>
      </w:pPr>
      <w:rPr>
        <w:rFonts w:hint="default"/>
      </w:rPr>
    </w:lvl>
    <w:lvl w:ilvl="5">
      <w:start w:val="1"/>
      <w:numFmt w:val="lowerRoman"/>
      <w:lvlText w:val="%6."/>
      <w:lvlJc w:val="right"/>
      <w:pPr>
        <w:tabs>
          <w:tab w:val="num" w:pos="4527"/>
        </w:tabs>
        <w:ind w:left="4527" w:hanging="180"/>
      </w:pPr>
      <w:rPr>
        <w:rFonts w:hint="default"/>
      </w:rPr>
    </w:lvl>
    <w:lvl w:ilvl="6">
      <w:start w:val="1"/>
      <w:numFmt w:val="decimal"/>
      <w:lvlText w:val="%7."/>
      <w:lvlJc w:val="left"/>
      <w:pPr>
        <w:tabs>
          <w:tab w:val="num" w:pos="5247"/>
        </w:tabs>
        <w:ind w:left="5247" w:hanging="360"/>
      </w:pPr>
      <w:rPr>
        <w:rFonts w:hint="default"/>
      </w:rPr>
    </w:lvl>
    <w:lvl w:ilvl="7">
      <w:start w:val="1"/>
      <w:numFmt w:val="lowerLetter"/>
      <w:lvlText w:val="%8."/>
      <w:lvlJc w:val="left"/>
      <w:pPr>
        <w:tabs>
          <w:tab w:val="num" w:pos="5967"/>
        </w:tabs>
        <w:ind w:left="5967" w:hanging="360"/>
      </w:pPr>
      <w:rPr>
        <w:rFonts w:hint="default"/>
      </w:rPr>
    </w:lvl>
    <w:lvl w:ilvl="8">
      <w:start w:val="1"/>
      <w:numFmt w:val="lowerRoman"/>
      <w:lvlText w:val="%9."/>
      <w:lvlJc w:val="right"/>
      <w:pPr>
        <w:tabs>
          <w:tab w:val="num" w:pos="6687"/>
        </w:tabs>
        <w:ind w:left="6687" w:hanging="180"/>
      </w:pPr>
      <w:rPr>
        <w:rFonts w:hint="default"/>
      </w:rPr>
    </w:lvl>
  </w:abstractNum>
  <w:abstractNum w:abstractNumId="32">
    <w:nsid w:val="5F1503F6"/>
    <w:multiLevelType w:val="hybridMultilevel"/>
    <w:tmpl w:val="6C3A4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7AD360F"/>
    <w:multiLevelType w:val="multilevel"/>
    <w:tmpl w:val="DD1C18BC"/>
    <w:lvl w:ilvl="0">
      <w:start w:val="1"/>
      <w:numFmt w:val="decimal"/>
      <w:lvlText w:val="%1"/>
      <w:lvlJc w:val="left"/>
      <w:pPr>
        <w:ind w:left="432" w:hanging="432"/>
      </w:pPr>
      <w:rPr>
        <w:rFonts w:hint="default"/>
      </w:rPr>
    </w:lvl>
    <w:lvl w:ilvl="1">
      <w:start w:val="2"/>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4">
    <w:nsid w:val="67B5595B"/>
    <w:multiLevelType w:val="hybridMultilevel"/>
    <w:tmpl w:val="76DA093C"/>
    <w:lvl w:ilvl="0" w:tplc="04090003">
      <w:start w:val="1"/>
      <w:numFmt w:val="bullet"/>
      <w:lvlText w:val="o"/>
      <w:lvlJc w:val="left"/>
      <w:pPr>
        <w:ind w:left="720" w:hanging="360"/>
      </w:pPr>
      <w:rPr>
        <w:rFonts w:ascii="Courier New" w:hAnsi="Courier New"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nsid w:val="697F7C79"/>
    <w:multiLevelType w:val="hybridMultilevel"/>
    <w:tmpl w:val="EAF677D2"/>
    <w:lvl w:ilvl="0" w:tplc="B56228C0">
      <w:start w:val="1"/>
      <w:numFmt w:val="decimal"/>
      <w:lvlText w:val="%1)"/>
      <w:lvlJc w:val="left"/>
      <w:pPr>
        <w:ind w:left="375" w:hanging="37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6A3700EB"/>
    <w:multiLevelType w:val="hybridMultilevel"/>
    <w:tmpl w:val="09D227BE"/>
    <w:lvl w:ilvl="0" w:tplc="C720B102">
      <w:start w:val="1"/>
      <w:numFmt w:val="decimal"/>
      <w:lvlText w:val="%1."/>
      <w:lvlJc w:val="left"/>
      <w:pPr>
        <w:ind w:left="417" w:hanging="360"/>
      </w:pPr>
      <w:rPr>
        <w:rFonts w:hint="default"/>
      </w:rPr>
    </w:lvl>
    <w:lvl w:ilvl="1" w:tplc="04090019" w:tentative="1">
      <w:start w:val="1"/>
      <w:numFmt w:val="lowerLetter"/>
      <w:lvlText w:val="%2."/>
      <w:lvlJc w:val="left"/>
      <w:pPr>
        <w:ind w:left="1137" w:hanging="360"/>
      </w:pPr>
    </w:lvl>
    <w:lvl w:ilvl="2" w:tplc="0409001B" w:tentative="1">
      <w:start w:val="1"/>
      <w:numFmt w:val="lowerRoman"/>
      <w:lvlText w:val="%3."/>
      <w:lvlJc w:val="right"/>
      <w:pPr>
        <w:ind w:left="1857" w:hanging="180"/>
      </w:pPr>
    </w:lvl>
    <w:lvl w:ilvl="3" w:tplc="0409000F" w:tentative="1">
      <w:start w:val="1"/>
      <w:numFmt w:val="decimal"/>
      <w:lvlText w:val="%4."/>
      <w:lvlJc w:val="left"/>
      <w:pPr>
        <w:ind w:left="2577" w:hanging="360"/>
      </w:pPr>
    </w:lvl>
    <w:lvl w:ilvl="4" w:tplc="04090019" w:tentative="1">
      <w:start w:val="1"/>
      <w:numFmt w:val="lowerLetter"/>
      <w:lvlText w:val="%5."/>
      <w:lvlJc w:val="left"/>
      <w:pPr>
        <w:ind w:left="3297" w:hanging="360"/>
      </w:pPr>
    </w:lvl>
    <w:lvl w:ilvl="5" w:tplc="0409001B" w:tentative="1">
      <w:start w:val="1"/>
      <w:numFmt w:val="lowerRoman"/>
      <w:lvlText w:val="%6."/>
      <w:lvlJc w:val="right"/>
      <w:pPr>
        <w:ind w:left="4017" w:hanging="180"/>
      </w:pPr>
    </w:lvl>
    <w:lvl w:ilvl="6" w:tplc="0409000F" w:tentative="1">
      <w:start w:val="1"/>
      <w:numFmt w:val="decimal"/>
      <w:lvlText w:val="%7."/>
      <w:lvlJc w:val="left"/>
      <w:pPr>
        <w:ind w:left="4737" w:hanging="360"/>
      </w:pPr>
    </w:lvl>
    <w:lvl w:ilvl="7" w:tplc="04090019" w:tentative="1">
      <w:start w:val="1"/>
      <w:numFmt w:val="lowerLetter"/>
      <w:lvlText w:val="%8."/>
      <w:lvlJc w:val="left"/>
      <w:pPr>
        <w:ind w:left="5457" w:hanging="360"/>
      </w:pPr>
    </w:lvl>
    <w:lvl w:ilvl="8" w:tplc="0409001B" w:tentative="1">
      <w:start w:val="1"/>
      <w:numFmt w:val="lowerRoman"/>
      <w:lvlText w:val="%9."/>
      <w:lvlJc w:val="right"/>
      <w:pPr>
        <w:ind w:left="6177" w:hanging="180"/>
      </w:pPr>
    </w:lvl>
  </w:abstractNum>
  <w:abstractNum w:abstractNumId="37">
    <w:nsid w:val="6AC85371"/>
    <w:multiLevelType w:val="hybridMultilevel"/>
    <w:tmpl w:val="85129C42"/>
    <w:lvl w:ilvl="0" w:tplc="5DC0FF82">
      <w:start w:val="1"/>
      <w:numFmt w:val="lowerRoman"/>
      <w:pStyle w:val="reportromannumberlist"/>
      <w:lvlText w:val="%1."/>
      <w:lvlJc w:val="left"/>
      <w:pPr>
        <w:tabs>
          <w:tab w:val="num" w:pos="360"/>
        </w:tabs>
      </w:pPr>
      <w:rPr>
        <w:rFonts w:ascii="Times New Roman" w:hAnsi="Times New Roman" w:cs="Times New Roman" w:hint="default"/>
        <w:b w:val="0"/>
      </w:rPr>
    </w:lvl>
    <w:lvl w:ilvl="1" w:tplc="04090003">
      <w:start w:val="1"/>
      <w:numFmt w:val="lowerLetter"/>
      <w:lvlText w:val="%2."/>
      <w:lvlJc w:val="left"/>
      <w:pPr>
        <w:tabs>
          <w:tab w:val="num" w:pos="1440"/>
        </w:tabs>
        <w:ind w:left="1440" w:hanging="360"/>
      </w:pPr>
      <w:rPr>
        <w:rFonts w:ascii="Times New Roman" w:hAnsi="Times New Roman" w:cs="Times New Roman"/>
      </w:rPr>
    </w:lvl>
    <w:lvl w:ilvl="2" w:tplc="04090005">
      <w:start w:val="1"/>
      <w:numFmt w:val="lowerRoman"/>
      <w:lvlText w:val="%3."/>
      <w:lvlJc w:val="right"/>
      <w:pPr>
        <w:tabs>
          <w:tab w:val="num" w:pos="2160"/>
        </w:tabs>
        <w:ind w:left="2160" w:hanging="180"/>
      </w:pPr>
      <w:rPr>
        <w:rFonts w:ascii="Times New Roman" w:hAnsi="Times New Roman" w:cs="Times New Roman"/>
      </w:rPr>
    </w:lvl>
    <w:lvl w:ilvl="3" w:tplc="04090001">
      <w:start w:val="1"/>
      <w:numFmt w:val="decimal"/>
      <w:lvlText w:val="%4."/>
      <w:lvlJc w:val="left"/>
      <w:pPr>
        <w:tabs>
          <w:tab w:val="num" w:pos="2880"/>
        </w:tabs>
        <w:ind w:left="2880" w:hanging="360"/>
      </w:pPr>
      <w:rPr>
        <w:rFonts w:ascii="Times New Roman" w:hAnsi="Times New Roman" w:cs="Times New Roman"/>
      </w:rPr>
    </w:lvl>
    <w:lvl w:ilvl="4" w:tplc="04090003">
      <w:start w:val="1"/>
      <w:numFmt w:val="lowerLetter"/>
      <w:lvlText w:val="%5."/>
      <w:lvlJc w:val="left"/>
      <w:pPr>
        <w:tabs>
          <w:tab w:val="num" w:pos="3600"/>
        </w:tabs>
        <w:ind w:left="3600" w:hanging="360"/>
      </w:pPr>
      <w:rPr>
        <w:rFonts w:ascii="Times New Roman" w:hAnsi="Times New Roman" w:cs="Times New Roman"/>
      </w:rPr>
    </w:lvl>
    <w:lvl w:ilvl="5" w:tplc="04090005">
      <w:start w:val="1"/>
      <w:numFmt w:val="lowerRoman"/>
      <w:lvlText w:val="%6."/>
      <w:lvlJc w:val="right"/>
      <w:pPr>
        <w:tabs>
          <w:tab w:val="num" w:pos="4320"/>
        </w:tabs>
        <w:ind w:left="4320" w:hanging="180"/>
      </w:pPr>
      <w:rPr>
        <w:rFonts w:ascii="Times New Roman" w:hAnsi="Times New Roman" w:cs="Times New Roman"/>
      </w:rPr>
    </w:lvl>
    <w:lvl w:ilvl="6" w:tplc="04090001">
      <w:start w:val="1"/>
      <w:numFmt w:val="decimal"/>
      <w:lvlText w:val="%7."/>
      <w:lvlJc w:val="left"/>
      <w:pPr>
        <w:tabs>
          <w:tab w:val="num" w:pos="5040"/>
        </w:tabs>
        <w:ind w:left="5040" w:hanging="360"/>
      </w:pPr>
      <w:rPr>
        <w:rFonts w:ascii="Times New Roman" w:hAnsi="Times New Roman" w:cs="Times New Roman"/>
      </w:rPr>
    </w:lvl>
    <w:lvl w:ilvl="7" w:tplc="04090003">
      <w:start w:val="1"/>
      <w:numFmt w:val="lowerLetter"/>
      <w:lvlText w:val="%8."/>
      <w:lvlJc w:val="left"/>
      <w:pPr>
        <w:tabs>
          <w:tab w:val="num" w:pos="5760"/>
        </w:tabs>
        <w:ind w:left="5760" w:hanging="360"/>
      </w:pPr>
      <w:rPr>
        <w:rFonts w:ascii="Times New Roman" w:hAnsi="Times New Roman" w:cs="Times New Roman"/>
      </w:rPr>
    </w:lvl>
    <w:lvl w:ilvl="8" w:tplc="04090005">
      <w:start w:val="1"/>
      <w:numFmt w:val="lowerRoman"/>
      <w:lvlText w:val="%9."/>
      <w:lvlJc w:val="right"/>
      <w:pPr>
        <w:tabs>
          <w:tab w:val="num" w:pos="6480"/>
        </w:tabs>
        <w:ind w:left="6480" w:hanging="180"/>
      </w:pPr>
      <w:rPr>
        <w:rFonts w:ascii="Times New Roman" w:hAnsi="Times New Roman" w:cs="Times New Roman"/>
      </w:rPr>
    </w:lvl>
  </w:abstractNum>
  <w:abstractNum w:abstractNumId="38">
    <w:nsid w:val="6E4B7E35"/>
    <w:multiLevelType w:val="hybridMultilevel"/>
    <w:tmpl w:val="53320304"/>
    <w:lvl w:ilvl="0" w:tplc="2610AC1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FE2070C"/>
    <w:multiLevelType w:val="hybridMultilevel"/>
    <w:tmpl w:val="13560DF4"/>
    <w:lvl w:ilvl="0" w:tplc="97A64652">
      <w:start w:val="1"/>
      <w:numFmt w:val="lowerRoman"/>
      <w:lvlText w:val="%1."/>
      <w:lvlJc w:val="right"/>
      <w:pPr>
        <w:ind w:left="720" w:hanging="360"/>
      </w:pPr>
      <w:rPr>
        <w:b w:val="0"/>
        <w:i w:val="0"/>
        <w:caps w:val="0"/>
        <w:strike w:val="0"/>
        <w:dstrike w:val="0"/>
        <w:vanish w:val="0"/>
        <w:webHidden w:val="0"/>
        <w:color w:val="000000"/>
        <w:sz w:val="24"/>
        <w:u w:val="none"/>
        <w:effect w:val="none"/>
        <w:vertAlign w:val="baseline"/>
        <w:specVanish w:val="0"/>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40">
    <w:nsid w:val="76167302"/>
    <w:multiLevelType w:val="hybridMultilevel"/>
    <w:tmpl w:val="53E605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8854AC7"/>
    <w:multiLevelType w:val="hybridMultilevel"/>
    <w:tmpl w:val="F2E029BC"/>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8C72BE0"/>
    <w:multiLevelType w:val="multilevel"/>
    <w:tmpl w:val="7A6856A2"/>
    <w:lvl w:ilvl="0">
      <w:start w:val="5"/>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3">
    <w:nsid w:val="7BBF1B81"/>
    <w:multiLevelType w:val="hybridMultilevel"/>
    <w:tmpl w:val="2B001490"/>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F083BD8"/>
    <w:multiLevelType w:val="multilevel"/>
    <w:tmpl w:val="13644608"/>
    <w:lvl w:ilvl="0">
      <w:start w:val="1"/>
      <w:numFmt w:val="decimal"/>
      <w:lvlText w:val="%1"/>
      <w:lvlJc w:val="left"/>
      <w:pPr>
        <w:ind w:left="432" w:hanging="432"/>
      </w:pPr>
      <w:rPr>
        <w:rFonts w:hint="default"/>
      </w:rPr>
    </w:lvl>
    <w:lvl w:ilvl="1">
      <w:start w:val="2"/>
      <w:numFmt w:val="decimal"/>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num w:numId="1">
    <w:abstractNumId w:val="37"/>
  </w:num>
  <w:num w:numId="2">
    <w:abstractNumId w:val="33"/>
  </w:num>
  <w:num w:numId="3">
    <w:abstractNumId w:val="10"/>
  </w:num>
  <w:num w:numId="4">
    <w:abstractNumId w:val="20"/>
  </w:num>
  <w:num w:numId="5">
    <w:abstractNumId w:val="12"/>
  </w:num>
  <w:num w:numId="6">
    <w:abstractNumId w:val="31"/>
  </w:num>
  <w:num w:numId="7">
    <w:abstractNumId w:val="26"/>
  </w:num>
  <w:num w:numId="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3"/>
    <w:lvlOverride w:ilvl="0">
      <w:startOverride w:val="4"/>
    </w:lvlOverride>
    <w:lvlOverride w:ilvl="1">
      <w:startOverride w:val="1"/>
    </w:lvlOverride>
  </w:num>
  <w:num w:numId="10">
    <w:abstractNumId w:val="44"/>
  </w:num>
  <w:num w:numId="11">
    <w:abstractNumId w:val="1"/>
  </w:num>
  <w:num w:numId="12">
    <w:abstractNumId w:val="18"/>
  </w:num>
  <w:num w:numId="13">
    <w:abstractNumId w:val="11"/>
  </w:num>
  <w:num w:numId="14">
    <w:abstractNumId w:val="22"/>
  </w:num>
  <w:num w:numId="15">
    <w:abstractNumId w:val="30"/>
  </w:num>
  <w:num w:numId="16">
    <w:abstractNumId w:val="43"/>
  </w:num>
  <w:num w:numId="17">
    <w:abstractNumId w:val="14"/>
  </w:num>
  <w:num w:numId="18">
    <w:abstractNumId w:val="15"/>
  </w:num>
  <w:num w:numId="19">
    <w:abstractNumId w:val="29"/>
  </w:num>
  <w:num w:numId="20">
    <w:abstractNumId w:val="27"/>
  </w:num>
  <w:num w:numId="21">
    <w:abstractNumId w:val="32"/>
  </w:num>
  <w:num w:numId="22">
    <w:abstractNumId w:val="24"/>
  </w:num>
  <w:num w:numId="23">
    <w:abstractNumId w:val="3"/>
  </w:num>
  <w:num w:numId="24">
    <w:abstractNumId w:val="2"/>
  </w:num>
  <w:num w:numId="25">
    <w:abstractNumId w:val="9"/>
  </w:num>
  <w:num w:numId="26">
    <w:abstractNumId w:val="41"/>
  </w:num>
  <w:num w:numId="27">
    <w:abstractNumId w:val="6"/>
  </w:num>
  <w:num w:numId="28">
    <w:abstractNumId w:val="5"/>
  </w:num>
  <w:num w:numId="29">
    <w:abstractNumId w:val="28"/>
  </w:num>
  <w:num w:numId="30">
    <w:abstractNumId w:val="34"/>
  </w:num>
  <w:num w:numId="31">
    <w:abstractNumId w:val="40"/>
  </w:num>
  <w:num w:numId="3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4"/>
  </w:num>
  <w:num w:numId="34">
    <w:abstractNumId w:val="4"/>
  </w:num>
  <w:num w:numId="35">
    <w:abstractNumId w:val="35"/>
  </w:num>
  <w:num w:numId="36">
    <w:abstractNumId w:val="7"/>
  </w:num>
  <w:num w:numId="37">
    <w:abstractNumId w:val="19"/>
  </w:num>
  <w:num w:numId="38">
    <w:abstractNumId w:val="0"/>
  </w:num>
  <w:num w:numId="39">
    <w:abstractNumId w:val="25"/>
  </w:num>
  <w:num w:numId="40">
    <w:abstractNumId w:val="8"/>
  </w:num>
  <w:num w:numId="41">
    <w:abstractNumId w:val="38"/>
  </w:num>
  <w:num w:numId="42">
    <w:abstractNumId w:val="13"/>
  </w:num>
  <w:num w:numId="43">
    <w:abstractNumId w:val="1"/>
  </w:num>
  <w:num w:numId="44">
    <w:abstractNumId w:val="1"/>
  </w:num>
  <w:num w:numId="45">
    <w:abstractNumId w:val="42"/>
  </w:num>
  <w:num w:numId="46">
    <w:abstractNumId w:val="1"/>
  </w:num>
  <w:num w:numId="47">
    <w:abstractNumId w:val="21"/>
  </w:num>
  <w:num w:numId="48">
    <w:abstractNumId w:val="17"/>
  </w:num>
  <w:num w:numId="49">
    <w:abstractNumId w:val="16"/>
  </w:num>
  <w:num w:numId="50">
    <w:abstractNumId w:val="3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autoHyphenation/>
  <w:hyphenationZone w:val="425"/>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0EBD"/>
    <w:rsid w:val="000000D1"/>
    <w:rsid w:val="0000010F"/>
    <w:rsid w:val="00000DAC"/>
    <w:rsid w:val="00001705"/>
    <w:rsid w:val="0000375B"/>
    <w:rsid w:val="00003FF4"/>
    <w:rsid w:val="0000496B"/>
    <w:rsid w:val="000066ED"/>
    <w:rsid w:val="000114EF"/>
    <w:rsid w:val="0001170E"/>
    <w:rsid w:val="000119CA"/>
    <w:rsid w:val="00012087"/>
    <w:rsid w:val="00013282"/>
    <w:rsid w:val="00013C2D"/>
    <w:rsid w:val="00014736"/>
    <w:rsid w:val="00014B03"/>
    <w:rsid w:val="00015460"/>
    <w:rsid w:val="00020012"/>
    <w:rsid w:val="000208A8"/>
    <w:rsid w:val="00021A4C"/>
    <w:rsid w:val="00021C4C"/>
    <w:rsid w:val="00030168"/>
    <w:rsid w:val="000307A3"/>
    <w:rsid w:val="000331B7"/>
    <w:rsid w:val="000333BD"/>
    <w:rsid w:val="000342C1"/>
    <w:rsid w:val="00034480"/>
    <w:rsid w:val="00035334"/>
    <w:rsid w:val="0003569C"/>
    <w:rsid w:val="0003684D"/>
    <w:rsid w:val="00036B07"/>
    <w:rsid w:val="00040F3B"/>
    <w:rsid w:val="00040FA5"/>
    <w:rsid w:val="000411D4"/>
    <w:rsid w:val="00041F72"/>
    <w:rsid w:val="00042D20"/>
    <w:rsid w:val="00042DD7"/>
    <w:rsid w:val="00042FBF"/>
    <w:rsid w:val="00043A87"/>
    <w:rsid w:val="000441CD"/>
    <w:rsid w:val="00044224"/>
    <w:rsid w:val="0004483A"/>
    <w:rsid w:val="0004613F"/>
    <w:rsid w:val="000530D0"/>
    <w:rsid w:val="000543B4"/>
    <w:rsid w:val="000550B2"/>
    <w:rsid w:val="000563DB"/>
    <w:rsid w:val="000568EE"/>
    <w:rsid w:val="00056998"/>
    <w:rsid w:val="000609CC"/>
    <w:rsid w:val="00061878"/>
    <w:rsid w:val="0006326F"/>
    <w:rsid w:val="0006332F"/>
    <w:rsid w:val="000648CA"/>
    <w:rsid w:val="00066242"/>
    <w:rsid w:val="000703C5"/>
    <w:rsid w:val="00080A95"/>
    <w:rsid w:val="00080DE3"/>
    <w:rsid w:val="0008317A"/>
    <w:rsid w:val="000836B3"/>
    <w:rsid w:val="0008435C"/>
    <w:rsid w:val="000856A0"/>
    <w:rsid w:val="00086478"/>
    <w:rsid w:val="00086A59"/>
    <w:rsid w:val="0008718D"/>
    <w:rsid w:val="000875A0"/>
    <w:rsid w:val="00090707"/>
    <w:rsid w:val="0009144B"/>
    <w:rsid w:val="000917D5"/>
    <w:rsid w:val="00091C5C"/>
    <w:rsid w:val="00093965"/>
    <w:rsid w:val="000946CE"/>
    <w:rsid w:val="000957FC"/>
    <w:rsid w:val="00096177"/>
    <w:rsid w:val="000961BD"/>
    <w:rsid w:val="000A0508"/>
    <w:rsid w:val="000A16D7"/>
    <w:rsid w:val="000A233D"/>
    <w:rsid w:val="000A2726"/>
    <w:rsid w:val="000A2FA2"/>
    <w:rsid w:val="000A34D3"/>
    <w:rsid w:val="000A70B6"/>
    <w:rsid w:val="000B0643"/>
    <w:rsid w:val="000B098A"/>
    <w:rsid w:val="000B1D26"/>
    <w:rsid w:val="000B2560"/>
    <w:rsid w:val="000B2B4F"/>
    <w:rsid w:val="000B33BB"/>
    <w:rsid w:val="000B40C2"/>
    <w:rsid w:val="000B4341"/>
    <w:rsid w:val="000B4C18"/>
    <w:rsid w:val="000B4EAA"/>
    <w:rsid w:val="000B5164"/>
    <w:rsid w:val="000B763F"/>
    <w:rsid w:val="000C0FC9"/>
    <w:rsid w:val="000C1D3F"/>
    <w:rsid w:val="000C2D37"/>
    <w:rsid w:val="000C4883"/>
    <w:rsid w:val="000C5193"/>
    <w:rsid w:val="000C61FA"/>
    <w:rsid w:val="000C6D2B"/>
    <w:rsid w:val="000C7A13"/>
    <w:rsid w:val="000D26AA"/>
    <w:rsid w:val="000D3645"/>
    <w:rsid w:val="000D6AB3"/>
    <w:rsid w:val="000E1909"/>
    <w:rsid w:val="000E1A1E"/>
    <w:rsid w:val="000E1AAD"/>
    <w:rsid w:val="000E2F80"/>
    <w:rsid w:val="000E3156"/>
    <w:rsid w:val="000E5D6D"/>
    <w:rsid w:val="000E638B"/>
    <w:rsid w:val="000E68DB"/>
    <w:rsid w:val="000F227F"/>
    <w:rsid w:val="000F4D89"/>
    <w:rsid w:val="000F5E2B"/>
    <w:rsid w:val="000F5EFB"/>
    <w:rsid w:val="000F5F70"/>
    <w:rsid w:val="000F7C91"/>
    <w:rsid w:val="001000B7"/>
    <w:rsid w:val="001004B9"/>
    <w:rsid w:val="00101047"/>
    <w:rsid w:val="00101171"/>
    <w:rsid w:val="001026E0"/>
    <w:rsid w:val="001036A8"/>
    <w:rsid w:val="00104B57"/>
    <w:rsid w:val="00104F80"/>
    <w:rsid w:val="00106ED2"/>
    <w:rsid w:val="00107811"/>
    <w:rsid w:val="00110586"/>
    <w:rsid w:val="00110628"/>
    <w:rsid w:val="00111150"/>
    <w:rsid w:val="00111971"/>
    <w:rsid w:val="00115EA3"/>
    <w:rsid w:val="0012157B"/>
    <w:rsid w:val="0012322E"/>
    <w:rsid w:val="00123702"/>
    <w:rsid w:val="00123A98"/>
    <w:rsid w:val="00125072"/>
    <w:rsid w:val="0012648F"/>
    <w:rsid w:val="00130A2A"/>
    <w:rsid w:val="00130EC9"/>
    <w:rsid w:val="0013146A"/>
    <w:rsid w:val="00133636"/>
    <w:rsid w:val="00133FC4"/>
    <w:rsid w:val="001341A4"/>
    <w:rsid w:val="001378C5"/>
    <w:rsid w:val="0014029D"/>
    <w:rsid w:val="001407D0"/>
    <w:rsid w:val="00142303"/>
    <w:rsid w:val="00142A76"/>
    <w:rsid w:val="00143248"/>
    <w:rsid w:val="00143662"/>
    <w:rsid w:val="00145996"/>
    <w:rsid w:val="00145B4D"/>
    <w:rsid w:val="00146B10"/>
    <w:rsid w:val="00150FB8"/>
    <w:rsid w:val="00154332"/>
    <w:rsid w:val="00154AF9"/>
    <w:rsid w:val="001563F4"/>
    <w:rsid w:val="0015768A"/>
    <w:rsid w:val="0016083F"/>
    <w:rsid w:val="001626CF"/>
    <w:rsid w:val="001701B6"/>
    <w:rsid w:val="001702E0"/>
    <w:rsid w:val="00174810"/>
    <w:rsid w:val="00182183"/>
    <w:rsid w:val="00186355"/>
    <w:rsid w:val="001866B8"/>
    <w:rsid w:val="00186C41"/>
    <w:rsid w:val="0019088A"/>
    <w:rsid w:val="00192D55"/>
    <w:rsid w:val="001937F0"/>
    <w:rsid w:val="001958F9"/>
    <w:rsid w:val="00197D79"/>
    <w:rsid w:val="001A0429"/>
    <w:rsid w:val="001A07B6"/>
    <w:rsid w:val="001A12F3"/>
    <w:rsid w:val="001A27AB"/>
    <w:rsid w:val="001A2A8B"/>
    <w:rsid w:val="001A3D58"/>
    <w:rsid w:val="001A62B8"/>
    <w:rsid w:val="001A6FCD"/>
    <w:rsid w:val="001B12C6"/>
    <w:rsid w:val="001B33FF"/>
    <w:rsid w:val="001B649B"/>
    <w:rsid w:val="001B79FD"/>
    <w:rsid w:val="001C1F4E"/>
    <w:rsid w:val="001C23DE"/>
    <w:rsid w:val="001C2A7E"/>
    <w:rsid w:val="001C3BBE"/>
    <w:rsid w:val="001C4A1D"/>
    <w:rsid w:val="001C4AED"/>
    <w:rsid w:val="001C6977"/>
    <w:rsid w:val="001C70A3"/>
    <w:rsid w:val="001C71C1"/>
    <w:rsid w:val="001C74E5"/>
    <w:rsid w:val="001C7694"/>
    <w:rsid w:val="001D09D8"/>
    <w:rsid w:val="001D14F2"/>
    <w:rsid w:val="001D1B13"/>
    <w:rsid w:val="001D3B3F"/>
    <w:rsid w:val="001D3F53"/>
    <w:rsid w:val="001D4549"/>
    <w:rsid w:val="001D4BF4"/>
    <w:rsid w:val="001D4E0B"/>
    <w:rsid w:val="001D56F1"/>
    <w:rsid w:val="001D5A5D"/>
    <w:rsid w:val="001D72C7"/>
    <w:rsid w:val="001E0FEE"/>
    <w:rsid w:val="001E1AD1"/>
    <w:rsid w:val="001E5AAE"/>
    <w:rsid w:val="001E6791"/>
    <w:rsid w:val="001E7492"/>
    <w:rsid w:val="001E77DA"/>
    <w:rsid w:val="001F1C1B"/>
    <w:rsid w:val="001F2557"/>
    <w:rsid w:val="001F2990"/>
    <w:rsid w:val="001F2D41"/>
    <w:rsid w:val="001F387B"/>
    <w:rsid w:val="001F5ACC"/>
    <w:rsid w:val="001F5B08"/>
    <w:rsid w:val="001F6FB9"/>
    <w:rsid w:val="002033D9"/>
    <w:rsid w:val="00204E95"/>
    <w:rsid w:val="00206A7F"/>
    <w:rsid w:val="002077A5"/>
    <w:rsid w:val="00213381"/>
    <w:rsid w:val="00213DF5"/>
    <w:rsid w:val="00214E60"/>
    <w:rsid w:val="00216A19"/>
    <w:rsid w:val="00216A83"/>
    <w:rsid w:val="00216E27"/>
    <w:rsid w:val="00217ABE"/>
    <w:rsid w:val="00221265"/>
    <w:rsid w:val="002219CB"/>
    <w:rsid w:val="00221CD0"/>
    <w:rsid w:val="002224CC"/>
    <w:rsid w:val="002232C1"/>
    <w:rsid w:val="00223A52"/>
    <w:rsid w:val="00225626"/>
    <w:rsid w:val="0022633F"/>
    <w:rsid w:val="00230105"/>
    <w:rsid w:val="00230EE0"/>
    <w:rsid w:val="00231F1A"/>
    <w:rsid w:val="00233136"/>
    <w:rsid w:val="0023363A"/>
    <w:rsid w:val="00235123"/>
    <w:rsid w:val="00235B42"/>
    <w:rsid w:val="00235BB7"/>
    <w:rsid w:val="002363B1"/>
    <w:rsid w:val="0023664E"/>
    <w:rsid w:val="00241D08"/>
    <w:rsid w:val="002425C6"/>
    <w:rsid w:val="00242FE3"/>
    <w:rsid w:val="00244FFB"/>
    <w:rsid w:val="00245124"/>
    <w:rsid w:val="00245A51"/>
    <w:rsid w:val="002464AE"/>
    <w:rsid w:val="00247029"/>
    <w:rsid w:val="0025060F"/>
    <w:rsid w:val="00253352"/>
    <w:rsid w:val="0025351C"/>
    <w:rsid w:val="002537C5"/>
    <w:rsid w:val="00254F63"/>
    <w:rsid w:val="0025537D"/>
    <w:rsid w:val="00255D23"/>
    <w:rsid w:val="00260168"/>
    <w:rsid w:val="0026139A"/>
    <w:rsid w:val="0026444F"/>
    <w:rsid w:val="00264B22"/>
    <w:rsid w:val="002650BE"/>
    <w:rsid w:val="002658B8"/>
    <w:rsid w:val="002709EE"/>
    <w:rsid w:val="00270D45"/>
    <w:rsid w:val="002716D8"/>
    <w:rsid w:val="002723E8"/>
    <w:rsid w:val="00273CA0"/>
    <w:rsid w:val="00273F8A"/>
    <w:rsid w:val="0027479F"/>
    <w:rsid w:val="002764E1"/>
    <w:rsid w:val="00280568"/>
    <w:rsid w:val="002806E9"/>
    <w:rsid w:val="00281293"/>
    <w:rsid w:val="00281425"/>
    <w:rsid w:val="00282527"/>
    <w:rsid w:val="00283003"/>
    <w:rsid w:val="00283072"/>
    <w:rsid w:val="0028330D"/>
    <w:rsid w:val="002835AC"/>
    <w:rsid w:val="00286FCE"/>
    <w:rsid w:val="002908D3"/>
    <w:rsid w:val="00290BAE"/>
    <w:rsid w:val="002930FB"/>
    <w:rsid w:val="002940E8"/>
    <w:rsid w:val="00294155"/>
    <w:rsid w:val="002973D0"/>
    <w:rsid w:val="002A0234"/>
    <w:rsid w:val="002A03DF"/>
    <w:rsid w:val="002A0C89"/>
    <w:rsid w:val="002A0D18"/>
    <w:rsid w:val="002A14A5"/>
    <w:rsid w:val="002A1BF2"/>
    <w:rsid w:val="002A4B98"/>
    <w:rsid w:val="002A4C67"/>
    <w:rsid w:val="002A58F3"/>
    <w:rsid w:val="002A641A"/>
    <w:rsid w:val="002B02CB"/>
    <w:rsid w:val="002B2443"/>
    <w:rsid w:val="002B316A"/>
    <w:rsid w:val="002B49EF"/>
    <w:rsid w:val="002B6A42"/>
    <w:rsid w:val="002C1124"/>
    <w:rsid w:val="002C116D"/>
    <w:rsid w:val="002C16DB"/>
    <w:rsid w:val="002C1B58"/>
    <w:rsid w:val="002C425B"/>
    <w:rsid w:val="002C4B34"/>
    <w:rsid w:val="002C504C"/>
    <w:rsid w:val="002C578A"/>
    <w:rsid w:val="002C68A3"/>
    <w:rsid w:val="002C6955"/>
    <w:rsid w:val="002D1E2B"/>
    <w:rsid w:val="002D353D"/>
    <w:rsid w:val="002D380D"/>
    <w:rsid w:val="002D48A8"/>
    <w:rsid w:val="002D6C51"/>
    <w:rsid w:val="002E0161"/>
    <w:rsid w:val="002E100D"/>
    <w:rsid w:val="002E3C3A"/>
    <w:rsid w:val="002E520B"/>
    <w:rsid w:val="002E7E6C"/>
    <w:rsid w:val="002E7FEC"/>
    <w:rsid w:val="002F0570"/>
    <w:rsid w:val="002F10A6"/>
    <w:rsid w:val="002F3825"/>
    <w:rsid w:val="002F4363"/>
    <w:rsid w:val="002F55B4"/>
    <w:rsid w:val="002F5D93"/>
    <w:rsid w:val="002F6F18"/>
    <w:rsid w:val="002F7715"/>
    <w:rsid w:val="00300261"/>
    <w:rsid w:val="00301343"/>
    <w:rsid w:val="0030145B"/>
    <w:rsid w:val="0030418D"/>
    <w:rsid w:val="0030600F"/>
    <w:rsid w:val="003061AA"/>
    <w:rsid w:val="003065A6"/>
    <w:rsid w:val="003066F3"/>
    <w:rsid w:val="00306821"/>
    <w:rsid w:val="003109B6"/>
    <w:rsid w:val="00313B5A"/>
    <w:rsid w:val="00313DFB"/>
    <w:rsid w:val="00316F3E"/>
    <w:rsid w:val="00317CD4"/>
    <w:rsid w:val="003208B8"/>
    <w:rsid w:val="00321D72"/>
    <w:rsid w:val="0032362E"/>
    <w:rsid w:val="003251C4"/>
    <w:rsid w:val="00326841"/>
    <w:rsid w:val="00330C97"/>
    <w:rsid w:val="003313D4"/>
    <w:rsid w:val="0033202F"/>
    <w:rsid w:val="00332F00"/>
    <w:rsid w:val="00334EEA"/>
    <w:rsid w:val="00335716"/>
    <w:rsid w:val="00335AEE"/>
    <w:rsid w:val="00340D54"/>
    <w:rsid w:val="003413ED"/>
    <w:rsid w:val="00341E14"/>
    <w:rsid w:val="0034201F"/>
    <w:rsid w:val="00346AC4"/>
    <w:rsid w:val="00346BB1"/>
    <w:rsid w:val="00351316"/>
    <w:rsid w:val="0035153B"/>
    <w:rsid w:val="0035201C"/>
    <w:rsid w:val="003532CC"/>
    <w:rsid w:val="003539A5"/>
    <w:rsid w:val="00353D4C"/>
    <w:rsid w:val="003541A2"/>
    <w:rsid w:val="003541D1"/>
    <w:rsid w:val="00354618"/>
    <w:rsid w:val="0035472E"/>
    <w:rsid w:val="003551B4"/>
    <w:rsid w:val="0035521A"/>
    <w:rsid w:val="00356658"/>
    <w:rsid w:val="003566C0"/>
    <w:rsid w:val="00356D15"/>
    <w:rsid w:val="00357CEC"/>
    <w:rsid w:val="0036134A"/>
    <w:rsid w:val="003616E5"/>
    <w:rsid w:val="0036329F"/>
    <w:rsid w:val="00363D60"/>
    <w:rsid w:val="003648DF"/>
    <w:rsid w:val="00366701"/>
    <w:rsid w:val="00366FF1"/>
    <w:rsid w:val="003710D9"/>
    <w:rsid w:val="00372777"/>
    <w:rsid w:val="0037496C"/>
    <w:rsid w:val="00374CDA"/>
    <w:rsid w:val="00383A8B"/>
    <w:rsid w:val="00384E37"/>
    <w:rsid w:val="00385C7D"/>
    <w:rsid w:val="00385CDF"/>
    <w:rsid w:val="00386FBB"/>
    <w:rsid w:val="00387F35"/>
    <w:rsid w:val="00390D5C"/>
    <w:rsid w:val="003918A1"/>
    <w:rsid w:val="0039429E"/>
    <w:rsid w:val="00394CD7"/>
    <w:rsid w:val="00395B66"/>
    <w:rsid w:val="00396143"/>
    <w:rsid w:val="0039683C"/>
    <w:rsid w:val="00397B1F"/>
    <w:rsid w:val="003A09AB"/>
    <w:rsid w:val="003A16A5"/>
    <w:rsid w:val="003A16D3"/>
    <w:rsid w:val="003A1D28"/>
    <w:rsid w:val="003A5877"/>
    <w:rsid w:val="003A62DA"/>
    <w:rsid w:val="003A6EDE"/>
    <w:rsid w:val="003A7D7E"/>
    <w:rsid w:val="003B0D25"/>
    <w:rsid w:val="003B16E5"/>
    <w:rsid w:val="003B2488"/>
    <w:rsid w:val="003B34B4"/>
    <w:rsid w:val="003B365D"/>
    <w:rsid w:val="003B7639"/>
    <w:rsid w:val="003C397D"/>
    <w:rsid w:val="003C7455"/>
    <w:rsid w:val="003D006E"/>
    <w:rsid w:val="003D0903"/>
    <w:rsid w:val="003D3406"/>
    <w:rsid w:val="003D3834"/>
    <w:rsid w:val="003D40ED"/>
    <w:rsid w:val="003D4A78"/>
    <w:rsid w:val="003D513A"/>
    <w:rsid w:val="003D7ED5"/>
    <w:rsid w:val="003E2503"/>
    <w:rsid w:val="003E37B7"/>
    <w:rsid w:val="003E3B8B"/>
    <w:rsid w:val="003E4CE8"/>
    <w:rsid w:val="003E56D5"/>
    <w:rsid w:val="003E630A"/>
    <w:rsid w:val="003E66C3"/>
    <w:rsid w:val="003E6CBC"/>
    <w:rsid w:val="003E7F82"/>
    <w:rsid w:val="003F221D"/>
    <w:rsid w:val="003F4C98"/>
    <w:rsid w:val="003F5D36"/>
    <w:rsid w:val="003F787B"/>
    <w:rsid w:val="00401163"/>
    <w:rsid w:val="004013F3"/>
    <w:rsid w:val="00401B78"/>
    <w:rsid w:val="00401D94"/>
    <w:rsid w:val="00402155"/>
    <w:rsid w:val="00402819"/>
    <w:rsid w:val="00402A4C"/>
    <w:rsid w:val="0040349C"/>
    <w:rsid w:val="0040603A"/>
    <w:rsid w:val="00406472"/>
    <w:rsid w:val="00407D07"/>
    <w:rsid w:val="0041013E"/>
    <w:rsid w:val="0041146F"/>
    <w:rsid w:val="00412867"/>
    <w:rsid w:val="00413055"/>
    <w:rsid w:val="004138C5"/>
    <w:rsid w:val="00413CCF"/>
    <w:rsid w:val="00414BF0"/>
    <w:rsid w:val="00415980"/>
    <w:rsid w:val="004170C6"/>
    <w:rsid w:val="004205A1"/>
    <w:rsid w:val="00421DC9"/>
    <w:rsid w:val="004225DE"/>
    <w:rsid w:val="00422E27"/>
    <w:rsid w:val="00423139"/>
    <w:rsid w:val="004253BE"/>
    <w:rsid w:val="00425E3E"/>
    <w:rsid w:val="00430B6A"/>
    <w:rsid w:val="00430D28"/>
    <w:rsid w:val="00435936"/>
    <w:rsid w:val="00436842"/>
    <w:rsid w:val="00440913"/>
    <w:rsid w:val="00441391"/>
    <w:rsid w:val="00441406"/>
    <w:rsid w:val="0044168B"/>
    <w:rsid w:val="00442A0D"/>
    <w:rsid w:val="00442B03"/>
    <w:rsid w:val="00447AF1"/>
    <w:rsid w:val="00452F9D"/>
    <w:rsid w:val="00453A03"/>
    <w:rsid w:val="004551C9"/>
    <w:rsid w:val="0045585D"/>
    <w:rsid w:val="0046322B"/>
    <w:rsid w:val="00464886"/>
    <w:rsid w:val="00464CA3"/>
    <w:rsid w:val="00465D41"/>
    <w:rsid w:val="00465F85"/>
    <w:rsid w:val="0046682F"/>
    <w:rsid w:val="004671AA"/>
    <w:rsid w:val="00467494"/>
    <w:rsid w:val="00471B6D"/>
    <w:rsid w:val="00472AD6"/>
    <w:rsid w:val="004742AA"/>
    <w:rsid w:val="004769CB"/>
    <w:rsid w:val="004827E5"/>
    <w:rsid w:val="00482800"/>
    <w:rsid w:val="0048589A"/>
    <w:rsid w:val="00485A89"/>
    <w:rsid w:val="00490087"/>
    <w:rsid w:val="00490CE5"/>
    <w:rsid w:val="004917AE"/>
    <w:rsid w:val="004920B2"/>
    <w:rsid w:val="0049259E"/>
    <w:rsid w:val="00493BB9"/>
    <w:rsid w:val="00493D18"/>
    <w:rsid w:val="00493FB3"/>
    <w:rsid w:val="004A21A4"/>
    <w:rsid w:val="004A2650"/>
    <w:rsid w:val="004A3EB3"/>
    <w:rsid w:val="004A45FC"/>
    <w:rsid w:val="004A6076"/>
    <w:rsid w:val="004A680B"/>
    <w:rsid w:val="004A6FDB"/>
    <w:rsid w:val="004A7797"/>
    <w:rsid w:val="004B0A8C"/>
    <w:rsid w:val="004B0BDC"/>
    <w:rsid w:val="004B0D98"/>
    <w:rsid w:val="004B12B8"/>
    <w:rsid w:val="004B1C48"/>
    <w:rsid w:val="004B2B2C"/>
    <w:rsid w:val="004C007F"/>
    <w:rsid w:val="004C0E9C"/>
    <w:rsid w:val="004C13C1"/>
    <w:rsid w:val="004C19E8"/>
    <w:rsid w:val="004C30B1"/>
    <w:rsid w:val="004C38FA"/>
    <w:rsid w:val="004C3C66"/>
    <w:rsid w:val="004C41D7"/>
    <w:rsid w:val="004C4512"/>
    <w:rsid w:val="004C4918"/>
    <w:rsid w:val="004C4B4F"/>
    <w:rsid w:val="004C4EB5"/>
    <w:rsid w:val="004C4F84"/>
    <w:rsid w:val="004C5906"/>
    <w:rsid w:val="004D0899"/>
    <w:rsid w:val="004D15EC"/>
    <w:rsid w:val="004D1C8D"/>
    <w:rsid w:val="004D5039"/>
    <w:rsid w:val="004D5057"/>
    <w:rsid w:val="004D58C6"/>
    <w:rsid w:val="004E1D1B"/>
    <w:rsid w:val="004E1F7D"/>
    <w:rsid w:val="004E2512"/>
    <w:rsid w:val="004E2B0C"/>
    <w:rsid w:val="004E2C13"/>
    <w:rsid w:val="004E73CB"/>
    <w:rsid w:val="004E7B95"/>
    <w:rsid w:val="004F1A18"/>
    <w:rsid w:val="004F27AE"/>
    <w:rsid w:val="004F3B0E"/>
    <w:rsid w:val="004F58F6"/>
    <w:rsid w:val="004F6AA5"/>
    <w:rsid w:val="004F72F3"/>
    <w:rsid w:val="004F788F"/>
    <w:rsid w:val="00500494"/>
    <w:rsid w:val="00501605"/>
    <w:rsid w:val="00501DED"/>
    <w:rsid w:val="00502758"/>
    <w:rsid w:val="00502BD0"/>
    <w:rsid w:val="0050538A"/>
    <w:rsid w:val="00505B8E"/>
    <w:rsid w:val="0050685F"/>
    <w:rsid w:val="00506D93"/>
    <w:rsid w:val="00507F2A"/>
    <w:rsid w:val="00510318"/>
    <w:rsid w:val="0051224E"/>
    <w:rsid w:val="00512CB8"/>
    <w:rsid w:val="005133C4"/>
    <w:rsid w:val="0051360A"/>
    <w:rsid w:val="005138AF"/>
    <w:rsid w:val="005139D3"/>
    <w:rsid w:val="00513E45"/>
    <w:rsid w:val="0051421C"/>
    <w:rsid w:val="00515AF5"/>
    <w:rsid w:val="00516BD2"/>
    <w:rsid w:val="00517723"/>
    <w:rsid w:val="00517846"/>
    <w:rsid w:val="00517A17"/>
    <w:rsid w:val="00517F12"/>
    <w:rsid w:val="0052152E"/>
    <w:rsid w:val="005220CF"/>
    <w:rsid w:val="00523B8E"/>
    <w:rsid w:val="00525223"/>
    <w:rsid w:val="005263DA"/>
    <w:rsid w:val="00527411"/>
    <w:rsid w:val="0053006B"/>
    <w:rsid w:val="005326D9"/>
    <w:rsid w:val="00532AF5"/>
    <w:rsid w:val="005346A3"/>
    <w:rsid w:val="005365DD"/>
    <w:rsid w:val="00536CCF"/>
    <w:rsid w:val="005407DC"/>
    <w:rsid w:val="0054211D"/>
    <w:rsid w:val="00542C9F"/>
    <w:rsid w:val="00543067"/>
    <w:rsid w:val="00543CE5"/>
    <w:rsid w:val="005443F7"/>
    <w:rsid w:val="005475D3"/>
    <w:rsid w:val="005503C1"/>
    <w:rsid w:val="005512CE"/>
    <w:rsid w:val="0055174A"/>
    <w:rsid w:val="005539B0"/>
    <w:rsid w:val="00553B17"/>
    <w:rsid w:val="005609E4"/>
    <w:rsid w:val="00560AA7"/>
    <w:rsid w:val="0056316C"/>
    <w:rsid w:val="005648B4"/>
    <w:rsid w:val="00566C75"/>
    <w:rsid w:val="005714A0"/>
    <w:rsid w:val="00574F09"/>
    <w:rsid w:val="00575765"/>
    <w:rsid w:val="00577FA7"/>
    <w:rsid w:val="00581A1D"/>
    <w:rsid w:val="00581A94"/>
    <w:rsid w:val="00581BC2"/>
    <w:rsid w:val="005829D8"/>
    <w:rsid w:val="00583090"/>
    <w:rsid w:val="005837AC"/>
    <w:rsid w:val="00583B9B"/>
    <w:rsid w:val="005856C7"/>
    <w:rsid w:val="00585EC6"/>
    <w:rsid w:val="00587C75"/>
    <w:rsid w:val="00590D52"/>
    <w:rsid w:val="00591467"/>
    <w:rsid w:val="005937D6"/>
    <w:rsid w:val="00594C98"/>
    <w:rsid w:val="005962F5"/>
    <w:rsid w:val="00597CE8"/>
    <w:rsid w:val="005A0BAD"/>
    <w:rsid w:val="005A18C4"/>
    <w:rsid w:val="005A406A"/>
    <w:rsid w:val="005A41DF"/>
    <w:rsid w:val="005A4696"/>
    <w:rsid w:val="005A584A"/>
    <w:rsid w:val="005A7A5F"/>
    <w:rsid w:val="005B118F"/>
    <w:rsid w:val="005B1617"/>
    <w:rsid w:val="005B227C"/>
    <w:rsid w:val="005B3257"/>
    <w:rsid w:val="005B3520"/>
    <w:rsid w:val="005B3D22"/>
    <w:rsid w:val="005B3F38"/>
    <w:rsid w:val="005B4BF2"/>
    <w:rsid w:val="005B4D88"/>
    <w:rsid w:val="005B6003"/>
    <w:rsid w:val="005B6E89"/>
    <w:rsid w:val="005C0933"/>
    <w:rsid w:val="005C1E60"/>
    <w:rsid w:val="005C3F8F"/>
    <w:rsid w:val="005C6DF6"/>
    <w:rsid w:val="005D04E2"/>
    <w:rsid w:val="005D12BF"/>
    <w:rsid w:val="005D1AF7"/>
    <w:rsid w:val="005D21CE"/>
    <w:rsid w:val="005D627C"/>
    <w:rsid w:val="005E1E8E"/>
    <w:rsid w:val="005E2F51"/>
    <w:rsid w:val="005E38FE"/>
    <w:rsid w:val="005E4B83"/>
    <w:rsid w:val="005E4F88"/>
    <w:rsid w:val="005E5550"/>
    <w:rsid w:val="005E7309"/>
    <w:rsid w:val="005F096C"/>
    <w:rsid w:val="005F0990"/>
    <w:rsid w:val="005F19E3"/>
    <w:rsid w:val="005F1CEC"/>
    <w:rsid w:val="005F1E9F"/>
    <w:rsid w:val="005F2D7B"/>
    <w:rsid w:val="005F4358"/>
    <w:rsid w:val="005F473C"/>
    <w:rsid w:val="005F5C52"/>
    <w:rsid w:val="005F6256"/>
    <w:rsid w:val="005F655C"/>
    <w:rsid w:val="005F709D"/>
    <w:rsid w:val="00601216"/>
    <w:rsid w:val="00601635"/>
    <w:rsid w:val="00601E88"/>
    <w:rsid w:val="006024D3"/>
    <w:rsid w:val="006026D3"/>
    <w:rsid w:val="00604047"/>
    <w:rsid w:val="00606046"/>
    <w:rsid w:val="0060624D"/>
    <w:rsid w:val="006069F3"/>
    <w:rsid w:val="00606FDD"/>
    <w:rsid w:val="00607EF9"/>
    <w:rsid w:val="00610FCB"/>
    <w:rsid w:val="00614355"/>
    <w:rsid w:val="00615AD3"/>
    <w:rsid w:val="00615F89"/>
    <w:rsid w:val="00616E38"/>
    <w:rsid w:val="00617315"/>
    <w:rsid w:val="006207CC"/>
    <w:rsid w:val="00621798"/>
    <w:rsid w:val="00622327"/>
    <w:rsid w:val="00622FF1"/>
    <w:rsid w:val="00623C81"/>
    <w:rsid w:val="006242D7"/>
    <w:rsid w:val="00627008"/>
    <w:rsid w:val="00627AF3"/>
    <w:rsid w:val="006308E9"/>
    <w:rsid w:val="00630A10"/>
    <w:rsid w:val="0063401D"/>
    <w:rsid w:val="00636E33"/>
    <w:rsid w:val="00636EB6"/>
    <w:rsid w:val="00641C63"/>
    <w:rsid w:val="00641F17"/>
    <w:rsid w:val="00643D24"/>
    <w:rsid w:val="00644B2B"/>
    <w:rsid w:val="00644BFF"/>
    <w:rsid w:val="00645935"/>
    <w:rsid w:val="006461AD"/>
    <w:rsid w:val="00646792"/>
    <w:rsid w:val="00646C84"/>
    <w:rsid w:val="006504A7"/>
    <w:rsid w:val="006536BA"/>
    <w:rsid w:val="00653FA7"/>
    <w:rsid w:val="00653FB5"/>
    <w:rsid w:val="006543E6"/>
    <w:rsid w:val="00655000"/>
    <w:rsid w:val="0065650E"/>
    <w:rsid w:val="00656DD7"/>
    <w:rsid w:val="006575CE"/>
    <w:rsid w:val="006575FA"/>
    <w:rsid w:val="00660293"/>
    <w:rsid w:val="00661FE6"/>
    <w:rsid w:val="00664026"/>
    <w:rsid w:val="00664B70"/>
    <w:rsid w:val="006655C6"/>
    <w:rsid w:val="00671FBC"/>
    <w:rsid w:val="00672DDC"/>
    <w:rsid w:val="00672E6F"/>
    <w:rsid w:val="00673731"/>
    <w:rsid w:val="00677384"/>
    <w:rsid w:val="006774A2"/>
    <w:rsid w:val="006806DD"/>
    <w:rsid w:val="0068216B"/>
    <w:rsid w:val="00684030"/>
    <w:rsid w:val="00684BDB"/>
    <w:rsid w:val="00687C0E"/>
    <w:rsid w:val="00690663"/>
    <w:rsid w:val="006936A0"/>
    <w:rsid w:val="006936E7"/>
    <w:rsid w:val="0069429F"/>
    <w:rsid w:val="00694AC7"/>
    <w:rsid w:val="006968BC"/>
    <w:rsid w:val="0069729D"/>
    <w:rsid w:val="006976A8"/>
    <w:rsid w:val="006A0272"/>
    <w:rsid w:val="006A0D24"/>
    <w:rsid w:val="006A10D5"/>
    <w:rsid w:val="006A1513"/>
    <w:rsid w:val="006A27E2"/>
    <w:rsid w:val="006A29AC"/>
    <w:rsid w:val="006A32EA"/>
    <w:rsid w:val="006A48D5"/>
    <w:rsid w:val="006A4C15"/>
    <w:rsid w:val="006A551F"/>
    <w:rsid w:val="006A6137"/>
    <w:rsid w:val="006A6C2F"/>
    <w:rsid w:val="006A6D6E"/>
    <w:rsid w:val="006B03A3"/>
    <w:rsid w:val="006B0A05"/>
    <w:rsid w:val="006B27C6"/>
    <w:rsid w:val="006B36F2"/>
    <w:rsid w:val="006B5731"/>
    <w:rsid w:val="006B5F0E"/>
    <w:rsid w:val="006C14BF"/>
    <w:rsid w:val="006C1D03"/>
    <w:rsid w:val="006C2B57"/>
    <w:rsid w:val="006C3198"/>
    <w:rsid w:val="006C47CB"/>
    <w:rsid w:val="006C5011"/>
    <w:rsid w:val="006C6102"/>
    <w:rsid w:val="006C6F3B"/>
    <w:rsid w:val="006C73A4"/>
    <w:rsid w:val="006D09FE"/>
    <w:rsid w:val="006D1D51"/>
    <w:rsid w:val="006D2932"/>
    <w:rsid w:val="006D31A3"/>
    <w:rsid w:val="006D60E8"/>
    <w:rsid w:val="006D7D38"/>
    <w:rsid w:val="006E0E84"/>
    <w:rsid w:val="006E0E8A"/>
    <w:rsid w:val="006E2FB3"/>
    <w:rsid w:val="006E3BC5"/>
    <w:rsid w:val="006E4447"/>
    <w:rsid w:val="006E5452"/>
    <w:rsid w:val="006E555C"/>
    <w:rsid w:val="006E77ED"/>
    <w:rsid w:val="006E7F36"/>
    <w:rsid w:val="006F0804"/>
    <w:rsid w:val="006F0AC6"/>
    <w:rsid w:val="006F1939"/>
    <w:rsid w:val="006F213D"/>
    <w:rsid w:val="006F2309"/>
    <w:rsid w:val="006F33B3"/>
    <w:rsid w:val="006F454E"/>
    <w:rsid w:val="006F5EC5"/>
    <w:rsid w:val="00701F71"/>
    <w:rsid w:val="007022B1"/>
    <w:rsid w:val="00702852"/>
    <w:rsid w:val="00702CF6"/>
    <w:rsid w:val="007037BC"/>
    <w:rsid w:val="00703BFD"/>
    <w:rsid w:val="00704B75"/>
    <w:rsid w:val="00707590"/>
    <w:rsid w:val="00707E3E"/>
    <w:rsid w:val="00712A65"/>
    <w:rsid w:val="00712E32"/>
    <w:rsid w:val="00712E9F"/>
    <w:rsid w:val="00712EB7"/>
    <w:rsid w:val="007149B3"/>
    <w:rsid w:val="00715629"/>
    <w:rsid w:val="00717746"/>
    <w:rsid w:val="00717E57"/>
    <w:rsid w:val="00717EB2"/>
    <w:rsid w:val="007207A5"/>
    <w:rsid w:val="007211F7"/>
    <w:rsid w:val="00721635"/>
    <w:rsid w:val="00723050"/>
    <w:rsid w:val="007254CD"/>
    <w:rsid w:val="00725A50"/>
    <w:rsid w:val="007263EE"/>
    <w:rsid w:val="00730C7B"/>
    <w:rsid w:val="007319D9"/>
    <w:rsid w:val="00731F10"/>
    <w:rsid w:val="007323AE"/>
    <w:rsid w:val="00732467"/>
    <w:rsid w:val="00732D2B"/>
    <w:rsid w:val="00736BC8"/>
    <w:rsid w:val="00736C2C"/>
    <w:rsid w:val="00736D45"/>
    <w:rsid w:val="00737806"/>
    <w:rsid w:val="00737E19"/>
    <w:rsid w:val="00741A52"/>
    <w:rsid w:val="007436B0"/>
    <w:rsid w:val="00744B04"/>
    <w:rsid w:val="0074753E"/>
    <w:rsid w:val="0075087E"/>
    <w:rsid w:val="00752DAD"/>
    <w:rsid w:val="007530BB"/>
    <w:rsid w:val="00755A5B"/>
    <w:rsid w:val="007565A8"/>
    <w:rsid w:val="00756B93"/>
    <w:rsid w:val="00756F9B"/>
    <w:rsid w:val="00757792"/>
    <w:rsid w:val="00760798"/>
    <w:rsid w:val="00760EE3"/>
    <w:rsid w:val="00762691"/>
    <w:rsid w:val="00763755"/>
    <w:rsid w:val="00764C0C"/>
    <w:rsid w:val="00766BF3"/>
    <w:rsid w:val="00767684"/>
    <w:rsid w:val="0077273D"/>
    <w:rsid w:val="00772C90"/>
    <w:rsid w:val="00773523"/>
    <w:rsid w:val="00773B0C"/>
    <w:rsid w:val="00775B0C"/>
    <w:rsid w:val="00775E67"/>
    <w:rsid w:val="00776596"/>
    <w:rsid w:val="00780F3C"/>
    <w:rsid w:val="007825C8"/>
    <w:rsid w:val="00782BA5"/>
    <w:rsid w:val="00782D71"/>
    <w:rsid w:val="007833F0"/>
    <w:rsid w:val="00783A4E"/>
    <w:rsid w:val="00791BA4"/>
    <w:rsid w:val="00795539"/>
    <w:rsid w:val="0079735E"/>
    <w:rsid w:val="00797A5B"/>
    <w:rsid w:val="00797DDC"/>
    <w:rsid w:val="007A0258"/>
    <w:rsid w:val="007A0B46"/>
    <w:rsid w:val="007A0D4C"/>
    <w:rsid w:val="007A1835"/>
    <w:rsid w:val="007A1B1B"/>
    <w:rsid w:val="007A3667"/>
    <w:rsid w:val="007A47D6"/>
    <w:rsid w:val="007A52FA"/>
    <w:rsid w:val="007A5906"/>
    <w:rsid w:val="007A5DA5"/>
    <w:rsid w:val="007A6388"/>
    <w:rsid w:val="007A6952"/>
    <w:rsid w:val="007A6DDD"/>
    <w:rsid w:val="007B3BF0"/>
    <w:rsid w:val="007B3C1E"/>
    <w:rsid w:val="007B44AA"/>
    <w:rsid w:val="007B6122"/>
    <w:rsid w:val="007B779A"/>
    <w:rsid w:val="007C333B"/>
    <w:rsid w:val="007C3569"/>
    <w:rsid w:val="007C35A4"/>
    <w:rsid w:val="007C3BB0"/>
    <w:rsid w:val="007C5AD9"/>
    <w:rsid w:val="007D0184"/>
    <w:rsid w:val="007D4832"/>
    <w:rsid w:val="007D4B69"/>
    <w:rsid w:val="007D62B3"/>
    <w:rsid w:val="007D6691"/>
    <w:rsid w:val="007D679B"/>
    <w:rsid w:val="007E12A7"/>
    <w:rsid w:val="007E15F4"/>
    <w:rsid w:val="007E16F3"/>
    <w:rsid w:val="007E3329"/>
    <w:rsid w:val="007E3378"/>
    <w:rsid w:val="007E3CD1"/>
    <w:rsid w:val="007E5033"/>
    <w:rsid w:val="007E6525"/>
    <w:rsid w:val="007E6B35"/>
    <w:rsid w:val="007E72A7"/>
    <w:rsid w:val="007F019F"/>
    <w:rsid w:val="007F07B6"/>
    <w:rsid w:val="007F07E8"/>
    <w:rsid w:val="007F1CBB"/>
    <w:rsid w:val="007F3083"/>
    <w:rsid w:val="007F32A1"/>
    <w:rsid w:val="007F4C6F"/>
    <w:rsid w:val="007F57AC"/>
    <w:rsid w:val="007F5958"/>
    <w:rsid w:val="007F7EE8"/>
    <w:rsid w:val="00800739"/>
    <w:rsid w:val="008022AA"/>
    <w:rsid w:val="0080478F"/>
    <w:rsid w:val="0080498C"/>
    <w:rsid w:val="00806470"/>
    <w:rsid w:val="008068FB"/>
    <w:rsid w:val="00806C3B"/>
    <w:rsid w:val="00811BBD"/>
    <w:rsid w:val="00813700"/>
    <w:rsid w:val="00813B42"/>
    <w:rsid w:val="00815049"/>
    <w:rsid w:val="00815252"/>
    <w:rsid w:val="0081619E"/>
    <w:rsid w:val="00816AB7"/>
    <w:rsid w:val="00817715"/>
    <w:rsid w:val="00817C1D"/>
    <w:rsid w:val="00817CFA"/>
    <w:rsid w:val="0082112B"/>
    <w:rsid w:val="00824A31"/>
    <w:rsid w:val="00824E57"/>
    <w:rsid w:val="00825B35"/>
    <w:rsid w:val="00826336"/>
    <w:rsid w:val="0082791D"/>
    <w:rsid w:val="00827EB2"/>
    <w:rsid w:val="008304EA"/>
    <w:rsid w:val="00830B09"/>
    <w:rsid w:val="008312A0"/>
    <w:rsid w:val="0083270A"/>
    <w:rsid w:val="00833D7A"/>
    <w:rsid w:val="00834352"/>
    <w:rsid w:val="00835604"/>
    <w:rsid w:val="00835F8D"/>
    <w:rsid w:val="00837201"/>
    <w:rsid w:val="00840C16"/>
    <w:rsid w:val="00840C95"/>
    <w:rsid w:val="00844D0F"/>
    <w:rsid w:val="008475C0"/>
    <w:rsid w:val="0085047D"/>
    <w:rsid w:val="008538A0"/>
    <w:rsid w:val="008546BE"/>
    <w:rsid w:val="00856D63"/>
    <w:rsid w:val="00856F4C"/>
    <w:rsid w:val="00857088"/>
    <w:rsid w:val="00860B6F"/>
    <w:rsid w:val="00860E04"/>
    <w:rsid w:val="00860E86"/>
    <w:rsid w:val="008610DC"/>
    <w:rsid w:val="008614F9"/>
    <w:rsid w:val="008616E8"/>
    <w:rsid w:val="00861F06"/>
    <w:rsid w:val="00863067"/>
    <w:rsid w:val="00865559"/>
    <w:rsid w:val="0086659B"/>
    <w:rsid w:val="0087037A"/>
    <w:rsid w:val="00870EF1"/>
    <w:rsid w:val="00870FFA"/>
    <w:rsid w:val="00872D0C"/>
    <w:rsid w:val="00873EE5"/>
    <w:rsid w:val="00874180"/>
    <w:rsid w:val="0087504E"/>
    <w:rsid w:val="0087536A"/>
    <w:rsid w:val="00875B67"/>
    <w:rsid w:val="00875DDA"/>
    <w:rsid w:val="008769EE"/>
    <w:rsid w:val="008779B9"/>
    <w:rsid w:val="00881AB8"/>
    <w:rsid w:val="008848EA"/>
    <w:rsid w:val="00885F61"/>
    <w:rsid w:val="0088780C"/>
    <w:rsid w:val="00890B17"/>
    <w:rsid w:val="00892C74"/>
    <w:rsid w:val="008960F4"/>
    <w:rsid w:val="008964A9"/>
    <w:rsid w:val="008965D0"/>
    <w:rsid w:val="0089715A"/>
    <w:rsid w:val="00897279"/>
    <w:rsid w:val="0089766E"/>
    <w:rsid w:val="008A3C41"/>
    <w:rsid w:val="008A46BD"/>
    <w:rsid w:val="008A7776"/>
    <w:rsid w:val="008A7E2A"/>
    <w:rsid w:val="008B1B61"/>
    <w:rsid w:val="008B2394"/>
    <w:rsid w:val="008B24E7"/>
    <w:rsid w:val="008B4348"/>
    <w:rsid w:val="008B45C9"/>
    <w:rsid w:val="008B4A5F"/>
    <w:rsid w:val="008B6B4A"/>
    <w:rsid w:val="008B7FF8"/>
    <w:rsid w:val="008C0676"/>
    <w:rsid w:val="008C0859"/>
    <w:rsid w:val="008C162B"/>
    <w:rsid w:val="008C2F02"/>
    <w:rsid w:val="008C34E0"/>
    <w:rsid w:val="008C399B"/>
    <w:rsid w:val="008C3D4D"/>
    <w:rsid w:val="008C46E0"/>
    <w:rsid w:val="008C7104"/>
    <w:rsid w:val="008D0D2B"/>
    <w:rsid w:val="008D237F"/>
    <w:rsid w:val="008D3844"/>
    <w:rsid w:val="008D4A7E"/>
    <w:rsid w:val="008D55D6"/>
    <w:rsid w:val="008D67B3"/>
    <w:rsid w:val="008E0602"/>
    <w:rsid w:val="008E2649"/>
    <w:rsid w:val="008E4411"/>
    <w:rsid w:val="008E44E6"/>
    <w:rsid w:val="008E7D0C"/>
    <w:rsid w:val="008F0345"/>
    <w:rsid w:val="008F1EC7"/>
    <w:rsid w:val="008F201D"/>
    <w:rsid w:val="008F25E3"/>
    <w:rsid w:val="008F2DAE"/>
    <w:rsid w:val="008F2E25"/>
    <w:rsid w:val="008F3618"/>
    <w:rsid w:val="008F3DFF"/>
    <w:rsid w:val="008F603A"/>
    <w:rsid w:val="008F699C"/>
    <w:rsid w:val="008F7872"/>
    <w:rsid w:val="008F7EDB"/>
    <w:rsid w:val="00900A9E"/>
    <w:rsid w:val="0090151B"/>
    <w:rsid w:val="00901E05"/>
    <w:rsid w:val="00902118"/>
    <w:rsid w:val="00902224"/>
    <w:rsid w:val="00902320"/>
    <w:rsid w:val="00902408"/>
    <w:rsid w:val="009056E1"/>
    <w:rsid w:val="009060B9"/>
    <w:rsid w:val="009063CC"/>
    <w:rsid w:val="00906B27"/>
    <w:rsid w:val="00910FC2"/>
    <w:rsid w:val="00911444"/>
    <w:rsid w:val="00911790"/>
    <w:rsid w:val="009130F2"/>
    <w:rsid w:val="0091379A"/>
    <w:rsid w:val="00915D18"/>
    <w:rsid w:val="00924C59"/>
    <w:rsid w:val="00924D4C"/>
    <w:rsid w:val="00926AEF"/>
    <w:rsid w:val="00926F54"/>
    <w:rsid w:val="00930E4C"/>
    <w:rsid w:val="0093158B"/>
    <w:rsid w:val="00931886"/>
    <w:rsid w:val="009327E5"/>
    <w:rsid w:val="00935539"/>
    <w:rsid w:val="00940ADF"/>
    <w:rsid w:val="00943513"/>
    <w:rsid w:val="00943913"/>
    <w:rsid w:val="0094402B"/>
    <w:rsid w:val="009459D7"/>
    <w:rsid w:val="00946261"/>
    <w:rsid w:val="009465C9"/>
    <w:rsid w:val="009470AA"/>
    <w:rsid w:val="00950F78"/>
    <w:rsid w:val="00951ADD"/>
    <w:rsid w:val="00952186"/>
    <w:rsid w:val="00954B78"/>
    <w:rsid w:val="00954DA7"/>
    <w:rsid w:val="00955123"/>
    <w:rsid w:val="00956D95"/>
    <w:rsid w:val="00957644"/>
    <w:rsid w:val="00957D62"/>
    <w:rsid w:val="00957DC7"/>
    <w:rsid w:val="009607C6"/>
    <w:rsid w:val="00960D75"/>
    <w:rsid w:val="00960E37"/>
    <w:rsid w:val="00962265"/>
    <w:rsid w:val="009639CD"/>
    <w:rsid w:val="00963E22"/>
    <w:rsid w:val="009642F6"/>
    <w:rsid w:val="00964E52"/>
    <w:rsid w:val="0096595F"/>
    <w:rsid w:val="00967063"/>
    <w:rsid w:val="009678EB"/>
    <w:rsid w:val="00967E0A"/>
    <w:rsid w:val="00971531"/>
    <w:rsid w:val="00971825"/>
    <w:rsid w:val="00971CE7"/>
    <w:rsid w:val="00972118"/>
    <w:rsid w:val="009724A8"/>
    <w:rsid w:val="00973A9B"/>
    <w:rsid w:val="00974183"/>
    <w:rsid w:val="0097478B"/>
    <w:rsid w:val="0097610C"/>
    <w:rsid w:val="00976660"/>
    <w:rsid w:val="009769A3"/>
    <w:rsid w:val="00976F0C"/>
    <w:rsid w:val="009771D9"/>
    <w:rsid w:val="00980B36"/>
    <w:rsid w:val="00981DC2"/>
    <w:rsid w:val="00981F6F"/>
    <w:rsid w:val="00981FCD"/>
    <w:rsid w:val="00982ACA"/>
    <w:rsid w:val="00982FC0"/>
    <w:rsid w:val="00983043"/>
    <w:rsid w:val="00983279"/>
    <w:rsid w:val="00985A0B"/>
    <w:rsid w:val="009867D6"/>
    <w:rsid w:val="00986B1B"/>
    <w:rsid w:val="00987D91"/>
    <w:rsid w:val="009916E6"/>
    <w:rsid w:val="009920A1"/>
    <w:rsid w:val="00994019"/>
    <w:rsid w:val="00996AB0"/>
    <w:rsid w:val="00997042"/>
    <w:rsid w:val="0099759A"/>
    <w:rsid w:val="009A1425"/>
    <w:rsid w:val="009A16ED"/>
    <w:rsid w:val="009A2A02"/>
    <w:rsid w:val="009A4D58"/>
    <w:rsid w:val="009A4E82"/>
    <w:rsid w:val="009A5626"/>
    <w:rsid w:val="009A5C7D"/>
    <w:rsid w:val="009A79AF"/>
    <w:rsid w:val="009B091E"/>
    <w:rsid w:val="009B158B"/>
    <w:rsid w:val="009B1C3D"/>
    <w:rsid w:val="009B6275"/>
    <w:rsid w:val="009B6298"/>
    <w:rsid w:val="009C3AF4"/>
    <w:rsid w:val="009C3DB8"/>
    <w:rsid w:val="009C45FD"/>
    <w:rsid w:val="009C4A3F"/>
    <w:rsid w:val="009C4D67"/>
    <w:rsid w:val="009C6718"/>
    <w:rsid w:val="009C6760"/>
    <w:rsid w:val="009C6A8E"/>
    <w:rsid w:val="009C7025"/>
    <w:rsid w:val="009C7ED2"/>
    <w:rsid w:val="009D1BE7"/>
    <w:rsid w:val="009D3DDE"/>
    <w:rsid w:val="009D470A"/>
    <w:rsid w:val="009D6C37"/>
    <w:rsid w:val="009D747B"/>
    <w:rsid w:val="009D7AAE"/>
    <w:rsid w:val="009E0089"/>
    <w:rsid w:val="009E0ECC"/>
    <w:rsid w:val="009E1A04"/>
    <w:rsid w:val="009E28E4"/>
    <w:rsid w:val="009E44F1"/>
    <w:rsid w:val="009E54E5"/>
    <w:rsid w:val="009E5D1C"/>
    <w:rsid w:val="009F158E"/>
    <w:rsid w:val="009F1AE3"/>
    <w:rsid w:val="009F3948"/>
    <w:rsid w:val="009F3FE6"/>
    <w:rsid w:val="009F4FD1"/>
    <w:rsid w:val="009F7495"/>
    <w:rsid w:val="009F7BDD"/>
    <w:rsid w:val="00A016AF"/>
    <w:rsid w:val="00A01BD3"/>
    <w:rsid w:val="00A02F16"/>
    <w:rsid w:val="00A03059"/>
    <w:rsid w:val="00A03113"/>
    <w:rsid w:val="00A0330D"/>
    <w:rsid w:val="00A0358D"/>
    <w:rsid w:val="00A03847"/>
    <w:rsid w:val="00A06955"/>
    <w:rsid w:val="00A1213B"/>
    <w:rsid w:val="00A128BE"/>
    <w:rsid w:val="00A13E00"/>
    <w:rsid w:val="00A14339"/>
    <w:rsid w:val="00A15F95"/>
    <w:rsid w:val="00A16E6F"/>
    <w:rsid w:val="00A20F88"/>
    <w:rsid w:val="00A213D8"/>
    <w:rsid w:val="00A24ACD"/>
    <w:rsid w:val="00A27AFD"/>
    <w:rsid w:val="00A31F78"/>
    <w:rsid w:val="00A34CA7"/>
    <w:rsid w:val="00A37701"/>
    <w:rsid w:val="00A41356"/>
    <w:rsid w:val="00A41CB6"/>
    <w:rsid w:val="00A42D37"/>
    <w:rsid w:val="00A43C53"/>
    <w:rsid w:val="00A4436A"/>
    <w:rsid w:val="00A44CBA"/>
    <w:rsid w:val="00A45289"/>
    <w:rsid w:val="00A4645A"/>
    <w:rsid w:val="00A5136A"/>
    <w:rsid w:val="00A55003"/>
    <w:rsid w:val="00A5568A"/>
    <w:rsid w:val="00A563C4"/>
    <w:rsid w:val="00A568AF"/>
    <w:rsid w:val="00A56A70"/>
    <w:rsid w:val="00A61A91"/>
    <w:rsid w:val="00A6328F"/>
    <w:rsid w:val="00A64155"/>
    <w:rsid w:val="00A65F93"/>
    <w:rsid w:val="00A660A0"/>
    <w:rsid w:val="00A66C72"/>
    <w:rsid w:val="00A6729D"/>
    <w:rsid w:val="00A70403"/>
    <w:rsid w:val="00A716AD"/>
    <w:rsid w:val="00A71D04"/>
    <w:rsid w:val="00A71DEC"/>
    <w:rsid w:val="00A72445"/>
    <w:rsid w:val="00A731F1"/>
    <w:rsid w:val="00A732BE"/>
    <w:rsid w:val="00A733ED"/>
    <w:rsid w:val="00A73E0F"/>
    <w:rsid w:val="00A74DD4"/>
    <w:rsid w:val="00A76079"/>
    <w:rsid w:val="00A77BDD"/>
    <w:rsid w:val="00A8238B"/>
    <w:rsid w:val="00A84228"/>
    <w:rsid w:val="00A84F90"/>
    <w:rsid w:val="00A8538A"/>
    <w:rsid w:val="00A85977"/>
    <w:rsid w:val="00A86BBE"/>
    <w:rsid w:val="00A90C21"/>
    <w:rsid w:val="00A91582"/>
    <w:rsid w:val="00A91F48"/>
    <w:rsid w:val="00A926DF"/>
    <w:rsid w:val="00A93019"/>
    <w:rsid w:val="00A9373A"/>
    <w:rsid w:val="00A94D8B"/>
    <w:rsid w:val="00A957BE"/>
    <w:rsid w:val="00A9590A"/>
    <w:rsid w:val="00A96147"/>
    <w:rsid w:val="00AA0343"/>
    <w:rsid w:val="00AA0F0A"/>
    <w:rsid w:val="00AA2834"/>
    <w:rsid w:val="00AA3445"/>
    <w:rsid w:val="00AA494C"/>
    <w:rsid w:val="00AA4BC6"/>
    <w:rsid w:val="00AA60D5"/>
    <w:rsid w:val="00AA6201"/>
    <w:rsid w:val="00AA77D3"/>
    <w:rsid w:val="00AB0451"/>
    <w:rsid w:val="00AB06BE"/>
    <w:rsid w:val="00AB1372"/>
    <w:rsid w:val="00AB27A3"/>
    <w:rsid w:val="00AB36D4"/>
    <w:rsid w:val="00AB4970"/>
    <w:rsid w:val="00AB5614"/>
    <w:rsid w:val="00AB6AAF"/>
    <w:rsid w:val="00AB6C4C"/>
    <w:rsid w:val="00AC08EC"/>
    <w:rsid w:val="00AC1CA0"/>
    <w:rsid w:val="00AC5EFA"/>
    <w:rsid w:val="00AC6106"/>
    <w:rsid w:val="00AD1A7F"/>
    <w:rsid w:val="00AD1C0A"/>
    <w:rsid w:val="00AD2487"/>
    <w:rsid w:val="00AD5369"/>
    <w:rsid w:val="00AD546D"/>
    <w:rsid w:val="00AD5FA7"/>
    <w:rsid w:val="00AD6BDD"/>
    <w:rsid w:val="00AD72BF"/>
    <w:rsid w:val="00AE056E"/>
    <w:rsid w:val="00AE10D2"/>
    <w:rsid w:val="00AE1FBB"/>
    <w:rsid w:val="00AE2387"/>
    <w:rsid w:val="00AE2839"/>
    <w:rsid w:val="00AE30C8"/>
    <w:rsid w:val="00AE3EDA"/>
    <w:rsid w:val="00AE7E25"/>
    <w:rsid w:val="00AF124E"/>
    <w:rsid w:val="00AF1F6F"/>
    <w:rsid w:val="00AF3A5B"/>
    <w:rsid w:val="00AF3B67"/>
    <w:rsid w:val="00AF4B60"/>
    <w:rsid w:val="00AF4F3A"/>
    <w:rsid w:val="00AF530D"/>
    <w:rsid w:val="00AF72F2"/>
    <w:rsid w:val="00B025CB"/>
    <w:rsid w:val="00B03595"/>
    <w:rsid w:val="00B041FB"/>
    <w:rsid w:val="00B1098E"/>
    <w:rsid w:val="00B12CD3"/>
    <w:rsid w:val="00B1357D"/>
    <w:rsid w:val="00B20E8C"/>
    <w:rsid w:val="00B2322E"/>
    <w:rsid w:val="00B235E4"/>
    <w:rsid w:val="00B244E1"/>
    <w:rsid w:val="00B306E5"/>
    <w:rsid w:val="00B3100B"/>
    <w:rsid w:val="00B32DB8"/>
    <w:rsid w:val="00B3318A"/>
    <w:rsid w:val="00B34200"/>
    <w:rsid w:val="00B34C51"/>
    <w:rsid w:val="00B35711"/>
    <w:rsid w:val="00B36D31"/>
    <w:rsid w:val="00B373F7"/>
    <w:rsid w:val="00B37475"/>
    <w:rsid w:val="00B374CC"/>
    <w:rsid w:val="00B37A95"/>
    <w:rsid w:val="00B4061E"/>
    <w:rsid w:val="00B432DC"/>
    <w:rsid w:val="00B5009F"/>
    <w:rsid w:val="00B50E3C"/>
    <w:rsid w:val="00B53537"/>
    <w:rsid w:val="00B55461"/>
    <w:rsid w:val="00B55938"/>
    <w:rsid w:val="00B5700A"/>
    <w:rsid w:val="00B60974"/>
    <w:rsid w:val="00B61663"/>
    <w:rsid w:val="00B62D31"/>
    <w:rsid w:val="00B63890"/>
    <w:rsid w:val="00B640A4"/>
    <w:rsid w:val="00B65057"/>
    <w:rsid w:val="00B709EA"/>
    <w:rsid w:val="00B721FC"/>
    <w:rsid w:val="00B733E4"/>
    <w:rsid w:val="00B75D2C"/>
    <w:rsid w:val="00B77104"/>
    <w:rsid w:val="00B81F63"/>
    <w:rsid w:val="00B838CF"/>
    <w:rsid w:val="00B84A0F"/>
    <w:rsid w:val="00B84FD1"/>
    <w:rsid w:val="00B85BF2"/>
    <w:rsid w:val="00B87138"/>
    <w:rsid w:val="00B9150A"/>
    <w:rsid w:val="00B92875"/>
    <w:rsid w:val="00B932EE"/>
    <w:rsid w:val="00B9341A"/>
    <w:rsid w:val="00B9606C"/>
    <w:rsid w:val="00B97A88"/>
    <w:rsid w:val="00BA0B28"/>
    <w:rsid w:val="00BA1141"/>
    <w:rsid w:val="00BA139E"/>
    <w:rsid w:val="00BA1784"/>
    <w:rsid w:val="00BA30D1"/>
    <w:rsid w:val="00BA3588"/>
    <w:rsid w:val="00BA4B3F"/>
    <w:rsid w:val="00BA4DAB"/>
    <w:rsid w:val="00BA5B49"/>
    <w:rsid w:val="00BA74C2"/>
    <w:rsid w:val="00BB0F41"/>
    <w:rsid w:val="00BB3279"/>
    <w:rsid w:val="00BB3B0F"/>
    <w:rsid w:val="00BB5882"/>
    <w:rsid w:val="00BB73A3"/>
    <w:rsid w:val="00BB7727"/>
    <w:rsid w:val="00BB7F4C"/>
    <w:rsid w:val="00BC03D7"/>
    <w:rsid w:val="00BC0D29"/>
    <w:rsid w:val="00BC1134"/>
    <w:rsid w:val="00BC15D3"/>
    <w:rsid w:val="00BC1A10"/>
    <w:rsid w:val="00BC1DD7"/>
    <w:rsid w:val="00BC2035"/>
    <w:rsid w:val="00BC235B"/>
    <w:rsid w:val="00BC3C69"/>
    <w:rsid w:val="00BC3E8E"/>
    <w:rsid w:val="00BC4189"/>
    <w:rsid w:val="00BC4217"/>
    <w:rsid w:val="00BC4241"/>
    <w:rsid w:val="00BC77C1"/>
    <w:rsid w:val="00BD017B"/>
    <w:rsid w:val="00BD0A69"/>
    <w:rsid w:val="00BD11FE"/>
    <w:rsid w:val="00BD24F8"/>
    <w:rsid w:val="00BD39E6"/>
    <w:rsid w:val="00BD3D94"/>
    <w:rsid w:val="00BD55C0"/>
    <w:rsid w:val="00BE0DA7"/>
    <w:rsid w:val="00BE1289"/>
    <w:rsid w:val="00BE1C22"/>
    <w:rsid w:val="00BE375E"/>
    <w:rsid w:val="00BE463C"/>
    <w:rsid w:val="00BE49EE"/>
    <w:rsid w:val="00BE59FF"/>
    <w:rsid w:val="00BE5B6F"/>
    <w:rsid w:val="00BE5BCA"/>
    <w:rsid w:val="00BE72FD"/>
    <w:rsid w:val="00BF0211"/>
    <w:rsid w:val="00BF08A9"/>
    <w:rsid w:val="00BF154A"/>
    <w:rsid w:val="00BF1E90"/>
    <w:rsid w:val="00BF42A2"/>
    <w:rsid w:val="00BF50CB"/>
    <w:rsid w:val="00BF6097"/>
    <w:rsid w:val="00BF60B6"/>
    <w:rsid w:val="00BF6C84"/>
    <w:rsid w:val="00BF7C2E"/>
    <w:rsid w:val="00BF7E24"/>
    <w:rsid w:val="00C00671"/>
    <w:rsid w:val="00C02149"/>
    <w:rsid w:val="00C03180"/>
    <w:rsid w:val="00C050C0"/>
    <w:rsid w:val="00C05C73"/>
    <w:rsid w:val="00C05CA6"/>
    <w:rsid w:val="00C05F52"/>
    <w:rsid w:val="00C06E25"/>
    <w:rsid w:val="00C10511"/>
    <w:rsid w:val="00C120C4"/>
    <w:rsid w:val="00C1247A"/>
    <w:rsid w:val="00C1490C"/>
    <w:rsid w:val="00C1556C"/>
    <w:rsid w:val="00C1619B"/>
    <w:rsid w:val="00C206E4"/>
    <w:rsid w:val="00C20D0E"/>
    <w:rsid w:val="00C20D87"/>
    <w:rsid w:val="00C219E6"/>
    <w:rsid w:val="00C231FC"/>
    <w:rsid w:val="00C23B82"/>
    <w:rsid w:val="00C24FAC"/>
    <w:rsid w:val="00C256DB"/>
    <w:rsid w:val="00C26500"/>
    <w:rsid w:val="00C27827"/>
    <w:rsid w:val="00C303EF"/>
    <w:rsid w:val="00C306C5"/>
    <w:rsid w:val="00C3109D"/>
    <w:rsid w:val="00C314BE"/>
    <w:rsid w:val="00C33707"/>
    <w:rsid w:val="00C3444C"/>
    <w:rsid w:val="00C3590B"/>
    <w:rsid w:val="00C3636E"/>
    <w:rsid w:val="00C40F93"/>
    <w:rsid w:val="00C41390"/>
    <w:rsid w:val="00C4234B"/>
    <w:rsid w:val="00C45507"/>
    <w:rsid w:val="00C46E2E"/>
    <w:rsid w:val="00C473B2"/>
    <w:rsid w:val="00C47538"/>
    <w:rsid w:val="00C50C75"/>
    <w:rsid w:val="00C51585"/>
    <w:rsid w:val="00C53A54"/>
    <w:rsid w:val="00C54427"/>
    <w:rsid w:val="00C577AC"/>
    <w:rsid w:val="00C60912"/>
    <w:rsid w:val="00C61D87"/>
    <w:rsid w:val="00C62CD5"/>
    <w:rsid w:val="00C62EAD"/>
    <w:rsid w:val="00C632C6"/>
    <w:rsid w:val="00C63435"/>
    <w:rsid w:val="00C66BD7"/>
    <w:rsid w:val="00C66C21"/>
    <w:rsid w:val="00C72059"/>
    <w:rsid w:val="00C73A52"/>
    <w:rsid w:val="00C74D2B"/>
    <w:rsid w:val="00C75382"/>
    <w:rsid w:val="00C75765"/>
    <w:rsid w:val="00C7633E"/>
    <w:rsid w:val="00C76D67"/>
    <w:rsid w:val="00C81BBF"/>
    <w:rsid w:val="00C83996"/>
    <w:rsid w:val="00C83B91"/>
    <w:rsid w:val="00C84203"/>
    <w:rsid w:val="00C84511"/>
    <w:rsid w:val="00C84D48"/>
    <w:rsid w:val="00C867F3"/>
    <w:rsid w:val="00C8686C"/>
    <w:rsid w:val="00C86B18"/>
    <w:rsid w:val="00C87887"/>
    <w:rsid w:val="00C87E74"/>
    <w:rsid w:val="00C936F5"/>
    <w:rsid w:val="00C93A84"/>
    <w:rsid w:val="00C93EAF"/>
    <w:rsid w:val="00C944D9"/>
    <w:rsid w:val="00C95371"/>
    <w:rsid w:val="00C96994"/>
    <w:rsid w:val="00CA11CB"/>
    <w:rsid w:val="00CA199C"/>
    <w:rsid w:val="00CA1D22"/>
    <w:rsid w:val="00CA73DC"/>
    <w:rsid w:val="00CB05EF"/>
    <w:rsid w:val="00CB0653"/>
    <w:rsid w:val="00CB176D"/>
    <w:rsid w:val="00CB1F9F"/>
    <w:rsid w:val="00CB239B"/>
    <w:rsid w:val="00CB2CEB"/>
    <w:rsid w:val="00CB4411"/>
    <w:rsid w:val="00CB5D21"/>
    <w:rsid w:val="00CB6F76"/>
    <w:rsid w:val="00CB72C0"/>
    <w:rsid w:val="00CB7A0F"/>
    <w:rsid w:val="00CC00B7"/>
    <w:rsid w:val="00CC21C7"/>
    <w:rsid w:val="00CC260A"/>
    <w:rsid w:val="00CC273F"/>
    <w:rsid w:val="00CC2A69"/>
    <w:rsid w:val="00CC2ED5"/>
    <w:rsid w:val="00CC59A9"/>
    <w:rsid w:val="00CC5C96"/>
    <w:rsid w:val="00CC61BB"/>
    <w:rsid w:val="00CC787F"/>
    <w:rsid w:val="00CD5706"/>
    <w:rsid w:val="00CD64A5"/>
    <w:rsid w:val="00CD7066"/>
    <w:rsid w:val="00CD7497"/>
    <w:rsid w:val="00CE1DCD"/>
    <w:rsid w:val="00CE641C"/>
    <w:rsid w:val="00CE6FC5"/>
    <w:rsid w:val="00CE7E5D"/>
    <w:rsid w:val="00CF212C"/>
    <w:rsid w:val="00CF2831"/>
    <w:rsid w:val="00CF3A50"/>
    <w:rsid w:val="00D006AE"/>
    <w:rsid w:val="00D0195A"/>
    <w:rsid w:val="00D0293D"/>
    <w:rsid w:val="00D03428"/>
    <w:rsid w:val="00D036B2"/>
    <w:rsid w:val="00D0395F"/>
    <w:rsid w:val="00D03B65"/>
    <w:rsid w:val="00D03BC1"/>
    <w:rsid w:val="00D054F8"/>
    <w:rsid w:val="00D107DB"/>
    <w:rsid w:val="00D11489"/>
    <w:rsid w:val="00D117D9"/>
    <w:rsid w:val="00D120FD"/>
    <w:rsid w:val="00D1215E"/>
    <w:rsid w:val="00D14EE9"/>
    <w:rsid w:val="00D15AE3"/>
    <w:rsid w:val="00D170D9"/>
    <w:rsid w:val="00D1792C"/>
    <w:rsid w:val="00D17F34"/>
    <w:rsid w:val="00D2046F"/>
    <w:rsid w:val="00D2056C"/>
    <w:rsid w:val="00D210F8"/>
    <w:rsid w:val="00D2294F"/>
    <w:rsid w:val="00D253B7"/>
    <w:rsid w:val="00D2674B"/>
    <w:rsid w:val="00D27AA8"/>
    <w:rsid w:val="00D30281"/>
    <w:rsid w:val="00D313AA"/>
    <w:rsid w:val="00D3190E"/>
    <w:rsid w:val="00D321A3"/>
    <w:rsid w:val="00D32F0B"/>
    <w:rsid w:val="00D338ED"/>
    <w:rsid w:val="00D35A8D"/>
    <w:rsid w:val="00D36261"/>
    <w:rsid w:val="00D36E1E"/>
    <w:rsid w:val="00D4007B"/>
    <w:rsid w:val="00D41F4B"/>
    <w:rsid w:val="00D42363"/>
    <w:rsid w:val="00D425C4"/>
    <w:rsid w:val="00D4435C"/>
    <w:rsid w:val="00D44E0B"/>
    <w:rsid w:val="00D47F0A"/>
    <w:rsid w:val="00D522AD"/>
    <w:rsid w:val="00D522F3"/>
    <w:rsid w:val="00D52A4A"/>
    <w:rsid w:val="00D531C0"/>
    <w:rsid w:val="00D5398E"/>
    <w:rsid w:val="00D55BD4"/>
    <w:rsid w:val="00D56EB8"/>
    <w:rsid w:val="00D57AC4"/>
    <w:rsid w:val="00D600AE"/>
    <w:rsid w:val="00D6293B"/>
    <w:rsid w:val="00D63034"/>
    <w:rsid w:val="00D64EA6"/>
    <w:rsid w:val="00D663E8"/>
    <w:rsid w:val="00D67723"/>
    <w:rsid w:val="00D6788F"/>
    <w:rsid w:val="00D67B29"/>
    <w:rsid w:val="00D70D83"/>
    <w:rsid w:val="00D73B2C"/>
    <w:rsid w:val="00D75139"/>
    <w:rsid w:val="00D766A0"/>
    <w:rsid w:val="00D77B28"/>
    <w:rsid w:val="00D80F83"/>
    <w:rsid w:val="00D8175D"/>
    <w:rsid w:val="00D828B4"/>
    <w:rsid w:val="00D82E3C"/>
    <w:rsid w:val="00D83C2E"/>
    <w:rsid w:val="00D83C81"/>
    <w:rsid w:val="00D859D6"/>
    <w:rsid w:val="00D85E90"/>
    <w:rsid w:val="00D86912"/>
    <w:rsid w:val="00D87664"/>
    <w:rsid w:val="00D91DC6"/>
    <w:rsid w:val="00D92025"/>
    <w:rsid w:val="00D930EF"/>
    <w:rsid w:val="00DA020E"/>
    <w:rsid w:val="00DA0AC5"/>
    <w:rsid w:val="00DA1901"/>
    <w:rsid w:val="00DA1EFC"/>
    <w:rsid w:val="00DA3163"/>
    <w:rsid w:val="00DA4118"/>
    <w:rsid w:val="00DA412E"/>
    <w:rsid w:val="00DA44FF"/>
    <w:rsid w:val="00DA5B11"/>
    <w:rsid w:val="00DA5BC9"/>
    <w:rsid w:val="00DA5FD9"/>
    <w:rsid w:val="00DA7074"/>
    <w:rsid w:val="00DA7DAC"/>
    <w:rsid w:val="00DB11FB"/>
    <w:rsid w:val="00DB132C"/>
    <w:rsid w:val="00DB2BD7"/>
    <w:rsid w:val="00DB2EF8"/>
    <w:rsid w:val="00DB3AFA"/>
    <w:rsid w:val="00DB50DD"/>
    <w:rsid w:val="00DB5A59"/>
    <w:rsid w:val="00DB7A68"/>
    <w:rsid w:val="00DC109C"/>
    <w:rsid w:val="00DC270F"/>
    <w:rsid w:val="00DC31DF"/>
    <w:rsid w:val="00DC3364"/>
    <w:rsid w:val="00DC4706"/>
    <w:rsid w:val="00DC507E"/>
    <w:rsid w:val="00DC7104"/>
    <w:rsid w:val="00DD0B81"/>
    <w:rsid w:val="00DD0EBD"/>
    <w:rsid w:val="00DD1488"/>
    <w:rsid w:val="00DD240C"/>
    <w:rsid w:val="00DD2C43"/>
    <w:rsid w:val="00DD2D39"/>
    <w:rsid w:val="00DD58F0"/>
    <w:rsid w:val="00DD5B4C"/>
    <w:rsid w:val="00DD6C3C"/>
    <w:rsid w:val="00DE01E1"/>
    <w:rsid w:val="00DE0463"/>
    <w:rsid w:val="00DE0E26"/>
    <w:rsid w:val="00DE12BE"/>
    <w:rsid w:val="00DE2D4F"/>
    <w:rsid w:val="00DE3A2A"/>
    <w:rsid w:val="00DE4644"/>
    <w:rsid w:val="00DE69AC"/>
    <w:rsid w:val="00DE7AEF"/>
    <w:rsid w:val="00DF3DEE"/>
    <w:rsid w:val="00DF435B"/>
    <w:rsid w:val="00DF638D"/>
    <w:rsid w:val="00E01180"/>
    <w:rsid w:val="00E01353"/>
    <w:rsid w:val="00E02E14"/>
    <w:rsid w:val="00E03650"/>
    <w:rsid w:val="00E03C9D"/>
    <w:rsid w:val="00E03D77"/>
    <w:rsid w:val="00E04029"/>
    <w:rsid w:val="00E0446C"/>
    <w:rsid w:val="00E0548C"/>
    <w:rsid w:val="00E058AB"/>
    <w:rsid w:val="00E05F84"/>
    <w:rsid w:val="00E07B28"/>
    <w:rsid w:val="00E11A73"/>
    <w:rsid w:val="00E12449"/>
    <w:rsid w:val="00E1247E"/>
    <w:rsid w:val="00E12B5F"/>
    <w:rsid w:val="00E14EFE"/>
    <w:rsid w:val="00E14FD8"/>
    <w:rsid w:val="00E15EF0"/>
    <w:rsid w:val="00E16EC7"/>
    <w:rsid w:val="00E17534"/>
    <w:rsid w:val="00E1792E"/>
    <w:rsid w:val="00E17A76"/>
    <w:rsid w:val="00E211AB"/>
    <w:rsid w:val="00E212C8"/>
    <w:rsid w:val="00E21731"/>
    <w:rsid w:val="00E21A15"/>
    <w:rsid w:val="00E21E86"/>
    <w:rsid w:val="00E22BCC"/>
    <w:rsid w:val="00E2495A"/>
    <w:rsid w:val="00E25343"/>
    <w:rsid w:val="00E31F83"/>
    <w:rsid w:val="00E32155"/>
    <w:rsid w:val="00E3328D"/>
    <w:rsid w:val="00E3353C"/>
    <w:rsid w:val="00E339D4"/>
    <w:rsid w:val="00E34823"/>
    <w:rsid w:val="00E34B3C"/>
    <w:rsid w:val="00E34B43"/>
    <w:rsid w:val="00E35A59"/>
    <w:rsid w:val="00E36A14"/>
    <w:rsid w:val="00E36EFB"/>
    <w:rsid w:val="00E3712A"/>
    <w:rsid w:val="00E37410"/>
    <w:rsid w:val="00E41003"/>
    <w:rsid w:val="00E41E00"/>
    <w:rsid w:val="00E42938"/>
    <w:rsid w:val="00E44EA3"/>
    <w:rsid w:val="00E45289"/>
    <w:rsid w:val="00E45967"/>
    <w:rsid w:val="00E47DBC"/>
    <w:rsid w:val="00E502A3"/>
    <w:rsid w:val="00E50FE6"/>
    <w:rsid w:val="00E510F6"/>
    <w:rsid w:val="00E5221E"/>
    <w:rsid w:val="00E528AF"/>
    <w:rsid w:val="00E52918"/>
    <w:rsid w:val="00E53027"/>
    <w:rsid w:val="00E54D6D"/>
    <w:rsid w:val="00E55087"/>
    <w:rsid w:val="00E55698"/>
    <w:rsid w:val="00E573B5"/>
    <w:rsid w:val="00E578B0"/>
    <w:rsid w:val="00E57BB8"/>
    <w:rsid w:val="00E60018"/>
    <w:rsid w:val="00E61DE5"/>
    <w:rsid w:val="00E63B6D"/>
    <w:rsid w:val="00E63DD5"/>
    <w:rsid w:val="00E649CD"/>
    <w:rsid w:val="00E65B41"/>
    <w:rsid w:val="00E661AB"/>
    <w:rsid w:val="00E6660A"/>
    <w:rsid w:val="00E66613"/>
    <w:rsid w:val="00E72A3C"/>
    <w:rsid w:val="00E739C6"/>
    <w:rsid w:val="00E73D7D"/>
    <w:rsid w:val="00E74A9F"/>
    <w:rsid w:val="00E75A36"/>
    <w:rsid w:val="00E7674B"/>
    <w:rsid w:val="00E77394"/>
    <w:rsid w:val="00E778CB"/>
    <w:rsid w:val="00E80F9B"/>
    <w:rsid w:val="00E81076"/>
    <w:rsid w:val="00E81353"/>
    <w:rsid w:val="00E83A77"/>
    <w:rsid w:val="00E85027"/>
    <w:rsid w:val="00E86DE1"/>
    <w:rsid w:val="00E8714E"/>
    <w:rsid w:val="00E87A61"/>
    <w:rsid w:val="00E9098A"/>
    <w:rsid w:val="00E90C90"/>
    <w:rsid w:val="00E97718"/>
    <w:rsid w:val="00E979A0"/>
    <w:rsid w:val="00EA0498"/>
    <w:rsid w:val="00EA1626"/>
    <w:rsid w:val="00EA2E01"/>
    <w:rsid w:val="00EA2E9C"/>
    <w:rsid w:val="00EA406A"/>
    <w:rsid w:val="00EA45EE"/>
    <w:rsid w:val="00EA65D5"/>
    <w:rsid w:val="00EA72E7"/>
    <w:rsid w:val="00EB1484"/>
    <w:rsid w:val="00EB3EC0"/>
    <w:rsid w:val="00EB5616"/>
    <w:rsid w:val="00EB607C"/>
    <w:rsid w:val="00EB79AC"/>
    <w:rsid w:val="00EC060B"/>
    <w:rsid w:val="00EC06D2"/>
    <w:rsid w:val="00EC2452"/>
    <w:rsid w:val="00EC49C4"/>
    <w:rsid w:val="00EC5001"/>
    <w:rsid w:val="00EC52E0"/>
    <w:rsid w:val="00EC5534"/>
    <w:rsid w:val="00EC6B59"/>
    <w:rsid w:val="00EC72B7"/>
    <w:rsid w:val="00ED1B0E"/>
    <w:rsid w:val="00ED239B"/>
    <w:rsid w:val="00ED572D"/>
    <w:rsid w:val="00ED5E73"/>
    <w:rsid w:val="00ED6E8E"/>
    <w:rsid w:val="00EE1526"/>
    <w:rsid w:val="00EE1F75"/>
    <w:rsid w:val="00EE3419"/>
    <w:rsid w:val="00EE4340"/>
    <w:rsid w:val="00EE5719"/>
    <w:rsid w:val="00EE7108"/>
    <w:rsid w:val="00EF2A07"/>
    <w:rsid w:val="00EF50D3"/>
    <w:rsid w:val="00EF57B7"/>
    <w:rsid w:val="00F0087C"/>
    <w:rsid w:val="00F00A0E"/>
    <w:rsid w:val="00F00BAF"/>
    <w:rsid w:val="00F01F16"/>
    <w:rsid w:val="00F02DFF"/>
    <w:rsid w:val="00F03067"/>
    <w:rsid w:val="00F0475B"/>
    <w:rsid w:val="00F05762"/>
    <w:rsid w:val="00F06979"/>
    <w:rsid w:val="00F06DA0"/>
    <w:rsid w:val="00F07693"/>
    <w:rsid w:val="00F07830"/>
    <w:rsid w:val="00F07A5D"/>
    <w:rsid w:val="00F07B74"/>
    <w:rsid w:val="00F10130"/>
    <w:rsid w:val="00F10145"/>
    <w:rsid w:val="00F10440"/>
    <w:rsid w:val="00F10D24"/>
    <w:rsid w:val="00F11D5B"/>
    <w:rsid w:val="00F135D8"/>
    <w:rsid w:val="00F144C9"/>
    <w:rsid w:val="00F148B5"/>
    <w:rsid w:val="00F14A36"/>
    <w:rsid w:val="00F1697C"/>
    <w:rsid w:val="00F174AA"/>
    <w:rsid w:val="00F2002C"/>
    <w:rsid w:val="00F202E7"/>
    <w:rsid w:val="00F227AA"/>
    <w:rsid w:val="00F238A0"/>
    <w:rsid w:val="00F24985"/>
    <w:rsid w:val="00F266FB"/>
    <w:rsid w:val="00F27052"/>
    <w:rsid w:val="00F3052B"/>
    <w:rsid w:val="00F32ADA"/>
    <w:rsid w:val="00F34E32"/>
    <w:rsid w:val="00F35920"/>
    <w:rsid w:val="00F35F6D"/>
    <w:rsid w:val="00F40676"/>
    <w:rsid w:val="00F43311"/>
    <w:rsid w:val="00F43BAB"/>
    <w:rsid w:val="00F44451"/>
    <w:rsid w:val="00F4491E"/>
    <w:rsid w:val="00F46D39"/>
    <w:rsid w:val="00F50907"/>
    <w:rsid w:val="00F514A0"/>
    <w:rsid w:val="00F5424A"/>
    <w:rsid w:val="00F54A64"/>
    <w:rsid w:val="00F552CE"/>
    <w:rsid w:val="00F57080"/>
    <w:rsid w:val="00F608DD"/>
    <w:rsid w:val="00F614BB"/>
    <w:rsid w:val="00F61AFA"/>
    <w:rsid w:val="00F626DC"/>
    <w:rsid w:val="00F6295F"/>
    <w:rsid w:val="00F63A03"/>
    <w:rsid w:val="00F63DC6"/>
    <w:rsid w:val="00F64E03"/>
    <w:rsid w:val="00F64FD1"/>
    <w:rsid w:val="00F65823"/>
    <w:rsid w:val="00F66089"/>
    <w:rsid w:val="00F707D6"/>
    <w:rsid w:val="00F70C0B"/>
    <w:rsid w:val="00F71330"/>
    <w:rsid w:val="00F71FAB"/>
    <w:rsid w:val="00F7403D"/>
    <w:rsid w:val="00F74C76"/>
    <w:rsid w:val="00F76BEE"/>
    <w:rsid w:val="00F80DF2"/>
    <w:rsid w:val="00F819B6"/>
    <w:rsid w:val="00F81BFE"/>
    <w:rsid w:val="00F81C39"/>
    <w:rsid w:val="00F83240"/>
    <w:rsid w:val="00F839F6"/>
    <w:rsid w:val="00F8505D"/>
    <w:rsid w:val="00F85DE4"/>
    <w:rsid w:val="00F8753A"/>
    <w:rsid w:val="00F8798B"/>
    <w:rsid w:val="00F87C3D"/>
    <w:rsid w:val="00F902A3"/>
    <w:rsid w:val="00F9081A"/>
    <w:rsid w:val="00F90E81"/>
    <w:rsid w:val="00F921F1"/>
    <w:rsid w:val="00F9268F"/>
    <w:rsid w:val="00F950A6"/>
    <w:rsid w:val="00F95527"/>
    <w:rsid w:val="00F962FA"/>
    <w:rsid w:val="00F965F2"/>
    <w:rsid w:val="00F96A75"/>
    <w:rsid w:val="00F97EF7"/>
    <w:rsid w:val="00FA0419"/>
    <w:rsid w:val="00FA1538"/>
    <w:rsid w:val="00FA1A91"/>
    <w:rsid w:val="00FB03A3"/>
    <w:rsid w:val="00FB066B"/>
    <w:rsid w:val="00FB1D35"/>
    <w:rsid w:val="00FB1FBD"/>
    <w:rsid w:val="00FB2D18"/>
    <w:rsid w:val="00FB407C"/>
    <w:rsid w:val="00FB4FE6"/>
    <w:rsid w:val="00FB5F7D"/>
    <w:rsid w:val="00FB613E"/>
    <w:rsid w:val="00FC0604"/>
    <w:rsid w:val="00FC1927"/>
    <w:rsid w:val="00FC2325"/>
    <w:rsid w:val="00FC286E"/>
    <w:rsid w:val="00FC2CAB"/>
    <w:rsid w:val="00FC2D1A"/>
    <w:rsid w:val="00FC3E5E"/>
    <w:rsid w:val="00FC492C"/>
    <w:rsid w:val="00FC536C"/>
    <w:rsid w:val="00FC54A2"/>
    <w:rsid w:val="00FC63D0"/>
    <w:rsid w:val="00FC7555"/>
    <w:rsid w:val="00FC774C"/>
    <w:rsid w:val="00FC79FA"/>
    <w:rsid w:val="00FC7A24"/>
    <w:rsid w:val="00FD08DC"/>
    <w:rsid w:val="00FD1143"/>
    <w:rsid w:val="00FD1C61"/>
    <w:rsid w:val="00FD1CBC"/>
    <w:rsid w:val="00FD2139"/>
    <w:rsid w:val="00FD26DD"/>
    <w:rsid w:val="00FD48A1"/>
    <w:rsid w:val="00FD4C82"/>
    <w:rsid w:val="00FD5CC6"/>
    <w:rsid w:val="00FD5FE4"/>
    <w:rsid w:val="00FD6F5C"/>
    <w:rsid w:val="00FD763A"/>
    <w:rsid w:val="00FE067A"/>
    <w:rsid w:val="00FE08AD"/>
    <w:rsid w:val="00FE1D17"/>
    <w:rsid w:val="00FE5CCE"/>
    <w:rsid w:val="00FE6A54"/>
    <w:rsid w:val="00FF2619"/>
    <w:rsid w:val="00FF2E14"/>
    <w:rsid w:val="00FF76D4"/>
  </w:rsids>
  <m:mathPr>
    <m:mathFont m:val="Cambria Math"/>
    <m:brkBin m:val="before"/>
    <m:brkBinSub m:val="--"/>
    <m:smallFrac/>
    <m:dispDef/>
    <m:lMargin m:val="0"/>
    <m:rMargin m:val="0"/>
    <m:defJc m:val="centerGroup"/>
    <m:wrapIndent m:val="1440"/>
    <m:intLim m:val="subSup"/>
    <m:naryLim m:val="undOvr"/>
  </m:mathPr>
  <w:themeFontLang w:val="en-CA"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5" w:uiPriority="39"/>
    <w:lsdException w:name="toc 6" w:uiPriority="39"/>
    <w:lsdException w:name="toc 7" w:uiPriority="39"/>
    <w:lsdException w:name="toc 8" w:uiPriority="39"/>
    <w:lsdException w:name="toc 9" w:uiPriority="39"/>
    <w:lsdException w:name="Normal Indent" w:uiPriority="4" w:qFormat="1"/>
    <w:lsdException w:name="footnote text" w:qFormat="1"/>
    <w:lsdException w:name="header" w:uiPriority="0"/>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A0330D"/>
    <w:pPr>
      <w:spacing w:after="200" w:line="276" w:lineRule="auto"/>
      <w:jc w:val="both"/>
    </w:pPr>
    <w:rPr>
      <w:rFonts w:ascii="Times New Roman" w:hAnsi="Times New Roman"/>
      <w:sz w:val="24"/>
      <w:szCs w:val="24"/>
      <w:lang w:val="en-GB" w:eastAsia="en-US"/>
    </w:rPr>
  </w:style>
  <w:style w:type="paragraph" w:styleId="Heading1">
    <w:name w:val="heading 1"/>
    <w:basedOn w:val="ListParagraph"/>
    <w:next w:val="Normal"/>
    <w:link w:val="Heading1Char1"/>
    <w:qFormat/>
    <w:rsid w:val="00B12CD3"/>
    <w:pPr>
      <w:keepNext/>
      <w:spacing w:after="240" w:line="240" w:lineRule="auto"/>
      <w:ind w:left="0"/>
      <w:contextualSpacing w:val="0"/>
      <w:outlineLvl w:val="0"/>
    </w:pPr>
    <w:rPr>
      <w:b/>
      <w:smallCaps/>
      <w:color w:val="17365D"/>
      <w:sz w:val="36"/>
      <w:szCs w:val="36"/>
    </w:rPr>
  </w:style>
  <w:style w:type="paragraph" w:styleId="Heading2">
    <w:name w:val="heading 2"/>
    <w:basedOn w:val="ListParagraph"/>
    <w:next w:val="Normal"/>
    <w:link w:val="Heading2Char1"/>
    <w:qFormat/>
    <w:rsid w:val="003C397D"/>
    <w:pPr>
      <w:keepNext/>
      <w:numPr>
        <w:ilvl w:val="1"/>
        <w:numId w:val="11"/>
      </w:numPr>
      <w:spacing w:before="600" w:after="120"/>
      <w:outlineLvl w:val="1"/>
    </w:pPr>
    <w:rPr>
      <w:b/>
      <w:color w:val="17365D"/>
      <w:sz w:val="28"/>
      <w:szCs w:val="28"/>
    </w:rPr>
  </w:style>
  <w:style w:type="paragraph" w:styleId="Heading3">
    <w:name w:val="heading 3"/>
    <w:basedOn w:val="Normal"/>
    <w:next w:val="Normal"/>
    <w:link w:val="Heading3Char1"/>
    <w:qFormat/>
    <w:rsid w:val="00363D60"/>
    <w:pPr>
      <w:keepNext/>
      <w:numPr>
        <w:ilvl w:val="2"/>
        <w:numId w:val="10"/>
      </w:numPr>
      <w:spacing w:before="240" w:after="60"/>
      <w:outlineLvl w:val="2"/>
    </w:pPr>
    <w:rPr>
      <w:rFonts w:eastAsia="Times New Roman"/>
      <w:b/>
      <w:bCs/>
      <w:color w:val="17365D"/>
    </w:rPr>
  </w:style>
  <w:style w:type="paragraph" w:styleId="Heading4">
    <w:name w:val="heading 4"/>
    <w:basedOn w:val="Normal"/>
    <w:next w:val="Normal"/>
    <w:link w:val="Heading4Char1"/>
    <w:qFormat/>
    <w:rsid w:val="00834352"/>
    <w:pPr>
      <w:keepNext/>
      <w:numPr>
        <w:ilvl w:val="3"/>
        <w:numId w:val="10"/>
      </w:numPr>
      <w:spacing w:before="240" w:after="60"/>
      <w:outlineLvl w:val="3"/>
    </w:pPr>
    <w:rPr>
      <w:rFonts w:ascii="Calibri" w:eastAsia="Times New Roman" w:hAnsi="Calibri"/>
      <w:b/>
      <w:bCs/>
      <w:sz w:val="28"/>
      <w:szCs w:val="28"/>
    </w:rPr>
  </w:style>
  <w:style w:type="paragraph" w:styleId="Heading5">
    <w:name w:val="heading 5"/>
    <w:basedOn w:val="Normal"/>
    <w:next w:val="Normal"/>
    <w:link w:val="Heading5Char1"/>
    <w:qFormat/>
    <w:rsid w:val="00834352"/>
    <w:pPr>
      <w:numPr>
        <w:ilvl w:val="4"/>
        <w:numId w:val="10"/>
      </w:numPr>
      <w:spacing w:before="240" w:after="60"/>
      <w:outlineLvl w:val="4"/>
    </w:pPr>
    <w:rPr>
      <w:rFonts w:ascii="Calibri" w:eastAsia="Times New Roman" w:hAnsi="Calibri"/>
      <w:b/>
      <w:bCs/>
      <w:i/>
      <w:iCs/>
      <w:sz w:val="26"/>
      <w:szCs w:val="26"/>
    </w:rPr>
  </w:style>
  <w:style w:type="paragraph" w:styleId="Heading6">
    <w:name w:val="heading 6"/>
    <w:basedOn w:val="Normal"/>
    <w:next w:val="Normal"/>
    <w:link w:val="Heading6Char1"/>
    <w:qFormat/>
    <w:rsid w:val="00834352"/>
    <w:pPr>
      <w:numPr>
        <w:ilvl w:val="5"/>
        <w:numId w:val="10"/>
      </w:numPr>
      <w:spacing w:before="240" w:after="60"/>
      <w:outlineLvl w:val="5"/>
    </w:pPr>
    <w:rPr>
      <w:rFonts w:ascii="Calibri" w:eastAsia="Times New Roman" w:hAnsi="Calibri"/>
      <w:b/>
      <w:bCs/>
      <w:szCs w:val="22"/>
    </w:rPr>
  </w:style>
  <w:style w:type="paragraph" w:styleId="Heading7">
    <w:name w:val="heading 7"/>
    <w:basedOn w:val="Normal"/>
    <w:next w:val="Normal"/>
    <w:link w:val="Heading7Char1"/>
    <w:qFormat/>
    <w:rsid w:val="00834352"/>
    <w:pPr>
      <w:numPr>
        <w:ilvl w:val="6"/>
        <w:numId w:val="10"/>
      </w:numPr>
      <w:spacing w:before="240" w:after="60"/>
      <w:outlineLvl w:val="6"/>
    </w:pPr>
    <w:rPr>
      <w:rFonts w:ascii="Calibri" w:eastAsia="Times New Roman" w:hAnsi="Calibri"/>
    </w:rPr>
  </w:style>
  <w:style w:type="paragraph" w:styleId="Heading8">
    <w:name w:val="heading 8"/>
    <w:basedOn w:val="Normal"/>
    <w:next w:val="Normal"/>
    <w:link w:val="Heading8Char1"/>
    <w:qFormat/>
    <w:rsid w:val="00834352"/>
    <w:pPr>
      <w:numPr>
        <w:ilvl w:val="7"/>
        <w:numId w:val="10"/>
      </w:numPr>
      <w:spacing w:before="240" w:after="60"/>
      <w:outlineLvl w:val="7"/>
    </w:pPr>
    <w:rPr>
      <w:rFonts w:ascii="Calibri" w:eastAsia="Times New Roman" w:hAnsi="Calibri"/>
      <w:i/>
      <w:iCs/>
    </w:rPr>
  </w:style>
  <w:style w:type="paragraph" w:styleId="Heading9">
    <w:name w:val="heading 9"/>
    <w:basedOn w:val="Normal"/>
    <w:next w:val="Normal"/>
    <w:link w:val="Heading9Char1"/>
    <w:qFormat/>
    <w:rsid w:val="00834352"/>
    <w:pPr>
      <w:numPr>
        <w:ilvl w:val="8"/>
        <w:numId w:val="10"/>
      </w:numPr>
      <w:spacing w:before="240" w:after="60"/>
      <w:outlineLvl w:val="8"/>
    </w:pPr>
    <w:rPr>
      <w:rFonts w:ascii="Cambria" w:eastAsia="Times New Roman"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4352"/>
    <w:pPr>
      <w:ind w:left="720"/>
      <w:contextualSpacing/>
    </w:pPr>
  </w:style>
  <w:style w:type="paragraph" w:styleId="BalloonText">
    <w:name w:val="Balloon Text"/>
    <w:basedOn w:val="Normal"/>
    <w:link w:val="BalloonTextChar1"/>
    <w:uiPriority w:val="99"/>
    <w:unhideWhenUsed/>
    <w:rsid w:val="00834352"/>
    <w:pPr>
      <w:spacing w:after="0" w:line="240" w:lineRule="auto"/>
    </w:pPr>
    <w:rPr>
      <w:rFonts w:ascii="Tahoma" w:hAnsi="Tahoma" w:cs="Tahoma"/>
      <w:sz w:val="16"/>
      <w:szCs w:val="16"/>
    </w:rPr>
  </w:style>
  <w:style w:type="character" w:customStyle="1" w:styleId="BalloonTextChar">
    <w:name w:val="Balloon Text Char"/>
    <w:basedOn w:val="DefaultParagraphFont"/>
    <w:semiHidden/>
    <w:rsid w:val="00834352"/>
    <w:rPr>
      <w:rFonts w:ascii="Tahoma" w:hAnsi="Tahoma" w:cs="Tahoma"/>
      <w:sz w:val="16"/>
      <w:szCs w:val="16"/>
      <w:lang w:val="en-US" w:eastAsia="en-US"/>
    </w:rPr>
  </w:style>
  <w:style w:type="paragraph" w:styleId="Header">
    <w:name w:val="header"/>
    <w:link w:val="HeaderChar1"/>
    <w:unhideWhenUsed/>
    <w:rsid w:val="001C74E5"/>
    <w:pPr>
      <w:tabs>
        <w:tab w:val="center" w:pos="4680"/>
        <w:tab w:val="right" w:pos="9360"/>
      </w:tabs>
    </w:pPr>
    <w:rPr>
      <w:rFonts w:ascii="Times New Roman" w:hAnsi="Times New Roman"/>
      <w:b/>
      <w:i/>
      <w:sz w:val="18"/>
      <w:szCs w:val="24"/>
      <w:lang w:val="en-US" w:eastAsia="en-US"/>
    </w:rPr>
  </w:style>
  <w:style w:type="character" w:customStyle="1" w:styleId="HeaderChar">
    <w:name w:val="Header Char"/>
    <w:basedOn w:val="DefaultParagraphFont"/>
    <w:uiPriority w:val="99"/>
    <w:rsid w:val="00834352"/>
    <w:rPr>
      <w:sz w:val="22"/>
      <w:szCs w:val="22"/>
    </w:rPr>
  </w:style>
  <w:style w:type="paragraph" w:styleId="Footer">
    <w:name w:val="footer"/>
    <w:basedOn w:val="Normal"/>
    <w:link w:val="FooterChar1"/>
    <w:uiPriority w:val="99"/>
    <w:unhideWhenUsed/>
    <w:rsid w:val="00834352"/>
    <w:pPr>
      <w:tabs>
        <w:tab w:val="center" w:pos="4680"/>
        <w:tab w:val="right" w:pos="9360"/>
      </w:tabs>
    </w:pPr>
  </w:style>
  <w:style w:type="character" w:customStyle="1" w:styleId="FooterChar">
    <w:name w:val="Footer Char"/>
    <w:basedOn w:val="DefaultParagraphFont"/>
    <w:uiPriority w:val="99"/>
    <w:rsid w:val="00834352"/>
    <w:rPr>
      <w:sz w:val="22"/>
      <w:szCs w:val="22"/>
    </w:rPr>
  </w:style>
  <w:style w:type="paragraph" w:styleId="FootnoteText">
    <w:name w:val="footnote text"/>
    <w:aliases w:val="Footnote Text Quote,f"/>
    <w:basedOn w:val="Normal"/>
    <w:link w:val="FootnoteTextChar1"/>
    <w:uiPriority w:val="99"/>
    <w:unhideWhenUsed/>
    <w:qFormat/>
    <w:rsid w:val="00834352"/>
    <w:pPr>
      <w:spacing w:after="0" w:line="240" w:lineRule="auto"/>
    </w:pPr>
    <w:rPr>
      <w:sz w:val="20"/>
      <w:szCs w:val="20"/>
      <w:lang w:bidi="en-US"/>
    </w:rPr>
  </w:style>
  <w:style w:type="character" w:customStyle="1" w:styleId="FootnoteTextChar">
    <w:name w:val="Footnote Text Char"/>
    <w:aliases w:val="Footnote Text Quote Char,f Char"/>
    <w:basedOn w:val="DefaultParagraphFont"/>
    <w:uiPriority w:val="99"/>
    <w:rsid w:val="00834352"/>
    <w:rPr>
      <w:rFonts w:ascii="Times New Roman" w:hAnsi="Times New Roman"/>
      <w:lang w:bidi="en-US"/>
    </w:rPr>
  </w:style>
  <w:style w:type="character" w:styleId="FootnoteReference">
    <w:name w:val="footnote reference"/>
    <w:aliases w:val="ftref"/>
    <w:basedOn w:val="DefaultParagraphFont"/>
    <w:uiPriority w:val="99"/>
    <w:semiHidden/>
    <w:unhideWhenUsed/>
    <w:rsid w:val="00834352"/>
    <w:rPr>
      <w:vertAlign w:val="superscript"/>
    </w:rPr>
  </w:style>
  <w:style w:type="character" w:customStyle="1" w:styleId="Heading1Char">
    <w:name w:val="Heading 1 Char"/>
    <w:basedOn w:val="DefaultParagraphFont"/>
    <w:rsid w:val="00834352"/>
    <w:rPr>
      <w:rFonts w:ascii="Times New Roman" w:hAnsi="Times New Roman"/>
      <w:b/>
      <w:smallCaps/>
      <w:color w:val="244061"/>
      <w:sz w:val="36"/>
      <w:szCs w:val="36"/>
      <w:lang w:val="sv-SE" w:eastAsia="en-US"/>
    </w:rPr>
  </w:style>
  <w:style w:type="character" w:customStyle="1" w:styleId="Heading2Char">
    <w:name w:val="Heading 2 Char"/>
    <w:basedOn w:val="DefaultParagraphFont"/>
    <w:rsid w:val="00834352"/>
    <w:rPr>
      <w:rFonts w:ascii="Times New Roman" w:hAnsi="Times New Roman"/>
      <w:b/>
      <w:color w:val="244061"/>
      <w:sz w:val="22"/>
      <w:szCs w:val="24"/>
      <w:lang w:val="en-US" w:eastAsia="en-US"/>
    </w:rPr>
  </w:style>
  <w:style w:type="character" w:customStyle="1" w:styleId="Heading3Char">
    <w:name w:val="Heading 3 Char"/>
    <w:basedOn w:val="DefaultParagraphFont"/>
    <w:rsid w:val="00834352"/>
    <w:rPr>
      <w:rFonts w:ascii="Times New Roman" w:eastAsia="Times New Roman" w:hAnsi="Times New Roman"/>
      <w:b/>
      <w:bCs/>
      <w:i/>
      <w:color w:val="244061"/>
      <w:sz w:val="22"/>
      <w:szCs w:val="24"/>
      <w:lang w:val="en-GB" w:eastAsia="en-US"/>
    </w:rPr>
  </w:style>
  <w:style w:type="paragraph" w:styleId="TOCHeading">
    <w:name w:val="TOC Heading"/>
    <w:basedOn w:val="Heading1"/>
    <w:next w:val="Normal"/>
    <w:qFormat/>
    <w:rsid w:val="00834352"/>
    <w:pPr>
      <w:keepLines/>
      <w:spacing w:before="480" w:after="0"/>
      <w:outlineLvl w:val="9"/>
    </w:pPr>
    <w:rPr>
      <w:rFonts w:ascii="Cambria" w:eastAsia="Times New Roman" w:hAnsi="Cambria"/>
      <w:bCs/>
      <w:smallCaps w:val="0"/>
      <w:color w:val="365F91"/>
      <w:sz w:val="28"/>
      <w:szCs w:val="28"/>
      <w:lang w:val="en-US"/>
    </w:rPr>
  </w:style>
  <w:style w:type="paragraph" w:styleId="TOC1">
    <w:name w:val="toc 1"/>
    <w:basedOn w:val="Normal"/>
    <w:next w:val="Normal"/>
    <w:autoRedefine/>
    <w:uiPriority w:val="39"/>
    <w:unhideWhenUsed/>
    <w:rsid w:val="00F27052"/>
    <w:pPr>
      <w:tabs>
        <w:tab w:val="left" w:pos="440"/>
        <w:tab w:val="right" w:leader="dot" w:pos="9072"/>
      </w:tabs>
      <w:spacing w:before="120" w:after="120" w:line="240" w:lineRule="auto"/>
    </w:pPr>
    <w:rPr>
      <w:noProof/>
    </w:rPr>
  </w:style>
  <w:style w:type="paragraph" w:styleId="TOC2">
    <w:name w:val="toc 2"/>
    <w:basedOn w:val="Normal"/>
    <w:next w:val="Normal"/>
    <w:autoRedefine/>
    <w:uiPriority w:val="39"/>
    <w:unhideWhenUsed/>
    <w:rsid w:val="009063CC"/>
    <w:pPr>
      <w:tabs>
        <w:tab w:val="left" w:pos="880"/>
        <w:tab w:val="right" w:leader="dot" w:pos="9072"/>
      </w:tabs>
      <w:spacing w:after="120" w:line="240" w:lineRule="auto"/>
      <w:ind w:left="238"/>
    </w:pPr>
  </w:style>
  <w:style w:type="paragraph" w:styleId="TOC3">
    <w:name w:val="toc 3"/>
    <w:basedOn w:val="Normal"/>
    <w:next w:val="Normal"/>
    <w:autoRedefine/>
    <w:uiPriority w:val="39"/>
    <w:unhideWhenUsed/>
    <w:rsid w:val="00834352"/>
    <w:pPr>
      <w:ind w:left="480"/>
    </w:pPr>
  </w:style>
  <w:style w:type="character" w:styleId="Hyperlink">
    <w:name w:val="Hyperlink"/>
    <w:basedOn w:val="DefaultParagraphFont"/>
    <w:uiPriority w:val="99"/>
    <w:unhideWhenUsed/>
    <w:rsid w:val="00834352"/>
    <w:rPr>
      <w:color w:val="0000FF"/>
      <w:u w:val="single"/>
    </w:rPr>
  </w:style>
  <w:style w:type="paragraph" w:customStyle="1" w:styleId="Default">
    <w:name w:val="Default"/>
    <w:rsid w:val="00834352"/>
    <w:pPr>
      <w:autoSpaceDE w:val="0"/>
      <w:autoSpaceDN w:val="0"/>
      <w:adjustRightInd w:val="0"/>
    </w:pPr>
    <w:rPr>
      <w:rFonts w:ascii="Times New Roman" w:hAnsi="Times New Roman"/>
      <w:color w:val="000000"/>
      <w:sz w:val="24"/>
      <w:szCs w:val="24"/>
      <w:lang w:val="da-DK" w:eastAsia="en-US"/>
    </w:rPr>
  </w:style>
  <w:style w:type="paragraph" w:styleId="BodyText">
    <w:name w:val="Body Text"/>
    <w:basedOn w:val="Normal"/>
    <w:link w:val="BodyTextChar1"/>
    <w:uiPriority w:val="99"/>
    <w:rsid w:val="00834352"/>
    <w:pPr>
      <w:overflowPunct w:val="0"/>
      <w:autoSpaceDE w:val="0"/>
      <w:autoSpaceDN w:val="0"/>
      <w:adjustRightInd w:val="0"/>
      <w:spacing w:after="0" w:line="240" w:lineRule="auto"/>
      <w:textAlignment w:val="baseline"/>
    </w:pPr>
    <w:rPr>
      <w:rFonts w:eastAsia="Times New Roman"/>
      <w:szCs w:val="20"/>
    </w:rPr>
  </w:style>
  <w:style w:type="character" w:customStyle="1" w:styleId="BodyTextChar">
    <w:name w:val="Body Text Char"/>
    <w:basedOn w:val="DefaultParagraphFont"/>
    <w:semiHidden/>
    <w:rsid w:val="00834352"/>
    <w:rPr>
      <w:rFonts w:ascii="Times New Roman" w:eastAsia="Times New Roman" w:hAnsi="Times New Roman"/>
      <w:sz w:val="24"/>
      <w:lang w:val="en-US" w:eastAsia="en-US"/>
    </w:rPr>
  </w:style>
  <w:style w:type="paragraph" w:customStyle="1" w:styleId="reportromannumberlist">
    <w:name w:val="report_romannumber_list"/>
    <w:basedOn w:val="Normal"/>
    <w:rsid w:val="00834352"/>
    <w:pPr>
      <w:numPr>
        <w:numId w:val="1"/>
      </w:numPr>
      <w:jc w:val="left"/>
    </w:pPr>
    <w:rPr>
      <w:rFonts w:eastAsia="Times New Roman"/>
      <w:szCs w:val="20"/>
    </w:rPr>
  </w:style>
  <w:style w:type="paragraph" w:customStyle="1" w:styleId="reportsubsubhead">
    <w:name w:val="report_subsubhead"/>
    <w:basedOn w:val="Heading3"/>
    <w:autoRedefine/>
    <w:rsid w:val="00834352"/>
    <w:pPr>
      <w:spacing w:before="120" w:after="180" w:line="280" w:lineRule="exact"/>
    </w:pPr>
    <w:rPr>
      <w:b w:val="0"/>
      <w:bCs w:val="0"/>
      <w:i/>
      <w:szCs w:val="20"/>
      <w:lang w:val="en-US"/>
    </w:rPr>
  </w:style>
  <w:style w:type="paragraph" w:styleId="BodyText2">
    <w:name w:val="Body Text 2"/>
    <w:basedOn w:val="Normal"/>
    <w:link w:val="BodyText2Char1"/>
    <w:uiPriority w:val="99"/>
    <w:rsid w:val="00834352"/>
    <w:pPr>
      <w:overflowPunct w:val="0"/>
      <w:autoSpaceDE w:val="0"/>
      <w:autoSpaceDN w:val="0"/>
      <w:adjustRightInd w:val="0"/>
      <w:textAlignment w:val="baseline"/>
    </w:pPr>
    <w:rPr>
      <w:rFonts w:eastAsia="Times New Roman"/>
      <w:color w:val="000000"/>
      <w:szCs w:val="20"/>
    </w:rPr>
  </w:style>
  <w:style w:type="character" w:customStyle="1" w:styleId="BodyText2Char">
    <w:name w:val="Body Text 2 Char"/>
    <w:basedOn w:val="DefaultParagraphFont"/>
    <w:semiHidden/>
    <w:rsid w:val="00834352"/>
    <w:rPr>
      <w:rFonts w:ascii="Times New Roman" w:eastAsia="Times New Roman" w:hAnsi="Times New Roman"/>
      <w:color w:val="000000"/>
      <w:sz w:val="24"/>
      <w:lang w:val="en-US" w:eastAsia="en-US"/>
    </w:rPr>
  </w:style>
  <w:style w:type="character" w:customStyle="1" w:styleId="Heading4Char">
    <w:name w:val="Heading 4 Char"/>
    <w:basedOn w:val="DefaultParagraphFont"/>
    <w:semiHidden/>
    <w:rsid w:val="00834352"/>
    <w:rPr>
      <w:rFonts w:eastAsia="Times New Roman"/>
      <w:b/>
      <w:bCs/>
      <w:sz w:val="28"/>
      <w:szCs w:val="28"/>
      <w:lang w:val="en-US" w:eastAsia="en-US"/>
    </w:rPr>
  </w:style>
  <w:style w:type="character" w:customStyle="1" w:styleId="Heading5Char">
    <w:name w:val="Heading 5 Char"/>
    <w:basedOn w:val="DefaultParagraphFont"/>
    <w:semiHidden/>
    <w:rsid w:val="00834352"/>
    <w:rPr>
      <w:rFonts w:eastAsia="Times New Roman"/>
      <w:b/>
      <w:bCs/>
      <w:i/>
      <w:iCs/>
      <w:sz w:val="26"/>
      <w:szCs w:val="26"/>
      <w:lang w:val="en-US" w:eastAsia="en-US"/>
    </w:rPr>
  </w:style>
  <w:style w:type="character" w:customStyle="1" w:styleId="Heading6Char">
    <w:name w:val="Heading 6 Char"/>
    <w:basedOn w:val="DefaultParagraphFont"/>
    <w:semiHidden/>
    <w:rsid w:val="00834352"/>
    <w:rPr>
      <w:rFonts w:eastAsia="Times New Roman"/>
      <w:b/>
      <w:bCs/>
      <w:sz w:val="22"/>
      <w:szCs w:val="22"/>
      <w:lang w:val="en-US" w:eastAsia="en-US"/>
    </w:rPr>
  </w:style>
  <w:style w:type="character" w:customStyle="1" w:styleId="Heading7Char">
    <w:name w:val="Heading 7 Char"/>
    <w:basedOn w:val="DefaultParagraphFont"/>
    <w:semiHidden/>
    <w:rsid w:val="00834352"/>
    <w:rPr>
      <w:rFonts w:eastAsia="Times New Roman"/>
      <w:sz w:val="24"/>
      <w:szCs w:val="24"/>
      <w:lang w:val="en-US" w:eastAsia="en-US"/>
    </w:rPr>
  </w:style>
  <w:style w:type="character" w:customStyle="1" w:styleId="Heading8Char">
    <w:name w:val="Heading 8 Char"/>
    <w:basedOn w:val="DefaultParagraphFont"/>
    <w:semiHidden/>
    <w:rsid w:val="00834352"/>
    <w:rPr>
      <w:rFonts w:eastAsia="Times New Roman"/>
      <w:i/>
      <w:iCs/>
      <w:sz w:val="24"/>
      <w:szCs w:val="24"/>
      <w:lang w:val="en-US" w:eastAsia="en-US"/>
    </w:rPr>
  </w:style>
  <w:style w:type="character" w:customStyle="1" w:styleId="Heading9Char">
    <w:name w:val="Heading 9 Char"/>
    <w:basedOn w:val="DefaultParagraphFont"/>
    <w:semiHidden/>
    <w:rsid w:val="00834352"/>
    <w:rPr>
      <w:rFonts w:ascii="Cambria" w:eastAsia="Times New Roman" w:hAnsi="Cambria"/>
      <w:sz w:val="22"/>
      <w:szCs w:val="22"/>
      <w:lang w:val="en-US" w:eastAsia="en-US"/>
    </w:rPr>
  </w:style>
  <w:style w:type="paragraph" w:customStyle="1" w:styleId="Tableheading">
    <w:name w:val="Table heading"/>
    <w:basedOn w:val="Normal"/>
    <w:qFormat/>
    <w:rsid w:val="00834352"/>
    <w:pPr>
      <w:spacing w:after="120"/>
    </w:pPr>
    <w:rPr>
      <w:b/>
      <w:iCs/>
      <w:sz w:val="20"/>
      <w:szCs w:val="20"/>
    </w:rPr>
  </w:style>
  <w:style w:type="paragraph" w:customStyle="1" w:styleId="reportbullets">
    <w:name w:val="report_bullets"/>
    <w:basedOn w:val="Normal"/>
    <w:rsid w:val="00834352"/>
    <w:pPr>
      <w:numPr>
        <w:numId w:val="3"/>
      </w:numPr>
      <w:jc w:val="left"/>
    </w:pPr>
    <w:rPr>
      <w:rFonts w:ascii="Arial" w:eastAsia="Times New Roman" w:hAnsi="Arial"/>
      <w:szCs w:val="20"/>
    </w:rPr>
  </w:style>
  <w:style w:type="character" w:customStyle="1" w:styleId="TableheadingChar">
    <w:name w:val="Table heading Char"/>
    <w:basedOn w:val="DefaultParagraphFont"/>
    <w:rsid w:val="00834352"/>
    <w:rPr>
      <w:rFonts w:ascii="Times New Roman" w:hAnsi="Times New Roman"/>
      <w:b/>
      <w:iCs/>
      <w:lang w:val="en-US" w:eastAsia="en-US"/>
    </w:rPr>
  </w:style>
  <w:style w:type="paragraph" w:customStyle="1" w:styleId="IntroandAnnexheading">
    <w:name w:val="Intro and Annex heading"/>
    <w:qFormat/>
    <w:rsid w:val="00363D60"/>
    <w:pPr>
      <w:spacing w:after="240"/>
    </w:pPr>
    <w:rPr>
      <w:rFonts w:ascii="Times New Roman" w:hAnsi="Times New Roman"/>
      <w:b/>
      <w:smallCaps/>
      <w:color w:val="17365D"/>
      <w:sz w:val="36"/>
      <w:szCs w:val="36"/>
      <w:lang w:val="sv-SE" w:eastAsia="da-DK"/>
    </w:rPr>
  </w:style>
  <w:style w:type="character" w:customStyle="1" w:styleId="AnnexheadingChar">
    <w:name w:val="Annex heading Char"/>
    <w:basedOn w:val="Heading1Char"/>
    <w:rsid w:val="00834352"/>
    <w:rPr>
      <w:rFonts w:ascii="Times New Roman" w:hAnsi="Times New Roman"/>
      <w:b/>
      <w:smallCaps/>
      <w:color w:val="244061"/>
      <w:sz w:val="36"/>
      <w:szCs w:val="36"/>
      <w:lang w:val="sv-SE" w:eastAsia="en-US" w:bidi="ar-SA"/>
    </w:rPr>
  </w:style>
  <w:style w:type="paragraph" w:styleId="BodyTextIndent">
    <w:name w:val="Body Text Indent"/>
    <w:basedOn w:val="Normal"/>
    <w:link w:val="BodyTextIndentChar"/>
    <w:uiPriority w:val="99"/>
    <w:rsid w:val="00834352"/>
    <w:rPr>
      <w:rFonts w:eastAsia="Times New Roman"/>
      <w:color w:val="FF0000"/>
      <w:szCs w:val="22"/>
    </w:rPr>
  </w:style>
  <w:style w:type="paragraph" w:styleId="CommentText">
    <w:name w:val="annotation text"/>
    <w:basedOn w:val="Normal"/>
    <w:link w:val="CommentTextChar1"/>
    <w:uiPriority w:val="99"/>
    <w:semiHidden/>
    <w:rsid w:val="00834352"/>
    <w:rPr>
      <w:rFonts w:eastAsia="Times New Roman"/>
      <w:sz w:val="20"/>
      <w:szCs w:val="20"/>
    </w:rPr>
  </w:style>
  <w:style w:type="paragraph" w:styleId="BodyText3">
    <w:name w:val="Body Text 3"/>
    <w:basedOn w:val="Normal"/>
    <w:semiHidden/>
    <w:rsid w:val="00834352"/>
    <w:rPr>
      <w:rFonts w:eastAsia="Times New Roman"/>
      <w:color w:val="FF0000"/>
      <w:szCs w:val="22"/>
    </w:rPr>
  </w:style>
  <w:style w:type="paragraph" w:styleId="TOC4">
    <w:name w:val="toc 4"/>
    <w:basedOn w:val="Normal"/>
    <w:next w:val="Normal"/>
    <w:autoRedefine/>
    <w:uiPriority w:val="99"/>
    <w:semiHidden/>
    <w:rsid w:val="00834352"/>
    <w:pPr>
      <w:spacing w:after="0" w:line="240" w:lineRule="auto"/>
      <w:ind w:left="720"/>
      <w:jc w:val="left"/>
    </w:pPr>
    <w:rPr>
      <w:rFonts w:eastAsia="Times New Roman"/>
    </w:rPr>
  </w:style>
  <w:style w:type="paragraph" w:styleId="TOC5">
    <w:name w:val="toc 5"/>
    <w:basedOn w:val="Normal"/>
    <w:next w:val="Normal"/>
    <w:autoRedefine/>
    <w:semiHidden/>
    <w:rsid w:val="00834352"/>
    <w:pPr>
      <w:spacing w:after="0" w:line="240" w:lineRule="auto"/>
      <w:ind w:left="960"/>
      <w:jc w:val="left"/>
    </w:pPr>
    <w:rPr>
      <w:rFonts w:eastAsia="Times New Roman"/>
    </w:rPr>
  </w:style>
  <w:style w:type="paragraph" w:styleId="TOC6">
    <w:name w:val="toc 6"/>
    <w:basedOn w:val="Normal"/>
    <w:next w:val="Normal"/>
    <w:autoRedefine/>
    <w:semiHidden/>
    <w:rsid w:val="00834352"/>
    <w:pPr>
      <w:spacing w:after="0" w:line="240" w:lineRule="auto"/>
      <w:ind w:left="1200"/>
      <w:jc w:val="left"/>
    </w:pPr>
    <w:rPr>
      <w:rFonts w:eastAsia="Times New Roman"/>
    </w:rPr>
  </w:style>
  <w:style w:type="paragraph" w:styleId="TOC7">
    <w:name w:val="toc 7"/>
    <w:basedOn w:val="Normal"/>
    <w:next w:val="Normal"/>
    <w:autoRedefine/>
    <w:semiHidden/>
    <w:rsid w:val="00834352"/>
    <w:pPr>
      <w:spacing w:after="0" w:line="240" w:lineRule="auto"/>
      <w:ind w:left="1440"/>
      <w:jc w:val="left"/>
    </w:pPr>
    <w:rPr>
      <w:rFonts w:eastAsia="Times New Roman"/>
    </w:rPr>
  </w:style>
  <w:style w:type="paragraph" w:styleId="TOC8">
    <w:name w:val="toc 8"/>
    <w:basedOn w:val="Normal"/>
    <w:next w:val="Normal"/>
    <w:autoRedefine/>
    <w:semiHidden/>
    <w:rsid w:val="00834352"/>
    <w:pPr>
      <w:spacing w:after="0" w:line="240" w:lineRule="auto"/>
      <w:ind w:left="1680"/>
      <w:jc w:val="left"/>
    </w:pPr>
    <w:rPr>
      <w:rFonts w:eastAsia="Times New Roman"/>
    </w:rPr>
  </w:style>
  <w:style w:type="paragraph" w:styleId="TOC9">
    <w:name w:val="toc 9"/>
    <w:basedOn w:val="Normal"/>
    <w:next w:val="Normal"/>
    <w:autoRedefine/>
    <w:semiHidden/>
    <w:rsid w:val="00834352"/>
    <w:pPr>
      <w:spacing w:after="0" w:line="240" w:lineRule="auto"/>
      <w:ind w:left="1920"/>
      <w:jc w:val="left"/>
    </w:pPr>
    <w:rPr>
      <w:rFonts w:eastAsia="Times New Roman"/>
    </w:rPr>
  </w:style>
  <w:style w:type="paragraph" w:customStyle="1" w:styleId="reportbodytext">
    <w:name w:val="report_body text"/>
    <w:basedOn w:val="Normal"/>
    <w:autoRedefine/>
    <w:rsid w:val="00834352"/>
    <w:rPr>
      <w:rFonts w:eastAsia="Times New Roman"/>
      <w:szCs w:val="22"/>
    </w:rPr>
  </w:style>
  <w:style w:type="character" w:styleId="CommentReference">
    <w:name w:val="annotation reference"/>
    <w:basedOn w:val="DefaultParagraphFont"/>
    <w:uiPriority w:val="99"/>
    <w:semiHidden/>
    <w:rsid w:val="00834352"/>
    <w:rPr>
      <w:rFonts w:ascii="Times New Roman" w:hAnsi="Times New Roman" w:cs="Times New Roman"/>
      <w:sz w:val="16"/>
      <w:szCs w:val="16"/>
    </w:rPr>
  </w:style>
  <w:style w:type="paragraph" w:styleId="CommentSubject">
    <w:name w:val="annotation subject"/>
    <w:basedOn w:val="CommentText"/>
    <w:next w:val="CommentText"/>
    <w:link w:val="CommentSubjectChar1"/>
    <w:uiPriority w:val="99"/>
    <w:semiHidden/>
    <w:unhideWhenUsed/>
    <w:rsid w:val="00834352"/>
    <w:rPr>
      <w:rFonts w:eastAsia="Calibri"/>
      <w:b/>
      <w:bCs/>
    </w:rPr>
  </w:style>
  <w:style w:type="character" w:customStyle="1" w:styleId="CommentTextChar">
    <w:name w:val="Comment Text Char"/>
    <w:basedOn w:val="DefaultParagraphFont"/>
    <w:semiHidden/>
    <w:rsid w:val="00834352"/>
    <w:rPr>
      <w:rFonts w:ascii="Times New Roman" w:eastAsia="Times New Roman" w:hAnsi="Times New Roman"/>
      <w:lang w:val="en-US" w:eastAsia="en-US"/>
    </w:rPr>
  </w:style>
  <w:style w:type="character" w:customStyle="1" w:styleId="CommentSubjectChar">
    <w:name w:val="Comment Subject Char"/>
    <w:basedOn w:val="CommentTextChar"/>
    <w:rsid w:val="00834352"/>
    <w:rPr>
      <w:rFonts w:ascii="Times New Roman" w:eastAsia="Times New Roman" w:hAnsi="Times New Roman"/>
      <w:lang w:val="en-US" w:eastAsia="en-US"/>
    </w:rPr>
  </w:style>
  <w:style w:type="paragraph" w:styleId="Revision">
    <w:name w:val="Revision"/>
    <w:hidden/>
    <w:semiHidden/>
    <w:rsid w:val="00834352"/>
    <w:rPr>
      <w:rFonts w:ascii="Times New Roman" w:hAnsi="Times New Roman"/>
      <w:sz w:val="22"/>
      <w:szCs w:val="24"/>
      <w:lang w:val="en-US" w:eastAsia="en-US"/>
    </w:rPr>
  </w:style>
  <w:style w:type="paragraph" w:customStyle="1" w:styleId="Pa0">
    <w:name w:val="Pa0"/>
    <w:basedOn w:val="Default"/>
    <w:next w:val="Default"/>
    <w:rsid w:val="00834352"/>
    <w:pPr>
      <w:spacing w:line="221" w:lineRule="atLeast"/>
    </w:pPr>
    <w:rPr>
      <w:rFonts w:ascii="Arial" w:eastAsia="Times New Roman" w:hAnsi="Arial" w:cs="Arial"/>
      <w:color w:val="auto"/>
    </w:rPr>
  </w:style>
  <w:style w:type="character" w:customStyle="1" w:styleId="A0">
    <w:name w:val="A0"/>
    <w:rsid w:val="00834352"/>
    <w:rPr>
      <w:b/>
      <w:color w:val="000000"/>
      <w:sz w:val="68"/>
    </w:rPr>
  </w:style>
  <w:style w:type="character" w:customStyle="1" w:styleId="A1">
    <w:name w:val="A1"/>
    <w:rsid w:val="00834352"/>
    <w:rPr>
      <w:color w:val="000000"/>
      <w:sz w:val="36"/>
    </w:rPr>
  </w:style>
  <w:style w:type="paragraph" w:styleId="DocumentMap">
    <w:name w:val="Document Map"/>
    <w:basedOn w:val="Normal"/>
    <w:link w:val="DocumentMapChar"/>
    <w:uiPriority w:val="99"/>
    <w:semiHidden/>
    <w:unhideWhenUsed/>
    <w:rsid w:val="008A7E2A"/>
    <w:rPr>
      <w:rFonts w:ascii="Tahoma" w:hAnsi="Tahoma" w:cs="Tahoma"/>
      <w:sz w:val="16"/>
      <w:szCs w:val="16"/>
    </w:rPr>
  </w:style>
  <w:style w:type="character" w:customStyle="1" w:styleId="DocumentMapChar">
    <w:name w:val="Document Map Char"/>
    <w:basedOn w:val="DefaultParagraphFont"/>
    <w:link w:val="DocumentMap"/>
    <w:uiPriority w:val="99"/>
    <w:semiHidden/>
    <w:rsid w:val="008A7E2A"/>
    <w:rPr>
      <w:rFonts w:ascii="Tahoma" w:hAnsi="Tahoma" w:cs="Tahoma"/>
      <w:sz w:val="16"/>
      <w:szCs w:val="16"/>
      <w:lang w:val="en-US" w:eastAsia="en-US"/>
    </w:rPr>
  </w:style>
  <w:style w:type="table" w:styleId="TableGrid">
    <w:name w:val="Table Grid"/>
    <w:basedOn w:val="TableNormal"/>
    <w:uiPriority w:val="59"/>
    <w:rsid w:val="00B3747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uiPriority w:val="99"/>
    <w:unhideWhenUsed/>
    <w:rsid w:val="00FC2CAB"/>
  </w:style>
  <w:style w:type="paragraph" w:customStyle="1" w:styleId="Frontpage">
    <w:name w:val="Front page"/>
    <w:link w:val="FrontpageChar"/>
    <w:qFormat/>
    <w:rsid w:val="00F05762"/>
    <w:rPr>
      <w:rFonts w:ascii="Times New Roman" w:hAnsi="Times New Roman"/>
      <w:sz w:val="24"/>
      <w:szCs w:val="24"/>
      <w:lang w:val="en-GB" w:eastAsia="en-US"/>
    </w:rPr>
  </w:style>
  <w:style w:type="character" w:customStyle="1" w:styleId="FrontpageChar">
    <w:name w:val="Front page Char"/>
    <w:basedOn w:val="DefaultParagraphFont"/>
    <w:link w:val="Frontpage"/>
    <w:rsid w:val="00F05762"/>
    <w:rPr>
      <w:rFonts w:ascii="Times New Roman" w:hAnsi="Times New Roman"/>
      <w:sz w:val="24"/>
      <w:szCs w:val="24"/>
      <w:lang w:val="en-GB" w:eastAsia="en-US" w:bidi="ar-SA"/>
    </w:rPr>
  </w:style>
  <w:style w:type="character" w:customStyle="1" w:styleId="Heading1Char1">
    <w:name w:val="Heading 1 Char1"/>
    <w:basedOn w:val="DefaultParagraphFont"/>
    <w:link w:val="Heading1"/>
    <w:rsid w:val="00B12CD3"/>
    <w:rPr>
      <w:rFonts w:ascii="Times New Roman" w:hAnsi="Times New Roman"/>
      <w:b/>
      <w:smallCaps/>
      <w:color w:val="17365D"/>
      <w:sz w:val="36"/>
      <w:szCs w:val="36"/>
      <w:lang w:val="en-GB" w:eastAsia="en-US"/>
    </w:rPr>
  </w:style>
  <w:style w:type="character" w:customStyle="1" w:styleId="Heading2Char1">
    <w:name w:val="Heading 2 Char1"/>
    <w:basedOn w:val="DefaultParagraphFont"/>
    <w:link w:val="Heading2"/>
    <w:rsid w:val="003C397D"/>
    <w:rPr>
      <w:rFonts w:ascii="Times New Roman" w:hAnsi="Times New Roman"/>
      <w:b/>
      <w:color w:val="17365D"/>
      <w:sz w:val="28"/>
      <w:szCs w:val="28"/>
      <w:lang w:val="en-GB" w:eastAsia="en-US"/>
    </w:rPr>
  </w:style>
  <w:style w:type="character" w:customStyle="1" w:styleId="Heading3Char1">
    <w:name w:val="Heading 3 Char1"/>
    <w:basedOn w:val="DefaultParagraphFont"/>
    <w:link w:val="Heading3"/>
    <w:rsid w:val="00C3636E"/>
    <w:rPr>
      <w:rFonts w:ascii="Times New Roman" w:eastAsia="Times New Roman" w:hAnsi="Times New Roman"/>
      <w:b/>
      <w:bCs/>
      <w:color w:val="17365D"/>
      <w:sz w:val="24"/>
      <w:szCs w:val="24"/>
      <w:lang w:val="en-GB" w:eastAsia="en-US"/>
    </w:rPr>
  </w:style>
  <w:style w:type="character" w:customStyle="1" w:styleId="Heading4Char1">
    <w:name w:val="Heading 4 Char1"/>
    <w:basedOn w:val="DefaultParagraphFont"/>
    <w:link w:val="Heading4"/>
    <w:rsid w:val="00C3636E"/>
    <w:rPr>
      <w:rFonts w:eastAsia="Times New Roman"/>
      <w:b/>
      <w:bCs/>
      <w:sz w:val="28"/>
      <w:szCs w:val="28"/>
      <w:lang w:val="en-GB" w:eastAsia="en-US"/>
    </w:rPr>
  </w:style>
  <w:style w:type="character" w:customStyle="1" w:styleId="Heading5Char1">
    <w:name w:val="Heading 5 Char1"/>
    <w:basedOn w:val="DefaultParagraphFont"/>
    <w:link w:val="Heading5"/>
    <w:rsid w:val="00C3636E"/>
    <w:rPr>
      <w:rFonts w:eastAsia="Times New Roman"/>
      <w:b/>
      <w:bCs/>
      <w:i/>
      <w:iCs/>
      <w:sz w:val="26"/>
      <w:szCs w:val="26"/>
      <w:lang w:val="en-GB" w:eastAsia="en-US"/>
    </w:rPr>
  </w:style>
  <w:style w:type="character" w:customStyle="1" w:styleId="Heading6Char1">
    <w:name w:val="Heading 6 Char1"/>
    <w:basedOn w:val="DefaultParagraphFont"/>
    <w:link w:val="Heading6"/>
    <w:rsid w:val="00C3636E"/>
    <w:rPr>
      <w:rFonts w:eastAsia="Times New Roman"/>
      <w:b/>
      <w:bCs/>
      <w:sz w:val="24"/>
      <w:szCs w:val="22"/>
      <w:lang w:val="en-GB" w:eastAsia="en-US"/>
    </w:rPr>
  </w:style>
  <w:style w:type="character" w:customStyle="1" w:styleId="Heading7Char1">
    <w:name w:val="Heading 7 Char1"/>
    <w:basedOn w:val="DefaultParagraphFont"/>
    <w:link w:val="Heading7"/>
    <w:rsid w:val="00C3636E"/>
    <w:rPr>
      <w:rFonts w:eastAsia="Times New Roman"/>
      <w:sz w:val="24"/>
      <w:szCs w:val="24"/>
      <w:lang w:val="en-GB" w:eastAsia="en-US"/>
    </w:rPr>
  </w:style>
  <w:style w:type="character" w:customStyle="1" w:styleId="Heading8Char1">
    <w:name w:val="Heading 8 Char1"/>
    <w:basedOn w:val="DefaultParagraphFont"/>
    <w:link w:val="Heading8"/>
    <w:rsid w:val="00C3636E"/>
    <w:rPr>
      <w:rFonts w:eastAsia="Times New Roman"/>
      <w:i/>
      <w:iCs/>
      <w:sz w:val="24"/>
      <w:szCs w:val="24"/>
      <w:lang w:val="en-GB" w:eastAsia="en-US"/>
    </w:rPr>
  </w:style>
  <w:style w:type="character" w:customStyle="1" w:styleId="Heading9Char1">
    <w:name w:val="Heading 9 Char1"/>
    <w:basedOn w:val="DefaultParagraphFont"/>
    <w:link w:val="Heading9"/>
    <w:rsid w:val="00C3636E"/>
    <w:rPr>
      <w:rFonts w:ascii="Cambria" w:eastAsia="Times New Roman" w:hAnsi="Cambria"/>
      <w:sz w:val="24"/>
      <w:szCs w:val="22"/>
      <w:lang w:val="en-GB" w:eastAsia="en-US"/>
    </w:rPr>
  </w:style>
  <w:style w:type="character" w:customStyle="1" w:styleId="FooterChar1">
    <w:name w:val="Footer Char1"/>
    <w:basedOn w:val="DefaultParagraphFont"/>
    <w:link w:val="Footer"/>
    <w:uiPriority w:val="99"/>
    <w:rsid w:val="00C3636E"/>
    <w:rPr>
      <w:rFonts w:ascii="Times New Roman" w:hAnsi="Times New Roman"/>
      <w:sz w:val="24"/>
      <w:szCs w:val="24"/>
      <w:lang w:val="en-GB" w:eastAsia="en-US"/>
    </w:rPr>
  </w:style>
  <w:style w:type="character" w:customStyle="1" w:styleId="FootnoteTextChar1">
    <w:name w:val="Footnote Text Char1"/>
    <w:aliases w:val="Footnote Text Quote Char1,f Char1"/>
    <w:basedOn w:val="DefaultParagraphFont"/>
    <w:link w:val="FootnoteText"/>
    <w:uiPriority w:val="99"/>
    <w:rsid w:val="00C3636E"/>
    <w:rPr>
      <w:rFonts w:ascii="Times New Roman" w:hAnsi="Times New Roman"/>
      <w:lang w:val="en-GB" w:eastAsia="en-US" w:bidi="en-US"/>
    </w:rPr>
  </w:style>
  <w:style w:type="paragraph" w:customStyle="1" w:styleId="Box">
    <w:name w:val="Box"/>
    <w:basedOn w:val="Normal"/>
    <w:uiPriority w:val="99"/>
    <w:rsid w:val="00C3636E"/>
    <w:pPr>
      <w:spacing w:before="40" w:after="40" w:line="240" w:lineRule="auto"/>
      <w:jc w:val="left"/>
    </w:pPr>
    <w:rPr>
      <w:rFonts w:ascii="Arial Narrow" w:eastAsia="Times New Roman" w:hAnsi="Arial Narrow" w:cs="Arial Narrow"/>
      <w:sz w:val="20"/>
      <w:szCs w:val="20"/>
      <w:lang w:eastAsia="es-ES"/>
    </w:rPr>
  </w:style>
  <w:style w:type="character" w:customStyle="1" w:styleId="BodyText2Char1">
    <w:name w:val="Body Text 2 Char1"/>
    <w:basedOn w:val="DefaultParagraphFont"/>
    <w:link w:val="BodyText2"/>
    <w:uiPriority w:val="99"/>
    <w:rsid w:val="00C3636E"/>
    <w:rPr>
      <w:rFonts w:ascii="Times New Roman" w:eastAsia="Times New Roman" w:hAnsi="Times New Roman"/>
      <w:color w:val="000000"/>
      <w:sz w:val="24"/>
      <w:lang w:val="en-GB" w:eastAsia="en-US"/>
    </w:rPr>
  </w:style>
  <w:style w:type="character" w:customStyle="1" w:styleId="HeaderChar1">
    <w:name w:val="Header Char1"/>
    <w:basedOn w:val="DefaultParagraphFont"/>
    <w:link w:val="Header"/>
    <w:uiPriority w:val="99"/>
    <w:rsid w:val="00C3636E"/>
    <w:rPr>
      <w:rFonts w:ascii="Times New Roman" w:hAnsi="Times New Roman"/>
      <w:b/>
      <w:i/>
      <w:sz w:val="18"/>
      <w:szCs w:val="24"/>
      <w:lang w:val="en-US" w:eastAsia="en-US"/>
    </w:rPr>
  </w:style>
  <w:style w:type="paragraph" w:customStyle="1" w:styleId="Photo">
    <w:name w:val="Photo"/>
    <w:basedOn w:val="Normal"/>
    <w:autoRedefine/>
    <w:uiPriority w:val="99"/>
    <w:rsid w:val="00C3636E"/>
    <w:pPr>
      <w:spacing w:before="60" w:after="60" w:line="240" w:lineRule="auto"/>
    </w:pPr>
    <w:rPr>
      <w:rFonts w:ascii="Arial" w:eastAsia="Times New Roman" w:hAnsi="Arial" w:cs="Arial"/>
      <w:i/>
      <w:iCs/>
      <w:sz w:val="20"/>
      <w:szCs w:val="20"/>
      <w:lang w:eastAsia="es-ES"/>
    </w:rPr>
  </w:style>
  <w:style w:type="paragraph" w:customStyle="1" w:styleId="Style1">
    <w:name w:val="Style1"/>
    <w:basedOn w:val="Normal"/>
    <w:autoRedefine/>
    <w:uiPriority w:val="99"/>
    <w:rsid w:val="00C3636E"/>
    <w:pPr>
      <w:spacing w:before="60" w:after="60" w:line="240" w:lineRule="auto"/>
    </w:pPr>
    <w:rPr>
      <w:rFonts w:ascii="Arial" w:eastAsia="Times New Roman" w:hAnsi="Arial" w:cs="Arial"/>
      <w:i/>
      <w:iCs/>
      <w:sz w:val="18"/>
      <w:szCs w:val="18"/>
      <w:lang w:eastAsia="es-ES"/>
    </w:rPr>
  </w:style>
  <w:style w:type="paragraph" w:customStyle="1" w:styleId="Footnote">
    <w:name w:val="Footnote"/>
    <w:basedOn w:val="Photo"/>
    <w:uiPriority w:val="99"/>
    <w:rsid w:val="00C3636E"/>
    <w:rPr>
      <w:i w:val="0"/>
      <w:iCs w:val="0"/>
    </w:rPr>
  </w:style>
  <w:style w:type="character" w:customStyle="1" w:styleId="BodyTextChar1">
    <w:name w:val="Body Text Char1"/>
    <w:basedOn w:val="DefaultParagraphFont"/>
    <w:link w:val="BodyText"/>
    <w:uiPriority w:val="99"/>
    <w:rsid w:val="00C3636E"/>
    <w:rPr>
      <w:rFonts w:ascii="Times New Roman" w:eastAsia="Times New Roman" w:hAnsi="Times New Roman"/>
      <w:sz w:val="24"/>
      <w:lang w:val="en-GB" w:eastAsia="en-US"/>
    </w:rPr>
  </w:style>
  <w:style w:type="paragraph" w:customStyle="1" w:styleId="Table">
    <w:name w:val="Table"/>
    <w:basedOn w:val="Normal"/>
    <w:uiPriority w:val="99"/>
    <w:rsid w:val="00C3636E"/>
    <w:pPr>
      <w:keepNext/>
      <w:keepLines/>
      <w:spacing w:before="20" w:after="20" w:line="288" w:lineRule="auto"/>
      <w:jc w:val="left"/>
    </w:pPr>
    <w:rPr>
      <w:rFonts w:ascii="Arial" w:eastAsia="Times New Roman" w:hAnsi="Arial" w:cs="Arial"/>
      <w:sz w:val="18"/>
      <w:szCs w:val="18"/>
      <w:lang w:eastAsia="en-GB"/>
    </w:rPr>
  </w:style>
  <w:style w:type="paragraph" w:styleId="HTMLPreformatted">
    <w:name w:val="HTML Preformatted"/>
    <w:basedOn w:val="Normal"/>
    <w:link w:val="HTMLPreformattedChar"/>
    <w:uiPriority w:val="99"/>
    <w:rsid w:val="00C36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3636E"/>
    <w:rPr>
      <w:rFonts w:ascii="Courier New" w:eastAsia="Times New Roman" w:hAnsi="Courier New" w:cs="Courier New"/>
      <w:lang w:val="en-US" w:eastAsia="en-US"/>
    </w:rPr>
  </w:style>
  <w:style w:type="paragraph" w:styleId="Caption">
    <w:name w:val="caption"/>
    <w:basedOn w:val="Normal"/>
    <w:next w:val="Normal"/>
    <w:link w:val="CaptionChar"/>
    <w:uiPriority w:val="99"/>
    <w:qFormat/>
    <w:rsid w:val="00C3636E"/>
    <w:pPr>
      <w:spacing w:before="60" w:after="60" w:line="240" w:lineRule="auto"/>
      <w:jc w:val="center"/>
    </w:pPr>
    <w:rPr>
      <w:rFonts w:ascii="Arial" w:eastAsia="Times New Roman" w:hAnsi="Arial" w:cs="Arial"/>
      <w:b/>
      <w:bCs/>
      <w:sz w:val="20"/>
      <w:szCs w:val="20"/>
      <w:lang w:eastAsia="es-ES"/>
    </w:rPr>
  </w:style>
  <w:style w:type="paragraph" w:styleId="TableofFigures">
    <w:name w:val="table of figures"/>
    <w:basedOn w:val="Normal"/>
    <w:next w:val="Normal"/>
    <w:uiPriority w:val="99"/>
    <w:semiHidden/>
    <w:rsid w:val="00C3636E"/>
    <w:pPr>
      <w:spacing w:before="60" w:after="60" w:line="240" w:lineRule="auto"/>
    </w:pPr>
    <w:rPr>
      <w:rFonts w:ascii="Arial" w:eastAsia="Times New Roman" w:hAnsi="Arial" w:cs="Arial"/>
      <w:sz w:val="22"/>
      <w:szCs w:val="22"/>
      <w:lang w:eastAsia="es-ES"/>
    </w:rPr>
  </w:style>
  <w:style w:type="paragraph" w:styleId="ListBullet">
    <w:name w:val="List Bullet"/>
    <w:basedOn w:val="Normal"/>
    <w:uiPriority w:val="99"/>
    <w:rsid w:val="00C3636E"/>
    <w:pPr>
      <w:numPr>
        <w:numId w:val="4"/>
      </w:numPr>
      <w:spacing w:after="240" w:line="240" w:lineRule="auto"/>
    </w:pPr>
    <w:rPr>
      <w:rFonts w:eastAsia="Times New Roman"/>
    </w:rPr>
  </w:style>
  <w:style w:type="paragraph" w:styleId="ListNumber">
    <w:name w:val="List Number"/>
    <w:basedOn w:val="Normal"/>
    <w:uiPriority w:val="99"/>
    <w:rsid w:val="00C3636E"/>
    <w:pPr>
      <w:numPr>
        <w:numId w:val="5"/>
      </w:numPr>
      <w:spacing w:after="240" w:line="240" w:lineRule="auto"/>
    </w:pPr>
    <w:rPr>
      <w:rFonts w:eastAsia="Times New Roman"/>
    </w:rPr>
  </w:style>
  <w:style w:type="paragraph" w:customStyle="1" w:styleId="ListNumberLevel2">
    <w:name w:val="List Number (Level 2)"/>
    <w:basedOn w:val="Normal"/>
    <w:uiPriority w:val="99"/>
    <w:rsid w:val="00C3636E"/>
    <w:pPr>
      <w:numPr>
        <w:ilvl w:val="1"/>
        <w:numId w:val="5"/>
      </w:numPr>
      <w:spacing w:after="240" w:line="240" w:lineRule="auto"/>
    </w:pPr>
    <w:rPr>
      <w:rFonts w:eastAsia="Times New Roman"/>
    </w:rPr>
  </w:style>
  <w:style w:type="paragraph" w:customStyle="1" w:styleId="ListNumberLevel3">
    <w:name w:val="List Number (Level 3)"/>
    <w:basedOn w:val="Normal"/>
    <w:uiPriority w:val="99"/>
    <w:rsid w:val="00C3636E"/>
    <w:pPr>
      <w:numPr>
        <w:ilvl w:val="2"/>
        <w:numId w:val="5"/>
      </w:numPr>
      <w:spacing w:after="240" w:line="240" w:lineRule="auto"/>
    </w:pPr>
    <w:rPr>
      <w:rFonts w:eastAsia="Times New Roman"/>
    </w:rPr>
  </w:style>
  <w:style w:type="paragraph" w:customStyle="1" w:styleId="ListNumberLevel4">
    <w:name w:val="List Number (Level 4)"/>
    <w:basedOn w:val="Normal"/>
    <w:uiPriority w:val="99"/>
    <w:rsid w:val="00C3636E"/>
    <w:pPr>
      <w:numPr>
        <w:ilvl w:val="3"/>
        <w:numId w:val="5"/>
      </w:numPr>
      <w:spacing w:after="240" w:line="240" w:lineRule="auto"/>
    </w:pPr>
    <w:rPr>
      <w:rFonts w:eastAsia="Times New Roman"/>
    </w:rPr>
  </w:style>
  <w:style w:type="paragraph" w:customStyle="1" w:styleId="Char1">
    <w:name w:val="Char1"/>
    <w:basedOn w:val="Normal"/>
    <w:uiPriority w:val="99"/>
    <w:rsid w:val="00C3636E"/>
    <w:pPr>
      <w:spacing w:after="160" w:line="240" w:lineRule="exact"/>
      <w:jc w:val="left"/>
    </w:pPr>
    <w:rPr>
      <w:rFonts w:ascii="Verdana" w:eastAsia="Times New Roman" w:hAnsi="Verdana" w:cs="Verdana"/>
      <w:sz w:val="20"/>
      <w:szCs w:val="20"/>
      <w:lang w:val="en-US"/>
    </w:rPr>
  </w:style>
  <w:style w:type="character" w:customStyle="1" w:styleId="CaptionChar">
    <w:name w:val="Caption Char"/>
    <w:basedOn w:val="DefaultParagraphFont"/>
    <w:link w:val="Caption"/>
    <w:uiPriority w:val="99"/>
    <w:locked/>
    <w:rsid w:val="00C3636E"/>
    <w:rPr>
      <w:rFonts w:ascii="Arial" w:eastAsia="Times New Roman" w:hAnsi="Arial" w:cs="Arial"/>
      <w:b/>
      <w:bCs/>
      <w:lang w:val="en-GB" w:eastAsia="es-ES"/>
    </w:rPr>
  </w:style>
  <w:style w:type="character" w:customStyle="1" w:styleId="BodyTextIndentChar">
    <w:name w:val="Body Text Indent Char"/>
    <w:basedOn w:val="DefaultParagraphFont"/>
    <w:link w:val="BodyTextIndent"/>
    <w:uiPriority w:val="99"/>
    <w:locked/>
    <w:rsid w:val="00C3636E"/>
    <w:rPr>
      <w:rFonts w:ascii="Times New Roman" w:eastAsia="Times New Roman" w:hAnsi="Times New Roman"/>
      <w:color w:val="FF0000"/>
      <w:sz w:val="24"/>
      <w:szCs w:val="22"/>
      <w:lang w:val="en-GB" w:eastAsia="en-US"/>
    </w:rPr>
  </w:style>
  <w:style w:type="character" w:customStyle="1" w:styleId="CommentTextChar1">
    <w:name w:val="Comment Text Char1"/>
    <w:basedOn w:val="DefaultParagraphFont"/>
    <w:link w:val="CommentText"/>
    <w:uiPriority w:val="99"/>
    <w:semiHidden/>
    <w:locked/>
    <w:rsid w:val="00C3636E"/>
    <w:rPr>
      <w:rFonts w:ascii="Times New Roman" w:eastAsia="Times New Roman" w:hAnsi="Times New Roman"/>
      <w:lang w:val="en-GB" w:eastAsia="en-US"/>
    </w:rPr>
  </w:style>
  <w:style w:type="character" w:customStyle="1" w:styleId="CommentSubjectChar1">
    <w:name w:val="Comment Subject Char1"/>
    <w:basedOn w:val="CommentTextChar1"/>
    <w:link w:val="CommentSubject"/>
    <w:uiPriority w:val="99"/>
    <w:semiHidden/>
    <w:locked/>
    <w:rsid w:val="00C3636E"/>
    <w:rPr>
      <w:rFonts w:ascii="Times New Roman" w:eastAsia="Times New Roman" w:hAnsi="Times New Roman"/>
      <w:b/>
      <w:bCs/>
      <w:lang w:val="en-GB" w:eastAsia="en-US"/>
    </w:rPr>
  </w:style>
  <w:style w:type="character" w:customStyle="1" w:styleId="BalloonTextChar1">
    <w:name w:val="Balloon Text Char1"/>
    <w:basedOn w:val="DefaultParagraphFont"/>
    <w:link w:val="BalloonText"/>
    <w:uiPriority w:val="99"/>
    <w:locked/>
    <w:rsid w:val="00C3636E"/>
    <w:rPr>
      <w:rFonts w:ascii="Tahoma" w:hAnsi="Tahoma" w:cs="Tahoma"/>
      <w:sz w:val="16"/>
      <w:szCs w:val="16"/>
      <w:lang w:val="en-GB" w:eastAsia="en-US"/>
    </w:rPr>
  </w:style>
  <w:style w:type="paragraph" w:styleId="NormalWeb">
    <w:name w:val="Normal (Web)"/>
    <w:basedOn w:val="Normal"/>
    <w:uiPriority w:val="99"/>
    <w:rsid w:val="00C3636E"/>
    <w:pPr>
      <w:spacing w:before="100" w:beforeAutospacing="1" w:after="100" w:afterAutospacing="1" w:line="240" w:lineRule="auto"/>
      <w:jc w:val="left"/>
    </w:pPr>
    <w:rPr>
      <w:rFonts w:eastAsia="Times New Roman"/>
      <w:lang w:val="en-US"/>
    </w:rPr>
  </w:style>
  <w:style w:type="character" w:styleId="Strong">
    <w:name w:val="Strong"/>
    <w:basedOn w:val="DefaultParagraphFont"/>
    <w:uiPriority w:val="99"/>
    <w:qFormat/>
    <w:rsid w:val="00C3636E"/>
    <w:rPr>
      <w:b/>
      <w:bCs/>
    </w:rPr>
  </w:style>
  <w:style w:type="character" w:customStyle="1" w:styleId="apple-converted-space">
    <w:name w:val="apple-converted-space"/>
    <w:basedOn w:val="DefaultParagraphFont"/>
    <w:uiPriority w:val="99"/>
    <w:rsid w:val="00C3636E"/>
  </w:style>
  <w:style w:type="numbering" w:customStyle="1" w:styleId="StyleNumbered">
    <w:name w:val="Style Numbered"/>
    <w:rsid w:val="00C3636E"/>
    <w:pPr>
      <w:numPr>
        <w:numId w:val="6"/>
      </w:numPr>
    </w:pPr>
  </w:style>
  <w:style w:type="paragraph" w:styleId="NormalIndent">
    <w:name w:val="Normal Indent"/>
    <w:basedOn w:val="Normal"/>
    <w:next w:val="Normal"/>
    <w:autoRedefine/>
    <w:uiPriority w:val="4"/>
    <w:unhideWhenUsed/>
    <w:qFormat/>
    <w:rsid w:val="0051421C"/>
    <w:pPr>
      <w:tabs>
        <w:tab w:val="left" w:pos="13325"/>
      </w:tabs>
      <w:spacing w:after="120" w:line="240" w:lineRule="auto"/>
      <w:ind w:left="100"/>
    </w:pPr>
    <w:rPr>
      <w:rFonts w:eastAsiaTheme="minorHAnsi" w:cs="Arial"/>
      <w:szCs w:val="22"/>
    </w:rPr>
  </w:style>
  <w:style w:type="table" w:customStyle="1" w:styleId="TableGrid1">
    <w:name w:val="Table Grid1"/>
    <w:basedOn w:val="TableNormal"/>
    <w:next w:val="TableGrid"/>
    <w:uiPriority w:val="59"/>
    <w:rsid w:val="00E63B6D"/>
    <w:rPr>
      <w:rFonts w:ascii="Times New Roman" w:eastAsia="MS Mincho" w:hAnsi="Times New Roman"/>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301343"/>
  </w:style>
  <w:style w:type="paragraph" w:styleId="EndnoteText">
    <w:name w:val="endnote text"/>
    <w:basedOn w:val="Normal"/>
    <w:link w:val="EndnoteTextChar"/>
    <w:uiPriority w:val="99"/>
    <w:semiHidden/>
    <w:unhideWhenUsed/>
    <w:rsid w:val="00AD5369"/>
    <w:pPr>
      <w:spacing w:after="0" w:line="240" w:lineRule="auto"/>
      <w:jc w:val="left"/>
    </w:pPr>
    <w:rPr>
      <w:rFonts w:ascii="Calibri" w:eastAsia="Times New Roman" w:hAnsi="Calibri"/>
      <w:sz w:val="20"/>
      <w:szCs w:val="20"/>
      <w:lang w:val="en-US"/>
    </w:rPr>
  </w:style>
  <w:style w:type="character" w:customStyle="1" w:styleId="EndnoteTextChar">
    <w:name w:val="Endnote Text Char"/>
    <w:basedOn w:val="DefaultParagraphFont"/>
    <w:link w:val="EndnoteText"/>
    <w:uiPriority w:val="99"/>
    <w:semiHidden/>
    <w:rsid w:val="00AD5369"/>
    <w:rPr>
      <w:rFonts w:eastAsia="Times New Roman"/>
      <w:lang w:val="en-US" w:eastAsia="en-US"/>
    </w:rPr>
  </w:style>
  <w:style w:type="character" w:styleId="EndnoteReference">
    <w:name w:val="endnote reference"/>
    <w:basedOn w:val="DefaultParagraphFont"/>
    <w:uiPriority w:val="99"/>
    <w:semiHidden/>
    <w:unhideWhenUsed/>
    <w:rsid w:val="00AD536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5" w:uiPriority="39"/>
    <w:lsdException w:name="toc 6" w:uiPriority="39"/>
    <w:lsdException w:name="toc 7" w:uiPriority="39"/>
    <w:lsdException w:name="toc 8" w:uiPriority="39"/>
    <w:lsdException w:name="toc 9" w:uiPriority="39"/>
    <w:lsdException w:name="Normal Indent" w:uiPriority="4" w:qFormat="1"/>
    <w:lsdException w:name="footnote text" w:qFormat="1"/>
    <w:lsdException w:name="header" w:uiPriority="0"/>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A0330D"/>
    <w:pPr>
      <w:spacing w:after="200" w:line="276" w:lineRule="auto"/>
      <w:jc w:val="both"/>
    </w:pPr>
    <w:rPr>
      <w:rFonts w:ascii="Times New Roman" w:hAnsi="Times New Roman"/>
      <w:sz w:val="24"/>
      <w:szCs w:val="24"/>
      <w:lang w:val="en-GB" w:eastAsia="en-US"/>
    </w:rPr>
  </w:style>
  <w:style w:type="paragraph" w:styleId="Heading1">
    <w:name w:val="heading 1"/>
    <w:basedOn w:val="ListParagraph"/>
    <w:next w:val="Normal"/>
    <w:link w:val="Heading1Char1"/>
    <w:qFormat/>
    <w:rsid w:val="00B12CD3"/>
    <w:pPr>
      <w:keepNext/>
      <w:spacing w:after="240" w:line="240" w:lineRule="auto"/>
      <w:ind w:left="0"/>
      <w:contextualSpacing w:val="0"/>
      <w:outlineLvl w:val="0"/>
    </w:pPr>
    <w:rPr>
      <w:b/>
      <w:smallCaps/>
      <w:color w:val="17365D"/>
      <w:sz w:val="36"/>
      <w:szCs w:val="36"/>
    </w:rPr>
  </w:style>
  <w:style w:type="paragraph" w:styleId="Heading2">
    <w:name w:val="heading 2"/>
    <w:basedOn w:val="ListParagraph"/>
    <w:next w:val="Normal"/>
    <w:link w:val="Heading2Char1"/>
    <w:qFormat/>
    <w:rsid w:val="003C397D"/>
    <w:pPr>
      <w:keepNext/>
      <w:numPr>
        <w:ilvl w:val="1"/>
        <w:numId w:val="11"/>
      </w:numPr>
      <w:spacing w:before="600" w:after="120"/>
      <w:outlineLvl w:val="1"/>
    </w:pPr>
    <w:rPr>
      <w:b/>
      <w:color w:val="17365D"/>
      <w:sz w:val="28"/>
      <w:szCs w:val="28"/>
    </w:rPr>
  </w:style>
  <w:style w:type="paragraph" w:styleId="Heading3">
    <w:name w:val="heading 3"/>
    <w:basedOn w:val="Normal"/>
    <w:next w:val="Normal"/>
    <w:link w:val="Heading3Char1"/>
    <w:qFormat/>
    <w:rsid w:val="00363D60"/>
    <w:pPr>
      <w:keepNext/>
      <w:numPr>
        <w:ilvl w:val="2"/>
        <w:numId w:val="10"/>
      </w:numPr>
      <w:spacing w:before="240" w:after="60"/>
      <w:outlineLvl w:val="2"/>
    </w:pPr>
    <w:rPr>
      <w:rFonts w:eastAsia="Times New Roman"/>
      <w:b/>
      <w:bCs/>
      <w:color w:val="17365D"/>
    </w:rPr>
  </w:style>
  <w:style w:type="paragraph" w:styleId="Heading4">
    <w:name w:val="heading 4"/>
    <w:basedOn w:val="Normal"/>
    <w:next w:val="Normal"/>
    <w:link w:val="Heading4Char1"/>
    <w:qFormat/>
    <w:rsid w:val="00834352"/>
    <w:pPr>
      <w:keepNext/>
      <w:numPr>
        <w:ilvl w:val="3"/>
        <w:numId w:val="10"/>
      </w:numPr>
      <w:spacing w:before="240" w:after="60"/>
      <w:outlineLvl w:val="3"/>
    </w:pPr>
    <w:rPr>
      <w:rFonts w:ascii="Calibri" w:eastAsia="Times New Roman" w:hAnsi="Calibri"/>
      <w:b/>
      <w:bCs/>
      <w:sz w:val="28"/>
      <w:szCs w:val="28"/>
    </w:rPr>
  </w:style>
  <w:style w:type="paragraph" w:styleId="Heading5">
    <w:name w:val="heading 5"/>
    <w:basedOn w:val="Normal"/>
    <w:next w:val="Normal"/>
    <w:link w:val="Heading5Char1"/>
    <w:qFormat/>
    <w:rsid w:val="00834352"/>
    <w:pPr>
      <w:numPr>
        <w:ilvl w:val="4"/>
        <w:numId w:val="10"/>
      </w:numPr>
      <w:spacing w:before="240" w:after="60"/>
      <w:outlineLvl w:val="4"/>
    </w:pPr>
    <w:rPr>
      <w:rFonts w:ascii="Calibri" w:eastAsia="Times New Roman" w:hAnsi="Calibri"/>
      <w:b/>
      <w:bCs/>
      <w:i/>
      <w:iCs/>
      <w:sz w:val="26"/>
      <w:szCs w:val="26"/>
    </w:rPr>
  </w:style>
  <w:style w:type="paragraph" w:styleId="Heading6">
    <w:name w:val="heading 6"/>
    <w:basedOn w:val="Normal"/>
    <w:next w:val="Normal"/>
    <w:link w:val="Heading6Char1"/>
    <w:qFormat/>
    <w:rsid w:val="00834352"/>
    <w:pPr>
      <w:numPr>
        <w:ilvl w:val="5"/>
        <w:numId w:val="10"/>
      </w:numPr>
      <w:spacing w:before="240" w:after="60"/>
      <w:outlineLvl w:val="5"/>
    </w:pPr>
    <w:rPr>
      <w:rFonts w:ascii="Calibri" w:eastAsia="Times New Roman" w:hAnsi="Calibri"/>
      <w:b/>
      <w:bCs/>
      <w:szCs w:val="22"/>
    </w:rPr>
  </w:style>
  <w:style w:type="paragraph" w:styleId="Heading7">
    <w:name w:val="heading 7"/>
    <w:basedOn w:val="Normal"/>
    <w:next w:val="Normal"/>
    <w:link w:val="Heading7Char1"/>
    <w:qFormat/>
    <w:rsid w:val="00834352"/>
    <w:pPr>
      <w:numPr>
        <w:ilvl w:val="6"/>
        <w:numId w:val="10"/>
      </w:numPr>
      <w:spacing w:before="240" w:after="60"/>
      <w:outlineLvl w:val="6"/>
    </w:pPr>
    <w:rPr>
      <w:rFonts w:ascii="Calibri" w:eastAsia="Times New Roman" w:hAnsi="Calibri"/>
    </w:rPr>
  </w:style>
  <w:style w:type="paragraph" w:styleId="Heading8">
    <w:name w:val="heading 8"/>
    <w:basedOn w:val="Normal"/>
    <w:next w:val="Normal"/>
    <w:link w:val="Heading8Char1"/>
    <w:qFormat/>
    <w:rsid w:val="00834352"/>
    <w:pPr>
      <w:numPr>
        <w:ilvl w:val="7"/>
        <w:numId w:val="10"/>
      </w:numPr>
      <w:spacing w:before="240" w:after="60"/>
      <w:outlineLvl w:val="7"/>
    </w:pPr>
    <w:rPr>
      <w:rFonts w:ascii="Calibri" w:eastAsia="Times New Roman" w:hAnsi="Calibri"/>
      <w:i/>
      <w:iCs/>
    </w:rPr>
  </w:style>
  <w:style w:type="paragraph" w:styleId="Heading9">
    <w:name w:val="heading 9"/>
    <w:basedOn w:val="Normal"/>
    <w:next w:val="Normal"/>
    <w:link w:val="Heading9Char1"/>
    <w:qFormat/>
    <w:rsid w:val="00834352"/>
    <w:pPr>
      <w:numPr>
        <w:ilvl w:val="8"/>
        <w:numId w:val="10"/>
      </w:numPr>
      <w:spacing w:before="240" w:after="60"/>
      <w:outlineLvl w:val="8"/>
    </w:pPr>
    <w:rPr>
      <w:rFonts w:ascii="Cambria" w:eastAsia="Times New Roman"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4352"/>
    <w:pPr>
      <w:ind w:left="720"/>
      <w:contextualSpacing/>
    </w:pPr>
  </w:style>
  <w:style w:type="paragraph" w:styleId="BalloonText">
    <w:name w:val="Balloon Text"/>
    <w:basedOn w:val="Normal"/>
    <w:link w:val="BalloonTextChar1"/>
    <w:uiPriority w:val="99"/>
    <w:unhideWhenUsed/>
    <w:rsid w:val="00834352"/>
    <w:pPr>
      <w:spacing w:after="0" w:line="240" w:lineRule="auto"/>
    </w:pPr>
    <w:rPr>
      <w:rFonts w:ascii="Tahoma" w:hAnsi="Tahoma" w:cs="Tahoma"/>
      <w:sz w:val="16"/>
      <w:szCs w:val="16"/>
    </w:rPr>
  </w:style>
  <w:style w:type="character" w:customStyle="1" w:styleId="BalloonTextChar">
    <w:name w:val="Balloon Text Char"/>
    <w:basedOn w:val="DefaultParagraphFont"/>
    <w:semiHidden/>
    <w:rsid w:val="00834352"/>
    <w:rPr>
      <w:rFonts w:ascii="Tahoma" w:hAnsi="Tahoma" w:cs="Tahoma"/>
      <w:sz w:val="16"/>
      <w:szCs w:val="16"/>
      <w:lang w:val="en-US" w:eastAsia="en-US"/>
    </w:rPr>
  </w:style>
  <w:style w:type="paragraph" w:styleId="Header">
    <w:name w:val="header"/>
    <w:link w:val="HeaderChar1"/>
    <w:unhideWhenUsed/>
    <w:rsid w:val="001C74E5"/>
    <w:pPr>
      <w:tabs>
        <w:tab w:val="center" w:pos="4680"/>
        <w:tab w:val="right" w:pos="9360"/>
      </w:tabs>
    </w:pPr>
    <w:rPr>
      <w:rFonts w:ascii="Times New Roman" w:hAnsi="Times New Roman"/>
      <w:b/>
      <w:i/>
      <w:sz w:val="18"/>
      <w:szCs w:val="24"/>
      <w:lang w:val="en-US" w:eastAsia="en-US"/>
    </w:rPr>
  </w:style>
  <w:style w:type="character" w:customStyle="1" w:styleId="HeaderChar">
    <w:name w:val="Header Char"/>
    <w:basedOn w:val="DefaultParagraphFont"/>
    <w:uiPriority w:val="99"/>
    <w:rsid w:val="00834352"/>
    <w:rPr>
      <w:sz w:val="22"/>
      <w:szCs w:val="22"/>
    </w:rPr>
  </w:style>
  <w:style w:type="paragraph" w:styleId="Footer">
    <w:name w:val="footer"/>
    <w:basedOn w:val="Normal"/>
    <w:link w:val="FooterChar1"/>
    <w:uiPriority w:val="99"/>
    <w:unhideWhenUsed/>
    <w:rsid w:val="00834352"/>
    <w:pPr>
      <w:tabs>
        <w:tab w:val="center" w:pos="4680"/>
        <w:tab w:val="right" w:pos="9360"/>
      </w:tabs>
    </w:pPr>
  </w:style>
  <w:style w:type="character" w:customStyle="1" w:styleId="FooterChar">
    <w:name w:val="Footer Char"/>
    <w:basedOn w:val="DefaultParagraphFont"/>
    <w:uiPriority w:val="99"/>
    <w:rsid w:val="00834352"/>
    <w:rPr>
      <w:sz w:val="22"/>
      <w:szCs w:val="22"/>
    </w:rPr>
  </w:style>
  <w:style w:type="paragraph" w:styleId="FootnoteText">
    <w:name w:val="footnote text"/>
    <w:aliases w:val="Footnote Text Quote,f"/>
    <w:basedOn w:val="Normal"/>
    <w:link w:val="FootnoteTextChar1"/>
    <w:uiPriority w:val="99"/>
    <w:unhideWhenUsed/>
    <w:qFormat/>
    <w:rsid w:val="00834352"/>
    <w:pPr>
      <w:spacing w:after="0" w:line="240" w:lineRule="auto"/>
    </w:pPr>
    <w:rPr>
      <w:sz w:val="20"/>
      <w:szCs w:val="20"/>
      <w:lang w:bidi="en-US"/>
    </w:rPr>
  </w:style>
  <w:style w:type="character" w:customStyle="1" w:styleId="FootnoteTextChar">
    <w:name w:val="Footnote Text Char"/>
    <w:aliases w:val="Footnote Text Quote Char,f Char"/>
    <w:basedOn w:val="DefaultParagraphFont"/>
    <w:uiPriority w:val="99"/>
    <w:rsid w:val="00834352"/>
    <w:rPr>
      <w:rFonts w:ascii="Times New Roman" w:hAnsi="Times New Roman"/>
      <w:lang w:bidi="en-US"/>
    </w:rPr>
  </w:style>
  <w:style w:type="character" w:styleId="FootnoteReference">
    <w:name w:val="footnote reference"/>
    <w:aliases w:val="ftref"/>
    <w:basedOn w:val="DefaultParagraphFont"/>
    <w:uiPriority w:val="99"/>
    <w:semiHidden/>
    <w:unhideWhenUsed/>
    <w:rsid w:val="00834352"/>
    <w:rPr>
      <w:vertAlign w:val="superscript"/>
    </w:rPr>
  </w:style>
  <w:style w:type="character" w:customStyle="1" w:styleId="Heading1Char">
    <w:name w:val="Heading 1 Char"/>
    <w:basedOn w:val="DefaultParagraphFont"/>
    <w:rsid w:val="00834352"/>
    <w:rPr>
      <w:rFonts w:ascii="Times New Roman" w:hAnsi="Times New Roman"/>
      <w:b/>
      <w:smallCaps/>
      <w:color w:val="244061"/>
      <w:sz w:val="36"/>
      <w:szCs w:val="36"/>
      <w:lang w:val="sv-SE" w:eastAsia="en-US"/>
    </w:rPr>
  </w:style>
  <w:style w:type="character" w:customStyle="1" w:styleId="Heading2Char">
    <w:name w:val="Heading 2 Char"/>
    <w:basedOn w:val="DefaultParagraphFont"/>
    <w:rsid w:val="00834352"/>
    <w:rPr>
      <w:rFonts w:ascii="Times New Roman" w:hAnsi="Times New Roman"/>
      <w:b/>
      <w:color w:val="244061"/>
      <w:sz w:val="22"/>
      <w:szCs w:val="24"/>
      <w:lang w:val="en-US" w:eastAsia="en-US"/>
    </w:rPr>
  </w:style>
  <w:style w:type="character" w:customStyle="1" w:styleId="Heading3Char">
    <w:name w:val="Heading 3 Char"/>
    <w:basedOn w:val="DefaultParagraphFont"/>
    <w:rsid w:val="00834352"/>
    <w:rPr>
      <w:rFonts w:ascii="Times New Roman" w:eastAsia="Times New Roman" w:hAnsi="Times New Roman"/>
      <w:b/>
      <w:bCs/>
      <w:i/>
      <w:color w:val="244061"/>
      <w:sz w:val="22"/>
      <w:szCs w:val="24"/>
      <w:lang w:val="en-GB" w:eastAsia="en-US"/>
    </w:rPr>
  </w:style>
  <w:style w:type="paragraph" w:styleId="TOCHeading">
    <w:name w:val="TOC Heading"/>
    <w:basedOn w:val="Heading1"/>
    <w:next w:val="Normal"/>
    <w:qFormat/>
    <w:rsid w:val="00834352"/>
    <w:pPr>
      <w:keepLines/>
      <w:spacing w:before="480" w:after="0"/>
      <w:outlineLvl w:val="9"/>
    </w:pPr>
    <w:rPr>
      <w:rFonts w:ascii="Cambria" w:eastAsia="Times New Roman" w:hAnsi="Cambria"/>
      <w:bCs/>
      <w:smallCaps w:val="0"/>
      <w:color w:val="365F91"/>
      <w:sz w:val="28"/>
      <w:szCs w:val="28"/>
      <w:lang w:val="en-US"/>
    </w:rPr>
  </w:style>
  <w:style w:type="paragraph" w:styleId="TOC1">
    <w:name w:val="toc 1"/>
    <w:basedOn w:val="Normal"/>
    <w:next w:val="Normal"/>
    <w:autoRedefine/>
    <w:uiPriority w:val="39"/>
    <w:unhideWhenUsed/>
    <w:rsid w:val="00F27052"/>
    <w:pPr>
      <w:tabs>
        <w:tab w:val="left" w:pos="440"/>
        <w:tab w:val="right" w:leader="dot" w:pos="9072"/>
      </w:tabs>
      <w:spacing w:before="120" w:after="120" w:line="240" w:lineRule="auto"/>
    </w:pPr>
    <w:rPr>
      <w:noProof/>
    </w:rPr>
  </w:style>
  <w:style w:type="paragraph" w:styleId="TOC2">
    <w:name w:val="toc 2"/>
    <w:basedOn w:val="Normal"/>
    <w:next w:val="Normal"/>
    <w:autoRedefine/>
    <w:uiPriority w:val="39"/>
    <w:unhideWhenUsed/>
    <w:rsid w:val="009063CC"/>
    <w:pPr>
      <w:tabs>
        <w:tab w:val="left" w:pos="880"/>
        <w:tab w:val="right" w:leader="dot" w:pos="9072"/>
      </w:tabs>
      <w:spacing w:after="120" w:line="240" w:lineRule="auto"/>
      <w:ind w:left="238"/>
    </w:pPr>
  </w:style>
  <w:style w:type="paragraph" w:styleId="TOC3">
    <w:name w:val="toc 3"/>
    <w:basedOn w:val="Normal"/>
    <w:next w:val="Normal"/>
    <w:autoRedefine/>
    <w:uiPriority w:val="39"/>
    <w:unhideWhenUsed/>
    <w:rsid w:val="00834352"/>
    <w:pPr>
      <w:ind w:left="480"/>
    </w:pPr>
  </w:style>
  <w:style w:type="character" w:styleId="Hyperlink">
    <w:name w:val="Hyperlink"/>
    <w:basedOn w:val="DefaultParagraphFont"/>
    <w:uiPriority w:val="99"/>
    <w:unhideWhenUsed/>
    <w:rsid w:val="00834352"/>
    <w:rPr>
      <w:color w:val="0000FF"/>
      <w:u w:val="single"/>
    </w:rPr>
  </w:style>
  <w:style w:type="paragraph" w:customStyle="1" w:styleId="Default">
    <w:name w:val="Default"/>
    <w:rsid w:val="00834352"/>
    <w:pPr>
      <w:autoSpaceDE w:val="0"/>
      <w:autoSpaceDN w:val="0"/>
      <w:adjustRightInd w:val="0"/>
    </w:pPr>
    <w:rPr>
      <w:rFonts w:ascii="Times New Roman" w:hAnsi="Times New Roman"/>
      <w:color w:val="000000"/>
      <w:sz w:val="24"/>
      <w:szCs w:val="24"/>
      <w:lang w:val="da-DK" w:eastAsia="en-US"/>
    </w:rPr>
  </w:style>
  <w:style w:type="paragraph" w:styleId="BodyText">
    <w:name w:val="Body Text"/>
    <w:basedOn w:val="Normal"/>
    <w:link w:val="BodyTextChar1"/>
    <w:uiPriority w:val="99"/>
    <w:rsid w:val="00834352"/>
    <w:pPr>
      <w:overflowPunct w:val="0"/>
      <w:autoSpaceDE w:val="0"/>
      <w:autoSpaceDN w:val="0"/>
      <w:adjustRightInd w:val="0"/>
      <w:spacing w:after="0" w:line="240" w:lineRule="auto"/>
      <w:textAlignment w:val="baseline"/>
    </w:pPr>
    <w:rPr>
      <w:rFonts w:eastAsia="Times New Roman"/>
      <w:szCs w:val="20"/>
    </w:rPr>
  </w:style>
  <w:style w:type="character" w:customStyle="1" w:styleId="BodyTextChar">
    <w:name w:val="Body Text Char"/>
    <w:basedOn w:val="DefaultParagraphFont"/>
    <w:semiHidden/>
    <w:rsid w:val="00834352"/>
    <w:rPr>
      <w:rFonts w:ascii="Times New Roman" w:eastAsia="Times New Roman" w:hAnsi="Times New Roman"/>
      <w:sz w:val="24"/>
      <w:lang w:val="en-US" w:eastAsia="en-US"/>
    </w:rPr>
  </w:style>
  <w:style w:type="paragraph" w:customStyle="1" w:styleId="reportromannumberlist">
    <w:name w:val="report_romannumber_list"/>
    <w:basedOn w:val="Normal"/>
    <w:rsid w:val="00834352"/>
    <w:pPr>
      <w:numPr>
        <w:numId w:val="1"/>
      </w:numPr>
      <w:jc w:val="left"/>
    </w:pPr>
    <w:rPr>
      <w:rFonts w:eastAsia="Times New Roman"/>
      <w:szCs w:val="20"/>
    </w:rPr>
  </w:style>
  <w:style w:type="paragraph" w:customStyle="1" w:styleId="reportsubsubhead">
    <w:name w:val="report_subsubhead"/>
    <w:basedOn w:val="Heading3"/>
    <w:autoRedefine/>
    <w:rsid w:val="00834352"/>
    <w:pPr>
      <w:spacing w:before="120" w:after="180" w:line="280" w:lineRule="exact"/>
    </w:pPr>
    <w:rPr>
      <w:b w:val="0"/>
      <w:bCs w:val="0"/>
      <w:i/>
      <w:szCs w:val="20"/>
      <w:lang w:val="en-US"/>
    </w:rPr>
  </w:style>
  <w:style w:type="paragraph" w:styleId="BodyText2">
    <w:name w:val="Body Text 2"/>
    <w:basedOn w:val="Normal"/>
    <w:link w:val="BodyText2Char1"/>
    <w:uiPriority w:val="99"/>
    <w:rsid w:val="00834352"/>
    <w:pPr>
      <w:overflowPunct w:val="0"/>
      <w:autoSpaceDE w:val="0"/>
      <w:autoSpaceDN w:val="0"/>
      <w:adjustRightInd w:val="0"/>
      <w:textAlignment w:val="baseline"/>
    </w:pPr>
    <w:rPr>
      <w:rFonts w:eastAsia="Times New Roman"/>
      <w:color w:val="000000"/>
      <w:szCs w:val="20"/>
    </w:rPr>
  </w:style>
  <w:style w:type="character" w:customStyle="1" w:styleId="BodyText2Char">
    <w:name w:val="Body Text 2 Char"/>
    <w:basedOn w:val="DefaultParagraphFont"/>
    <w:semiHidden/>
    <w:rsid w:val="00834352"/>
    <w:rPr>
      <w:rFonts w:ascii="Times New Roman" w:eastAsia="Times New Roman" w:hAnsi="Times New Roman"/>
      <w:color w:val="000000"/>
      <w:sz w:val="24"/>
      <w:lang w:val="en-US" w:eastAsia="en-US"/>
    </w:rPr>
  </w:style>
  <w:style w:type="character" w:customStyle="1" w:styleId="Heading4Char">
    <w:name w:val="Heading 4 Char"/>
    <w:basedOn w:val="DefaultParagraphFont"/>
    <w:semiHidden/>
    <w:rsid w:val="00834352"/>
    <w:rPr>
      <w:rFonts w:eastAsia="Times New Roman"/>
      <w:b/>
      <w:bCs/>
      <w:sz w:val="28"/>
      <w:szCs w:val="28"/>
      <w:lang w:val="en-US" w:eastAsia="en-US"/>
    </w:rPr>
  </w:style>
  <w:style w:type="character" w:customStyle="1" w:styleId="Heading5Char">
    <w:name w:val="Heading 5 Char"/>
    <w:basedOn w:val="DefaultParagraphFont"/>
    <w:semiHidden/>
    <w:rsid w:val="00834352"/>
    <w:rPr>
      <w:rFonts w:eastAsia="Times New Roman"/>
      <w:b/>
      <w:bCs/>
      <w:i/>
      <w:iCs/>
      <w:sz w:val="26"/>
      <w:szCs w:val="26"/>
      <w:lang w:val="en-US" w:eastAsia="en-US"/>
    </w:rPr>
  </w:style>
  <w:style w:type="character" w:customStyle="1" w:styleId="Heading6Char">
    <w:name w:val="Heading 6 Char"/>
    <w:basedOn w:val="DefaultParagraphFont"/>
    <w:semiHidden/>
    <w:rsid w:val="00834352"/>
    <w:rPr>
      <w:rFonts w:eastAsia="Times New Roman"/>
      <w:b/>
      <w:bCs/>
      <w:sz w:val="22"/>
      <w:szCs w:val="22"/>
      <w:lang w:val="en-US" w:eastAsia="en-US"/>
    </w:rPr>
  </w:style>
  <w:style w:type="character" w:customStyle="1" w:styleId="Heading7Char">
    <w:name w:val="Heading 7 Char"/>
    <w:basedOn w:val="DefaultParagraphFont"/>
    <w:semiHidden/>
    <w:rsid w:val="00834352"/>
    <w:rPr>
      <w:rFonts w:eastAsia="Times New Roman"/>
      <w:sz w:val="24"/>
      <w:szCs w:val="24"/>
      <w:lang w:val="en-US" w:eastAsia="en-US"/>
    </w:rPr>
  </w:style>
  <w:style w:type="character" w:customStyle="1" w:styleId="Heading8Char">
    <w:name w:val="Heading 8 Char"/>
    <w:basedOn w:val="DefaultParagraphFont"/>
    <w:semiHidden/>
    <w:rsid w:val="00834352"/>
    <w:rPr>
      <w:rFonts w:eastAsia="Times New Roman"/>
      <w:i/>
      <w:iCs/>
      <w:sz w:val="24"/>
      <w:szCs w:val="24"/>
      <w:lang w:val="en-US" w:eastAsia="en-US"/>
    </w:rPr>
  </w:style>
  <w:style w:type="character" w:customStyle="1" w:styleId="Heading9Char">
    <w:name w:val="Heading 9 Char"/>
    <w:basedOn w:val="DefaultParagraphFont"/>
    <w:semiHidden/>
    <w:rsid w:val="00834352"/>
    <w:rPr>
      <w:rFonts w:ascii="Cambria" w:eastAsia="Times New Roman" w:hAnsi="Cambria"/>
      <w:sz w:val="22"/>
      <w:szCs w:val="22"/>
      <w:lang w:val="en-US" w:eastAsia="en-US"/>
    </w:rPr>
  </w:style>
  <w:style w:type="paragraph" w:customStyle="1" w:styleId="Tableheading">
    <w:name w:val="Table heading"/>
    <w:basedOn w:val="Normal"/>
    <w:qFormat/>
    <w:rsid w:val="00834352"/>
    <w:pPr>
      <w:spacing w:after="120"/>
    </w:pPr>
    <w:rPr>
      <w:b/>
      <w:iCs/>
      <w:sz w:val="20"/>
      <w:szCs w:val="20"/>
    </w:rPr>
  </w:style>
  <w:style w:type="paragraph" w:customStyle="1" w:styleId="reportbullets">
    <w:name w:val="report_bullets"/>
    <w:basedOn w:val="Normal"/>
    <w:rsid w:val="00834352"/>
    <w:pPr>
      <w:numPr>
        <w:numId w:val="3"/>
      </w:numPr>
      <w:jc w:val="left"/>
    </w:pPr>
    <w:rPr>
      <w:rFonts w:ascii="Arial" w:eastAsia="Times New Roman" w:hAnsi="Arial"/>
      <w:szCs w:val="20"/>
    </w:rPr>
  </w:style>
  <w:style w:type="character" w:customStyle="1" w:styleId="TableheadingChar">
    <w:name w:val="Table heading Char"/>
    <w:basedOn w:val="DefaultParagraphFont"/>
    <w:rsid w:val="00834352"/>
    <w:rPr>
      <w:rFonts w:ascii="Times New Roman" w:hAnsi="Times New Roman"/>
      <w:b/>
      <w:iCs/>
      <w:lang w:val="en-US" w:eastAsia="en-US"/>
    </w:rPr>
  </w:style>
  <w:style w:type="paragraph" w:customStyle="1" w:styleId="IntroandAnnexheading">
    <w:name w:val="Intro and Annex heading"/>
    <w:qFormat/>
    <w:rsid w:val="00363D60"/>
    <w:pPr>
      <w:spacing w:after="240"/>
    </w:pPr>
    <w:rPr>
      <w:rFonts w:ascii="Times New Roman" w:hAnsi="Times New Roman"/>
      <w:b/>
      <w:smallCaps/>
      <w:color w:val="17365D"/>
      <w:sz w:val="36"/>
      <w:szCs w:val="36"/>
      <w:lang w:val="sv-SE" w:eastAsia="da-DK"/>
    </w:rPr>
  </w:style>
  <w:style w:type="character" w:customStyle="1" w:styleId="AnnexheadingChar">
    <w:name w:val="Annex heading Char"/>
    <w:basedOn w:val="Heading1Char"/>
    <w:rsid w:val="00834352"/>
    <w:rPr>
      <w:rFonts w:ascii="Times New Roman" w:hAnsi="Times New Roman"/>
      <w:b/>
      <w:smallCaps/>
      <w:color w:val="244061"/>
      <w:sz w:val="36"/>
      <w:szCs w:val="36"/>
      <w:lang w:val="sv-SE" w:eastAsia="en-US" w:bidi="ar-SA"/>
    </w:rPr>
  </w:style>
  <w:style w:type="paragraph" w:styleId="BodyTextIndent">
    <w:name w:val="Body Text Indent"/>
    <w:basedOn w:val="Normal"/>
    <w:link w:val="BodyTextIndentChar"/>
    <w:uiPriority w:val="99"/>
    <w:rsid w:val="00834352"/>
    <w:rPr>
      <w:rFonts w:eastAsia="Times New Roman"/>
      <w:color w:val="FF0000"/>
      <w:szCs w:val="22"/>
    </w:rPr>
  </w:style>
  <w:style w:type="paragraph" w:styleId="CommentText">
    <w:name w:val="annotation text"/>
    <w:basedOn w:val="Normal"/>
    <w:link w:val="CommentTextChar1"/>
    <w:uiPriority w:val="99"/>
    <w:semiHidden/>
    <w:rsid w:val="00834352"/>
    <w:rPr>
      <w:rFonts w:eastAsia="Times New Roman"/>
      <w:sz w:val="20"/>
      <w:szCs w:val="20"/>
    </w:rPr>
  </w:style>
  <w:style w:type="paragraph" w:styleId="BodyText3">
    <w:name w:val="Body Text 3"/>
    <w:basedOn w:val="Normal"/>
    <w:semiHidden/>
    <w:rsid w:val="00834352"/>
    <w:rPr>
      <w:rFonts w:eastAsia="Times New Roman"/>
      <w:color w:val="FF0000"/>
      <w:szCs w:val="22"/>
    </w:rPr>
  </w:style>
  <w:style w:type="paragraph" w:styleId="TOC4">
    <w:name w:val="toc 4"/>
    <w:basedOn w:val="Normal"/>
    <w:next w:val="Normal"/>
    <w:autoRedefine/>
    <w:uiPriority w:val="99"/>
    <w:semiHidden/>
    <w:rsid w:val="00834352"/>
    <w:pPr>
      <w:spacing w:after="0" w:line="240" w:lineRule="auto"/>
      <w:ind w:left="720"/>
      <w:jc w:val="left"/>
    </w:pPr>
    <w:rPr>
      <w:rFonts w:eastAsia="Times New Roman"/>
    </w:rPr>
  </w:style>
  <w:style w:type="paragraph" w:styleId="TOC5">
    <w:name w:val="toc 5"/>
    <w:basedOn w:val="Normal"/>
    <w:next w:val="Normal"/>
    <w:autoRedefine/>
    <w:semiHidden/>
    <w:rsid w:val="00834352"/>
    <w:pPr>
      <w:spacing w:after="0" w:line="240" w:lineRule="auto"/>
      <w:ind w:left="960"/>
      <w:jc w:val="left"/>
    </w:pPr>
    <w:rPr>
      <w:rFonts w:eastAsia="Times New Roman"/>
    </w:rPr>
  </w:style>
  <w:style w:type="paragraph" w:styleId="TOC6">
    <w:name w:val="toc 6"/>
    <w:basedOn w:val="Normal"/>
    <w:next w:val="Normal"/>
    <w:autoRedefine/>
    <w:semiHidden/>
    <w:rsid w:val="00834352"/>
    <w:pPr>
      <w:spacing w:after="0" w:line="240" w:lineRule="auto"/>
      <w:ind w:left="1200"/>
      <w:jc w:val="left"/>
    </w:pPr>
    <w:rPr>
      <w:rFonts w:eastAsia="Times New Roman"/>
    </w:rPr>
  </w:style>
  <w:style w:type="paragraph" w:styleId="TOC7">
    <w:name w:val="toc 7"/>
    <w:basedOn w:val="Normal"/>
    <w:next w:val="Normal"/>
    <w:autoRedefine/>
    <w:semiHidden/>
    <w:rsid w:val="00834352"/>
    <w:pPr>
      <w:spacing w:after="0" w:line="240" w:lineRule="auto"/>
      <w:ind w:left="1440"/>
      <w:jc w:val="left"/>
    </w:pPr>
    <w:rPr>
      <w:rFonts w:eastAsia="Times New Roman"/>
    </w:rPr>
  </w:style>
  <w:style w:type="paragraph" w:styleId="TOC8">
    <w:name w:val="toc 8"/>
    <w:basedOn w:val="Normal"/>
    <w:next w:val="Normal"/>
    <w:autoRedefine/>
    <w:semiHidden/>
    <w:rsid w:val="00834352"/>
    <w:pPr>
      <w:spacing w:after="0" w:line="240" w:lineRule="auto"/>
      <w:ind w:left="1680"/>
      <w:jc w:val="left"/>
    </w:pPr>
    <w:rPr>
      <w:rFonts w:eastAsia="Times New Roman"/>
    </w:rPr>
  </w:style>
  <w:style w:type="paragraph" w:styleId="TOC9">
    <w:name w:val="toc 9"/>
    <w:basedOn w:val="Normal"/>
    <w:next w:val="Normal"/>
    <w:autoRedefine/>
    <w:semiHidden/>
    <w:rsid w:val="00834352"/>
    <w:pPr>
      <w:spacing w:after="0" w:line="240" w:lineRule="auto"/>
      <w:ind w:left="1920"/>
      <w:jc w:val="left"/>
    </w:pPr>
    <w:rPr>
      <w:rFonts w:eastAsia="Times New Roman"/>
    </w:rPr>
  </w:style>
  <w:style w:type="paragraph" w:customStyle="1" w:styleId="reportbodytext">
    <w:name w:val="report_body text"/>
    <w:basedOn w:val="Normal"/>
    <w:autoRedefine/>
    <w:rsid w:val="00834352"/>
    <w:rPr>
      <w:rFonts w:eastAsia="Times New Roman"/>
      <w:szCs w:val="22"/>
    </w:rPr>
  </w:style>
  <w:style w:type="character" w:styleId="CommentReference">
    <w:name w:val="annotation reference"/>
    <w:basedOn w:val="DefaultParagraphFont"/>
    <w:uiPriority w:val="99"/>
    <w:semiHidden/>
    <w:rsid w:val="00834352"/>
    <w:rPr>
      <w:rFonts w:ascii="Times New Roman" w:hAnsi="Times New Roman" w:cs="Times New Roman"/>
      <w:sz w:val="16"/>
      <w:szCs w:val="16"/>
    </w:rPr>
  </w:style>
  <w:style w:type="paragraph" w:styleId="CommentSubject">
    <w:name w:val="annotation subject"/>
    <w:basedOn w:val="CommentText"/>
    <w:next w:val="CommentText"/>
    <w:link w:val="CommentSubjectChar1"/>
    <w:uiPriority w:val="99"/>
    <w:semiHidden/>
    <w:unhideWhenUsed/>
    <w:rsid w:val="00834352"/>
    <w:rPr>
      <w:rFonts w:eastAsia="Calibri"/>
      <w:b/>
      <w:bCs/>
    </w:rPr>
  </w:style>
  <w:style w:type="character" w:customStyle="1" w:styleId="CommentTextChar">
    <w:name w:val="Comment Text Char"/>
    <w:basedOn w:val="DefaultParagraphFont"/>
    <w:semiHidden/>
    <w:rsid w:val="00834352"/>
    <w:rPr>
      <w:rFonts w:ascii="Times New Roman" w:eastAsia="Times New Roman" w:hAnsi="Times New Roman"/>
      <w:lang w:val="en-US" w:eastAsia="en-US"/>
    </w:rPr>
  </w:style>
  <w:style w:type="character" w:customStyle="1" w:styleId="CommentSubjectChar">
    <w:name w:val="Comment Subject Char"/>
    <w:basedOn w:val="CommentTextChar"/>
    <w:rsid w:val="00834352"/>
    <w:rPr>
      <w:rFonts w:ascii="Times New Roman" w:eastAsia="Times New Roman" w:hAnsi="Times New Roman"/>
      <w:lang w:val="en-US" w:eastAsia="en-US"/>
    </w:rPr>
  </w:style>
  <w:style w:type="paragraph" w:styleId="Revision">
    <w:name w:val="Revision"/>
    <w:hidden/>
    <w:semiHidden/>
    <w:rsid w:val="00834352"/>
    <w:rPr>
      <w:rFonts w:ascii="Times New Roman" w:hAnsi="Times New Roman"/>
      <w:sz w:val="22"/>
      <w:szCs w:val="24"/>
      <w:lang w:val="en-US" w:eastAsia="en-US"/>
    </w:rPr>
  </w:style>
  <w:style w:type="paragraph" w:customStyle="1" w:styleId="Pa0">
    <w:name w:val="Pa0"/>
    <w:basedOn w:val="Default"/>
    <w:next w:val="Default"/>
    <w:rsid w:val="00834352"/>
    <w:pPr>
      <w:spacing w:line="221" w:lineRule="atLeast"/>
    </w:pPr>
    <w:rPr>
      <w:rFonts w:ascii="Arial" w:eastAsia="Times New Roman" w:hAnsi="Arial" w:cs="Arial"/>
      <w:color w:val="auto"/>
    </w:rPr>
  </w:style>
  <w:style w:type="character" w:customStyle="1" w:styleId="A0">
    <w:name w:val="A0"/>
    <w:rsid w:val="00834352"/>
    <w:rPr>
      <w:b/>
      <w:color w:val="000000"/>
      <w:sz w:val="68"/>
    </w:rPr>
  </w:style>
  <w:style w:type="character" w:customStyle="1" w:styleId="A1">
    <w:name w:val="A1"/>
    <w:rsid w:val="00834352"/>
    <w:rPr>
      <w:color w:val="000000"/>
      <w:sz w:val="36"/>
    </w:rPr>
  </w:style>
  <w:style w:type="paragraph" w:styleId="DocumentMap">
    <w:name w:val="Document Map"/>
    <w:basedOn w:val="Normal"/>
    <w:link w:val="DocumentMapChar"/>
    <w:uiPriority w:val="99"/>
    <w:semiHidden/>
    <w:unhideWhenUsed/>
    <w:rsid w:val="008A7E2A"/>
    <w:rPr>
      <w:rFonts w:ascii="Tahoma" w:hAnsi="Tahoma" w:cs="Tahoma"/>
      <w:sz w:val="16"/>
      <w:szCs w:val="16"/>
    </w:rPr>
  </w:style>
  <w:style w:type="character" w:customStyle="1" w:styleId="DocumentMapChar">
    <w:name w:val="Document Map Char"/>
    <w:basedOn w:val="DefaultParagraphFont"/>
    <w:link w:val="DocumentMap"/>
    <w:uiPriority w:val="99"/>
    <w:semiHidden/>
    <w:rsid w:val="008A7E2A"/>
    <w:rPr>
      <w:rFonts w:ascii="Tahoma" w:hAnsi="Tahoma" w:cs="Tahoma"/>
      <w:sz w:val="16"/>
      <w:szCs w:val="16"/>
      <w:lang w:val="en-US" w:eastAsia="en-US"/>
    </w:rPr>
  </w:style>
  <w:style w:type="table" w:styleId="TableGrid">
    <w:name w:val="Table Grid"/>
    <w:basedOn w:val="TableNormal"/>
    <w:uiPriority w:val="59"/>
    <w:rsid w:val="00B3747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uiPriority w:val="99"/>
    <w:unhideWhenUsed/>
    <w:rsid w:val="00FC2CAB"/>
  </w:style>
  <w:style w:type="paragraph" w:customStyle="1" w:styleId="Frontpage">
    <w:name w:val="Front page"/>
    <w:link w:val="FrontpageChar"/>
    <w:qFormat/>
    <w:rsid w:val="00F05762"/>
    <w:rPr>
      <w:rFonts w:ascii="Times New Roman" w:hAnsi="Times New Roman"/>
      <w:sz w:val="24"/>
      <w:szCs w:val="24"/>
      <w:lang w:val="en-GB" w:eastAsia="en-US"/>
    </w:rPr>
  </w:style>
  <w:style w:type="character" w:customStyle="1" w:styleId="FrontpageChar">
    <w:name w:val="Front page Char"/>
    <w:basedOn w:val="DefaultParagraphFont"/>
    <w:link w:val="Frontpage"/>
    <w:rsid w:val="00F05762"/>
    <w:rPr>
      <w:rFonts w:ascii="Times New Roman" w:hAnsi="Times New Roman"/>
      <w:sz w:val="24"/>
      <w:szCs w:val="24"/>
      <w:lang w:val="en-GB" w:eastAsia="en-US" w:bidi="ar-SA"/>
    </w:rPr>
  </w:style>
  <w:style w:type="character" w:customStyle="1" w:styleId="Heading1Char1">
    <w:name w:val="Heading 1 Char1"/>
    <w:basedOn w:val="DefaultParagraphFont"/>
    <w:link w:val="Heading1"/>
    <w:rsid w:val="00B12CD3"/>
    <w:rPr>
      <w:rFonts w:ascii="Times New Roman" w:hAnsi="Times New Roman"/>
      <w:b/>
      <w:smallCaps/>
      <w:color w:val="17365D"/>
      <w:sz w:val="36"/>
      <w:szCs w:val="36"/>
      <w:lang w:val="en-GB" w:eastAsia="en-US"/>
    </w:rPr>
  </w:style>
  <w:style w:type="character" w:customStyle="1" w:styleId="Heading2Char1">
    <w:name w:val="Heading 2 Char1"/>
    <w:basedOn w:val="DefaultParagraphFont"/>
    <w:link w:val="Heading2"/>
    <w:rsid w:val="003C397D"/>
    <w:rPr>
      <w:rFonts w:ascii="Times New Roman" w:hAnsi="Times New Roman"/>
      <w:b/>
      <w:color w:val="17365D"/>
      <w:sz w:val="28"/>
      <w:szCs w:val="28"/>
      <w:lang w:val="en-GB" w:eastAsia="en-US"/>
    </w:rPr>
  </w:style>
  <w:style w:type="character" w:customStyle="1" w:styleId="Heading3Char1">
    <w:name w:val="Heading 3 Char1"/>
    <w:basedOn w:val="DefaultParagraphFont"/>
    <w:link w:val="Heading3"/>
    <w:rsid w:val="00C3636E"/>
    <w:rPr>
      <w:rFonts w:ascii="Times New Roman" w:eastAsia="Times New Roman" w:hAnsi="Times New Roman"/>
      <w:b/>
      <w:bCs/>
      <w:color w:val="17365D"/>
      <w:sz w:val="24"/>
      <w:szCs w:val="24"/>
      <w:lang w:val="en-GB" w:eastAsia="en-US"/>
    </w:rPr>
  </w:style>
  <w:style w:type="character" w:customStyle="1" w:styleId="Heading4Char1">
    <w:name w:val="Heading 4 Char1"/>
    <w:basedOn w:val="DefaultParagraphFont"/>
    <w:link w:val="Heading4"/>
    <w:rsid w:val="00C3636E"/>
    <w:rPr>
      <w:rFonts w:eastAsia="Times New Roman"/>
      <w:b/>
      <w:bCs/>
      <w:sz w:val="28"/>
      <w:szCs w:val="28"/>
      <w:lang w:val="en-GB" w:eastAsia="en-US"/>
    </w:rPr>
  </w:style>
  <w:style w:type="character" w:customStyle="1" w:styleId="Heading5Char1">
    <w:name w:val="Heading 5 Char1"/>
    <w:basedOn w:val="DefaultParagraphFont"/>
    <w:link w:val="Heading5"/>
    <w:rsid w:val="00C3636E"/>
    <w:rPr>
      <w:rFonts w:eastAsia="Times New Roman"/>
      <w:b/>
      <w:bCs/>
      <w:i/>
      <w:iCs/>
      <w:sz w:val="26"/>
      <w:szCs w:val="26"/>
      <w:lang w:val="en-GB" w:eastAsia="en-US"/>
    </w:rPr>
  </w:style>
  <w:style w:type="character" w:customStyle="1" w:styleId="Heading6Char1">
    <w:name w:val="Heading 6 Char1"/>
    <w:basedOn w:val="DefaultParagraphFont"/>
    <w:link w:val="Heading6"/>
    <w:rsid w:val="00C3636E"/>
    <w:rPr>
      <w:rFonts w:eastAsia="Times New Roman"/>
      <w:b/>
      <w:bCs/>
      <w:sz w:val="24"/>
      <w:szCs w:val="22"/>
      <w:lang w:val="en-GB" w:eastAsia="en-US"/>
    </w:rPr>
  </w:style>
  <w:style w:type="character" w:customStyle="1" w:styleId="Heading7Char1">
    <w:name w:val="Heading 7 Char1"/>
    <w:basedOn w:val="DefaultParagraphFont"/>
    <w:link w:val="Heading7"/>
    <w:rsid w:val="00C3636E"/>
    <w:rPr>
      <w:rFonts w:eastAsia="Times New Roman"/>
      <w:sz w:val="24"/>
      <w:szCs w:val="24"/>
      <w:lang w:val="en-GB" w:eastAsia="en-US"/>
    </w:rPr>
  </w:style>
  <w:style w:type="character" w:customStyle="1" w:styleId="Heading8Char1">
    <w:name w:val="Heading 8 Char1"/>
    <w:basedOn w:val="DefaultParagraphFont"/>
    <w:link w:val="Heading8"/>
    <w:rsid w:val="00C3636E"/>
    <w:rPr>
      <w:rFonts w:eastAsia="Times New Roman"/>
      <w:i/>
      <w:iCs/>
      <w:sz w:val="24"/>
      <w:szCs w:val="24"/>
      <w:lang w:val="en-GB" w:eastAsia="en-US"/>
    </w:rPr>
  </w:style>
  <w:style w:type="character" w:customStyle="1" w:styleId="Heading9Char1">
    <w:name w:val="Heading 9 Char1"/>
    <w:basedOn w:val="DefaultParagraphFont"/>
    <w:link w:val="Heading9"/>
    <w:rsid w:val="00C3636E"/>
    <w:rPr>
      <w:rFonts w:ascii="Cambria" w:eastAsia="Times New Roman" w:hAnsi="Cambria"/>
      <w:sz w:val="24"/>
      <w:szCs w:val="22"/>
      <w:lang w:val="en-GB" w:eastAsia="en-US"/>
    </w:rPr>
  </w:style>
  <w:style w:type="character" w:customStyle="1" w:styleId="FooterChar1">
    <w:name w:val="Footer Char1"/>
    <w:basedOn w:val="DefaultParagraphFont"/>
    <w:link w:val="Footer"/>
    <w:uiPriority w:val="99"/>
    <w:rsid w:val="00C3636E"/>
    <w:rPr>
      <w:rFonts w:ascii="Times New Roman" w:hAnsi="Times New Roman"/>
      <w:sz w:val="24"/>
      <w:szCs w:val="24"/>
      <w:lang w:val="en-GB" w:eastAsia="en-US"/>
    </w:rPr>
  </w:style>
  <w:style w:type="character" w:customStyle="1" w:styleId="FootnoteTextChar1">
    <w:name w:val="Footnote Text Char1"/>
    <w:aliases w:val="Footnote Text Quote Char1,f Char1"/>
    <w:basedOn w:val="DefaultParagraphFont"/>
    <w:link w:val="FootnoteText"/>
    <w:uiPriority w:val="99"/>
    <w:rsid w:val="00C3636E"/>
    <w:rPr>
      <w:rFonts w:ascii="Times New Roman" w:hAnsi="Times New Roman"/>
      <w:lang w:val="en-GB" w:eastAsia="en-US" w:bidi="en-US"/>
    </w:rPr>
  </w:style>
  <w:style w:type="paragraph" w:customStyle="1" w:styleId="Box">
    <w:name w:val="Box"/>
    <w:basedOn w:val="Normal"/>
    <w:uiPriority w:val="99"/>
    <w:rsid w:val="00C3636E"/>
    <w:pPr>
      <w:spacing w:before="40" w:after="40" w:line="240" w:lineRule="auto"/>
      <w:jc w:val="left"/>
    </w:pPr>
    <w:rPr>
      <w:rFonts w:ascii="Arial Narrow" w:eastAsia="Times New Roman" w:hAnsi="Arial Narrow" w:cs="Arial Narrow"/>
      <w:sz w:val="20"/>
      <w:szCs w:val="20"/>
      <w:lang w:eastAsia="es-ES"/>
    </w:rPr>
  </w:style>
  <w:style w:type="character" w:customStyle="1" w:styleId="BodyText2Char1">
    <w:name w:val="Body Text 2 Char1"/>
    <w:basedOn w:val="DefaultParagraphFont"/>
    <w:link w:val="BodyText2"/>
    <w:uiPriority w:val="99"/>
    <w:rsid w:val="00C3636E"/>
    <w:rPr>
      <w:rFonts w:ascii="Times New Roman" w:eastAsia="Times New Roman" w:hAnsi="Times New Roman"/>
      <w:color w:val="000000"/>
      <w:sz w:val="24"/>
      <w:lang w:val="en-GB" w:eastAsia="en-US"/>
    </w:rPr>
  </w:style>
  <w:style w:type="character" w:customStyle="1" w:styleId="HeaderChar1">
    <w:name w:val="Header Char1"/>
    <w:basedOn w:val="DefaultParagraphFont"/>
    <w:link w:val="Header"/>
    <w:uiPriority w:val="99"/>
    <w:rsid w:val="00C3636E"/>
    <w:rPr>
      <w:rFonts w:ascii="Times New Roman" w:hAnsi="Times New Roman"/>
      <w:b/>
      <w:i/>
      <w:sz w:val="18"/>
      <w:szCs w:val="24"/>
      <w:lang w:val="en-US" w:eastAsia="en-US"/>
    </w:rPr>
  </w:style>
  <w:style w:type="paragraph" w:customStyle="1" w:styleId="Photo">
    <w:name w:val="Photo"/>
    <w:basedOn w:val="Normal"/>
    <w:autoRedefine/>
    <w:uiPriority w:val="99"/>
    <w:rsid w:val="00C3636E"/>
    <w:pPr>
      <w:spacing w:before="60" w:after="60" w:line="240" w:lineRule="auto"/>
    </w:pPr>
    <w:rPr>
      <w:rFonts w:ascii="Arial" w:eastAsia="Times New Roman" w:hAnsi="Arial" w:cs="Arial"/>
      <w:i/>
      <w:iCs/>
      <w:sz w:val="20"/>
      <w:szCs w:val="20"/>
      <w:lang w:eastAsia="es-ES"/>
    </w:rPr>
  </w:style>
  <w:style w:type="paragraph" w:customStyle="1" w:styleId="Style1">
    <w:name w:val="Style1"/>
    <w:basedOn w:val="Normal"/>
    <w:autoRedefine/>
    <w:uiPriority w:val="99"/>
    <w:rsid w:val="00C3636E"/>
    <w:pPr>
      <w:spacing w:before="60" w:after="60" w:line="240" w:lineRule="auto"/>
    </w:pPr>
    <w:rPr>
      <w:rFonts w:ascii="Arial" w:eastAsia="Times New Roman" w:hAnsi="Arial" w:cs="Arial"/>
      <w:i/>
      <w:iCs/>
      <w:sz w:val="18"/>
      <w:szCs w:val="18"/>
      <w:lang w:eastAsia="es-ES"/>
    </w:rPr>
  </w:style>
  <w:style w:type="paragraph" w:customStyle="1" w:styleId="Footnote">
    <w:name w:val="Footnote"/>
    <w:basedOn w:val="Photo"/>
    <w:uiPriority w:val="99"/>
    <w:rsid w:val="00C3636E"/>
    <w:rPr>
      <w:i w:val="0"/>
      <w:iCs w:val="0"/>
    </w:rPr>
  </w:style>
  <w:style w:type="character" w:customStyle="1" w:styleId="BodyTextChar1">
    <w:name w:val="Body Text Char1"/>
    <w:basedOn w:val="DefaultParagraphFont"/>
    <w:link w:val="BodyText"/>
    <w:uiPriority w:val="99"/>
    <w:rsid w:val="00C3636E"/>
    <w:rPr>
      <w:rFonts w:ascii="Times New Roman" w:eastAsia="Times New Roman" w:hAnsi="Times New Roman"/>
      <w:sz w:val="24"/>
      <w:lang w:val="en-GB" w:eastAsia="en-US"/>
    </w:rPr>
  </w:style>
  <w:style w:type="paragraph" w:customStyle="1" w:styleId="Table">
    <w:name w:val="Table"/>
    <w:basedOn w:val="Normal"/>
    <w:uiPriority w:val="99"/>
    <w:rsid w:val="00C3636E"/>
    <w:pPr>
      <w:keepNext/>
      <w:keepLines/>
      <w:spacing w:before="20" w:after="20" w:line="288" w:lineRule="auto"/>
      <w:jc w:val="left"/>
    </w:pPr>
    <w:rPr>
      <w:rFonts w:ascii="Arial" w:eastAsia="Times New Roman" w:hAnsi="Arial" w:cs="Arial"/>
      <w:sz w:val="18"/>
      <w:szCs w:val="18"/>
      <w:lang w:eastAsia="en-GB"/>
    </w:rPr>
  </w:style>
  <w:style w:type="paragraph" w:styleId="HTMLPreformatted">
    <w:name w:val="HTML Preformatted"/>
    <w:basedOn w:val="Normal"/>
    <w:link w:val="HTMLPreformattedChar"/>
    <w:uiPriority w:val="99"/>
    <w:rsid w:val="00C36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3636E"/>
    <w:rPr>
      <w:rFonts w:ascii="Courier New" w:eastAsia="Times New Roman" w:hAnsi="Courier New" w:cs="Courier New"/>
      <w:lang w:val="en-US" w:eastAsia="en-US"/>
    </w:rPr>
  </w:style>
  <w:style w:type="paragraph" w:styleId="Caption">
    <w:name w:val="caption"/>
    <w:basedOn w:val="Normal"/>
    <w:next w:val="Normal"/>
    <w:link w:val="CaptionChar"/>
    <w:uiPriority w:val="99"/>
    <w:qFormat/>
    <w:rsid w:val="00C3636E"/>
    <w:pPr>
      <w:spacing w:before="60" w:after="60" w:line="240" w:lineRule="auto"/>
      <w:jc w:val="center"/>
    </w:pPr>
    <w:rPr>
      <w:rFonts w:ascii="Arial" w:eastAsia="Times New Roman" w:hAnsi="Arial" w:cs="Arial"/>
      <w:b/>
      <w:bCs/>
      <w:sz w:val="20"/>
      <w:szCs w:val="20"/>
      <w:lang w:eastAsia="es-ES"/>
    </w:rPr>
  </w:style>
  <w:style w:type="paragraph" w:styleId="TableofFigures">
    <w:name w:val="table of figures"/>
    <w:basedOn w:val="Normal"/>
    <w:next w:val="Normal"/>
    <w:uiPriority w:val="99"/>
    <w:semiHidden/>
    <w:rsid w:val="00C3636E"/>
    <w:pPr>
      <w:spacing w:before="60" w:after="60" w:line="240" w:lineRule="auto"/>
    </w:pPr>
    <w:rPr>
      <w:rFonts w:ascii="Arial" w:eastAsia="Times New Roman" w:hAnsi="Arial" w:cs="Arial"/>
      <w:sz w:val="22"/>
      <w:szCs w:val="22"/>
      <w:lang w:eastAsia="es-ES"/>
    </w:rPr>
  </w:style>
  <w:style w:type="paragraph" w:styleId="ListBullet">
    <w:name w:val="List Bullet"/>
    <w:basedOn w:val="Normal"/>
    <w:uiPriority w:val="99"/>
    <w:rsid w:val="00C3636E"/>
    <w:pPr>
      <w:numPr>
        <w:numId w:val="4"/>
      </w:numPr>
      <w:spacing w:after="240" w:line="240" w:lineRule="auto"/>
    </w:pPr>
    <w:rPr>
      <w:rFonts w:eastAsia="Times New Roman"/>
    </w:rPr>
  </w:style>
  <w:style w:type="paragraph" w:styleId="ListNumber">
    <w:name w:val="List Number"/>
    <w:basedOn w:val="Normal"/>
    <w:uiPriority w:val="99"/>
    <w:rsid w:val="00C3636E"/>
    <w:pPr>
      <w:numPr>
        <w:numId w:val="5"/>
      </w:numPr>
      <w:spacing w:after="240" w:line="240" w:lineRule="auto"/>
    </w:pPr>
    <w:rPr>
      <w:rFonts w:eastAsia="Times New Roman"/>
    </w:rPr>
  </w:style>
  <w:style w:type="paragraph" w:customStyle="1" w:styleId="ListNumberLevel2">
    <w:name w:val="List Number (Level 2)"/>
    <w:basedOn w:val="Normal"/>
    <w:uiPriority w:val="99"/>
    <w:rsid w:val="00C3636E"/>
    <w:pPr>
      <w:numPr>
        <w:ilvl w:val="1"/>
        <w:numId w:val="5"/>
      </w:numPr>
      <w:spacing w:after="240" w:line="240" w:lineRule="auto"/>
    </w:pPr>
    <w:rPr>
      <w:rFonts w:eastAsia="Times New Roman"/>
    </w:rPr>
  </w:style>
  <w:style w:type="paragraph" w:customStyle="1" w:styleId="ListNumberLevel3">
    <w:name w:val="List Number (Level 3)"/>
    <w:basedOn w:val="Normal"/>
    <w:uiPriority w:val="99"/>
    <w:rsid w:val="00C3636E"/>
    <w:pPr>
      <w:numPr>
        <w:ilvl w:val="2"/>
        <w:numId w:val="5"/>
      </w:numPr>
      <w:spacing w:after="240" w:line="240" w:lineRule="auto"/>
    </w:pPr>
    <w:rPr>
      <w:rFonts w:eastAsia="Times New Roman"/>
    </w:rPr>
  </w:style>
  <w:style w:type="paragraph" w:customStyle="1" w:styleId="ListNumberLevel4">
    <w:name w:val="List Number (Level 4)"/>
    <w:basedOn w:val="Normal"/>
    <w:uiPriority w:val="99"/>
    <w:rsid w:val="00C3636E"/>
    <w:pPr>
      <w:numPr>
        <w:ilvl w:val="3"/>
        <w:numId w:val="5"/>
      </w:numPr>
      <w:spacing w:after="240" w:line="240" w:lineRule="auto"/>
    </w:pPr>
    <w:rPr>
      <w:rFonts w:eastAsia="Times New Roman"/>
    </w:rPr>
  </w:style>
  <w:style w:type="paragraph" w:customStyle="1" w:styleId="Char1">
    <w:name w:val="Char1"/>
    <w:basedOn w:val="Normal"/>
    <w:uiPriority w:val="99"/>
    <w:rsid w:val="00C3636E"/>
    <w:pPr>
      <w:spacing w:after="160" w:line="240" w:lineRule="exact"/>
      <w:jc w:val="left"/>
    </w:pPr>
    <w:rPr>
      <w:rFonts w:ascii="Verdana" w:eastAsia="Times New Roman" w:hAnsi="Verdana" w:cs="Verdana"/>
      <w:sz w:val="20"/>
      <w:szCs w:val="20"/>
      <w:lang w:val="en-US"/>
    </w:rPr>
  </w:style>
  <w:style w:type="character" w:customStyle="1" w:styleId="CaptionChar">
    <w:name w:val="Caption Char"/>
    <w:basedOn w:val="DefaultParagraphFont"/>
    <w:link w:val="Caption"/>
    <w:uiPriority w:val="99"/>
    <w:locked/>
    <w:rsid w:val="00C3636E"/>
    <w:rPr>
      <w:rFonts w:ascii="Arial" w:eastAsia="Times New Roman" w:hAnsi="Arial" w:cs="Arial"/>
      <w:b/>
      <w:bCs/>
      <w:lang w:val="en-GB" w:eastAsia="es-ES"/>
    </w:rPr>
  </w:style>
  <w:style w:type="character" w:customStyle="1" w:styleId="BodyTextIndentChar">
    <w:name w:val="Body Text Indent Char"/>
    <w:basedOn w:val="DefaultParagraphFont"/>
    <w:link w:val="BodyTextIndent"/>
    <w:uiPriority w:val="99"/>
    <w:locked/>
    <w:rsid w:val="00C3636E"/>
    <w:rPr>
      <w:rFonts w:ascii="Times New Roman" w:eastAsia="Times New Roman" w:hAnsi="Times New Roman"/>
      <w:color w:val="FF0000"/>
      <w:sz w:val="24"/>
      <w:szCs w:val="22"/>
      <w:lang w:val="en-GB" w:eastAsia="en-US"/>
    </w:rPr>
  </w:style>
  <w:style w:type="character" w:customStyle="1" w:styleId="CommentTextChar1">
    <w:name w:val="Comment Text Char1"/>
    <w:basedOn w:val="DefaultParagraphFont"/>
    <w:link w:val="CommentText"/>
    <w:uiPriority w:val="99"/>
    <w:semiHidden/>
    <w:locked/>
    <w:rsid w:val="00C3636E"/>
    <w:rPr>
      <w:rFonts w:ascii="Times New Roman" w:eastAsia="Times New Roman" w:hAnsi="Times New Roman"/>
      <w:lang w:val="en-GB" w:eastAsia="en-US"/>
    </w:rPr>
  </w:style>
  <w:style w:type="character" w:customStyle="1" w:styleId="CommentSubjectChar1">
    <w:name w:val="Comment Subject Char1"/>
    <w:basedOn w:val="CommentTextChar1"/>
    <w:link w:val="CommentSubject"/>
    <w:uiPriority w:val="99"/>
    <w:semiHidden/>
    <w:locked/>
    <w:rsid w:val="00C3636E"/>
    <w:rPr>
      <w:rFonts w:ascii="Times New Roman" w:eastAsia="Times New Roman" w:hAnsi="Times New Roman"/>
      <w:b/>
      <w:bCs/>
      <w:lang w:val="en-GB" w:eastAsia="en-US"/>
    </w:rPr>
  </w:style>
  <w:style w:type="character" w:customStyle="1" w:styleId="BalloonTextChar1">
    <w:name w:val="Balloon Text Char1"/>
    <w:basedOn w:val="DefaultParagraphFont"/>
    <w:link w:val="BalloonText"/>
    <w:uiPriority w:val="99"/>
    <w:locked/>
    <w:rsid w:val="00C3636E"/>
    <w:rPr>
      <w:rFonts w:ascii="Tahoma" w:hAnsi="Tahoma" w:cs="Tahoma"/>
      <w:sz w:val="16"/>
      <w:szCs w:val="16"/>
      <w:lang w:val="en-GB" w:eastAsia="en-US"/>
    </w:rPr>
  </w:style>
  <w:style w:type="paragraph" w:styleId="NormalWeb">
    <w:name w:val="Normal (Web)"/>
    <w:basedOn w:val="Normal"/>
    <w:uiPriority w:val="99"/>
    <w:rsid w:val="00C3636E"/>
    <w:pPr>
      <w:spacing w:before="100" w:beforeAutospacing="1" w:after="100" w:afterAutospacing="1" w:line="240" w:lineRule="auto"/>
      <w:jc w:val="left"/>
    </w:pPr>
    <w:rPr>
      <w:rFonts w:eastAsia="Times New Roman"/>
      <w:lang w:val="en-US"/>
    </w:rPr>
  </w:style>
  <w:style w:type="character" w:styleId="Strong">
    <w:name w:val="Strong"/>
    <w:basedOn w:val="DefaultParagraphFont"/>
    <w:uiPriority w:val="99"/>
    <w:qFormat/>
    <w:rsid w:val="00C3636E"/>
    <w:rPr>
      <w:b/>
      <w:bCs/>
    </w:rPr>
  </w:style>
  <w:style w:type="character" w:customStyle="1" w:styleId="apple-converted-space">
    <w:name w:val="apple-converted-space"/>
    <w:basedOn w:val="DefaultParagraphFont"/>
    <w:uiPriority w:val="99"/>
    <w:rsid w:val="00C3636E"/>
  </w:style>
  <w:style w:type="numbering" w:customStyle="1" w:styleId="StyleNumbered">
    <w:name w:val="Style Numbered"/>
    <w:rsid w:val="00C3636E"/>
    <w:pPr>
      <w:numPr>
        <w:numId w:val="6"/>
      </w:numPr>
    </w:pPr>
  </w:style>
  <w:style w:type="paragraph" w:styleId="NormalIndent">
    <w:name w:val="Normal Indent"/>
    <w:basedOn w:val="Normal"/>
    <w:next w:val="Normal"/>
    <w:autoRedefine/>
    <w:uiPriority w:val="4"/>
    <w:unhideWhenUsed/>
    <w:qFormat/>
    <w:rsid w:val="0051421C"/>
    <w:pPr>
      <w:tabs>
        <w:tab w:val="left" w:pos="13325"/>
      </w:tabs>
      <w:spacing w:after="120" w:line="240" w:lineRule="auto"/>
      <w:ind w:left="100"/>
    </w:pPr>
    <w:rPr>
      <w:rFonts w:eastAsiaTheme="minorHAnsi" w:cs="Arial"/>
      <w:szCs w:val="22"/>
    </w:rPr>
  </w:style>
  <w:style w:type="table" w:customStyle="1" w:styleId="TableGrid1">
    <w:name w:val="Table Grid1"/>
    <w:basedOn w:val="TableNormal"/>
    <w:next w:val="TableGrid"/>
    <w:uiPriority w:val="59"/>
    <w:rsid w:val="00E63B6D"/>
    <w:rPr>
      <w:rFonts w:ascii="Times New Roman" w:eastAsia="MS Mincho" w:hAnsi="Times New Roman"/>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301343"/>
  </w:style>
  <w:style w:type="paragraph" w:styleId="EndnoteText">
    <w:name w:val="endnote text"/>
    <w:basedOn w:val="Normal"/>
    <w:link w:val="EndnoteTextChar"/>
    <w:uiPriority w:val="99"/>
    <w:semiHidden/>
    <w:unhideWhenUsed/>
    <w:rsid w:val="00AD5369"/>
    <w:pPr>
      <w:spacing w:after="0" w:line="240" w:lineRule="auto"/>
      <w:jc w:val="left"/>
    </w:pPr>
    <w:rPr>
      <w:rFonts w:ascii="Calibri" w:eastAsia="Times New Roman" w:hAnsi="Calibri"/>
      <w:sz w:val="20"/>
      <w:szCs w:val="20"/>
      <w:lang w:val="en-US"/>
    </w:rPr>
  </w:style>
  <w:style w:type="character" w:customStyle="1" w:styleId="EndnoteTextChar">
    <w:name w:val="Endnote Text Char"/>
    <w:basedOn w:val="DefaultParagraphFont"/>
    <w:link w:val="EndnoteText"/>
    <w:uiPriority w:val="99"/>
    <w:semiHidden/>
    <w:rsid w:val="00AD5369"/>
    <w:rPr>
      <w:rFonts w:eastAsia="Times New Roman"/>
      <w:lang w:val="en-US" w:eastAsia="en-US"/>
    </w:rPr>
  </w:style>
  <w:style w:type="character" w:styleId="EndnoteReference">
    <w:name w:val="endnote reference"/>
    <w:basedOn w:val="DefaultParagraphFont"/>
    <w:uiPriority w:val="99"/>
    <w:semiHidden/>
    <w:unhideWhenUsed/>
    <w:rsid w:val="00AD536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1546553">
      <w:bodyDiv w:val="1"/>
      <w:marLeft w:val="0"/>
      <w:marRight w:val="0"/>
      <w:marTop w:val="0"/>
      <w:marBottom w:val="0"/>
      <w:divBdr>
        <w:top w:val="none" w:sz="0" w:space="0" w:color="auto"/>
        <w:left w:val="none" w:sz="0" w:space="0" w:color="auto"/>
        <w:bottom w:val="none" w:sz="0" w:space="0" w:color="auto"/>
        <w:right w:val="none" w:sz="0" w:space="0" w:color="auto"/>
      </w:divBdr>
    </w:div>
    <w:div w:id="409735350">
      <w:bodyDiv w:val="1"/>
      <w:marLeft w:val="0"/>
      <w:marRight w:val="0"/>
      <w:marTop w:val="0"/>
      <w:marBottom w:val="0"/>
      <w:divBdr>
        <w:top w:val="none" w:sz="0" w:space="0" w:color="auto"/>
        <w:left w:val="none" w:sz="0" w:space="0" w:color="auto"/>
        <w:bottom w:val="none" w:sz="0" w:space="0" w:color="auto"/>
        <w:right w:val="none" w:sz="0" w:space="0" w:color="auto"/>
      </w:divBdr>
    </w:div>
    <w:div w:id="530344883">
      <w:bodyDiv w:val="1"/>
      <w:marLeft w:val="0"/>
      <w:marRight w:val="0"/>
      <w:marTop w:val="0"/>
      <w:marBottom w:val="0"/>
      <w:divBdr>
        <w:top w:val="none" w:sz="0" w:space="0" w:color="auto"/>
        <w:left w:val="none" w:sz="0" w:space="0" w:color="auto"/>
        <w:bottom w:val="none" w:sz="0" w:space="0" w:color="auto"/>
        <w:right w:val="none" w:sz="0" w:space="0" w:color="auto"/>
      </w:divBdr>
      <w:divsChild>
        <w:div w:id="1527136885">
          <w:marLeft w:val="0"/>
          <w:marRight w:val="0"/>
          <w:marTop w:val="0"/>
          <w:marBottom w:val="0"/>
          <w:divBdr>
            <w:top w:val="none" w:sz="0" w:space="0" w:color="auto"/>
            <w:left w:val="none" w:sz="0" w:space="0" w:color="auto"/>
            <w:bottom w:val="none" w:sz="0" w:space="0" w:color="auto"/>
            <w:right w:val="none" w:sz="0" w:space="0" w:color="auto"/>
          </w:divBdr>
        </w:div>
      </w:divsChild>
    </w:div>
    <w:div w:id="603343318">
      <w:bodyDiv w:val="1"/>
      <w:marLeft w:val="0"/>
      <w:marRight w:val="0"/>
      <w:marTop w:val="0"/>
      <w:marBottom w:val="0"/>
      <w:divBdr>
        <w:top w:val="none" w:sz="0" w:space="0" w:color="auto"/>
        <w:left w:val="none" w:sz="0" w:space="0" w:color="auto"/>
        <w:bottom w:val="none" w:sz="0" w:space="0" w:color="auto"/>
        <w:right w:val="none" w:sz="0" w:space="0" w:color="auto"/>
      </w:divBdr>
    </w:div>
    <w:div w:id="614405899">
      <w:bodyDiv w:val="1"/>
      <w:marLeft w:val="0"/>
      <w:marRight w:val="0"/>
      <w:marTop w:val="0"/>
      <w:marBottom w:val="0"/>
      <w:divBdr>
        <w:top w:val="none" w:sz="0" w:space="0" w:color="auto"/>
        <w:left w:val="none" w:sz="0" w:space="0" w:color="auto"/>
        <w:bottom w:val="none" w:sz="0" w:space="0" w:color="auto"/>
        <w:right w:val="none" w:sz="0" w:space="0" w:color="auto"/>
      </w:divBdr>
    </w:div>
    <w:div w:id="637761102">
      <w:bodyDiv w:val="1"/>
      <w:marLeft w:val="0"/>
      <w:marRight w:val="0"/>
      <w:marTop w:val="0"/>
      <w:marBottom w:val="0"/>
      <w:divBdr>
        <w:top w:val="none" w:sz="0" w:space="0" w:color="auto"/>
        <w:left w:val="none" w:sz="0" w:space="0" w:color="auto"/>
        <w:bottom w:val="none" w:sz="0" w:space="0" w:color="auto"/>
        <w:right w:val="none" w:sz="0" w:space="0" w:color="auto"/>
      </w:divBdr>
    </w:div>
    <w:div w:id="959998546">
      <w:bodyDiv w:val="1"/>
      <w:marLeft w:val="0"/>
      <w:marRight w:val="0"/>
      <w:marTop w:val="0"/>
      <w:marBottom w:val="0"/>
      <w:divBdr>
        <w:top w:val="none" w:sz="0" w:space="0" w:color="auto"/>
        <w:left w:val="none" w:sz="0" w:space="0" w:color="auto"/>
        <w:bottom w:val="none" w:sz="0" w:space="0" w:color="auto"/>
        <w:right w:val="none" w:sz="0" w:space="0" w:color="auto"/>
      </w:divBdr>
    </w:div>
    <w:div w:id="968436215">
      <w:bodyDiv w:val="1"/>
      <w:marLeft w:val="0"/>
      <w:marRight w:val="0"/>
      <w:marTop w:val="0"/>
      <w:marBottom w:val="0"/>
      <w:divBdr>
        <w:top w:val="none" w:sz="0" w:space="0" w:color="auto"/>
        <w:left w:val="none" w:sz="0" w:space="0" w:color="auto"/>
        <w:bottom w:val="none" w:sz="0" w:space="0" w:color="auto"/>
        <w:right w:val="none" w:sz="0" w:space="0" w:color="auto"/>
      </w:divBdr>
    </w:div>
    <w:div w:id="1028261823">
      <w:bodyDiv w:val="1"/>
      <w:marLeft w:val="0"/>
      <w:marRight w:val="0"/>
      <w:marTop w:val="0"/>
      <w:marBottom w:val="0"/>
      <w:divBdr>
        <w:top w:val="none" w:sz="0" w:space="0" w:color="auto"/>
        <w:left w:val="none" w:sz="0" w:space="0" w:color="auto"/>
        <w:bottom w:val="none" w:sz="0" w:space="0" w:color="auto"/>
        <w:right w:val="none" w:sz="0" w:space="0" w:color="auto"/>
      </w:divBdr>
    </w:div>
    <w:div w:id="1093742805">
      <w:bodyDiv w:val="1"/>
      <w:marLeft w:val="0"/>
      <w:marRight w:val="0"/>
      <w:marTop w:val="0"/>
      <w:marBottom w:val="0"/>
      <w:divBdr>
        <w:top w:val="none" w:sz="0" w:space="0" w:color="auto"/>
        <w:left w:val="none" w:sz="0" w:space="0" w:color="auto"/>
        <w:bottom w:val="none" w:sz="0" w:space="0" w:color="auto"/>
        <w:right w:val="none" w:sz="0" w:space="0" w:color="auto"/>
      </w:divBdr>
    </w:div>
    <w:div w:id="1258488784">
      <w:bodyDiv w:val="1"/>
      <w:marLeft w:val="0"/>
      <w:marRight w:val="0"/>
      <w:marTop w:val="0"/>
      <w:marBottom w:val="0"/>
      <w:divBdr>
        <w:top w:val="none" w:sz="0" w:space="0" w:color="auto"/>
        <w:left w:val="none" w:sz="0" w:space="0" w:color="auto"/>
        <w:bottom w:val="none" w:sz="0" w:space="0" w:color="auto"/>
        <w:right w:val="none" w:sz="0" w:space="0" w:color="auto"/>
      </w:divBdr>
    </w:div>
    <w:div w:id="1526403636">
      <w:bodyDiv w:val="1"/>
      <w:marLeft w:val="0"/>
      <w:marRight w:val="0"/>
      <w:marTop w:val="0"/>
      <w:marBottom w:val="0"/>
      <w:divBdr>
        <w:top w:val="none" w:sz="0" w:space="0" w:color="auto"/>
        <w:left w:val="none" w:sz="0" w:space="0" w:color="auto"/>
        <w:bottom w:val="none" w:sz="0" w:space="0" w:color="auto"/>
        <w:right w:val="none" w:sz="0" w:space="0" w:color="auto"/>
      </w:divBdr>
    </w:div>
    <w:div w:id="1706516138">
      <w:bodyDiv w:val="1"/>
      <w:marLeft w:val="0"/>
      <w:marRight w:val="0"/>
      <w:marTop w:val="0"/>
      <w:marBottom w:val="0"/>
      <w:divBdr>
        <w:top w:val="none" w:sz="0" w:space="0" w:color="auto"/>
        <w:left w:val="none" w:sz="0" w:space="0" w:color="auto"/>
        <w:bottom w:val="none" w:sz="0" w:space="0" w:color="auto"/>
        <w:right w:val="none" w:sz="0" w:space="0" w:color="auto"/>
      </w:divBdr>
    </w:div>
    <w:div w:id="1722557665">
      <w:bodyDiv w:val="1"/>
      <w:marLeft w:val="0"/>
      <w:marRight w:val="0"/>
      <w:marTop w:val="0"/>
      <w:marBottom w:val="0"/>
      <w:divBdr>
        <w:top w:val="none" w:sz="0" w:space="0" w:color="auto"/>
        <w:left w:val="none" w:sz="0" w:space="0" w:color="auto"/>
        <w:bottom w:val="none" w:sz="0" w:space="0" w:color="auto"/>
        <w:right w:val="none" w:sz="0" w:space="0" w:color="auto"/>
      </w:divBdr>
      <w:divsChild>
        <w:div w:id="56167913">
          <w:marLeft w:val="0"/>
          <w:marRight w:val="0"/>
          <w:marTop w:val="0"/>
          <w:marBottom w:val="0"/>
          <w:divBdr>
            <w:top w:val="none" w:sz="0" w:space="0" w:color="auto"/>
            <w:left w:val="none" w:sz="0" w:space="0" w:color="auto"/>
            <w:bottom w:val="none" w:sz="0" w:space="0" w:color="auto"/>
            <w:right w:val="none" w:sz="0" w:space="0" w:color="auto"/>
          </w:divBdr>
        </w:div>
        <w:div w:id="121390015">
          <w:marLeft w:val="0"/>
          <w:marRight w:val="0"/>
          <w:marTop w:val="0"/>
          <w:marBottom w:val="0"/>
          <w:divBdr>
            <w:top w:val="none" w:sz="0" w:space="0" w:color="auto"/>
            <w:left w:val="none" w:sz="0" w:space="0" w:color="auto"/>
            <w:bottom w:val="none" w:sz="0" w:space="0" w:color="auto"/>
            <w:right w:val="none" w:sz="0" w:space="0" w:color="auto"/>
          </w:divBdr>
        </w:div>
        <w:div w:id="209802576">
          <w:marLeft w:val="0"/>
          <w:marRight w:val="0"/>
          <w:marTop w:val="0"/>
          <w:marBottom w:val="0"/>
          <w:divBdr>
            <w:top w:val="none" w:sz="0" w:space="0" w:color="auto"/>
            <w:left w:val="none" w:sz="0" w:space="0" w:color="auto"/>
            <w:bottom w:val="none" w:sz="0" w:space="0" w:color="auto"/>
            <w:right w:val="none" w:sz="0" w:space="0" w:color="auto"/>
          </w:divBdr>
        </w:div>
        <w:div w:id="291061253">
          <w:marLeft w:val="0"/>
          <w:marRight w:val="0"/>
          <w:marTop w:val="0"/>
          <w:marBottom w:val="0"/>
          <w:divBdr>
            <w:top w:val="none" w:sz="0" w:space="0" w:color="auto"/>
            <w:left w:val="none" w:sz="0" w:space="0" w:color="auto"/>
            <w:bottom w:val="none" w:sz="0" w:space="0" w:color="auto"/>
            <w:right w:val="none" w:sz="0" w:space="0" w:color="auto"/>
          </w:divBdr>
        </w:div>
        <w:div w:id="303587992">
          <w:marLeft w:val="0"/>
          <w:marRight w:val="0"/>
          <w:marTop w:val="0"/>
          <w:marBottom w:val="0"/>
          <w:divBdr>
            <w:top w:val="none" w:sz="0" w:space="0" w:color="auto"/>
            <w:left w:val="none" w:sz="0" w:space="0" w:color="auto"/>
            <w:bottom w:val="none" w:sz="0" w:space="0" w:color="auto"/>
            <w:right w:val="none" w:sz="0" w:space="0" w:color="auto"/>
          </w:divBdr>
        </w:div>
        <w:div w:id="328872892">
          <w:marLeft w:val="0"/>
          <w:marRight w:val="0"/>
          <w:marTop w:val="0"/>
          <w:marBottom w:val="0"/>
          <w:divBdr>
            <w:top w:val="none" w:sz="0" w:space="0" w:color="auto"/>
            <w:left w:val="none" w:sz="0" w:space="0" w:color="auto"/>
            <w:bottom w:val="none" w:sz="0" w:space="0" w:color="auto"/>
            <w:right w:val="none" w:sz="0" w:space="0" w:color="auto"/>
          </w:divBdr>
        </w:div>
        <w:div w:id="461770865">
          <w:marLeft w:val="0"/>
          <w:marRight w:val="0"/>
          <w:marTop w:val="0"/>
          <w:marBottom w:val="0"/>
          <w:divBdr>
            <w:top w:val="none" w:sz="0" w:space="0" w:color="auto"/>
            <w:left w:val="none" w:sz="0" w:space="0" w:color="auto"/>
            <w:bottom w:val="none" w:sz="0" w:space="0" w:color="auto"/>
            <w:right w:val="none" w:sz="0" w:space="0" w:color="auto"/>
          </w:divBdr>
        </w:div>
        <w:div w:id="656226738">
          <w:marLeft w:val="0"/>
          <w:marRight w:val="0"/>
          <w:marTop w:val="0"/>
          <w:marBottom w:val="0"/>
          <w:divBdr>
            <w:top w:val="none" w:sz="0" w:space="0" w:color="auto"/>
            <w:left w:val="none" w:sz="0" w:space="0" w:color="auto"/>
            <w:bottom w:val="none" w:sz="0" w:space="0" w:color="auto"/>
            <w:right w:val="none" w:sz="0" w:space="0" w:color="auto"/>
          </w:divBdr>
        </w:div>
        <w:div w:id="748893405">
          <w:marLeft w:val="0"/>
          <w:marRight w:val="0"/>
          <w:marTop w:val="0"/>
          <w:marBottom w:val="0"/>
          <w:divBdr>
            <w:top w:val="none" w:sz="0" w:space="0" w:color="auto"/>
            <w:left w:val="none" w:sz="0" w:space="0" w:color="auto"/>
            <w:bottom w:val="none" w:sz="0" w:space="0" w:color="auto"/>
            <w:right w:val="none" w:sz="0" w:space="0" w:color="auto"/>
          </w:divBdr>
        </w:div>
        <w:div w:id="806820525">
          <w:marLeft w:val="0"/>
          <w:marRight w:val="0"/>
          <w:marTop w:val="0"/>
          <w:marBottom w:val="0"/>
          <w:divBdr>
            <w:top w:val="none" w:sz="0" w:space="0" w:color="auto"/>
            <w:left w:val="none" w:sz="0" w:space="0" w:color="auto"/>
            <w:bottom w:val="none" w:sz="0" w:space="0" w:color="auto"/>
            <w:right w:val="none" w:sz="0" w:space="0" w:color="auto"/>
          </w:divBdr>
        </w:div>
        <w:div w:id="829515471">
          <w:marLeft w:val="0"/>
          <w:marRight w:val="0"/>
          <w:marTop w:val="0"/>
          <w:marBottom w:val="0"/>
          <w:divBdr>
            <w:top w:val="none" w:sz="0" w:space="0" w:color="auto"/>
            <w:left w:val="none" w:sz="0" w:space="0" w:color="auto"/>
            <w:bottom w:val="none" w:sz="0" w:space="0" w:color="auto"/>
            <w:right w:val="none" w:sz="0" w:space="0" w:color="auto"/>
          </w:divBdr>
        </w:div>
        <w:div w:id="865094656">
          <w:marLeft w:val="0"/>
          <w:marRight w:val="0"/>
          <w:marTop w:val="0"/>
          <w:marBottom w:val="0"/>
          <w:divBdr>
            <w:top w:val="none" w:sz="0" w:space="0" w:color="auto"/>
            <w:left w:val="none" w:sz="0" w:space="0" w:color="auto"/>
            <w:bottom w:val="none" w:sz="0" w:space="0" w:color="auto"/>
            <w:right w:val="none" w:sz="0" w:space="0" w:color="auto"/>
          </w:divBdr>
        </w:div>
        <w:div w:id="971788411">
          <w:marLeft w:val="0"/>
          <w:marRight w:val="0"/>
          <w:marTop w:val="0"/>
          <w:marBottom w:val="0"/>
          <w:divBdr>
            <w:top w:val="none" w:sz="0" w:space="0" w:color="auto"/>
            <w:left w:val="none" w:sz="0" w:space="0" w:color="auto"/>
            <w:bottom w:val="none" w:sz="0" w:space="0" w:color="auto"/>
            <w:right w:val="none" w:sz="0" w:space="0" w:color="auto"/>
          </w:divBdr>
        </w:div>
        <w:div w:id="1236628930">
          <w:marLeft w:val="0"/>
          <w:marRight w:val="0"/>
          <w:marTop w:val="0"/>
          <w:marBottom w:val="0"/>
          <w:divBdr>
            <w:top w:val="none" w:sz="0" w:space="0" w:color="auto"/>
            <w:left w:val="none" w:sz="0" w:space="0" w:color="auto"/>
            <w:bottom w:val="none" w:sz="0" w:space="0" w:color="auto"/>
            <w:right w:val="none" w:sz="0" w:space="0" w:color="auto"/>
          </w:divBdr>
        </w:div>
        <w:div w:id="1304311927">
          <w:marLeft w:val="0"/>
          <w:marRight w:val="0"/>
          <w:marTop w:val="0"/>
          <w:marBottom w:val="0"/>
          <w:divBdr>
            <w:top w:val="none" w:sz="0" w:space="0" w:color="auto"/>
            <w:left w:val="none" w:sz="0" w:space="0" w:color="auto"/>
            <w:bottom w:val="none" w:sz="0" w:space="0" w:color="auto"/>
            <w:right w:val="none" w:sz="0" w:space="0" w:color="auto"/>
          </w:divBdr>
        </w:div>
        <w:div w:id="1469863187">
          <w:marLeft w:val="0"/>
          <w:marRight w:val="0"/>
          <w:marTop w:val="0"/>
          <w:marBottom w:val="0"/>
          <w:divBdr>
            <w:top w:val="none" w:sz="0" w:space="0" w:color="auto"/>
            <w:left w:val="none" w:sz="0" w:space="0" w:color="auto"/>
            <w:bottom w:val="none" w:sz="0" w:space="0" w:color="auto"/>
            <w:right w:val="none" w:sz="0" w:space="0" w:color="auto"/>
          </w:divBdr>
        </w:div>
        <w:div w:id="1575117657">
          <w:marLeft w:val="0"/>
          <w:marRight w:val="0"/>
          <w:marTop w:val="0"/>
          <w:marBottom w:val="0"/>
          <w:divBdr>
            <w:top w:val="none" w:sz="0" w:space="0" w:color="auto"/>
            <w:left w:val="none" w:sz="0" w:space="0" w:color="auto"/>
            <w:bottom w:val="none" w:sz="0" w:space="0" w:color="auto"/>
            <w:right w:val="none" w:sz="0" w:space="0" w:color="auto"/>
          </w:divBdr>
        </w:div>
        <w:div w:id="1723990190">
          <w:marLeft w:val="0"/>
          <w:marRight w:val="0"/>
          <w:marTop w:val="0"/>
          <w:marBottom w:val="0"/>
          <w:divBdr>
            <w:top w:val="none" w:sz="0" w:space="0" w:color="auto"/>
            <w:left w:val="none" w:sz="0" w:space="0" w:color="auto"/>
            <w:bottom w:val="none" w:sz="0" w:space="0" w:color="auto"/>
            <w:right w:val="none" w:sz="0" w:space="0" w:color="auto"/>
          </w:divBdr>
        </w:div>
        <w:div w:id="2091074218">
          <w:marLeft w:val="0"/>
          <w:marRight w:val="0"/>
          <w:marTop w:val="0"/>
          <w:marBottom w:val="0"/>
          <w:divBdr>
            <w:top w:val="none" w:sz="0" w:space="0" w:color="auto"/>
            <w:left w:val="none" w:sz="0" w:space="0" w:color="auto"/>
            <w:bottom w:val="none" w:sz="0" w:space="0" w:color="auto"/>
            <w:right w:val="none" w:sz="0" w:space="0" w:color="auto"/>
          </w:divBdr>
        </w:div>
      </w:divsChild>
    </w:div>
    <w:div w:id="1760785703">
      <w:bodyDiv w:val="1"/>
      <w:marLeft w:val="0"/>
      <w:marRight w:val="0"/>
      <w:marTop w:val="0"/>
      <w:marBottom w:val="0"/>
      <w:divBdr>
        <w:top w:val="none" w:sz="0" w:space="0" w:color="auto"/>
        <w:left w:val="none" w:sz="0" w:space="0" w:color="auto"/>
        <w:bottom w:val="none" w:sz="0" w:space="0" w:color="auto"/>
        <w:right w:val="none" w:sz="0" w:space="0" w:color="auto"/>
      </w:divBdr>
      <w:divsChild>
        <w:div w:id="314262329">
          <w:marLeft w:val="0"/>
          <w:marRight w:val="0"/>
          <w:marTop w:val="0"/>
          <w:marBottom w:val="0"/>
          <w:divBdr>
            <w:top w:val="none" w:sz="0" w:space="0" w:color="auto"/>
            <w:left w:val="none" w:sz="0" w:space="0" w:color="auto"/>
            <w:bottom w:val="none" w:sz="0" w:space="0" w:color="auto"/>
            <w:right w:val="none" w:sz="0" w:space="0" w:color="auto"/>
          </w:divBdr>
        </w:div>
        <w:div w:id="1971783555">
          <w:marLeft w:val="0"/>
          <w:marRight w:val="0"/>
          <w:marTop w:val="0"/>
          <w:marBottom w:val="0"/>
          <w:divBdr>
            <w:top w:val="none" w:sz="0" w:space="0" w:color="auto"/>
            <w:left w:val="none" w:sz="0" w:space="0" w:color="auto"/>
            <w:bottom w:val="none" w:sz="0" w:space="0" w:color="auto"/>
            <w:right w:val="none" w:sz="0" w:space="0" w:color="auto"/>
          </w:divBdr>
        </w:div>
        <w:div w:id="322708785">
          <w:marLeft w:val="0"/>
          <w:marRight w:val="0"/>
          <w:marTop w:val="0"/>
          <w:marBottom w:val="0"/>
          <w:divBdr>
            <w:top w:val="none" w:sz="0" w:space="0" w:color="auto"/>
            <w:left w:val="none" w:sz="0" w:space="0" w:color="auto"/>
            <w:bottom w:val="none" w:sz="0" w:space="0" w:color="auto"/>
            <w:right w:val="none" w:sz="0" w:space="0" w:color="auto"/>
          </w:divBdr>
          <w:divsChild>
            <w:div w:id="881359063">
              <w:marLeft w:val="0"/>
              <w:marRight w:val="0"/>
              <w:marTop w:val="0"/>
              <w:marBottom w:val="0"/>
              <w:divBdr>
                <w:top w:val="none" w:sz="0" w:space="0" w:color="auto"/>
                <w:left w:val="none" w:sz="0" w:space="0" w:color="auto"/>
                <w:bottom w:val="none" w:sz="0" w:space="0" w:color="auto"/>
                <w:right w:val="none" w:sz="0" w:space="0" w:color="auto"/>
              </w:divBdr>
            </w:div>
            <w:div w:id="1852376064">
              <w:marLeft w:val="0"/>
              <w:marRight w:val="0"/>
              <w:marTop w:val="0"/>
              <w:marBottom w:val="0"/>
              <w:divBdr>
                <w:top w:val="none" w:sz="0" w:space="0" w:color="auto"/>
                <w:left w:val="none" w:sz="0" w:space="0" w:color="auto"/>
                <w:bottom w:val="none" w:sz="0" w:space="0" w:color="auto"/>
                <w:right w:val="none" w:sz="0" w:space="0" w:color="auto"/>
              </w:divBdr>
            </w:div>
            <w:div w:id="1848639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768198">
      <w:bodyDiv w:val="1"/>
      <w:marLeft w:val="0"/>
      <w:marRight w:val="0"/>
      <w:marTop w:val="0"/>
      <w:marBottom w:val="0"/>
      <w:divBdr>
        <w:top w:val="none" w:sz="0" w:space="0" w:color="auto"/>
        <w:left w:val="none" w:sz="0" w:space="0" w:color="auto"/>
        <w:bottom w:val="none" w:sz="0" w:space="0" w:color="auto"/>
        <w:right w:val="none" w:sz="0" w:space="0" w:color="auto"/>
      </w:divBdr>
    </w:div>
    <w:div w:id="1982078474">
      <w:bodyDiv w:val="1"/>
      <w:marLeft w:val="0"/>
      <w:marRight w:val="0"/>
      <w:marTop w:val="0"/>
      <w:marBottom w:val="0"/>
      <w:divBdr>
        <w:top w:val="none" w:sz="0" w:space="0" w:color="auto"/>
        <w:left w:val="none" w:sz="0" w:space="0" w:color="auto"/>
        <w:bottom w:val="none" w:sz="0" w:space="0" w:color="auto"/>
        <w:right w:val="none" w:sz="0" w:space="0" w:color="auto"/>
      </w:divBdr>
    </w:div>
    <w:div w:id="1993213904">
      <w:bodyDiv w:val="1"/>
      <w:marLeft w:val="0"/>
      <w:marRight w:val="0"/>
      <w:marTop w:val="0"/>
      <w:marBottom w:val="0"/>
      <w:divBdr>
        <w:top w:val="none" w:sz="0" w:space="0" w:color="auto"/>
        <w:left w:val="none" w:sz="0" w:space="0" w:color="auto"/>
        <w:bottom w:val="none" w:sz="0" w:space="0" w:color="auto"/>
        <w:right w:val="none" w:sz="0" w:space="0" w:color="auto"/>
      </w:divBdr>
    </w:div>
    <w:div w:id="2018383551">
      <w:bodyDiv w:val="1"/>
      <w:marLeft w:val="0"/>
      <w:marRight w:val="0"/>
      <w:marTop w:val="0"/>
      <w:marBottom w:val="0"/>
      <w:divBdr>
        <w:top w:val="none" w:sz="0" w:space="0" w:color="auto"/>
        <w:left w:val="none" w:sz="0" w:space="0" w:color="auto"/>
        <w:bottom w:val="none" w:sz="0" w:space="0" w:color="auto"/>
        <w:right w:val="none" w:sz="0" w:space="0" w:color="auto"/>
      </w:divBdr>
    </w:div>
    <w:div w:id="2046179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yperlink" Target="http://www.gcca.eu/regional-programmes/gcca-pacific-small-island-states" TargetMode="Externa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www.unep.org/disastersandconflicts/Introduction/EnvironmentalCooperationforPeacebuilding/EnvironmentalDiplomacy/SahelReport/tabid/55812/Default.aspx" TargetMode="External"/><Relationship Id="rId2" Type="http://schemas.openxmlformats.org/officeDocument/2006/relationships/hyperlink" Target="http://www.bvsde.paho.org/bvsacd/cd68/ClimAfrica.pdf" TargetMode="External"/><Relationship Id="rId1" Type="http://schemas.openxmlformats.org/officeDocument/2006/relationships/hyperlink" Target="http://www.climatechange2014.org/" TargetMode="External"/><Relationship Id="rId6" Type="http://schemas.openxmlformats.org/officeDocument/2006/relationships/hyperlink" Target="http://www.caricom.org/jsp/community_organs/cariforum/epa_unit_main_page.jsp" TargetMode="External"/><Relationship Id="rId5" Type="http://schemas.openxmlformats.org/officeDocument/2006/relationships/hyperlink" Target="http://www.caricom.org/jsp/community_organs/epa_unit/epa_text_ec_journal_30_10_08.pdf" TargetMode="External"/><Relationship Id="rId4" Type="http://schemas.openxmlformats.org/officeDocument/2006/relationships/hyperlink" Target="http://www.caricom.org/jsp/community_organs/epa_unit/Cotonou_Agreement_&amp;_Lome4_agr05.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cg1\Documents\Reporting\Lot%206_Report%20Format4.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9BEC89-7774-4B37-81DA-BA11E7C90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Lot 6_Report Format4.dotx</Template>
  <TotalTime>11</TotalTime>
  <Pages>71</Pages>
  <Words>33994</Words>
  <Characters>186972</Characters>
  <Application>Microsoft Office Word</Application>
  <DocSecurity>0</DocSecurity>
  <Lines>1558</Lines>
  <Paragraphs>441</Paragraphs>
  <ScaleCrop>false</ScaleCrop>
  <HeadingPairs>
    <vt:vector size="6" baseType="variant">
      <vt:variant>
        <vt:lpstr>Titre</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Grizli777</Company>
  <LinksUpToDate>false</LinksUpToDate>
  <CharactersWithSpaces>220525</CharactersWithSpaces>
  <SharedDoc>false</SharedDoc>
  <HLinks>
    <vt:vector size="66" baseType="variant">
      <vt:variant>
        <vt:i4>1900607</vt:i4>
      </vt:variant>
      <vt:variant>
        <vt:i4>62</vt:i4>
      </vt:variant>
      <vt:variant>
        <vt:i4>0</vt:i4>
      </vt:variant>
      <vt:variant>
        <vt:i4>5</vt:i4>
      </vt:variant>
      <vt:variant>
        <vt:lpwstr/>
      </vt:variant>
      <vt:variant>
        <vt:lpwstr>_Toc310940826</vt:lpwstr>
      </vt:variant>
      <vt:variant>
        <vt:i4>1900607</vt:i4>
      </vt:variant>
      <vt:variant>
        <vt:i4>56</vt:i4>
      </vt:variant>
      <vt:variant>
        <vt:i4>0</vt:i4>
      </vt:variant>
      <vt:variant>
        <vt:i4>5</vt:i4>
      </vt:variant>
      <vt:variant>
        <vt:lpwstr/>
      </vt:variant>
      <vt:variant>
        <vt:lpwstr>_Toc310940825</vt:lpwstr>
      </vt:variant>
      <vt:variant>
        <vt:i4>1900607</vt:i4>
      </vt:variant>
      <vt:variant>
        <vt:i4>50</vt:i4>
      </vt:variant>
      <vt:variant>
        <vt:i4>0</vt:i4>
      </vt:variant>
      <vt:variant>
        <vt:i4>5</vt:i4>
      </vt:variant>
      <vt:variant>
        <vt:lpwstr/>
      </vt:variant>
      <vt:variant>
        <vt:lpwstr>_Toc310940824</vt:lpwstr>
      </vt:variant>
      <vt:variant>
        <vt:i4>1900607</vt:i4>
      </vt:variant>
      <vt:variant>
        <vt:i4>44</vt:i4>
      </vt:variant>
      <vt:variant>
        <vt:i4>0</vt:i4>
      </vt:variant>
      <vt:variant>
        <vt:i4>5</vt:i4>
      </vt:variant>
      <vt:variant>
        <vt:lpwstr/>
      </vt:variant>
      <vt:variant>
        <vt:lpwstr>_Toc310940823</vt:lpwstr>
      </vt:variant>
      <vt:variant>
        <vt:i4>1900607</vt:i4>
      </vt:variant>
      <vt:variant>
        <vt:i4>38</vt:i4>
      </vt:variant>
      <vt:variant>
        <vt:i4>0</vt:i4>
      </vt:variant>
      <vt:variant>
        <vt:i4>5</vt:i4>
      </vt:variant>
      <vt:variant>
        <vt:lpwstr/>
      </vt:variant>
      <vt:variant>
        <vt:lpwstr>_Toc310940822</vt:lpwstr>
      </vt:variant>
      <vt:variant>
        <vt:i4>1900607</vt:i4>
      </vt:variant>
      <vt:variant>
        <vt:i4>32</vt:i4>
      </vt:variant>
      <vt:variant>
        <vt:i4>0</vt:i4>
      </vt:variant>
      <vt:variant>
        <vt:i4>5</vt:i4>
      </vt:variant>
      <vt:variant>
        <vt:lpwstr/>
      </vt:variant>
      <vt:variant>
        <vt:lpwstr>_Toc310940821</vt:lpwstr>
      </vt:variant>
      <vt:variant>
        <vt:i4>1900607</vt:i4>
      </vt:variant>
      <vt:variant>
        <vt:i4>26</vt:i4>
      </vt:variant>
      <vt:variant>
        <vt:i4>0</vt:i4>
      </vt:variant>
      <vt:variant>
        <vt:i4>5</vt:i4>
      </vt:variant>
      <vt:variant>
        <vt:lpwstr/>
      </vt:variant>
      <vt:variant>
        <vt:lpwstr>_Toc310940820</vt:lpwstr>
      </vt:variant>
      <vt:variant>
        <vt:i4>1966143</vt:i4>
      </vt:variant>
      <vt:variant>
        <vt:i4>20</vt:i4>
      </vt:variant>
      <vt:variant>
        <vt:i4>0</vt:i4>
      </vt:variant>
      <vt:variant>
        <vt:i4>5</vt:i4>
      </vt:variant>
      <vt:variant>
        <vt:lpwstr/>
      </vt:variant>
      <vt:variant>
        <vt:lpwstr>_Toc310940819</vt:lpwstr>
      </vt:variant>
      <vt:variant>
        <vt:i4>1966143</vt:i4>
      </vt:variant>
      <vt:variant>
        <vt:i4>14</vt:i4>
      </vt:variant>
      <vt:variant>
        <vt:i4>0</vt:i4>
      </vt:variant>
      <vt:variant>
        <vt:i4>5</vt:i4>
      </vt:variant>
      <vt:variant>
        <vt:lpwstr/>
      </vt:variant>
      <vt:variant>
        <vt:lpwstr>_Toc310940818</vt:lpwstr>
      </vt:variant>
      <vt:variant>
        <vt:i4>1966143</vt:i4>
      </vt:variant>
      <vt:variant>
        <vt:i4>8</vt:i4>
      </vt:variant>
      <vt:variant>
        <vt:i4>0</vt:i4>
      </vt:variant>
      <vt:variant>
        <vt:i4>5</vt:i4>
      </vt:variant>
      <vt:variant>
        <vt:lpwstr/>
      </vt:variant>
      <vt:variant>
        <vt:lpwstr>_Toc310940817</vt:lpwstr>
      </vt:variant>
      <vt:variant>
        <vt:i4>1966143</vt:i4>
      </vt:variant>
      <vt:variant>
        <vt:i4>2</vt:i4>
      </vt:variant>
      <vt:variant>
        <vt:i4>0</vt:i4>
      </vt:variant>
      <vt:variant>
        <vt:i4>5</vt:i4>
      </vt:variant>
      <vt:variant>
        <vt:lpwstr/>
      </vt:variant>
      <vt:variant>
        <vt:lpwstr>_Toc310940816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Euronet Consulting</dc:creator>
  <cp:lastModifiedBy>Lucia Pucikova</cp:lastModifiedBy>
  <cp:revision>5</cp:revision>
  <cp:lastPrinted>2014-07-02T08:24:00Z</cp:lastPrinted>
  <dcterms:created xsi:type="dcterms:W3CDTF">2014-12-18T12:22:00Z</dcterms:created>
  <dcterms:modified xsi:type="dcterms:W3CDTF">2014-12-19T09:28:00Z</dcterms:modified>
</cp:coreProperties>
</file>