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List-Accent5"/>
        <w:tblW w:w="13518" w:type="dxa"/>
        <w:tblLook w:val="04A0"/>
      </w:tblPr>
      <w:tblGrid>
        <w:gridCol w:w="1465"/>
        <w:gridCol w:w="3060"/>
        <w:gridCol w:w="1523"/>
        <w:gridCol w:w="960"/>
        <w:gridCol w:w="3021"/>
        <w:gridCol w:w="3489"/>
      </w:tblGrid>
      <w:tr w:rsidR="00BD6481" w:rsidRPr="00EF229E" w:rsidTr="00BD6481">
        <w:trPr>
          <w:cnfStyle w:val="100000000000"/>
          <w:trHeight w:val="1510"/>
        </w:trPr>
        <w:tc>
          <w:tcPr>
            <w:cnfStyle w:val="001000000000"/>
            <w:tcW w:w="1465" w:type="dxa"/>
            <w:tcBorders>
              <w:bottom w:val="single" w:sz="4" w:space="0" w:color="auto"/>
            </w:tcBorders>
            <w:noWrap/>
            <w:hideMark/>
          </w:tcPr>
          <w:p w:rsidR="00BD6481" w:rsidRPr="004E36A2" w:rsidRDefault="00BD6481" w:rsidP="00C700DD">
            <w:pPr>
              <w:spacing w:before="120"/>
              <w:jc w:val="center"/>
              <w:rPr>
                <w:rFonts w:ascii="Calibri" w:eastAsia="Times New Roman" w:hAnsi="Calibri" w:cs="Times New Roman"/>
                <w:b w:val="0"/>
                <w:color w:val="000000"/>
                <w:lang w:val="fr-FR"/>
              </w:rPr>
            </w:pPr>
            <w:r w:rsidRPr="004E36A2">
              <w:rPr>
                <w:rFonts w:ascii="Calibri" w:eastAsia="Times New Roman" w:hAnsi="Calibri" w:cs="Times New Roman"/>
                <w:color w:val="000000"/>
                <w:lang w:val="fr-FR"/>
              </w:rPr>
              <w:t>Option d’enrôlement</w:t>
            </w:r>
          </w:p>
        </w:tc>
        <w:tc>
          <w:tcPr>
            <w:tcW w:w="3060" w:type="dxa"/>
            <w:tcBorders>
              <w:bottom w:val="single" w:sz="4" w:space="0" w:color="auto"/>
            </w:tcBorders>
            <w:noWrap/>
            <w:hideMark/>
          </w:tcPr>
          <w:p w:rsidR="00BD6481" w:rsidRPr="004E36A2" w:rsidRDefault="00BD6481" w:rsidP="00C700DD">
            <w:pPr>
              <w:spacing w:before="120"/>
              <w:jc w:val="center"/>
              <w:cnfStyle w:val="100000000000"/>
              <w:rPr>
                <w:rFonts w:ascii="Calibri" w:eastAsia="Times New Roman" w:hAnsi="Calibri" w:cs="Times New Roman"/>
                <w:b w:val="0"/>
                <w:color w:val="000000"/>
                <w:lang w:val="fr-FR"/>
              </w:rPr>
            </w:pPr>
            <w:r w:rsidRPr="004E36A2">
              <w:rPr>
                <w:rFonts w:ascii="Calibri" w:eastAsia="Times New Roman" w:hAnsi="Calibri" w:cs="Times New Roman"/>
                <w:color w:val="000000"/>
                <w:lang w:val="fr-FR"/>
              </w:rPr>
              <w:t>Description</w:t>
            </w:r>
          </w:p>
        </w:tc>
        <w:tc>
          <w:tcPr>
            <w:tcW w:w="1523" w:type="dxa"/>
            <w:tcBorders>
              <w:bottom w:val="single" w:sz="4" w:space="0" w:color="auto"/>
            </w:tcBorders>
            <w:noWrap/>
            <w:hideMark/>
          </w:tcPr>
          <w:p w:rsidR="00BD6481" w:rsidRPr="004E36A2" w:rsidRDefault="00BD6481" w:rsidP="00C700DD">
            <w:pPr>
              <w:spacing w:before="120"/>
              <w:jc w:val="center"/>
              <w:cnfStyle w:val="100000000000"/>
              <w:rPr>
                <w:rFonts w:ascii="Calibri" w:eastAsia="Times New Roman" w:hAnsi="Calibri" w:cs="Times New Roman"/>
                <w:color w:val="000000"/>
                <w:lang w:val="fr-FR"/>
              </w:rPr>
            </w:pPr>
            <w:r w:rsidRPr="004E36A2">
              <w:rPr>
                <w:rFonts w:ascii="Calibri" w:eastAsia="Times New Roman" w:hAnsi="Calibri" w:cs="Times New Roman"/>
                <w:color w:val="000000"/>
                <w:lang w:val="fr-FR"/>
              </w:rPr>
              <w:t>Cout estimé du matériel</w:t>
            </w:r>
            <w:r w:rsidRPr="004E36A2">
              <w:rPr>
                <w:rStyle w:val="FootnoteReference"/>
                <w:rFonts w:ascii="Calibri" w:hAnsi="Calibri" w:cs="Times New Roman"/>
                <w:color w:val="000000"/>
              </w:rPr>
              <w:footnoteReference w:id="1"/>
            </w:r>
          </w:p>
        </w:tc>
        <w:tc>
          <w:tcPr>
            <w:tcW w:w="960" w:type="dxa"/>
            <w:tcBorders>
              <w:bottom w:val="single" w:sz="4" w:space="0" w:color="auto"/>
            </w:tcBorders>
            <w:noWrap/>
            <w:hideMark/>
          </w:tcPr>
          <w:p w:rsidR="00BD6481" w:rsidRPr="004E36A2" w:rsidRDefault="00BD6481" w:rsidP="00C700DD">
            <w:pPr>
              <w:jc w:val="center"/>
              <w:cnfStyle w:val="100000000000"/>
              <w:rPr>
                <w:rFonts w:ascii="Calibri" w:eastAsia="Times New Roman" w:hAnsi="Calibri" w:cs="Times New Roman"/>
                <w:color w:val="000000"/>
                <w:lang w:val="fr-FR"/>
              </w:rPr>
            </w:pPr>
            <w:r w:rsidRPr="004E36A2">
              <w:rPr>
                <w:rFonts w:ascii="Calibri" w:eastAsia="Times New Roman" w:hAnsi="Calibri" w:cs="Times New Roman"/>
                <w:color w:val="000000"/>
                <w:lang w:val="fr-FR"/>
              </w:rPr>
              <w:t>Durée</w:t>
            </w:r>
          </w:p>
          <w:p w:rsidR="00BD6481" w:rsidRPr="004E36A2" w:rsidRDefault="00BD6481" w:rsidP="00C700DD">
            <w:pPr>
              <w:jc w:val="center"/>
              <w:cnfStyle w:val="100000000000"/>
              <w:rPr>
                <w:rFonts w:ascii="Calibri" w:eastAsia="Times New Roman" w:hAnsi="Calibri" w:cs="Times New Roman"/>
                <w:color w:val="000000"/>
                <w:lang w:val="fr-FR"/>
              </w:rPr>
            </w:pPr>
            <w:r w:rsidRPr="004E36A2">
              <w:rPr>
                <w:rFonts w:ascii="Calibri" w:eastAsia="Times New Roman" w:hAnsi="Calibri" w:cs="Times New Roman"/>
                <w:color w:val="000000"/>
                <w:lang w:val="fr-FR"/>
              </w:rPr>
              <w:t>estimé</w:t>
            </w:r>
            <w:r>
              <w:rPr>
                <w:rFonts w:ascii="Calibri" w:eastAsia="Times New Roman" w:hAnsi="Calibri" w:cs="Times New Roman"/>
                <w:color w:val="000000"/>
                <w:lang w:val="fr-FR"/>
              </w:rPr>
              <w:t>e</w:t>
            </w:r>
            <w:r w:rsidRPr="004E36A2">
              <w:rPr>
                <w:rFonts w:ascii="Calibri" w:eastAsia="Times New Roman" w:hAnsi="Calibri" w:cs="Times New Roman"/>
                <w:color w:val="000000"/>
                <w:lang w:val="fr-FR"/>
              </w:rPr>
              <w:t xml:space="preserve"> de l’achat </w:t>
            </w:r>
            <w:r w:rsidRPr="004E36A2">
              <w:rPr>
                <w:rStyle w:val="FootnoteReference"/>
                <w:rFonts w:ascii="Calibri" w:hAnsi="Calibri" w:cs="Times New Roman"/>
                <w:color w:val="000000"/>
              </w:rPr>
              <w:footnoteReference w:id="2"/>
            </w:r>
          </w:p>
        </w:tc>
        <w:tc>
          <w:tcPr>
            <w:tcW w:w="3021" w:type="dxa"/>
            <w:tcBorders>
              <w:bottom w:val="single" w:sz="4" w:space="0" w:color="auto"/>
            </w:tcBorders>
            <w:noWrap/>
            <w:hideMark/>
          </w:tcPr>
          <w:p w:rsidR="00BD6481" w:rsidRPr="004E36A2" w:rsidRDefault="00BD6481" w:rsidP="00C700DD">
            <w:pPr>
              <w:spacing w:before="120"/>
              <w:jc w:val="center"/>
              <w:cnfStyle w:val="100000000000"/>
              <w:rPr>
                <w:rFonts w:ascii="Calibri" w:eastAsia="Times New Roman" w:hAnsi="Calibri" w:cs="Times New Roman"/>
                <w:b w:val="0"/>
                <w:color w:val="000000"/>
                <w:lang w:val="fr-FR"/>
              </w:rPr>
            </w:pPr>
            <w:r w:rsidRPr="004E36A2">
              <w:rPr>
                <w:rFonts w:ascii="Calibri" w:eastAsia="Times New Roman" w:hAnsi="Calibri" w:cs="Times New Roman"/>
                <w:color w:val="000000"/>
                <w:lang w:val="fr-FR"/>
              </w:rPr>
              <w:t>Atouts</w:t>
            </w:r>
          </w:p>
        </w:tc>
        <w:tc>
          <w:tcPr>
            <w:tcW w:w="3489" w:type="dxa"/>
            <w:tcBorders>
              <w:bottom w:val="single" w:sz="4" w:space="0" w:color="auto"/>
            </w:tcBorders>
            <w:noWrap/>
            <w:hideMark/>
          </w:tcPr>
          <w:p w:rsidR="00BD6481" w:rsidRPr="004E36A2" w:rsidRDefault="00BD6481" w:rsidP="00C700DD">
            <w:pPr>
              <w:spacing w:before="120"/>
              <w:jc w:val="center"/>
              <w:cnfStyle w:val="100000000000"/>
              <w:rPr>
                <w:rFonts w:ascii="Calibri" w:eastAsia="Times New Roman" w:hAnsi="Calibri" w:cs="Times New Roman"/>
                <w:b w:val="0"/>
                <w:color w:val="000000"/>
                <w:lang w:val="fr-FR"/>
              </w:rPr>
            </w:pPr>
            <w:r w:rsidRPr="004E36A2">
              <w:rPr>
                <w:rFonts w:ascii="Calibri" w:eastAsia="Times New Roman" w:hAnsi="Calibri" w:cs="Times New Roman"/>
                <w:color w:val="000000"/>
                <w:lang w:val="fr-FR"/>
              </w:rPr>
              <w:t>Inconvénients</w:t>
            </w:r>
          </w:p>
        </w:tc>
      </w:tr>
      <w:tr w:rsidR="00BD6481" w:rsidRPr="00BD6481" w:rsidTr="00BD6481">
        <w:trPr>
          <w:cnfStyle w:val="000000100000"/>
          <w:trHeight w:val="2412"/>
        </w:trPr>
        <w:tc>
          <w:tcPr>
            <w:cnfStyle w:val="001000000000"/>
            <w:tcW w:w="1465" w:type="dxa"/>
            <w:tcBorders>
              <w:top w:val="single" w:sz="4" w:space="0" w:color="auto"/>
              <w:left w:val="single" w:sz="4" w:space="0" w:color="auto"/>
              <w:bottom w:val="single" w:sz="4" w:space="0" w:color="auto"/>
              <w:right w:val="single" w:sz="4" w:space="0" w:color="auto"/>
            </w:tcBorders>
            <w:noWrap/>
            <w:textDirection w:val="btLr"/>
            <w:hideMark/>
          </w:tcPr>
          <w:p w:rsidR="00BD6481" w:rsidRPr="00055CC1" w:rsidRDefault="00BD6481" w:rsidP="00C700DD">
            <w:pPr>
              <w:jc w:val="center"/>
              <w:rPr>
                <w:rFonts w:ascii="Calibri" w:eastAsia="Times New Roman" w:hAnsi="Calibri" w:cs="Times New Roman"/>
                <w:color w:val="000000"/>
                <w:sz w:val="24"/>
                <w:szCs w:val="24"/>
                <w:lang w:val="fr-FR"/>
              </w:rPr>
            </w:pPr>
            <w:r w:rsidRPr="00055CC1">
              <w:rPr>
                <w:rFonts w:ascii="Calibri" w:eastAsia="Times New Roman" w:hAnsi="Calibri" w:cs="Times New Roman"/>
                <w:color w:val="000000"/>
                <w:sz w:val="24"/>
                <w:szCs w:val="24"/>
                <w:lang w:val="fr-FR"/>
              </w:rPr>
              <w:t>Manuel</w:t>
            </w:r>
          </w:p>
          <w:p w:rsidR="00BD6481" w:rsidRPr="00055CC1" w:rsidRDefault="00BD6481" w:rsidP="00C700DD">
            <w:pPr>
              <w:jc w:val="center"/>
              <w:rPr>
                <w:rFonts w:ascii="Calibri" w:eastAsia="Times New Roman" w:hAnsi="Calibri" w:cs="Times New Roman"/>
                <w:color w:val="000000"/>
                <w:sz w:val="24"/>
                <w:szCs w:val="24"/>
                <w:lang w:val="es-ES"/>
              </w:rPr>
            </w:pPr>
          </w:p>
        </w:tc>
        <w:tc>
          <w:tcPr>
            <w:tcW w:w="3060" w:type="dxa"/>
            <w:tcBorders>
              <w:top w:val="single" w:sz="4" w:space="0" w:color="auto"/>
              <w:left w:val="single" w:sz="4" w:space="0" w:color="auto"/>
              <w:bottom w:val="single" w:sz="4" w:space="0" w:color="auto"/>
              <w:right w:val="single" w:sz="4" w:space="0" w:color="auto"/>
            </w:tcBorders>
            <w:noWrap/>
            <w:hideMark/>
          </w:tcPr>
          <w:p w:rsidR="00BD6481" w:rsidRPr="005D6942" w:rsidRDefault="00BD6481" w:rsidP="00BD6481">
            <w:pPr>
              <w:pStyle w:val="ListParagraph"/>
              <w:numPr>
                <w:ilvl w:val="0"/>
                <w:numId w:val="3"/>
              </w:numPr>
              <w:ind w:left="155" w:hanging="155"/>
              <w:cnfStyle w:val="000000100000"/>
              <w:rPr>
                <w:rFonts w:ascii="Calibri" w:eastAsia="Times New Roman" w:hAnsi="Calibri" w:cs="Times New Roman"/>
                <w:color w:val="000000"/>
                <w:sz w:val="18"/>
                <w:szCs w:val="18"/>
                <w:lang w:val="fr-FR"/>
              </w:rPr>
            </w:pPr>
            <w:r w:rsidRPr="005D6942">
              <w:rPr>
                <w:rFonts w:ascii="Calibri" w:eastAsia="Times New Roman" w:hAnsi="Calibri" w:cs="Times New Roman"/>
                <w:color w:val="000000"/>
                <w:sz w:val="18"/>
                <w:szCs w:val="18"/>
                <w:lang w:val="fr-FR"/>
              </w:rPr>
              <w:t xml:space="preserve">Inscription manuelle sur le terrain avec </w:t>
            </w:r>
            <w:r>
              <w:rPr>
                <w:rFonts w:ascii="Calibri" w:eastAsia="Times New Roman" w:hAnsi="Calibri" w:cs="Times New Roman"/>
                <w:color w:val="000000"/>
                <w:sz w:val="18"/>
                <w:szCs w:val="18"/>
                <w:lang w:val="fr-FR"/>
              </w:rPr>
              <w:t>formulaires en papier carbone</w:t>
            </w:r>
          </w:p>
        </w:tc>
        <w:tc>
          <w:tcPr>
            <w:tcW w:w="1523" w:type="dxa"/>
            <w:tcBorders>
              <w:top w:val="single" w:sz="4" w:space="0" w:color="auto"/>
              <w:left w:val="single" w:sz="4" w:space="0" w:color="auto"/>
              <w:bottom w:val="single" w:sz="4" w:space="0" w:color="auto"/>
              <w:right w:val="single" w:sz="4" w:space="0" w:color="auto"/>
            </w:tcBorders>
            <w:noWrap/>
            <w:hideMark/>
          </w:tcPr>
          <w:p w:rsidR="00BD6481" w:rsidRDefault="00BD6481" w:rsidP="00C700DD">
            <w:pPr>
              <w:cnfStyle w:val="000000100000"/>
              <w:rPr>
                <w:rFonts w:ascii="Calibri" w:eastAsia="Times New Roman" w:hAnsi="Calibri" w:cs="Times New Roman"/>
                <w:color w:val="000000"/>
                <w:sz w:val="18"/>
                <w:szCs w:val="18"/>
                <w:lang w:val="fr-FR"/>
              </w:rPr>
            </w:pPr>
            <w:r w:rsidRPr="00BA4ADD">
              <w:rPr>
                <w:rFonts w:ascii="Calibri" w:eastAsia="Times New Roman" w:hAnsi="Calibri" w:cs="Times New Roman"/>
                <w:color w:val="000000"/>
                <w:sz w:val="18"/>
                <w:szCs w:val="18"/>
                <w:lang w:val="fr-FR"/>
              </w:rPr>
              <w:t>3, 803,867 USD</w:t>
            </w:r>
            <w:r w:rsidRPr="00BA4ADD">
              <w:rPr>
                <w:rStyle w:val="FootnoteReference"/>
                <w:rFonts w:ascii="Calibri" w:hAnsi="Calibri" w:cs="Times New Roman"/>
                <w:color w:val="000000"/>
                <w:sz w:val="18"/>
                <w:szCs w:val="18"/>
              </w:rPr>
              <w:footnoteReference w:id="3"/>
            </w:r>
          </w:p>
          <w:p w:rsidR="00BD6481" w:rsidRDefault="00BD6481" w:rsidP="00C700DD">
            <w:pPr>
              <w:cnfStyle w:val="000000100000"/>
              <w:rPr>
                <w:rFonts w:ascii="Calibri" w:eastAsia="Times New Roman" w:hAnsi="Calibri" w:cs="Times New Roman"/>
                <w:color w:val="000000"/>
                <w:sz w:val="18"/>
                <w:szCs w:val="18"/>
                <w:lang w:val="fr-FR"/>
              </w:rPr>
            </w:pPr>
          </w:p>
          <w:p w:rsidR="00BD6481" w:rsidRPr="00557C51" w:rsidRDefault="00BD6481" w:rsidP="00C700DD">
            <w:pPr>
              <w:cnfStyle w:val="000000100000"/>
              <w:rPr>
                <w:rFonts w:ascii="Calibri" w:eastAsia="Times New Roman" w:hAnsi="Calibri" w:cs="Times New Roman"/>
                <w:color w:val="000000"/>
                <w:sz w:val="18"/>
                <w:szCs w:val="18"/>
                <w:lang w:val="fr-FR"/>
              </w:rPr>
            </w:pPr>
            <w:r w:rsidRPr="00190751">
              <w:rPr>
                <w:rFonts w:ascii="Calibri" w:eastAsia="Times New Roman" w:hAnsi="Calibri" w:cs="Times New Roman"/>
                <w:i/>
                <w:color w:val="000000"/>
                <w:sz w:val="18"/>
                <w:szCs w:val="18"/>
                <w:lang w:val="fr-FR"/>
              </w:rPr>
              <w:t xml:space="preserve">Ce prix est basé sur la base de 1 mois d’enrôlement et </w:t>
            </w:r>
            <w:r>
              <w:rPr>
                <w:rFonts w:ascii="Calibri" w:eastAsia="Times New Roman" w:hAnsi="Calibri" w:cs="Times New Roman"/>
                <w:i/>
                <w:color w:val="000000"/>
                <w:sz w:val="18"/>
                <w:szCs w:val="18"/>
                <w:lang w:val="fr-FR"/>
              </w:rPr>
              <w:t>n’inclus pas la</w:t>
            </w:r>
            <w:r w:rsidRPr="00190751">
              <w:rPr>
                <w:rFonts w:ascii="Calibri" w:eastAsia="Times New Roman" w:hAnsi="Calibri" w:cs="Times New Roman"/>
                <w:i/>
                <w:color w:val="000000"/>
                <w:sz w:val="18"/>
                <w:szCs w:val="18"/>
                <w:lang w:val="fr-FR"/>
              </w:rPr>
              <w:t xml:space="preserve"> mise en œuvre.</w:t>
            </w:r>
          </w:p>
        </w:tc>
        <w:tc>
          <w:tcPr>
            <w:tcW w:w="960" w:type="dxa"/>
            <w:tcBorders>
              <w:top w:val="single" w:sz="4" w:space="0" w:color="auto"/>
              <w:left w:val="single" w:sz="4" w:space="0" w:color="auto"/>
              <w:bottom w:val="single" w:sz="4" w:space="0" w:color="auto"/>
              <w:right w:val="single" w:sz="4" w:space="0" w:color="auto"/>
            </w:tcBorders>
            <w:noWrap/>
            <w:hideMark/>
          </w:tcPr>
          <w:p w:rsidR="00BD6481" w:rsidRPr="00EF229E" w:rsidRDefault="00BD6481" w:rsidP="00C700DD">
            <w:pPr>
              <w:cnfStyle w:val="000000100000"/>
              <w:rPr>
                <w:rFonts w:ascii="Calibri" w:eastAsia="Times New Roman" w:hAnsi="Calibri" w:cs="Times New Roman"/>
                <w:color w:val="000000"/>
                <w:sz w:val="18"/>
                <w:szCs w:val="18"/>
                <w:lang w:val="fr-FR"/>
              </w:rPr>
            </w:pPr>
            <w:r w:rsidRPr="00EF229E">
              <w:rPr>
                <w:rFonts w:ascii="Calibri" w:eastAsia="Times New Roman" w:hAnsi="Calibri" w:cs="Times New Roman"/>
                <w:color w:val="000000"/>
                <w:sz w:val="18"/>
                <w:szCs w:val="18"/>
                <w:lang w:val="fr-FR"/>
              </w:rPr>
              <w:t> </w:t>
            </w:r>
            <w:r>
              <w:rPr>
                <w:rFonts w:ascii="Calibri" w:eastAsia="Times New Roman" w:hAnsi="Calibri" w:cs="Times New Roman"/>
                <w:color w:val="000000"/>
                <w:sz w:val="18"/>
                <w:szCs w:val="18"/>
                <w:lang w:val="fr-FR"/>
              </w:rPr>
              <w:t>3 mois</w:t>
            </w:r>
          </w:p>
        </w:tc>
        <w:tc>
          <w:tcPr>
            <w:tcW w:w="3021" w:type="dxa"/>
            <w:tcBorders>
              <w:top w:val="single" w:sz="4" w:space="0" w:color="auto"/>
              <w:left w:val="single" w:sz="4" w:space="0" w:color="auto"/>
              <w:bottom w:val="single" w:sz="4" w:space="0" w:color="auto"/>
              <w:right w:val="single" w:sz="4" w:space="0" w:color="auto"/>
            </w:tcBorders>
            <w:noWrap/>
            <w:hideMark/>
          </w:tcPr>
          <w:p w:rsidR="00BD6481" w:rsidRDefault="00BD6481" w:rsidP="00BD6481">
            <w:pPr>
              <w:pStyle w:val="ListParagraph"/>
              <w:numPr>
                <w:ilvl w:val="0"/>
                <w:numId w:val="1"/>
              </w:numPr>
              <w:ind w:left="146" w:hanging="146"/>
              <w:cnfStyle w:val="000000100000"/>
              <w:rPr>
                <w:rFonts w:ascii="Calibri" w:eastAsia="Times New Roman" w:hAnsi="Calibri" w:cs="Times New Roman"/>
                <w:color w:val="000000"/>
                <w:sz w:val="18"/>
                <w:szCs w:val="18"/>
                <w:lang w:val="fr-FR"/>
              </w:rPr>
            </w:pPr>
            <w:r w:rsidRPr="00EC30A9">
              <w:rPr>
                <w:rFonts w:ascii="Calibri" w:eastAsia="Times New Roman" w:hAnsi="Calibri" w:cs="Times New Roman"/>
                <w:color w:val="000000"/>
                <w:sz w:val="18"/>
                <w:szCs w:val="18"/>
                <w:lang w:val="fr-FR"/>
              </w:rPr>
              <w:t xml:space="preserve">Les électeurs reçoivent </w:t>
            </w:r>
            <w:r>
              <w:rPr>
                <w:rFonts w:ascii="Calibri" w:eastAsia="Times New Roman" w:hAnsi="Calibri" w:cs="Times New Roman"/>
                <w:color w:val="000000"/>
                <w:sz w:val="18"/>
                <w:szCs w:val="18"/>
                <w:lang w:val="fr-FR"/>
              </w:rPr>
              <w:t xml:space="preserve">pendant l’enrôlement </w:t>
            </w:r>
            <w:r w:rsidRPr="00EC30A9">
              <w:rPr>
                <w:rFonts w:ascii="Calibri" w:eastAsia="Times New Roman" w:hAnsi="Calibri" w:cs="Times New Roman"/>
                <w:color w:val="000000"/>
                <w:sz w:val="18"/>
                <w:szCs w:val="18"/>
                <w:lang w:val="fr-FR"/>
              </w:rPr>
              <w:t xml:space="preserve">une carte d’électeur </w:t>
            </w:r>
            <w:r>
              <w:rPr>
                <w:rFonts w:ascii="Calibri" w:eastAsia="Times New Roman" w:hAnsi="Calibri" w:cs="Times New Roman"/>
                <w:color w:val="000000"/>
                <w:sz w:val="18"/>
                <w:szCs w:val="18"/>
                <w:lang w:val="fr-FR"/>
              </w:rPr>
              <w:t>plastifi</w:t>
            </w:r>
            <w:r w:rsidRPr="00EC30A9">
              <w:rPr>
                <w:rFonts w:ascii="Calibri" w:eastAsia="Times New Roman" w:hAnsi="Calibri" w:cs="Times New Roman"/>
                <w:color w:val="000000"/>
                <w:sz w:val="18"/>
                <w:szCs w:val="18"/>
                <w:lang w:val="fr-FR"/>
              </w:rPr>
              <w:t xml:space="preserve">ée </w:t>
            </w:r>
            <w:r>
              <w:rPr>
                <w:rFonts w:ascii="Calibri" w:eastAsia="Times New Roman" w:hAnsi="Calibri" w:cs="Times New Roman"/>
                <w:color w:val="000000"/>
                <w:sz w:val="18"/>
                <w:szCs w:val="18"/>
                <w:lang w:val="fr-FR"/>
              </w:rPr>
              <w:t>sans</w:t>
            </w:r>
            <w:r w:rsidRPr="00EC30A9">
              <w:rPr>
                <w:rFonts w:ascii="Calibri" w:eastAsia="Times New Roman" w:hAnsi="Calibri" w:cs="Times New Roman"/>
                <w:color w:val="000000"/>
                <w:sz w:val="18"/>
                <w:szCs w:val="18"/>
                <w:lang w:val="fr-FR"/>
              </w:rPr>
              <w:t xml:space="preserve"> photo</w:t>
            </w:r>
          </w:p>
          <w:p w:rsidR="00BD6481" w:rsidRDefault="00BD6481" w:rsidP="00BD6481">
            <w:pPr>
              <w:pStyle w:val="ListParagraph"/>
              <w:numPr>
                <w:ilvl w:val="0"/>
                <w:numId w:val="1"/>
              </w:numPr>
              <w:ind w:left="146" w:hanging="146"/>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Délais, couts et simplicité d´ exécution</w:t>
            </w:r>
          </w:p>
          <w:p w:rsidR="00BD6481" w:rsidRDefault="00BD6481" w:rsidP="00BD6481">
            <w:pPr>
              <w:pStyle w:val="ListParagraph"/>
              <w:numPr>
                <w:ilvl w:val="0"/>
                <w:numId w:val="1"/>
              </w:numPr>
              <w:ind w:left="146" w:hanging="146"/>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Pas besoin de d</w:t>
            </w:r>
            <w:r w:rsidRPr="00F73CD0">
              <w:rPr>
                <w:rFonts w:ascii="Calibri" w:eastAsia="Times New Roman" w:hAnsi="Calibri" w:cs="Times New Roman"/>
                <w:color w:val="000000"/>
                <w:sz w:val="18"/>
                <w:szCs w:val="18"/>
                <w:lang w:val="fr-FR"/>
              </w:rPr>
              <w:t>éploiement de matériel sensible</w:t>
            </w:r>
            <w:r>
              <w:rPr>
                <w:rFonts w:ascii="Calibri" w:eastAsia="Times New Roman" w:hAnsi="Calibri" w:cs="Times New Roman"/>
                <w:color w:val="000000"/>
                <w:sz w:val="18"/>
                <w:szCs w:val="18"/>
                <w:lang w:val="fr-FR"/>
              </w:rPr>
              <w:t xml:space="preserve"> et réduction des risques liés à l’équipement</w:t>
            </w:r>
          </w:p>
          <w:p w:rsidR="00BD6481" w:rsidRPr="005D6942" w:rsidRDefault="00BD6481" w:rsidP="00BD6481">
            <w:pPr>
              <w:pStyle w:val="ListParagraph"/>
              <w:numPr>
                <w:ilvl w:val="0"/>
                <w:numId w:val="1"/>
              </w:numPr>
              <w:ind w:left="146" w:hanging="146"/>
              <w:cnfStyle w:val="000000100000"/>
              <w:rPr>
                <w:rFonts w:ascii="Calibri" w:eastAsia="Times New Roman" w:hAnsi="Calibri" w:cs="Times New Roman"/>
                <w:color w:val="000000"/>
                <w:sz w:val="18"/>
                <w:szCs w:val="18"/>
                <w:lang w:val="fr-FR"/>
              </w:rPr>
            </w:pPr>
            <w:r w:rsidRPr="005D6942">
              <w:rPr>
                <w:rFonts w:ascii="Calibri" w:eastAsia="Times New Roman" w:hAnsi="Calibri" w:cs="Times New Roman"/>
                <w:color w:val="000000"/>
                <w:sz w:val="18"/>
                <w:szCs w:val="18"/>
                <w:lang w:val="fr-FR"/>
              </w:rPr>
              <w:t xml:space="preserve">Pas besoin d’agents d’enrôlement avec un niveau de </w:t>
            </w:r>
            <w:r>
              <w:rPr>
                <w:rFonts w:ascii="Calibri" w:eastAsia="Times New Roman" w:hAnsi="Calibri" w:cs="Times New Roman"/>
                <w:color w:val="000000"/>
                <w:sz w:val="18"/>
                <w:szCs w:val="18"/>
                <w:lang w:val="fr-FR"/>
              </w:rPr>
              <w:t>connaissance informatique élevée</w:t>
            </w:r>
            <w:r w:rsidRPr="005D6942">
              <w:rPr>
                <w:rFonts w:ascii="Calibri" w:eastAsia="Times New Roman" w:hAnsi="Calibri" w:cs="Times New Roman"/>
                <w:color w:val="000000"/>
                <w:sz w:val="18"/>
                <w:szCs w:val="18"/>
                <w:lang w:val="fr-FR"/>
              </w:rPr>
              <w:t xml:space="preserve">  </w:t>
            </w:r>
          </w:p>
        </w:tc>
        <w:tc>
          <w:tcPr>
            <w:tcW w:w="3489" w:type="dxa"/>
            <w:tcBorders>
              <w:top w:val="single" w:sz="4" w:space="0" w:color="auto"/>
              <w:left w:val="single" w:sz="4" w:space="0" w:color="auto"/>
              <w:bottom w:val="single" w:sz="4" w:space="0" w:color="auto"/>
              <w:right w:val="single" w:sz="4" w:space="0" w:color="auto"/>
            </w:tcBorders>
            <w:noWrap/>
            <w:hideMark/>
          </w:tcPr>
          <w:p w:rsidR="00BD6481" w:rsidRPr="00B52B10" w:rsidRDefault="00BD6481" w:rsidP="00BD6481">
            <w:pPr>
              <w:pStyle w:val="ListParagraph"/>
              <w:numPr>
                <w:ilvl w:val="0"/>
                <w:numId w:val="1"/>
              </w:numPr>
              <w:ind w:left="206" w:hanging="180"/>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 xml:space="preserve">Les </w:t>
            </w:r>
            <w:r w:rsidRPr="00EC30A9">
              <w:rPr>
                <w:rFonts w:ascii="Calibri" w:eastAsia="Times New Roman" w:hAnsi="Calibri" w:cs="Times New Roman"/>
                <w:color w:val="000000"/>
                <w:sz w:val="18"/>
                <w:szCs w:val="18"/>
                <w:lang w:val="fr-FR"/>
              </w:rPr>
              <w:t>carte</w:t>
            </w:r>
            <w:r>
              <w:rPr>
                <w:rFonts w:ascii="Calibri" w:eastAsia="Times New Roman" w:hAnsi="Calibri" w:cs="Times New Roman"/>
                <w:color w:val="000000"/>
                <w:sz w:val="18"/>
                <w:szCs w:val="18"/>
                <w:lang w:val="fr-FR"/>
              </w:rPr>
              <w:t>s</w:t>
            </w:r>
            <w:r w:rsidRPr="00EC30A9">
              <w:rPr>
                <w:rFonts w:ascii="Calibri" w:eastAsia="Times New Roman" w:hAnsi="Calibri" w:cs="Times New Roman"/>
                <w:color w:val="000000"/>
                <w:sz w:val="18"/>
                <w:szCs w:val="18"/>
                <w:lang w:val="fr-FR"/>
              </w:rPr>
              <w:t xml:space="preserve"> d’électeur</w:t>
            </w:r>
            <w:r>
              <w:rPr>
                <w:rFonts w:ascii="Calibri" w:eastAsia="Times New Roman" w:hAnsi="Calibri" w:cs="Times New Roman"/>
                <w:color w:val="000000"/>
                <w:sz w:val="18"/>
                <w:szCs w:val="18"/>
                <w:lang w:val="fr-FR"/>
              </w:rPr>
              <w:t>s</w:t>
            </w:r>
            <w:r w:rsidRPr="00EF229E">
              <w:rPr>
                <w:rFonts w:ascii="Calibri" w:eastAsia="Times New Roman" w:hAnsi="Calibri" w:cs="Times New Roman"/>
                <w:color w:val="000000"/>
                <w:sz w:val="18"/>
                <w:szCs w:val="18"/>
                <w:lang w:val="fr-FR"/>
              </w:rPr>
              <w:t> </w:t>
            </w:r>
            <w:r>
              <w:rPr>
                <w:rFonts w:ascii="Calibri" w:eastAsia="Times New Roman" w:hAnsi="Calibri" w:cs="Times New Roman"/>
                <w:color w:val="000000"/>
                <w:sz w:val="18"/>
                <w:szCs w:val="18"/>
                <w:lang w:val="fr-FR"/>
              </w:rPr>
              <w:t>sont manuscrites et l’absence de photo</w:t>
            </w:r>
            <w:r w:rsidRPr="00B52B10">
              <w:rPr>
                <w:rFonts w:ascii="Calibri" w:eastAsia="Times New Roman" w:hAnsi="Calibri" w:cs="Times New Roman"/>
                <w:color w:val="000000"/>
                <w:sz w:val="18"/>
                <w:szCs w:val="18"/>
                <w:lang w:val="fr-FR"/>
              </w:rPr>
              <w:t xml:space="preserve"> ne permet pas l’identification visuelle au bureau de vote</w:t>
            </w:r>
          </w:p>
          <w:p w:rsidR="00BD6481" w:rsidRDefault="00BD6481" w:rsidP="00BD6481">
            <w:pPr>
              <w:pStyle w:val="ListParagraph"/>
              <w:numPr>
                <w:ilvl w:val="0"/>
                <w:numId w:val="1"/>
              </w:numPr>
              <w:ind w:left="206" w:hanging="180"/>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La liste d’affichage pour vérification de l’enrôlement ne contient pas de photo et sont manuscrites</w:t>
            </w:r>
          </w:p>
          <w:p w:rsidR="00BD6481" w:rsidRPr="00E27A89" w:rsidRDefault="00BD6481" w:rsidP="00BD6481">
            <w:pPr>
              <w:pStyle w:val="ListParagraph"/>
              <w:numPr>
                <w:ilvl w:val="0"/>
                <w:numId w:val="1"/>
              </w:numPr>
              <w:ind w:left="206" w:hanging="180"/>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Absence de base de données consolidée au niveau central, donc une gestion des données lente et prône aux erreurs</w:t>
            </w:r>
          </w:p>
        </w:tc>
      </w:tr>
      <w:tr w:rsidR="00BD6481" w:rsidRPr="00BD6481" w:rsidTr="00BD6481">
        <w:trPr>
          <w:trHeight w:val="2412"/>
        </w:trPr>
        <w:tc>
          <w:tcPr>
            <w:cnfStyle w:val="001000000000"/>
            <w:tcW w:w="1465" w:type="dxa"/>
            <w:tcBorders>
              <w:top w:val="single" w:sz="4" w:space="0" w:color="auto"/>
              <w:left w:val="nil"/>
              <w:bottom w:val="nil"/>
              <w:right w:val="nil"/>
            </w:tcBorders>
            <w:noWrap/>
            <w:textDirection w:val="btLr"/>
            <w:hideMark/>
          </w:tcPr>
          <w:p w:rsidR="00BD6481" w:rsidRPr="00055CC1" w:rsidRDefault="00BD6481" w:rsidP="00C700DD">
            <w:pPr>
              <w:jc w:val="center"/>
              <w:rPr>
                <w:rFonts w:ascii="Calibri" w:eastAsia="Times New Roman" w:hAnsi="Calibri" w:cs="Times New Roman"/>
                <w:color w:val="000000"/>
                <w:sz w:val="24"/>
                <w:szCs w:val="24"/>
                <w:lang w:val="fr-FR"/>
              </w:rPr>
            </w:pPr>
          </w:p>
        </w:tc>
        <w:tc>
          <w:tcPr>
            <w:tcW w:w="3060" w:type="dxa"/>
            <w:tcBorders>
              <w:top w:val="single" w:sz="4" w:space="0" w:color="auto"/>
              <w:left w:val="nil"/>
              <w:bottom w:val="nil"/>
              <w:right w:val="nil"/>
            </w:tcBorders>
            <w:noWrap/>
            <w:hideMark/>
          </w:tcPr>
          <w:p w:rsidR="00BD6481" w:rsidRPr="005D6942" w:rsidRDefault="00BD6481" w:rsidP="00BD6481">
            <w:pPr>
              <w:pStyle w:val="ListParagraph"/>
              <w:ind w:left="155"/>
              <w:cnfStyle w:val="000000000000"/>
              <w:rPr>
                <w:rFonts w:ascii="Calibri" w:eastAsia="Times New Roman" w:hAnsi="Calibri" w:cs="Times New Roman"/>
                <w:color w:val="000000"/>
                <w:sz w:val="18"/>
                <w:szCs w:val="18"/>
                <w:lang w:val="fr-FR"/>
              </w:rPr>
            </w:pPr>
          </w:p>
        </w:tc>
        <w:tc>
          <w:tcPr>
            <w:tcW w:w="1523" w:type="dxa"/>
            <w:tcBorders>
              <w:top w:val="single" w:sz="4" w:space="0" w:color="auto"/>
              <w:left w:val="nil"/>
              <w:bottom w:val="nil"/>
              <w:right w:val="nil"/>
            </w:tcBorders>
            <w:noWrap/>
            <w:hideMark/>
          </w:tcPr>
          <w:p w:rsidR="00BD6481" w:rsidRPr="00BA4ADD" w:rsidRDefault="00BD6481" w:rsidP="00C700DD">
            <w:pPr>
              <w:cnfStyle w:val="000000000000"/>
              <w:rPr>
                <w:rFonts w:ascii="Calibri" w:eastAsia="Times New Roman" w:hAnsi="Calibri" w:cs="Times New Roman"/>
                <w:color w:val="000000"/>
                <w:sz w:val="18"/>
                <w:szCs w:val="18"/>
                <w:lang w:val="fr-FR"/>
              </w:rPr>
            </w:pPr>
          </w:p>
        </w:tc>
        <w:tc>
          <w:tcPr>
            <w:tcW w:w="960" w:type="dxa"/>
            <w:tcBorders>
              <w:top w:val="single" w:sz="4" w:space="0" w:color="auto"/>
              <w:left w:val="nil"/>
              <w:bottom w:val="nil"/>
              <w:right w:val="nil"/>
            </w:tcBorders>
            <w:noWrap/>
            <w:hideMark/>
          </w:tcPr>
          <w:p w:rsidR="00BD6481" w:rsidRPr="00EF229E" w:rsidRDefault="00BD6481" w:rsidP="00C700DD">
            <w:pPr>
              <w:cnfStyle w:val="000000000000"/>
              <w:rPr>
                <w:rFonts w:ascii="Calibri" w:eastAsia="Times New Roman" w:hAnsi="Calibri" w:cs="Times New Roman"/>
                <w:color w:val="000000"/>
                <w:sz w:val="18"/>
                <w:szCs w:val="18"/>
                <w:lang w:val="fr-FR"/>
              </w:rPr>
            </w:pPr>
          </w:p>
        </w:tc>
        <w:tc>
          <w:tcPr>
            <w:tcW w:w="3021" w:type="dxa"/>
            <w:tcBorders>
              <w:top w:val="single" w:sz="4" w:space="0" w:color="auto"/>
              <w:left w:val="nil"/>
              <w:bottom w:val="nil"/>
              <w:right w:val="nil"/>
            </w:tcBorders>
            <w:noWrap/>
            <w:hideMark/>
          </w:tcPr>
          <w:p w:rsidR="00BD6481" w:rsidRPr="00EC30A9" w:rsidRDefault="00BD6481" w:rsidP="00BD6481">
            <w:pPr>
              <w:pStyle w:val="ListParagraph"/>
              <w:ind w:left="146"/>
              <w:cnfStyle w:val="000000000000"/>
              <w:rPr>
                <w:rFonts w:ascii="Calibri" w:eastAsia="Times New Roman" w:hAnsi="Calibri" w:cs="Times New Roman"/>
                <w:color w:val="000000"/>
                <w:sz w:val="18"/>
                <w:szCs w:val="18"/>
                <w:lang w:val="fr-FR"/>
              </w:rPr>
            </w:pPr>
          </w:p>
        </w:tc>
        <w:tc>
          <w:tcPr>
            <w:tcW w:w="3489" w:type="dxa"/>
            <w:tcBorders>
              <w:top w:val="single" w:sz="4" w:space="0" w:color="auto"/>
              <w:left w:val="nil"/>
              <w:bottom w:val="nil"/>
              <w:right w:val="nil"/>
            </w:tcBorders>
            <w:noWrap/>
            <w:hideMark/>
          </w:tcPr>
          <w:p w:rsidR="00BD6481" w:rsidRDefault="00BD6481" w:rsidP="00BD6481">
            <w:pPr>
              <w:pStyle w:val="ListParagraph"/>
              <w:ind w:left="206"/>
              <w:cnfStyle w:val="000000000000"/>
              <w:rPr>
                <w:rFonts w:ascii="Calibri" w:eastAsia="Times New Roman" w:hAnsi="Calibri" w:cs="Times New Roman"/>
                <w:color w:val="000000"/>
                <w:sz w:val="18"/>
                <w:szCs w:val="18"/>
                <w:lang w:val="fr-FR"/>
              </w:rPr>
            </w:pPr>
          </w:p>
        </w:tc>
      </w:tr>
      <w:tr w:rsidR="00BD6481" w:rsidRPr="00BD6481" w:rsidTr="00BD6481">
        <w:trPr>
          <w:cnfStyle w:val="000000100000"/>
          <w:trHeight w:val="1134"/>
        </w:trPr>
        <w:tc>
          <w:tcPr>
            <w:cnfStyle w:val="001000000000"/>
            <w:tcW w:w="1465" w:type="dxa"/>
            <w:tcBorders>
              <w:top w:val="nil"/>
              <w:left w:val="single" w:sz="4" w:space="0" w:color="auto"/>
              <w:bottom w:val="single" w:sz="4" w:space="0" w:color="auto"/>
              <w:right w:val="single" w:sz="4" w:space="0" w:color="auto"/>
            </w:tcBorders>
            <w:noWrap/>
            <w:textDirection w:val="btLr"/>
            <w:hideMark/>
          </w:tcPr>
          <w:p w:rsidR="00BD6481" w:rsidRPr="00055CC1" w:rsidRDefault="00BD6481" w:rsidP="00C700DD">
            <w:pPr>
              <w:ind w:left="113" w:right="113"/>
              <w:jc w:val="center"/>
              <w:rPr>
                <w:rFonts w:ascii="Calibri" w:eastAsia="Times New Roman" w:hAnsi="Calibri" w:cs="Times New Roman"/>
                <w:color w:val="000000"/>
                <w:sz w:val="24"/>
                <w:szCs w:val="24"/>
                <w:lang w:val="fr-FR"/>
              </w:rPr>
            </w:pPr>
            <w:r>
              <w:rPr>
                <w:rFonts w:ascii="Calibri" w:eastAsia="Times New Roman" w:hAnsi="Calibri" w:cs="Times New Roman"/>
                <w:color w:val="000000"/>
                <w:sz w:val="24"/>
                <w:szCs w:val="24"/>
                <w:lang w:val="fr-FR"/>
              </w:rPr>
              <w:lastRenderedPageBreak/>
              <w:t>INFORMATISEE - OMR</w:t>
            </w:r>
          </w:p>
        </w:tc>
        <w:tc>
          <w:tcPr>
            <w:tcW w:w="3060" w:type="dxa"/>
            <w:tcBorders>
              <w:top w:val="nil"/>
              <w:left w:val="single" w:sz="4" w:space="0" w:color="auto"/>
              <w:bottom w:val="single" w:sz="4" w:space="0" w:color="auto"/>
              <w:right w:val="single" w:sz="4" w:space="0" w:color="auto"/>
            </w:tcBorders>
            <w:noWrap/>
            <w:hideMark/>
          </w:tcPr>
          <w:p w:rsidR="00BD6481" w:rsidRDefault="00BD6481" w:rsidP="00BD6481">
            <w:pPr>
              <w:pStyle w:val="ListParagraph"/>
              <w:numPr>
                <w:ilvl w:val="0"/>
                <w:numId w:val="1"/>
              </w:numPr>
              <w:ind w:left="165" w:hanging="165"/>
              <w:cnfStyle w:val="000000100000"/>
              <w:rPr>
                <w:rFonts w:ascii="Calibri" w:eastAsia="Times New Roman" w:hAnsi="Calibri" w:cs="Times New Roman"/>
                <w:color w:val="000000"/>
                <w:sz w:val="18"/>
                <w:szCs w:val="18"/>
                <w:lang w:val="fr-FR"/>
              </w:rPr>
            </w:pPr>
            <w:r w:rsidRPr="004A600D">
              <w:rPr>
                <w:rFonts w:ascii="Calibri" w:eastAsia="Times New Roman" w:hAnsi="Calibri" w:cs="Times New Roman"/>
                <w:color w:val="000000"/>
                <w:sz w:val="18"/>
                <w:szCs w:val="18"/>
                <w:lang w:val="fr-FR"/>
              </w:rPr>
              <w:t xml:space="preserve">Inscription manuelle </w:t>
            </w:r>
            <w:r>
              <w:rPr>
                <w:rFonts w:ascii="Calibri" w:eastAsia="Times New Roman" w:hAnsi="Calibri" w:cs="Times New Roman"/>
                <w:color w:val="000000"/>
                <w:sz w:val="18"/>
                <w:szCs w:val="18"/>
                <w:lang w:val="fr-FR"/>
              </w:rPr>
              <w:t>sur le terrain avec des formulaires OMR (Optical Mark Recognition)</w:t>
            </w:r>
          </w:p>
          <w:p w:rsidR="00BD6481" w:rsidRPr="00EC30A9" w:rsidRDefault="00BD6481" w:rsidP="00BD6481">
            <w:pPr>
              <w:pStyle w:val="ListParagraph"/>
              <w:numPr>
                <w:ilvl w:val="0"/>
                <w:numId w:val="1"/>
              </w:numPr>
              <w:ind w:left="165" w:hanging="165"/>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I</w:t>
            </w:r>
            <w:r w:rsidRPr="004A600D">
              <w:rPr>
                <w:rFonts w:ascii="Calibri" w:eastAsia="Times New Roman" w:hAnsi="Calibri" w:cs="Times New Roman"/>
                <w:color w:val="000000"/>
                <w:sz w:val="18"/>
                <w:szCs w:val="18"/>
                <w:lang w:val="fr-FR"/>
              </w:rPr>
              <w:t xml:space="preserve">nformatisation des données au </w:t>
            </w:r>
            <w:r>
              <w:rPr>
                <w:rFonts w:ascii="Calibri" w:eastAsia="Times New Roman" w:hAnsi="Calibri" w:cs="Times New Roman"/>
                <w:color w:val="000000"/>
                <w:sz w:val="18"/>
                <w:szCs w:val="18"/>
                <w:lang w:val="fr-FR"/>
              </w:rPr>
              <w:t>Centre National Informatique de Traitement des Données avec des machines OMR (Optical Mark Recognition)</w:t>
            </w:r>
          </w:p>
        </w:tc>
        <w:tc>
          <w:tcPr>
            <w:tcW w:w="1523" w:type="dxa"/>
            <w:tcBorders>
              <w:top w:val="nil"/>
              <w:left w:val="single" w:sz="4" w:space="0" w:color="auto"/>
              <w:bottom w:val="single" w:sz="4" w:space="0" w:color="auto"/>
              <w:right w:val="single" w:sz="4" w:space="0" w:color="auto"/>
            </w:tcBorders>
            <w:noWrap/>
            <w:hideMark/>
          </w:tcPr>
          <w:p w:rsidR="00BD6481" w:rsidRDefault="00BD6481" w:rsidP="00C700DD">
            <w:pPr>
              <w:cnfStyle w:val="000000100000"/>
              <w:rPr>
                <w:rFonts w:ascii="Calibri" w:eastAsia="Times New Roman" w:hAnsi="Calibri" w:cs="Times New Roman"/>
                <w:color w:val="000000"/>
                <w:sz w:val="18"/>
                <w:szCs w:val="18"/>
                <w:lang w:val="fr-FR"/>
              </w:rPr>
            </w:pPr>
            <w:r w:rsidRPr="00EF229E">
              <w:rPr>
                <w:rFonts w:ascii="Calibri" w:eastAsia="Times New Roman" w:hAnsi="Calibri" w:cs="Times New Roman"/>
                <w:color w:val="000000"/>
                <w:sz w:val="18"/>
                <w:szCs w:val="18"/>
                <w:lang w:val="fr-FR"/>
              </w:rPr>
              <w:t> </w:t>
            </w:r>
            <w:r w:rsidRPr="00BA4ADD">
              <w:rPr>
                <w:rFonts w:ascii="Calibri" w:eastAsia="Times New Roman" w:hAnsi="Calibri" w:cs="Times New Roman"/>
                <w:color w:val="000000"/>
                <w:sz w:val="18"/>
                <w:szCs w:val="18"/>
                <w:lang w:val="fr-FR"/>
              </w:rPr>
              <w:t>6, 464,203 USD</w:t>
            </w:r>
            <w:r w:rsidRPr="00BA4ADD">
              <w:rPr>
                <w:rStyle w:val="FootnoteReference"/>
                <w:rFonts w:ascii="Calibri" w:hAnsi="Calibri" w:cs="Times New Roman"/>
                <w:color w:val="000000"/>
                <w:sz w:val="18"/>
                <w:szCs w:val="18"/>
              </w:rPr>
              <w:footnoteReference w:id="4"/>
            </w:r>
          </w:p>
          <w:p w:rsidR="00BD6481" w:rsidRDefault="00BD6481" w:rsidP="00C700DD">
            <w:pPr>
              <w:cnfStyle w:val="000000100000"/>
              <w:rPr>
                <w:rFonts w:ascii="Calibri" w:eastAsia="Times New Roman" w:hAnsi="Calibri" w:cs="Times New Roman"/>
                <w:color w:val="000000"/>
                <w:sz w:val="18"/>
                <w:szCs w:val="18"/>
                <w:lang w:val="fr-FR"/>
              </w:rPr>
            </w:pPr>
          </w:p>
          <w:p w:rsidR="00BD6481" w:rsidRPr="00190751" w:rsidRDefault="00BD6481" w:rsidP="00C700DD">
            <w:pPr>
              <w:cnfStyle w:val="000000100000"/>
              <w:rPr>
                <w:rFonts w:ascii="Calibri" w:eastAsia="Times New Roman" w:hAnsi="Calibri" w:cs="Times New Roman"/>
                <w:i/>
                <w:color w:val="000000"/>
                <w:sz w:val="18"/>
                <w:szCs w:val="18"/>
                <w:lang w:val="fr-FR"/>
              </w:rPr>
            </w:pPr>
            <w:r w:rsidRPr="00190751">
              <w:rPr>
                <w:rFonts w:ascii="Calibri" w:eastAsia="Times New Roman" w:hAnsi="Calibri" w:cs="Times New Roman"/>
                <w:i/>
                <w:color w:val="000000"/>
                <w:sz w:val="18"/>
                <w:szCs w:val="18"/>
                <w:lang w:val="fr-FR"/>
              </w:rPr>
              <w:t xml:space="preserve">Ce prix est basé sur la base de 1 mois d’enrôlement et </w:t>
            </w:r>
            <w:r>
              <w:rPr>
                <w:rFonts w:ascii="Calibri" w:eastAsia="Times New Roman" w:hAnsi="Calibri" w:cs="Times New Roman"/>
                <w:i/>
                <w:color w:val="000000"/>
                <w:sz w:val="18"/>
                <w:szCs w:val="18"/>
                <w:lang w:val="fr-FR"/>
              </w:rPr>
              <w:t>n’inclut pas</w:t>
            </w:r>
            <w:r w:rsidRPr="00190751">
              <w:rPr>
                <w:rFonts w:ascii="Calibri" w:eastAsia="Times New Roman" w:hAnsi="Calibri" w:cs="Times New Roman"/>
                <w:i/>
                <w:color w:val="000000"/>
                <w:sz w:val="18"/>
                <w:szCs w:val="18"/>
                <w:lang w:val="fr-FR"/>
              </w:rPr>
              <w:t xml:space="preserve"> la mise en œuvre.</w:t>
            </w:r>
          </w:p>
        </w:tc>
        <w:tc>
          <w:tcPr>
            <w:tcW w:w="960" w:type="dxa"/>
            <w:tcBorders>
              <w:top w:val="nil"/>
              <w:left w:val="single" w:sz="4" w:space="0" w:color="auto"/>
              <w:bottom w:val="single" w:sz="4" w:space="0" w:color="auto"/>
              <w:right w:val="single" w:sz="4" w:space="0" w:color="auto"/>
            </w:tcBorders>
            <w:noWrap/>
            <w:hideMark/>
          </w:tcPr>
          <w:p w:rsidR="00BD6481" w:rsidRPr="00EF229E" w:rsidRDefault="00BD6481" w:rsidP="00C700DD">
            <w:pPr>
              <w:cnfStyle w:val="000000100000"/>
              <w:rPr>
                <w:rFonts w:ascii="Calibri" w:eastAsia="Times New Roman" w:hAnsi="Calibri" w:cs="Times New Roman"/>
                <w:color w:val="000000"/>
                <w:sz w:val="18"/>
                <w:szCs w:val="18"/>
                <w:lang w:val="fr-FR"/>
              </w:rPr>
            </w:pPr>
            <w:r w:rsidRPr="00EF229E">
              <w:rPr>
                <w:rFonts w:ascii="Calibri" w:eastAsia="Times New Roman" w:hAnsi="Calibri" w:cs="Times New Roman"/>
                <w:color w:val="000000"/>
                <w:sz w:val="18"/>
                <w:szCs w:val="18"/>
                <w:lang w:val="fr-FR"/>
              </w:rPr>
              <w:t> </w:t>
            </w:r>
            <w:r>
              <w:rPr>
                <w:rFonts w:ascii="Calibri" w:eastAsia="Times New Roman" w:hAnsi="Calibri" w:cs="Times New Roman"/>
                <w:color w:val="000000"/>
                <w:sz w:val="18"/>
                <w:szCs w:val="18"/>
                <w:lang w:val="fr-FR"/>
              </w:rPr>
              <w:t>3 mois</w:t>
            </w:r>
          </w:p>
        </w:tc>
        <w:tc>
          <w:tcPr>
            <w:tcW w:w="3021" w:type="dxa"/>
            <w:tcBorders>
              <w:top w:val="nil"/>
              <w:left w:val="single" w:sz="4" w:space="0" w:color="auto"/>
              <w:bottom w:val="single" w:sz="4" w:space="0" w:color="auto"/>
              <w:right w:val="single" w:sz="4" w:space="0" w:color="auto"/>
            </w:tcBorders>
            <w:noWrap/>
            <w:hideMark/>
          </w:tcPr>
          <w:p w:rsidR="00BD6481" w:rsidRDefault="00BD6481" w:rsidP="00BD6481">
            <w:pPr>
              <w:pStyle w:val="ListParagraph"/>
              <w:numPr>
                <w:ilvl w:val="0"/>
                <w:numId w:val="1"/>
              </w:numPr>
              <w:ind w:left="192" w:hanging="146"/>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Saisie de données dans la base : Le choix  de l’option formulaire OMR + scanners est plus rapide et moins couteuse que l’option de saisie manuelle des données avec 200-260 ordinateurs et le personnel de saisie correspondant</w:t>
            </w:r>
          </w:p>
          <w:p w:rsidR="00BD6481" w:rsidRDefault="00BD6481" w:rsidP="00BD6481">
            <w:pPr>
              <w:pStyle w:val="ListParagraph"/>
              <w:numPr>
                <w:ilvl w:val="0"/>
                <w:numId w:val="1"/>
              </w:numPr>
              <w:ind w:left="192" w:hanging="146"/>
              <w:cnfStyle w:val="000000100000"/>
              <w:rPr>
                <w:rFonts w:ascii="Calibri" w:eastAsia="Times New Roman" w:hAnsi="Calibri" w:cs="Times New Roman"/>
                <w:color w:val="000000"/>
                <w:sz w:val="18"/>
                <w:szCs w:val="18"/>
                <w:lang w:val="fr-FR"/>
              </w:rPr>
            </w:pPr>
            <w:r w:rsidRPr="00EC30A9">
              <w:rPr>
                <w:rFonts w:ascii="Calibri" w:eastAsia="Times New Roman" w:hAnsi="Calibri" w:cs="Times New Roman"/>
                <w:color w:val="000000"/>
                <w:sz w:val="18"/>
                <w:szCs w:val="18"/>
                <w:lang w:val="fr-FR"/>
              </w:rPr>
              <w:t xml:space="preserve">Les électeurs reçoivent une carte d’électeur </w:t>
            </w:r>
            <w:r>
              <w:rPr>
                <w:rFonts w:ascii="Calibri" w:eastAsia="Times New Roman" w:hAnsi="Calibri" w:cs="Times New Roman"/>
                <w:color w:val="000000"/>
                <w:sz w:val="18"/>
                <w:szCs w:val="18"/>
                <w:lang w:val="fr-FR"/>
              </w:rPr>
              <w:t>plastifi</w:t>
            </w:r>
            <w:r w:rsidRPr="00EC30A9">
              <w:rPr>
                <w:rFonts w:ascii="Calibri" w:eastAsia="Times New Roman" w:hAnsi="Calibri" w:cs="Times New Roman"/>
                <w:color w:val="000000"/>
                <w:sz w:val="18"/>
                <w:szCs w:val="18"/>
                <w:lang w:val="fr-FR"/>
              </w:rPr>
              <w:t xml:space="preserve">ée </w:t>
            </w:r>
            <w:r>
              <w:rPr>
                <w:rFonts w:ascii="Calibri" w:eastAsia="Times New Roman" w:hAnsi="Calibri" w:cs="Times New Roman"/>
                <w:color w:val="000000"/>
                <w:sz w:val="18"/>
                <w:szCs w:val="18"/>
                <w:lang w:val="fr-FR"/>
              </w:rPr>
              <w:t>sans</w:t>
            </w:r>
            <w:r w:rsidRPr="00EC30A9">
              <w:rPr>
                <w:rFonts w:ascii="Calibri" w:eastAsia="Times New Roman" w:hAnsi="Calibri" w:cs="Times New Roman"/>
                <w:color w:val="000000"/>
                <w:sz w:val="18"/>
                <w:szCs w:val="18"/>
                <w:lang w:val="fr-FR"/>
              </w:rPr>
              <w:t xml:space="preserve"> photo</w:t>
            </w:r>
            <w:r>
              <w:rPr>
                <w:rFonts w:ascii="Calibri" w:eastAsia="Times New Roman" w:hAnsi="Calibri" w:cs="Times New Roman"/>
                <w:color w:val="000000"/>
                <w:sz w:val="18"/>
                <w:szCs w:val="18"/>
                <w:lang w:val="fr-FR"/>
              </w:rPr>
              <w:t xml:space="preserve"> après la consolidation de la base de données</w:t>
            </w:r>
          </w:p>
          <w:p w:rsidR="00BD6481" w:rsidRDefault="00BD6481" w:rsidP="00BD6481">
            <w:pPr>
              <w:pStyle w:val="ListParagraph"/>
              <w:numPr>
                <w:ilvl w:val="0"/>
                <w:numId w:val="1"/>
              </w:numPr>
              <w:ind w:left="192" w:hanging="146"/>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 xml:space="preserve">Délais, coûts et simplicité d´ exécution. </w:t>
            </w:r>
          </w:p>
          <w:p w:rsidR="00BD6481" w:rsidRPr="00CA7955" w:rsidRDefault="00BD6481" w:rsidP="00BD6481">
            <w:pPr>
              <w:pStyle w:val="ListParagraph"/>
              <w:numPr>
                <w:ilvl w:val="0"/>
                <w:numId w:val="1"/>
              </w:numPr>
              <w:ind w:left="192" w:hanging="146"/>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Pas besoin de d</w:t>
            </w:r>
            <w:r w:rsidRPr="00F73CD0">
              <w:rPr>
                <w:rFonts w:ascii="Calibri" w:eastAsia="Times New Roman" w:hAnsi="Calibri" w:cs="Times New Roman"/>
                <w:color w:val="000000"/>
                <w:sz w:val="18"/>
                <w:szCs w:val="18"/>
                <w:lang w:val="fr-FR"/>
              </w:rPr>
              <w:t>éploiement de matériel sensible</w:t>
            </w:r>
            <w:r>
              <w:rPr>
                <w:rFonts w:ascii="Calibri" w:eastAsia="Times New Roman" w:hAnsi="Calibri" w:cs="Times New Roman"/>
                <w:color w:val="000000"/>
                <w:sz w:val="18"/>
                <w:szCs w:val="18"/>
                <w:lang w:val="fr-FR"/>
              </w:rPr>
              <w:t xml:space="preserve"> et réduction des risques liés à l’équipement</w:t>
            </w:r>
          </w:p>
          <w:p w:rsidR="00BD6481" w:rsidRDefault="00BD6481" w:rsidP="00BD6481">
            <w:pPr>
              <w:pStyle w:val="ListParagraph"/>
              <w:numPr>
                <w:ilvl w:val="0"/>
                <w:numId w:val="1"/>
              </w:numPr>
              <w:ind w:left="192" w:hanging="146"/>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Pas besoin d’agents d’enrôlement avec un niveau de connaissance informatique élevé</w:t>
            </w:r>
          </w:p>
          <w:p w:rsidR="00BD6481" w:rsidRDefault="00BD6481" w:rsidP="00BD6481">
            <w:pPr>
              <w:pStyle w:val="ListParagraph"/>
              <w:numPr>
                <w:ilvl w:val="0"/>
                <w:numId w:val="1"/>
              </w:numPr>
              <w:ind w:left="192" w:hanging="146"/>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Permet d’avoir une base de données consolidée et des listes électorales  informatisées  pour l’affichage</w:t>
            </w:r>
          </w:p>
          <w:p w:rsidR="00BD6481" w:rsidRPr="00A43191" w:rsidRDefault="00BD6481" w:rsidP="00BD6481">
            <w:pPr>
              <w:pStyle w:val="ListParagraph"/>
              <w:numPr>
                <w:ilvl w:val="0"/>
                <w:numId w:val="1"/>
              </w:numPr>
              <w:ind w:left="192" w:hanging="146"/>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Possibilité sur le long terme de passer à la biométrie</w:t>
            </w:r>
          </w:p>
        </w:tc>
        <w:tc>
          <w:tcPr>
            <w:tcW w:w="3489" w:type="dxa"/>
            <w:tcBorders>
              <w:top w:val="nil"/>
              <w:left w:val="single" w:sz="4" w:space="0" w:color="auto"/>
              <w:bottom w:val="single" w:sz="4" w:space="0" w:color="auto"/>
              <w:right w:val="single" w:sz="4" w:space="0" w:color="auto"/>
            </w:tcBorders>
            <w:noWrap/>
            <w:hideMark/>
          </w:tcPr>
          <w:p w:rsidR="00BD6481" w:rsidRDefault="00BD6481" w:rsidP="00BD6481">
            <w:pPr>
              <w:pStyle w:val="ListParagraph"/>
              <w:numPr>
                <w:ilvl w:val="0"/>
                <w:numId w:val="1"/>
              </w:numPr>
              <w:ind w:left="206" w:hanging="180"/>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L’absence de photo sur la carte d’électeur ne permet pas l’identification visuelle au bureau de vote</w:t>
            </w:r>
          </w:p>
          <w:p w:rsidR="00BD6481" w:rsidRDefault="00BD6481" w:rsidP="00BD6481">
            <w:pPr>
              <w:pStyle w:val="ListParagraph"/>
              <w:numPr>
                <w:ilvl w:val="0"/>
                <w:numId w:val="1"/>
              </w:numPr>
              <w:ind w:left="206" w:hanging="180"/>
              <w:cnfStyle w:val="000000100000"/>
              <w:rPr>
                <w:rFonts w:ascii="Calibri" w:eastAsia="Times New Roman" w:hAnsi="Calibri" w:cs="Times New Roman"/>
                <w:color w:val="000000"/>
                <w:sz w:val="18"/>
                <w:szCs w:val="18"/>
                <w:lang w:val="fr-FR"/>
              </w:rPr>
            </w:pPr>
            <w:r>
              <w:rPr>
                <w:rFonts w:ascii="Calibri" w:eastAsia="Times New Roman" w:hAnsi="Calibri" w:cs="Times New Roman"/>
                <w:color w:val="000000"/>
                <w:sz w:val="18"/>
                <w:szCs w:val="18"/>
                <w:lang w:val="fr-FR"/>
              </w:rPr>
              <w:t>La liste d’affichage pour vérification de l’enrôlement ne contient pas de photo</w:t>
            </w:r>
          </w:p>
          <w:p w:rsidR="00BD6481" w:rsidRPr="00EF229E" w:rsidRDefault="00BD6481" w:rsidP="00C700DD">
            <w:pPr>
              <w:cnfStyle w:val="000000100000"/>
              <w:rPr>
                <w:rFonts w:ascii="Calibri" w:eastAsia="Times New Roman" w:hAnsi="Calibri" w:cs="Times New Roman"/>
                <w:color w:val="000000"/>
                <w:sz w:val="18"/>
                <w:szCs w:val="18"/>
                <w:lang w:val="fr-FR"/>
              </w:rPr>
            </w:pPr>
          </w:p>
        </w:tc>
      </w:tr>
    </w:tbl>
    <w:p w:rsidR="00E13DD5" w:rsidRDefault="00E13DD5">
      <w:pPr>
        <w:rPr>
          <w:b/>
          <w:bCs/>
          <w:lang w:val="fr-FR"/>
        </w:rPr>
      </w:pPr>
      <w:r w:rsidRPr="001D1561">
        <w:rPr>
          <w:b/>
          <w:bCs/>
          <w:lang w:val="fr-FR"/>
        </w:rPr>
        <w:br w:type="page"/>
      </w:r>
    </w:p>
    <w:tbl>
      <w:tblPr>
        <w:tblStyle w:val="TableGrid"/>
        <w:tblpPr w:leftFromText="180" w:rightFromText="180" w:vertAnchor="text" w:tblpY="1"/>
        <w:tblW w:w="13518" w:type="dxa"/>
        <w:tblLook w:val="04A0"/>
      </w:tblPr>
      <w:tblGrid>
        <w:gridCol w:w="1465"/>
        <w:gridCol w:w="3060"/>
        <w:gridCol w:w="1523"/>
        <w:gridCol w:w="960"/>
        <w:gridCol w:w="3021"/>
        <w:gridCol w:w="3489"/>
      </w:tblGrid>
      <w:tr w:rsidR="00BD6481" w:rsidRPr="00BD6481" w:rsidTr="00C700DD">
        <w:trPr>
          <w:trHeight w:val="5083"/>
        </w:trPr>
        <w:tc>
          <w:tcPr>
            <w:tcW w:w="1465" w:type="dxa"/>
            <w:noWrap/>
            <w:textDirection w:val="btLr"/>
          </w:tcPr>
          <w:p w:rsidR="00BD6481" w:rsidRPr="00193CDC" w:rsidRDefault="00BD6481" w:rsidP="00C700DD">
            <w:pPr>
              <w:ind w:left="113" w:right="113"/>
              <w:jc w:val="center"/>
              <w:rPr>
                <w:rFonts w:ascii="Calibri" w:eastAsia="Times New Roman" w:hAnsi="Calibri"/>
                <w:b/>
                <w:color w:val="000000"/>
              </w:rPr>
            </w:pPr>
            <w:r w:rsidRPr="00193CDC">
              <w:rPr>
                <w:rFonts w:ascii="Calibri" w:eastAsia="Times New Roman" w:hAnsi="Calibri"/>
                <w:b/>
                <w:color w:val="000000"/>
              </w:rPr>
              <w:lastRenderedPageBreak/>
              <w:t>INFORMATISEE - KITS APPAREILS PHOTO</w:t>
            </w:r>
          </w:p>
        </w:tc>
        <w:tc>
          <w:tcPr>
            <w:tcW w:w="3060" w:type="dxa"/>
            <w:noWrap/>
          </w:tcPr>
          <w:p w:rsidR="00BD6481" w:rsidRPr="00BD6481" w:rsidRDefault="00BD6481" w:rsidP="00BD6481">
            <w:pPr>
              <w:pStyle w:val="ListParagraph"/>
              <w:numPr>
                <w:ilvl w:val="0"/>
                <w:numId w:val="1"/>
              </w:numPr>
              <w:ind w:left="165" w:hanging="165"/>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Inscription manuelle sur le terrain avec des formulaires OMR (Optical Mark Recognition)</w:t>
            </w:r>
          </w:p>
          <w:p w:rsidR="00BD6481" w:rsidRPr="00D1636E" w:rsidRDefault="00BD6481" w:rsidP="00BD6481">
            <w:pPr>
              <w:pStyle w:val="ListParagraph"/>
              <w:numPr>
                <w:ilvl w:val="0"/>
                <w:numId w:val="1"/>
              </w:numPr>
              <w:ind w:left="165" w:hanging="165"/>
              <w:rPr>
                <w:rFonts w:ascii="Calibri" w:eastAsia="Times New Roman" w:hAnsi="Calibri"/>
                <w:b/>
                <w:bCs/>
                <w:color w:val="000000"/>
                <w:sz w:val="18"/>
                <w:szCs w:val="18"/>
              </w:rPr>
            </w:pPr>
            <w:r w:rsidRPr="00D1636E">
              <w:rPr>
                <w:rFonts w:ascii="Calibri" w:eastAsia="Times New Roman" w:hAnsi="Calibri"/>
                <w:color w:val="000000"/>
                <w:sz w:val="18"/>
                <w:szCs w:val="18"/>
              </w:rPr>
              <w:t xml:space="preserve">Prise de </w:t>
            </w:r>
            <w:proofErr w:type="spellStart"/>
            <w:r w:rsidRPr="00D1636E">
              <w:rPr>
                <w:rFonts w:ascii="Calibri" w:eastAsia="Times New Roman" w:hAnsi="Calibri"/>
                <w:color w:val="000000"/>
                <w:sz w:val="18"/>
                <w:szCs w:val="18"/>
              </w:rPr>
              <w:t>photographie</w:t>
            </w:r>
            <w:proofErr w:type="spellEnd"/>
            <w:r w:rsidRPr="00D1636E">
              <w:rPr>
                <w:rFonts w:ascii="Calibri" w:eastAsia="Times New Roman" w:hAnsi="Calibri"/>
                <w:color w:val="000000"/>
                <w:sz w:val="18"/>
                <w:szCs w:val="18"/>
              </w:rPr>
              <w:t xml:space="preserve"> </w:t>
            </w:r>
            <w:proofErr w:type="spellStart"/>
            <w:r w:rsidRPr="00D1636E">
              <w:rPr>
                <w:rFonts w:ascii="Calibri" w:eastAsia="Times New Roman" w:hAnsi="Calibri"/>
                <w:color w:val="000000"/>
                <w:sz w:val="18"/>
                <w:szCs w:val="18"/>
              </w:rPr>
              <w:t>digitale</w:t>
            </w:r>
            <w:proofErr w:type="spellEnd"/>
            <w:r w:rsidRPr="00D1636E">
              <w:rPr>
                <w:rFonts w:ascii="Calibri" w:eastAsia="Times New Roman" w:hAnsi="Calibri"/>
                <w:color w:val="000000"/>
                <w:sz w:val="18"/>
                <w:szCs w:val="18"/>
              </w:rPr>
              <w:t xml:space="preserve"> </w:t>
            </w:r>
          </w:p>
          <w:p w:rsidR="00BD6481" w:rsidRPr="00BD6481" w:rsidRDefault="00BD6481" w:rsidP="00BD6481">
            <w:pPr>
              <w:pStyle w:val="ListParagraph"/>
              <w:numPr>
                <w:ilvl w:val="0"/>
                <w:numId w:val="1"/>
              </w:numPr>
              <w:ind w:left="165" w:hanging="165"/>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Informatisation des données au Centre National de Traitement des Données avec des machines OMR (</w:t>
            </w:r>
            <w:r w:rsidRPr="00BD6481">
              <w:rPr>
                <w:rFonts w:ascii="Calibri" w:eastAsia="Times New Roman" w:hAnsi="Calibri"/>
                <w:i/>
                <w:color w:val="000000"/>
                <w:sz w:val="18"/>
                <w:szCs w:val="18"/>
                <w:lang w:val="fr-FR"/>
              </w:rPr>
              <w:t>Optical Mark Recognition</w:t>
            </w:r>
            <w:r w:rsidRPr="00BD6481">
              <w:rPr>
                <w:rFonts w:ascii="Calibri" w:eastAsia="Times New Roman" w:hAnsi="Calibri"/>
                <w:color w:val="000000"/>
                <w:sz w:val="18"/>
                <w:szCs w:val="18"/>
                <w:lang w:val="fr-FR"/>
              </w:rPr>
              <w:t>), et une consolidation au niveau central incluant les photographies</w:t>
            </w:r>
          </w:p>
          <w:p w:rsidR="00BD6481" w:rsidRPr="00BD6481" w:rsidRDefault="00BD6481" w:rsidP="00BD6481">
            <w:pPr>
              <w:pStyle w:val="ListParagraph"/>
              <w:numPr>
                <w:ilvl w:val="0"/>
                <w:numId w:val="1"/>
              </w:numPr>
              <w:ind w:left="165" w:hanging="165"/>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Kit : Kit camera en version simplifiée/light (sans imprimante pour minimiser les coûts) avec logiciel de capture, et incluant un panneau solaire</w:t>
            </w:r>
          </w:p>
        </w:tc>
        <w:tc>
          <w:tcPr>
            <w:tcW w:w="1523" w:type="dxa"/>
            <w:noWrap/>
          </w:tcPr>
          <w:p w:rsidR="00BD6481" w:rsidRPr="00BD6481" w:rsidRDefault="00BD6481" w:rsidP="00C700DD">
            <w:pPr>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10, 255,540 USD</w:t>
            </w:r>
            <w:r>
              <w:rPr>
                <w:rStyle w:val="FootnoteReference"/>
                <w:rFonts w:ascii="Calibri" w:hAnsi="Calibri"/>
                <w:color w:val="000000"/>
                <w:sz w:val="18"/>
                <w:szCs w:val="18"/>
              </w:rPr>
              <w:footnoteReference w:id="5"/>
            </w:r>
          </w:p>
          <w:p w:rsidR="00BD6481" w:rsidRPr="00BD6481" w:rsidRDefault="00BD6481" w:rsidP="00C700DD">
            <w:pPr>
              <w:rPr>
                <w:rFonts w:ascii="Calibri" w:eastAsia="Times New Roman" w:hAnsi="Calibri"/>
                <w:b/>
                <w:bCs/>
                <w:color w:val="000000"/>
                <w:sz w:val="18"/>
                <w:szCs w:val="18"/>
                <w:lang w:val="fr-FR"/>
              </w:rPr>
            </w:pPr>
          </w:p>
          <w:p w:rsidR="00BD6481" w:rsidRPr="00BD6481" w:rsidRDefault="00BD6481" w:rsidP="00C700DD">
            <w:pPr>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Ce prix est basé sur la base de 1 mois d’enrôlement et n’inclut pas la mise en œuvre.</w:t>
            </w:r>
          </w:p>
        </w:tc>
        <w:tc>
          <w:tcPr>
            <w:tcW w:w="960" w:type="dxa"/>
            <w:noWrap/>
          </w:tcPr>
          <w:p w:rsidR="00BD6481" w:rsidRPr="00D1636E" w:rsidRDefault="00BD6481" w:rsidP="00C700DD">
            <w:pPr>
              <w:rPr>
                <w:rFonts w:ascii="Calibri" w:eastAsia="Times New Roman" w:hAnsi="Calibri"/>
                <w:b/>
                <w:bCs/>
                <w:color w:val="000000"/>
                <w:sz w:val="18"/>
                <w:szCs w:val="18"/>
              </w:rPr>
            </w:pPr>
            <w:r w:rsidRPr="00D1636E">
              <w:rPr>
                <w:rFonts w:ascii="Calibri" w:eastAsia="Times New Roman" w:hAnsi="Calibri"/>
                <w:color w:val="000000"/>
                <w:sz w:val="18"/>
                <w:szCs w:val="18"/>
              </w:rPr>
              <w:t xml:space="preserve">7 </w:t>
            </w:r>
            <w:proofErr w:type="spellStart"/>
            <w:r w:rsidRPr="00D1636E">
              <w:rPr>
                <w:rFonts w:ascii="Calibri" w:eastAsia="Times New Roman" w:hAnsi="Calibri"/>
                <w:color w:val="000000"/>
                <w:sz w:val="18"/>
                <w:szCs w:val="18"/>
              </w:rPr>
              <w:t>mois</w:t>
            </w:r>
            <w:proofErr w:type="spellEnd"/>
          </w:p>
          <w:p w:rsidR="00BD6481" w:rsidRPr="00D1636E" w:rsidRDefault="00BD6481" w:rsidP="00C700DD">
            <w:pPr>
              <w:rPr>
                <w:rFonts w:ascii="Calibri" w:eastAsia="Times New Roman" w:hAnsi="Calibri"/>
                <w:b/>
                <w:bCs/>
                <w:color w:val="000000"/>
                <w:sz w:val="18"/>
                <w:szCs w:val="18"/>
              </w:rPr>
            </w:pPr>
          </w:p>
          <w:p w:rsidR="00BD6481" w:rsidRPr="00D1636E" w:rsidRDefault="00BD6481" w:rsidP="00C700DD">
            <w:pPr>
              <w:rPr>
                <w:rFonts w:ascii="Calibri" w:eastAsia="Times New Roman" w:hAnsi="Calibri"/>
                <w:b/>
                <w:bCs/>
                <w:color w:val="000000"/>
                <w:sz w:val="18"/>
                <w:szCs w:val="18"/>
              </w:rPr>
            </w:pPr>
            <w:proofErr w:type="spellStart"/>
            <w:r w:rsidRPr="00D1636E">
              <w:rPr>
                <w:rFonts w:ascii="Calibri" w:eastAsia="Times New Roman" w:hAnsi="Calibri"/>
                <w:color w:val="000000"/>
                <w:sz w:val="18"/>
                <w:szCs w:val="18"/>
              </w:rPr>
              <w:t>ou</w:t>
            </w:r>
            <w:proofErr w:type="spellEnd"/>
            <w:r w:rsidRPr="00D1636E">
              <w:rPr>
                <w:rFonts w:ascii="Calibri" w:eastAsia="Times New Roman" w:hAnsi="Calibri"/>
                <w:color w:val="000000"/>
                <w:sz w:val="18"/>
                <w:szCs w:val="18"/>
              </w:rPr>
              <w:t xml:space="preserve"> </w:t>
            </w:r>
            <w:proofErr w:type="spellStart"/>
            <w:r w:rsidRPr="00D1636E">
              <w:rPr>
                <w:rFonts w:ascii="Calibri" w:eastAsia="Times New Roman" w:hAnsi="Calibri"/>
                <w:color w:val="000000"/>
                <w:sz w:val="18"/>
                <w:szCs w:val="18"/>
              </w:rPr>
              <w:t>bien</w:t>
            </w:r>
            <w:proofErr w:type="spellEnd"/>
          </w:p>
          <w:p w:rsidR="00BD6481" w:rsidRPr="00D1636E" w:rsidRDefault="00BD6481" w:rsidP="00C700DD">
            <w:pPr>
              <w:rPr>
                <w:rFonts w:ascii="Calibri" w:eastAsia="Times New Roman" w:hAnsi="Calibri"/>
                <w:b/>
                <w:bCs/>
                <w:color w:val="000000"/>
                <w:sz w:val="18"/>
                <w:szCs w:val="18"/>
              </w:rPr>
            </w:pPr>
          </w:p>
          <w:p w:rsidR="00BD6481" w:rsidRPr="00D1636E" w:rsidRDefault="00BD6481" w:rsidP="00C700DD">
            <w:pPr>
              <w:rPr>
                <w:rFonts w:ascii="Calibri" w:eastAsia="Times New Roman" w:hAnsi="Calibri"/>
                <w:b/>
                <w:bCs/>
                <w:color w:val="000000"/>
                <w:sz w:val="18"/>
                <w:szCs w:val="18"/>
              </w:rPr>
            </w:pPr>
            <w:r w:rsidRPr="00D1636E">
              <w:rPr>
                <w:rFonts w:ascii="Calibri" w:eastAsia="Times New Roman" w:hAnsi="Calibri"/>
                <w:color w:val="000000"/>
                <w:sz w:val="18"/>
                <w:szCs w:val="18"/>
              </w:rPr>
              <w:t xml:space="preserve">4 </w:t>
            </w:r>
            <w:proofErr w:type="spellStart"/>
            <w:r w:rsidRPr="00D1636E">
              <w:rPr>
                <w:rFonts w:ascii="Calibri" w:eastAsia="Times New Roman" w:hAnsi="Calibri"/>
                <w:color w:val="000000"/>
                <w:sz w:val="18"/>
                <w:szCs w:val="18"/>
              </w:rPr>
              <w:t>mois</w:t>
            </w:r>
            <w:proofErr w:type="spellEnd"/>
            <w:r>
              <w:rPr>
                <w:rStyle w:val="FootnoteReference"/>
                <w:rFonts w:ascii="Calibri" w:hAnsi="Calibri"/>
                <w:color w:val="000000"/>
                <w:sz w:val="18"/>
                <w:szCs w:val="18"/>
              </w:rPr>
              <w:footnoteReference w:id="6"/>
            </w:r>
          </w:p>
        </w:tc>
        <w:tc>
          <w:tcPr>
            <w:tcW w:w="3021" w:type="dxa"/>
            <w:noWrap/>
          </w:tcPr>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Saisie de données dans la base : Le choix  de l’option formulaire OMR + scanners est clairement plus rapide et moins couteuse que l’option de saisie manuelle des données avec 200-260 ordinateurs et le personnel de saisie correspondant.</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Les électeurs reçoivent une carte d’électeur plastifiée avec photo après la consolidation de la base de données</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 xml:space="preserve">Délais, coûts et simplicité d´ exécution, comparée avec l’option biométrique. </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Pas besoin d’agents d’enrôlement avec un niveau de connaissance informatique élevé</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Cela permet d’avoir une base de données consolidée et des listes électorales informatisées  pour l’affichage</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Possibilité sur le long terme de passer à la biométrie</w:t>
            </w:r>
          </w:p>
        </w:tc>
        <w:tc>
          <w:tcPr>
            <w:tcW w:w="3489" w:type="dxa"/>
            <w:noWrap/>
          </w:tcPr>
          <w:p w:rsidR="00BD6481" w:rsidRPr="00BD6481" w:rsidRDefault="00BD6481" w:rsidP="00BD6481">
            <w:pPr>
              <w:pStyle w:val="ListParagraph"/>
              <w:numPr>
                <w:ilvl w:val="0"/>
                <w:numId w:val="1"/>
              </w:numPr>
              <w:ind w:left="206" w:hanging="180"/>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Il est important de mentionner que consolider et transférer les photographies en format électronique,  tout en reliant un numéro de photo à un identifiant unique dans la base de données sans commettre d’erreurs, est un processus complexe.</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La prise de photographies va engendrer des coûts et des opérations supplémentaires, et la durée d’enrôlement sera donc rallongée.</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 xml:space="preserve">Déploiement de matériel relativement sensible (kits cameras) </w:t>
            </w:r>
          </w:p>
        </w:tc>
      </w:tr>
    </w:tbl>
    <w:p w:rsidR="00BD6481" w:rsidRPr="001D1561" w:rsidRDefault="00BD6481">
      <w:pPr>
        <w:rPr>
          <w:lang w:val="fr-FR"/>
        </w:rPr>
      </w:pPr>
    </w:p>
    <w:tbl>
      <w:tblPr>
        <w:tblStyle w:val="TableGrid"/>
        <w:tblW w:w="13518" w:type="dxa"/>
        <w:tblLook w:val="04A0"/>
      </w:tblPr>
      <w:tblGrid>
        <w:gridCol w:w="1465"/>
        <w:gridCol w:w="2963"/>
        <w:gridCol w:w="1620"/>
        <w:gridCol w:w="960"/>
        <w:gridCol w:w="3021"/>
        <w:gridCol w:w="3489"/>
      </w:tblGrid>
      <w:tr w:rsidR="00BD6481" w:rsidRPr="00BD6481" w:rsidTr="00C700DD">
        <w:trPr>
          <w:trHeight w:val="1134"/>
        </w:trPr>
        <w:tc>
          <w:tcPr>
            <w:tcW w:w="1465" w:type="dxa"/>
            <w:noWrap/>
            <w:textDirection w:val="btLr"/>
            <w:hideMark/>
          </w:tcPr>
          <w:p w:rsidR="00BD6481" w:rsidRPr="00BD6481" w:rsidRDefault="00BD6481" w:rsidP="00C700DD">
            <w:pPr>
              <w:ind w:left="113" w:right="113"/>
              <w:jc w:val="center"/>
              <w:rPr>
                <w:rFonts w:ascii="Calibri" w:eastAsia="Times New Roman" w:hAnsi="Calibri"/>
                <w:b/>
                <w:color w:val="000000"/>
                <w:lang w:val="fr-FR"/>
              </w:rPr>
            </w:pPr>
            <w:bookmarkStart w:id="0" w:name="_GoBack"/>
            <w:bookmarkEnd w:id="0"/>
            <w:r w:rsidRPr="00BD6481">
              <w:rPr>
                <w:rFonts w:ascii="Calibri" w:eastAsia="Times New Roman" w:hAnsi="Calibri"/>
                <w:b/>
                <w:color w:val="000000"/>
                <w:lang w:val="fr-FR"/>
              </w:rPr>
              <w:lastRenderedPageBreak/>
              <w:t>INFORMATISEE - Kit photo avec ordinateur</w:t>
            </w:r>
          </w:p>
        </w:tc>
        <w:tc>
          <w:tcPr>
            <w:tcW w:w="2963" w:type="dxa"/>
            <w:noWrap/>
            <w:hideMark/>
          </w:tcPr>
          <w:p w:rsidR="00BD6481" w:rsidRPr="00BD6481" w:rsidRDefault="00BD6481" w:rsidP="00BD6481">
            <w:pPr>
              <w:pStyle w:val="ListParagraph"/>
              <w:numPr>
                <w:ilvl w:val="0"/>
                <w:numId w:val="1"/>
              </w:numPr>
              <w:ind w:left="165" w:hanging="165"/>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Inscription informatisée avec prise de photographie et données alphanumériques, puis consolidation au niveau central</w:t>
            </w:r>
          </w:p>
          <w:p w:rsidR="00BD6481" w:rsidRPr="00BD6481" w:rsidRDefault="00BD6481" w:rsidP="00BD6481">
            <w:pPr>
              <w:pStyle w:val="ListParagraph"/>
              <w:numPr>
                <w:ilvl w:val="0"/>
                <w:numId w:val="1"/>
              </w:numPr>
              <w:ind w:left="165" w:hanging="165"/>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Kit : ordinateur avec logiciel de capture pour inscription de données alphanumériques et photographie, plus générateur avec fuel ou panneau solaire</w:t>
            </w:r>
          </w:p>
          <w:p w:rsidR="00BD6481" w:rsidRPr="00BD6481" w:rsidRDefault="00BD6481" w:rsidP="00BD6481">
            <w:pPr>
              <w:pStyle w:val="ListParagraph"/>
              <w:numPr>
                <w:ilvl w:val="0"/>
                <w:numId w:val="1"/>
              </w:numPr>
              <w:ind w:left="165" w:hanging="165"/>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Consolidation au Centre National de Traitement des Données</w:t>
            </w:r>
          </w:p>
          <w:p w:rsidR="00BD6481" w:rsidRPr="00BD6481" w:rsidRDefault="00BD6481" w:rsidP="00C700DD">
            <w:pPr>
              <w:rPr>
                <w:rFonts w:ascii="Calibri" w:eastAsia="Times New Roman" w:hAnsi="Calibri"/>
                <w:b/>
                <w:bCs/>
                <w:color w:val="000000"/>
                <w:sz w:val="18"/>
                <w:szCs w:val="18"/>
                <w:lang w:val="fr-FR"/>
              </w:rPr>
            </w:pPr>
          </w:p>
          <w:p w:rsidR="00BD6481" w:rsidRPr="00BD6481" w:rsidRDefault="00BD6481" w:rsidP="00C700DD">
            <w:pPr>
              <w:rPr>
                <w:rFonts w:ascii="Calibri" w:eastAsia="Times New Roman" w:hAnsi="Calibri"/>
                <w:b/>
                <w:bCs/>
                <w:color w:val="000000"/>
                <w:sz w:val="18"/>
                <w:szCs w:val="18"/>
                <w:lang w:val="fr-FR"/>
              </w:rPr>
            </w:pPr>
          </w:p>
        </w:tc>
        <w:tc>
          <w:tcPr>
            <w:tcW w:w="1620" w:type="dxa"/>
            <w:noWrap/>
            <w:hideMark/>
          </w:tcPr>
          <w:p w:rsidR="00BD6481" w:rsidRPr="00BD6481" w:rsidRDefault="00BD6481" w:rsidP="00C700DD">
            <w:pPr>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 21, 405,489 USD</w:t>
            </w:r>
            <w:r>
              <w:rPr>
                <w:rStyle w:val="FootnoteReference"/>
                <w:rFonts w:ascii="Calibri" w:hAnsi="Calibri"/>
                <w:color w:val="000000"/>
                <w:sz w:val="18"/>
                <w:szCs w:val="18"/>
              </w:rPr>
              <w:footnoteReference w:id="7"/>
            </w:r>
          </w:p>
          <w:p w:rsidR="00BD6481" w:rsidRPr="00BD6481" w:rsidRDefault="00BD6481" w:rsidP="00C700DD">
            <w:pPr>
              <w:rPr>
                <w:rFonts w:ascii="Calibri" w:eastAsia="Times New Roman" w:hAnsi="Calibri"/>
                <w:b/>
                <w:bCs/>
                <w:color w:val="000000"/>
                <w:sz w:val="18"/>
                <w:szCs w:val="18"/>
                <w:lang w:val="fr-FR"/>
              </w:rPr>
            </w:pPr>
          </w:p>
          <w:p w:rsidR="00BD6481" w:rsidRPr="00BD6481" w:rsidRDefault="00BD6481" w:rsidP="00C700DD">
            <w:pPr>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Ce prix est basé sur la base de 1 mois d’enrôlement et n’inclut pas la mise en œuvre.</w:t>
            </w:r>
          </w:p>
        </w:tc>
        <w:tc>
          <w:tcPr>
            <w:tcW w:w="960" w:type="dxa"/>
            <w:noWrap/>
            <w:hideMark/>
          </w:tcPr>
          <w:p w:rsidR="00BD6481" w:rsidRPr="00A37FD5" w:rsidRDefault="00BD6481" w:rsidP="00C700DD">
            <w:pPr>
              <w:rPr>
                <w:rFonts w:ascii="Calibri" w:eastAsia="Times New Roman" w:hAnsi="Calibri"/>
                <w:b/>
                <w:bCs/>
                <w:color w:val="000000"/>
                <w:sz w:val="18"/>
                <w:szCs w:val="18"/>
              </w:rPr>
            </w:pPr>
            <w:r w:rsidRPr="00BD6481">
              <w:rPr>
                <w:rFonts w:ascii="Calibri" w:eastAsia="Times New Roman" w:hAnsi="Calibri"/>
                <w:color w:val="000000"/>
                <w:sz w:val="18"/>
                <w:szCs w:val="18"/>
                <w:lang w:val="fr-FR"/>
              </w:rPr>
              <w:t> </w:t>
            </w:r>
            <w:r w:rsidRPr="00A37FD5">
              <w:rPr>
                <w:rFonts w:ascii="Calibri" w:eastAsia="Times New Roman" w:hAnsi="Calibri"/>
                <w:color w:val="000000"/>
                <w:sz w:val="18"/>
                <w:szCs w:val="18"/>
              </w:rPr>
              <w:t xml:space="preserve">7 </w:t>
            </w:r>
            <w:proofErr w:type="spellStart"/>
            <w:r w:rsidRPr="00A37FD5">
              <w:rPr>
                <w:rFonts w:ascii="Calibri" w:eastAsia="Times New Roman" w:hAnsi="Calibri"/>
                <w:color w:val="000000"/>
                <w:sz w:val="18"/>
                <w:szCs w:val="18"/>
              </w:rPr>
              <w:t>mois</w:t>
            </w:r>
            <w:proofErr w:type="spellEnd"/>
          </w:p>
          <w:p w:rsidR="00BD6481" w:rsidRPr="00A37FD5" w:rsidRDefault="00BD6481" w:rsidP="00C700DD">
            <w:pPr>
              <w:rPr>
                <w:rFonts w:ascii="Calibri" w:eastAsia="Times New Roman" w:hAnsi="Calibri"/>
                <w:b/>
                <w:bCs/>
                <w:color w:val="000000"/>
                <w:sz w:val="18"/>
                <w:szCs w:val="18"/>
              </w:rPr>
            </w:pPr>
          </w:p>
          <w:p w:rsidR="00BD6481" w:rsidRPr="00A37FD5" w:rsidRDefault="00BD6481" w:rsidP="00C700DD">
            <w:pPr>
              <w:rPr>
                <w:rFonts w:ascii="Calibri" w:eastAsia="Times New Roman" w:hAnsi="Calibri"/>
                <w:b/>
                <w:bCs/>
                <w:color w:val="000000"/>
                <w:sz w:val="18"/>
                <w:szCs w:val="18"/>
              </w:rPr>
            </w:pPr>
            <w:proofErr w:type="spellStart"/>
            <w:r w:rsidRPr="00A37FD5">
              <w:rPr>
                <w:rFonts w:ascii="Calibri" w:eastAsia="Times New Roman" w:hAnsi="Calibri"/>
                <w:color w:val="000000"/>
                <w:sz w:val="18"/>
                <w:szCs w:val="18"/>
              </w:rPr>
              <w:t>ou</w:t>
            </w:r>
            <w:proofErr w:type="spellEnd"/>
            <w:r w:rsidRPr="00A37FD5">
              <w:rPr>
                <w:rFonts w:ascii="Calibri" w:eastAsia="Times New Roman" w:hAnsi="Calibri"/>
                <w:color w:val="000000"/>
                <w:sz w:val="18"/>
                <w:szCs w:val="18"/>
              </w:rPr>
              <w:t xml:space="preserve"> </w:t>
            </w:r>
          </w:p>
          <w:p w:rsidR="00BD6481" w:rsidRPr="00A37FD5" w:rsidRDefault="00BD6481" w:rsidP="00C700DD">
            <w:pPr>
              <w:rPr>
                <w:rFonts w:ascii="Calibri" w:eastAsia="Times New Roman" w:hAnsi="Calibri"/>
                <w:b/>
                <w:bCs/>
                <w:color w:val="000000"/>
                <w:sz w:val="18"/>
                <w:szCs w:val="18"/>
              </w:rPr>
            </w:pPr>
          </w:p>
          <w:p w:rsidR="00BD6481" w:rsidRPr="00A37FD5" w:rsidRDefault="00BD6481" w:rsidP="00C700DD">
            <w:pPr>
              <w:rPr>
                <w:rFonts w:ascii="Calibri" w:eastAsia="Times New Roman" w:hAnsi="Calibri"/>
                <w:b/>
                <w:bCs/>
                <w:color w:val="000000"/>
                <w:sz w:val="18"/>
                <w:szCs w:val="18"/>
              </w:rPr>
            </w:pPr>
            <w:r w:rsidRPr="00A37FD5">
              <w:rPr>
                <w:rFonts w:ascii="Calibri" w:eastAsia="Times New Roman" w:hAnsi="Calibri"/>
                <w:color w:val="000000"/>
                <w:sz w:val="18"/>
                <w:szCs w:val="18"/>
              </w:rPr>
              <w:t xml:space="preserve">4 </w:t>
            </w:r>
            <w:proofErr w:type="spellStart"/>
            <w:r w:rsidRPr="00A37FD5">
              <w:rPr>
                <w:rFonts w:ascii="Calibri" w:eastAsia="Times New Roman" w:hAnsi="Calibri"/>
                <w:color w:val="000000"/>
                <w:sz w:val="18"/>
                <w:szCs w:val="18"/>
              </w:rPr>
              <w:t>mois</w:t>
            </w:r>
            <w:proofErr w:type="spellEnd"/>
            <w:r>
              <w:rPr>
                <w:rStyle w:val="FootnoteReference"/>
                <w:rFonts w:ascii="Calibri" w:hAnsi="Calibri"/>
                <w:color w:val="000000"/>
                <w:sz w:val="18"/>
                <w:szCs w:val="18"/>
              </w:rPr>
              <w:footnoteReference w:id="8"/>
            </w:r>
          </w:p>
        </w:tc>
        <w:tc>
          <w:tcPr>
            <w:tcW w:w="3021" w:type="dxa"/>
            <w:noWrap/>
            <w:hideMark/>
          </w:tcPr>
          <w:p w:rsidR="00BD6481" w:rsidRPr="00BD6481" w:rsidRDefault="00BD6481" w:rsidP="00BD6481">
            <w:pPr>
              <w:pStyle w:val="ListParagraph"/>
              <w:numPr>
                <w:ilvl w:val="0"/>
                <w:numId w:val="1"/>
              </w:numPr>
              <w:ind w:left="206" w:hanging="180"/>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Les électeurs reçoivent une carte d’électeur plastifiée avec une photo qui permet l’identification visuelle au centre de vote, après consolidation des données</w:t>
            </w:r>
          </w:p>
          <w:p w:rsidR="00BD6481" w:rsidRPr="00BD6481" w:rsidRDefault="00BD6481" w:rsidP="00BD6481">
            <w:pPr>
              <w:pStyle w:val="ListParagraph"/>
              <w:numPr>
                <w:ilvl w:val="0"/>
                <w:numId w:val="1"/>
              </w:numPr>
              <w:ind w:left="206" w:hanging="180"/>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Il permet d’avoir la photo sur la liste d’affichage pour vérification de l’enrôlement</w:t>
            </w:r>
          </w:p>
          <w:p w:rsidR="00BD6481" w:rsidRPr="00BD6481" w:rsidRDefault="00BD6481" w:rsidP="00BD6481">
            <w:pPr>
              <w:pStyle w:val="ListParagraph"/>
              <w:numPr>
                <w:ilvl w:val="0"/>
                <w:numId w:val="1"/>
              </w:numPr>
              <w:ind w:left="206" w:hanging="180"/>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 xml:space="preserve">Cela permet d`avoir une base de données consolidée et des listes électorales informatisées pour l’affichage </w:t>
            </w:r>
          </w:p>
          <w:p w:rsidR="00BD6481" w:rsidRPr="00BD6481" w:rsidRDefault="00BD6481" w:rsidP="00BD6481">
            <w:pPr>
              <w:pStyle w:val="ListParagraph"/>
              <w:numPr>
                <w:ilvl w:val="0"/>
                <w:numId w:val="1"/>
              </w:numPr>
              <w:ind w:left="206" w:hanging="180"/>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Possibilité sur le long terme de passer à la biométrie</w:t>
            </w:r>
          </w:p>
        </w:tc>
        <w:tc>
          <w:tcPr>
            <w:tcW w:w="3489" w:type="dxa"/>
            <w:noWrap/>
            <w:hideMark/>
          </w:tcPr>
          <w:p w:rsidR="00BD6481" w:rsidRPr="00A37FD5" w:rsidRDefault="00BD6481" w:rsidP="00BD6481">
            <w:pPr>
              <w:pStyle w:val="ListParagraph"/>
              <w:numPr>
                <w:ilvl w:val="0"/>
                <w:numId w:val="1"/>
              </w:numPr>
              <w:ind w:left="146" w:hanging="146"/>
              <w:rPr>
                <w:rFonts w:ascii="Calibri" w:eastAsia="Times New Roman" w:hAnsi="Calibri"/>
                <w:b/>
                <w:bCs/>
                <w:color w:val="000000"/>
                <w:sz w:val="18"/>
                <w:szCs w:val="18"/>
              </w:rPr>
            </w:pPr>
            <w:r w:rsidRPr="00BD6481">
              <w:rPr>
                <w:rFonts w:ascii="Calibri" w:eastAsia="Times New Roman" w:hAnsi="Calibri"/>
                <w:color w:val="000000"/>
                <w:sz w:val="18"/>
                <w:szCs w:val="18"/>
                <w:lang w:val="fr-FR"/>
              </w:rPr>
              <w:t> </w:t>
            </w:r>
            <w:proofErr w:type="spellStart"/>
            <w:r w:rsidRPr="00A37FD5">
              <w:rPr>
                <w:rFonts w:ascii="Calibri" w:eastAsia="Times New Roman" w:hAnsi="Calibri"/>
                <w:color w:val="000000"/>
                <w:sz w:val="18"/>
                <w:szCs w:val="18"/>
              </w:rPr>
              <w:t>Déploiement</w:t>
            </w:r>
            <w:proofErr w:type="spellEnd"/>
            <w:r w:rsidRPr="00A37FD5">
              <w:rPr>
                <w:rFonts w:ascii="Calibri" w:eastAsia="Times New Roman" w:hAnsi="Calibri"/>
                <w:color w:val="000000"/>
                <w:sz w:val="18"/>
                <w:szCs w:val="18"/>
              </w:rPr>
              <w:t xml:space="preserve"> de </w:t>
            </w:r>
            <w:proofErr w:type="spellStart"/>
            <w:r w:rsidRPr="00A37FD5">
              <w:rPr>
                <w:rFonts w:ascii="Calibri" w:eastAsia="Times New Roman" w:hAnsi="Calibri"/>
                <w:color w:val="000000"/>
                <w:sz w:val="18"/>
                <w:szCs w:val="18"/>
              </w:rPr>
              <w:t>matériel</w:t>
            </w:r>
            <w:proofErr w:type="spellEnd"/>
            <w:r w:rsidRPr="00A37FD5">
              <w:rPr>
                <w:rFonts w:ascii="Calibri" w:eastAsia="Times New Roman" w:hAnsi="Calibri"/>
                <w:color w:val="000000"/>
                <w:sz w:val="18"/>
                <w:szCs w:val="18"/>
              </w:rPr>
              <w:t xml:space="preserve"> sensible</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Déploiement de générateur avec fuel ou panneau solaire pour chaque kit</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Besoin de 5 992  agents d’enrôlement</w:t>
            </w:r>
            <w:r>
              <w:rPr>
                <w:rStyle w:val="FootnoteReference"/>
                <w:rFonts w:ascii="Calibri" w:hAnsi="Calibri"/>
                <w:color w:val="000000"/>
                <w:sz w:val="18"/>
                <w:szCs w:val="18"/>
              </w:rPr>
              <w:footnoteReference w:id="9"/>
            </w:r>
            <w:r w:rsidRPr="00BD6481">
              <w:rPr>
                <w:rFonts w:ascii="Calibri" w:eastAsia="Times New Roman" w:hAnsi="Calibri"/>
                <w:color w:val="000000"/>
                <w:sz w:val="18"/>
                <w:szCs w:val="18"/>
                <w:lang w:val="fr-FR"/>
              </w:rPr>
              <w:t xml:space="preserve"> avec un niveau de connaissance informatique élevé  </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 xml:space="preserve">Besoin de formation très élevé pour les agents d’enrôlement </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Besoin d’assurer la sécurisation du matériel pendant l’opération de prise de données sur le terrain</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r w:rsidRPr="00BD6481">
              <w:rPr>
                <w:rFonts w:ascii="Calibri" w:eastAsia="Times New Roman" w:hAnsi="Calibri"/>
                <w:color w:val="000000"/>
                <w:sz w:val="18"/>
                <w:szCs w:val="18"/>
                <w:lang w:val="fr-FR"/>
              </w:rPr>
              <w:t>Coût élevé de maintenance et remplacement régulier du matériel informatique</w:t>
            </w:r>
          </w:p>
          <w:p w:rsidR="00BD6481" w:rsidRPr="00BD6481" w:rsidRDefault="00BD6481" w:rsidP="00BD6481">
            <w:pPr>
              <w:pStyle w:val="ListParagraph"/>
              <w:numPr>
                <w:ilvl w:val="0"/>
                <w:numId w:val="1"/>
              </w:numPr>
              <w:ind w:left="146" w:hanging="146"/>
              <w:rPr>
                <w:rFonts w:ascii="Calibri" w:eastAsia="Times New Roman" w:hAnsi="Calibri"/>
                <w:b/>
                <w:bCs/>
                <w:color w:val="000000"/>
                <w:sz w:val="18"/>
                <w:szCs w:val="18"/>
                <w:lang w:val="fr-FR"/>
              </w:rPr>
            </w:pPr>
          </w:p>
        </w:tc>
      </w:tr>
      <w:tr w:rsidR="00BD6481" w:rsidRPr="00BD6481" w:rsidTr="00C700DD">
        <w:trPr>
          <w:trHeight w:val="4130"/>
        </w:trPr>
        <w:tc>
          <w:tcPr>
            <w:tcW w:w="1465" w:type="dxa"/>
            <w:noWrap/>
            <w:textDirection w:val="btLr"/>
            <w:hideMark/>
          </w:tcPr>
          <w:p w:rsidR="00BD6481" w:rsidRPr="00BD6481" w:rsidRDefault="00BD6481" w:rsidP="00C700DD">
            <w:pPr>
              <w:ind w:left="113" w:right="113"/>
              <w:jc w:val="right"/>
              <w:rPr>
                <w:rFonts w:ascii="Calibri" w:eastAsia="Times New Roman" w:hAnsi="Calibri"/>
                <w:b/>
                <w:color w:val="000000"/>
                <w:lang w:val="fr-FR"/>
              </w:rPr>
            </w:pPr>
            <w:r w:rsidRPr="00BD6481">
              <w:rPr>
                <w:rFonts w:ascii="Calibri" w:eastAsia="Times New Roman" w:hAnsi="Calibri"/>
                <w:b/>
                <w:color w:val="000000"/>
                <w:lang w:val="fr-FR"/>
              </w:rPr>
              <w:lastRenderedPageBreak/>
              <w:t>Biométrie photo et emprunte digitale</w:t>
            </w:r>
          </w:p>
        </w:tc>
        <w:tc>
          <w:tcPr>
            <w:tcW w:w="2963" w:type="dxa"/>
            <w:noWrap/>
            <w:hideMark/>
          </w:tcPr>
          <w:p w:rsidR="00BD6481" w:rsidRPr="00BD6481" w:rsidRDefault="00BD6481" w:rsidP="00BD6481">
            <w:pPr>
              <w:pStyle w:val="ListParagraph"/>
              <w:numPr>
                <w:ilvl w:val="0"/>
                <w:numId w:val="1"/>
              </w:numPr>
              <w:ind w:left="165" w:hanging="165"/>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Inscription informatisée avec prise de photographie et d’empreinte biométrique</w:t>
            </w:r>
          </w:p>
          <w:p w:rsidR="00BD6481" w:rsidRPr="00BD6481" w:rsidRDefault="00BD6481" w:rsidP="00BD6481">
            <w:pPr>
              <w:pStyle w:val="ListParagraph"/>
              <w:numPr>
                <w:ilvl w:val="0"/>
                <w:numId w:val="1"/>
              </w:numPr>
              <w:ind w:left="165" w:hanging="165"/>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Kit : ordinateur avec logiciel pour inscription de données alphanumériques, photographie et capteur d’empreintes biométriques, plus générateur avec fuel ou bien panneau solaire</w:t>
            </w:r>
          </w:p>
          <w:p w:rsidR="00BD6481" w:rsidRPr="00BD6481" w:rsidRDefault="00BD6481" w:rsidP="00BD6481">
            <w:pPr>
              <w:pStyle w:val="ListParagraph"/>
              <w:numPr>
                <w:ilvl w:val="0"/>
                <w:numId w:val="1"/>
              </w:numPr>
              <w:ind w:left="165" w:hanging="165"/>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Consolidation au Centre National Informatique de Traitement des Données</w:t>
            </w:r>
          </w:p>
          <w:p w:rsidR="00BD6481" w:rsidRPr="00BD6481" w:rsidRDefault="00BD6481" w:rsidP="00BD6481">
            <w:pPr>
              <w:pStyle w:val="ListParagraph"/>
              <w:numPr>
                <w:ilvl w:val="0"/>
                <w:numId w:val="1"/>
              </w:numPr>
              <w:ind w:left="165" w:hanging="165"/>
              <w:rPr>
                <w:rFonts w:ascii="Calibri" w:eastAsia="Times New Roman" w:hAnsi="Calibri"/>
                <w:color w:val="000000"/>
                <w:sz w:val="18"/>
                <w:szCs w:val="18"/>
                <w:lang w:val="fr-FR"/>
              </w:rPr>
            </w:pPr>
            <w:proofErr w:type="spellStart"/>
            <w:r w:rsidRPr="00BD6481">
              <w:rPr>
                <w:rFonts w:ascii="Calibri" w:eastAsia="Times New Roman" w:hAnsi="Calibri"/>
                <w:color w:val="000000"/>
                <w:sz w:val="18"/>
                <w:szCs w:val="18"/>
                <w:lang w:val="fr-FR"/>
              </w:rPr>
              <w:t>Dédoublonnage</w:t>
            </w:r>
            <w:proofErr w:type="spellEnd"/>
            <w:r w:rsidRPr="00BD6481">
              <w:rPr>
                <w:rFonts w:ascii="Calibri" w:eastAsia="Times New Roman" w:hAnsi="Calibri"/>
                <w:color w:val="000000"/>
                <w:sz w:val="18"/>
                <w:szCs w:val="18"/>
                <w:lang w:val="fr-FR"/>
              </w:rPr>
              <w:t xml:space="preserve"> en utilisant les empreintes digitales biométriques</w:t>
            </w:r>
          </w:p>
          <w:p w:rsidR="00BD6481" w:rsidRPr="00BD6481" w:rsidRDefault="00BD6481" w:rsidP="00C700DD">
            <w:pPr>
              <w:pStyle w:val="ListParagraph"/>
              <w:ind w:left="165"/>
              <w:rPr>
                <w:rFonts w:ascii="Calibri" w:eastAsia="Times New Roman" w:hAnsi="Calibri"/>
                <w:color w:val="000000"/>
                <w:sz w:val="18"/>
                <w:szCs w:val="18"/>
                <w:lang w:val="fr-FR"/>
              </w:rPr>
            </w:pPr>
          </w:p>
        </w:tc>
        <w:tc>
          <w:tcPr>
            <w:tcW w:w="1620" w:type="dxa"/>
            <w:noWrap/>
            <w:hideMark/>
          </w:tcPr>
          <w:p w:rsidR="00BD6481" w:rsidRPr="00BD6481" w:rsidRDefault="00BD6481" w:rsidP="00C700DD">
            <w:pPr>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 22, 199,219 USD</w:t>
            </w:r>
            <w:r w:rsidRPr="00C03644">
              <w:rPr>
                <w:rStyle w:val="FootnoteReference"/>
                <w:rFonts w:ascii="Calibri" w:hAnsi="Calibri"/>
                <w:color w:val="000000"/>
                <w:sz w:val="18"/>
                <w:szCs w:val="18"/>
              </w:rPr>
              <w:footnoteReference w:id="10"/>
            </w:r>
          </w:p>
          <w:p w:rsidR="00BD6481" w:rsidRPr="00BD6481" w:rsidRDefault="00BD6481" w:rsidP="00C700DD">
            <w:pPr>
              <w:rPr>
                <w:rFonts w:ascii="Calibri" w:eastAsia="Times New Roman" w:hAnsi="Calibri"/>
                <w:color w:val="000000"/>
                <w:sz w:val="18"/>
                <w:szCs w:val="18"/>
                <w:lang w:val="fr-FR"/>
              </w:rPr>
            </w:pPr>
          </w:p>
          <w:p w:rsidR="00BD6481" w:rsidRPr="00BD6481" w:rsidRDefault="00BD6481" w:rsidP="00C700DD">
            <w:pPr>
              <w:rPr>
                <w:rFonts w:ascii="Calibri" w:eastAsia="Times New Roman" w:hAnsi="Calibri"/>
                <w:color w:val="000000"/>
                <w:sz w:val="18"/>
                <w:szCs w:val="18"/>
                <w:lang w:val="fr-FR"/>
              </w:rPr>
            </w:pPr>
            <w:r w:rsidRPr="00BD6481">
              <w:rPr>
                <w:rFonts w:ascii="Calibri" w:eastAsia="Times New Roman" w:hAnsi="Calibri"/>
                <w:i/>
                <w:color w:val="000000"/>
                <w:sz w:val="18"/>
                <w:szCs w:val="18"/>
                <w:lang w:val="fr-FR"/>
              </w:rPr>
              <w:t>Ce prix est basé sur la base de 1 mois d’enrôlement et n’inclut pas la mise en œuvre.</w:t>
            </w:r>
          </w:p>
        </w:tc>
        <w:tc>
          <w:tcPr>
            <w:tcW w:w="960" w:type="dxa"/>
            <w:noWrap/>
            <w:hideMark/>
          </w:tcPr>
          <w:p w:rsidR="00BD6481" w:rsidRDefault="00BD6481" w:rsidP="00C700DD">
            <w:pPr>
              <w:rPr>
                <w:rFonts w:ascii="Calibri" w:eastAsia="Times New Roman" w:hAnsi="Calibri"/>
                <w:color w:val="000000"/>
                <w:sz w:val="18"/>
                <w:szCs w:val="18"/>
              </w:rPr>
            </w:pPr>
            <w:r w:rsidRPr="00BD6481">
              <w:rPr>
                <w:rFonts w:ascii="Calibri" w:eastAsia="Times New Roman" w:hAnsi="Calibri"/>
                <w:color w:val="000000"/>
                <w:sz w:val="18"/>
                <w:szCs w:val="18"/>
                <w:lang w:val="fr-FR"/>
              </w:rPr>
              <w:t> </w:t>
            </w:r>
            <w:r>
              <w:rPr>
                <w:rFonts w:ascii="Calibri" w:eastAsia="Times New Roman" w:hAnsi="Calibri"/>
                <w:color w:val="000000"/>
                <w:sz w:val="18"/>
                <w:szCs w:val="18"/>
              </w:rPr>
              <w:t xml:space="preserve">7 </w:t>
            </w:r>
            <w:proofErr w:type="spellStart"/>
            <w:r>
              <w:rPr>
                <w:rFonts w:ascii="Calibri" w:eastAsia="Times New Roman" w:hAnsi="Calibri"/>
                <w:color w:val="000000"/>
                <w:sz w:val="18"/>
                <w:szCs w:val="18"/>
              </w:rPr>
              <w:t>mois</w:t>
            </w:r>
            <w:proofErr w:type="spellEnd"/>
          </w:p>
          <w:p w:rsidR="00BD6481" w:rsidRDefault="00BD6481" w:rsidP="00C700DD">
            <w:pPr>
              <w:rPr>
                <w:rFonts w:ascii="Calibri" w:eastAsia="Times New Roman" w:hAnsi="Calibri"/>
                <w:color w:val="000000"/>
                <w:sz w:val="18"/>
                <w:szCs w:val="18"/>
              </w:rPr>
            </w:pPr>
          </w:p>
          <w:p w:rsidR="00BD6481" w:rsidRPr="00874C74" w:rsidRDefault="00BD6481" w:rsidP="00C700DD">
            <w:pPr>
              <w:rPr>
                <w:rFonts w:ascii="Calibri" w:eastAsia="Times New Roman" w:hAnsi="Calibri"/>
                <w:color w:val="000000"/>
                <w:sz w:val="16"/>
                <w:szCs w:val="16"/>
              </w:rPr>
            </w:pPr>
            <w:proofErr w:type="spellStart"/>
            <w:r w:rsidRPr="00874C74">
              <w:rPr>
                <w:rFonts w:ascii="Calibri" w:eastAsia="Times New Roman" w:hAnsi="Calibri"/>
                <w:color w:val="000000"/>
                <w:sz w:val="16"/>
                <w:szCs w:val="16"/>
              </w:rPr>
              <w:t>ou</w:t>
            </w:r>
            <w:proofErr w:type="spellEnd"/>
            <w:r w:rsidRPr="00874C74">
              <w:rPr>
                <w:rFonts w:ascii="Calibri" w:eastAsia="Times New Roman" w:hAnsi="Calibri"/>
                <w:color w:val="000000"/>
                <w:sz w:val="16"/>
                <w:szCs w:val="16"/>
              </w:rPr>
              <w:t xml:space="preserve"> </w:t>
            </w:r>
          </w:p>
          <w:p w:rsidR="00BD6481" w:rsidRDefault="00BD6481" w:rsidP="00C700DD">
            <w:pPr>
              <w:rPr>
                <w:rFonts w:ascii="Calibri" w:eastAsia="Times New Roman" w:hAnsi="Calibri"/>
                <w:color w:val="000000"/>
                <w:sz w:val="18"/>
                <w:szCs w:val="18"/>
              </w:rPr>
            </w:pPr>
          </w:p>
          <w:p w:rsidR="00BD6481" w:rsidRPr="00EF229E" w:rsidRDefault="00BD6481" w:rsidP="00C700DD">
            <w:pPr>
              <w:rPr>
                <w:rFonts w:ascii="Calibri" w:eastAsia="Times New Roman" w:hAnsi="Calibri"/>
                <w:color w:val="000000"/>
                <w:sz w:val="18"/>
                <w:szCs w:val="18"/>
              </w:rPr>
            </w:pPr>
            <w:r>
              <w:rPr>
                <w:rFonts w:ascii="Calibri" w:eastAsia="Times New Roman" w:hAnsi="Calibri"/>
                <w:color w:val="000000"/>
                <w:sz w:val="18"/>
                <w:szCs w:val="18"/>
              </w:rPr>
              <w:t xml:space="preserve">4 </w:t>
            </w:r>
            <w:proofErr w:type="spellStart"/>
            <w:r>
              <w:rPr>
                <w:rFonts w:ascii="Calibri" w:eastAsia="Times New Roman" w:hAnsi="Calibri"/>
                <w:color w:val="000000"/>
                <w:sz w:val="18"/>
                <w:szCs w:val="18"/>
              </w:rPr>
              <w:t>mois</w:t>
            </w:r>
            <w:proofErr w:type="spellEnd"/>
            <w:r>
              <w:rPr>
                <w:rStyle w:val="FootnoteReference"/>
                <w:rFonts w:ascii="Calibri" w:hAnsi="Calibri"/>
                <w:color w:val="000000"/>
                <w:sz w:val="18"/>
                <w:szCs w:val="18"/>
              </w:rPr>
              <w:footnoteReference w:id="11"/>
            </w:r>
          </w:p>
        </w:tc>
        <w:tc>
          <w:tcPr>
            <w:tcW w:w="3021" w:type="dxa"/>
            <w:noWrap/>
            <w:hideMark/>
          </w:tcPr>
          <w:p w:rsidR="00BD6481" w:rsidRPr="00BD6481" w:rsidRDefault="00BD6481" w:rsidP="00BD6481">
            <w:pPr>
              <w:pStyle w:val="ListParagraph"/>
              <w:numPr>
                <w:ilvl w:val="0"/>
                <w:numId w:val="1"/>
              </w:numPr>
              <w:ind w:left="206" w:hanging="180"/>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Les électeurs reçoivent une carte d’électeur plastifiée avec une photo qui permet l’identification visuelle au centre de vote, après consolidation des données.</w:t>
            </w:r>
          </w:p>
          <w:p w:rsidR="00BD6481" w:rsidRPr="00BD6481" w:rsidRDefault="00BD6481" w:rsidP="00BD6481">
            <w:pPr>
              <w:pStyle w:val="ListParagraph"/>
              <w:numPr>
                <w:ilvl w:val="0"/>
                <w:numId w:val="1"/>
              </w:numPr>
              <w:ind w:left="206" w:hanging="180"/>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Il permet d’avoir la photo sur la liste d’affichage pour vérification de l’enrôlement</w:t>
            </w:r>
          </w:p>
          <w:p w:rsidR="00BD6481" w:rsidRPr="00BD6481" w:rsidRDefault="00BD6481" w:rsidP="00BD6481">
            <w:pPr>
              <w:pStyle w:val="ListParagraph"/>
              <w:numPr>
                <w:ilvl w:val="0"/>
                <w:numId w:val="1"/>
              </w:numPr>
              <w:ind w:left="206" w:hanging="180"/>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Cela permet d`avoir une base de données consolidée et des listes électorales informatisées pour l’affichage</w:t>
            </w:r>
          </w:p>
          <w:p w:rsidR="00BD6481" w:rsidRPr="00BD6481" w:rsidRDefault="00BD6481" w:rsidP="00BD6481">
            <w:pPr>
              <w:pStyle w:val="ListParagraph"/>
              <w:numPr>
                <w:ilvl w:val="0"/>
                <w:numId w:val="1"/>
              </w:numPr>
              <w:ind w:left="206" w:hanging="180"/>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Permet d’identifier les inscriptions multiples avec les fonctionnalités biométriques</w:t>
            </w:r>
          </w:p>
          <w:p w:rsidR="00BD6481" w:rsidRPr="00BD6481" w:rsidRDefault="00BD6481" w:rsidP="00C700DD">
            <w:pPr>
              <w:rPr>
                <w:rFonts w:ascii="Calibri" w:eastAsia="Times New Roman" w:hAnsi="Calibri"/>
                <w:color w:val="000000"/>
                <w:sz w:val="18"/>
                <w:szCs w:val="18"/>
                <w:lang w:val="fr-FR"/>
              </w:rPr>
            </w:pPr>
          </w:p>
        </w:tc>
        <w:tc>
          <w:tcPr>
            <w:tcW w:w="3489" w:type="dxa"/>
            <w:noWrap/>
            <w:hideMark/>
          </w:tcPr>
          <w:p w:rsidR="00BD6481" w:rsidRDefault="00BD6481" w:rsidP="00BD6481">
            <w:pPr>
              <w:pStyle w:val="ListParagraph"/>
              <w:numPr>
                <w:ilvl w:val="0"/>
                <w:numId w:val="1"/>
              </w:numPr>
              <w:ind w:left="146" w:hanging="146"/>
              <w:rPr>
                <w:rFonts w:ascii="Calibri" w:eastAsia="Times New Roman" w:hAnsi="Calibri"/>
                <w:color w:val="000000"/>
                <w:sz w:val="18"/>
                <w:szCs w:val="18"/>
              </w:rPr>
            </w:pPr>
            <w:proofErr w:type="spellStart"/>
            <w:r w:rsidRPr="00F73CD0">
              <w:rPr>
                <w:rFonts w:ascii="Calibri" w:eastAsia="Times New Roman" w:hAnsi="Calibri"/>
                <w:color w:val="000000"/>
                <w:sz w:val="18"/>
                <w:szCs w:val="18"/>
              </w:rPr>
              <w:t>Déploiement</w:t>
            </w:r>
            <w:proofErr w:type="spellEnd"/>
            <w:r w:rsidRPr="00F73CD0">
              <w:rPr>
                <w:rFonts w:ascii="Calibri" w:eastAsia="Times New Roman" w:hAnsi="Calibri"/>
                <w:color w:val="000000"/>
                <w:sz w:val="18"/>
                <w:szCs w:val="18"/>
              </w:rPr>
              <w:t xml:space="preserve"> de </w:t>
            </w:r>
            <w:proofErr w:type="spellStart"/>
            <w:r w:rsidRPr="00F73CD0">
              <w:rPr>
                <w:rFonts w:ascii="Calibri" w:eastAsia="Times New Roman" w:hAnsi="Calibri"/>
                <w:color w:val="000000"/>
                <w:sz w:val="18"/>
                <w:szCs w:val="18"/>
              </w:rPr>
              <w:t>matériel</w:t>
            </w:r>
            <w:proofErr w:type="spellEnd"/>
            <w:r w:rsidRPr="00F73CD0">
              <w:rPr>
                <w:rFonts w:ascii="Calibri" w:eastAsia="Times New Roman" w:hAnsi="Calibri"/>
                <w:color w:val="000000"/>
                <w:sz w:val="18"/>
                <w:szCs w:val="18"/>
              </w:rPr>
              <w:t xml:space="preserve"> sensible</w:t>
            </w:r>
          </w:p>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Déploiement de générateur avec fuel ou panneau solaire pour chaque kit</w:t>
            </w:r>
          </w:p>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Besoin de 5 992  agents d’enrôlement</w:t>
            </w:r>
            <w:r>
              <w:rPr>
                <w:rStyle w:val="FootnoteReference"/>
                <w:rFonts w:ascii="Calibri" w:hAnsi="Calibri"/>
                <w:color w:val="000000"/>
                <w:sz w:val="18"/>
                <w:szCs w:val="18"/>
              </w:rPr>
              <w:footnoteReference w:id="12"/>
            </w:r>
            <w:r w:rsidRPr="00BD6481">
              <w:rPr>
                <w:rFonts w:ascii="Calibri" w:eastAsia="Times New Roman" w:hAnsi="Calibri"/>
                <w:color w:val="000000"/>
                <w:sz w:val="18"/>
                <w:szCs w:val="18"/>
                <w:lang w:val="fr-FR"/>
              </w:rPr>
              <w:t xml:space="preserve"> avec un niveau de connaissance informatique élevée  - difficultés en ressources humaines</w:t>
            </w:r>
          </w:p>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 xml:space="preserve">Besoin de formation très élevée pour les agents d’enrôlement </w:t>
            </w:r>
          </w:p>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Nécessité de sécurisation du matériel pendant l’opération de prise de données sur le terrain</w:t>
            </w:r>
          </w:p>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L’identification des inscriptions multiples sera effective sous réserve que les empreintes soient de qualité suffisante ; difficulté accrue pour les populations travaillant de leurs mains. .</w:t>
            </w:r>
          </w:p>
        </w:tc>
      </w:tr>
    </w:tbl>
    <w:p w:rsidR="001D1561" w:rsidRDefault="001D1561" w:rsidP="00D21AFD">
      <w:pPr>
        <w:rPr>
          <w:lang w:val="fr-FR"/>
        </w:rPr>
      </w:pPr>
    </w:p>
    <w:p w:rsidR="00BD6481" w:rsidRDefault="00BD6481" w:rsidP="00D21AFD">
      <w:pPr>
        <w:rPr>
          <w:lang w:val="fr-FR"/>
        </w:rPr>
      </w:pPr>
    </w:p>
    <w:p w:rsidR="00BD6481" w:rsidRDefault="00BD6481" w:rsidP="00D21AFD">
      <w:pPr>
        <w:rPr>
          <w:lang w:val="fr-FR"/>
        </w:rPr>
      </w:pPr>
    </w:p>
    <w:tbl>
      <w:tblPr>
        <w:tblStyle w:val="TableGrid"/>
        <w:tblpPr w:leftFromText="180" w:rightFromText="180" w:vertAnchor="text" w:horzAnchor="margin" w:tblpY="21"/>
        <w:tblW w:w="13518" w:type="dxa"/>
        <w:tblLook w:val="04A0"/>
      </w:tblPr>
      <w:tblGrid>
        <w:gridCol w:w="1465"/>
        <w:gridCol w:w="2963"/>
        <w:gridCol w:w="1620"/>
        <w:gridCol w:w="960"/>
        <w:gridCol w:w="3021"/>
        <w:gridCol w:w="3489"/>
      </w:tblGrid>
      <w:tr w:rsidR="00BD6481" w:rsidRPr="00BD6481" w:rsidTr="00C700DD">
        <w:trPr>
          <w:trHeight w:val="4130"/>
        </w:trPr>
        <w:tc>
          <w:tcPr>
            <w:tcW w:w="1465" w:type="dxa"/>
            <w:noWrap/>
            <w:textDirection w:val="btLr"/>
            <w:hideMark/>
          </w:tcPr>
          <w:p w:rsidR="00BD6481" w:rsidRDefault="00BD6481" w:rsidP="00C700DD">
            <w:pPr>
              <w:ind w:left="113" w:right="113"/>
              <w:jc w:val="right"/>
              <w:rPr>
                <w:rFonts w:ascii="Calibri" w:eastAsia="Times New Roman" w:hAnsi="Calibri"/>
                <w:b/>
                <w:color w:val="000000"/>
                <w:lang w:val="fr-FR"/>
              </w:rPr>
            </w:pPr>
            <w:r w:rsidRPr="00BD6481">
              <w:rPr>
                <w:rFonts w:ascii="Calibri" w:eastAsia="Times New Roman" w:hAnsi="Calibri"/>
                <w:b/>
                <w:color w:val="000000"/>
                <w:lang w:val="fr-FR"/>
              </w:rPr>
              <w:t>Biométrie photo et empreinte digitale</w:t>
            </w:r>
          </w:p>
          <w:p w:rsidR="00BD6481" w:rsidRPr="00BD6481" w:rsidRDefault="00BD6481" w:rsidP="00C700DD">
            <w:pPr>
              <w:ind w:left="113" w:right="113"/>
              <w:jc w:val="right"/>
              <w:rPr>
                <w:rFonts w:ascii="Calibri" w:eastAsia="Times New Roman" w:hAnsi="Calibri"/>
                <w:b/>
                <w:color w:val="000000"/>
                <w:sz w:val="18"/>
                <w:szCs w:val="18"/>
                <w:lang w:val="fr-FR"/>
              </w:rPr>
            </w:pPr>
            <w:r w:rsidRPr="00BD6481">
              <w:rPr>
                <w:rFonts w:ascii="Calibri" w:eastAsia="Times New Roman" w:hAnsi="Calibri"/>
                <w:b/>
                <w:color w:val="000000"/>
                <w:sz w:val="18"/>
                <w:szCs w:val="18"/>
                <w:lang w:val="fr-FR"/>
              </w:rPr>
              <w:t xml:space="preserve"> (suite et fin)</w:t>
            </w:r>
          </w:p>
        </w:tc>
        <w:tc>
          <w:tcPr>
            <w:tcW w:w="2963" w:type="dxa"/>
            <w:noWrap/>
            <w:hideMark/>
          </w:tcPr>
          <w:p w:rsidR="00BD6481" w:rsidRPr="00BD6481" w:rsidRDefault="00BD6481" w:rsidP="00C700DD">
            <w:pPr>
              <w:pStyle w:val="ListParagraph"/>
              <w:ind w:left="165"/>
              <w:rPr>
                <w:rFonts w:ascii="Calibri" w:eastAsia="Times New Roman" w:hAnsi="Calibri"/>
                <w:color w:val="000000"/>
                <w:sz w:val="18"/>
                <w:szCs w:val="18"/>
                <w:lang w:val="fr-FR"/>
              </w:rPr>
            </w:pPr>
          </w:p>
          <w:p w:rsidR="00BD6481" w:rsidRPr="00BD6481" w:rsidRDefault="00BD6481" w:rsidP="00C700DD">
            <w:pPr>
              <w:pStyle w:val="ListParagraph"/>
              <w:ind w:left="165"/>
              <w:rPr>
                <w:rFonts w:ascii="Calibri" w:eastAsia="Times New Roman" w:hAnsi="Calibri"/>
                <w:color w:val="000000"/>
                <w:sz w:val="18"/>
                <w:szCs w:val="18"/>
                <w:lang w:val="fr-FR"/>
              </w:rPr>
            </w:pPr>
          </w:p>
        </w:tc>
        <w:tc>
          <w:tcPr>
            <w:tcW w:w="1620" w:type="dxa"/>
            <w:noWrap/>
            <w:hideMark/>
          </w:tcPr>
          <w:p w:rsidR="00BD6481" w:rsidRPr="00BD6481" w:rsidRDefault="00BD6481" w:rsidP="00C700DD">
            <w:pPr>
              <w:rPr>
                <w:rFonts w:ascii="Calibri" w:eastAsia="Times New Roman" w:hAnsi="Calibri"/>
                <w:color w:val="000000"/>
                <w:sz w:val="18"/>
                <w:szCs w:val="18"/>
                <w:lang w:val="fr-FR"/>
              </w:rPr>
            </w:pPr>
          </w:p>
        </w:tc>
        <w:tc>
          <w:tcPr>
            <w:tcW w:w="960" w:type="dxa"/>
            <w:noWrap/>
            <w:hideMark/>
          </w:tcPr>
          <w:p w:rsidR="00BD6481" w:rsidRPr="00BD6481" w:rsidRDefault="00BD6481" w:rsidP="00C700DD">
            <w:pPr>
              <w:rPr>
                <w:rFonts w:ascii="Calibri" w:eastAsia="Times New Roman" w:hAnsi="Calibri"/>
                <w:color w:val="000000"/>
                <w:sz w:val="18"/>
                <w:szCs w:val="18"/>
                <w:lang w:val="fr-FR"/>
              </w:rPr>
            </w:pPr>
          </w:p>
        </w:tc>
        <w:tc>
          <w:tcPr>
            <w:tcW w:w="3021" w:type="dxa"/>
            <w:noWrap/>
            <w:hideMark/>
          </w:tcPr>
          <w:p w:rsidR="00BD6481" w:rsidRPr="00BD6481" w:rsidRDefault="00BD6481" w:rsidP="00C700DD">
            <w:pPr>
              <w:rPr>
                <w:rFonts w:ascii="Calibri" w:eastAsia="Times New Roman" w:hAnsi="Calibri"/>
                <w:color w:val="000000"/>
                <w:sz w:val="18"/>
                <w:szCs w:val="18"/>
                <w:lang w:val="fr-FR"/>
              </w:rPr>
            </w:pPr>
          </w:p>
        </w:tc>
        <w:tc>
          <w:tcPr>
            <w:tcW w:w="3489" w:type="dxa"/>
            <w:noWrap/>
            <w:hideMark/>
          </w:tcPr>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 L’identification des inscriptions multiples sous réserve que l’on ait le temps de collecter l’ensemble des données et de les étudier (temps machine et temps humain pour le croisement)</w:t>
            </w:r>
          </w:p>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proofErr w:type="spellStart"/>
            <w:r w:rsidRPr="00BD6481">
              <w:rPr>
                <w:rFonts w:ascii="Calibri" w:eastAsia="Times New Roman" w:hAnsi="Calibri"/>
                <w:color w:val="000000"/>
                <w:sz w:val="18"/>
                <w:szCs w:val="18"/>
                <w:lang w:val="fr-FR"/>
              </w:rPr>
              <w:t>Dédoublonnage</w:t>
            </w:r>
            <w:proofErr w:type="spellEnd"/>
            <w:r w:rsidRPr="00BD6481">
              <w:rPr>
                <w:rFonts w:ascii="Calibri" w:eastAsia="Times New Roman" w:hAnsi="Calibri"/>
                <w:color w:val="000000"/>
                <w:sz w:val="18"/>
                <w:szCs w:val="18"/>
                <w:lang w:val="fr-FR"/>
              </w:rPr>
              <w:t xml:space="preserve"> souvent escamoté en période électorale</w:t>
            </w:r>
          </w:p>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 xml:space="preserve">Coût élevé de maintenance et nécessité de remplacement régulier du matériel informatique et de réinscription des données biométriques </w:t>
            </w:r>
          </w:p>
          <w:p w:rsidR="00BD6481" w:rsidRPr="00BD6481" w:rsidRDefault="00BD6481" w:rsidP="00BD6481">
            <w:pPr>
              <w:pStyle w:val="ListParagraph"/>
              <w:numPr>
                <w:ilvl w:val="0"/>
                <w:numId w:val="1"/>
              </w:numPr>
              <w:ind w:left="146" w:hanging="146"/>
              <w:rPr>
                <w:rFonts w:ascii="Calibri" w:eastAsia="Times New Roman" w:hAnsi="Calibri"/>
                <w:color w:val="000000"/>
                <w:sz w:val="18"/>
                <w:szCs w:val="18"/>
                <w:lang w:val="fr-FR"/>
              </w:rPr>
            </w:pPr>
            <w:r w:rsidRPr="00BD6481">
              <w:rPr>
                <w:rFonts w:ascii="Calibri" w:eastAsia="Times New Roman" w:hAnsi="Calibri"/>
                <w:color w:val="000000"/>
                <w:sz w:val="18"/>
                <w:szCs w:val="18"/>
                <w:lang w:val="fr-FR"/>
              </w:rPr>
              <w:t>Sécurisation des données personnelles des citoyens à garantir</w:t>
            </w:r>
          </w:p>
        </w:tc>
      </w:tr>
    </w:tbl>
    <w:p w:rsidR="00BD6481" w:rsidRPr="00B56519" w:rsidRDefault="00BD6481" w:rsidP="00D21AFD">
      <w:pPr>
        <w:rPr>
          <w:lang w:val="fr-FR"/>
        </w:rPr>
      </w:pPr>
    </w:p>
    <w:sectPr w:rsidR="00BD6481" w:rsidRPr="00B56519" w:rsidSect="00EF229E">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F6A" w:rsidRDefault="00C00F6A" w:rsidP="006C08F1">
      <w:pPr>
        <w:spacing w:after="0" w:line="240" w:lineRule="auto"/>
      </w:pPr>
      <w:r>
        <w:separator/>
      </w:r>
    </w:p>
  </w:endnote>
  <w:endnote w:type="continuationSeparator" w:id="0">
    <w:p w:rsidR="00C00F6A" w:rsidRDefault="00C00F6A" w:rsidP="006C0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F6A" w:rsidRDefault="00C00F6A" w:rsidP="006C08F1">
      <w:pPr>
        <w:spacing w:after="0" w:line="240" w:lineRule="auto"/>
      </w:pPr>
      <w:r>
        <w:separator/>
      </w:r>
    </w:p>
  </w:footnote>
  <w:footnote w:type="continuationSeparator" w:id="0">
    <w:p w:rsidR="00C00F6A" w:rsidRDefault="00C00F6A" w:rsidP="006C08F1">
      <w:pPr>
        <w:spacing w:after="0" w:line="240" w:lineRule="auto"/>
      </w:pPr>
      <w:r>
        <w:continuationSeparator/>
      </w:r>
    </w:p>
  </w:footnote>
  <w:footnote w:id="1">
    <w:p w:rsidR="00BD6481" w:rsidRPr="00BD6481" w:rsidRDefault="00BD6481" w:rsidP="00BD6481">
      <w:pPr>
        <w:pStyle w:val="FootnoteText"/>
        <w:rPr>
          <w:sz w:val="16"/>
          <w:szCs w:val="16"/>
          <w:lang w:val="fr-FR"/>
        </w:rPr>
      </w:pPr>
      <w:r w:rsidRPr="00BD6481">
        <w:rPr>
          <w:rStyle w:val="FootnoteReference"/>
          <w:sz w:val="16"/>
          <w:szCs w:val="16"/>
        </w:rPr>
        <w:footnoteRef/>
      </w:r>
      <w:r w:rsidRPr="00BD6481">
        <w:rPr>
          <w:sz w:val="16"/>
          <w:szCs w:val="16"/>
          <w:lang w:val="fr-FR"/>
        </w:rPr>
        <w:t xml:space="preserve"> </w:t>
      </w:r>
      <w:r w:rsidRPr="00BD6481">
        <w:rPr>
          <w:b/>
          <w:sz w:val="16"/>
          <w:szCs w:val="16"/>
          <w:lang w:val="fr-FR"/>
        </w:rPr>
        <w:t>Le nombre de kits photo et kits biométriques est estimé comme suit</w:t>
      </w:r>
      <w:r w:rsidRPr="00BD6481">
        <w:rPr>
          <w:sz w:val="16"/>
          <w:szCs w:val="16"/>
          <w:lang w:val="fr-FR"/>
        </w:rPr>
        <w:t xml:space="preserve"> : Avec un enrôlement de </w:t>
      </w:r>
      <w:r w:rsidRPr="00BD6481">
        <w:rPr>
          <w:b/>
          <w:sz w:val="16"/>
          <w:szCs w:val="16"/>
          <w:lang w:val="fr-FR"/>
        </w:rPr>
        <w:t>un mois</w:t>
      </w:r>
      <w:r w:rsidRPr="00BD6481">
        <w:rPr>
          <w:sz w:val="16"/>
          <w:szCs w:val="16"/>
          <w:lang w:val="fr-FR"/>
        </w:rPr>
        <w:t xml:space="preserve"> sur le terrain pour 2.5 millions d’électeurs estimés, tenant en compte 20 minutes pour enrôler chaque électeur, et donc 24 électeurs enrôlés par kit par jour, pour un total de 5,210 kits. </w:t>
      </w:r>
    </w:p>
    <w:p w:rsidR="00BD6481" w:rsidRPr="00BD6481" w:rsidRDefault="00BD6481" w:rsidP="00BD6481">
      <w:pPr>
        <w:pStyle w:val="FootnoteText"/>
        <w:rPr>
          <w:sz w:val="16"/>
          <w:szCs w:val="16"/>
          <w:lang w:val="fr-FR"/>
        </w:rPr>
      </w:pPr>
    </w:p>
  </w:footnote>
  <w:footnote w:id="2">
    <w:p w:rsidR="00BD6481" w:rsidRPr="00BD6481" w:rsidRDefault="00BD6481" w:rsidP="00BD6481">
      <w:pPr>
        <w:pStyle w:val="FootnoteText"/>
        <w:rPr>
          <w:sz w:val="16"/>
          <w:szCs w:val="16"/>
          <w:lang w:val="fr-FR"/>
        </w:rPr>
      </w:pPr>
      <w:r w:rsidRPr="00BD6481">
        <w:rPr>
          <w:rStyle w:val="FootnoteReference"/>
          <w:sz w:val="16"/>
          <w:szCs w:val="16"/>
        </w:rPr>
        <w:footnoteRef/>
      </w:r>
      <w:r w:rsidRPr="00BD6481">
        <w:rPr>
          <w:sz w:val="16"/>
          <w:szCs w:val="16"/>
          <w:lang w:val="fr-FR"/>
        </w:rPr>
        <w:t xml:space="preserve"> </w:t>
      </w:r>
      <w:r w:rsidRPr="00BD6481">
        <w:rPr>
          <w:b/>
          <w:sz w:val="16"/>
          <w:szCs w:val="16"/>
          <w:lang w:val="fr-FR"/>
        </w:rPr>
        <w:t>La durée estimée</w:t>
      </w:r>
      <w:r w:rsidRPr="00BD6481">
        <w:rPr>
          <w:sz w:val="16"/>
          <w:szCs w:val="16"/>
          <w:lang w:val="fr-FR"/>
        </w:rPr>
        <w:t xml:space="preserve"> est considérée à partir du moment où la décision politique sur la méthodologie d’enrôlement est prise et les spécifications techniques sont clairement finalisées et signées par l’A.N.E, jusqu'à l’arrivée du matériel à Bangui. </w:t>
      </w:r>
    </w:p>
    <w:p w:rsidR="00BD6481" w:rsidRPr="00BD6481" w:rsidRDefault="00BD6481" w:rsidP="00BD6481">
      <w:pPr>
        <w:pStyle w:val="FootnoteText"/>
        <w:rPr>
          <w:sz w:val="16"/>
          <w:szCs w:val="16"/>
          <w:lang w:val="fr-FR"/>
        </w:rPr>
      </w:pPr>
    </w:p>
  </w:footnote>
  <w:footnote w:id="3">
    <w:p w:rsidR="00BD6481" w:rsidRPr="00BD6481" w:rsidRDefault="00BD6481" w:rsidP="00BD6481">
      <w:pPr>
        <w:pStyle w:val="FootnoteText"/>
        <w:rPr>
          <w:sz w:val="16"/>
          <w:szCs w:val="16"/>
          <w:lang w:val="fr-FR"/>
        </w:rPr>
      </w:pPr>
      <w:r w:rsidRPr="00BD6481">
        <w:rPr>
          <w:rStyle w:val="FootnoteReference"/>
          <w:sz w:val="16"/>
          <w:szCs w:val="16"/>
        </w:rPr>
        <w:footnoteRef/>
      </w:r>
      <w:r w:rsidRPr="00BD6481">
        <w:rPr>
          <w:sz w:val="16"/>
          <w:szCs w:val="16"/>
          <w:lang w:val="fr-FR"/>
        </w:rPr>
        <w:t xml:space="preserve"> </w:t>
      </w:r>
      <w:r w:rsidRPr="00BD6481">
        <w:rPr>
          <w:b/>
          <w:sz w:val="16"/>
          <w:szCs w:val="16"/>
          <w:lang w:val="fr-FR"/>
        </w:rPr>
        <w:t>Le matériel pour la méthodologie manuelle inclut</w:t>
      </w:r>
      <w:r w:rsidRPr="00BD6481">
        <w:rPr>
          <w:sz w:val="16"/>
          <w:szCs w:val="16"/>
          <w:lang w:val="fr-FR"/>
        </w:rPr>
        <w:t xml:space="preserve"> : kit de matériel de bureau (crayon, papier, etc.), formulaires en papier carbone,  2.5 millions de cartes d’électeurs. </w:t>
      </w:r>
    </w:p>
  </w:footnote>
  <w:footnote w:id="4">
    <w:p w:rsidR="00BD6481" w:rsidRPr="00BD6481" w:rsidRDefault="00BD6481" w:rsidP="00BD6481">
      <w:pPr>
        <w:pStyle w:val="FootnoteText"/>
        <w:rPr>
          <w:sz w:val="16"/>
          <w:szCs w:val="16"/>
          <w:lang w:val="fr-FR"/>
        </w:rPr>
      </w:pPr>
      <w:r w:rsidRPr="00BD6481">
        <w:rPr>
          <w:rStyle w:val="FootnoteReference"/>
          <w:sz w:val="16"/>
          <w:szCs w:val="16"/>
        </w:rPr>
        <w:footnoteRef/>
      </w:r>
      <w:r w:rsidRPr="00BD6481">
        <w:rPr>
          <w:sz w:val="16"/>
          <w:szCs w:val="16"/>
          <w:lang w:val="fr-FR"/>
        </w:rPr>
        <w:t xml:space="preserve"> </w:t>
      </w:r>
      <w:r w:rsidRPr="00BD6481">
        <w:rPr>
          <w:b/>
          <w:sz w:val="16"/>
          <w:szCs w:val="16"/>
          <w:lang w:val="fr-FR"/>
        </w:rPr>
        <w:t>Le matériel pour la méthodologie informatisée inclut</w:t>
      </w:r>
      <w:r w:rsidRPr="00BD6481">
        <w:rPr>
          <w:sz w:val="16"/>
          <w:szCs w:val="16"/>
          <w:lang w:val="fr-FR"/>
        </w:rPr>
        <w:t xml:space="preserve"> : kit de matériel de bureau (crayon, papier, etc.), formulaires OMR,  2.5 millions de cartes d’électeurs, matériel pour le Centre National de Traitement des Données avec des machines OMR (OMR scanners, ordinateurs, serveurs, UPS, logiciels et licences, imprimantes, réseaux, etc.), ainsi que l’installation </w:t>
      </w:r>
      <w:r w:rsidRPr="00BD6481">
        <w:rPr>
          <w:rFonts w:ascii="Calibri" w:eastAsia="Times New Roman" w:hAnsi="Calibri"/>
          <w:color w:val="000000"/>
          <w:sz w:val="16"/>
          <w:szCs w:val="16"/>
          <w:lang w:val="fr-FR"/>
        </w:rPr>
        <w:t>à</w:t>
      </w:r>
      <w:r w:rsidRPr="00BD6481">
        <w:rPr>
          <w:sz w:val="16"/>
          <w:szCs w:val="16"/>
          <w:lang w:val="fr-FR"/>
        </w:rPr>
        <w:t xml:space="preserve"> Bangui par le fournisseur et la formation du personnel technique de l’A.N.E.</w:t>
      </w:r>
    </w:p>
  </w:footnote>
  <w:footnote w:id="5">
    <w:p w:rsidR="00BD6481" w:rsidRDefault="00BD6481" w:rsidP="00BD6481">
      <w:pPr>
        <w:pStyle w:val="FootnoteText"/>
        <w:rPr>
          <w:sz w:val="16"/>
          <w:szCs w:val="16"/>
          <w:lang w:val="fr-FR"/>
        </w:rPr>
      </w:pPr>
      <w:r w:rsidRPr="00BD6481">
        <w:rPr>
          <w:rStyle w:val="FootnoteReference"/>
          <w:sz w:val="16"/>
          <w:szCs w:val="16"/>
        </w:rPr>
        <w:footnoteRef/>
      </w:r>
      <w:r w:rsidRPr="00BD6481">
        <w:rPr>
          <w:sz w:val="16"/>
          <w:szCs w:val="16"/>
          <w:lang w:val="fr-FR"/>
        </w:rPr>
        <w:t xml:space="preserve"> </w:t>
      </w:r>
      <w:r w:rsidRPr="00BD6481">
        <w:rPr>
          <w:b/>
          <w:sz w:val="16"/>
          <w:szCs w:val="16"/>
          <w:lang w:val="fr-FR"/>
        </w:rPr>
        <w:t>Le matériel pour la méthodologie informatisée inclut</w:t>
      </w:r>
      <w:r w:rsidRPr="00BD6481">
        <w:rPr>
          <w:sz w:val="16"/>
          <w:szCs w:val="16"/>
          <w:lang w:val="fr-FR"/>
        </w:rPr>
        <w:t xml:space="preserve"> : kit de matériel de bureau (crayon, papier, etc.), formulaires OMR,  2.5 millions de cartes d’électeurs, matériel pour le Centre National de Traitement des Données avec des machines OMR (OMR scanners, ordinateurs, serveurs, UPS, logiciels et licences, imprimantes, réseaux, etc.), des kits camera (appareil photo, logiciel de prise de photo, kit de maintenance, panneau solaire etc.), ainsi que l’installation </w:t>
      </w:r>
      <w:r w:rsidRPr="00BD6481">
        <w:rPr>
          <w:rFonts w:ascii="Calibri" w:eastAsia="Times New Roman" w:hAnsi="Calibri"/>
          <w:color w:val="000000"/>
          <w:sz w:val="16"/>
          <w:szCs w:val="16"/>
          <w:lang w:val="fr-FR"/>
        </w:rPr>
        <w:t>à</w:t>
      </w:r>
      <w:r w:rsidRPr="00BD6481">
        <w:rPr>
          <w:sz w:val="16"/>
          <w:szCs w:val="16"/>
          <w:lang w:val="fr-FR"/>
        </w:rPr>
        <w:t xml:space="preserve"> Bangui par le fournisseur et la formation du personnel technique de l’A.N.E.</w:t>
      </w:r>
    </w:p>
    <w:p w:rsidR="00BD6481" w:rsidRPr="00BD6481" w:rsidRDefault="00BD6481" w:rsidP="00BD6481">
      <w:pPr>
        <w:pStyle w:val="FootnoteText"/>
        <w:rPr>
          <w:sz w:val="16"/>
          <w:szCs w:val="16"/>
          <w:lang w:val="fr-FR"/>
        </w:rPr>
      </w:pPr>
    </w:p>
  </w:footnote>
  <w:footnote w:id="6">
    <w:p w:rsidR="00BD6481" w:rsidRDefault="00BD6481" w:rsidP="00BD6481">
      <w:pPr>
        <w:pStyle w:val="FootnoteText"/>
        <w:rPr>
          <w:sz w:val="16"/>
          <w:szCs w:val="16"/>
        </w:rPr>
      </w:pPr>
      <w:r w:rsidRPr="00BD6481">
        <w:rPr>
          <w:rStyle w:val="FootnoteReference"/>
          <w:sz w:val="16"/>
          <w:szCs w:val="16"/>
        </w:rPr>
        <w:footnoteRef/>
      </w:r>
      <w:r w:rsidRPr="00BD6481">
        <w:rPr>
          <w:sz w:val="16"/>
          <w:szCs w:val="16"/>
          <w:lang w:val="fr-FR"/>
        </w:rPr>
        <w:t xml:space="preserve"> Une durée minimale de 4 mois nécessaire</w:t>
      </w:r>
      <w:r w:rsidRPr="00BD6481" w:rsidDel="00E84D3C">
        <w:rPr>
          <w:sz w:val="16"/>
          <w:szCs w:val="16"/>
          <w:lang w:val="fr-FR"/>
        </w:rPr>
        <w:t xml:space="preserve"> </w:t>
      </w:r>
      <w:r w:rsidRPr="00BD6481">
        <w:rPr>
          <w:sz w:val="16"/>
          <w:szCs w:val="16"/>
          <w:lang w:val="fr-FR"/>
        </w:rPr>
        <w:t>pour s’assurer que la solution fournie est adaptée aux besoins de la République centrafricaine.</w:t>
      </w:r>
      <w:r w:rsidRPr="00BD6481">
        <w:rPr>
          <w:b/>
          <w:sz w:val="16"/>
          <w:szCs w:val="16"/>
          <w:lang w:val="fr-FR"/>
        </w:rPr>
        <w:t xml:space="preserve"> Le temps consacré au processus d’achat lui-même est estimé à 2 – 2.5 mois</w:t>
      </w:r>
      <w:r w:rsidRPr="00BD6481">
        <w:rPr>
          <w:sz w:val="16"/>
          <w:szCs w:val="16"/>
          <w:lang w:val="fr-FR"/>
        </w:rPr>
        <w:t xml:space="preserve">. Cependant, la production, la personnalisation et l’assurance qualité, elles, demandent beaucoup de temps. Une livraison du matériel à Bangui avant cela peut éventuellement être envisagée dans le cadre d’un processus d’achats accélérés. </w:t>
      </w:r>
      <w:proofErr w:type="spellStart"/>
      <w:r w:rsidRPr="00BD6481">
        <w:rPr>
          <w:sz w:val="16"/>
          <w:szCs w:val="16"/>
        </w:rPr>
        <w:t>Néanmoins</w:t>
      </w:r>
      <w:proofErr w:type="spellEnd"/>
      <w:r w:rsidRPr="00BD6481">
        <w:rPr>
          <w:sz w:val="16"/>
          <w:szCs w:val="16"/>
        </w:rPr>
        <w:t xml:space="preserve">, les </w:t>
      </w:r>
      <w:proofErr w:type="spellStart"/>
      <w:r w:rsidRPr="00BD6481">
        <w:rPr>
          <w:sz w:val="16"/>
          <w:szCs w:val="16"/>
        </w:rPr>
        <w:t>risques</w:t>
      </w:r>
      <w:proofErr w:type="spellEnd"/>
      <w:r w:rsidRPr="00BD6481">
        <w:rPr>
          <w:sz w:val="16"/>
          <w:szCs w:val="16"/>
        </w:rPr>
        <w:t xml:space="preserve"> </w:t>
      </w:r>
      <w:proofErr w:type="spellStart"/>
      <w:r w:rsidRPr="00BD6481">
        <w:rPr>
          <w:sz w:val="16"/>
          <w:szCs w:val="16"/>
        </w:rPr>
        <w:t>suivants</w:t>
      </w:r>
      <w:proofErr w:type="spellEnd"/>
      <w:r w:rsidRPr="00BD6481">
        <w:rPr>
          <w:sz w:val="16"/>
          <w:szCs w:val="16"/>
        </w:rPr>
        <w:t xml:space="preserve"> en </w:t>
      </w:r>
      <w:proofErr w:type="spellStart"/>
      <w:r w:rsidRPr="00BD6481">
        <w:rPr>
          <w:sz w:val="16"/>
          <w:szCs w:val="16"/>
        </w:rPr>
        <w:t>découlent</w:t>
      </w:r>
      <w:proofErr w:type="spellEnd"/>
      <w:r w:rsidRPr="00BD6481">
        <w:rPr>
          <w:sz w:val="16"/>
          <w:szCs w:val="16"/>
        </w:rPr>
        <w:t xml:space="preserve">: </w:t>
      </w:r>
    </w:p>
    <w:p w:rsidR="00BD6481" w:rsidRPr="00BD6481" w:rsidRDefault="00BD6481" w:rsidP="00BD6481">
      <w:pPr>
        <w:pStyle w:val="FootnoteText"/>
        <w:rPr>
          <w:sz w:val="16"/>
          <w:szCs w:val="16"/>
        </w:rPr>
      </w:pPr>
    </w:p>
    <w:p w:rsidR="00BD6481" w:rsidRPr="00BD6481" w:rsidRDefault="00BD6481" w:rsidP="00BD6481">
      <w:pPr>
        <w:pStyle w:val="FootnoteText"/>
        <w:numPr>
          <w:ilvl w:val="0"/>
          <w:numId w:val="4"/>
        </w:numPr>
        <w:rPr>
          <w:sz w:val="16"/>
          <w:szCs w:val="16"/>
          <w:lang w:val="fr-FR"/>
        </w:rPr>
      </w:pPr>
      <w:r w:rsidRPr="00BD6481">
        <w:rPr>
          <w:sz w:val="16"/>
          <w:szCs w:val="16"/>
          <w:u w:val="single"/>
          <w:lang w:val="fr-FR"/>
        </w:rPr>
        <w:t>De préparation</w:t>
      </w:r>
      <w:r w:rsidRPr="00BD6481">
        <w:rPr>
          <w:sz w:val="16"/>
          <w:szCs w:val="16"/>
          <w:lang w:val="fr-FR"/>
        </w:rPr>
        <w:t>: Cela signifie que l´A.N.E est complètement préparée pour l´ appel d´offre au niveau des capacités de mise en œuvre (recrutement de tous les experts requis : un expert en Biométrique, un responsable des opérations, un logisticien, etc.) et le cahier des charges complètement finalisé (spécifications, méthode d´enrôlement, etc.).</w:t>
      </w:r>
    </w:p>
    <w:p w:rsidR="00BD6481" w:rsidRPr="00BD6481" w:rsidRDefault="00BD6481" w:rsidP="00BD6481">
      <w:pPr>
        <w:pStyle w:val="FootnoteText"/>
        <w:numPr>
          <w:ilvl w:val="0"/>
          <w:numId w:val="4"/>
        </w:numPr>
        <w:rPr>
          <w:sz w:val="16"/>
          <w:szCs w:val="16"/>
          <w:lang w:val="fr-FR"/>
        </w:rPr>
      </w:pPr>
      <w:r w:rsidRPr="00BD6481">
        <w:rPr>
          <w:sz w:val="16"/>
          <w:szCs w:val="16"/>
          <w:u w:val="single"/>
          <w:lang w:val="fr-FR"/>
        </w:rPr>
        <w:t>Délais et impacts financiers</w:t>
      </w:r>
      <w:r w:rsidRPr="00BD6481">
        <w:rPr>
          <w:sz w:val="16"/>
          <w:szCs w:val="16"/>
          <w:lang w:val="fr-FR"/>
        </w:rPr>
        <w:t>: Le temps consacre à la personnalisation du kit et du logiciel, et aux tests des kits prototypes/échantillons soumis par les fournisseurs en Centrafrique pour vérifier le bon fonctionnement seront supprimés.  Cela accroit le risque de retards dans les opérations, et donc de hausse des coûts pour y remédier.</w:t>
      </w:r>
    </w:p>
    <w:p w:rsidR="00BD6481" w:rsidRPr="00BD6481" w:rsidRDefault="00BD6481" w:rsidP="00BD6481">
      <w:pPr>
        <w:pStyle w:val="FootnoteText"/>
        <w:numPr>
          <w:ilvl w:val="0"/>
          <w:numId w:val="4"/>
        </w:numPr>
        <w:rPr>
          <w:sz w:val="16"/>
          <w:szCs w:val="16"/>
          <w:lang w:val="fr-FR"/>
        </w:rPr>
      </w:pPr>
      <w:r w:rsidRPr="00BD6481">
        <w:rPr>
          <w:sz w:val="16"/>
          <w:szCs w:val="16"/>
          <w:u w:val="single"/>
          <w:lang w:val="fr-FR"/>
        </w:rPr>
        <w:t>Qualité</w:t>
      </w:r>
      <w:r w:rsidRPr="00BD6481">
        <w:rPr>
          <w:sz w:val="16"/>
          <w:szCs w:val="16"/>
          <w:lang w:val="fr-FR"/>
        </w:rPr>
        <w:t>: Un risque accru de rencontrer des problèmes techniques lors de la mise en œuvre liés au processus de contrôle qualité, surtout en ce qui concerne les logiciels et l’intégration d’équipement sensible.</w:t>
      </w:r>
    </w:p>
    <w:p w:rsidR="00BD6481" w:rsidRPr="00BD6481" w:rsidRDefault="00BD6481" w:rsidP="00BD6481">
      <w:pPr>
        <w:pStyle w:val="FootnoteText"/>
        <w:numPr>
          <w:ilvl w:val="0"/>
          <w:numId w:val="4"/>
        </w:numPr>
        <w:rPr>
          <w:sz w:val="16"/>
          <w:szCs w:val="16"/>
          <w:lang w:val="fr-FR"/>
        </w:rPr>
      </w:pPr>
      <w:r w:rsidRPr="00BD6481">
        <w:rPr>
          <w:sz w:val="16"/>
          <w:szCs w:val="16"/>
          <w:u w:val="single"/>
          <w:lang w:val="fr-FR"/>
        </w:rPr>
        <w:t>Rupture de la chaine logistique</w:t>
      </w:r>
      <w:r w:rsidRPr="00BD6481">
        <w:rPr>
          <w:sz w:val="16"/>
          <w:szCs w:val="16"/>
          <w:lang w:val="fr-FR"/>
        </w:rPr>
        <w:t> : La capacité des fournisseurs à produire et livrer un nombre important de kits biométriques sur une courte durée reste à confirmer.</w:t>
      </w:r>
    </w:p>
  </w:footnote>
  <w:footnote w:id="7">
    <w:p w:rsidR="00BD6481" w:rsidRPr="00BD6481" w:rsidRDefault="00BD6481" w:rsidP="00BD6481">
      <w:pPr>
        <w:pStyle w:val="FootnoteText"/>
        <w:rPr>
          <w:sz w:val="16"/>
          <w:szCs w:val="16"/>
          <w:lang w:val="fr-FR"/>
        </w:rPr>
      </w:pPr>
      <w:r w:rsidRPr="00BD6481">
        <w:rPr>
          <w:rStyle w:val="FootnoteReference"/>
          <w:sz w:val="16"/>
          <w:szCs w:val="16"/>
        </w:rPr>
        <w:footnoteRef/>
      </w:r>
      <w:r w:rsidRPr="00BD6481">
        <w:rPr>
          <w:sz w:val="16"/>
          <w:szCs w:val="16"/>
          <w:lang w:val="fr-FR"/>
        </w:rPr>
        <w:t xml:space="preserve"> </w:t>
      </w:r>
      <w:r w:rsidRPr="00BD6481">
        <w:rPr>
          <w:b/>
          <w:sz w:val="16"/>
          <w:szCs w:val="16"/>
          <w:lang w:val="fr-FR"/>
        </w:rPr>
        <w:t>Le matériel pour la méthodologie kit ordinateur inclut</w:t>
      </w:r>
      <w:r w:rsidRPr="00BD6481">
        <w:rPr>
          <w:sz w:val="16"/>
          <w:szCs w:val="16"/>
          <w:lang w:val="fr-FR"/>
        </w:rPr>
        <w:t xml:space="preserve"> : kit de matériel de bureau (crayon, papier, etc.), formulaires,  5,210 kits ordinateurs, logiciel de capture de données avec licence logiciel, 2.5 millions de cartes d’électeurs, matériel pour le Centre National Informatique de Traitement des Données (ordinateurs, serveurs, UPS, logiciel de consolidation des données avec licence logiciel, imprimantes, réseaux, etc.), l’installation à Bangui par le fournisseur et formation du personnel technique de l’ ANE à Bangui. Cela inclus le support technique du fournisseur pendant le mois de collecte de données sur le terrain. Ce coût est hors déploiement, formation des agents d’enrôlement et mise en œuvre.</w:t>
      </w:r>
    </w:p>
    <w:p w:rsidR="00BD6481" w:rsidRPr="00BD6481" w:rsidRDefault="00BD6481" w:rsidP="00BD6481">
      <w:pPr>
        <w:pStyle w:val="FootnoteText"/>
        <w:rPr>
          <w:sz w:val="16"/>
          <w:szCs w:val="16"/>
          <w:lang w:val="fr-FR"/>
        </w:rPr>
      </w:pPr>
    </w:p>
  </w:footnote>
  <w:footnote w:id="8">
    <w:p w:rsidR="00BD6481" w:rsidRDefault="00BD6481" w:rsidP="00BD6481">
      <w:pPr>
        <w:pStyle w:val="FootnoteText"/>
        <w:rPr>
          <w:sz w:val="16"/>
          <w:szCs w:val="16"/>
        </w:rPr>
      </w:pPr>
      <w:r w:rsidRPr="00BD6481">
        <w:rPr>
          <w:rStyle w:val="FootnoteReference"/>
          <w:sz w:val="16"/>
          <w:szCs w:val="16"/>
        </w:rPr>
        <w:footnoteRef/>
      </w:r>
      <w:r w:rsidRPr="00BD6481">
        <w:rPr>
          <w:sz w:val="16"/>
          <w:szCs w:val="16"/>
          <w:lang w:val="fr-FR"/>
        </w:rPr>
        <w:t xml:space="preserve"> Une durée minimale de 7 mois est nécessaire pour s’assurer que la solution fournie est adaptée aux besoins de la République centrafricaine.</w:t>
      </w:r>
      <w:r w:rsidRPr="00BD6481">
        <w:rPr>
          <w:b/>
          <w:sz w:val="16"/>
          <w:szCs w:val="16"/>
          <w:lang w:val="fr-FR"/>
        </w:rPr>
        <w:t xml:space="preserve"> Le temps consacré au processus d’achat lui-même est estimé à 2 – 2.5 mois</w:t>
      </w:r>
      <w:r w:rsidRPr="00BD6481">
        <w:rPr>
          <w:sz w:val="16"/>
          <w:szCs w:val="16"/>
          <w:lang w:val="fr-FR"/>
        </w:rPr>
        <w:t xml:space="preserve">. Cependant, la production, la personnalisation et l’assurance qualité, elles, demandent beaucoup de temps. Une livraison du matériel à Bangui avant cela peut éventuellement être envisagée dans le cadre d’un processus d’achats accélérés. </w:t>
      </w:r>
      <w:proofErr w:type="spellStart"/>
      <w:r w:rsidRPr="00BD6481">
        <w:rPr>
          <w:sz w:val="16"/>
          <w:szCs w:val="16"/>
        </w:rPr>
        <w:t>Néanmoins</w:t>
      </w:r>
      <w:proofErr w:type="spellEnd"/>
      <w:r w:rsidRPr="00BD6481">
        <w:rPr>
          <w:sz w:val="16"/>
          <w:szCs w:val="16"/>
        </w:rPr>
        <w:t xml:space="preserve">, les </w:t>
      </w:r>
      <w:proofErr w:type="spellStart"/>
      <w:r w:rsidRPr="00BD6481">
        <w:rPr>
          <w:sz w:val="16"/>
          <w:szCs w:val="16"/>
        </w:rPr>
        <w:t>risques</w:t>
      </w:r>
      <w:proofErr w:type="spellEnd"/>
      <w:r w:rsidRPr="00BD6481">
        <w:rPr>
          <w:sz w:val="16"/>
          <w:szCs w:val="16"/>
        </w:rPr>
        <w:t xml:space="preserve"> </w:t>
      </w:r>
      <w:proofErr w:type="spellStart"/>
      <w:r w:rsidRPr="00BD6481">
        <w:rPr>
          <w:sz w:val="16"/>
          <w:szCs w:val="16"/>
        </w:rPr>
        <w:t>suivants</w:t>
      </w:r>
      <w:proofErr w:type="spellEnd"/>
      <w:r w:rsidRPr="00BD6481">
        <w:rPr>
          <w:sz w:val="16"/>
          <w:szCs w:val="16"/>
        </w:rPr>
        <w:t xml:space="preserve"> en </w:t>
      </w:r>
      <w:proofErr w:type="spellStart"/>
      <w:r w:rsidRPr="00BD6481">
        <w:rPr>
          <w:sz w:val="16"/>
          <w:szCs w:val="16"/>
        </w:rPr>
        <w:t>découlent</w:t>
      </w:r>
      <w:proofErr w:type="spellEnd"/>
      <w:r w:rsidRPr="00BD6481">
        <w:rPr>
          <w:sz w:val="16"/>
          <w:szCs w:val="16"/>
        </w:rPr>
        <w:t xml:space="preserve">: </w:t>
      </w:r>
    </w:p>
    <w:p w:rsidR="00BD6481" w:rsidRPr="00BD6481" w:rsidRDefault="00BD6481" w:rsidP="00BD6481">
      <w:pPr>
        <w:pStyle w:val="FootnoteText"/>
        <w:rPr>
          <w:sz w:val="16"/>
          <w:szCs w:val="16"/>
        </w:rPr>
      </w:pPr>
    </w:p>
    <w:p w:rsidR="00BD6481" w:rsidRPr="00BD6481" w:rsidRDefault="00BD6481" w:rsidP="00BD6481">
      <w:pPr>
        <w:pStyle w:val="FootnoteText"/>
        <w:numPr>
          <w:ilvl w:val="0"/>
          <w:numId w:val="6"/>
        </w:numPr>
        <w:rPr>
          <w:sz w:val="16"/>
          <w:szCs w:val="16"/>
          <w:lang w:val="fr-FR"/>
        </w:rPr>
      </w:pPr>
      <w:r w:rsidRPr="00BD6481">
        <w:rPr>
          <w:sz w:val="16"/>
          <w:szCs w:val="16"/>
          <w:u w:val="single"/>
          <w:lang w:val="fr-FR"/>
        </w:rPr>
        <w:t>De préparation</w:t>
      </w:r>
      <w:r w:rsidRPr="00BD6481">
        <w:rPr>
          <w:sz w:val="16"/>
          <w:szCs w:val="16"/>
          <w:lang w:val="fr-FR"/>
        </w:rPr>
        <w:t>: Cela signifie que l´A.N.E est complètement préparée pour l´ appel d´offre au niveau des capacités de mise en œuvre (recrutement de tous les experts requis : un expert en Biométrique, un responsable des opérations, un logisticien, etc.) et le cahier des charges complètement finalisé (spécifications, méthode d´enrôlement, etc.).</w:t>
      </w:r>
    </w:p>
    <w:p w:rsidR="00BD6481" w:rsidRPr="00BD6481" w:rsidRDefault="00BD6481" w:rsidP="00BD6481">
      <w:pPr>
        <w:pStyle w:val="FootnoteText"/>
        <w:numPr>
          <w:ilvl w:val="0"/>
          <w:numId w:val="6"/>
        </w:numPr>
        <w:rPr>
          <w:sz w:val="16"/>
          <w:szCs w:val="16"/>
          <w:lang w:val="fr-FR"/>
        </w:rPr>
      </w:pPr>
      <w:r w:rsidRPr="00BD6481">
        <w:rPr>
          <w:sz w:val="16"/>
          <w:szCs w:val="16"/>
          <w:u w:val="single"/>
          <w:lang w:val="fr-FR"/>
        </w:rPr>
        <w:t>Délais et impacts financiers</w:t>
      </w:r>
      <w:r w:rsidRPr="00BD6481">
        <w:rPr>
          <w:sz w:val="16"/>
          <w:szCs w:val="16"/>
          <w:lang w:val="fr-FR"/>
        </w:rPr>
        <w:t>: Le temps consacre à la personnalisation du kit et du logiciel, et aux tests des kits prototypes/échantillons soumis par les fournisseurs en Centrafrique pour vérifier le bon fonctionnement seront supprimés.  Cela accroit le risque de retards dans les opérations, et donc de hausse des coûts pour y remédier.</w:t>
      </w:r>
    </w:p>
    <w:p w:rsidR="00BD6481" w:rsidRPr="00BD6481" w:rsidRDefault="00BD6481" w:rsidP="00BD6481">
      <w:pPr>
        <w:pStyle w:val="FootnoteText"/>
        <w:numPr>
          <w:ilvl w:val="0"/>
          <w:numId w:val="6"/>
        </w:numPr>
        <w:rPr>
          <w:sz w:val="16"/>
          <w:szCs w:val="16"/>
          <w:lang w:val="fr-FR"/>
        </w:rPr>
      </w:pPr>
      <w:r w:rsidRPr="00BD6481">
        <w:rPr>
          <w:sz w:val="16"/>
          <w:szCs w:val="16"/>
          <w:u w:val="single"/>
          <w:lang w:val="fr-FR"/>
        </w:rPr>
        <w:t>Qualité</w:t>
      </w:r>
      <w:r w:rsidRPr="00BD6481">
        <w:rPr>
          <w:sz w:val="16"/>
          <w:szCs w:val="16"/>
          <w:lang w:val="fr-FR"/>
        </w:rPr>
        <w:t>: Un risque accru de rencontrer des problèmes techniques lors de la mise en œuvre liés au processus de contrôle qualité, surtout en ce qui concerne les logiciels et l’intégration d’équipement sensible.</w:t>
      </w:r>
    </w:p>
    <w:p w:rsidR="00BD6481" w:rsidRPr="00BD6481" w:rsidRDefault="00BD6481" w:rsidP="00BD6481">
      <w:pPr>
        <w:pStyle w:val="FootnoteText"/>
        <w:numPr>
          <w:ilvl w:val="0"/>
          <w:numId w:val="6"/>
        </w:numPr>
        <w:rPr>
          <w:sz w:val="16"/>
          <w:szCs w:val="16"/>
          <w:lang w:val="fr-FR"/>
        </w:rPr>
      </w:pPr>
      <w:r w:rsidRPr="00BD6481">
        <w:rPr>
          <w:sz w:val="16"/>
          <w:szCs w:val="16"/>
          <w:u w:val="single"/>
          <w:lang w:val="fr-FR"/>
        </w:rPr>
        <w:t>Rupture de la chaine logistique</w:t>
      </w:r>
      <w:r w:rsidRPr="00BD6481">
        <w:rPr>
          <w:sz w:val="16"/>
          <w:szCs w:val="16"/>
          <w:lang w:val="fr-FR"/>
        </w:rPr>
        <w:t> : La capacité des fournisseurs à produire et livrer un nombre important de kits biométriques sur une courte durée reste à confirmer.</w:t>
      </w:r>
    </w:p>
    <w:p w:rsidR="00BD6481" w:rsidRPr="00BD6481" w:rsidRDefault="00BD6481" w:rsidP="00BD6481">
      <w:pPr>
        <w:pStyle w:val="FootnoteText"/>
        <w:rPr>
          <w:sz w:val="16"/>
          <w:szCs w:val="16"/>
          <w:lang w:val="fr-FR"/>
        </w:rPr>
      </w:pPr>
    </w:p>
  </w:footnote>
  <w:footnote w:id="9">
    <w:p w:rsidR="00BD6481" w:rsidRPr="00BD6481" w:rsidRDefault="00BD6481" w:rsidP="00BD6481">
      <w:pPr>
        <w:pStyle w:val="FootnoteText"/>
        <w:rPr>
          <w:sz w:val="16"/>
          <w:szCs w:val="16"/>
          <w:lang w:val="fr-FR"/>
        </w:rPr>
      </w:pPr>
      <w:r w:rsidRPr="00BD6481">
        <w:rPr>
          <w:rStyle w:val="FootnoteReference"/>
          <w:sz w:val="16"/>
          <w:szCs w:val="16"/>
        </w:rPr>
        <w:footnoteRef/>
      </w:r>
      <w:r w:rsidRPr="00BD6481">
        <w:rPr>
          <w:sz w:val="16"/>
          <w:szCs w:val="16"/>
          <w:lang w:val="fr-FR"/>
        </w:rPr>
        <w:t xml:space="preserve"> </w:t>
      </w:r>
      <w:r w:rsidRPr="00BD6481">
        <w:rPr>
          <w:b/>
          <w:sz w:val="16"/>
          <w:szCs w:val="16"/>
          <w:lang w:val="fr-FR"/>
        </w:rPr>
        <w:t>Le nombre d’agents d’enrôlement est estimé comme suit</w:t>
      </w:r>
      <w:r w:rsidRPr="00BD6481">
        <w:rPr>
          <w:sz w:val="16"/>
          <w:szCs w:val="16"/>
          <w:lang w:val="fr-FR"/>
        </w:rPr>
        <w:t xml:space="preserve">: un agent d’enrôlement par kit sera formé, plus 15% de réservistes pour les imprévus.  Cela signifie un total de 5,992 agents d’enrôlement. </w:t>
      </w:r>
    </w:p>
  </w:footnote>
  <w:footnote w:id="10">
    <w:p w:rsidR="00BD6481" w:rsidRPr="00BD6481" w:rsidRDefault="00BD6481" w:rsidP="00BD6481">
      <w:pPr>
        <w:pStyle w:val="FootnoteText"/>
        <w:jc w:val="both"/>
        <w:rPr>
          <w:sz w:val="16"/>
          <w:szCs w:val="16"/>
          <w:lang w:val="fr-FR"/>
        </w:rPr>
      </w:pPr>
      <w:r w:rsidRPr="00D329F5">
        <w:rPr>
          <w:rStyle w:val="FootnoteReference"/>
          <w:sz w:val="16"/>
          <w:szCs w:val="16"/>
        </w:rPr>
        <w:footnoteRef/>
      </w:r>
      <w:r w:rsidRPr="00BD6481">
        <w:rPr>
          <w:sz w:val="16"/>
          <w:szCs w:val="16"/>
          <w:lang w:val="fr-FR"/>
        </w:rPr>
        <w:t xml:space="preserve"> </w:t>
      </w:r>
      <w:r w:rsidRPr="00BD6481">
        <w:rPr>
          <w:b/>
          <w:sz w:val="16"/>
          <w:szCs w:val="16"/>
          <w:lang w:val="fr-FR"/>
        </w:rPr>
        <w:t>Le matériel pour la méthodologie biométrie photo et empreinte digitale inclut</w:t>
      </w:r>
      <w:r w:rsidRPr="00BD6481">
        <w:rPr>
          <w:sz w:val="16"/>
          <w:szCs w:val="16"/>
          <w:lang w:val="fr-FR"/>
        </w:rPr>
        <w:t xml:space="preserve"> : kit de matériel de bureau (crayon, papier, etc.), formulaires,  5,210 kits biométriques, logiciel de capture de données avec licence logiciel, 2.5 millions de cartes d’électeurs, matériel pour le Centre National Informatique de Traitement des Données (50 ordinateurs, 4 serveurs, UPS, logiciel de consolidation de données avec licence logiciel, logiciel de </w:t>
      </w:r>
      <w:proofErr w:type="spellStart"/>
      <w:r w:rsidRPr="00BD6481">
        <w:rPr>
          <w:sz w:val="16"/>
          <w:szCs w:val="16"/>
          <w:lang w:val="fr-FR"/>
        </w:rPr>
        <w:t>dédoublonnage</w:t>
      </w:r>
      <w:proofErr w:type="spellEnd"/>
      <w:r w:rsidRPr="00BD6481">
        <w:rPr>
          <w:sz w:val="16"/>
          <w:szCs w:val="16"/>
          <w:lang w:val="fr-FR"/>
        </w:rPr>
        <w:t xml:space="preserve"> AFIS avec licence, 5 imprimantes, réseaux, etc.), installation à Bangui par le fournisseur et formation du personnel technique de l’ ANE, plus support technique du fournisseur pendant le mois de collecte des données sur le terrain. Ce co</w:t>
      </w:r>
      <w:r w:rsidRPr="00BD6481">
        <w:rPr>
          <w:rFonts w:eastAsia="Times New Roman"/>
          <w:color w:val="000000"/>
          <w:sz w:val="16"/>
          <w:szCs w:val="16"/>
          <w:lang w:val="fr-FR"/>
        </w:rPr>
        <w:t>û</w:t>
      </w:r>
      <w:r w:rsidRPr="00BD6481">
        <w:rPr>
          <w:sz w:val="16"/>
          <w:szCs w:val="16"/>
          <w:lang w:val="fr-FR"/>
        </w:rPr>
        <w:t>t est hors déploiement, formation des agents d’enrôlement et mise en œuvre.</w:t>
      </w:r>
    </w:p>
    <w:p w:rsidR="00BD6481" w:rsidRPr="00BD6481" w:rsidRDefault="00BD6481" w:rsidP="00BD6481">
      <w:pPr>
        <w:pStyle w:val="FootnoteText"/>
        <w:jc w:val="both"/>
        <w:rPr>
          <w:sz w:val="16"/>
          <w:szCs w:val="16"/>
          <w:lang w:val="fr-FR"/>
        </w:rPr>
      </w:pPr>
    </w:p>
  </w:footnote>
  <w:footnote w:id="11">
    <w:p w:rsidR="00BD6481" w:rsidRDefault="00BD6481" w:rsidP="00BD6481">
      <w:pPr>
        <w:pStyle w:val="FootnoteText"/>
        <w:jc w:val="both"/>
        <w:rPr>
          <w:sz w:val="16"/>
          <w:szCs w:val="16"/>
        </w:rPr>
      </w:pPr>
      <w:r w:rsidRPr="00D329F5">
        <w:rPr>
          <w:rStyle w:val="FootnoteReference"/>
          <w:sz w:val="16"/>
          <w:szCs w:val="16"/>
        </w:rPr>
        <w:footnoteRef/>
      </w:r>
      <w:r w:rsidRPr="00BD6481">
        <w:rPr>
          <w:sz w:val="16"/>
          <w:szCs w:val="16"/>
          <w:lang w:val="fr-FR"/>
        </w:rPr>
        <w:t xml:space="preserve"> Une durée minimale de 7 mois est nécessaire</w:t>
      </w:r>
      <w:r w:rsidRPr="00BD6481" w:rsidDel="00E84D3C">
        <w:rPr>
          <w:sz w:val="16"/>
          <w:szCs w:val="16"/>
          <w:lang w:val="fr-FR"/>
        </w:rPr>
        <w:t xml:space="preserve"> </w:t>
      </w:r>
      <w:r w:rsidRPr="00BD6481">
        <w:rPr>
          <w:sz w:val="16"/>
          <w:szCs w:val="16"/>
          <w:lang w:val="fr-FR"/>
        </w:rPr>
        <w:t>pour s’assurer que la solution fournie est adaptée aux besoins de la République centrafricaine.</w:t>
      </w:r>
      <w:r w:rsidRPr="00BD6481">
        <w:rPr>
          <w:b/>
          <w:sz w:val="16"/>
          <w:szCs w:val="16"/>
          <w:lang w:val="fr-FR"/>
        </w:rPr>
        <w:t xml:space="preserve"> Le temps consacré au processus d’achat lui-même est estimé à 2 – 2.5 mois</w:t>
      </w:r>
      <w:r w:rsidRPr="00BD6481">
        <w:rPr>
          <w:sz w:val="16"/>
          <w:szCs w:val="16"/>
          <w:lang w:val="fr-FR"/>
        </w:rPr>
        <w:t xml:space="preserve">. Cependant, la production, la personnalisation et l’assurance qualité, elles, demandent beaucoup de temps. Une livraison du matériel à Bangui avant cela peut éventuellement être envisagée dans le cadre d’un processus d’achats accélérés. </w:t>
      </w:r>
      <w:proofErr w:type="spellStart"/>
      <w:r w:rsidRPr="00D329F5">
        <w:rPr>
          <w:sz w:val="16"/>
          <w:szCs w:val="16"/>
        </w:rPr>
        <w:t>Néanmoins</w:t>
      </w:r>
      <w:proofErr w:type="spellEnd"/>
      <w:r w:rsidRPr="00D329F5">
        <w:rPr>
          <w:sz w:val="16"/>
          <w:szCs w:val="16"/>
        </w:rPr>
        <w:t xml:space="preserve">, les </w:t>
      </w:r>
      <w:proofErr w:type="spellStart"/>
      <w:r w:rsidRPr="00D329F5">
        <w:rPr>
          <w:sz w:val="16"/>
          <w:szCs w:val="16"/>
        </w:rPr>
        <w:t>risques</w:t>
      </w:r>
      <w:proofErr w:type="spellEnd"/>
      <w:r w:rsidRPr="00D329F5">
        <w:rPr>
          <w:sz w:val="16"/>
          <w:szCs w:val="16"/>
        </w:rPr>
        <w:t xml:space="preserve"> </w:t>
      </w:r>
      <w:proofErr w:type="spellStart"/>
      <w:r w:rsidRPr="00D329F5">
        <w:rPr>
          <w:sz w:val="16"/>
          <w:szCs w:val="16"/>
        </w:rPr>
        <w:t>suivants</w:t>
      </w:r>
      <w:proofErr w:type="spellEnd"/>
      <w:r w:rsidRPr="00D329F5">
        <w:rPr>
          <w:sz w:val="16"/>
          <w:szCs w:val="16"/>
        </w:rPr>
        <w:t xml:space="preserve"> en </w:t>
      </w:r>
      <w:proofErr w:type="spellStart"/>
      <w:r w:rsidRPr="00D329F5">
        <w:rPr>
          <w:sz w:val="16"/>
          <w:szCs w:val="16"/>
        </w:rPr>
        <w:t>découlent</w:t>
      </w:r>
      <w:proofErr w:type="spellEnd"/>
      <w:r w:rsidRPr="00D329F5">
        <w:rPr>
          <w:sz w:val="16"/>
          <w:szCs w:val="16"/>
        </w:rPr>
        <w:t xml:space="preserve">: </w:t>
      </w:r>
    </w:p>
    <w:p w:rsidR="00BD6481" w:rsidRPr="00D329F5" w:rsidRDefault="00BD6481" w:rsidP="00BD6481">
      <w:pPr>
        <w:pStyle w:val="FootnoteText"/>
        <w:jc w:val="both"/>
        <w:rPr>
          <w:sz w:val="16"/>
          <w:szCs w:val="16"/>
        </w:rPr>
      </w:pPr>
    </w:p>
    <w:p w:rsidR="00BD6481" w:rsidRPr="00BD6481" w:rsidRDefault="00BD6481" w:rsidP="00BD6481">
      <w:pPr>
        <w:pStyle w:val="FootnoteText"/>
        <w:numPr>
          <w:ilvl w:val="0"/>
          <w:numId w:val="7"/>
        </w:numPr>
        <w:jc w:val="both"/>
        <w:rPr>
          <w:sz w:val="16"/>
          <w:szCs w:val="16"/>
          <w:lang w:val="fr-FR"/>
        </w:rPr>
      </w:pPr>
      <w:r w:rsidRPr="00BD6481">
        <w:rPr>
          <w:sz w:val="16"/>
          <w:szCs w:val="16"/>
          <w:u w:val="single"/>
          <w:lang w:val="fr-FR"/>
        </w:rPr>
        <w:t>De préparation</w:t>
      </w:r>
      <w:r w:rsidRPr="00BD6481">
        <w:rPr>
          <w:sz w:val="16"/>
          <w:szCs w:val="16"/>
          <w:lang w:val="fr-FR"/>
        </w:rPr>
        <w:t>: Cela signifie que l´A.N.E est complètement préparée pour l´ appel d´offre au niveau des capacités de mise en œuvre (recrutement de tous les experts requis : un expert en Biométrique, un responsable des opérations, un logisticien, etc.) et le cahier des charges complètement finalisé (spécifications, méthode d´enrôlement, etc.).</w:t>
      </w:r>
    </w:p>
    <w:p w:rsidR="00BD6481" w:rsidRPr="00BD6481" w:rsidRDefault="00BD6481" w:rsidP="00BD6481">
      <w:pPr>
        <w:pStyle w:val="FootnoteText"/>
        <w:numPr>
          <w:ilvl w:val="0"/>
          <w:numId w:val="7"/>
        </w:numPr>
        <w:jc w:val="both"/>
        <w:rPr>
          <w:sz w:val="16"/>
          <w:szCs w:val="16"/>
          <w:lang w:val="fr-FR"/>
        </w:rPr>
      </w:pPr>
      <w:r w:rsidRPr="00BD6481">
        <w:rPr>
          <w:sz w:val="16"/>
          <w:szCs w:val="16"/>
          <w:u w:val="single"/>
          <w:lang w:val="fr-FR"/>
        </w:rPr>
        <w:t>Délais et impacts financiers</w:t>
      </w:r>
      <w:r w:rsidRPr="00BD6481">
        <w:rPr>
          <w:sz w:val="16"/>
          <w:szCs w:val="16"/>
          <w:lang w:val="fr-FR"/>
        </w:rPr>
        <w:t>: Le temps consacre à la personnalisation du kit et du logiciel, et aux tests des kits prototypes/échantillons soumis par les fournisseurs en Centrafrique pour vérifier le bon fonctionnement seront supprimés.  Cela accroit le risque de retards dans les opérations, et donc de hausse des coûts pour y remédier.</w:t>
      </w:r>
    </w:p>
    <w:p w:rsidR="00BD6481" w:rsidRPr="00BD6481" w:rsidRDefault="00BD6481" w:rsidP="00BD6481">
      <w:pPr>
        <w:pStyle w:val="FootnoteText"/>
        <w:numPr>
          <w:ilvl w:val="0"/>
          <w:numId w:val="7"/>
        </w:numPr>
        <w:jc w:val="both"/>
        <w:rPr>
          <w:sz w:val="16"/>
          <w:szCs w:val="16"/>
          <w:lang w:val="fr-FR"/>
        </w:rPr>
      </w:pPr>
      <w:r w:rsidRPr="00BD6481">
        <w:rPr>
          <w:sz w:val="16"/>
          <w:szCs w:val="16"/>
          <w:u w:val="single"/>
          <w:lang w:val="fr-FR"/>
        </w:rPr>
        <w:t>Qualité</w:t>
      </w:r>
      <w:r w:rsidRPr="00BD6481">
        <w:rPr>
          <w:sz w:val="16"/>
          <w:szCs w:val="16"/>
          <w:lang w:val="fr-FR"/>
        </w:rPr>
        <w:t>: Un risque accru de rencontrer des problèmes techniques lors de la mise en œuvre liés au processus de contrôle qualité, surtout en ce qui concerne les logiciels et l’intégration d’équipement sensible.</w:t>
      </w:r>
    </w:p>
    <w:p w:rsidR="00BD6481" w:rsidRPr="00BD6481" w:rsidRDefault="00BD6481" w:rsidP="00BD6481">
      <w:pPr>
        <w:pStyle w:val="FootnoteText"/>
        <w:numPr>
          <w:ilvl w:val="0"/>
          <w:numId w:val="7"/>
        </w:numPr>
        <w:jc w:val="both"/>
        <w:rPr>
          <w:sz w:val="16"/>
          <w:szCs w:val="16"/>
          <w:lang w:val="fr-FR"/>
        </w:rPr>
      </w:pPr>
      <w:r w:rsidRPr="00BD6481">
        <w:rPr>
          <w:sz w:val="16"/>
          <w:szCs w:val="16"/>
          <w:u w:val="single"/>
          <w:lang w:val="fr-FR"/>
        </w:rPr>
        <w:t>Rupture de la chaine logistique</w:t>
      </w:r>
      <w:r w:rsidRPr="00BD6481">
        <w:rPr>
          <w:sz w:val="16"/>
          <w:szCs w:val="16"/>
          <w:lang w:val="fr-FR"/>
        </w:rPr>
        <w:t> : La capacité des fournisseurs à produire et livrer un nombre important de kits biométriques sur une courte durée reste à confirmer.</w:t>
      </w:r>
    </w:p>
    <w:p w:rsidR="00BD6481" w:rsidRPr="00BD6481" w:rsidRDefault="00BD6481" w:rsidP="00BD6481">
      <w:pPr>
        <w:pStyle w:val="FootnoteText"/>
        <w:jc w:val="both"/>
        <w:rPr>
          <w:sz w:val="16"/>
          <w:szCs w:val="16"/>
          <w:lang w:val="fr-FR"/>
        </w:rPr>
      </w:pPr>
    </w:p>
  </w:footnote>
  <w:footnote w:id="12">
    <w:p w:rsidR="00BD6481" w:rsidRPr="00D329F5" w:rsidRDefault="00BD6481" w:rsidP="00BD6481">
      <w:pPr>
        <w:pStyle w:val="FootnoteText"/>
        <w:jc w:val="both"/>
        <w:rPr>
          <w:sz w:val="16"/>
          <w:szCs w:val="16"/>
        </w:rPr>
      </w:pPr>
      <w:r w:rsidRPr="00D329F5">
        <w:rPr>
          <w:rStyle w:val="FootnoteReference"/>
          <w:sz w:val="16"/>
          <w:szCs w:val="16"/>
        </w:rPr>
        <w:footnoteRef/>
      </w:r>
      <w:r w:rsidRPr="00BD6481">
        <w:rPr>
          <w:sz w:val="16"/>
          <w:szCs w:val="16"/>
          <w:lang w:val="fr-FR"/>
        </w:rPr>
        <w:t xml:space="preserve"> </w:t>
      </w:r>
      <w:r w:rsidRPr="00BD6481">
        <w:rPr>
          <w:b/>
          <w:sz w:val="16"/>
          <w:szCs w:val="16"/>
          <w:lang w:val="fr-FR"/>
        </w:rPr>
        <w:t>Le nombre d’agents d’enrôlement est estimé comme suit</w:t>
      </w:r>
      <w:r w:rsidRPr="00BD6481">
        <w:rPr>
          <w:sz w:val="16"/>
          <w:szCs w:val="16"/>
          <w:lang w:val="fr-FR"/>
        </w:rPr>
        <w:t xml:space="preserve">: un agent d’enrôlement par kit sera formé, plus 15% de réservistes pour les imprévus.  </w:t>
      </w:r>
      <w:proofErr w:type="spellStart"/>
      <w:r w:rsidRPr="00D329F5">
        <w:rPr>
          <w:sz w:val="16"/>
          <w:szCs w:val="16"/>
        </w:rPr>
        <w:t>Cela</w:t>
      </w:r>
      <w:proofErr w:type="spellEnd"/>
      <w:r w:rsidRPr="00D329F5">
        <w:rPr>
          <w:sz w:val="16"/>
          <w:szCs w:val="16"/>
        </w:rPr>
        <w:t xml:space="preserve"> </w:t>
      </w:r>
      <w:proofErr w:type="spellStart"/>
      <w:r w:rsidRPr="00D329F5">
        <w:rPr>
          <w:sz w:val="16"/>
          <w:szCs w:val="16"/>
        </w:rPr>
        <w:t>signifie</w:t>
      </w:r>
      <w:proofErr w:type="spellEnd"/>
      <w:r w:rsidRPr="00D329F5">
        <w:rPr>
          <w:sz w:val="16"/>
          <w:szCs w:val="16"/>
        </w:rPr>
        <w:t xml:space="preserve"> un total de </w:t>
      </w:r>
      <w:proofErr w:type="gramStart"/>
      <w:r w:rsidRPr="00D329F5">
        <w:rPr>
          <w:sz w:val="16"/>
          <w:szCs w:val="16"/>
        </w:rPr>
        <w:t>5 ,992</w:t>
      </w:r>
      <w:proofErr w:type="gramEnd"/>
      <w:r w:rsidRPr="00D329F5">
        <w:rPr>
          <w:sz w:val="16"/>
          <w:szCs w:val="16"/>
        </w:rPr>
        <w:t xml:space="preserve"> agents </w:t>
      </w:r>
      <w:proofErr w:type="spellStart"/>
      <w:r w:rsidRPr="00D329F5">
        <w:rPr>
          <w:sz w:val="16"/>
          <w:szCs w:val="16"/>
        </w:rPr>
        <w:t>d’enrôlement</w:t>
      </w:r>
      <w:proofErr w:type="spellEnd"/>
      <w:r w:rsidRPr="00D329F5">
        <w:rPr>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3F7C"/>
    <w:multiLevelType w:val="hybridMultilevel"/>
    <w:tmpl w:val="64EC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1264B"/>
    <w:multiLevelType w:val="hybridMultilevel"/>
    <w:tmpl w:val="6E10CE3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A0479"/>
    <w:multiLevelType w:val="hybridMultilevel"/>
    <w:tmpl w:val="595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E0B5F"/>
    <w:multiLevelType w:val="hybridMultilevel"/>
    <w:tmpl w:val="6E10CE3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565ED"/>
    <w:multiLevelType w:val="hybridMultilevel"/>
    <w:tmpl w:val="6E10CE3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FB11CB"/>
    <w:multiLevelType w:val="hybridMultilevel"/>
    <w:tmpl w:val="7FB6001A"/>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6">
    <w:nsid w:val="695235C8"/>
    <w:multiLevelType w:val="hybridMultilevel"/>
    <w:tmpl w:val="6E10CE3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F229E"/>
    <w:rsid w:val="000172D3"/>
    <w:rsid w:val="00045646"/>
    <w:rsid w:val="00046C43"/>
    <w:rsid w:val="00055CC1"/>
    <w:rsid w:val="00065573"/>
    <w:rsid w:val="0008072B"/>
    <w:rsid w:val="000F28D4"/>
    <w:rsid w:val="0010236B"/>
    <w:rsid w:val="001137EC"/>
    <w:rsid w:val="001256F9"/>
    <w:rsid w:val="001265F3"/>
    <w:rsid w:val="00141843"/>
    <w:rsid w:val="00141F0C"/>
    <w:rsid w:val="001441DC"/>
    <w:rsid w:val="001901D8"/>
    <w:rsid w:val="00190751"/>
    <w:rsid w:val="001922DB"/>
    <w:rsid w:val="001950C2"/>
    <w:rsid w:val="001A1D6B"/>
    <w:rsid w:val="001C61B5"/>
    <w:rsid w:val="001D1561"/>
    <w:rsid w:val="00205597"/>
    <w:rsid w:val="00220DA7"/>
    <w:rsid w:val="00256B3B"/>
    <w:rsid w:val="00261381"/>
    <w:rsid w:val="002619CA"/>
    <w:rsid w:val="00287E92"/>
    <w:rsid w:val="002A55DB"/>
    <w:rsid w:val="002B3064"/>
    <w:rsid w:val="002D6DAF"/>
    <w:rsid w:val="00342348"/>
    <w:rsid w:val="0035354F"/>
    <w:rsid w:val="00357E55"/>
    <w:rsid w:val="00365443"/>
    <w:rsid w:val="00365FFB"/>
    <w:rsid w:val="00375BD0"/>
    <w:rsid w:val="00377B43"/>
    <w:rsid w:val="003E205B"/>
    <w:rsid w:val="003F1D53"/>
    <w:rsid w:val="00413184"/>
    <w:rsid w:val="004A600D"/>
    <w:rsid w:val="004B1FBF"/>
    <w:rsid w:val="004D5609"/>
    <w:rsid w:val="004E15DA"/>
    <w:rsid w:val="004E36A2"/>
    <w:rsid w:val="004F2817"/>
    <w:rsid w:val="00502F6C"/>
    <w:rsid w:val="005339D0"/>
    <w:rsid w:val="00541A56"/>
    <w:rsid w:val="005460F7"/>
    <w:rsid w:val="0055300E"/>
    <w:rsid w:val="00557C51"/>
    <w:rsid w:val="005828B6"/>
    <w:rsid w:val="00585225"/>
    <w:rsid w:val="005A3C72"/>
    <w:rsid w:val="005A516D"/>
    <w:rsid w:val="005A5203"/>
    <w:rsid w:val="005B7E9B"/>
    <w:rsid w:val="005C714E"/>
    <w:rsid w:val="005D6942"/>
    <w:rsid w:val="005E121F"/>
    <w:rsid w:val="00614146"/>
    <w:rsid w:val="00651D8E"/>
    <w:rsid w:val="00660A54"/>
    <w:rsid w:val="00696DF6"/>
    <w:rsid w:val="006C08F1"/>
    <w:rsid w:val="006C268F"/>
    <w:rsid w:val="0070119C"/>
    <w:rsid w:val="00797002"/>
    <w:rsid w:val="007A03B0"/>
    <w:rsid w:val="007A49A6"/>
    <w:rsid w:val="007B7E22"/>
    <w:rsid w:val="007C48F9"/>
    <w:rsid w:val="007D2E0D"/>
    <w:rsid w:val="007E0919"/>
    <w:rsid w:val="007E6053"/>
    <w:rsid w:val="007F6362"/>
    <w:rsid w:val="0081038A"/>
    <w:rsid w:val="00811FC3"/>
    <w:rsid w:val="00817004"/>
    <w:rsid w:val="00821084"/>
    <w:rsid w:val="008325C4"/>
    <w:rsid w:val="00832A84"/>
    <w:rsid w:val="00851A81"/>
    <w:rsid w:val="008616FE"/>
    <w:rsid w:val="00861E8A"/>
    <w:rsid w:val="00873FF4"/>
    <w:rsid w:val="00874C74"/>
    <w:rsid w:val="00886A25"/>
    <w:rsid w:val="008A1ADD"/>
    <w:rsid w:val="008B29B4"/>
    <w:rsid w:val="008B49C6"/>
    <w:rsid w:val="008C0906"/>
    <w:rsid w:val="008D2004"/>
    <w:rsid w:val="008D666D"/>
    <w:rsid w:val="00902043"/>
    <w:rsid w:val="00917D91"/>
    <w:rsid w:val="009201CC"/>
    <w:rsid w:val="009303B4"/>
    <w:rsid w:val="00931CB0"/>
    <w:rsid w:val="009909EF"/>
    <w:rsid w:val="00991D45"/>
    <w:rsid w:val="009A3241"/>
    <w:rsid w:val="009E7D0F"/>
    <w:rsid w:val="00A10693"/>
    <w:rsid w:val="00A37FD5"/>
    <w:rsid w:val="00A43191"/>
    <w:rsid w:val="00A45D2A"/>
    <w:rsid w:val="00A52CD8"/>
    <w:rsid w:val="00A82FCB"/>
    <w:rsid w:val="00AC6E83"/>
    <w:rsid w:val="00AE3206"/>
    <w:rsid w:val="00AF38A8"/>
    <w:rsid w:val="00AF5858"/>
    <w:rsid w:val="00B15275"/>
    <w:rsid w:val="00B315C2"/>
    <w:rsid w:val="00B52B10"/>
    <w:rsid w:val="00B56519"/>
    <w:rsid w:val="00B84D2C"/>
    <w:rsid w:val="00B90E29"/>
    <w:rsid w:val="00B971ED"/>
    <w:rsid w:val="00BA4ADD"/>
    <w:rsid w:val="00BB58C9"/>
    <w:rsid w:val="00BD6481"/>
    <w:rsid w:val="00C00F6A"/>
    <w:rsid w:val="00C03644"/>
    <w:rsid w:val="00C06A61"/>
    <w:rsid w:val="00C450FA"/>
    <w:rsid w:val="00C87096"/>
    <w:rsid w:val="00C90852"/>
    <w:rsid w:val="00CA7955"/>
    <w:rsid w:val="00CB39A8"/>
    <w:rsid w:val="00CC73CE"/>
    <w:rsid w:val="00CD066E"/>
    <w:rsid w:val="00CE0432"/>
    <w:rsid w:val="00CF1C48"/>
    <w:rsid w:val="00D05CBF"/>
    <w:rsid w:val="00D13906"/>
    <w:rsid w:val="00D155DD"/>
    <w:rsid w:val="00D1636E"/>
    <w:rsid w:val="00D21AFD"/>
    <w:rsid w:val="00D23102"/>
    <w:rsid w:val="00D30C81"/>
    <w:rsid w:val="00D475C9"/>
    <w:rsid w:val="00D5593D"/>
    <w:rsid w:val="00D61237"/>
    <w:rsid w:val="00D66EBC"/>
    <w:rsid w:val="00D72E6A"/>
    <w:rsid w:val="00D809D2"/>
    <w:rsid w:val="00D83159"/>
    <w:rsid w:val="00D87E69"/>
    <w:rsid w:val="00DB445A"/>
    <w:rsid w:val="00E13DD5"/>
    <w:rsid w:val="00E25246"/>
    <w:rsid w:val="00E2630C"/>
    <w:rsid w:val="00E27A89"/>
    <w:rsid w:val="00E527B0"/>
    <w:rsid w:val="00E56919"/>
    <w:rsid w:val="00E724DD"/>
    <w:rsid w:val="00E9575A"/>
    <w:rsid w:val="00EA306C"/>
    <w:rsid w:val="00EB67FF"/>
    <w:rsid w:val="00EC30A9"/>
    <w:rsid w:val="00EC5992"/>
    <w:rsid w:val="00EE03FF"/>
    <w:rsid w:val="00EF229E"/>
    <w:rsid w:val="00F0665A"/>
    <w:rsid w:val="00F25CF9"/>
    <w:rsid w:val="00F36913"/>
    <w:rsid w:val="00F37D22"/>
    <w:rsid w:val="00F73CD0"/>
    <w:rsid w:val="00FA48C6"/>
    <w:rsid w:val="00FB6162"/>
    <w:rsid w:val="00FE429C"/>
    <w:rsid w:val="00FE73BF"/>
    <w:rsid w:val="00FF7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
    <w:basedOn w:val="Normal"/>
    <w:link w:val="ListParagraphChar"/>
    <w:uiPriority w:val="99"/>
    <w:qFormat/>
    <w:rsid w:val="00B56519"/>
    <w:pPr>
      <w:ind w:left="720"/>
      <w:contextualSpacing/>
    </w:pPr>
  </w:style>
  <w:style w:type="paragraph" w:styleId="FootnoteText">
    <w:name w:val="footnote text"/>
    <w:basedOn w:val="Normal"/>
    <w:link w:val="FootnoteTextChar"/>
    <w:uiPriority w:val="99"/>
    <w:unhideWhenUsed/>
    <w:rsid w:val="006C08F1"/>
    <w:pPr>
      <w:spacing w:after="0" w:line="240" w:lineRule="auto"/>
    </w:pPr>
    <w:rPr>
      <w:sz w:val="20"/>
      <w:szCs w:val="20"/>
    </w:rPr>
  </w:style>
  <w:style w:type="character" w:customStyle="1" w:styleId="FootnoteTextChar">
    <w:name w:val="Footnote Text Char"/>
    <w:basedOn w:val="DefaultParagraphFont"/>
    <w:link w:val="FootnoteText"/>
    <w:uiPriority w:val="99"/>
    <w:rsid w:val="006C08F1"/>
    <w:rPr>
      <w:sz w:val="20"/>
      <w:szCs w:val="20"/>
    </w:rPr>
  </w:style>
  <w:style w:type="character" w:styleId="FootnoteReference">
    <w:name w:val="footnote reference"/>
    <w:basedOn w:val="DefaultParagraphFont"/>
    <w:uiPriority w:val="99"/>
    <w:unhideWhenUsed/>
    <w:rsid w:val="006C08F1"/>
    <w:rPr>
      <w:vertAlign w:val="superscript"/>
    </w:rPr>
  </w:style>
  <w:style w:type="table" w:styleId="MediumShading1-Accent1">
    <w:name w:val="Medium Shading 1 Accent 1"/>
    <w:basedOn w:val="TableNormal"/>
    <w:uiPriority w:val="63"/>
    <w:rsid w:val="002619C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CA7955"/>
    <w:rPr>
      <w:sz w:val="16"/>
      <w:szCs w:val="16"/>
    </w:rPr>
  </w:style>
  <w:style w:type="paragraph" w:styleId="CommentText">
    <w:name w:val="annotation text"/>
    <w:basedOn w:val="Normal"/>
    <w:link w:val="CommentTextChar"/>
    <w:uiPriority w:val="99"/>
    <w:semiHidden/>
    <w:unhideWhenUsed/>
    <w:rsid w:val="00CA7955"/>
    <w:pPr>
      <w:spacing w:line="240" w:lineRule="auto"/>
    </w:pPr>
    <w:rPr>
      <w:sz w:val="20"/>
      <w:szCs w:val="20"/>
    </w:rPr>
  </w:style>
  <w:style w:type="character" w:customStyle="1" w:styleId="CommentTextChar">
    <w:name w:val="Comment Text Char"/>
    <w:basedOn w:val="DefaultParagraphFont"/>
    <w:link w:val="CommentText"/>
    <w:uiPriority w:val="99"/>
    <w:semiHidden/>
    <w:rsid w:val="00CA7955"/>
    <w:rPr>
      <w:sz w:val="20"/>
      <w:szCs w:val="20"/>
    </w:rPr>
  </w:style>
  <w:style w:type="paragraph" w:styleId="CommentSubject">
    <w:name w:val="annotation subject"/>
    <w:basedOn w:val="CommentText"/>
    <w:next w:val="CommentText"/>
    <w:link w:val="CommentSubjectChar"/>
    <w:uiPriority w:val="99"/>
    <w:semiHidden/>
    <w:unhideWhenUsed/>
    <w:rsid w:val="00CA7955"/>
    <w:rPr>
      <w:b/>
      <w:bCs/>
    </w:rPr>
  </w:style>
  <w:style w:type="character" w:customStyle="1" w:styleId="CommentSubjectChar">
    <w:name w:val="Comment Subject Char"/>
    <w:basedOn w:val="CommentTextChar"/>
    <w:link w:val="CommentSubject"/>
    <w:uiPriority w:val="99"/>
    <w:semiHidden/>
    <w:rsid w:val="00CA7955"/>
    <w:rPr>
      <w:b/>
      <w:bCs/>
      <w:sz w:val="20"/>
      <w:szCs w:val="20"/>
    </w:rPr>
  </w:style>
  <w:style w:type="paragraph" w:styleId="BalloonText">
    <w:name w:val="Balloon Text"/>
    <w:basedOn w:val="Normal"/>
    <w:link w:val="BalloonTextChar"/>
    <w:uiPriority w:val="99"/>
    <w:semiHidden/>
    <w:unhideWhenUsed/>
    <w:rsid w:val="00CA7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55"/>
    <w:rPr>
      <w:rFonts w:ascii="Tahoma" w:hAnsi="Tahoma" w:cs="Tahoma"/>
      <w:sz w:val="16"/>
      <w:szCs w:val="16"/>
    </w:rPr>
  </w:style>
  <w:style w:type="table" w:styleId="TableGrid">
    <w:name w:val="Table Grid"/>
    <w:basedOn w:val="TableNormal"/>
    <w:uiPriority w:val="59"/>
    <w:rsid w:val="001D1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1D15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ListParagraphChar">
    <w:name w:val="List Paragraph Char"/>
    <w:aliases w:val="References Char"/>
    <w:link w:val="ListParagraph"/>
    <w:uiPriority w:val="34"/>
    <w:locked/>
    <w:rsid w:val="00BD6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519"/>
    <w:pPr>
      <w:ind w:left="720"/>
      <w:contextualSpacing/>
    </w:pPr>
  </w:style>
  <w:style w:type="paragraph" w:styleId="FootnoteText">
    <w:name w:val="footnote text"/>
    <w:basedOn w:val="Normal"/>
    <w:link w:val="FootnoteTextChar"/>
    <w:uiPriority w:val="99"/>
    <w:unhideWhenUsed/>
    <w:rsid w:val="006C08F1"/>
    <w:pPr>
      <w:spacing w:after="0" w:line="240" w:lineRule="auto"/>
    </w:pPr>
    <w:rPr>
      <w:sz w:val="20"/>
      <w:szCs w:val="20"/>
    </w:rPr>
  </w:style>
  <w:style w:type="character" w:customStyle="1" w:styleId="FootnoteTextChar">
    <w:name w:val="Footnote Text Char"/>
    <w:basedOn w:val="DefaultParagraphFont"/>
    <w:link w:val="FootnoteText"/>
    <w:uiPriority w:val="99"/>
    <w:rsid w:val="006C08F1"/>
    <w:rPr>
      <w:sz w:val="20"/>
      <w:szCs w:val="20"/>
    </w:rPr>
  </w:style>
  <w:style w:type="character" w:styleId="FootnoteReference">
    <w:name w:val="footnote reference"/>
    <w:basedOn w:val="DefaultParagraphFont"/>
    <w:uiPriority w:val="99"/>
    <w:semiHidden/>
    <w:unhideWhenUsed/>
    <w:rsid w:val="006C08F1"/>
    <w:rPr>
      <w:vertAlign w:val="superscript"/>
    </w:rPr>
  </w:style>
  <w:style w:type="table" w:styleId="MediumShading1-Accent1">
    <w:name w:val="Medium Shading 1 Accent 1"/>
    <w:basedOn w:val="TableNormal"/>
    <w:uiPriority w:val="63"/>
    <w:rsid w:val="002619C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CA7955"/>
    <w:rPr>
      <w:sz w:val="16"/>
      <w:szCs w:val="16"/>
    </w:rPr>
  </w:style>
  <w:style w:type="paragraph" w:styleId="CommentText">
    <w:name w:val="annotation text"/>
    <w:basedOn w:val="Normal"/>
    <w:link w:val="CommentTextChar"/>
    <w:uiPriority w:val="99"/>
    <w:semiHidden/>
    <w:unhideWhenUsed/>
    <w:rsid w:val="00CA7955"/>
    <w:pPr>
      <w:spacing w:line="240" w:lineRule="auto"/>
    </w:pPr>
    <w:rPr>
      <w:sz w:val="20"/>
      <w:szCs w:val="20"/>
    </w:rPr>
  </w:style>
  <w:style w:type="character" w:customStyle="1" w:styleId="CommentTextChar">
    <w:name w:val="Comment Text Char"/>
    <w:basedOn w:val="DefaultParagraphFont"/>
    <w:link w:val="CommentText"/>
    <w:uiPriority w:val="99"/>
    <w:semiHidden/>
    <w:rsid w:val="00CA7955"/>
    <w:rPr>
      <w:sz w:val="20"/>
      <w:szCs w:val="20"/>
    </w:rPr>
  </w:style>
  <w:style w:type="paragraph" w:styleId="CommentSubject">
    <w:name w:val="annotation subject"/>
    <w:basedOn w:val="CommentText"/>
    <w:next w:val="CommentText"/>
    <w:link w:val="CommentSubjectChar"/>
    <w:uiPriority w:val="99"/>
    <w:semiHidden/>
    <w:unhideWhenUsed/>
    <w:rsid w:val="00CA7955"/>
    <w:rPr>
      <w:b/>
      <w:bCs/>
    </w:rPr>
  </w:style>
  <w:style w:type="character" w:customStyle="1" w:styleId="CommentSubjectChar">
    <w:name w:val="Comment Subject Char"/>
    <w:basedOn w:val="CommentTextChar"/>
    <w:link w:val="CommentSubject"/>
    <w:uiPriority w:val="99"/>
    <w:semiHidden/>
    <w:rsid w:val="00CA7955"/>
    <w:rPr>
      <w:b/>
      <w:bCs/>
      <w:sz w:val="20"/>
      <w:szCs w:val="20"/>
    </w:rPr>
  </w:style>
  <w:style w:type="paragraph" w:styleId="BalloonText">
    <w:name w:val="Balloon Text"/>
    <w:basedOn w:val="Normal"/>
    <w:link w:val="BalloonTextChar"/>
    <w:uiPriority w:val="99"/>
    <w:semiHidden/>
    <w:unhideWhenUsed/>
    <w:rsid w:val="00CA7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301153">
      <w:bodyDiv w:val="1"/>
      <w:marLeft w:val="0"/>
      <w:marRight w:val="0"/>
      <w:marTop w:val="0"/>
      <w:marBottom w:val="0"/>
      <w:divBdr>
        <w:top w:val="none" w:sz="0" w:space="0" w:color="auto"/>
        <w:left w:val="none" w:sz="0" w:space="0" w:color="auto"/>
        <w:bottom w:val="none" w:sz="0" w:space="0" w:color="auto"/>
        <w:right w:val="none" w:sz="0" w:space="0" w:color="auto"/>
      </w:divBdr>
    </w:div>
    <w:div w:id="135399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3644D-E30B-48F3-AD36-0F118069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UNDP</cp:lastModifiedBy>
  <cp:revision>3</cp:revision>
  <dcterms:created xsi:type="dcterms:W3CDTF">2014-06-16T11:31:00Z</dcterms:created>
  <dcterms:modified xsi:type="dcterms:W3CDTF">2014-06-16T11:37:00Z</dcterms:modified>
</cp:coreProperties>
</file>