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BAA" w:rsidRPr="00225157" w:rsidRDefault="00273BAA" w:rsidP="00273BAA">
      <w:pPr>
        <w:pBdr>
          <w:bottom w:val="single" w:sz="6" w:space="1" w:color="auto"/>
        </w:pBdr>
        <w:spacing w:after="0" w:line="240" w:lineRule="auto"/>
        <w:jc w:val="center"/>
        <w:rPr>
          <w:b/>
          <w:caps/>
          <w:color w:val="0070C0"/>
          <w:sz w:val="76"/>
          <w:szCs w:val="7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225157">
        <w:rPr>
          <w:b/>
          <w:caps/>
          <w:color w:val="0070C0"/>
          <w:sz w:val="76"/>
          <w:szCs w:val="76"/>
          <w14:reflection w14:blurRad="12700" w14:stA="28000" w14:stPos="0" w14:endA="0" w14:endPos="45000" w14:dist="1003" w14:dir="5400000" w14:fadeDir="5400000" w14:sx="100000" w14:sy="-100000" w14:kx="0" w14:ky="0" w14:algn="bl"/>
          <w14:textOutline w14:w="4495" w14:cap="flat" w14:cmpd="sng" w14:algn="ctr">
            <w14:solidFill>
              <w14:schemeClr w14:val="tx2">
                <w14:lumMod w14:val="60000"/>
                <w14:lumOff w14:val="40000"/>
              </w14:schemeClr>
            </w14:solidFill>
            <w14:prstDash w14:val="solid"/>
            <w14:round/>
          </w14:textOutline>
        </w:rPr>
        <w:t>GENDER &amp; AGE NEWSLETTER</w:t>
      </w:r>
      <w:r w:rsidRPr="00225157">
        <w:rPr>
          <w:b/>
          <w:caps/>
          <w:color w:val="0070C0"/>
          <w:sz w:val="76"/>
          <w:szCs w:val="7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w:t>
      </w:r>
    </w:p>
    <w:p w:rsidR="00273BAA" w:rsidRPr="00273BAA" w:rsidRDefault="00273BAA" w:rsidP="00273BAA">
      <w:pPr>
        <w:spacing w:after="0" w:line="240" w:lineRule="auto"/>
        <w:jc w:val="center"/>
        <w:rPr>
          <w:b/>
          <w:color w:val="0070C0"/>
          <w:sz w:val="20"/>
          <w:szCs w:val="20"/>
        </w:rPr>
      </w:pPr>
    </w:p>
    <w:p w:rsidR="00711D00" w:rsidRDefault="00C82220" w:rsidP="00700CEE">
      <w:pPr>
        <w:spacing w:after="60"/>
        <w:jc w:val="center"/>
        <w:rPr>
          <w:b/>
        </w:rPr>
      </w:pPr>
      <w:r>
        <w:rPr>
          <w:b/>
        </w:rPr>
        <w:t>JULY</w:t>
      </w:r>
      <w:r w:rsidR="00C37DC9">
        <w:rPr>
          <w:b/>
        </w:rPr>
        <w:t>-AUGUST</w:t>
      </w:r>
      <w:r w:rsidR="00273BAA" w:rsidRPr="00273BAA">
        <w:rPr>
          <w:b/>
        </w:rPr>
        <w:t xml:space="preserve"> </w:t>
      </w:r>
      <w:r w:rsidR="00AE009E">
        <w:rPr>
          <w:b/>
        </w:rPr>
        <w:t>2015</w:t>
      </w:r>
    </w:p>
    <w:p w:rsidR="00C82220" w:rsidRDefault="00C82220" w:rsidP="00C82220">
      <w:pPr>
        <w:pStyle w:val="ListParagraph"/>
        <w:numPr>
          <w:ilvl w:val="0"/>
          <w:numId w:val="11"/>
        </w:numPr>
        <w:spacing w:after="60"/>
        <w:jc w:val="both"/>
        <w:rPr>
          <w:sz w:val="21"/>
          <w:szCs w:val="21"/>
        </w:rPr>
      </w:pPr>
      <w:r>
        <w:rPr>
          <w:sz w:val="21"/>
          <w:szCs w:val="21"/>
        </w:rPr>
        <w:t xml:space="preserve">UNDP, UNFPA, UNWOMEN, UNV - </w:t>
      </w:r>
      <w:hyperlink r:id="rId9" w:history="1">
        <w:r w:rsidRPr="00893B29">
          <w:rPr>
            <w:rStyle w:val="Hyperlink"/>
            <w:b/>
            <w:sz w:val="21"/>
            <w:szCs w:val="21"/>
          </w:rPr>
          <w:t>TOOLKIT FOR REPLICATING THE UN MULTI-COUNTRY STUDY ON MEN AND VIOLENCE</w:t>
        </w:r>
      </w:hyperlink>
      <w:r>
        <w:rPr>
          <w:sz w:val="21"/>
          <w:szCs w:val="21"/>
        </w:rPr>
        <w:t xml:space="preserve"> - 2013</w:t>
      </w:r>
    </w:p>
    <w:p w:rsidR="00C82220" w:rsidRPr="002C5BF6" w:rsidRDefault="00C82220" w:rsidP="00C82220">
      <w:pPr>
        <w:spacing w:after="120"/>
        <w:ind w:left="360"/>
        <w:jc w:val="both"/>
        <w:rPr>
          <w:sz w:val="19"/>
          <w:szCs w:val="19"/>
        </w:rPr>
      </w:pPr>
      <w:r w:rsidRPr="002C5BF6">
        <w:rPr>
          <w:sz w:val="19"/>
          <w:szCs w:val="19"/>
        </w:rPr>
        <w:t xml:space="preserve">The UN Multi-country Study on Men and Violence in Asia and the Pacific was conducted between 2010– 2013. More than 10,000 men and 3,000 women were interviewed across Bangladesh, Cambodia, China, Indonesia, Papua New Guinea (Bougainville), Sri Lanka and Viet Nam with the main purpose of </w:t>
      </w:r>
      <w:r w:rsidRPr="002C5BF6">
        <w:rPr>
          <w:i/>
          <w:sz w:val="19"/>
          <w:szCs w:val="19"/>
        </w:rPr>
        <w:t>i)</w:t>
      </w:r>
      <w:r w:rsidRPr="002C5BF6">
        <w:rPr>
          <w:sz w:val="19"/>
          <w:szCs w:val="19"/>
        </w:rPr>
        <w:t xml:space="preserve"> better understanding men’s use of different forms of violence against women in the Asia–Pacific region; </w:t>
      </w:r>
      <w:r w:rsidRPr="002C5BF6">
        <w:rPr>
          <w:i/>
          <w:sz w:val="19"/>
          <w:szCs w:val="19"/>
        </w:rPr>
        <w:t>ii)</w:t>
      </w:r>
      <w:r w:rsidRPr="002C5BF6">
        <w:rPr>
          <w:sz w:val="19"/>
          <w:szCs w:val="19"/>
        </w:rPr>
        <w:t xml:space="preserve"> assessing men’s own experience of violence as well as their perpetration of violence against other men and how it relates to the perpetration of violence against women</w:t>
      </w:r>
      <w:r w:rsidRPr="002C5BF6">
        <w:rPr>
          <w:i/>
          <w:sz w:val="19"/>
          <w:szCs w:val="19"/>
        </w:rPr>
        <w:t>; iii)</w:t>
      </w:r>
      <w:r w:rsidRPr="002C5BF6">
        <w:rPr>
          <w:sz w:val="19"/>
          <w:szCs w:val="19"/>
        </w:rPr>
        <w:t xml:space="preserve"> identifying the factors associated with men’s perpetration of different forms of violence against women; </w:t>
      </w:r>
      <w:r w:rsidRPr="002C5BF6">
        <w:rPr>
          <w:i/>
          <w:sz w:val="19"/>
          <w:szCs w:val="19"/>
        </w:rPr>
        <w:t>iv)</w:t>
      </w:r>
      <w:r w:rsidRPr="002C5BF6">
        <w:rPr>
          <w:sz w:val="19"/>
          <w:szCs w:val="19"/>
        </w:rPr>
        <w:t xml:space="preserve"> producing knowledge to inform evidence-based policies and </w:t>
      </w:r>
      <w:proofErr w:type="spellStart"/>
      <w:r w:rsidRPr="002C5BF6">
        <w:rPr>
          <w:sz w:val="19"/>
          <w:szCs w:val="19"/>
        </w:rPr>
        <w:t>programmes</w:t>
      </w:r>
      <w:proofErr w:type="spellEnd"/>
      <w:r w:rsidRPr="002C5BF6">
        <w:rPr>
          <w:sz w:val="19"/>
          <w:szCs w:val="19"/>
        </w:rPr>
        <w:t xml:space="preserve"> to prevent violence against women; </w:t>
      </w:r>
      <w:r w:rsidRPr="002C5BF6">
        <w:rPr>
          <w:i/>
          <w:sz w:val="19"/>
          <w:szCs w:val="19"/>
        </w:rPr>
        <w:t>v)</w:t>
      </w:r>
      <w:r w:rsidRPr="002C5BF6">
        <w:rPr>
          <w:sz w:val="19"/>
          <w:szCs w:val="19"/>
        </w:rPr>
        <w:t xml:space="preserve"> strengthening local research capacity and </w:t>
      </w:r>
      <w:r w:rsidRPr="002C5BF6">
        <w:rPr>
          <w:i/>
          <w:sz w:val="19"/>
          <w:szCs w:val="19"/>
        </w:rPr>
        <w:t>vi)</w:t>
      </w:r>
      <w:r w:rsidRPr="002C5BF6">
        <w:rPr>
          <w:sz w:val="19"/>
          <w:szCs w:val="19"/>
        </w:rPr>
        <w:t xml:space="preserve"> developing research tools for future use in the investigation of violence against women and masculinity.</w:t>
      </w:r>
    </w:p>
    <w:p w:rsidR="00C82220" w:rsidRPr="00A247E8" w:rsidRDefault="005735F0" w:rsidP="00A247E8">
      <w:pPr>
        <w:pStyle w:val="ListParagraph"/>
        <w:numPr>
          <w:ilvl w:val="0"/>
          <w:numId w:val="11"/>
        </w:numPr>
        <w:tabs>
          <w:tab w:val="left" w:pos="1800"/>
        </w:tabs>
        <w:spacing w:after="0"/>
        <w:rPr>
          <w:b/>
          <w:i/>
          <w:sz w:val="20"/>
        </w:rPr>
      </w:pPr>
      <w:r w:rsidRPr="00AA7001">
        <w:rPr>
          <w:sz w:val="21"/>
          <w:szCs w:val="21"/>
        </w:rPr>
        <w:t>UN WOMEN</w:t>
      </w:r>
      <w:r>
        <w:rPr>
          <w:b/>
          <w:i/>
          <w:sz w:val="20"/>
        </w:rPr>
        <w:t xml:space="preserve"> -</w:t>
      </w:r>
      <w:r w:rsidRPr="005735F0">
        <w:rPr>
          <w:b/>
          <w:i/>
          <w:sz w:val="20"/>
        </w:rPr>
        <w:t xml:space="preserve"> </w:t>
      </w:r>
      <w:hyperlink r:id="rId10" w:history="1">
        <w:r w:rsidRPr="005735F0">
          <w:rPr>
            <w:rStyle w:val="Hyperlink"/>
            <w:b/>
          </w:rPr>
          <w:t>THE EFFECT OF GENDER EQUALITY PROGRAMMING ON HUMANITARIAN OUTCOMES</w:t>
        </w:r>
      </w:hyperlink>
      <w:r>
        <w:t xml:space="preserve"> </w:t>
      </w:r>
      <w:r w:rsidR="00A247E8">
        <w:t>–</w:t>
      </w:r>
      <w:r>
        <w:t xml:space="preserve"> 2015</w:t>
      </w:r>
    </w:p>
    <w:p w:rsidR="00A247E8" w:rsidRPr="002C5BF6" w:rsidRDefault="00A247E8" w:rsidP="00A247E8">
      <w:pPr>
        <w:spacing w:after="120"/>
        <w:ind w:left="360"/>
        <w:jc w:val="both"/>
        <w:rPr>
          <w:sz w:val="19"/>
          <w:szCs w:val="19"/>
        </w:rPr>
      </w:pPr>
      <w:r w:rsidRPr="002C5BF6">
        <w:rPr>
          <w:sz w:val="19"/>
          <w:szCs w:val="19"/>
        </w:rPr>
        <w:t xml:space="preserve">Despite a number of developments in policy and practice aimed at integrating gender equality and women’s empowerment into humanitarian action, what remains missing is a strong evidence base that demonstrates just how gender equality programming is essential to ensuring an effective, inclusive, rights-based humanitarian response. To address this gap, UN Women in 2013 commissioned the Institute of Development Studies (IDS) at the University of Sussex to undertake a research study, aimed to assess whether or not such programming has improved humanitarian outcomes and, if so, why. This report presents the findings of this research, based on interviews with more than 2,000 crisis-affected households gathered for four case studies conducted in Kenya (the </w:t>
      </w:r>
      <w:proofErr w:type="spellStart"/>
      <w:r w:rsidRPr="002C5BF6">
        <w:rPr>
          <w:sz w:val="19"/>
          <w:szCs w:val="19"/>
        </w:rPr>
        <w:t>Dadaab</w:t>
      </w:r>
      <w:proofErr w:type="spellEnd"/>
      <w:r w:rsidRPr="002C5BF6">
        <w:rPr>
          <w:sz w:val="19"/>
          <w:szCs w:val="19"/>
        </w:rPr>
        <w:t xml:space="preserve"> refugee camps and the county of Turkana), Nepal and The Philippines. </w:t>
      </w:r>
    </w:p>
    <w:p w:rsidR="000F7EC0" w:rsidRPr="008D6D68" w:rsidRDefault="000F7EC0" w:rsidP="008D6D68">
      <w:pPr>
        <w:pStyle w:val="ListParagraph"/>
        <w:numPr>
          <w:ilvl w:val="0"/>
          <w:numId w:val="11"/>
        </w:numPr>
        <w:tabs>
          <w:tab w:val="left" w:pos="1800"/>
        </w:tabs>
        <w:spacing w:after="0"/>
        <w:rPr>
          <w:sz w:val="18"/>
          <w:szCs w:val="18"/>
        </w:rPr>
      </w:pPr>
      <w:r w:rsidRPr="008D6D68">
        <w:rPr>
          <w:sz w:val="21"/>
          <w:szCs w:val="21"/>
        </w:rPr>
        <w:t xml:space="preserve">IASC </w:t>
      </w:r>
      <w:r w:rsidRPr="008D6D68">
        <w:rPr>
          <w:sz w:val="18"/>
          <w:szCs w:val="18"/>
        </w:rPr>
        <w:t xml:space="preserve">- </w:t>
      </w:r>
      <w:hyperlink r:id="rId11" w:history="1">
        <w:r w:rsidR="008D6D68" w:rsidRPr="008D6D68">
          <w:rPr>
            <w:rStyle w:val="Hyperlink"/>
            <w:b/>
          </w:rPr>
          <w:t>GUIDELINES FOR INTEGRATING GENDER-BASED VIOLENCE INTERVENTIONS IN HUMANITARIAN ACTION</w:t>
        </w:r>
      </w:hyperlink>
      <w:r w:rsidR="008D6D68">
        <w:rPr>
          <w:rStyle w:val="Hyperlink"/>
          <w:b/>
        </w:rPr>
        <w:t xml:space="preserve"> </w:t>
      </w:r>
      <w:r w:rsidRPr="008D6D68">
        <w:rPr>
          <w:sz w:val="21"/>
          <w:szCs w:val="21"/>
        </w:rPr>
        <w:t>– 2015</w:t>
      </w:r>
    </w:p>
    <w:p w:rsidR="000F7EC0" w:rsidRPr="002C5BF6" w:rsidRDefault="008D6D68" w:rsidP="008D6D68">
      <w:pPr>
        <w:spacing w:after="120"/>
        <w:ind w:left="360"/>
        <w:jc w:val="both"/>
        <w:rPr>
          <w:sz w:val="19"/>
          <w:szCs w:val="19"/>
        </w:rPr>
      </w:pPr>
      <w:r w:rsidRPr="002C5BF6">
        <w:rPr>
          <w:sz w:val="19"/>
          <w:szCs w:val="19"/>
        </w:rPr>
        <w:t>The purpose of the newly released Guidelines is to assist humanitarian actors and communities affected by armed conflict, natural disasters and other humanitarian emergencies to coordinate, plan, implement, monitor and evaluate essential actions for the prevention and mitigation of gender-based violence (GBV) across all sectors of humanitarian response. The Guidelines are primarily targeted to non-GBV specialists—that is, agencies and individuals who work in humanitarian response sectors other than GBV and do not have specific expertise in GBV prevention and response programming, but can nevertheless undertake activities that significantly reduce the risk of GBV for affected populations.</w:t>
      </w:r>
    </w:p>
    <w:p w:rsidR="008D6D68" w:rsidRPr="002C5BF6" w:rsidRDefault="002C5BF6" w:rsidP="002C5BF6">
      <w:pPr>
        <w:pStyle w:val="ListParagraph"/>
        <w:numPr>
          <w:ilvl w:val="0"/>
          <w:numId w:val="11"/>
        </w:numPr>
        <w:spacing w:after="0"/>
        <w:jc w:val="both"/>
        <w:rPr>
          <w:sz w:val="18"/>
          <w:szCs w:val="18"/>
        </w:rPr>
      </w:pPr>
      <w:r w:rsidRPr="0084756F">
        <w:rPr>
          <w:sz w:val="21"/>
          <w:szCs w:val="21"/>
        </w:rPr>
        <w:t xml:space="preserve">WHO </w:t>
      </w:r>
      <w:r>
        <w:rPr>
          <w:sz w:val="18"/>
          <w:szCs w:val="18"/>
        </w:rPr>
        <w:t xml:space="preserve">- </w:t>
      </w:r>
      <w:hyperlink r:id="rId12" w:history="1">
        <w:r w:rsidRPr="002C5BF6">
          <w:rPr>
            <w:rStyle w:val="Hyperlink"/>
            <w:b/>
          </w:rPr>
          <w:t>HEALTH WORKER ROLES IN PROVIDING SAFE ABORTION CARE AND POST-ABORTION CONTRACEPTION</w:t>
        </w:r>
      </w:hyperlink>
      <w:r>
        <w:rPr>
          <w:rStyle w:val="Hyperlink"/>
          <w:b/>
        </w:rPr>
        <w:t xml:space="preserve"> </w:t>
      </w:r>
      <w:r>
        <w:rPr>
          <w:sz w:val="21"/>
          <w:szCs w:val="21"/>
        </w:rPr>
        <w:t>–</w:t>
      </w:r>
      <w:r w:rsidRPr="002C5BF6">
        <w:rPr>
          <w:sz w:val="21"/>
          <w:szCs w:val="21"/>
        </w:rPr>
        <w:t xml:space="preserve"> 2015</w:t>
      </w:r>
    </w:p>
    <w:p w:rsidR="002C5BF6" w:rsidRPr="00C37DC9" w:rsidRDefault="002C5BF6" w:rsidP="002C5BF6">
      <w:pPr>
        <w:spacing w:after="120"/>
        <w:ind w:left="360"/>
        <w:jc w:val="both"/>
        <w:rPr>
          <w:sz w:val="19"/>
          <w:szCs w:val="19"/>
        </w:rPr>
      </w:pPr>
      <w:r w:rsidRPr="00C37DC9">
        <w:rPr>
          <w:sz w:val="19"/>
          <w:szCs w:val="19"/>
        </w:rPr>
        <w:t>Planned and regulated task shifting and task sharing can have a range of benefits. It can ensure a rational optimization of the available health workforce, address health system shortages of specialized health-care professionals, improve equity in access to health care and increase the acceptability of health services for those receiving them. This guideline provides a range of options for expanding of health worker roles in the provision of safe abortion care, the management of complications of abortion (also known as post-abortion care in some settings and provided as part of emergency obstetric care) and for post-abortion contraception provision.</w:t>
      </w:r>
    </w:p>
    <w:p w:rsidR="002C5BF6" w:rsidRPr="0084756F" w:rsidRDefault="00AE30E1" w:rsidP="002C5BF6">
      <w:pPr>
        <w:pStyle w:val="ListParagraph"/>
        <w:numPr>
          <w:ilvl w:val="0"/>
          <w:numId w:val="11"/>
        </w:numPr>
        <w:spacing w:after="120"/>
        <w:jc w:val="both"/>
        <w:rPr>
          <w:sz w:val="18"/>
          <w:szCs w:val="18"/>
        </w:rPr>
      </w:pPr>
      <w:r>
        <w:rPr>
          <w:sz w:val="18"/>
          <w:szCs w:val="18"/>
        </w:rPr>
        <w:t xml:space="preserve">UN WOMEN - </w:t>
      </w:r>
      <w:hyperlink r:id="rId13" w:history="1">
        <w:r w:rsidR="0084756F" w:rsidRPr="0084756F">
          <w:rPr>
            <w:rStyle w:val="Hyperlink"/>
            <w:b/>
          </w:rPr>
          <w:t>GUIDEBOOK ON CEDAW GENERAL RECOMMENDATION NO. 30 AND THE UN SECURITY COUNCIL RESOLUTIONS ON WOMEN, PEACE AND SECURITY</w:t>
        </w:r>
      </w:hyperlink>
      <w:r w:rsidR="0084756F">
        <w:rPr>
          <w:rStyle w:val="Hyperlink"/>
          <w:b/>
        </w:rPr>
        <w:t xml:space="preserve"> </w:t>
      </w:r>
      <w:r w:rsidR="0084756F">
        <w:rPr>
          <w:sz w:val="21"/>
          <w:szCs w:val="21"/>
        </w:rPr>
        <w:t>–</w:t>
      </w:r>
      <w:r w:rsidR="0084756F" w:rsidRPr="0084756F">
        <w:rPr>
          <w:sz w:val="21"/>
          <w:szCs w:val="21"/>
        </w:rPr>
        <w:t xml:space="preserve"> 2015</w:t>
      </w:r>
    </w:p>
    <w:p w:rsidR="0084756F" w:rsidRPr="0084756F" w:rsidRDefault="0084756F" w:rsidP="0084756F">
      <w:pPr>
        <w:spacing w:after="120"/>
        <w:ind w:left="360"/>
        <w:jc w:val="both"/>
        <w:rPr>
          <w:sz w:val="19"/>
          <w:szCs w:val="19"/>
        </w:rPr>
      </w:pPr>
      <w:r w:rsidRPr="0084756F">
        <w:rPr>
          <w:sz w:val="19"/>
          <w:szCs w:val="19"/>
        </w:rPr>
        <w:t>The purpose of this Guidebook is to increase knowledge on both sets of frameworks and expand understanding of how the Convention and the WPS resolutions can be imp</w:t>
      </w:r>
      <w:bookmarkStart w:id="0" w:name="_GoBack"/>
      <w:bookmarkEnd w:id="0"/>
      <w:r w:rsidRPr="0084756F">
        <w:rPr>
          <w:sz w:val="19"/>
          <w:szCs w:val="19"/>
        </w:rPr>
        <w:t>lemented in congruent ways and used to strengthen and reinforce each instrument’s efficacy. The Guidebook provides an overview of the reporting and monitoring mechanisms inherent to both GR30 and the WPS resolutions, in order to enhance accountability for both frameworks. It provides guidance on how implementation of GR30 and the WPS resolutions can strengthen and reinforce each other, in particular through reporting</w:t>
      </w:r>
    </w:p>
    <w:p w:rsidR="00273BAA" w:rsidRPr="0014651D" w:rsidRDefault="0014651D" w:rsidP="00484258">
      <w:pPr>
        <w:tabs>
          <w:tab w:val="left" w:pos="1800"/>
        </w:tabs>
        <w:rPr>
          <w:b/>
          <w:i/>
        </w:rPr>
      </w:pPr>
      <w:r w:rsidRPr="0014651D">
        <w:rPr>
          <w:b/>
          <w:i/>
          <w:sz w:val="20"/>
        </w:rPr>
        <w:t xml:space="preserve">For more information or questions, please feel free to contact me: Eliana </w:t>
      </w:r>
      <w:proofErr w:type="spellStart"/>
      <w:r w:rsidRPr="0014651D">
        <w:rPr>
          <w:b/>
          <w:i/>
          <w:sz w:val="20"/>
        </w:rPr>
        <w:t>Irato</w:t>
      </w:r>
      <w:proofErr w:type="spellEnd"/>
      <w:r w:rsidRPr="0014651D">
        <w:rPr>
          <w:b/>
          <w:i/>
          <w:sz w:val="20"/>
        </w:rPr>
        <w:t xml:space="preserve">, </w:t>
      </w:r>
      <w:hyperlink r:id="rId14" w:history="1">
        <w:r w:rsidRPr="0014651D">
          <w:rPr>
            <w:rStyle w:val="Hyperlink"/>
            <w:b/>
            <w:i/>
            <w:sz w:val="20"/>
          </w:rPr>
          <w:t>Eliana.irato@echofield.eu</w:t>
        </w:r>
      </w:hyperlink>
      <w:r w:rsidRPr="0014651D">
        <w:rPr>
          <w:b/>
          <w:i/>
          <w:sz w:val="20"/>
        </w:rPr>
        <w:t xml:space="preserve"> </w:t>
      </w:r>
      <w:r w:rsidR="00484258" w:rsidRPr="0014651D">
        <w:rPr>
          <w:b/>
          <w:i/>
        </w:rPr>
        <w:tab/>
      </w:r>
    </w:p>
    <w:sectPr w:rsidR="00273BAA" w:rsidRPr="0014651D" w:rsidSect="00273BAA">
      <w:headerReference w:type="even" r:id="rId15"/>
      <w:headerReference w:type="default" r:id="rId16"/>
      <w:head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935" w:rsidRDefault="003F7935" w:rsidP="00796ADA">
      <w:pPr>
        <w:spacing w:after="0" w:line="240" w:lineRule="auto"/>
      </w:pPr>
      <w:r>
        <w:separator/>
      </w:r>
    </w:p>
  </w:endnote>
  <w:endnote w:type="continuationSeparator" w:id="0">
    <w:p w:rsidR="003F7935" w:rsidRDefault="003F7935" w:rsidP="00796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935" w:rsidRDefault="003F7935" w:rsidP="00796ADA">
      <w:pPr>
        <w:spacing w:after="0" w:line="240" w:lineRule="auto"/>
      </w:pPr>
      <w:r>
        <w:separator/>
      </w:r>
    </w:p>
  </w:footnote>
  <w:footnote w:type="continuationSeparator" w:id="0">
    <w:p w:rsidR="003F7935" w:rsidRDefault="003F7935" w:rsidP="00796A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EC0" w:rsidRDefault="003F793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025315" o:spid="_x0000_s2056" type="#_x0000_t75" style="position:absolute;margin-left:0;margin-top:0;width:489.4pt;height:719.9pt;z-index:-251657216;mso-position-horizontal:center;mso-position-horizontal-relative:margin;mso-position-vertical:center;mso-position-vertical-relative:margin" o:allowincell="f">
          <v:imagedata r:id="rId1" o:title="FORUM_Lila_symbol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EC0" w:rsidRDefault="003F793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025316" o:spid="_x0000_s2057" type="#_x0000_t75" style="position:absolute;margin-left:0;margin-top:0;width:489.4pt;height:719.9pt;z-index:-251656192;mso-position-horizontal:center;mso-position-horizontal-relative:margin;mso-position-vertical:center;mso-position-vertical-relative:margin" o:allowincell="f">
          <v:imagedata r:id="rId1" o:title="FORUM_Lila_symbol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EC0" w:rsidRDefault="003F793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025314" o:spid="_x0000_s2055" type="#_x0000_t75" style="position:absolute;margin-left:0;margin-top:0;width:489.4pt;height:719.9pt;z-index:-251658240;mso-position-horizontal:center;mso-position-horizontal-relative:margin;mso-position-vertical:center;mso-position-vertical-relative:margin" o:allowincell="f">
          <v:imagedata r:id="rId1" o:title="FORUM_Lila_symbol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A4CF6"/>
    <w:multiLevelType w:val="hybridMultilevel"/>
    <w:tmpl w:val="4FA4C2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C345F3"/>
    <w:multiLevelType w:val="hybridMultilevel"/>
    <w:tmpl w:val="74927F34"/>
    <w:lvl w:ilvl="0" w:tplc="69A08B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271238"/>
    <w:multiLevelType w:val="hybridMultilevel"/>
    <w:tmpl w:val="F6CE0670"/>
    <w:lvl w:ilvl="0" w:tplc="6E44C44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796A55"/>
    <w:multiLevelType w:val="hybridMultilevel"/>
    <w:tmpl w:val="88BC2896"/>
    <w:lvl w:ilvl="0" w:tplc="EA0690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EF1E79"/>
    <w:multiLevelType w:val="multilevel"/>
    <w:tmpl w:val="88CED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1C629F"/>
    <w:multiLevelType w:val="hybridMultilevel"/>
    <w:tmpl w:val="D2AA80B4"/>
    <w:lvl w:ilvl="0" w:tplc="CA245E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4A6015"/>
    <w:multiLevelType w:val="hybridMultilevel"/>
    <w:tmpl w:val="19704AAE"/>
    <w:lvl w:ilvl="0" w:tplc="685CFC8E">
      <w:start w:val="1"/>
      <w:numFmt w:val="decimal"/>
      <w:lvlText w:val="%1)"/>
      <w:lvlJc w:val="left"/>
      <w:pPr>
        <w:ind w:left="720" w:hanging="360"/>
      </w:pPr>
      <w:rPr>
        <w:rFonts w:hint="default"/>
        <w:b w:val="0"/>
        <w:i w:val="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2D6EDA"/>
    <w:multiLevelType w:val="hybridMultilevel"/>
    <w:tmpl w:val="F84C27DA"/>
    <w:lvl w:ilvl="0" w:tplc="18BC276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434C34"/>
    <w:multiLevelType w:val="hybridMultilevel"/>
    <w:tmpl w:val="8B90BF72"/>
    <w:lvl w:ilvl="0" w:tplc="0D1E7950">
      <w:start w:val="1"/>
      <w:numFmt w:val="decimal"/>
      <w:lvlText w:val="%1)"/>
      <w:lvlJc w:val="left"/>
      <w:pPr>
        <w:ind w:left="720" w:hanging="360"/>
      </w:pPr>
      <w:rPr>
        <w:rFonts w:hint="default"/>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362DC1"/>
    <w:multiLevelType w:val="hybridMultilevel"/>
    <w:tmpl w:val="FA8EDAD0"/>
    <w:lvl w:ilvl="0" w:tplc="48B0D3D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5A7A3D"/>
    <w:multiLevelType w:val="multilevel"/>
    <w:tmpl w:val="8E32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2032BDB"/>
    <w:multiLevelType w:val="hybridMultilevel"/>
    <w:tmpl w:val="733C3B16"/>
    <w:lvl w:ilvl="0" w:tplc="BF8CD22C">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9"/>
  </w:num>
  <w:num w:numId="4">
    <w:abstractNumId w:val="7"/>
  </w:num>
  <w:num w:numId="5">
    <w:abstractNumId w:val="10"/>
  </w:num>
  <w:num w:numId="6">
    <w:abstractNumId w:val="4"/>
  </w:num>
  <w:num w:numId="7">
    <w:abstractNumId w:val="5"/>
  </w:num>
  <w:num w:numId="8">
    <w:abstractNumId w:val="11"/>
  </w:num>
  <w:num w:numId="9">
    <w:abstractNumId w:val="2"/>
  </w:num>
  <w:num w:numId="10">
    <w:abstractNumId w:val="8"/>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BAA"/>
    <w:rsid w:val="000322D3"/>
    <w:rsid w:val="00085A31"/>
    <w:rsid w:val="000E0896"/>
    <w:rsid w:val="000F7EC0"/>
    <w:rsid w:val="001221DB"/>
    <w:rsid w:val="00142AC7"/>
    <w:rsid w:val="0014651D"/>
    <w:rsid w:val="001A5A6B"/>
    <w:rsid w:val="001B0614"/>
    <w:rsid w:val="001B6063"/>
    <w:rsid w:val="001C3EE1"/>
    <w:rsid w:val="001E3499"/>
    <w:rsid w:val="00211FB7"/>
    <w:rsid w:val="00225157"/>
    <w:rsid w:val="002575D6"/>
    <w:rsid w:val="00273BAA"/>
    <w:rsid w:val="00282845"/>
    <w:rsid w:val="00287C22"/>
    <w:rsid w:val="00294D13"/>
    <w:rsid w:val="002B7F90"/>
    <w:rsid w:val="002C5BF6"/>
    <w:rsid w:val="002C75D8"/>
    <w:rsid w:val="002D3A20"/>
    <w:rsid w:val="002E4B14"/>
    <w:rsid w:val="003105FB"/>
    <w:rsid w:val="003A241A"/>
    <w:rsid w:val="003A251B"/>
    <w:rsid w:val="003B6040"/>
    <w:rsid w:val="003E716B"/>
    <w:rsid w:val="003F3C2E"/>
    <w:rsid w:val="003F7935"/>
    <w:rsid w:val="00471E3E"/>
    <w:rsid w:val="00484258"/>
    <w:rsid w:val="004851D8"/>
    <w:rsid w:val="004C62B7"/>
    <w:rsid w:val="004D3E4C"/>
    <w:rsid w:val="004D760B"/>
    <w:rsid w:val="00540C9B"/>
    <w:rsid w:val="0054647B"/>
    <w:rsid w:val="005735F0"/>
    <w:rsid w:val="00587ADF"/>
    <w:rsid w:val="00597E34"/>
    <w:rsid w:val="005E0045"/>
    <w:rsid w:val="005E277C"/>
    <w:rsid w:val="00625D11"/>
    <w:rsid w:val="00635024"/>
    <w:rsid w:val="00652395"/>
    <w:rsid w:val="006745EE"/>
    <w:rsid w:val="0068536C"/>
    <w:rsid w:val="006B38FF"/>
    <w:rsid w:val="006C5ECB"/>
    <w:rsid w:val="006C61B5"/>
    <w:rsid w:val="00700CEE"/>
    <w:rsid w:val="00707F97"/>
    <w:rsid w:val="00711D00"/>
    <w:rsid w:val="00796ADA"/>
    <w:rsid w:val="008043BD"/>
    <w:rsid w:val="008161C1"/>
    <w:rsid w:val="00843A3A"/>
    <w:rsid w:val="0084756F"/>
    <w:rsid w:val="00893B29"/>
    <w:rsid w:val="008D6D68"/>
    <w:rsid w:val="008F4B93"/>
    <w:rsid w:val="008F7213"/>
    <w:rsid w:val="009310A8"/>
    <w:rsid w:val="00934558"/>
    <w:rsid w:val="0097306C"/>
    <w:rsid w:val="0098320D"/>
    <w:rsid w:val="00990F5B"/>
    <w:rsid w:val="009E0B74"/>
    <w:rsid w:val="00A17AF7"/>
    <w:rsid w:val="00A247E8"/>
    <w:rsid w:val="00AA7001"/>
    <w:rsid w:val="00AD4CEB"/>
    <w:rsid w:val="00AE009E"/>
    <w:rsid w:val="00AE30E1"/>
    <w:rsid w:val="00B15167"/>
    <w:rsid w:val="00BA7EA6"/>
    <w:rsid w:val="00BE47EB"/>
    <w:rsid w:val="00C34995"/>
    <w:rsid w:val="00C37DC9"/>
    <w:rsid w:val="00C73184"/>
    <w:rsid w:val="00C82220"/>
    <w:rsid w:val="00CE7EE0"/>
    <w:rsid w:val="00D20E45"/>
    <w:rsid w:val="00D607AC"/>
    <w:rsid w:val="00D65C9E"/>
    <w:rsid w:val="00D861AA"/>
    <w:rsid w:val="00D9620E"/>
    <w:rsid w:val="00DF1B7F"/>
    <w:rsid w:val="00E330CA"/>
    <w:rsid w:val="00E4319D"/>
    <w:rsid w:val="00F00D9E"/>
    <w:rsid w:val="00F250AA"/>
    <w:rsid w:val="00F44BF7"/>
    <w:rsid w:val="00F72CC8"/>
    <w:rsid w:val="00F86354"/>
    <w:rsid w:val="00FA1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E71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link w:val="Heading5Char"/>
    <w:uiPriority w:val="9"/>
    <w:qFormat/>
    <w:rsid w:val="009E0B7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BAA"/>
    <w:pPr>
      <w:ind w:left="720"/>
      <w:contextualSpacing/>
    </w:pPr>
  </w:style>
  <w:style w:type="character" w:styleId="Hyperlink">
    <w:name w:val="Hyperlink"/>
    <w:basedOn w:val="DefaultParagraphFont"/>
    <w:uiPriority w:val="99"/>
    <w:unhideWhenUsed/>
    <w:rsid w:val="00273BAA"/>
    <w:rPr>
      <w:color w:val="0000FF" w:themeColor="hyperlink"/>
      <w:u w:val="single"/>
    </w:rPr>
  </w:style>
  <w:style w:type="paragraph" w:styleId="Header">
    <w:name w:val="header"/>
    <w:basedOn w:val="Normal"/>
    <w:link w:val="HeaderChar"/>
    <w:uiPriority w:val="99"/>
    <w:unhideWhenUsed/>
    <w:rsid w:val="00796A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ADA"/>
  </w:style>
  <w:style w:type="paragraph" w:styleId="Footer">
    <w:name w:val="footer"/>
    <w:basedOn w:val="Normal"/>
    <w:link w:val="FooterChar"/>
    <w:uiPriority w:val="99"/>
    <w:unhideWhenUsed/>
    <w:rsid w:val="00796A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ADA"/>
  </w:style>
  <w:style w:type="character" w:styleId="FollowedHyperlink">
    <w:name w:val="FollowedHyperlink"/>
    <w:basedOn w:val="DefaultParagraphFont"/>
    <w:uiPriority w:val="99"/>
    <w:semiHidden/>
    <w:unhideWhenUsed/>
    <w:rsid w:val="00796ADA"/>
    <w:rPr>
      <w:color w:val="800080" w:themeColor="followedHyperlink"/>
      <w:u w:val="single"/>
    </w:rPr>
  </w:style>
  <w:style w:type="paragraph" w:styleId="NormalWeb">
    <w:name w:val="Normal (Web)"/>
    <w:basedOn w:val="Normal"/>
    <w:uiPriority w:val="99"/>
    <w:semiHidden/>
    <w:unhideWhenUsed/>
    <w:rsid w:val="00B1516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151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167"/>
    <w:rPr>
      <w:rFonts w:ascii="Tahoma" w:hAnsi="Tahoma" w:cs="Tahoma"/>
      <w:sz w:val="16"/>
      <w:szCs w:val="16"/>
    </w:rPr>
  </w:style>
  <w:style w:type="paragraph" w:styleId="FootnoteText">
    <w:name w:val="footnote text"/>
    <w:basedOn w:val="Normal"/>
    <w:link w:val="FootnoteTextChar"/>
    <w:uiPriority w:val="99"/>
    <w:semiHidden/>
    <w:unhideWhenUsed/>
    <w:rsid w:val="00B151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5167"/>
    <w:rPr>
      <w:sz w:val="20"/>
      <w:szCs w:val="20"/>
    </w:rPr>
  </w:style>
  <w:style w:type="character" w:styleId="FootnoteReference">
    <w:name w:val="footnote reference"/>
    <w:basedOn w:val="DefaultParagraphFont"/>
    <w:uiPriority w:val="99"/>
    <w:semiHidden/>
    <w:unhideWhenUsed/>
    <w:rsid w:val="00B15167"/>
    <w:rPr>
      <w:vertAlign w:val="superscript"/>
    </w:rPr>
  </w:style>
  <w:style w:type="character" w:styleId="Strong">
    <w:name w:val="Strong"/>
    <w:basedOn w:val="DefaultParagraphFont"/>
    <w:uiPriority w:val="22"/>
    <w:qFormat/>
    <w:rsid w:val="008043BD"/>
    <w:rPr>
      <w:b/>
      <w:bCs/>
    </w:rPr>
  </w:style>
  <w:style w:type="character" w:styleId="Emphasis">
    <w:name w:val="Emphasis"/>
    <w:basedOn w:val="DefaultParagraphFont"/>
    <w:uiPriority w:val="20"/>
    <w:qFormat/>
    <w:rsid w:val="008043BD"/>
    <w:rPr>
      <w:i/>
      <w:iCs/>
    </w:rPr>
  </w:style>
  <w:style w:type="character" w:customStyle="1" w:styleId="apple-converted-space">
    <w:name w:val="apple-converted-space"/>
    <w:basedOn w:val="DefaultParagraphFont"/>
    <w:rsid w:val="008043BD"/>
  </w:style>
  <w:style w:type="character" w:customStyle="1" w:styleId="author">
    <w:name w:val="author"/>
    <w:basedOn w:val="DefaultParagraphFont"/>
    <w:rsid w:val="00BE47EB"/>
  </w:style>
  <w:style w:type="character" w:customStyle="1" w:styleId="A7">
    <w:name w:val="A7"/>
    <w:uiPriority w:val="99"/>
    <w:rsid w:val="001B0614"/>
    <w:rPr>
      <w:rFonts w:cs="Helvetica 45 Light"/>
      <w:color w:val="000000"/>
      <w:sz w:val="22"/>
      <w:szCs w:val="22"/>
    </w:rPr>
  </w:style>
  <w:style w:type="character" w:styleId="CommentReference">
    <w:name w:val="annotation reference"/>
    <w:basedOn w:val="DefaultParagraphFont"/>
    <w:uiPriority w:val="99"/>
    <w:semiHidden/>
    <w:unhideWhenUsed/>
    <w:rsid w:val="003A251B"/>
    <w:rPr>
      <w:sz w:val="16"/>
      <w:szCs w:val="16"/>
    </w:rPr>
  </w:style>
  <w:style w:type="paragraph" w:styleId="CommentText">
    <w:name w:val="annotation text"/>
    <w:basedOn w:val="Normal"/>
    <w:link w:val="CommentTextChar"/>
    <w:uiPriority w:val="99"/>
    <w:semiHidden/>
    <w:unhideWhenUsed/>
    <w:rsid w:val="003A251B"/>
    <w:pPr>
      <w:spacing w:line="240" w:lineRule="auto"/>
    </w:pPr>
    <w:rPr>
      <w:sz w:val="20"/>
      <w:szCs w:val="20"/>
    </w:rPr>
  </w:style>
  <w:style w:type="character" w:customStyle="1" w:styleId="CommentTextChar">
    <w:name w:val="Comment Text Char"/>
    <w:basedOn w:val="DefaultParagraphFont"/>
    <w:link w:val="CommentText"/>
    <w:uiPriority w:val="99"/>
    <w:semiHidden/>
    <w:rsid w:val="003A251B"/>
    <w:rPr>
      <w:sz w:val="20"/>
      <w:szCs w:val="20"/>
    </w:rPr>
  </w:style>
  <w:style w:type="paragraph" w:styleId="CommentSubject">
    <w:name w:val="annotation subject"/>
    <w:basedOn w:val="CommentText"/>
    <w:next w:val="CommentText"/>
    <w:link w:val="CommentSubjectChar"/>
    <w:uiPriority w:val="99"/>
    <w:semiHidden/>
    <w:unhideWhenUsed/>
    <w:rsid w:val="003A251B"/>
    <w:rPr>
      <w:b/>
      <w:bCs/>
    </w:rPr>
  </w:style>
  <w:style w:type="character" w:customStyle="1" w:styleId="CommentSubjectChar">
    <w:name w:val="Comment Subject Char"/>
    <w:basedOn w:val="CommentTextChar"/>
    <w:link w:val="CommentSubject"/>
    <w:uiPriority w:val="99"/>
    <w:semiHidden/>
    <w:rsid w:val="003A251B"/>
    <w:rPr>
      <w:b/>
      <w:bCs/>
      <w:sz w:val="20"/>
      <w:szCs w:val="20"/>
    </w:rPr>
  </w:style>
  <w:style w:type="paragraph" w:customStyle="1" w:styleId="Default">
    <w:name w:val="Default"/>
    <w:rsid w:val="001C3EE1"/>
    <w:pPr>
      <w:autoSpaceDE w:val="0"/>
      <w:autoSpaceDN w:val="0"/>
      <w:adjustRightInd w:val="0"/>
      <w:spacing w:after="0" w:line="240" w:lineRule="auto"/>
    </w:pPr>
    <w:rPr>
      <w:rFonts w:ascii="Arial" w:hAnsi="Arial" w:cs="Arial"/>
      <w:color w:val="000000"/>
      <w:sz w:val="24"/>
      <w:szCs w:val="24"/>
    </w:rPr>
  </w:style>
  <w:style w:type="character" w:customStyle="1" w:styleId="Heading5Char">
    <w:name w:val="Heading 5 Char"/>
    <w:basedOn w:val="DefaultParagraphFont"/>
    <w:link w:val="Heading5"/>
    <w:uiPriority w:val="9"/>
    <w:rsid w:val="009E0B74"/>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3E716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E71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link w:val="Heading5Char"/>
    <w:uiPriority w:val="9"/>
    <w:qFormat/>
    <w:rsid w:val="009E0B7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BAA"/>
    <w:pPr>
      <w:ind w:left="720"/>
      <w:contextualSpacing/>
    </w:pPr>
  </w:style>
  <w:style w:type="character" w:styleId="Hyperlink">
    <w:name w:val="Hyperlink"/>
    <w:basedOn w:val="DefaultParagraphFont"/>
    <w:uiPriority w:val="99"/>
    <w:unhideWhenUsed/>
    <w:rsid w:val="00273BAA"/>
    <w:rPr>
      <w:color w:val="0000FF" w:themeColor="hyperlink"/>
      <w:u w:val="single"/>
    </w:rPr>
  </w:style>
  <w:style w:type="paragraph" w:styleId="Header">
    <w:name w:val="header"/>
    <w:basedOn w:val="Normal"/>
    <w:link w:val="HeaderChar"/>
    <w:uiPriority w:val="99"/>
    <w:unhideWhenUsed/>
    <w:rsid w:val="00796A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ADA"/>
  </w:style>
  <w:style w:type="paragraph" w:styleId="Footer">
    <w:name w:val="footer"/>
    <w:basedOn w:val="Normal"/>
    <w:link w:val="FooterChar"/>
    <w:uiPriority w:val="99"/>
    <w:unhideWhenUsed/>
    <w:rsid w:val="00796A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ADA"/>
  </w:style>
  <w:style w:type="character" w:styleId="FollowedHyperlink">
    <w:name w:val="FollowedHyperlink"/>
    <w:basedOn w:val="DefaultParagraphFont"/>
    <w:uiPriority w:val="99"/>
    <w:semiHidden/>
    <w:unhideWhenUsed/>
    <w:rsid w:val="00796ADA"/>
    <w:rPr>
      <w:color w:val="800080" w:themeColor="followedHyperlink"/>
      <w:u w:val="single"/>
    </w:rPr>
  </w:style>
  <w:style w:type="paragraph" w:styleId="NormalWeb">
    <w:name w:val="Normal (Web)"/>
    <w:basedOn w:val="Normal"/>
    <w:uiPriority w:val="99"/>
    <w:semiHidden/>
    <w:unhideWhenUsed/>
    <w:rsid w:val="00B1516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151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167"/>
    <w:rPr>
      <w:rFonts w:ascii="Tahoma" w:hAnsi="Tahoma" w:cs="Tahoma"/>
      <w:sz w:val="16"/>
      <w:szCs w:val="16"/>
    </w:rPr>
  </w:style>
  <w:style w:type="paragraph" w:styleId="FootnoteText">
    <w:name w:val="footnote text"/>
    <w:basedOn w:val="Normal"/>
    <w:link w:val="FootnoteTextChar"/>
    <w:uiPriority w:val="99"/>
    <w:semiHidden/>
    <w:unhideWhenUsed/>
    <w:rsid w:val="00B151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5167"/>
    <w:rPr>
      <w:sz w:val="20"/>
      <w:szCs w:val="20"/>
    </w:rPr>
  </w:style>
  <w:style w:type="character" w:styleId="FootnoteReference">
    <w:name w:val="footnote reference"/>
    <w:basedOn w:val="DefaultParagraphFont"/>
    <w:uiPriority w:val="99"/>
    <w:semiHidden/>
    <w:unhideWhenUsed/>
    <w:rsid w:val="00B15167"/>
    <w:rPr>
      <w:vertAlign w:val="superscript"/>
    </w:rPr>
  </w:style>
  <w:style w:type="character" w:styleId="Strong">
    <w:name w:val="Strong"/>
    <w:basedOn w:val="DefaultParagraphFont"/>
    <w:uiPriority w:val="22"/>
    <w:qFormat/>
    <w:rsid w:val="008043BD"/>
    <w:rPr>
      <w:b/>
      <w:bCs/>
    </w:rPr>
  </w:style>
  <w:style w:type="character" w:styleId="Emphasis">
    <w:name w:val="Emphasis"/>
    <w:basedOn w:val="DefaultParagraphFont"/>
    <w:uiPriority w:val="20"/>
    <w:qFormat/>
    <w:rsid w:val="008043BD"/>
    <w:rPr>
      <w:i/>
      <w:iCs/>
    </w:rPr>
  </w:style>
  <w:style w:type="character" w:customStyle="1" w:styleId="apple-converted-space">
    <w:name w:val="apple-converted-space"/>
    <w:basedOn w:val="DefaultParagraphFont"/>
    <w:rsid w:val="008043BD"/>
  </w:style>
  <w:style w:type="character" w:customStyle="1" w:styleId="author">
    <w:name w:val="author"/>
    <w:basedOn w:val="DefaultParagraphFont"/>
    <w:rsid w:val="00BE47EB"/>
  </w:style>
  <w:style w:type="character" w:customStyle="1" w:styleId="A7">
    <w:name w:val="A7"/>
    <w:uiPriority w:val="99"/>
    <w:rsid w:val="001B0614"/>
    <w:rPr>
      <w:rFonts w:cs="Helvetica 45 Light"/>
      <w:color w:val="000000"/>
      <w:sz w:val="22"/>
      <w:szCs w:val="22"/>
    </w:rPr>
  </w:style>
  <w:style w:type="character" w:styleId="CommentReference">
    <w:name w:val="annotation reference"/>
    <w:basedOn w:val="DefaultParagraphFont"/>
    <w:uiPriority w:val="99"/>
    <w:semiHidden/>
    <w:unhideWhenUsed/>
    <w:rsid w:val="003A251B"/>
    <w:rPr>
      <w:sz w:val="16"/>
      <w:szCs w:val="16"/>
    </w:rPr>
  </w:style>
  <w:style w:type="paragraph" w:styleId="CommentText">
    <w:name w:val="annotation text"/>
    <w:basedOn w:val="Normal"/>
    <w:link w:val="CommentTextChar"/>
    <w:uiPriority w:val="99"/>
    <w:semiHidden/>
    <w:unhideWhenUsed/>
    <w:rsid w:val="003A251B"/>
    <w:pPr>
      <w:spacing w:line="240" w:lineRule="auto"/>
    </w:pPr>
    <w:rPr>
      <w:sz w:val="20"/>
      <w:szCs w:val="20"/>
    </w:rPr>
  </w:style>
  <w:style w:type="character" w:customStyle="1" w:styleId="CommentTextChar">
    <w:name w:val="Comment Text Char"/>
    <w:basedOn w:val="DefaultParagraphFont"/>
    <w:link w:val="CommentText"/>
    <w:uiPriority w:val="99"/>
    <w:semiHidden/>
    <w:rsid w:val="003A251B"/>
    <w:rPr>
      <w:sz w:val="20"/>
      <w:szCs w:val="20"/>
    </w:rPr>
  </w:style>
  <w:style w:type="paragraph" w:styleId="CommentSubject">
    <w:name w:val="annotation subject"/>
    <w:basedOn w:val="CommentText"/>
    <w:next w:val="CommentText"/>
    <w:link w:val="CommentSubjectChar"/>
    <w:uiPriority w:val="99"/>
    <w:semiHidden/>
    <w:unhideWhenUsed/>
    <w:rsid w:val="003A251B"/>
    <w:rPr>
      <w:b/>
      <w:bCs/>
    </w:rPr>
  </w:style>
  <w:style w:type="character" w:customStyle="1" w:styleId="CommentSubjectChar">
    <w:name w:val="Comment Subject Char"/>
    <w:basedOn w:val="CommentTextChar"/>
    <w:link w:val="CommentSubject"/>
    <w:uiPriority w:val="99"/>
    <w:semiHidden/>
    <w:rsid w:val="003A251B"/>
    <w:rPr>
      <w:b/>
      <w:bCs/>
      <w:sz w:val="20"/>
      <w:szCs w:val="20"/>
    </w:rPr>
  </w:style>
  <w:style w:type="paragraph" w:customStyle="1" w:styleId="Default">
    <w:name w:val="Default"/>
    <w:rsid w:val="001C3EE1"/>
    <w:pPr>
      <w:autoSpaceDE w:val="0"/>
      <w:autoSpaceDN w:val="0"/>
      <w:adjustRightInd w:val="0"/>
      <w:spacing w:after="0" w:line="240" w:lineRule="auto"/>
    </w:pPr>
    <w:rPr>
      <w:rFonts w:ascii="Arial" w:hAnsi="Arial" w:cs="Arial"/>
      <w:color w:val="000000"/>
      <w:sz w:val="24"/>
      <w:szCs w:val="24"/>
    </w:rPr>
  </w:style>
  <w:style w:type="character" w:customStyle="1" w:styleId="Heading5Char">
    <w:name w:val="Heading 5 Char"/>
    <w:basedOn w:val="DefaultParagraphFont"/>
    <w:link w:val="Heading5"/>
    <w:uiPriority w:val="9"/>
    <w:rsid w:val="009E0B74"/>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3E716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8748">
      <w:bodyDiv w:val="1"/>
      <w:marLeft w:val="0"/>
      <w:marRight w:val="0"/>
      <w:marTop w:val="0"/>
      <w:marBottom w:val="0"/>
      <w:divBdr>
        <w:top w:val="none" w:sz="0" w:space="0" w:color="auto"/>
        <w:left w:val="none" w:sz="0" w:space="0" w:color="auto"/>
        <w:bottom w:val="none" w:sz="0" w:space="0" w:color="auto"/>
        <w:right w:val="none" w:sz="0" w:space="0" w:color="auto"/>
      </w:divBdr>
    </w:div>
    <w:div w:id="23019415">
      <w:bodyDiv w:val="1"/>
      <w:marLeft w:val="0"/>
      <w:marRight w:val="0"/>
      <w:marTop w:val="0"/>
      <w:marBottom w:val="0"/>
      <w:divBdr>
        <w:top w:val="none" w:sz="0" w:space="0" w:color="auto"/>
        <w:left w:val="none" w:sz="0" w:space="0" w:color="auto"/>
        <w:bottom w:val="none" w:sz="0" w:space="0" w:color="auto"/>
        <w:right w:val="none" w:sz="0" w:space="0" w:color="auto"/>
      </w:divBdr>
    </w:div>
    <w:div w:id="270086048">
      <w:bodyDiv w:val="1"/>
      <w:marLeft w:val="0"/>
      <w:marRight w:val="0"/>
      <w:marTop w:val="0"/>
      <w:marBottom w:val="0"/>
      <w:divBdr>
        <w:top w:val="none" w:sz="0" w:space="0" w:color="auto"/>
        <w:left w:val="none" w:sz="0" w:space="0" w:color="auto"/>
        <w:bottom w:val="none" w:sz="0" w:space="0" w:color="auto"/>
        <w:right w:val="none" w:sz="0" w:space="0" w:color="auto"/>
      </w:divBdr>
    </w:div>
    <w:div w:id="305818553">
      <w:bodyDiv w:val="1"/>
      <w:marLeft w:val="0"/>
      <w:marRight w:val="0"/>
      <w:marTop w:val="0"/>
      <w:marBottom w:val="0"/>
      <w:divBdr>
        <w:top w:val="none" w:sz="0" w:space="0" w:color="auto"/>
        <w:left w:val="none" w:sz="0" w:space="0" w:color="auto"/>
        <w:bottom w:val="none" w:sz="0" w:space="0" w:color="auto"/>
        <w:right w:val="none" w:sz="0" w:space="0" w:color="auto"/>
      </w:divBdr>
    </w:div>
    <w:div w:id="326784873">
      <w:bodyDiv w:val="1"/>
      <w:marLeft w:val="0"/>
      <w:marRight w:val="0"/>
      <w:marTop w:val="0"/>
      <w:marBottom w:val="0"/>
      <w:divBdr>
        <w:top w:val="none" w:sz="0" w:space="0" w:color="auto"/>
        <w:left w:val="none" w:sz="0" w:space="0" w:color="auto"/>
        <w:bottom w:val="none" w:sz="0" w:space="0" w:color="auto"/>
        <w:right w:val="none" w:sz="0" w:space="0" w:color="auto"/>
      </w:divBdr>
    </w:div>
    <w:div w:id="416051961">
      <w:bodyDiv w:val="1"/>
      <w:marLeft w:val="0"/>
      <w:marRight w:val="0"/>
      <w:marTop w:val="0"/>
      <w:marBottom w:val="0"/>
      <w:divBdr>
        <w:top w:val="none" w:sz="0" w:space="0" w:color="auto"/>
        <w:left w:val="none" w:sz="0" w:space="0" w:color="auto"/>
        <w:bottom w:val="none" w:sz="0" w:space="0" w:color="auto"/>
        <w:right w:val="none" w:sz="0" w:space="0" w:color="auto"/>
      </w:divBdr>
    </w:div>
    <w:div w:id="432632952">
      <w:bodyDiv w:val="1"/>
      <w:marLeft w:val="0"/>
      <w:marRight w:val="0"/>
      <w:marTop w:val="0"/>
      <w:marBottom w:val="0"/>
      <w:divBdr>
        <w:top w:val="none" w:sz="0" w:space="0" w:color="auto"/>
        <w:left w:val="none" w:sz="0" w:space="0" w:color="auto"/>
        <w:bottom w:val="none" w:sz="0" w:space="0" w:color="auto"/>
        <w:right w:val="none" w:sz="0" w:space="0" w:color="auto"/>
      </w:divBdr>
    </w:div>
    <w:div w:id="526412155">
      <w:bodyDiv w:val="1"/>
      <w:marLeft w:val="0"/>
      <w:marRight w:val="0"/>
      <w:marTop w:val="0"/>
      <w:marBottom w:val="0"/>
      <w:divBdr>
        <w:top w:val="none" w:sz="0" w:space="0" w:color="auto"/>
        <w:left w:val="none" w:sz="0" w:space="0" w:color="auto"/>
        <w:bottom w:val="none" w:sz="0" w:space="0" w:color="auto"/>
        <w:right w:val="none" w:sz="0" w:space="0" w:color="auto"/>
      </w:divBdr>
    </w:div>
    <w:div w:id="701588571">
      <w:bodyDiv w:val="1"/>
      <w:marLeft w:val="0"/>
      <w:marRight w:val="0"/>
      <w:marTop w:val="0"/>
      <w:marBottom w:val="0"/>
      <w:divBdr>
        <w:top w:val="none" w:sz="0" w:space="0" w:color="auto"/>
        <w:left w:val="none" w:sz="0" w:space="0" w:color="auto"/>
        <w:bottom w:val="none" w:sz="0" w:space="0" w:color="auto"/>
        <w:right w:val="none" w:sz="0" w:space="0" w:color="auto"/>
      </w:divBdr>
    </w:div>
    <w:div w:id="840510445">
      <w:bodyDiv w:val="1"/>
      <w:marLeft w:val="0"/>
      <w:marRight w:val="0"/>
      <w:marTop w:val="0"/>
      <w:marBottom w:val="0"/>
      <w:divBdr>
        <w:top w:val="none" w:sz="0" w:space="0" w:color="auto"/>
        <w:left w:val="none" w:sz="0" w:space="0" w:color="auto"/>
        <w:bottom w:val="none" w:sz="0" w:space="0" w:color="auto"/>
        <w:right w:val="none" w:sz="0" w:space="0" w:color="auto"/>
      </w:divBdr>
    </w:div>
    <w:div w:id="1069500402">
      <w:bodyDiv w:val="1"/>
      <w:marLeft w:val="0"/>
      <w:marRight w:val="0"/>
      <w:marTop w:val="0"/>
      <w:marBottom w:val="0"/>
      <w:divBdr>
        <w:top w:val="none" w:sz="0" w:space="0" w:color="auto"/>
        <w:left w:val="none" w:sz="0" w:space="0" w:color="auto"/>
        <w:bottom w:val="none" w:sz="0" w:space="0" w:color="auto"/>
        <w:right w:val="none" w:sz="0" w:space="0" w:color="auto"/>
      </w:divBdr>
    </w:div>
    <w:div w:id="1228372622">
      <w:bodyDiv w:val="1"/>
      <w:marLeft w:val="0"/>
      <w:marRight w:val="0"/>
      <w:marTop w:val="0"/>
      <w:marBottom w:val="0"/>
      <w:divBdr>
        <w:top w:val="none" w:sz="0" w:space="0" w:color="auto"/>
        <w:left w:val="none" w:sz="0" w:space="0" w:color="auto"/>
        <w:bottom w:val="none" w:sz="0" w:space="0" w:color="auto"/>
        <w:right w:val="none" w:sz="0" w:space="0" w:color="auto"/>
      </w:divBdr>
    </w:div>
    <w:div w:id="1271666208">
      <w:bodyDiv w:val="1"/>
      <w:marLeft w:val="0"/>
      <w:marRight w:val="0"/>
      <w:marTop w:val="0"/>
      <w:marBottom w:val="0"/>
      <w:divBdr>
        <w:top w:val="none" w:sz="0" w:space="0" w:color="auto"/>
        <w:left w:val="none" w:sz="0" w:space="0" w:color="auto"/>
        <w:bottom w:val="none" w:sz="0" w:space="0" w:color="auto"/>
        <w:right w:val="none" w:sz="0" w:space="0" w:color="auto"/>
      </w:divBdr>
      <w:divsChild>
        <w:div w:id="1338456710">
          <w:marLeft w:val="0"/>
          <w:marRight w:val="0"/>
          <w:marTop w:val="0"/>
          <w:marBottom w:val="150"/>
          <w:divBdr>
            <w:top w:val="none" w:sz="0" w:space="0" w:color="auto"/>
            <w:left w:val="none" w:sz="0" w:space="0" w:color="auto"/>
            <w:bottom w:val="none" w:sz="0" w:space="0" w:color="auto"/>
            <w:right w:val="none" w:sz="0" w:space="0" w:color="auto"/>
          </w:divBdr>
          <w:divsChild>
            <w:div w:id="58136696">
              <w:marLeft w:val="0"/>
              <w:marRight w:val="0"/>
              <w:marTop w:val="0"/>
              <w:marBottom w:val="0"/>
              <w:divBdr>
                <w:top w:val="none" w:sz="0" w:space="0" w:color="auto"/>
                <w:left w:val="none" w:sz="0" w:space="0" w:color="auto"/>
                <w:bottom w:val="none" w:sz="0" w:space="0" w:color="auto"/>
                <w:right w:val="none" w:sz="0" w:space="0" w:color="auto"/>
              </w:divBdr>
              <w:divsChild>
                <w:div w:id="1208778">
                  <w:marLeft w:val="0"/>
                  <w:marRight w:val="0"/>
                  <w:marTop w:val="0"/>
                  <w:marBottom w:val="150"/>
                  <w:divBdr>
                    <w:top w:val="none" w:sz="0" w:space="0" w:color="auto"/>
                    <w:left w:val="none" w:sz="0" w:space="0" w:color="auto"/>
                    <w:bottom w:val="single" w:sz="6" w:space="0" w:color="D3D3D3"/>
                    <w:right w:val="none" w:sz="0" w:space="0" w:color="auto"/>
                  </w:divBdr>
                  <w:divsChild>
                    <w:div w:id="172321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826631">
          <w:marLeft w:val="150"/>
          <w:marRight w:val="0"/>
          <w:marTop w:val="0"/>
          <w:marBottom w:val="0"/>
          <w:divBdr>
            <w:top w:val="none" w:sz="0" w:space="0" w:color="auto"/>
            <w:left w:val="none" w:sz="0" w:space="0" w:color="auto"/>
            <w:bottom w:val="none" w:sz="0" w:space="0" w:color="auto"/>
            <w:right w:val="none" w:sz="0" w:space="0" w:color="auto"/>
          </w:divBdr>
          <w:divsChild>
            <w:div w:id="1501458378">
              <w:marLeft w:val="0"/>
              <w:marRight w:val="0"/>
              <w:marTop w:val="0"/>
              <w:marBottom w:val="300"/>
              <w:divBdr>
                <w:top w:val="none" w:sz="0" w:space="0" w:color="auto"/>
                <w:left w:val="none" w:sz="0" w:space="0" w:color="auto"/>
                <w:bottom w:val="none" w:sz="0" w:space="0" w:color="auto"/>
                <w:right w:val="none" w:sz="0" w:space="0" w:color="auto"/>
              </w:divBdr>
              <w:divsChild>
                <w:div w:id="391778311">
                  <w:marLeft w:val="0"/>
                  <w:marRight w:val="150"/>
                  <w:marTop w:val="0"/>
                  <w:marBottom w:val="0"/>
                  <w:divBdr>
                    <w:top w:val="none" w:sz="0" w:space="0" w:color="auto"/>
                    <w:left w:val="none" w:sz="0" w:space="0" w:color="auto"/>
                    <w:bottom w:val="none" w:sz="0" w:space="0" w:color="auto"/>
                    <w:right w:val="none" w:sz="0" w:space="0" w:color="auto"/>
                  </w:divBdr>
                  <w:divsChild>
                    <w:div w:id="1824085742">
                      <w:marLeft w:val="0"/>
                      <w:marRight w:val="150"/>
                      <w:marTop w:val="0"/>
                      <w:marBottom w:val="0"/>
                      <w:divBdr>
                        <w:top w:val="none" w:sz="0" w:space="0" w:color="auto"/>
                        <w:left w:val="none" w:sz="0" w:space="0" w:color="auto"/>
                        <w:bottom w:val="none" w:sz="0" w:space="0" w:color="auto"/>
                        <w:right w:val="none" w:sz="0" w:space="0" w:color="auto"/>
                      </w:divBdr>
                      <w:divsChild>
                        <w:div w:id="111648720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365718337">
      <w:bodyDiv w:val="1"/>
      <w:marLeft w:val="0"/>
      <w:marRight w:val="0"/>
      <w:marTop w:val="0"/>
      <w:marBottom w:val="0"/>
      <w:divBdr>
        <w:top w:val="none" w:sz="0" w:space="0" w:color="auto"/>
        <w:left w:val="none" w:sz="0" w:space="0" w:color="auto"/>
        <w:bottom w:val="none" w:sz="0" w:space="0" w:color="auto"/>
        <w:right w:val="none" w:sz="0" w:space="0" w:color="auto"/>
      </w:divBdr>
    </w:div>
    <w:div w:id="1388534326">
      <w:bodyDiv w:val="1"/>
      <w:marLeft w:val="0"/>
      <w:marRight w:val="0"/>
      <w:marTop w:val="0"/>
      <w:marBottom w:val="0"/>
      <w:divBdr>
        <w:top w:val="none" w:sz="0" w:space="0" w:color="auto"/>
        <w:left w:val="none" w:sz="0" w:space="0" w:color="auto"/>
        <w:bottom w:val="none" w:sz="0" w:space="0" w:color="auto"/>
        <w:right w:val="none" w:sz="0" w:space="0" w:color="auto"/>
      </w:divBdr>
    </w:div>
    <w:div w:id="1463958773">
      <w:bodyDiv w:val="1"/>
      <w:marLeft w:val="0"/>
      <w:marRight w:val="0"/>
      <w:marTop w:val="0"/>
      <w:marBottom w:val="0"/>
      <w:divBdr>
        <w:top w:val="none" w:sz="0" w:space="0" w:color="auto"/>
        <w:left w:val="none" w:sz="0" w:space="0" w:color="auto"/>
        <w:bottom w:val="none" w:sz="0" w:space="0" w:color="auto"/>
        <w:right w:val="none" w:sz="0" w:space="0" w:color="auto"/>
      </w:divBdr>
    </w:div>
    <w:div w:id="1578440133">
      <w:bodyDiv w:val="1"/>
      <w:marLeft w:val="0"/>
      <w:marRight w:val="0"/>
      <w:marTop w:val="0"/>
      <w:marBottom w:val="0"/>
      <w:divBdr>
        <w:top w:val="none" w:sz="0" w:space="0" w:color="auto"/>
        <w:left w:val="none" w:sz="0" w:space="0" w:color="auto"/>
        <w:bottom w:val="none" w:sz="0" w:space="0" w:color="auto"/>
        <w:right w:val="none" w:sz="0" w:space="0" w:color="auto"/>
      </w:divBdr>
    </w:div>
    <w:div w:id="1747721850">
      <w:bodyDiv w:val="1"/>
      <w:marLeft w:val="0"/>
      <w:marRight w:val="0"/>
      <w:marTop w:val="0"/>
      <w:marBottom w:val="0"/>
      <w:divBdr>
        <w:top w:val="none" w:sz="0" w:space="0" w:color="auto"/>
        <w:left w:val="none" w:sz="0" w:space="0" w:color="auto"/>
        <w:bottom w:val="none" w:sz="0" w:space="0" w:color="auto"/>
        <w:right w:val="none" w:sz="0" w:space="0" w:color="auto"/>
      </w:divBdr>
    </w:div>
    <w:div w:id="1752390800">
      <w:bodyDiv w:val="1"/>
      <w:marLeft w:val="0"/>
      <w:marRight w:val="0"/>
      <w:marTop w:val="0"/>
      <w:marBottom w:val="0"/>
      <w:divBdr>
        <w:top w:val="none" w:sz="0" w:space="0" w:color="auto"/>
        <w:left w:val="none" w:sz="0" w:space="0" w:color="auto"/>
        <w:bottom w:val="none" w:sz="0" w:space="0" w:color="auto"/>
        <w:right w:val="none" w:sz="0" w:space="0" w:color="auto"/>
      </w:divBdr>
    </w:div>
    <w:div w:id="1763067094">
      <w:bodyDiv w:val="1"/>
      <w:marLeft w:val="0"/>
      <w:marRight w:val="0"/>
      <w:marTop w:val="0"/>
      <w:marBottom w:val="0"/>
      <w:divBdr>
        <w:top w:val="none" w:sz="0" w:space="0" w:color="auto"/>
        <w:left w:val="none" w:sz="0" w:space="0" w:color="auto"/>
        <w:bottom w:val="none" w:sz="0" w:space="0" w:color="auto"/>
        <w:right w:val="none" w:sz="0" w:space="0" w:color="auto"/>
      </w:divBdr>
    </w:div>
    <w:div w:id="1790318283">
      <w:bodyDiv w:val="1"/>
      <w:marLeft w:val="0"/>
      <w:marRight w:val="0"/>
      <w:marTop w:val="0"/>
      <w:marBottom w:val="0"/>
      <w:divBdr>
        <w:top w:val="none" w:sz="0" w:space="0" w:color="auto"/>
        <w:left w:val="none" w:sz="0" w:space="0" w:color="auto"/>
        <w:bottom w:val="none" w:sz="0" w:space="0" w:color="auto"/>
        <w:right w:val="none" w:sz="0" w:space="0" w:color="auto"/>
      </w:divBdr>
    </w:div>
    <w:div w:id="1838380292">
      <w:bodyDiv w:val="1"/>
      <w:marLeft w:val="0"/>
      <w:marRight w:val="0"/>
      <w:marTop w:val="0"/>
      <w:marBottom w:val="0"/>
      <w:divBdr>
        <w:top w:val="none" w:sz="0" w:space="0" w:color="auto"/>
        <w:left w:val="none" w:sz="0" w:space="0" w:color="auto"/>
        <w:bottom w:val="none" w:sz="0" w:space="0" w:color="auto"/>
        <w:right w:val="none" w:sz="0" w:space="0" w:color="auto"/>
      </w:divBdr>
    </w:div>
    <w:div w:id="1898009291">
      <w:bodyDiv w:val="1"/>
      <w:marLeft w:val="0"/>
      <w:marRight w:val="0"/>
      <w:marTop w:val="0"/>
      <w:marBottom w:val="0"/>
      <w:divBdr>
        <w:top w:val="none" w:sz="0" w:space="0" w:color="auto"/>
        <w:left w:val="none" w:sz="0" w:space="0" w:color="auto"/>
        <w:bottom w:val="none" w:sz="0" w:space="0" w:color="auto"/>
        <w:right w:val="none" w:sz="0" w:space="0" w:color="auto"/>
      </w:divBdr>
    </w:div>
    <w:div w:id="202709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eacewomen.org/sites/default/files/CEDAW-Guide-REV2_UNW.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ho.int/reproductivehealth/publications/unsafe_abortion/abortion-task-shifting/e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ropbox.com/s/ph005g4otiwf0b5/2015%20IASC%20Gender%20based%20Violence%20Guidelines.pdf?dl=0"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nwomen.org/~/media/headquarters/attachments/sections/library/publications/2015/unw%20effects%20of%20gender%20equlaity%20on%20humanitarian%20outcomessinglepgsweb.pd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partners4prevention.org/sites/default/files/p4p-unmcr-step-guide.pdf" TargetMode="External"/><Relationship Id="rId14" Type="http://schemas.openxmlformats.org/officeDocument/2006/relationships/hyperlink" Target="mailto:Eliana.irato@echofield.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E9060-3CCE-45DC-828D-8CE946C01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1</Pages>
  <Words>752</Words>
  <Characters>4290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Eliana Irato</dc:creator>
  <cp:lastModifiedBy>Eliana Irato</cp:lastModifiedBy>
  <cp:revision>7</cp:revision>
  <dcterms:created xsi:type="dcterms:W3CDTF">2015-06-18T10:44:00Z</dcterms:created>
  <dcterms:modified xsi:type="dcterms:W3CDTF">2015-09-02T11:10:00Z</dcterms:modified>
</cp:coreProperties>
</file>