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46E" w:rsidRDefault="00AD546E" w:rsidP="00AD546E">
      <w:pPr>
        <w:jc w:val="right"/>
      </w:pPr>
    </w:p>
    <w:tbl>
      <w:tblPr>
        <w:tblStyle w:val="TableGrid"/>
        <w:tblW w:w="0" w:type="auto"/>
        <w:tblLook w:val="04A0" w:firstRow="1" w:lastRow="0" w:firstColumn="1" w:lastColumn="0" w:noHBand="0" w:noVBand="1"/>
      </w:tblPr>
      <w:tblGrid>
        <w:gridCol w:w="7218"/>
        <w:gridCol w:w="2404"/>
      </w:tblGrid>
      <w:tr w:rsidR="00AD546E" w:rsidTr="00223E1E">
        <w:tc>
          <w:tcPr>
            <w:tcW w:w="7218" w:type="dxa"/>
            <w:tcBorders>
              <w:top w:val="single" w:sz="12" w:space="0" w:color="auto"/>
              <w:left w:val="single" w:sz="12" w:space="0" w:color="auto"/>
              <w:bottom w:val="single" w:sz="12" w:space="0" w:color="auto"/>
              <w:right w:val="nil"/>
            </w:tcBorders>
          </w:tcPr>
          <w:p w:rsidR="00AD546E" w:rsidRPr="00AD546E" w:rsidRDefault="00AD546E" w:rsidP="00AD546E">
            <w:pPr>
              <w:jc w:val="center"/>
              <w:rPr>
                <w:sz w:val="36"/>
              </w:rPr>
            </w:pPr>
            <w:r>
              <w:rPr>
                <w:sz w:val="36"/>
              </w:rPr>
              <w:t>LEDS</w:t>
            </w:r>
            <w:r w:rsidR="00D6206F">
              <w:rPr>
                <w:sz w:val="36"/>
              </w:rPr>
              <w:t xml:space="preserve"> Finance W</w:t>
            </w:r>
            <w:r w:rsidRPr="00AD546E">
              <w:rPr>
                <w:sz w:val="36"/>
              </w:rPr>
              <w:t xml:space="preserve">orking </w:t>
            </w:r>
            <w:r w:rsidR="00D6206F">
              <w:rPr>
                <w:sz w:val="36"/>
              </w:rPr>
              <w:t>G</w:t>
            </w:r>
            <w:r w:rsidRPr="00AD546E">
              <w:rPr>
                <w:sz w:val="36"/>
              </w:rPr>
              <w:t xml:space="preserve">roup: Monthly </w:t>
            </w:r>
            <w:r w:rsidR="00D6206F">
              <w:rPr>
                <w:sz w:val="36"/>
              </w:rPr>
              <w:t>U</w:t>
            </w:r>
            <w:r w:rsidRPr="00AD546E">
              <w:rPr>
                <w:sz w:val="36"/>
              </w:rPr>
              <w:t>pdate</w:t>
            </w:r>
          </w:p>
          <w:p w:rsidR="00AD546E" w:rsidRDefault="00BF5577" w:rsidP="00AD546E">
            <w:pPr>
              <w:jc w:val="center"/>
              <w:rPr>
                <w:b/>
                <w:sz w:val="44"/>
              </w:rPr>
            </w:pPr>
            <w:r>
              <w:rPr>
                <w:b/>
                <w:sz w:val="44"/>
              </w:rPr>
              <w:t>September</w:t>
            </w:r>
          </w:p>
          <w:p w:rsidR="00BF5577" w:rsidRDefault="00BF5577" w:rsidP="00AD546E">
            <w:pPr>
              <w:jc w:val="center"/>
            </w:pPr>
            <w:r w:rsidRPr="00BF5577">
              <w:rPr>
                <w:b/>
                <w:sz w:val="24"/>
              </w:rPr>
              <w:t>LEDS-GP ANNUAL EVENT</w:t>
            </w:r>
            <w:r>
              <w:rPr>
                <w:b/>
                <w:sz w:val="24"/>
              </w:rPr>
              <w:t xml:space="preserve"> EDITION</w:t>
            </w:r>
          </w:p>
        </w:tc>
        <w:tc>
          <w:tcPr>
            <w:tcW w:w="2404" w:type="dxa"/>
            <w:tcBorders>
              <w:top w:val="single" w:sz="12" w:space="0" w:color="auto"/>
              <w:left w:val="nil"/>
              <w:bottom w:val="single" w:sz="12" w:space="0" w:color="auto"/>
              <w:right w:val="single" w:sz="12" w:space="0" w:color="auto"/>
            </w:tcBorders>
          </w:tcPr>
          <w:p w:rsidR="00AD546E" w:rsidRDefault="00AD546E" w:rsidP="00AD546E">
            <w:pPr>
              <w:jc w:val="center"/>
            </w:pPr>
            <w:r w:rsidRPr="00AD546E">
              <w:rPr>
                <w:noProof/>
              </w:rPr>
              <w:drawing>
                <wp:inline distT="0" distB="0" distL="0" distR="0" wp14:anchorId="6FB2EB7C" wp14:editId="6FB2EB7D">
                  <wp:extent cx="1024583" cy="712372"/>
                  <wp:effectExtent l="0" t="0" r="4445" b="0"/>
                  <wp:docPr id="1026" name="Picture 2" descr="http://mitigationpartnership.net/sites/default/files/logoleds.jpg?1357659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mitigationpartnership.net/sites/default/files/logoleds.jpg?13576592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4941" cy="712621"/>
                          </a:xfrm>
                          <a:prstGeom prst="rect">
                            <a:avLst/>
                          </a:prstGeom>
                          <a:noFill/>
                          <a:extLst/>
                        </pic:spPr>
                      </pic:pic>
                    </a:graphicData>
                  </a:graphic>
                </wp:inline>
              </w:drawing>
            </w:r>
          </w:p>
        </w:tc>
      </w:tr>
      <w:tr w:rsidR="00D6206F" w:rsidTr="00223E1E">
        <w:tc>
          <w:tcPr>
            <w:tcW w:w="9622" w:type="dxa"/>
            <w:gridSpan w:val="2"/>
            <w:tcBorders>
              <w:top w:val="single" w:sz="12" w:space="0" w:color="auto"/>
              <w:left w:val="single" w:sz="4" w:space="0" w:color="auto"/>
              <w:bottom w:val="nil"/>
              <w:right w:val="single" w:sz="4" w:space="0" w:color="auto"/>
            </w:tcBorders>
          </w:tcPr>
          <w:p w:rsidR="00BF5577" w:rsidRDefault="00BF5577" w:rsidP="00BF5577">
            <w:pPr>
              <w:rPr>
                <w:b/>
                <w:color w:val="76923C" w:themeColor="accent3" w:themeShade="BF"/>
                <w:sz w:val="24"/>
              </w:rPr>
            </w:pPr>
            <w:r>
              <w:rPr>
                <w:b/>
                <w:color w:val="76923C" w:themeColor="accent3" w:themeShade="BF"/>
                <w:sz w:val="24"/>
              </w:rPr>
              <w:t xml:space="preserve">With the LEDS Global Partnership </w:t>
            </w:r>
            <w:r w:rsidR="00013F2A">
              <w:rPr>
                <w:b/>
                <w:color w:val="76923C" w:themeColor="accent3" w:themeShade="BF"/>
                <w:sz w:val="24"/>
              </w:rPr>
              <w:t xml:space="preserve">Annual Event </w:t>
            </w:r>
            <w:r>
              <w:rPr>
                <w:b/>
                <w:color w:val="76923C" w:themeColor="accent3" w:themeShade="BF"/>
                <w:sz w:val="24"/>
              </w:rPr>
              <w:t>coming up in the Dominican Republic between the 14</w:t>
            </w:r>
            <w:r w:rsidRPr="00BF5577">
              <w:rPr>
                <w:b/>
                <w:color w:val="76923C" w:themeColor="accent3" w:themeShade="BF"/>
                <w:sz w:val="24"/>
                <w:vertAlign w:val="superscript"/>
              </w:rPr>
              <w:t>th</w:t>
            </w:r>
            <w:r>
              <w:rPr>
                <w:b/>
                <w:color w:val="76923C" w:themeColor="accent3" w:themeShade="BF"/>
                <w:sz w:val="24"/>
              </w:rPr>
              <w:t xml:space="preserve"> and 16</w:t>
            </w:r>
            <w:r w:rsidRPr="00BF5577">
              <w:rPr>
                <w:b/>
                <w:color w:val="76923C" w:themeColor="accent3" w:themeShade="BF"/>
                <w:sz w:val="24"/>
                <w:vertAlign w:val="superscript"/>
              </w:rPr>
              <w:t>th</w:t>
            </w:r>
            <w:r>
              <w:rPr>
                <w:b/>
                <w:color w:val="76923C" w:themeColor="accent3" w:themeShade="BF"/>
                <w:sz w:val="24"/>
              </w:rPr>
              <w:t xml:space="preserve"> of October, this update focuses on what the FWG would like to achieve at this event</w:t>
            </w:r>
            <w:r w:rsidR="00985060">
              <w:rPr>
                <w:b/>
                <w:color w:val="76923C" w:themeColor="accent3" w:themeShade="BF"/>
                <w:sz w:val="24"/>
              </w:rPr>
              <w:t>.</w:t>
            </w:r>
            <w:bookmarkStart w:id="0" w:name="_GoBack"/>
            <w:bookmarkEnd w:id="0"/>
          </w:p>
          <w:p w:rsidR="00BF5577" w:rsidRDefault="00BF5577" w:rsidP="00BF5577">
            <w:pPr>
              <w:rPr>
                <w:rStyle w:val="IntenseEmphasis"/>
                <w:b w:val="0"/>
                <w:i w:val="0"/>
                <w:color w:val="auto"/>
              </w:rPr>
            </w:pPr>
            <w:r w:rsidRPr="00BF5577">
              <w:rPr>
                <w:rStyle w:val="IntenseEmphasis"/>
                <w:b w:val="0"/>
                <w:i w:val="0"/>
                <w:color w:val="auto"/>
              </w:rPr>
              <w:t>The LEDS Global Partnership Finance Working Group (FWG) promotes peer learning and best practice sharing of strategies to promote investment in low</w:t>
            </w:r>
            <w:r w:rsidR="000E03E0">
              <w:rPr>
                <w:rStyle w:val="IntenseEmphasis"/>
                <w:b w:val="0"/>
                <w:i w:val="0"/>
                <w:color w:val="auto"/>
              </w:rPr>
              <w:t>-</w:t>
            </w:r>
            <w:r w:rsidRPr="00BF5577">
              <w:rPr>
                <w:rStyle w:val="IntenseEmphasis"/>
                <w:b w:val="0"/>
                <w:i w:val="0"/>
                <w:color w:val="auto"/>
              </w:rPr>
              <w:t xml:space="preserve">emission infrastructure and projects. The FWG supports regional platforms on finance related topics, and leverages the global reach of the group to </w:t>
            </w:r>
            <w:r w:rsidR="000E03E0">
              <w:rPr>
                <w:rStyle w:val="IntenseEmphasis"/>
                <w:b w:val="0"/>
                <w:i w:val="0"/>
                <w:color w:val="auto"/>
              </w:rPr>
              <w:t>produce</w:t>
            </w:r>
            <w:r w:rsidRPr="00BF5577">
              <w:rPr>
                <w:rStyle w:val="IntenseEmphasis"/>
                <w:b w:val="0"/>
                <w:i w:val="0"/>
                <w:color w:val="auto"/>
              </w:rPr>
              <w:t xml:space="preserve"> thought leadership pieces and </w:t>
            </w:r>
            <w:r w:rsidR="000E03E0">
              <w:rPr>
                <w:rStyle w:val="IntenseEmphasis"/>
                <w:b w:val="0"/>
                <w:i w:val="0"/>
                <w:color w:val="auto"/>
              </w:rPr>
              <w:t xml:space="preserve">facilitate </w:t>
            </w:r>
            <w:r w:rsidRPr="00BF5577">
              <w:rPr>
                <w:rStyle w:val="IntenseEmphasis"/>
                <w:b w:val="0"/>
                <w:i w:val="0"/>
                <w:color w:val="auto"/>
              </w:rPr>
              <w:t>action</w:t>
            </w:r>
            <w:r>
              <w:rPr>
                <w:rStyle w:val="IntenseEmphasis"/>
                <w:b w:val="0"/>
                <w:i w:val="0"/>
                <w:color w:val="auto"/>
              </w:rPr>
              <w:t xml:space="preserve">. </w:t>
            </w:r>
          </w:p>
          <w:p w:rsidR="00BF5577" w:rsidRPr="00BF5577" w:rsidRDefault="00BF5577" w:rsidP="00BF5577">
            <w:pPr>
              <w:rPr>
                <w:rStyle w:val="IntenseEmphasis"/>
                <w:b w:val="0"/>
                <w:i w:val="0"/>
                <w:color w:val="auto"/>
              </w:rPr>
            </w:pPr>
          </w:p>
          <w:p w:rsidR="00BF5577" w:rsidRPr="00BF5577" w:rsidRDefault="00BF5577" w:rsidP="00BF5577">
            <w:pPr>
              <w:rPr>
                <w:rStyle w:val="IntenseEmphasis"/>
                <w:b w:val="0"/>
                <w:i w:val="0"/>
                <w:color w:val="auto"/>
              </w:rPr>
            </w:pPr>
            <w:r w:rsidRPr="00BF5577">
              <w:rPr>
                <w:rStyle w:val="IntenseEmphasis"/>
                <w:b w:val="0"/>
                <w:i w:val="0"/>
                <w:color w:val="auto"/>
              </w:rPr>
              <w:t xml:space="preserve">At the annual event the FWG has convened a variety of training sessions, which are in-line with the main thematic areas that </w:t>
            </w:r>
            <w:r w:rsidR="000E03E0">
              <w:rPr>
                <w:rStyle w:val="IntenseEmphasis"/>
                <w:b w:val="0"/>
                <w:i w:val="0"/>
                <w:color w:val="auto"/>
              </w:rPr>
              <w:t>we</w:t>
            </w:r>
            <w:r w:rsidRPr="00BF5577">
              <w:rPr>
                <w:rStyle w:val="IntenseEmphasis"/>
                <w:b w:val="0"/>
                <w:i w:val="0"/>
                <w:color w:val="auto"/>
              </w:rPr>
              <w:t xml:space="preserve"> seek to focus upon over the coming 12 months. The training sessions will be </w:t>
            </w:r>
            <w:r>
              <w:rPr>
                <w:rStyle w:val="IntenseEmphasis"/>
                <w:b w:val="0"/>
                <w:i w:val="0"/>
                <w:color w:val="auto"/>
              </w:rPr>
              <w:t>the basis for engagement with</w:t>
            </w:r>
            <w:r w:rsidRPr="00BF5577">
              <w:rPr>
                <w:rStyle w:val="IntenseEmphasis"/>
                <w:b w:val="0"/>
                <w:i w:val="0"/>
                <w:color w:val="auto"/>
              </w:rPr>
              <w:t xml:space="preserve"> LEDS-GP members, regional platforms, and other working groups to identify initiatives and sub-themes upon which to focus the efforts of the FWG moving forward.</w:t>
            </w:r>
          </w:p>
          <w:p w:rsidR="00BF5577" w:rsidRPr="00BF5577" w:rsidRDefault="00BF5577" w:rsidP="00BF5577">
            <w:pPr>
              <w:rPr>
                <w:rStyle w:val="IntenseEmphasis"/>
                <w:b w:val="0"/>
                <w:i w:val="0"/>
                <w:color w:val="auto"/>
              </w:rPr>
            </w:pPr>
            <w:r w:rsidRPr="00BF5577">
              <w:rPr>
                <w:rStyle w:val="IntenseEmphasis"/>
                <w:b w:val="0"/>
                <w:i w:val="0"/>
                <w:color w:val="auto"/>
              </w:rPr>
              <w:t>The training sessions include:</w:t>
            </w:r>
          </w:p>
          <w:p w:rsidR="00BF5577" w:rsidRPr="00BF5577" w:rsidRDefault="00BF5577" w:rsidP="00BF5577">
            <w:pPr>
              <w:pStyle w:val="ListParagraph"/>
              <w:numPr>
                <w:ilvl w:val="0"/>
                <w:numId w:val="3"/>
              </w:numPr>
              <w:rPr>
                <w:rStyle w:val="IntenseEmphasis"/>
                <w:b w:val="0"/>
                <w:i w:val="0"/>
                <w:color w:val="auto"/>
              </w:rPr>
            </w:pPr>
            <w:r w:rsidRPr="00BF5577">
              <w:rPr>
                <w:rStyle w:val="IntenseEmphasis"/>
                <w:i w:val="0"/>
                <w:color w:val="auto"/>
              </w:rPr>
              <w:t>Introduction to Financial Instruments and Innovative Risk Mitigation Instruments (USAID/IADB)</w:t>
            </w:r>
            <w:r w:rsidRPr="00BF5577">
              <w:rPr>
                <w:rStyle w:val="IntenseEmphasis"/>
                <w:b w:val="0"/>
                <w:i w:val="0"/>
                <w:color w:val="auto"/>
              </w:rPr>
              <w:t>: Participants will gain an overview of financial instruments used to finance climate change mitigation and adaptation actions as well as traditional and innovative risk mitigation instruments critical to address barriers to climate investment, particularly by the private sector.</w:t>
            </w:r>
          </w:p>
          <w:p w:rsidR="00BF5577" w:rsidRPr="00BF5577" w:rsidRDefault="00BF5577" w:rsidP="00BF5577">
            <w:pPr>
              <w:pStyle w:val="ListParagraph"/>
              <w:numPr>
                <w:ilvl w:val="0"/>
                <w:numId w:val="3"/>
              </w:numPr>
              <w:rPr>
                <w:rStyle w:val="IntenseEmphasis"/>
                <w:b w:val="0"/>
                <w:i w:val="0"/>
                <w:color w:val="auto"/>
              </w:rPr>
            </w:pPr>
            <w:r w:rsidRPr="00BF5577">
              <w:rPr>
                <w:rStyle w:val="IntenseEmphasis"/>
                <w:i w:val="0"/>
                <w:color w:val="auto"/>
              </w:rPr>
              <w:t>Investment Planning for Low Emission Development (World Bank / Climate Investment Funds)</w:t>
            </w:r>
            <w:r w:rsidRPr="00BF5577">
              <w:rPr>
                <w:rStyle w:val="IntenseEmphasis"/>
                <w:b w:val="0"/>
                <w:i w:val="0"/>
                <w:color w:val="auto"/>
              </w:rPr>
              <w:t xml:space="preserve">: Participants will discuss </w:t>
            </w:r>
            <w:r w:rsidR="000E03E0">
              <w:rPr>
                <w:rStyle w:val="IntenseEmphasis"/>
                <w:b w:val="0"/>
                <w:i w:val="0"/>
                <w:color w:val="auto"/>
              </w:rPr>
              <w:t>how to effectively access</w:t>
            </w:r>
            <w:r w:rsidRPr="00BF5577">
              <w:rPr>
                <w:rStyle w:val="IntenseEmphasis"/>
                <w:b w:val="0"/>
                <w:i w:val="0"/>
                <w:color w:val="auto"/>
              </w:rPr>
              <w:t xml:space="preserve"> and utilize climate finance by first designing an overall investment strategy to achieve national goals related to climate change.</w:t>
            </w:r>
          </w:p>
          <w:p w:rsidR="00BF5577" w:rsidRPr="00BF5577" w:rsidRDefault="00BF5577" w:rsidP="00BF5577">
            <w:pPr>
              <w:pStyle w:val="ListParagraph"/>
              <w:numPr>
                <w:ilvl w:val="0"/>
                <w:numId w:val="3"/>
              </w:numPr>
              <w:rPr>
                <w:rStyle w:val="IntenseEmphasis"/>
                <w:b w:val="0"/>
                <w:i w:val="0"/>
                <w:color w:val="auto"/>
              </w:rPr>
            </w:pPr>
            <w:r w:rsidRPr="00BF5577">
              <w:rPr>
                <w:rStyle w:val="IntenseEmphasis"/>
                <w:i w:val="0"/>
                <w:color w:val="auto"/>
              </w:rPr>
              <w:t>Innovative Solutions to Climate Finance: Blended Finance for private sector projects (World Bank / IFC)</w:t>
            </w:r>
            <w:r w:rsidRPr="00BF5577">
              <w:rPr>
                <w:rStyle w:val="IntenseEmphasis"/>
                <w:b w:val="0"/>
                <w:i w:val="0"/>
                <w:color w:val="auto"/>
              </w:rPr>
              <w:t>: National capacities in the provision of resources to climate actions are evermore critical leading to the Paris negotiations. The objective of this training is to introduce the fundamental concepts and provide practical guidance in the utilization of an innovative financing solution - blended finance - to support private sector operations.</w:t>
            </w:r>
          </w:p>
          <w:p w:rsidR="00BF5577" w:rsidRPr="00BF5577" w:rsidRDefault="00BF5577" w:rsidP="00BF5577">
            <w:pPr>
              <w:pStyle w:val="ListParagraph"/>
              <w:numPr>
                <w:ilvl w:val="0"/>
                <w:numId w:val="3"/>
              </w:numPr>
              <w:rPr>
                <w:rStyle w:val="IntenseEmphasis"/>
                <w:b w:val="0"/>
                <w:i w:val="0"/>
                <w:color w:val="auto"/>
              </w:rPr>
            </w:pPr>
            <w:r w:rsidRPr="00BF5577">
              <w:rPr>
                <w:rStyle w:val="IntenseEmphasis"/>
                <w:i w:val="0"/>
                <w:color w:val="auto"/>
              </w:rPr>
              <w:t>How to mobilize private sector investment into low emission infrastructure, and the Green Climate Fund as a catalyst (ECN / GCF [tentative] / IADB)</w:t>
            </w:r>
            <w:r w:rsidRPr="00BF5577">
              <w:rPr>
                <w:rStyle w:val="IntenseEmphasis"/>
                <w:b w:val="0"/>
                <w:i w:val="0"/>
                <w:color w:val="auto"/>
              </w:rPr>
              <w:t xml:space="preserve">: This training explores, using theoretical and practical examples, instruments to mobilize private investment, and efficiency, effectiveness and feasibility considerations. Using the example of the GCF, the training then </w:t>
            </w:r>
            <w:r w:rsidR="00013F2A">
              <w:rPr>
                <w:rStyle w:val="IntenseEmphasis"/>
                <w:b w:val="0"/>
                <w:i w:val="0"/>
                <w:color w:val="auto"/>
              </w:rPr>
              <w:t>showcases</w:t>
            </w:r>
            <w:r w:rsidRPr="00BF5577">
              <w:rPr>
                <w:rStyle w:val="IntenseEmphasis"/>
                <w:b w:val="0"/>
                <w:i w:val="0"/>
                <w:color w:val="auto"/>
              </w:rPr>
              <w:t xml:space="preserve"> a practical example of how public sector funds can be used to </w:t>
            </w:r>
            <w:proofErr w:type="spellStart"/>
            <w:r w:rsidRPr="00BF5577">
              <w:rPr>
                <w:rStyle w:val="IntenseEmphasis"/>
                <w:b w:val="0"/>
                <w:i w:val="0"/>
                <w:color w:val="auto"/>
              </w:rPr>
              <w:t>catalyse</w:t>
            </w:r>
            <w:proofErr w:type="spellEnd"/>
            <w:r w:rsidRPr="00BF5577">
              <w:rPr>
                <w:rStyle w:val="IntenseEmphasis"/>
                <w:b w:val="0"/>
                <w:i w:val="0"/>
                <w:color w:val="auto"/>
              </w:rPr>
              <w:t xml:space="preserve"> private investments.</w:t>
            </w:r>
          </w:p>
          <w:p w:rsidR="00D6206F" w:rsidRDefault="00BF5577" w:rsidP="00BF5577">
            <w:pPr>
              <w:rPr>
                <w:rStyle w:val="IntenseEmphasis"/>
                <w:b w:val="0"/>
                <w:i w:val="0"/>
                <w:color w:val="auto"/>
              </w:rPr>
            </w:pPr>
            <w:r w:rsidRPr="00BF5577">
              <w:rPr>
                <w:rStyle w:val="IntenseEmphasis"/>
                <w:b w:val="0"/>
                <w:i w:val="0"/>
                <w:color w:val="auto"/>
              </w:rPr>
              <w:t xml:space="preserve">An additional topic area of the FWG that will be explored in during the event is the Role of Institutional Investors in Financing Sustainable Energy (Bonds, </w:t>
            </w:r>
            <w:proofErr w:type="spellStart"/>
            <w:r w:rsidRPr="00BF5577">
              <w:rPr>
                <w:rStyle w:val="IntenseEmphasis"/>
                <w:b w:val="0"/>
                <w:i w:val="0"/>
                <w:color w:val="auto"/>
              </w:rPr>
              <w:t>YieldCo’s</w:t>
            </w:r>
            <w:proofErr w:type="spellEnd"/>
            <w:r w:rsidRPr="00BF5577">
              <w:rPr>
                <w:rStyle w:val="IntenseEmphasis"/>
                <w:b w:val="0"/>
                <w:i w:val="0"/>
                <w:color w:val="auto"/>
              </w:rPr>
              <w:t>, Direct Investments).</w:t>
            </w:r>
          </w:p>
          <w:p w:rsidR="0054697A" w:rsidRDefault="0054697A" w:rsidP="00BF5577">
            <w:pPr>
              <w:rPr>
                <w:rStyle w:val="IntenseEmphasis"/>
                <w:b w:val="0"/>
                <w:i w:val="0"/>
                <w:color w:val="auto"/>
              </w:rPr>
            </w:pPr>
          </w:p>
          <w:p w:rsidR="0054697A" w:rsidRPr="00A50E1C" w:rsidRDefault="0054697A" w:rsidP="00BF5577">
            <w:pPr>
              <w:rPr>
                <w:rStyle w:val="IntenseEmphasis"/>
                <w:i w:val="0"/>
              </w:rPr>
            </w:pPr>
            <w:r>
              <w:rPr>
                <w:rStyle w:val="IntenseEmphasis"/>
                <w:b w:val="0"/>
                <w:i w:val="0"/>
                <w:color w:val="auto"/>
              </w:rPr>
              <w:t>We look forward to seeing you in the Dominican Republic!</w:t>
            </w:r>
          </w:p>
        </w:tc>
      </w:tr>
      <w:tr w:rsidR="00AD546E" w:rsidTr="000E5D09">
        <w:tc>
          <w:tcPr>
            <w:tcW w:w="9622" w:type="dxa"/>
            <w:gridSpan w:val="2"/>
            <w:tcBorders>
              <w:top w:val="single" w:sz="4" w:space="0" w:color="auto"/>
              <w:left w:val="single" w:sz="4" w:space="0" w:color="auto"/>
              <w:bottom w:val="nil"/>
              <w:right w:val="single" w:sz="4" w:space="0" w:color="auto"/>
            </w:tcBorders>
          </w:tcPr>
          <w:p w:rsidR="00AD546E" w:rsidRPr="00AD546E" w:rsidRDefault="00BF5577" w:rsidP="003806CD">
            <w:pPr>
              <w:rPr>
                <w:b/>
              </w:rPr>
            </w:pPr>
            <w:r>
              <w:rPr>
                <w:b/>
                <w:color w:val="76923C" w:themeColor="accent3" w:themeShade="BF"/>
                <w:sz w:val="24"/>
              </w:rPr>
              <w:t>Event details</w:t>
            </w:r>
          </w:p>
        </w:tc>
      </w:tr>
      <w:tr w:rsidR="00AD546E" w:rsidTr="000E5D09">
        <w:tc>
          <w:tcPr>
            <w:tcW w:w="9622" w:type="dxa"/>
            <w:gridSpan w:val="2"/>
            <w:tcBorders>
              <w:top w:val="nil"/>
              <w:left w:val="single" w:sz="4" w:space="0" w:color="auto"/>
              <w:bottom w:val="single" w:sz="4" w:space="0" w:color="auto"/>
              <w:right w:val="single" w:sz="4" w:space="0" w:color="auto"/>
            </w:tcBorders>
          </w:tcPr>
          <w:p w:rsidR="00BF5577" w:rsidRDefault="00BF5577" w:rsidP="00BF5577">
            <w:r>
              <w:t xml:space="preserve">The LEDS-GP secretariat has provided more information for the event (agenda, logistics, important updates) here: </w:t>
            </w:r>
            <w:hyperlink r:id="rId8" w:history="1">
              <w:r w:rsidRPr="00EF7DE8">
                <w:rPr>
                  <w:rStyle w:val="Hyperlink"/>
                </w:rPr>
                <w:t>http://ledsgp.org/AnnualEvent2015</w:t>
              </w:r>
            </w:hyperlink>
          </w:p>
          <w:p w:rsidR="00A50E1C" w:rsidRDefault="00A50E1C" w:rsidP="00BF5577"/>
        </w:tc>
      </w:tr>
      <w:tr w:rsidR="000E5D09" w:rsidTr="000E5D09">
        <w:tc>
          <w:tcPr>
            <w:tcW w:w="9622" w:type="dxa"/>
            <w:gridSpan w:val="2"/>
            <w:tcBorders>
              <w:top w:val="single" w:sz="4" w:space="0" w:color="auto"/>
              <w:left w:val="nil"/>
              <w:bottom w:val="nil"/>
              <w:right w:val="nil"/>
            </w:tcBorders>
          </w:tcPr>
          <w:p w:rsidR="000E5D09" w:rsidRPr="000E5D09" w:rsidRDefault="000E5D09" w:rsidP="000E5D09">
            <w:pPr>
              <w:jc w:val="center"/>
              <w:rPr>
                <w:i/>
                <w:sz w:val="16"/>
              </w:rPr>
            </w:pPr>
            <w:r w:rsidRPr="000E5D09">
              <w:rPr>
                <w:i/>
                <w:sz w:val="16"/>
              </w:rPr>
              <w:t>You have received this monthly update as a member of the LEDS-GP Finance Working Group. If you would like to unsubscribe from this update, please send an email to James Falzon (</w:t>
            </w:r>
            <w:hyperlink r:id="rId9" w:history="1">
              <w:r w:rsidRPr="000E5D09">
                <w:rPr>
                  <w:rStyle w:val="Hyperlink"/>
                  <w:i/>
                  <w:sz w:val="16"/>
                </w:rPr>
                <w:t>falzon@ecn.nl</w:t>
              </w:r>
            </w:hyperlink>
            <w:r w:rsidRPr="000E5D09">
              <w:rPr>
                <w:i/>
                <w:sz w:val="16"/>
              </w:rPr>
              <w:t>).</w:t>
            </w:r>
          </w:p>
          <w:p w:rsidR="000E5D09" w:rsidRPr="000E5D09" w:rsidRDefault="000E5D09" w:rsidP="00AD546E">
            <w:pPr>
              <w:rPr>
                <w:sz w:val="16"/>
              </w:rPr>
            </w:pPr>
          </w:p>
        </w:tc>
      </w:tr>
    </w:tbl>
    <w:p w:rsidR="000E5D09" w:rsidRPr="00223E1E" w:rsidRDefault="000E5D09">
      <w:pPr>
        <w:spacing w:line="240" w:lineRule="auto"/>
        <w:jc w:val="center"/>
        <w:rPr>
          <w:i/>
          <w:sz w:val="20"/>
        </w:rPr>
      </w:pPr>
    </w:p>
    <w:sectPr w:rsidR="000E5D09" w:rsidRPr="00223E1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76FD7"/>
    <w:multiLevelType w:val="hybridMultilevel"/>
    <w:tmpl w:val="DB7A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233384"/>
    <w:multiLevelType w:val="hybridMultilevel"/>
    <w:tmpl w:val="49641376"/>
    <w:lvl w:ilvl="0" w:tplc="02FCE3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4352C6"/>
    <w:multiLevelType w:val="hybridMultilevel"/>
    <w:tmpl w:val="54049C32"/>
    <w:lvl w:ilvl="0" w:tplc="5CAA49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6E"/>
    <w:rsid w:val="00013F2A"/>
    <w:rsid w:val="000B3A36"/>
    <w:rsid w:val="000E03E0"/>
    <w:rsid w:val="000E5D09"/>
    <w:rsid w:val="00223E1E"/>
    <w:rsid w:val="002612DD"/>
    <w:rsid w:val="002D00C1"/>
    <w:rsid w:val="003806CD"/>
    <w:rsid w:val="00431BD7"/>
    <w:rsid w:val="004876F2"/>
    <w:rsid w:val="0054697A"/>
    <w:rsid w:val="00620527"/>
    <w:rsid w:val="007F570F"/>
    <w:rsid w:val="00840586"/>
    <w:rsid w:val="00985060"/>
    <w:rsid w:val="00A50E1C"/>
    <w:rsid w:val="00AD546E"/>
    <w:rsid w:val="00B312C2"/>
    <w:rsid w:val="00B34C03"/>
    <w:rsid w:val="00BF5577"/>
    <w:rsid w:val="00D42F18"/>
    <w:rsid w:val="00D6206F"/>
    <w:rsid w:val="00F95E7A"/>
    <w:rsid w:val="00FA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12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50E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46E"/>
    <w:rPr>
      <w:rFonts w:ascii="Tahoma" w:hAnsi="Tahoma" w:cs="Tahoma"/>
      <w:sz w:val="16"/>
      <w:szCs w:val="16"/>
    </w:rPr>
  </w:style>
  <w:style w:type="table" w:styleId="TableGrid">
    <w:name w:val="Table Grid"/>
    <w:basedOn w:val="TableNormal"/>
    <w:uiPriority w:val="59"/>
    <w:rsid w:val="00AD5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46E"/>
    <w:pPr>
      <w:ind w:left="720"/>
      <w:contextualSpacing/>
    </w:pPr>
  </w:style>
  <w:style w:type="character" w:styleId="Hyperlink">
    <w:name w:val="Hyperlink"/>
    <w:basedOn w:val="DefaultParagraphFont"/>
    <w:uiPriority w:val="99"/>
    <w:unhideWhenUsed/>
    <w:rsid w:val="00A50E1C"/>
    <w:rPr>
      <w:color w:val="0000FF" w:themeColor="hyperlink"/>
      <w:u w:val="single"/>
    </w:rPr>
  </w:style>
  <w:style w:type="character" w:customStyle="1" w:styleId="Heading2Char">
    <w:name w:val="Heading 2 Char"/>
    <w:basedOn w:val="DefaultParagraphFont"/>
    <w:link w:val="Heading2"/>
    <w:uiPriority w:val="9"/>
    <w:rsid w:val="00A50E1C"/>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A50E1C"/>
    <w:rPr>
      <w:b/>
      <w:bCs/>
      <w:i/>
      <w:iCs/>
      <w:color w:val="4F81BD" w:themeColor="accent1"/>
    </w:rPr>
  </w:style>
  <w:style w:type="character" w:styleId="FollowedHyperlink">
    <w:name w:val="FollowedHyperlink"/>
    <w:basedOn w:val="DefaultParagraphFont"/>
    <w:uiPriority w:val="99"/>
    <w:semiHidden/>
    <w:unhideWhenUsed/>
    <w:rsid w:val="00223E1E"/>
    <w:rPr>
      <w:color w:val="800080" w:themeColor="followedHyperlink"/>
      <w:u w:val="single"/>
    </w:rPr>
  </w:style>
  <w:style w:type="character" w:customStyle="1" w:styleId="Heading1Char">
    <w:name w:val="Heading 1 Char"/>
    <w:basedOn w:val="DefaultParagraphFont"/>
    <w:link w:val="Heading1"/>
    <w:uiPriority w:val="9"/>
    <w:rsid w:val="00B312C2"/>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013F2A"/>
    <w:rPr>
      <w:sz w:val="16"/>
      <w:szCs w:val="16"/>
    </w:rPr>
  </w:style>
  <w:style w:type="paragraph" w:styleId="CommentText">
    <w:name w:val="annotation text"/>
    <w:basedOn w:val="Normal"/>
    <w:link w:val="CommentTextChar"/>
    <w:uiPriority w:val="99"/>
    <w:semiHidden/>
    <w:unhideWhenUsed/>
    <w:rsid w:val="00013F2A"/>
    <w:pPr>
      <w:spacing w:line="240" w:lineRule="auto"/>
    </w:pPr>
    <w:rPr>
      <w:sz w:val="20"/>
      <w:szCs w:val="20"/>
    </w:rPr>
  </w:style>
  <w:style w:type="character" w:customStyle="1" w:styleId="CommentTextChar">
    <w:name w:val="Comment Text Char"/>
    <w:basedOn w:val="DefaultParagraphFont"/>
    <w:link w:val="CommentText"/>
    <w:uiPriority w:val="99"/>
    <w:semiHidden/>
    <w:rsid w:val="00013F2A"/>
    <w:rPr>
      <w:sz w:val="20"/>
      <w:szCs w:val="20"/>
    </w:rPr>
  </w:style>
  <w:style w:type="paragraph" w:styleId="CommentSubject">
    <w:name w:val="annotation subject"/>
    <w:basedOn w:val="CommentText"/>
    <w:next w:val="CommentText"/>
    <w:link w:val="CommentSubjectChar"/>
    <w:uiPriority w:val="99"/>
    <w:semiHidden/>
    <w:unhideWhenUsed/>
    <w:rsid w:val="00013F2A"/>
    <w:rPr>
      <w:b/>
      <w:bCs/>
    </w:rPr>
  </w:style>
  <w:style w:type="character" w:customStyle="1" w:styleId="CommentSubjectChar">
    <w:name w:val="Comment Subject Char"/>
    <w:basedOn w:val="CommentTextChar"/>
    <w:link w:val="CommentSubject"/>
    <w:uiPriority w:val="99"/>
    <w:semiHidden/>
    <w:rsid w:val="00013F2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12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50E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46E"/>
    <w:rPr>
      <w:rFonts w:ascii="Tahoma" w:hAnsi="Tahoma" w:cs="Tahoma"/>
      <w:sz w:val="16"/>
      <w:szCs w:val="16"/>
    </w:rPr>
  </w:style>
  <w:style w:type="table" w:styleId="TableGrid">
    <w:name w:val="Table Grid"/>
    <w:basedOn w:val="TableNormal"/>
    <w:uiPriority w:val="59"/>
    <w:rsid w:val="00AD5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46E"/>
    <w:pPr>
      <w:ind w:left="720"/>
      <w:contextualSpacing/>
    </w:pPr>
  </w:style>
  <w:style w:type="character" w:styleId="Hyperlink">
    <w:name w:val="Hyperlink"/>
    <w:basedOn w:val="DefaultParagraphFont"/>
    <w:uiPriority w:val="99"/>
    <w:unhideWhenUsed/>
    <w:rsid w:val="00A50E1C"/>
    <w:rPr>
      <w:color w:val="0000FF" w:themeColor="hyperlink"/>
      <w:u w:val="single"/>
    </w:rPr>
  </w:style>
  <w:style w:type="character" w:customStyle="1" w:styleId="Heading2Char">
    <w:name w:val="Heading 2 Char"/>
    <w:basedOn w:val="DefaultParagraphFont"/>
    <w:link w:val="Heading2"/>
    <w:uiPriority w:val="9"/>
    <w:rsid w:val="00A50E1C"/>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A50E1C"/>
    <w:rPr>
      <w:b/>
      <w:bCs/>
      <w:i/>
      <w:iCs/>
      <w:color w:val="4F81BD" w:themeColor="accent1"/>
    </w:rPr>
  </w:style>
  <w:style w:type="character" w:styleId="FollowedHyperlink">
    <w:name w:val="FollowedHyperlink"/>
    <w:basedOn w:val="DefaultParagraphFont"/>
    <w:uiPriority w:val="99"/>
    <w:semiHidden/>
    <w:unhideWhenUsed/>
    <w:rsid w:val="00223E1E"/>
    <w:rPr>
      <w:color w:val="800080" w:themeColor="followedHyperlink"/>
      <w:u w:val="single"/>
    </w:rPr>
  </w:style>
  <w:style w:type="character" w:customStyle="1" w:styleId="Heading1Char">
    <w:name w:val="Heading 1 Char"/>
    <w:basedOn w:val="DefaultParagraphFont"/>
    <w:link w:val="Heading1"/>
    <w:uiPriority w:val="9"/>
    <w:rsid w:val="00B312C2"/>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013F2A"/>
    <w:rPr>
      <w:sz w:val="16"/>
      <w:szCs w:val="16"/>
    </w:rPr>
  </w:style>
  <w:style w:type="paragraph" w:styleId="CommentText">
    <w:name w:val="annotation text"/>
    <w:basedOn w:val="Normal"/>
    <w:link w:val="CommentTextChar"/>
    <w:uiPriority w:val="99"/>
    <w:semiHidden/>
    <w:unhideWhenUsed/>
    <w:rsid w:val="00013F2A"/>
    <w:pPr>
      <w:spacing w:line="240" w:lineRule="auto"/>
    </w:pPr>
    <w:rPr>
      <w:sz w:val="20"/>
      <w:szCs w:val="20"/>
    </w:rPr>
  </w:style>
  <w:style w:type="character" w:customStyle="1" w:styleId="CommentTextChar">
    <w:name w:val="Comment Text Char"/>
    <w:basedOn w:val="DefaultParagraphFont"/>
    <w:link w:val="CommentText"/>
    <w:uiPriority w:val="99"/>
    <w:semiHidden/>
    <w:rsid w:val="00013F2A"/>
    <w:rPr>
      <w:sz w:val="20"/>
      <w:szCs w:val="20"/>
    </w:rPr>
  </w:style>
  <w:style w:type="paragraph" w:styleId="CommentSubject">
    <w:name w:val="annotation subject"/>
    <w:basedOn w:val="CommentText"/>
    <w:next w:val="CommentText"/>
    <w:link w:val="CommentSubjectChar"/>
    <w:uiPriority w:val="99"/>
    <w:semiHidden/>
    <w:unhideWhenUsed/>
    <w:rsid w:val="00013F2A"/>
    <w:rPr>
      <w:b/>
      <w:bCs/>
    </w:rPr>
  </w:style>
  <w:style w:type="character" w:customStyle="1" w:styleId="CommentSubjectChar">
    <w:name w:val="Comment Subject Char"/>
    <w:basedOn w:val="CommentTextChar"/>
    <w:link w:val="CommentSubject"/>
    <w:uiPriority w:val="99"/>
    <w:semiHidden/>
    <w:rsid w:val="00013F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1020">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78326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dsgp.org/AnnualEvent2015"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alzon@ec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F80FF-2CB0-4BA5-B2C3-3F39FB0F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ECN</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Falzon, J.P.J. (James)</dc:creator>
  <cp:lastModifiedBy>James Falzon</cp:lastModifiedBy>
  <cp:revision>17</cp:revision>
  <dcterms:created xsi:type="dcterms:W3CDTF">2015-07-21T14:27:00Z</dcterms:created>
  <dcterms:modified xsi:type="dcterms:W3CDTF">2015-10-07T09:08:00Z</dcterms:modified>
</cp:coreProperties>
</file>