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2ED8C" w14:textId="77777777" w:rsidR="009C579D" w:rsidRDefault="009C579D" w:rsidP="001423D0">
      <w:pPr>
        <w:spacing w:before="0" w:after="0"/>
        <w:ind w:left="-850"/>
        <w:rPr>
          <w:rFonts w:eastAsiaTheme="majorEastAsia" w:cstheme="majorBidi"/>
          <w:b/>
          <w:color w:val="79AC2B" w:themeColor="accent3"/>
          <w:spacing w:val="-10"/>
          <w:kern w:val="28"/>
          <w:sz w:val="40"/>
          <w:szCs w:val="40"/>
        </w:rPr>
      </w:pPr>
      <w:r>
        <w:rPr>
          <w:rFonts w:eastAsiaTheme="majorEastAsia" w:cstheme="majorBidi"/>
          <w:b/>
          <w:noProof/>
          <w:color w:val="1D509F" w:themeColor="text2"/>
          <w:spacing w:val="-10"/>
          <w:kern w:val="28"/>
          <w:sz w:val="56"/>
          <w:szCs w:val="56"/>
        </w:rPr>
        <w:drawing>
          <wp:inline distT="0" distB="0" distL="0" distR="0" wp14:anchorId="54481930" wp14:editId="748984BC">
            <wp:extent cx="7579360" cy="2064357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8"/>
                    <a:srcRect l="9772" t="18880" r="9772" b="6006"/>
                    <a:stretch/>
                  </pic:blipFill>
                  <pic:spPr bwMode="auto">
                    <a:xfrm>
                      <a:off x="0" y="0"/>
                      <a:ext cx="7582861" cy="2065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A3950" w14:textId="1245277C" w:rsidR="009C579D" w:rsidRPr="009C579D" w:rsidRDefault="008137D3" w:rsidP="009C579D">
      <w:pPr>
        <w:spacing w:before="0" w:after="0"/>
        <w:jc w:val="both"/>
        <w:rPr>
          <w:rFonts w:eastAsiaTheme="majorEastAsia" w:cstheme="majorBidi"/>
          <w:b/>
          <w:color w:val="79AC2B" w:themeColor="accent3"/>
          <w:spacing w:val="-10"/>
          <w:kern w:val="28"/>
          <w:sz w:val="39"/>
          <w:szCs w:val="39"/>
        </w:rPr>
      </w:pPr>
      <w:r>
        <w:rPr>
          <w:rFonts w:eastAsiaTheme="majorEastAsia" w:cstheme="majorBidi"/>
          <w:b/>
          <w:color w:val="79AC2B" w:themeColor="accent3"/>
          <w:spacing w:val="-10"/>
          <w:kern w:val="28"/>
          <w:sz w:val="39"/>
          <w:szCs w:val="39"/>
        </w:rPr>
        <w:t>Rio markers and p</w:t>
      </w:r>
      <w:r w:rsidR="009C579D" w:rsidRPr="009C579D">
        <w:rPr>
          <w:rFonts w:eastAsiaTheme="majorEastAsia" w:cstheme="majorBidi"/>
          <w:b/>
          <w:color w:val="79AC2B" w:themeColor="accent3"/>
          <w:spacing w:val="-10"/>
          <w:kern w:val="28"/>
          <w:sz w:val="39"/>
          <w:szCs w:val="39"/>
        </w:rPr>
        <w:t xml:space="preserve">olicy </w:t>
      </w:r>
      <w:proofErr w:type="spellStart"/>
      <w:r>
        <w:rPr>
          <w:rFonts w:eastAsiaTheme="majorEastAsia" w:cstheme="majorBidi"/>
          <w:b/>
          <w:color w:val="79AC2B" w:themeColor="accent3"/>
          <w:spacing w:val="-10"/>
          <w:kern w:val="28"/>
          <w:sz w:val="39"/>
          <w:szCs w:val="39"/>
        </w:rPr>
        <w:t>m</w:t>
      </w:r>
      <w:r w:rsidR="009C579D" w:rsidRPr="009C579D">
        <w:rPr>
          <w:rFonts w:eastAsiaTheme="majorEastAsia" w:cstheme="majorBidi"/>
          <w:b/>
          <w:color w:val="79AC2B" w:themeColor="accent3"/>
          <w:spacing w:val="-10"/>
          <w:kern w:val="28"/>
          <w:sz w:val="39"/>
          <w:szCs w:val="39"/>
        </w:rPr>
        <w:t>arkers</w:t>
      </w:r>
      <w:proofErr w:type="spellEnd"/>
      <w:r w:rsidR="009C579D" w:rsidRPr="009C579D">
        <w:rPr>
          <w:rFonts w:eastAsiaTheme="majorEastAsia" w:cstheme="majorBidi"/>
          <w:b/>
          <w:color w:val="79AC2B" w:themeColor="accent3"/>
          <w:spacing w:val="-10"/>
          <w:kern w:val="28"/>
          <w:sz w:val="39"/>
          <w:szCs w:val="39"/>
        </w:rPr>
        <w:t xml:space="preserve"> for Aid to Environment and Disaster Risk Reduction </w:t>
      </w:r>
    </w:p>
    <w:p w14:paraId="03F9E196" w14:textId="6538EEEB" w:rsidR="00356864" w:rsidRDefault="00356864" w:rsidP="009C579D">
      <w:pPr>
        <w:pStyle w:val="Titre1"/>
        <w:spacing w:before="40"/>
        <w:jc w:val="both"/>
      </w:pPr>
    </w:p>
    <w:p w14:paraId="30D004D1" w14:textId="3D1C3A69" w:rsidR="009A5BEA" w:rsidRPr="009C579D" w:rsidRDefault="009A5BEA" w:rsidP="009C579D">
      <w:pPr>
        <w:spacing w:before="0" w:after="200"/>
        <w:jc w:val="both"/>
        <w:rPr>
          <w:i/>
          <w:iCs/>
          <w:sz w:val="21"/>
          <w:szCs w:val="21"/>
          <w:lang w:eastAsia="en-US"/>
        </w:rPr>
      </w:pPr>
      <w:r w:rsidRPr="009C579D">
        <w:rPr>
          <w:i/>
          <w:iCs/>
          <w:sz w:val="21"/>
          <w:szCs w:val="21"/>
        </w:rPr>
        <w:t xml:space="preserve">The European Commission uses OECD DAC policy markers and Rio markers to keep track of development assistance to </w:t>
      </w:r>
      <w:proofErr w:type="gramStart"/>
      <w:r w:rsidRPr="009C579D">
        <w:rPr>
          <w:i/>
          <w:iCs/>
          <w:sz w:val="21"/>
          <w:szCs w:val="21"/>
        </w:rPr>
        <w:t>a number of</w:t>
      </w:r>
      <w:proofErr w:type="gramEnd"/>
      <w:r w:rsidRPr="009C579D">
        <w:rPr>
          <w:i/>
          <w:iCs/>
          <w:sz w:val="21"/>
          <w:szCs w:val="21"/>
        </w:rPr>
        <w:t xml:space="preserve"> policy areas, as well as to calculate financial contributions. Each marker receives a score between 0 and 2, depending on whether the policy area is ‘not targeted’ by the action, is a ‘significant objective’ or a ‘principal objective’. Scoring of the markers is based on eligibility criteria defined by the OECD DAC. </w:t>
      </w:r>
      <w:r w:rsidR="008137D3">
        <w:rPr>
          <w:i/>
          <w:iCs/>
          <w:sz w:val="21"/>
          <w:szCs w:val="21"/>
        </w:rPr>
        <w:t>This document compiles the relevant documents that define these markers, their eligibility criteria and guidance for their correct application</w:t>
      </w:r>
      <w:r w:rsidR="00472FC9">
        <w:rPr>
          <w:i/>
          <w:iCs/>
          <w:sz w:val="21"/>
          <w:szCs w:val="21"/>
        </w:rPr>
        <w:t>.</w:t>
      </w:r>
    </w:p>
    <w:p w14:paraId="0DDB9076" w14:textId="7B9B6828" w:rsidR="009A5BEA" w:rsidRPr="009C579D" w:rsidRDefault="009A5BEA" w:rsidP="009C579D">
      <w:pPr>
        <w:pStyle w:val="Paragraphedeliste"/>
        <w:numPr>
          <w:ilvl w:val="0"/>
          <w:numId w:val="47"/>
        </w:numPr>
        <w:spacing w:before="0" w:after="200"/>
        <w:ind w:left="426"/>
        <w:contextualSpacing w:val="0"/>
        <w:jc w:val="both"/>
        <w:rPr>
          <w:rFonts w:eastAsia="Times New Roman"/>
          <w:b/>
          <w:bCs/>
          <w:sz w:val="21"/>
          <w:szCs w:val="21"/>
        </w:rPr>
      </w:pPr>
      <w:hyperlink r:id="rId9" w:history="1">
        <w:r w:rsidRPr="009C579D">
          <w:rPr>
            <w:rStyle w:val="Lienhypertexte"/>
            <w:rFonts w:eastAsia="Times New Roman"/>
            <w:b/>
            <w:bCs/>
            <w:sz w:val="21"/>
            <w:szCs w:val="21"/>
          </w:rPr>
          <w:t>Tutorial video on Rio markers</w:t>
        </w:r>
      </w:hyperlink>
    </w:p>
    <w:p w14:paraId="42C0997E" w14:textId="65FE9B14" w:rsidR="00216086" w:rsidRPr="009C579D" w:rsidRDefault="009A5BEA" w:rsidP="009C579D">
      <w:pPr>
        <w:pStyle w:val="Paragraphedeliste"/>
        <w:numPr>
          <w:ilvl w:val="0"/>
          <w:numId w:val="47"/>
        </w:numPr>
        <w:spacing w:before="0" w:after="200"/>
        <w:ind w:left="426"/>
        <w:contextualSpacing w:val="0"/>
        <w:jc w:val="both"/>
        <w:rPr>
          <w:rFonts w:eastAsia="Times New Roman"/>
          <w:b/>
          <w:bCs/>
          <w:sz w:val="21"/>
          <w:szCs w:val="21"/>
        </w:rPr>
      </w:pPr>
      <w:hyperlink r:id="rId10" w:history="1">
        <w:r w:rsidRPr="009C579D">
          <w:rPr>
            <w:rStyle w:val="Lienhypertexte"/>
            <w:rFonts w:eastAsia="Times New Roman"/>
            <w:b/>
            <w:bCs/>
            <w:sz w:val="21"/>
            <w:szCs w:val="21"/>
          </w:rPr>
          <w:t>OECD DAC Converged Statistical Reporting Directives for the Creditor Reporting System (CRS) and the Annual DAC Questionnaire. Annexes – modules D and E</w:t>
        </w:r>
      </w:hyperlink>
    </w:p>
    <w:p w14:paraId="6EDC2EB6" w14:textId="03D2F114" w:rsidR="00216086" w:rsidRDefault="009A5BEA" w:rsidP="009C579D">
      <w:pPr>
        <w:pStyle w:val="Paragraphedeliste"/>
        <w:spacing w:before="0" w:after="200"/>
        <w:ind w:left="426"/>
        <w:contextualSpacing w:val="0"/>
        <w:jc w:val="both"/>
        <w:rPr>
          <w:sz w:val="21"/>
          <w:szCs w:val="21"/>
        </w:rPr>
      </w:pPr>
      <w:r w:rsidRPr="009C579D">
        <w:rPr>
          <w:sz w:val="21"/>
          <w:szCs w:val="21"/>
        </w:rPr>
        <w:t xml:space="preserve">This document presents the </w:t>
      </w:r>
      <w:r w:rsidR="008137D3">
        <w:rPr>
          <w:sz w:val="21"/>
          <w:szCs w:val="21"/>
        </w:rPr>
        <w:t xml:space="preserve">definitions and eligibility </w:t>
      </w:r>
      <w:r w:rsidRPr="009C579D">
        <w:rPr>
          <w:sz w:val="21"/>
          <w:szCs w:val="21"/>
        </w:rPr>
        <w:t>criteria for the scoring of policy markers (Annex 1</w:t>
      </w:r>
      <w:r w:rsidR="008137D3">
        <w:rPr>
          <w:sz w:val="21"/>
          <w:szCs w:val="21"/>
        </w:rPr>
        <w:t>9</w:t>
      </w:r>
      <w:r w:rsidRPr="009C579D">
        <w:rPr>
          <w:sz w:val="21"/>
          <w:szCs w:val="21"/>
        </w:rPr>
        <w:t xml:space="preserve">) and Rio markers (Annex </w:t>
      </w:r>
      <w:r w:rsidR="008137D3">
        <w:rPr>
          <w:sz w:val="21"/>
          <w:szCs w:val="21"/>
        </w:rPr>
        <w:t>20</w:t>
      </w:r>
      <w:r w:rsidRPr="009C579D">
        <w:rPr>
          <w:sz w:val="21"/>
          <w:szCs w:val="21"/>
        </w:rPr>
        <w:t>). It is complemented by</w:t>
      </w:r>
      <w:r w:rsidR="008137D3">
        <w:rPr>
          <w:sz w:val="21"/>
          <w:szCs w:val="21"/>
        </w:rPr>
        <w:t xml:space="preserve"> a </w:t>
      </w:r>
      <w:hyperlink r:id="rId11" w:history="1">
        <w:r w:rsidR="008137D3" w:rsidRPr="008137D3">
          <w:rPr>
            <w:rStyle w:val="Lienhypertexte"/>
            <w:sz w:val="21"/>
            <w:szCs w:val="21"/>
          </w:rPr>
          <w:t>table with indicative activities</w:t>
        </w:r>
      </w:hyperlink>
      <w:r w:rsidR="008137D3">
        <w:rPr>
          <w:sz w:val="21"/>
          <w:szCs w:val="21"/>
        </w:rPr>
        <w:t xml:space="preserve"> that qualify for the climate change mitigation, adaptation and biodiversity markers</w:t>
      </w:r>
      <w:r w:rsidRPr="009C579D">
        <w:rPr>
          <w:sz w:val="21"/>
          <w:szCs w:val="21"/>
        </w:rPr>
        <w:t xml:space="preserve"> .</w:t>
      </w:r>
    </w:p>
    <w:p w14:paraId="05DA3489" w14:textId="77777777" w:rsidR="00216086" w:rsidRPr="009C579D" w:rsidRDefault="009A5BEA" w:rsidP="009C579D">
      <w:pPr>
        <w:pStyle w:val="Paragraphedeliste"/>
        <w:numPr>
          <w:ilvl w:val="0"/>
          <w:numId w:val="47"/>
        </w:numPr>
        <w:spacing w:before="0" w:after="200"/>
        <w:ind w:left="426"/>
        <w:contextualSpacing w:val="0"/>
        <w:jc w:val="both"/>
        <w:rPr>
          <w:rFonts w:eastAsia="Times New Roman"/>
          <w:sz w:val="21"/>
          <w:szCs w:val="21"/>
        </w:rPr>
      </w:pPr>
      <w:hyperlink r:id="rId12" w:history="1">
        <w:r w:rsidRPr="009C579D">
          <w:rPr>
            <w:rStyle w:val="Lienhypertexte"/>
            <w:rFonts w:eastAsia="Times New Roman"/>
            <w:b/>
            <w:bCs/>
            <w:sz w:val="21"/>
            <w:szCs w:val="21"/>
          </w:rPr>
          <w:t xml:space="preserve">Guidance </w:t>
        </w:r>
        <w:proofErr w:type="gramStart"/>
        <w:r w:rsidRPr="009C579D">
          <w:rPr>
            <w:rStyle w:val="Lienhypertexte"/>
            <w:rFonts w:eastAsia="Times New Roman"/>
            <w:b/>
            <w:bCs/>
            <w:sz w:val="21"/>
            <w:szCs w:val="21"/>
          </w:rPr>
          <w:t>note</w:t>
        </w:r>
        <w:proofErr w:type="gramEnd"/>
        <w:r w:rsidRPr="009C579D">
          <w:rPr>
            <w:rStyle w:val="Lienhypertexte"/>
            <w:rFonts w:eastAsia="Times New Roman"/>
            <w:b/>
            <w:bCs/>
            <w:sz w:val="21"/>
            <w:szCs w:val="21"/>
          </w:rPr>
          <w:t xml:space="preserve"> on the scoring of the DRR marker in the context of COVID-related actions</w:t>
        </w:r>
      </w:hyperlink>
      <w:r w:rsidRPr="009C579D">
        <w:rPr>
          <w:rFonts w:eastAsia="Times New Roman"/>
          <w:sz w:val="21"/>
          <w:szCs w:val="21"/>
        </w:rPr>
        <w:t xml:space="preserve">. </w:t>
      </w:r>
    </w:p>
    <w:p w14:paraId="43A1B225" w14:textId="625F90A6" w:rsidR="003E2662" w:rsidRPr="009C579D" w:rsidRDefault="009A5BEA" w:rsidP="009C579D">
      <w:pPr>
        <w:pStyle w:val="Paragraphedeliste"/>
        <w:spacing w:before="0" w:after="200"/>
        <w:ind w:left="426"/>
        <w:contextualSpacing w:val="0"/>
        <w:jc w:val="both"/>
        <w:rPr>
          <w:rFonts w:eastAsia="Times New Roman"/>
          <w:sz w:val="21"/>
          <w:szCs w:val="21"/>
        </w:rPr>
      </w:pPr>
      <w:r w:rsidRPr="009C579D">
        <w:rPr>
          <w:rFonts w:eastAsia="Times New Roman"/>
          <w:sz w:val="21"/>
          <w:szCs w:val="21"/>
        </w:rPr>
        <w:t xml:space="preserve">This note provides criteria for the correct use of the DRR marker for COVID-response actions in DG INTPA and DG </w:t>
      </w:r>
      <w:proofErr w:type="gramStart"/>
      <w:r w:rsidRPr="009C579D">
        <w:rPr>
          <w:rFonts w:eastAsia="Times New Roman"/>
          <w:sz w:val="21"/>
          <w:szCs w:val="21"/>
        </w:rPr>
        <w:t>NEAR</w:t>
      </w:r>
      <w:proofErr w:type="gramEnd"/>
      <w:r w:rsidRPr="009C579D">
        <w:rPr>
          <w:rFonts w:eastAsia="Times New Roman"/>
          <w:sz w:val="21"/>
          <w:szCs w:val="21"/>
        </w:rPr>
        <w:t>.</w:t>
      </w:r>
    </w:p>
    <w:p w14:paraId="0EE86B84" w14:textId="77777777" w:rsidR="00216086" w:rsidRPr="009C579D" w:rsidRDefault="009A5BEA" w:rsidP="009C579D">
      <w:pPr>
        <w:pStyle w:val="Paragraphedeliste"/>
        <w:numPr>
          <w:ilvl w:val="0"/>
          <w:numId w:val="47"/>
        </w:numPr>
        <w:spacing w:before="0" w:after="200"/>
        <w:ind w:left="426"/>
        <w:contextualSpacing w:val="0"/>
        <w:jc w:val="both"/>
        <w:rPr>
          <w:rFonts w:eastAsia="Times New Roman"/>
          <w:sz w:val="21"/>
          <w:szCs w:val="21"/>
        </w:rPr>
      </w:pPr>
      <w:hyperlink r:id="rId13" w:history="1">
        <w:r w:rsidRPr="009C579D">
          <w:rPr>
            <w:rStyle w:val="Lienhypertexte"/>
            <w:rFonts w:eastAsia="Times New Roman"/>
            <w:b/>
            <w:bCs/>
            <w:sz w:val="21"/>
            <w:szCs w:val="21"/>
          </w:rPr>
          <w:t>Quick Tips</w:t>
        </w:r>
      </w:hyperlink>
    </w:p>
    <w:p w14:paraId="0887BA31" w14:textId="3E0A487A" w:rsidR="004A5E6B" w:rsidRDefault="009A5BEA" w:rsidP="009C579D">
      <w:pPr>
        <w:pStyle w:val="Paragraphedeliste"/>
        <w:spacing w:before="0" w:after="200"/>
        <w:ind w:left="426"/>
        <w:contextualSpacing w:val="0"/>
        <w:jc w:val="both"/>
        <w:rPr>
          <w:rFonts w:eastAsia="Times New Roman"/>
          <w:sz w:val="21"/>
          <w:szCs w:val="21"/>
        </w:rPr>
      </w:pPr>
      <w:r w:rsidRPr="009C579D">
        <w:rPr>
          <w:rFonts w:eastAsia="Times New Roman"/>
          <w:sz w:val="21"/>
          <w:szCs w:val="21"/>
        </w:rPr>
        <w:t xml:space="preserve">These documents present practical guidance for the “greening” of </w:t>
      </w:r>
      <w:proofErr w:type="gramStart"/>
      <w:r w:rsidRPr="009C579D">
        <w:rPr>
          <w:rFonts w:eastAsia="Times New Roman"/>
          <w:sz w:val="21"/>
          <w:szCs w:val="21"/>
        </w:rPr>
        <w:t>a number of</w:t>
      </w:r>
      <w:proofErr w:type="gramEnd"/>
      <w:r w:rsidRPr="009C579D">
        <w:rPr>
          <w:rFonts w:eastAsia="Times New Roman"/>
          <w:sz w:val="21"/>
          <w:szCs w:val="21"/>
        </w:rPr>
        <w:t xml:space="preserve"> sectors. Each of the Quick </w:t>
      </w:r>
      <w:proofErr w:type="gramStart"/>
      <w:r w:rsidRPr="009C579D">
        <w:rPr>
          <w:rFonts w:eastAsia="Times New Roman"/>
          <w:sz w:val="21"/>
          <w:szCs w:val="21"/>
        </w:rPr>
        <w:t>Tips</w:t>
      </w:r>
      <w:proofErr w:type="gramEnd"/>
      <w:r w:rsidRPr="009C579D">
        <w:rPr>
          <w:rFonts w:eastAsia="Times New Roman"/>
          <w:sz w:val="21"/>
          <w:szCs w:val="21"/>
        </w:rPr>
        <w:t xml:space="preserve"> documents is accompanied by a guidance on activities that typically qualify for a Rio marker in that specific sector. These tables draw largely from the OECD DAC guidance, but provide further elements, especially in relation to the marker on desertification.</w:t>
      </w:r>
    </w:p>
    <w:p w14:paraId="0D39095E" w14:textId="27C46785" w:rsidR="00472FC9" w:rsidRPr="00A65B82" w:rsidRDefault="00472FC9" w:rsidP="00472FC9">
      <w:pPr>
        <w:pStyle w:val="Paragraphedeliste"/>
        <w:numPr>
          <w:ilvl w:val="0"/>
          <w:numId w:val="47"/>
        </w:numPr>
        <w:spacing w:before="0" w:after="200"/>
        <w:contextualSpacing w:val="0"/>
        <w:jc w:val="both"/>
        <w:rPr>
          <w:rFonts w:eastAsia="Times New Roman"/>
          <w:b/>
          <w:bCs/>
          <w:sz w:val="21"/>
          <w:szCs w:val="21"/>
        </w:rPr>
      </w:pPr>
      <w:r w:rsidRPr="00A65B82">
        <w:rPr>
          <w:rFonts w:eastAsia="Times New Roman"/>
          <w:b/>
          <w:bCs/>
          <w:sz w:val="21"/>
          <w:szCs w:val="21"/>
        </w:rPr>
        <w:t>Greening EU Cooperation Toolbox</w:t>
      </w:r>
    </w:p>
    <w:p w14:paraId="13C51985" w14:textId="6CE51908" w:rsidR="00472FC9" w:rsidRPr="009C579D" w:rsidRDefault="00472FC9" w:rsidP="00A65B82">
      <w:pPr>
        <w:pStyle w:val="Paragraphedeliste"/>
        <w:spacing w:before="0" w:after="200"/>
        <w:contextualSpacing w:val="0"/>
        <w:jc w:val="both"/>
        <w:rPr>
          <w:rFonts w:eastAsia="Times New Roman"/>
          <w:sz w:val="21"/>
          <w:szCs w:val="21"/>
        </w:rPr>
      </w:pPr>
      <w:hyperlink r:id="rId14" w:history="1">
        <w:r w:rsidRPr="00472FC9">
          <w:rPr>
            <w:rStyle w:val="Lienhypertexte"/>
            <w:rFonts w:eastAsia="Times New Roman"/>
            <w:sz w:val="21"/>
            <w:szCs w:val="21"/>
          </w:rPr>
          <w:t>Annex 2 of the Greening EU Cooperation Toolbox</w:t>
        </w:r>
      </w:hyperlink>
      <w:r>
        <w:rPr>
          <w:rFonts w:eastAsia="Times New Roman"/>
          <w:sz w:val="21"/>
          <w:szCs w:val="21"/>
        </w:rPr>
        <w:t xml:space="preserve"> provides a synthesis on the use of the policy and Rio markers with links to the relevant documents and guidance available.</w:t>
      </w:r>
    </w:p>
    <w:sectPr w:rsidR="00472FC9" w:rsidRPr="009C579D" w:rsidSect="009C579D">
      <w:headerReference w:type="even" r:id="rId15"/>
      <w:headerReference w:type="default" r:id="rId16"/>
      <w:pgSz w:w="11906" w:h="16838"/>
      <w:pgMar w:top="1698" w:right="1133" w:bottom="591" w:left="85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1CBF" w14:textId="77777777" w:rsidR="009F0D92" w:rsidRDefault="009F0D92" w:rsidP="00E01A63">
      <w:r>
        <w:separator/>
      </w:r>
    </w:p>
  </w:endnote>
  <w:endnote w:type="continuationSeparator" w:id="0">
    <w:p w14:paraId="15FB2428" w14:textId="77777777" w:rsidR="009F0D92" w:rsidRDefault="009F0D92" w:rsidP="00E0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ECD1" w14:textId="77777777" w:rsidR="009F0D92" w:rsidRDefault="009F0D92" w:rsidP="00E01A63">
      <w:r>
        <w:separator/>
      </w:r>
    </w:p>
  </w:footnote>
  <w:footnote w:type="continuationSeparator" w:id="0">
    <w:p w14:paraId="41439F7F" w14:textId="77777777" w:rsidR="009F0D92" w:rsidRDefault="009F0D92" w:rsidP="00E0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7F31" w14:textId="77777777" w:rsidR="008D6311" w:rsidRDefault="00000000">
    <w:pPr>
      <w:pStyle w:val="En-tte"/>
    </w:pPr>
    <w:r>
      <w:rPr>
        <w:noProof/>
      </w:rPr>
      <w:pict w14:anchorId="41B85E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50407" o:spid="_x0000_s1025" type="#_x0000_t75" alt="" style="position:absolute;margin-left:0;margin-top:0;width:595.45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atermark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0A79" w14:textId="2818E1BA" w:rsidR="009C579D" w:rsidRDefault="009C579D" w:rsidP="00FF5654">
    <w:pPr>
      <w:pStyle w:val="En-tte"/>
      <w:ind w:right="206"/>
    </w:pPr>
    <w:r w:rsidRPr="002F4BC3">
      <w:rPr>
        <w:noProof/>
      </w:rPr>
      <w:drawing>
        <wp:anchor distT="0" distB="0" distL="114300" distR="114300" simplePos="0" relativeHeight="251657728" behindDoc="0" locked="0" layoutInCell="1" allowOverlap="1" wp14:anchorId="36251D52" wp14:editId="679CF71F">
          <wp:simplePos x="0" y="0"/>
          <wp:positionH relativeFrom="margin">
            <wp:posOffset>-1868</wp:posOffset>
          </wp:positionH>
          <wp:positionV relativeFrom="paragraph">
            <wp:posOffset>47962</wp:posOffset>
          </wp:positionV>
          <wp:extent cx="2998694" cy="335322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05054" cy="34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4BC3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EA67110" wp14:editId="3FAD848F">
              <wp:simplePos x="0" y="0"/>
              <wp:positionH relativeFrom="page">
                <wp:posOffset>-2992755</wp:posOffset>
              </wp:positionH>
              <wp:positionV relativeFrom="paragraph">
                <wp:posOffset>-770517</wp:posOffset>
              </wp:positionV>
              <wp:extent cx="13546800" cy="435600"/>
              <wp:effectExtent l="0" t="0" r="0" b="317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46800" cy="435600"/>
                      </a:xfrm>
                      <a:prstGeom prst="rect">
                        <a:avLst/>
                      </a:prstGeom>
                      <a:solidFill>
                        <a:srgbClr val="79AC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A326E5" id="Rectangle 4" o:spid="_x0000_s1026" style="position:absolute;margin-left:-235.65pt;margin-top:-60.65pt;width:1066.7pt;height:34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" fillcolor="#79ac2b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5F73"/>
    <w:multiLevelType w:val="hybridMultilevel"/>
    <w:tmpl w:val="032E3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80190"/>
    <w:multiLevelType w:val="hybridMultilevel"/>
    <w:tmpl w:val="39EA1304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42BB0"/>
    <w:multiLevelType w:val="hybridMultilevel"/>
    <w:tmpl w:val="911A1944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36197"/>
    <w:multiLevelType w:val="hybridMultilevel"/>
    <w:tmpl w:val="5BC8A58C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2164B"/>
    <w:multiLevelType w:val="hybridMultilevel"/>
    <w:tmpl w:val="00B44F10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45E"/>
    <w:multiLevelType w:val="hybridMultilevel"/>
    <w:tmpl w:val="1AF8DDBC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028DE"/>
    <w:multiLevelType w:val="hybridMultilevel"/>
    <w:tmpl w:val="01705F34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47E74"/>
    <w:multiLevelType w:val="hybridMultilevel"/>
    <w:tmpl w:val="EACC31A2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D052D"/>
    <w:multiLevelType w:val="hybridMultilevel"/>
    <w:tmpl w:val="46E66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D5B52"/>
    <w:multiLevelType w:val="hybridMultilevel"/>
    <w:tmpl w:val="E0CA2EF0"/>
    <w:lvl w:ilvl="0" w:tplc="D9F883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73EAA"/>
    <w:multiLevelType w:val="hybridMultilevel"/>
    <w:tmpl w:val="6AEECD8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B199D"/>
    <w:multiLevelType w:val="hybridMultilevel"/>
    <w:tmpl w:val="032E3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346C7"/>
    <w:multiLevelType w:val="hybridMultilevel"/>
    <w:tmpl w:val="EC82F69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FAB"/>
    <w:multiLevelType w:val="multilevel"/>
    <w:tmpl w:val="7DFE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2" w:hanging="492"/>
      </w:pPr>
      <w:rPr>
        <w:rFonts w:hint="default"/>
        <w:color w:val="595959" w:themeColor="text1" w:themeTint="A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A607944"/>
    <w:multiLevelType w:val="hybridMultilevel"/>
    <w:tmpl w:val="D00E5B2A"/>
    <w:lvl w:ilvl="0" w:tplc="E020D9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CE4FF4"/>
    <w:multiLevelType w:val="multilevel"/>
    <w:tmpl w:val="02D0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2" w:hanging="492"/>
      </w:pPr>
      <w:rPr>
        <w:color w:val="595959" w:themeColor="text1" w:themeTint="A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9223810"/>
    <w:multiLevelType w:val="hybridMultilevel"/>
    <w:tmpl w:val="E47C279E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57F4D"/>
    <w:multiLevelType w:val="hybridMultilevel"/>
    <w:tmpl w:val="ED3A71D4"/>
    <w:lvl w:ilvl="0" w:tplc="E1D8B7CE">
      <w:start w:val="1"/>
      <w:numFmt w:val="bullet"/>
      <w:lvlText w:val="l"/>
      <w:lvlJc w:val="left"/>
      <w:pPr>
        <w:ind w:left="1080" w:hanging="360"/>
      </w:pPr>
      <w:rPr>
        <w:rFonts w:ascii="Wingdings" w:hAnsi="Wingdings" w:hint="default"/>
        <w:color w:val="79AC2B"/>
        <w:u w:color="79AC2B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E67882"/>
    <w:multiLevelType w:val="hybridMultilevel"/>
    <w:tmpl w:val="ED465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F691D"/>
    <w:multiLevelType w:val="multilevel"/>
    <w:tmpl w:val="02D0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2" w:hanging="492"/>
      </w:pPr>
      <w:rPr>
        <w:color w:val="595959" w:themeColor="text1" w:themeTint="A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74B76F1"/>
    <w:multiLevelType w:val="hybridMultilevel"/>
    <w:tmpl w:val="84A2B4FC"/>
    <w:lvl w:ilvl="0" w:tplc="97704A9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104A3"/>
    <w:multiLevelType w:val="multilevel"/>
    <w:tmpl w:val="636ED7E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595959" w:themeColor="text1" w:themeTint="A6"/>
      </w:rPr>
    </w:lvl>
    <w:lvl w:ilvl="1">
      <w:start w:val="1"/>
      <w:numFmt w:val="decimal"/>
      <w:isLgl/>
      <w:lvlText w:val="%1.%2."/>
      <w:lvlJc w:val="left"/>
      <w:pPr>
        <w:ind w:left="852" w:hanging="492"/>
      </w:pPr>
      <w:rPr>
        <w:color w:val="595959" w:themeColor="text1" w:themeTint="A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3C193FF6"/>
    <w:multiLevelType w:val="hybridMultilevel"/>
    <w:tmpl w:val="F10A9AC2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15025"/>
    <w:multiLevelType w:val="hybridMultilevel"/>
    <w:tmpl w:val="F3104A1A"/>
    <w:lvl w:ilvl="0" w:tplc="1C567CE8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F4B4B"/>
    <w:multiLevelType w:val="hybridMultilevel"/>
    <w:tmpl w:val="9202FE20"/>
    <w:lvl w:ilvl="0" w:tplc="83561D6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color="79AC2B" w:themeColor="accent3"/>
      </w:rPr>
    </w:lvl>
    <w:lvl w:ilvl="1" w:tplc="D25C913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F62F5"/>
    <w:multiLevelType w:val="hybridMultilevel"/>
    <w:tmpl w:val="40BE2630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162D"/>
    <w:multiLevelType w:val="hybridMultilevel"/>
    <w:tmpl w:val="F074484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F3485"/>
    <w:multiLevelType w:val="hybridMultilevel"/>
    <w:tmpl w:val="7A4294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40474"/>
    <w:multiLevelType w:val="hybridMultilevel"/>
    <w:tmpl w:val="F1F60058"/>
    <w:lvl w:ilvl="0" w:tplc="8A72C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4778F"/>
    <w:multiLevelType w:val="hybridMultilevel"/>
    <w:tmpl w:val="0DE43AE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4075F"/>
    <w:multiLevelType w:val="hybridMultilevel"/>
    <w:tmpl w:val="59462FDA"/>
    <w:lvl w:ilvl="0" w:tplc="D1068B5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464AB"/>
    <w:multiLevelType w:val="hybridMultilevel"/>
    <w:tmpl w:val="78E42CE2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1E86492C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5199D"/>
    <w:multiLevelType w:val="hybridMultilevel"/>
    <w:tmpl w:val="96B2C760"/>
    <w:lvl w:ilvl="0" w:tplc="D0FAB4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6124A"/>
    <w:multiLevelType w:val="multilevel"/>
    <w:tmpl w:val="CB14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E5E12E4"/>
    <w:multiLevelType w:val="hybridMultilevel"/>
    <w:tmpl w:val="EC82F69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7315C"/>
    <w:multiLevelType w:val="hybridMultilevel"/>
    <w:tmpl w:val="C73A876C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1E364D"/>
    <w:multiLevelType w:val="hybridMultilevel"/>
    <w:tmpl w:val="E6C487C2"/>
    <w:lvl w:ilvl="0" w:tplc="D0FAB4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407F11"/>
    <w:multiLevelType w:val="hybridMultilevel"/>
    <w:tmpl w:val="1010A90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8256F2"/>
    <w:multiLevelType w:val="hybridMultilevel"/>
    <w:tmpl w:val="AA40C5B2"/>
    <w:lvl w:ilvl="0" w:tplc="E1D8B7CE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175906"/>
    <w:multiLevelType w:val="hybridMultilevel"/>
    <w:tmpl w:val="FD1010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141"/>
    <w:multiLevelType w:val="multilevel"/>
    <w:tmpl w:val="63982D8C"/>
    <w:lvl w:ilvl="0">
      <w:start w:val="1"/>
      <w:numFmt w:val="decimal"/>
      <w:lvlText w:val="%1."/>
      <w:lvlJc w:val="left"/>
      <w:pPr>
        <w:ind w:left="720" w:hanging="360"/>
      </w:pPr>
      <w:rPr>
        <w:color w:val="595959" w:themeColor="text1" w:themeTint="A6"/>
      </w:rPr>
    </w:lvl>
    <w:lvl w:ilvl="1">
      <w:start w:val="1"/>
      <w:numFmt w:val="decimal"/>
      <w:isLgl/>
      <w:lvlText w:val="%1.%2."/>
      <w:lvlJc w:val="left"/>
      <w:pPr>
        <w:ind w:left="852" w:hanging="492"/>
      </w:pPr>
      <w:rPr>
        <w:color w:val="595959" w:themeColor="text1" w:themeTint="A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6DB47173"/>
    <w:multiLevelType w:val="hybridMultilevel"/>
    <w:tmpl w:val="29947580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D550B6"/>
    <w:multiLevelType w:val="hybridMultilevel"/>
    <w:tmpl w:val="B1188D66"/>
    <w:lvl w:ilvl="0" w:tplc="E1D8B7CE">
      <w:start w:val="1"/>
      <w:numFmt w:val="bullet"/>
      <w:lvlText w:val="l"/>
      <w:lvlJc w:val="left"/>
      <w:pPr>
        <w:ind w:left="1080" w:hanging="360"/>
      </w:pPr>
      <w:rPr>
        <w:rFonts w:ascii="Wingdings" w:hAnsi="Wingdings" w:hint="default"/>
        <w:color w:val="79AC2B"/>
        <w:u w:color="79AC2B"/>
      </w:rPr>
    </w:lvl>
    <w:lvl w:ilvl="1" w:tplc="04E89414"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877642"/>
    <w:multiLevelType w:val="hybridMultilevel"/>
    <w:tmpl w:val="434E85EA"/>
    <w:lvl w:ilvl="0" w:tplc="E1D8B7CE">
      <w:start w:val="1"/>
      <w:numFmt w:val="bullet"/>
      <w:lvlText w:val="l"/>
      <w:lvlJc w:val="left"/>
      <w:pPr>
        <w:ind w:left="72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10AFD"/>
    <w:multiLevelType w:val="hybridMultilevel"/>
    <w:tmpl w:val="EE2CB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C60E0"/>
    <w:multiLevelType w:val="hybridMultilevel"/>
    <w:tmpl w:val="7F02F90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3601AF"/>
    <w:multiLevelType w:val="hybridMultilevel"/>
    <w:tmpl w:val="6CA2FDB2"/>
    <w:lvl w:ilvl="0" w:tplc="E1D8B7CE">
      <w:start w:val="1"/>
      <w:numFmt w:val="bullet"/>
      <w:lvlText w:val="l"/>
      <w:lvlJc w:val="left"/>
      <w:pPr>
        <w:ind w:left="1080" w:hanging="360"/>
      </w:pPr>
      <w:rPr>
        <w:rFonts w:ascii="Wingdings" w:hAnsi="Wingdings" w:hint="default"/>
        <w:color w:val="79AC2B"/>
        <w:u w:color="79AC2B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E7343B"/>
    <w:multiLevelType w:val="hybridMultilevel"/>
    <w:tmpl w:val="B216A4F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539727">
    <w:abstractNumId w:val="11"/>
  </w:num>
  <w:num w:numId="2" w16cid:durableId="1053116262">
    <w:abstractNumId w:val="44"/>
  </w:num>
  <w:num w:numId="3" w16cid:durableId="12531234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5888727">
    <w:abstractNumId w:val="0"/>
  </w:num>
  <w:num w:numId="5" w16cid:durableId="410126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44550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09381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96515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76117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2557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9537770">
    <w:abstractNumId w:val="3"/>
  </w:num>
  <w:num w:numId="12" w16cid:durableId="687105356">
    <w:abstractNumId w:val="34"/>
  </w:num>
  <w:num w:numId="13" w16cid:durableId="1776247250">
    <w:abstractNumId w:val="13"/>
  </w:num>
  <w:num w:numId="14" w16cid:durableId="1544712483">
    <w:abstractNumId w:val="42"/>
  </w:num>
  <w:num w:numId="15" w16cid:durableId="893737135">
    <w:abstractNumId w:val="46"/>
  </w:num>
  <w:num w:numId="16" w16cid:durableId="1131901066">
    <w:abstractNumId w:val="41"/>
  </w:num>
  <w:num w:numId="17" w16cid:durableId="2010209892">
    <w:abstractNumId w:val="7"/>
  </w:num>
  <w:num w:numId="18" w16cid:durableId="1202011015">
    <w:abstractNumId w:val="35"/>
  </w:num>
  <w:num w:numId="19" w16cid:durableId="1232081826">
    <w:abstractNumId w:val="6"/>
  </w:num>
  <w:num w:numId="20" w16cid:durableId="2120368630">
    <w:abstractNumId w:val="43"/>
  </w:num>
  <w:num w:numId="21" w16cid:durableId="646932563">
    <w:abstractNumId w:val="31"/>
  </w:num>
  <w:num w:numId="22" w16cid:durableId="845562385">
    <w:abstractNumId w:val="16"/>
  </w:num>
  <w:num w:numId="23" w16cid:durableId="1565682915">
    <w:abstractNumId w:val="39"/>
  </w:num>
  <w:num w:numId="24" w16cid:durableId="2030570450">
    <w:abstractNumId w:val="20"/>
  </w:num>
  <w:num w:numId="25" w16cid:durableId="1337463119">
    <w:abstractNumId w:val="45"/>
  </w:num>
  <w:num w:numId="26" w16cid:durableId="1302030891">
    <w:abstractNumId w:val="14"/>
  </w:num>
  <w:num w:numId="27" w16cid:durableId="62535742">
    <w:abstractNumId w:val="33"/>
  </w:num>
  <w:num w:numId="28" w16cid:durableId="951090446">
    <w:abstractNumId w:val="10"/>
  </w:num>
  <w:num w:numId="29" w16cid:durableId="659113147">
    <w:abstractNumId w:val="29"/>
  </w:num>
  <w:num w:numId="30" w16cid:durableId="776605281">
    <w:abstractNumId w:val="47"/>
  </w:num>
  <w:num w:numId="31" w16cid:durableId="1641766354">
    <w:abstractNumId w:val="37"/>
  </w:num>
  <w:num w:numId="32" w16cid:durableId="805397952">
    <w:abstractNumId w:val="28"/>
  </w:num>
  <w:num w:numId="33" w16cid:durableId="315492819">
    <w:abstractNumId w:val="4"/>
  </w:num>
  <w:num w:numId="34" w16cid:durableId="1197810292">
    <w:abstractNumId w:val="17"/>
  </w:num>
  <w:num w:numId="35" w16cid:durableId="920522913">
    <w:abstractNumId w:val="5"/>
  </w:num>
  <w:num w:numId="36" w16cid:durableId="1186479698">
    <w:abstractNumId w:val="1"/>
  </w:num>
  <w:num w:numId="37" w16cid:durableId="1051224646">
    <w:abstractNumId w:val="38"/>
  </w:num>
  <w:num w:numId="38" w16cid:durableId="955450561">
    <w:abstractNumId w:val="25"/>
  </w:num>
  <w:num w:numId="39" w16cid:durableId="993991281">
    <w:abstractNumId w:val="22"/>
  </w:num>
  <w:num w:numId="40" w16cid:durableId="54276416">
    <w:abstractNumId w:val="2"/>
  </w:num>
  <w:num w:numId="41" w16cid:durableId="174418064">
    <w:abstractNumId w:val="18"/>
  </w:num>
  <w:num w:numId="42" w16cid:durableId="67119488">
    <w:abstractNumId w:val="8"/>
  </w:num>
  <w:num w:numId="43" w16cid:durableId="1968704999">
    <w:abstractNumId w:val="24"/>
  </w:num>
  <w:num w:numId="44" w16cid:durableId="805128277">
    <w:abstractNumId w:val="30"/>
  </w:num>
  <w:num w:numId="45" w16cid:durableId="892539385">
    <w:abstractNumId w:val="36"/>
  </w:num>
  <w:num w:numId="46" w16cid:durableId="1501038731">
    <w:abstractNumId w:val="32"/>
  </w:num>
  <w:num w:numId="47" w16cid:durableId="994795834">
    <w:abstractNumId w:val="9"/>
  </w:num>
  <w:num w:numId="48" w16cid:durableId="4263174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864"/>
    <w:rsid w:val="000002C5"/>
    <w:rsid w:val="00001933"/>
    <w:rsid w:val="00012A3B"/>
    <w:rsid w:val="00013937"/>
    <w:rsid w:val="000171C9"/>
    <w:rsid w:val="00020F52"/>
    <w:rsid w:val="00027CD0"/>
    <w:rsid w:val="00030095"/>
    <w:rsid w:val="000324D4"/>
    <w:rsid w:val="00046421"/>
    <w:rsid w:val="0004791F"/>
    <w:rsid w:val="000803FF"/>
    <w:rsid w:val="00081CCB"/>
    <w:rsid w:val="000877CA"/>
    <w:rsid w:val="00096F8F"/>
    <w:rsid w:val="000A1790"/>
    <w:rsid w:val="000B496C"/>
    <w:rsid w:val="000D6441"/>
    <w:rsid w:val="000D7F0E"/>
    <w:rsid w:val="000E1BB4"/>
    <w:rsid w:val="000E40BF"/>
    <w:rsid w:val="000F0D7F"/>
    <w:rsid w:val="000F1228"/>
    <w:rsid w:val="000F1BE1"/>
    <w:rsid w:val="00113308"/>
    <w:rsid w:val="00120C82"/>
    <w:rsid w:val="001235B2"/>
    <w:rsid w:val="00124871"/>
    <w:rsid w:val="00133621"/>
    <w:rsid w:val="001340CC"/>
    <w:rsid w:val="001423D0"/>
    <w:rsid w:val="00150026"/>
    <w:rsid w:val="00151755"/>
    <w:rsid w:val="00153059"/>
    <w:rsid w:val="00153780"/>
    <w:rsid w:val="001568E0"/>
    <w:rsid w:val="00160352"/>
    <w:rsid w:val="00161A6A"/>
    <w:rsid w:val="001649F4"/>
    <w:rsid w:val="0019525A"/>
    <w:rsid w:val="00197587"/>
    <w:rsid w:val="00197911"/>
    <w:rsid w:val="00197ECB"/>
    <w:rsid w:val="001B0769"/>
    <w:rsid w:val="001B4095"/>
    <w:rsid w:val="001C68D9"/>
    <w:rsid w:val="001E4F09"/>
    <w:rsid w:val="001E5432"/>
    <w:rsid w:val="001E7A5C"/>
    <w:rsid w:val="001F071F"/>
    <w:rsid w:val="00207F80"/>
    <w:rsid w:val="00216086"/>
    <w:rsid w:val="00222256"/>
    <w:rsid w:val="002233BF"/>
    <w:rsid w:val="00243CE8"/>
    <w:rsid w:val="00245E7E"/>
    <w:rsid w:val="00250BA1"/>
    <w:rsid w:val="0025761E"/>
    <w:rsid w:val="00257C7E"/>
    <w:rsid w:val="00260DAF"/>
    <w:rsid w:val="00270462"/>
    <w:rsid w:val="00282530"/>
    <w:rsid w:val="00287088"/>
    <w:rsid w:val="00292BD1"/>
    <w:rsid w:val="002C603D"/>
    <w:rsid w:val="002D2680"/>
    <w:rsid w:val="002D4300"/>
    <w:rsid w:val="002D562C"/>
    <w:rsid w:val="002D663D"/>
    <w:rsid w:val="002F01A0"/>
    <w:rsid w:val="002F277D"/>
    <w:rsid w:val="002F4BC3"/>
    <w:rsid w:val="002F548E"/>
    <w:rsid w:val="003109EB"/>
    <w:rsid w:val="003201BB"/>
    <w:rsid w:val="00320E39"/>
    <w:rsid w:val="00336C13"/>
    <w:rsid w:val="00337D62"/>
    <w:rsid w:val="00340E8C"/>
    <w:rsid w:val="003413C3"/>
    <w:rsid w:val="00346EA3"/>
    <w:rsid w:val="00356864"/>
    <w:rsid w:val="003606D9"/>
    <w:rsid w:val="0036298F"/>
    <w:rsid w:val="00372588"/>
    <w:rsid w:val="00372678"/>
    <w:rsid w:val="0038026F"/>
    <w:rsid w:val="00383BBB"/>
    <w:rsid w:val="0039361C"/>
    <w:rsid w:val="00393C06"/>
    <w:rsid w:val="003A0140"/>
    <w:rsid w:val="003A703D"/>
    <w:rsid w:val="003B328D"/>
    <w:rsid w:val="003B44C7"/>
    <w:rsid w:val="003B63C5"/>
    <w:rsid w:val="003C37D5"/>
    <w:rsid w:val="003E1309"/>
    <w:rsid w:val="003E2662"/>
    <w:rsid w:val="003E4BBE"/>
    <w:rsid w:val="003E77C7"/>
    <w:rsid w:val="003F057E"/>
    <w:rsid w:val="003F40C6"/>
    <w:rsid w:val="00412ABB"/>
    <w:rsid w:val="004210D1"/>
    <w:rsid w:val="004223B4"/>
    <w:rsid w:val="00430301"/>
    <w:rsid w:val="00433980"/>
    <w:rsid w:val="00436E51"/>
    <w:rsid w:val="00441121"/>
    <w:rsid w:val="00452A37"/>
    <w:rsid w:val="004700D5"/>
    <w:rsid w:val="00472FC9"/>
    <w:rsid w:val="00475EA8"/>
    <w:rsid w:val="00480C5B"/>
    <w:rsid w:val="00487CE0"/>
    <w:rsid w:val="00490A8C"/>
    <w:rsid w:val="00495463"/>
    <w:rsid w:val="004A0F19"/>
    <w:rsid w:val="004A23EA"/>
    <w:rsid w:val="004A5E6B"/>
    <w:rsid w:val="004B118F"/>
    <w:rsid w:val="004B73C8"/>
    <w:rsid w:val="004C551A"/>
    <w:rsid w:val="004C7F20"/>
    <w:rsid w:val="004D5113"/>
    <w:rsid w:val="004D6CB0"/>
    <w:rsid w:val="005073EA"/>
    <w:rsid w:val="00522637"/>
    <w:rsid w:val="00536C77"/>
    <w:rsid w:val="00544938"/>
    <w:rsid w:val="00545C27"/>
    <w:rsid w:val="005535F5"/>
    <w:rsid w:val="00553B97"/>
    <w:rsid w:val="005545EB"/>
    <w:rsid w:val="00556FC7"/>
    <w:rsid w:val="00567D94"/>
    <w:rsid w:val="00570F10"/>
    <w:rsid w:val="00574628"/>
    <w:rsid w:val="00581BB1"/>
    <w:rsid w:val="00585D2E"/>
    <w:rsid w:val="00590CA6"/>
    <w:rsid w:val="005928AF"/>
    <w:rsid w:val="005B158E"/>
    <w:rsid w:val="005D0DAE"/>
    <w:rsid w:val="005D3808"/>
    <w:rsid w:val="005F74A9"/>
    <w:rsid w:val="005F7717"/>
    <w:rsid w:val="006436B0"/>
    <w:rsid w:val="00652F58"/>
    <w:rsid w:val="0065612B"/>
    <w:rsid w:val="00661D6E"/>
    <w:rsid w:val="006651A9"/>
    <w:rsid w:val="006912DC"/>
    <w:rsid w:val="00693894"/>
    <w:rsid w:val="006974AF"/>
    <w:rsid w:val="006A4512"/>
    <w:rsid w:val="006A4CB9"/>
    <w:rsid w:val="006A5060"/>
    <w:rsid w:val="006B3EAD"/>
    <w:rsid w:val="006B5B75"/>
    <w:rsid w:val="006C0659"/>
    <w:rsid w:val="006C1154"/>
    <w:rsid w:val="006C7B51"/>
    <w:rsid w:val="006D1A85"/>
    <w:rsid w:val="006D399B"/>
    <w:rsid w:val="006E2256"/>
    <w:rsid w:val="006F06AD"/>
    <w:rsid w:val="006F6931"/>
    <w:rsid w:val="007000C2"/>
    <w:rsid w:val="0071127A"/>
    <w:rsid w:val="00711A2C"/>
    <w:rsid w:val="00716826"/>
    <w:rsid w:val="00717C91"/>
    <w:rsid w:val="00721A4D"/>
    <w:rsid w:val="00722D47"/>
    <w:rsid w:val="00724DF4"/>
    <w:rsid w:val="00726A29"/>
    <w:rsid w:val="00734059"/>
    <w:rsid w:val="0074745B"/>
    <w:rsid w:val="007522AD"/>
    <w:rsid w:val="0075297F"/>
    <w:rsid w:val="00776DD4"/>
    <w:rsid w:val="00784195"/>
    <w:rsid w:val="00786A0C"/>
    <w:rsid w:val="00790C6B"/>
    <w:rsid w:val="00793927"/>
    <w:rsid w:val="007969DC"/>
    <w:rsid w:val="007A47F6"/>
    <w:rsid w:val="007B4850"/>
    <w:rsid w:val="007B6C50"/>
    <w:rsid w:val="007C0191"/>
    <w:rsid w:val="007C0BCE"/>
    <w:rsid w:val="007C1150"/>
    <w:rsid w:val="007C5C7A"/>
    <w:rsid w:val="007C7DEA"/>
    <w:rsid w:val="007D359E"/>
    <w:rsid w:val="007D3CB9"/>
    <w:rsid w:val="007E2084"/>
    <w:rsid w:val="007E2362"/>
    <w:rsid w:val="007E4CFB"/>
    <w:rsid w:val="007E53BA"/>
    <w:rsid w:val="007F56EE"/>
    <w:rsid w:val="007F5F65"/>
    <w:rsid w:val="00801958"/>
    <w:rsid w:val="008137D3"/>
    <w:rsid w:val="00831674"/>
    <w:rsid w:val="00845420"/>
    <w:rsid w:val="00846194"/>
    <w:rsid w:val="008547EB"/>
    <w:rsid w:val="008648A7"/>
    <w:rsid w:val="00871F9E"/>
    <w:rsid w:val="00872581"/>
    <w:rsid w:val="0087260C"/>
    <w:rsid w:val="008934CE"/>
    <w:rsid w:val="008A3009"/>
    <w:rsid w:val="008A3A73"/>
    <w:rsid w:val="008A733E"/>
    <w:rsid w:val="008B2ACB"/>
    <w:rsid w:val="008C1FD5"/>
    <w:rsid w:val="008C53D9"/>
    <w:rsid w:val="008C5537"/>
    <w:rsid w:val="008D4547"/>
    <w:rsid w:val="008D57F7"/>
    <w:rsid w:val="008D6311"/>
    <w:rsid w:val="008E0903"/>
    <w:rsid w:val="008E4103"/>
    <w:rsid w:val="008F0A20"/>
    <w:rsid w:val="008F1772"/>
    <w:rsid w:val="008F26DB"/>
    <w:rsid w:val="00910EFE"/>
    <w:rsid w:val="00910FBB"/>
    <w:rsid w:val="00915076"/>
    <w:rsid w:val="009151E1"/>
    <w:rsid w:val="00921035"/>
    <w:rsid w:val="00921197"/>
    <w:rsid w:val="00921FB3"/>
    <w:rsid w:val="00924FF7"/>
    <w:rsid w:val="00946A09"/>
    <w:rsid w:val="009571D7"/>
    <w:rsid w:val="009600FB"/>
    <w:rsid w:val="009663F6"/>
    <w:rsid w:val="0096751B"/>
    <w:rsid w:val="00975A89"/>
    <w:rsid w:val="00991739"/>
    <w:rsid w:val="00994A7A"/>
    <w:rsid w:val="009A5BEA"/>
    <w:rsid w:val="009B5CFC"/>
    <w:rsid w:val="009C34FD"/>
    <w:rsid w:val="009C35E9"/>
    <w:rsid w:val="009C579D"/>
    <w:rsid w:val="009F0D92"/>
    <w:rsid w:val="009F7A78"/>
    <w:rsid w:val="00A00B04"/>
    <w:rsid w:val="00A11CEC"/>
    <w:rsid w:val="00A1519A"/>
    <w:rsid w:val="00A171FF"/>
    <w:rsid w:val="00A21DB6"/>
    <w:rsid w:val="00A22DF1"/>
    <w:rsid w:val="00A34D64"/>
    <w:rsid w:val="00A46751"/>
    <w:rsid w:val="00A46F67"/>
    <w:rsid w:val="00A563CF"/>
    <w:rsid w:val="00A56845"/>
    <w:rsid w:val="00A64866"/>
    <w:rsid w:val="00A64EED"/>
    <w:rsid w:val="00A65B82"/>
    <w:rsid w:val="00A751D3"/>
    <w:rsid w:val="00A9479C"/>
    <w:rsid w:val="00A947B6"/>
    <w:rsid w:val="00A9706C"/>
    <w:rsid w:val="00AA03ED"/>
    <w:rsid w:val="00AB0315"/>
    <w:rsid w:val="00AB0E3A"/>
    <w:rsid w:val="00AB14B7"/>
    <w:rsid w:val="00AC0E10"/>
    <w:rsid w:val="00AC0F01"/>
    <w:rsid w:val="00AD02EA"/>
    <w:rsid w:val="00AD4EBF"/>
    <w:rsid w:val="00AE1916"/>
    <w:rsid w:val="00AE3777"/>
    <w:rsid w:val="00AE68A1"/>
    <w:rsid w:val="00AE6D41"/>
    <w:rsid w:val="00B00A60"/>
    <w:rsid w:val="00B0204F"/>
    <w:rsid w:val="00B17B77"/>
    <w:rsid w:val="00B258A4"/>
    <w:rsid w:val="00B33135"/>
    <w:rsid w:val="00B34848"/>
    <w:rsid w:val="00B366B7"/>
    <w:rsid w:val="00B5062B"/>
    <w:rsid w:val="00B518AA"/>
    <w:rsid w:val="00B565C6"/>
    <w:rsid w:val="00B56C1D"/>
    <w:rsid w:val="00B574C6"/>
    <w:rsid w:val="00B862CF"/>
    <w:rsid w:val="00B920CF"/>
    <w:rsid w:val="00BA4E06"/>
    <w:rsid w:val="00BC0C97"/>
    <w:rsid w:val="00BC2E8F"/>
    <w:rsid w:val="00BC4723"/>
    <w:rsid w:val="00BD3436"/>
    <w:rsid w:val="00BE595B"/>
    <w:rsid w:val="00BE6336"/>
    <w:rsid w:val="00BF19FC"/>
    <w:rsid w:val="00BF5C3E"/>
    <w:rsid w:val="00BF733B"/>
    <w:rsid w:val="00C020E5"/>
    <w:rsid w:val="00C04F5E"/>
    <w:rsid w:val="00C06019"/>
    <w:rsid w:val="00C10BB4"/>
    <w:rsid w:val="00C1452A"/>
    <w:rsid w:val="00C341BF"/>
    <w:rsid w:val="00C4232D"/>
    <w:rsid w:val="00C43100"/>
    <w:rsid w:val="00C5249A"/>
    <w:rsid w:val="00C52B9D"/>
    <w:rsid w:val="00C53CA7"/>
    <w:rsid w:val="00C62994"/>
    <w:rsid w:val="00C766A6"/>
    <w:rsid w:val="00C76B3F"/>
    <w:rsid w:val="00C9443A"/>
    <w:rsid w:val="00C95820"/>
    <w:rsid w:val="00CB0533"/>
    <w:rsid w:val="00CB3EA5"/>
    <w:rsid w:val="00CB4718"/>
    <w:rsid w:val="00CD359F"/>
    <w:rsid w:val="00CE1513"/>
    <w:rsid w:val="00CF5905"/>
    <w:rsid w:val="00D05720"/>
    <w:rsid w:val="00D0795A"/>
    <w:rsid w:val="00D07AD2"/>
    <w:rsid w:val="00D20E3D"/>
    <w:rsid w:val="00D26AD5"/>
    <w:rsid w:val="00D40621"/>
    <w:rsid w:val="00D70643"/>
    <w:rsid w:val="00D71D54"/>
    <w:rsid w:val="00D83192"/>
    <w:rsid w:val="00D90BED"/>
    <w:rsid w:val="00D9170A"/>
    <w:rsid w:val="00D93C5E"/>
    <w:rsid w:val="00D9733E"/>
    <w:rsid w:val="00DA5A55"/>
    <w:rsid w:val="00DB3146"/>
    <w:rsid w:val="00DB5995"/>
    <w:rsid w:val="00DC199E"/>
    <w:rsid w:val="00DC24DB"/>
    <w:rsid w:val="00DC6740"/>
    <w:rsid w:val="00DD045A"/>
    <w:rsid w:val="00DD13CC"/>
    <w:rsid w:val="00DF01B0"/>
    <w:rsid w:val="00DF1FDB"/>
    <w:rsid w:val="00E012D1"/>
    <w:rsid w:val="00E01A63"/>
    <w:rsid w:val="00E16285"/>
    <w:rsid w:val="00E17BEB"/>
    <w:rsid w:val="00E43270"/>
    <w:rsid w:val="00E669AF"/>
    <w:rsid w:val="00E7089D"/>
    <w:rsid w:val="00E70E90"/>
    <w:rsid w:val="00E82DBB"/>
    <w:rsid w:val="00E95B49"/>
    <w:rsid w:val="00EA1A95"/>
    <w:rsid w:val="00EB2A16"/>
    <w:rsid w:val="00EB34FA"/>
    <w:rsid w:val="00EB6C45"/>
    <w:rsid w:val="00EB7B27"/>
    <w:rsid w:val="00EC3347"/>
    <w:rsid w:val="00ED32C7"/>
    <w:rsid w:val="00ED413A"/>
    <w:rsid w:val="00EE6FE0"/>
    <w:rsid w:val="00F00490"/>
    <w:rsid w:val="00F05C34"/>
    <w:rsid w:val="00F225DB"/>
    <w:rsid w:val="00F30677"/>
    <w:rsid w:val="00F56D78"/>
    <w:rsid w:val="00F62E39"/>
    <w:rsid w:val="00F7182B"/>
    <w:rsid w:val="00F8479A"/>
    <w:rsid w:val="00F87C64"/>
    <w:rsid w:val="00F90E4F"/>
    <w:rsid w:val="00F95C03"/>
    <w:rsid w:val="00FB2B33"/>
    <w:rsid w:val="00FB4BB0"/>
    <w:rsid w:val="00FC538A"/>
    <w:rsid w:val="00FD44B2"/>
    <w:rsid w:val="00FD5C97"/>
    <w:rsid w:val="00FE2BF1"/>
    <w:rsid w:val="00FF2E4E"/>
    <w:rsid w:val="00FF4A75"/>
    <w:rsid w:val="00FF5654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A034DA"/>
  <w15:docId w15:val="{B2355F1F-815C-4C4A-B3F2-F3E92CD7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28D"/>
    <w:pPr>
      <w:spacing w:before="240" w:after="240" w:line="240" w:lineRule="auto"/>
    </w:pPr>
    <w:rPr>
      <w:rFonts w:ascii="Calibri" w:hAnsi="Calibri" w:cs="Calibri"/>
      <w:lang w:eastAsia="en-GB"/>
    </w:rPr>
  </w:style>
  <w:style w:type="paragraph" w:styleId="Titre1">
    <w:name w:val="heading 1"/>
    <w:aliases w:val="H1"/>
    <w:basedOn w:val="Normal"/>
    <w:next w:val="Normal"/>
    <w:link w:val="Titre1Car"/>
    <w:qFormat/>
    <w:rsid w:val="00C10BB4"/>
    <w:pPr>
      <w:keepNext/>
      <w:keepLines/>
      <w:outlineLvl w:val="0"/>
    </w:pPr>
    <w:rPr>
      <w:rFonts w:eastAsiaTheme="majorEastAsia" w:cstheme="majorBidi"/>
      <w:b/>
      <w:color w:val="1D509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E01A63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153B76" w:themeColor="accent1" w:themeShade="BF"/>
      <w:sz w:val="26"/>
      <w:szCs w:val="26"/>
    </w:rPr>
  </w:style>
  <w:style w:type="paragraph" w:styleId="Titre3">
    <w:name w:val="heading 3"/>
    <w:aliases w:val="B4L T3"/>
    <w:basedOn w:val="Normal"/>
    <w:next w:val="Normal"/>
    <w:link w:val="Titre3Car"/>
    <w:uiPriority w:val="9"/>
    <w:unhideWhenUsed/>
    <w:rsid w:val="00E01A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E274E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2F4B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3B76" w:themeColor="accent1" w:themeShade="BF"/>
      <w:sz w:val="24"/>
      <w:szCs w:val="24"/>
      <w:lang w:eastAsia="en-US"/>
    </w:rPr>
  </w:style>
  <w:style w:type="paragraph" w:styleId="Titre5">
    <w:name w:val="heading 5"/>
    <w:aliases w:val="B4L T5"/>
    <w:basedOn w:val="Normal"/>
    <w:next w:val="Normal"/>
    <w:link w:val="Titre5Car"/>
    <w:uiPriority w:val="9"/>
    <w:unhideWhenUsed/>
    <w:rsid w:val="000324D4"/>
    <w:pPr>
      <w:keepNext/>
      <w:keepLines/>
      <w:spacing w:before="200"/>
      <w:ind w:left="1440" w:hanging="1080"/>
      <w:jc w:val="both"/>
      <w:outlineLvl w:val="4"/>
    </w:pPr>
    <w:rPr>
      <w:rFonts w:ascii="Arial Narrow" w:eastAsiaTheme="majorEastAsia" w:hAnsi="Arial Narrow" w:cstheme="majorBidi"/>
      <w:color w:val="0E274E" w:themeColor="accent1" w:themeShade="7F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basedOn w:val="Normal"/>
    <w:rsid w:val="00151755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Titre">
    <w:name w:val="Title"/>
    <w:aliases w:val="Title Cover"/>
    <w:basedOn w:val="Normal"/>
    <w:next w:val="Normal"/>
    <w:link w:val="TitreCar"/>
    <w:uiPriority w:val="10"/>
    <w:qFormat/>
    <w:rsid w:val="00A34D64"/>
    <w:pPr>
      <w:contextualSpacing/>
    </w:pPr>
    <w:rPr>
      <w:rFonts w:eastAsiaTheme="majorEastAsia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reCar">
    <w:name w:val="Titre Car"/>
    <w:aliases w:val="Title Cover Car"/>
    <w:basedOn w:val="Policepardfaut"/>
    <w:link w:val="Titre"/>
    <w:uiPriority w:val="10"/>
    <w:rsid w:val="00A34D64"/>
    <w:rPr>
      <w:rFonts w:ascii="Calibri" w:eastAsiaTheme="majorEastAsia" w:hAnsi="Calibri" w:cstheme="majorBidi"/>
      <w:b/>
      <w:color w:val="FFFFFF" w:themeColor="background1"/>
      <w:spacing w:val="-10"/>
      <w:kern w:val="28"/>
      <w:sz w:val="56"/>
      <w:szCs w:val="56"/>
      <w:lang w:eastAsia="en-GB"/>
    </w:rPr>
  </w:style>
  <w:style w:type="paragraph" w:styleId="Sous-titre">
    <w:name w:val="Subtitle"/>
    <w:basedOn w:val="Normal"/>
    <w:next w:val="Normal"/>
    <w:link w:val="Sous-titreCar"/>
    <w:uiPriority w:val="11"/>
    <w:rsid w:val="00A11C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11CEC"/>
    <w:rPr>
      <w:rFonts w:eastAsiaTheme="minorEastAsia"/>
      <w:color w:val="5A5A5A" w:themeColor="text1" w:themeTint="A5"/>
      <w:spacing w:val="15"/>
      <w:lang w:eastAsia="en-GB"/>
    </w:rPr>
  </w:style>
  <w:style w:type="character" w:customStyle="1" w:styleId="Titre1Car">
    <w:name w:val="Titre 1 Car"/>
    <w:aliases w:val="H1 Car"/>
    <w:basedOn w:val="Policepardfaut"/>
    <w:link w:val="Titre1"/>
    <w:rsid w:val="00C10BB4"/>
    <w:rPr>
      <w:rFonts w:ascii="Calibri" w:eastAsiaTheme="majorEastAsia" w:hAnsi="Calibri" w:cstheme="majorBidi"/>
      <w:b/>
      <w:color w:val="1D509F"/>
      <w:sz w:val="32"/>
      <w:szCs w:val="32"/>
      <w:lang w:eastAsia="en-GB"/>
    </w:rPr>
  </w:style>
  <w:style w:type="paragraph" w:styleId="Paragraphedeliste">
    <w:name w:val="List Paragraph"/>
    <w:aliases w:val="Bullet Points,Liste Paragraf"/>
    <w:basedOn w:val="Normal"/>
    <w:link w:val="ParagraphedelisteCar"/>
    <w:uiPriority w:val="34"/>
    <w:qFormat/>
    <w:rsid w:val="00A563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70E9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0E90"/>
    <w:rPr>
      <w:rFonts w:ascii="Segoe UI" w:hAnsi="Segoe UI" w:cs="Segoe UI"/>
      <w:sz w:val="18"/>
      <w:szCs w:val="18"/>
      <w:lang w:eastAsia="en-GB"/>
    </w:rPr>
  </w:style>
  <w:style w:type="character" w:customStyle="1" w:styleId="Titre2Car">
    <w:name w:val="Titre 2 Car"/>
    <w:basedOn w:val="Policepardfaut"/>
    <w:link w:val="Titre2"/>
    <w:uiPriority w:val="9"/>
    <w:rsid w:val="00E01A63"/>
    <w:rPr>
      <w:rFonts w:asciiTheme="majorHAnsi" w:eastAsiaTheme="majorEastAsia" w:hAnsiTheme="majorHAnsi" w:cstheme="majorBidi"/>
      <w:color w:val="153B76" w:themeColor="accent1" w:themeShade="BF"/>
      <w:sz w:val="26"/>
      <w:szCs w:val="26"/>
      <w:lang w:eastAsia="en-GB"/>
    </w:rPr>
  </w:style>
  <w:style w:type="character" w:customStyle="1" w:styleId="NotedebasdepageCar">
    <w:name w:val="Note de bas de page Car"/>
    <w:aliases w:val="Carattere Carattere Car,single space Car,footnote text Car,Footnote Text Char Char Car,Footnote Text Char1 Char Char Car,Footnote Text Char Char Char Char Car,Char Char Char Char Char Car,Char Char Char Car"/>
    <w:basedOn w:val="Policepardfaut"/>
    <w:link w:val="Notedebasdepage"/>
    <w:uiPriority w:val="99"/>
    <w:locked/>
    <w:rsid w:val="008C5537"/>
    <w:rPr>
      <w:rFonts w:ascii="Calibri" w:hAnsi="Calibri" w:cs="Calibri"/>
      <w:sz w:val="16"/>
      <w:szCs w:val="20"/>
    </w:rPr>
  </w:style>
  <w:style w:type="paragraph" w:styleId="Notedebasdepage">
    <w:name w:val="footnote text"/>
    <w:aliases w:val="Carattere Carattere,single space,footnote text,Footnote Text Char Char,Footnote Text Char1 Char Char,Footnote Text Char Char Char Char,Char Char Char Char Char,Char Char Char"/>
    <w:basedOn w:val="Normal"/>
    <w:link w:val="NotedebasdepageCar"/>
    <w:uiPriority w:val="99"/>
    <w:unhideWhenUsed/>
    <w:rsid w:val="008C5537"/>
    <w:pPr>
      <w:jc w:val="both"/>
    </w:pPr>
    <w:rPr>
      <w:sz w:val="16"/>
      <w:szCs w:val="20"/>
      <w:lang w:eastAsia="en-US"/>
    </w:rPr>
  </w:style>
  <w:style w:type="character" w:customStyle="1" w:styleId="FootnoteTextChar1">
    <w:name w:val="Footnote Text Char1"/>
    <w:basedOn w:val="Policepardfaut"/>
    <w:uiPriority w:val="99"/>
    <w:semiHidden/>
    <w:rsid w:val="00E01A63"/>
    <w:rPr>
      <w:rFonts w:ascii="Calibri" w:hAnsi="Calibri" w:cs="Calibri"/>
      <w:sz w:val="20"/>
      <w:szCs w:val="20"/>
      <w:lang w:eastAsia="en-GB"/>
    </w:rPr>
  </w:style>
  <w:style w:type="character" w:styleId="Appelnotedebasdep">
    <w:name w:val="footnote reference"/>
    <w:aliases w:val="ftref,16 Point,Superscript 6 Point,E FNZ,-E Fußnotenzeichen,Footnote#,SUPERS,BVI fnr Char,BVI fnr Car Car Char,BVI fnr Car Char,BVI fnr Car Car Car Car Char,BVI fnr Car Car Car Car Char Char Char,footnote ref,10 pt, BVI fnr Char"/>
    <w:basedOn w:val="Policepardfaut"/>
    <w:link w:val="BVIfnr"/>
    <w:uiPriority w:val="99"/>
    <w:unhideWhenUsed/>
    <w:rsid w:val="00E01A63"/>
    <w:rPr>
      <w:vertAlign w:val="superscript"/>
    </w:rPr>
  </w:style>
  <w:style w:type="paragraph" w:customStyle="1" w:styleId="BVIfnr">
    <w:name w:val="BVI fnr"/>
    <w:aliases w:val="BVI fnr Car Car,BVI fnr Car,BVI fnr Car Car Car Car, BVI fnr Car Car, BVI fnr Car Car Car Car"/>
    <w:basedOn w:val="Normal"/>
    <w:link w:val="Appelnotedebasdep"/>
    <w:uiPriority w:val="99"/>
    <w:rsid w:val="00E01A63"/>
    <w:pPr>
      <w:spacing w:after="160" w:line="240" w:lineRule="exact"/>
      <w:jc w:val="both"/>
    </w:pPr>
    <w:rPr>
      <w:rFonts w:asciiTheme="minorHAnsi" w:hAnsiTheme="minorHAnsi" w:cstheme="minorBidi"/>
      <w:vertAlign w:val="superscript"/>
      <w:lang w:eastAsia="en-US"/>
    </w:rPr>
  </w:style>
  <w:style w:type="character" w:customStyle="1" w:styleId="Titre3Car">
    <w:name w:val="Titre 3 Car"/>
    <w:aliases w:val="B4L T3 Car"/>
    <w:basedOn w:val="Policepardfaut"/>
    <w:link w:val="Titre3"/>
    <w:uiPriority w:val="9"/>
    <w:rsid w:val="00E01A63"/>
    <w:rPr>
      <w:rFonts w:asciiTheme="majorHAnsi" w:eastAsiaTheme="majorEastAsia" w:hAnsiTheme="majorHAnsi" w:cstheme="majorBidi"/>
      <w:color w:val="0E274E" w:themeColor="accent1" w:themeShade="7F"/>
      <w:sz w:val="24"/>
      <w:szCs w:val="24"/>
      <w:lang w:eastAsia="en-GB"/>
    </w:rPr>
  </w:style>
  <w:style w:type="character" w:customStyle="1" w:styleId="ParagraphedelisteCar">
    <w:name w:val="Paragraphe de liste Car"/>
    <w:aliases w:val="Bullet Points Car,Liste Paragraf Car"/>
    <w:link w:val="Paragraphedeliste"/>
    <w:uiPriority w:val="34"/>
    <w:locked/>
    <w:rsid w:val="00E01A63"/>
    <w:rPr>
      <w:rFonts w:ascii="Calibri" w:hAnsi="Calibri" w:cs="Calibri"/>
      <w:lang w:eastAsia="en-GB"/>
    </w:rPr>
  </w:style>
  <w:style w:type="character" w:customStyle="1" w:styleId="Titre5Car">
    <w:name w:val="Titre 5 Car"/>
    <w:aliases w:val="B4L T5 Car"/>
    <w:basedOn w:val="Policepardfaut"/>
    <w:link w:val="Titre5"/>
    <w:uiPriority w:val="9"/>
    <w:rsid w:val="000324D4"/>
    <w:rPr>
      <w:rFonts w:ascii="Arial Narrow" w:eastAsiaTheme="majorEastAsia" w:hAnsi="Arial Narrow" w:cstheme="majorBidi"/>
      <w:color w:val="0E274E" w:themeColor="accent1" w:themeShade="7F"/>
      <w:lang w:eastAsia="ja-JP"/>
    </w:rPr>
  </w:style>
  <w:style w:type="paragraph" w:customStyle="1" w:styleId="H2Subtitle">
    <w:name w:val="H2 Subtitle"/>
    <w:basedOn w:val="Titre3"/>
    <w:qFormat/>
    <w:rsid w:val="008C5537"/>
    <w:pPr>
      <w:spacing w:before="0" w:line="276" w:lineRule="auto"/>
      <w:ind w:left="720" w:hanging="720"/>
      <w:jc w:val="both"/>
    </w:pPr>
    <w:rPr>
      <w:rFonts w:ascii="Calibri" w:hAnsi="Calibri"/>
      <w:b/>
      <w:bCs/>
      <w:color w:val="79AC2B"/>
      <w:sz w:val="28"/>
      <w:szCs w:val="22"/>
      <w:lang w:eastAsia="ja-JP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6751B"/>
    <w:pPr>
      <w:spacing w:line="259" w:lineRule="auto"/>
      <w:outlineLvl w:val="9"/>
    </w:pPr>
    <w:rPr>
      <w:lang w:val="en-US"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96751B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7F5F65"/>
    <w:pPr>
      <w:tabs>
        <w:tab w:val="right" w:leader="dot" w:pos="9062"/>
      </w:tabs>
      <w:spacing w:after="100"/>
      <w:ind w:left="220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96751B"/>
    <w:rPr>
      <w:color w:val="1D509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6751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6751B"/>
    <w:rPr>
      <w:rFonts w:ascii="Calibri" w:hAnsi="Calibri" w:cs="Calibri"/>
      <w:lang w:eastAsia="en-GB"/>
    </w:rPr>
  </w:style>
  <w:style w:type="paragraph" w:styleId="Pieddepage">
    <w:name w:val="footer"/>
    <w:basedOn w:val="Normal"/>
    <w:link w:val="PieddepageCar"/>
    <w:uiPriority w:val="99"/>
    <w:unhideWhenUsed/>
    <w:rsid w:val="0096751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751B"/>
    <w:rPr>
      <w:rFonts w:ascii="Calibri" w:hAnsi="Calibri" w:cs="Calibri"/>
      <w:lang w:eastAsia="en-GB"/>
    </w:rPr>
  </w:style>
  <w:style w:type="paragraph" w:styleId="Lgende">
    <w:name w:val="caption"/>
    <w:basedOn w:val="Normal"/>
    <w:next w:val="Normal"/>
    <w:uiPriority w:val="35"/>
    <w:unhideWhenUsed/>
    <w:rsid w:val="005545EB"/>
    <w:pPr>
      <w:spacing w:after="200"/>
    </w:pPr>
    <w:rPr>
      <w:i/>
      <w:iCs/>
      <w:color w:val="1D509F" w:themeColor="text2"/>
      <w:sz w:val="18"/>
      <w:szCs w:val="18"/>
    </w:rPr>
  </w:style>
  <w:style w:type="character" w:styleId="Accentuationintense">
    <w:name w:val="Intense Emphasis"/>
    <w:aliases w:val="Subtitle cover"/>
    <w:basedOn w:val="Policepardfaut"/>
    <w:uiPriority w:val="21"/>
    <w:qFormat/>
    <w:rsid w:val="004A5E6B"/>
    <w:rPr>
      <w:rFonts w:ascii="Calibri" w:hAnsi="Calibri"/>
      <w:i/>
      <w:iCs/>
      <w:color w:val="79AC2B"/>
      <w:sz w:val="32"/>
    </w:rPr>
  </w:style>
  <w:style w:type="table" w:styleId="Grilledutableau">
    <w:name w:val="Table Grid"/>
    <w:basedOn w:val="TableauNormal"/>
    <w:uiPriority w:val="39"/>
    <w:rsid w:val="00536C77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36C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36C77"/>
    <w:pPr>
      <w:spacing w:after="200"/>
      <w:jc w:val="both"/>
    </w:pPr>
    <w:rPr>
      <w:rFonts w:ascii="Source Sans Pro" w:eastAsiaTheme="minorEastAsia" w:hAnsi="Source Sans Pro" w:cstheme="minorBidi"/>
      <w:color w:val="000000" w:themeColor="text1"/>
      <w:szCs w:val="20"/>
      <w:lang w:eastAsia="ja-JP"/>
    </w:rPr>
  </w:style>
  <w:style w:type="character" w:customStyle="1" w:styleId="CommentaireCar">
    <w:name w:val="Commentaire Car"/>
    <w:basedOn w:val="Policepardfaut"/>
    <w:link w:val="Commentaire"/>
    <w:uiPriority w:val="99"/>
    <w:rsid w:val="00536C77"/>
    <w:rPr>
      <w:rFonts w:ascii="Source Sans Pro" w:eastAsiaTheme="minorEastAsia" w:hAnsi="Source Sans Pro"/>
      <w:color w:val="000000" w:themeColor="text1"/>
      <w:szCs w:val="20"/>
      <w:lang w:eastAsia="ja-JP"/>
    </w:rPr>
  </w:style>
  <w:style w:type="paragraph" w:customStyle="1" w:styleId="TableSubHeading">
    <w:name w:val="Table Sub Heading"/>
    <w:basedOn w:val="Normal"/>
    <w:autoRedefine/>
    <w:qFormat/>
    <w:rsid w:val="00C766A6"/>
    <w:pPr>
      <w:keepNext/>
      <w:spacing w:before="120" w:after="120"/>
      <w:jc w:val="both"/>
    </w:pPr>
    <w:rPr>
      <w:rFonts w:asciiTheme="minorHAnsi" w:hAnsiTheme="minorHAnsi" w:cstheme="minorHAnsi"/>
      <w:bCs/>
      <w:i/>
      <w:iCs/>
      <w:color w:val="1D509F" w:themeColor="text2"/>
      <w:spacing w:val="-6"/>
      <w:position w:val="-6"/>
      <w:sz w:val="18"/>
      <w:lang w:val="fr-BE" w:eastAsia="en-US"/>
    </w:rPr>
  </w:style>
  <w:style w:type="paragraph" w:styleId="NormalWeb">
    <w:name w:val="Normal (Web)"/>
    <w:basedOn w:val="Normal"/>
    <w:uiPriority w:val="99"/>
    <w:semiHidden/>
    <w:unhideWhenUsed/>
    <w:rsid w:val="00475E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0F10"/>
    <w:pPr>
      <w:spacing w:after="0"/>
      <w:jc w:val="left"/>
    </w:pPr>
    <w:rPr>
      <w:rFonts w:ascii="Calibri" w:eastAsiaTheme="minorHAnsi" w:hAnsi="Calibri" w:cs="Calibri"/>
      <w:b/>
      <w:bCs/>
      <w:color w:val="auto"/>
      <w:lang w:eastAsia="en-GB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0F10"/>
    <w:rPr>
      <w:rFonts w:ascii="Calibri" w:eastAsiaTheme="minorEastAsia" w:hAnsi="Calibri" w:cs="Calibri"/>
      <w:b/>
      <w:bCs/>
      <w:color w:val="000000" w:themeColor="text1"/>
      <w:sz w:val="20"/>
      <w:szCs w:val="20"/>
      <w:lang w:eastAsia="en-GB"/>
    </w:rPr>
  </w:style>
  <w:style w:type="character" w:customStyle="1" w:styleId="apple-converted-space">
    <w:name w:val="apple-converted-space"/>
    <w:basedOn w:val="Policepardfaut"/>
    <w:rsid w:val="003E1309"/>
  </w:style>
  <w:style w:type="table" w:styleId="TableauGrille1Clair-Accentuation3">
    <w:name w:val="Grid Table 1 Light Accent 3"/>
    <w:basedOn w:val="TableauNormal"/>
    <w:uiPriority w:val="46"/>
    <w:rsid w:val="00DB5995"/>
    <w:pPr>
      <w:spacing w:after="0" w:line="240" w:lineRule="auto"/>
    </w:pPr>
    <w:tblPr>
      <w:tblStyleRowBandSize w:val="1"/>
      <w:tblStyleColBandSize w:val="1"/>
      <w:tblBorders>
        <w:top w:val="single" w:sz="4" w:space="0" w:color="CBE7A0" w:themeColor="accent3" w:themeTint="66"/>
        <w:left w:val="single" w:sz="4" w:space="0" w:color="CBE7A0" w:themeColor="accent3" w:themeTint="66"/>
        <w:bottom w:val="single" w:sz="4" w:space="0" w:color="CBE7A0" w:themeColor="accent3" w:themeTint="66"/>
        <w:right w:val="single" w:sz="4" w:space="0" w:color="CBE7A0" w:themeColor="accent3" w:themeTint="66"/>
        <w:insideH w:val="single" w:sz="4" w:space="0" w:color="CBE7A0" w:themeColor="accent3" w:themeTint="66"/>
        <w:insideV w:val="single" w:sz="4" w:space="0" w:color="CBE7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1D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D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3">
    <w:name w:val="Grid Table 2 Accent 3"/>
    <w:basedOn w:val="TableauNormal"/>
    <w:uiPriority w:val="47"/>
    <w:rsid w:val="00DB5995"/>
    <w:pPr>
      <w:spacing w:after="0" w:line="240" w:lineRule="auto"/>
    </w:pPr>
    <w:tblPr>
      <w:tblStyleRowBandSize w:val="1"/>
      <w:tblStyleColBandSize w:val="1"/>
      <w:tblBorders>
        <w:top w:val="single" w:sz="2" w:space="0" w:color="B1DB71" w:themeColor="accent3" w:themeTint="99"/>
        <w:bottom w:val="single" w:sz="2" w:space="0" w:color="B1DB71" w:themeColor="accent3" w:themeTint="99"/>
        <w:insideH w:val="single" w:sz="2" w:space="0" w:color="B1DB71" w:themeColor="accent3" w:themeTint="99"/>
        <w:insideV w:val="single" w:sz="2" w:space="0" w:color="B1D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DB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DB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3CF" w:themeFill="accent3" w:themeFillTint="33"/>
      </w:tcPr>
    </w:tblStylePr>
    <w:tblStylePr w:type="band1Horz">
      <w:tblPr/>
      <w:tcPr>
        <w:shd w:val="clear" w:color="auto" w:fill="E5F3CF" w:themeFill="accent3" w:themeFillTint="33"/>
      </w:tcPr>
    </w:tblStylePr>
  </w:style>
  <w:style w:type="table" w:styleId="TableauGrille3-Accentuation3">
    <w:name w:val="Grid Table 3 Accent 3"/>
    <w:basedOn w:val="TableauNormal"/>
    <w:uiPriority w:val="48"/>
    <w:rsid w:val="00287088"/>
    <w:pPr>
      <w:spacing w:after="0" w:line="240" w:lineRule="auto"/>
    </w:pPr>
    <w:tblPr>
      <w:tblStyleRowBandSize w:val="1"/>
      <w:tblStyleColBandSize w:val="1"/>
      <w:tblBorders>
        <w:top w:val="single" w:sz="4" w:space="0" w:color="B1DB71" w:themeColor="accent3" w:themeTint="99"/>
        <w:left w:val="single" w:sz="4" w:space="0" w:color="B1DB71" w:themeColor="accent3" w:themeTint="99"/>
        <w:bottom w:val="single" w:sz="4" w:space="0" w:color="B1DB71" w:themeColor="accent3" w:themeTint="99"/>
        <w:right w:val="single" w:sz="4" w:space="0" w:color="B1DB71" w:themeColor="accent3" w:themeTint="99"/>
        <w:insideH w:val="single" w:sz="4" w:space="0" w:color="B1DB71" w:themeColor="accent3" w:themeTint="99"/>
        <w:insideV w:val="single" w:sz="4" w:space="0" w:color="B1D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3CF" w:themeFill="accent3" w:themeFillTint="33"/>
      </w:tcPr>
    </w:tblStylePr>
    <w:tblStylePr w:type="band1Horz">
      <w:tblPr/>
      <w:tcPr>
        <w:shd w:val="clear" w:color="auto" w:fill="E5F3CF" w:themeFill="accent3" w:themeFillTint="33"/>
      </w:tcPr>
    </w:tblStylePr>
    <w:tblStylePr w:type="neCell">
      <w:tblPr/>
      <w:tcPr>
        <w:tcBorders>
          <w:bottom w:val="single" w:sz="4" w:space="0" w:color="B1DB71" w:themeColor="accent3" w:themeTint="99"/>
        </w:tcBorders>
      </w:tcPr>
    </w:tblStylePr>
    <w:tblStylePr w:type="nwCell">
      <w:tblPr/>
      <w:tcPr>
        <w:tcBorders>
          <w:bottom w:val="single" w:sz="4" w:space="0" w:color="B1DB71" w:themeColor="accent3" w:themeTint="99"/>
        </w:tcBorders>
      </w:tcPr>
    </w:tblStylePr>
    <w:tblStylePr w:type="seCell">
      <w:tblPr/>
      <w:tcPr>
        <w:tcBorders>
          <w:top w:val="single" w:sz="4" w:space="0" w:color="B1DB71" w:themeColor="accent3" w:themeTint="99"/>
        </w:tcBorders>
      </w:tcPr>
    </w:tblStylePr>
    <w:tblStylePr w:type="swCell">
      <w:tblPr/>
      <w:tcPr>
        <w:tcBorders>
          <w:top w:val="single" w:sz="4" w:space="0" w:color="B1DB71" w:themeColor="accent3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3E4BBE"/>
    <w:pPr>
      <w:spacing w:after="0" w:line="240" w:lineRule="auto"/>
    </w:pPr>
    <w:rPr>
      <w:color w:val="5A8020" w:themeColor="accent3" w:themeShade="BF"/>
    </w:rPr>
    <w:tblPr>
      <w:tblStyleRowBandSize w:val="1"/>
      <w:tblStyleColBandSize w:val="1"/>
      <w:tblBorders>
        <w:top w:val="single" w:sz="4" w:space="0" w:color="B1DB71" w:themeColor="accent3" w:themeTint="99"/>
        <w:left w:val="single" w:sz="4" w:space="0" w:color="B1DB71" w:themeColor="accent3" w:themeTint="99"/>
        <w:bottom w:val="single" w:sz="4" w:space="0" w:color="B1DB71" w:themeColor="accent3" w:themeTint="99"/>
        <w:right w:val="single" w:sz="4" w:space="0" w:color="B1DB71" w:themeColor="accent3" w:themeTint="99"/>
        <w:insideH w:val="single" w:sz="4" w:space="0" w:color="B1DB71" w:themeColor="accent3" w:themeTint="99"/>
        <w:insideV w:val="single" w:sz="4" w:space="0" w:color="B1D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3CF" w:themeFill="accent3" w:themeFillTint="33"/>
      </w:tcPr>
    </w:tblStylePr>
    <w:tblStylePr w:type="band1Horz">
      <w:tblPr/>
      <w:tcPr>
        <w:shd w:val="clear" w:color="auto" w:fill="E5F3CF" w:themeFill="accent3" w:themeFillTint="33"/>
      </w:tcPr>
    </w:tblStylePr>
    <w:tblStylePr w:type="neCell">
      <w:tblPr/>
      <w:tcPr>
        <w:tcBorders>
          <w:bottom w:val="single" w:sz="4" w:space="0" w:color="B1DB71" w:themeColor="accent3" w:themeTint="99"/>
        </w:tcBorders>
      </w:tcPr>
    </w:tblStylePr>
    <w:tblStylePr w:type="nwCell">
      <w:tblPr/>
      <w:tcPr>
        <w:tcBorders>
          <w:bottom w:val="single" w:sz="4" w:space="0" w:color="B1DB71" w:themeColor="accent3" w:themeTint="99"/>
        </w:tcBorders>
      </w:tcPr>
    </w:tblStylePr>
    <w:tblStylePr w:type="seCell">
      <w:tblPr/>
      <w:tcPr>
        <w:tcBorders>
          <w:top w:val="single" w:sz="4" w:space="0" w:color="B1DB71" w:themeColor="accent3" w:themeTint="99"/>
        </w:tcBorders>
      </w:tcPr>
    </w:tblStylePr>
    <w:tblStylePr w:type="swCell">
      <w:tblPr/>
      <w:tcPr>
        <w:tcBorders>
          <w:top w:val="single" w:sz="4" w:space="0" w:color="B1DB71" w:themeColor="accent3" w:themeTint="99"/>
        </w:tcBorders>
      </w:tcPr>
    </w:tblStylePr>
  </w:style>
  <w:style w:type="table" w:styleId="TableauGrille6Couleur-Accentuation3">
    <w:name w:val="Grid Table 6 Colorful Accent 3"/>
    <w:basedOn w:val="TableauNormal"/>
    <w:uiPriority w:val="51"/>
    <w:rsid w:val="003E4BBE"/>
    <w:pPr>
      <w:spacing w:after="0" w:line="240" w:lineRule="auto"/>
    </w:pPr>
    <w:rPr>
      <w:color w:val="5A8020" w:themeColor="accent3" w:themeShade="BF"/>
    </w:rPr>
    <w:tblPr>
      <w:tblStyleRowBandSize w:val="1"/>
      <w:tblStyleColBandSize w:val="1"/>
      <w:tblBorders>
        <w:top w:val="single" w:sz="4" w:space="0" w:color="B1DB71" w:themeColor="accent3" w:themeTint="99"/>
        <w:left w:val="single" w:sz="4" w:space="0" w:color="B1DB71" w:themeColor="accent3" w:themeTint="99"/>
        <w:bottom w:val="single" w:sz="4" w:space="0" w:color="B1DB71" w:themeColor="accent3" w:themeTint="99"/>
        <w:right w:val="single" w:sz="4" w:space="0" w:color="B1DB71" w:themeColor="accent3" w:themeTint="99"/>
        <w:insideH w:val="single" w:sz="4" w:space="0" w:color="B1DB71" w:themeColor="accent3" w:themeTint="99"/>
        <w:insideV w:val="single" w:sz="4" w:space="0" w:color="B1DB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1D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D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3CF" w:themeFill="accent3" w:themeFillTint="33"/>
      </w:tcPr>
    </w:tblStylePr>
    <w:tblStylePr w:type="band1Horz">
      <w:tblPr/>
      <w:tcPr>
        <w:shd w:val="clear" w:color="auto" w:fill="E5F3CF" w:themeFill="accent3" w:themeFillTint="33"/>
      </w:tcPr>
    </w:tblStylePr>
  </w:style>
  <w:style w:type="table" w:styleId="TableauGrille3-Accentuation6">
    <w:name w:val="Grid Table 3 Accent 6"/>
    <w:basedOn w:val="TableauNormal"/>
    <w:uiPriority w:val="48"/>
    <w:rsid w:val="003E4B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-Accentuation3">
    <w:name w:val="Grid Table 4 Accent 3"/>
    <w:basedOn w:val="TableauNormal"/>
    <w:uiPriority w:val="49"/>
    <w:rsid w:val="00831674"/>
    <w:pPr>
      <w:spacing w:after="0" w:line="240" w:lineRule="auto"/>
    </w:pPr>
    <w:tblPr>
      <w:tblStyleRowBandSize w:val="1"/>
      <w:tblStyleColBandSize w:val="1"/>
      <w:tblBorders>
        <w:top w:val="single" w:sz="4" w:space="0" w:color="B1DB71" w:themeColor="accent3" w:themeTint="99"/>
        <w:left w:val="single" w:sz="4" w:space="0" w:color="B1DB71" w:themeColor="accent3" w:themeTint="99"/>
        <w:bottom w:val="single" w:sz="4" w:space="0" w:color="B1DB71" w:themeColor="accent3" w:themeTint="99"/>
        <w:right w:val="single" w:sz="4" w:space="0" w:color="B1DB71" w:themeColor="accent3" w:themeTint="99"/>
        <w:insideH w:val="single" w:sz="4" w:space="0" w:color="B1DB71" w:themeColor="accent3" w:themeTint="99"/>
        <w:insideV w:val="single" w:sz="4" w:space="0" w:color="B1D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AC2B" w:themeColor="accent3"/>
          <w:left w:val="single" w:sz="4" w:space="0" w:color="79AC2B" w:themeColor="accent3"/>
          <w:bottom w:val="single" w:sz="4" w:space="0" w:color="79AC2B" w:themeColor="accent3"/>
          <w:right w:val="single" w:sz="4" w:space="0" w:color="79AC2B" w:themeColor="accent3"/>
          <w:insideH w:val="nil"/>
          <w:insideV w:val="nil"/>
        </w:tcBorders>
        <w:shd w:val="clear" w:color="auto" w:fill="79AC2B" w:themeFill="accent3"/>
      </w:tcPr>
    </w:tblStylePr>
    <w:tblStylePr w:type="lastRow">
      <w:rPr>
        <w:b/>
        <w:bCs/>
      </w:rPr>
      <w:tblPr/>
      <w:tcPr>
        <w:tcBorders>
          <w:top w:val="double" w:sz="4" w:space="0" w:color="79AC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3CF" w:themeFill="accent3" w:themeFillTint="33"/>
      </w:tcPr>
    </w:tblStylePr>
    <w:tblStylePr w:type="band1Horz">
      <w:tblPr/>
      <w:tcPr>
        <w:shd w:val="clear" w:color="auto" w:fill="E5F3CF" w:themeFill="accent3" w:themeFillTint="33"/>
      </w:tcPr>
    </w:tblStylePr>
  </w:style>
  <w:style w:type="paragraph" w:styleId="TM3">
    <w:name w:val="toc 3"/>
    <w:basedOn w:val="Normal"/>
    <w:next w:val="Normal"/>
    <w:autoRedefine/>
    <w:uiPriority w:val="39"/>
    <w:unhideWhenUsed/>
    <w:rsid w:val="002F4BC3"/>
    <w:pPr>
      <w:spacing w:after="100"/>
      <w:ind w:left="440"/>
    </w:pPr>
  </w:style>
  <w:style w:type="character" w:customStyle="1" w:styleId="Titre4Car">
    <w:name w:val="Titre 4 Car"/>
    <w:basedOn w:val="Policepardfaut"/>
    <w:link w:val="Titre4"/>
    <w:uiPriority w:val="9"/>
    <w:rsid w:val="002F4BC3"/>
    <w:rPr>
      <w:rFonts w:asciiTheme="majorHAnsi" w:eastAsiaTheme="majorEastAsia" w:hAnsiTheme="majorHAnsi" w:cstheme="majorBidi"/>
      <w:i/>
      <w:iCs/>
      <w:color w:val="153B76" w:themeColor="accent1" w:themeShade="BF"/>
      <w:sz w:val="24"/>
      <w:szCs w:val="24"/>
    </w:rPr>
  </w:style>
  <w:style w:type="table" w:styleId="TableauGrille3-Accentuation1">
    <w:name w:val="Grid Table 3 Accent 1"/>
    <w:basedOn w:val="TableauNormal"/>
    <w:uiPriority w:val="48"/>
    <w:rsid w:val="002F4BC3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5B8FE1" w:themeColor="accent1" w:themeTint="99"/>
        <w:left w:val="single" w:sz="4" w:space="0" w:color="5B8FE1" w:themeColor="accent1" w:themeTint="99"/>
        <w:bottom w:val="single" w:sz="4" w:space="0" w:color="5B8FE1" w:themeColor="accent1" w:themeTint="99"/>
        <w:right w:val="single" w:sz="4" w:space="0" w:color="5B8FE1" w:themeColor="accent1" w:themeTint="99"/>
        <w:insideH w:val="single" w:sz="4" w:space="0" w:color="5B8FE1" w:themeColor="accent1" w:themeTint="99"/>
        <w:insideV w:val="single" w:sz="4" w:space="0" w:color="5B8F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D9F5" w:themeFill="accent1" w:themeFillTint="33"/>
      </w:tcPr>
    </w:tblStylePr>
    <w:tblStylePr w:type="band1Horz">
      <w:tblPr/>
      <w:tcPr>
        <w:shd w:val="clear" w:color="auto" w:fill="C8D9F5" w:themeFill="accent1" w:themeFillTint="33"/>
      </w:tcPr>
    </w:tblStylePr>
    <w:tblStylePr w:type="neCell">
      <w:tblPr/>
      <w:tcPr>
        <w:tcBorders>
          <w:bottom w:val="single" w:sz="4" w:space="0" w:color="5B8FE1" w:themeColor="accent1" w:themeTint="99"/>
        </w:tcBorders>
      </w:tcPr>
    </w:tblStylePr>
    <w:tblStylePr w:type="nwCell">
      <w:tblPr/>
      <w:tcPr>
        <w:tcBorders>
          <w:bottom w:val="single" w:sz="4" w:space="0" w:color="5B8FE1" w:themeColor="accent1" w:themeTint="99"/>
        </w:tcBorders>
      </w:tcPr>
    </w:tblStylePr>
    <w:tblStylePr w:type="seCell">
      <w:tblPr/>
      <w:tcPr>
        <w:tcBorders>
          <w:top w:val="single" w:sz="4" w:space="0" w:color="5B8FE1" w:themeColor="accent1" w:themeTint="99"/>
        </w:tcBorders>
      </w:tcPr>
    </w:tblStylePr>
    <w:tblStylePr w:type="swCell">
      <w:tblPr/>
      <w:tcPr>
        <w:tcBorders>
          <w:top w:val="single" w:sz="4" w:space="0" w:color="5B8FE1" w:themeColor="accent1" w:themeTint="99"/>
        </w:tcBorders>
      </w:tcPr>
    </w:tblStylePr>
  </w:style>
  <w:style w:type="character" w:styleId="Numrodepage">
    <w:name w:val="page number"/>
    <w:basedOn w:val="Policepardfaut"/>
    <w:uiPriority w:val="99"/>
    <w:semiHidden/>
    <w:unhideWhenUsed/>
    <w:rsid w:val="002F4BC3"/>
  </w:style>
  <w:style w:type="paragraph" w:customStyle="1" w:styleId="Footnote">
    <w:name w:val="Footnote"/>
    <w:basedOn w:val="Normal"/>
    <w:qFormat/>
    <w:rsid w:val="00A34D64"/>
    <w:pPr>
      <w:spacing w:after="60"/>
    </w:pPr>
    <w:rPr>
      <w:rFonts w:eastAsiaTheme="minorEastAsia" w:cstheme="minorBidi"/>
      <w:color w:val="000000" w:themeColor="text1"/>
      <w:sz w:val="16"/>
      <w:lang w:eastAsia="ja-JP"/>
    </w:rPr>
  </w:style>
  <w:style w:type="paragraph" w:styleId="Rvision">
    <w:name w:val="Revision"/>
    <w:hidden/>
    <w:uiPriority w:val="99"/>
    <w:semiHidden/>
    <w:rsid w:val="002F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NoIndex">
    <w:name w:val="Title - No Index"/>
    <w:next w:val="Normal"/>
    <w:autoRedefine/>
    <w:rsid w:val="00A34D64"/>
    <w:pPr>
      <w:pageBreakBefore/>
      <w:spacing w:after="120"/>
    </w:pPr>
    <w:rPr>
      <w:rFonts w:ascii="Calibri" w:eastAsia="Times New Roman" w:hAnsi="Calibri" w:cs="Times New Roman"/>
      <w:i/>
      <w:color w:val="79AC2B" w:themeColor="accent3"/>
      <w:kern w:val="32"/>
      <w:position w:val="2"/>
      <w:sz w:val="20"/>
      <w:szCs w:val="30"/>
      <w:lang w:val="en-CA"/>
    </w:rPr>
  </w:style>
  <w:style w:type="paragraph" w:styleId="Sansinterligne">
    <w:name w:val="No Spacing"/>
    <w:uiPriority w:val="1"/>
    <w:rsid w:val="00A34D64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Tabledesillustrations">
    <w:name w:val="table of figures"/>
    <w:basedOn w:val="Normal"/>
    <w:next w:val="Normal"/>
    <w:uiPriority w:val="99"/>
    <w:unhideWhenUsed/>
    <w:rsid w:val="002F4BC3"/>
    <w:pPr>
      <w:ind w:left="480" w:hanging="480"/>
    </w:pPr>
    <w:rPr>
      <w:rFonts w:asciiTheme="minorHAnsi" w:eastAsia="Times New Roman" w:hAnsiTheme="minorHAnsi" w:cstheme="minorHAnsi"/>
      <w:smallCaps/>
      <w:szCs w:val="20"/>
      <w:lang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2F4BC3"/>
    <w:pPr>
      <w:ind w:left="720"/>
    </w:pPr>
    <w:rPr>
      <w:rFonts w:asciiTheme="minorHAnsi" w:eastAsia="Times New Roman" w:hAnsiTheme="minorHAnsi" w:cstheme="minorHAnsi"/>
      <w:sz w:val="18"/>
      <w:szCs w:val="18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2F4BC3"/>
    <w:pPr>
      <w:ind w:left="960"/>
    </w:pPr>
    <w:rPr>
      <w:rFonts w:asciiTheme="minorHAnsi" w:eastAsia="Times New Roman" w:hAnsiTheme="minorHAnsi" w:cstheme="minorHAnsi"/>
      <w:sz w:val="18"/>
      <w:szCs w:val="18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2F4BC3"/>
    <w:pPr>
      <w:ind w:left="1200"/>
    </w:pPr>
    <w:rPr>
      <w:rFonts w:asciiTheme="minorHAnsi" w:eastAsia="Times New Roman" w:hAnsiTheme="minorHAnsi" w:cstheme="minorHAnsi"/>
      <w:sz w:val="18"/>
      <w:szCs w:val="18"/>
      <w:lang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2F4BC3"/>
    <w:pPr>
      <w:ind w:left="1440"/>
    </w:pPr>
    <w:rPr>
      <w:rFonts w:asciiTheme="minorHAnsi" w:eastAsia="Times New Roman" w:hAnsiTheme="minorHAnsi" w:cstheme="minorHAnsi"/>
      <w:sz w:val="18"/>
      <w:szCs w:val="18"/>
      <w:lang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2F4BC3"/>
    <w:pPr>
      <w:ind w:left="1680"/>
    </w:pPr>
    <w:rPr>
      <w:rFonts w:asciiTheme="minorHAnsi" w:eastAsia="Times New Roman" w:hAnsiTheme="minorHAnsi" w:cstheme="minorHAnsi"/>
      <w:sz w:val="18"/>
      <w:szCs w:val="18"/>
      <w:lang w:eastAsia="en-US"/>
    </w:rPr>
  </w:style>
  <w:style w:type="paragraph" w:styleId="TM9">
    <w:name w:val="toc 9"/>
    <w:basedOn w:val="Normal"/>
    <w:next w:val="Normal"/>
    <w:autoRedefine/>
    <w:uiPriority w:val="39"/>
    <w:unhideWhenUsed/>
    <w:rsid w:val="002F4BC3"/>
    <w:pPr>
      <w:ind w:left="1920"/>
    </w:pPr>
    <w:rPr>
      <w:rFonts w:asciiTheme="minorHAnsi" w:eastAsia="Times New Roman" w:hAnsiTheme="minorHAnsi" w:cstheme="minorHAnsi"/>
      <w:sz w:val="18"/>
      <w:szCs w:val="18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2F4BC3"/>
    <w:rPr>
      <w:color w:val="800080" w:themeColor="followed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qFormat/>
    <w:rsid w:val="00A34D64"/>
    <w:pPr>
      <w:spacing w:before="200" w:after="160"/>
      <w:ind w:left="1440" w:right="864"/>
    </w:pPr>
    <w:rPr>
      <w:i/>
      <w:iCs/>
      <w:color w:val="79AC2B" w:themeColor="accent3"/>
    </w:rPr>
  </w:style>
  <w:style w:type="character" w:customStyle="1" w:styleId="CitationCar">
    <w:name w:val="Citation Car"/>
    <w:basedOn w:val="Policepardfaut"/>
    <w:link w:val="Citation"/>
    <w:uiPriority w:val="29"/>
    <w:rsid w:val="00A34D64"/>
    <w:rPr>
      <w:rFonts w:ascii="Calibri" w:hAnsi="Calibri" w:cs="Calibri"/>
      <w:i/>
      <w:iCs/>
      <w:color w:val="79AC2B" w:themeColor="accent3"/>
      <w:sz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4D64"/>
    <w:pPr>
      <w:pBdr>
        <w:top w:val="single" w:sz="4" w:space="10" w:color="1D509F" w:themeColor="accent1"/>
        <w:bottom w:val="single" w:sz="4" w:space="10" w:color="1D509F" w:themeColor="accent1"/>
      </w:pBdr>
      <w:spacing w:before="360" w:after="360"/>
      <w:ind w:left="864" w:right="864"/>
    </w:pPr>
    <w:rPr>
      <w:i/>
      <w:iCs/>
      <w:color w:val="1D509F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4D64"/>
    <w:rPr>
      <w:rFonts w:ascii="Calibri" w:hAnsi="Calibri" w:cs="Calibri"/>
      <w:i/>
      <w:iCs/>
      <w:color w:val="1D509F" w:themeColor="accent1"/>
      <w:sz w:val="20"/>
      <w:lang w:eastAsia="en-GB"/>
    </w:rPr>
  </w:style>
  <w:style w:type="character" w:styleId="Rfrencelgre">
    <w:name w:val="Subtle Reference"/>
    <w:basedOn w:val="Policepardfaut"/>
    <w:uiPriority w:val="31"/>
    <w:rsid w:val="00A34D64"/>
    <w:rPr>
      <w:smallCaps/>
      <w:color w:val="5A5A5A" w:themeColor="text1" w:themeTint="A5"/>
    </w:rPr>
  </w:style>
  <w:style w:type="character" w:styleId="Mentionnonrsolue">
    <w:name w:val="Unresolved Mention"/>
    <w:basedOn w:val="Policepardfaut"/>
    <w:uiPriority w:val="99"/>
    <w:semiHidden/>
    <w:unhideWhenUsed/>
    <w:rsid w:val="0008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8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007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10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3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949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1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65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96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70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63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634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5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63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uropa.eu/capacity4dev/public-environment-climate/wiki/quick-tips-integrate-environment-and-climate-change-sectoral-programmi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a.eu/capacity4dev/public-environment-climate/documents/validation-drr-policy-marker-context-covid-related-actions-guidance-note-evaluator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fs.oecd.org/climate/Rio_markers_indicative_tables_2024_approved.xls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ne.oecd.org/document/DCD/DAC(2024)40/ADD2/FINAL/en/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diovisual.ec.europa.eu/en/video/I-245143" TargetMode="External"/><Relationship Id="rId14" Type="http://schemas.openxmlformats.org/officeDocument/2006/relationships/hyperlink" Target="https://wikis.ec.europa.eu/display/ExactExternalWiki/Annex+2.+Aid+to+environment%2C+DRR+and+Rio+mark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P%20EUROPE\Dropbox%20(CommunicationPackage)\01.%20Projects%202019\ECCM\02_Technical_Report\02.%20Report%202\ECCM%20Tempate.dotx" TargetMode="External"/></Relationships>
</file>

<file path=word/theme/theme1.xml><?xml version="1.0" encoding="utf-8"?>
<a:theme xmlns:a="http://schemas.openxmlformats.org/drawingml/2006/main" name="Office Theme">
  <a:themeElements>
    <a:clrScheme name="Custom 6">
      <a:dk1>
        <a:sysClr val="windowText" lastClr="000000"/>
      </a:dk1>
      <a:lt1>
        <a:sysClr val="window" lastClr="FFFFFF"/>
      </a:lt1>
      <a:dk2>
        <a:srgbClr val="1D509F"/>
      </a:dk2>
      <a:lt2>
        <a:srgbClr val="F2F2F2"/>
      </a:lt2>
      <a:accent1>
        <a:srgbClr val="1D509F"/>
      </a:accent1>
      <a:accent2>
        <a:srgbClr val="C0504D"/>
      </a:accent2>
      <a:accent3>
        <a:srgbClr val="79AC2B"/>
      </a:accent3>
      <a:accent4>
        <a:srgbClr val="FFC000"/>
      </a:accent4>
      <a:accent5>
        <a:srgbClr val="00B0F0"/>
      </a:accent5>
      <a:accent6>
        <a:srgbClr val="F79646"/>
      </a:accent6>
      <a:hlink>
        <a:srgbClr val="1D509F"/>
      </a:hlink>
      <a:folHlink>
        <a:srgbClr val="800080"/>
      </a:folHlink>
    </a:clrScheme>
    <a:fontScheme name="ECCM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18C2F10-3E79-492A-A552-4E014C83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ECCM Tempate</Template>
  <TotalTime>7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PC-03</dc:creator>
  <cp:lastModifiedBy>Patricia Rodriguez</cp:lastModifiedBy>
  <cp:revision>3</cp:revision>
  <cp:lastPrinted>2021-01-20T09:35:00Z</cp:lastPrinted>
  <dcterms:created xsi:type="dcterms:W3CDTF">2025-01-06T19:36:00Z</dcterms:created>
  <dcterms:modified xsi:type="dcterms:W3CDTF">2025-01-06T19:45:00Z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2024-12-20T15:24:37Z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2cd8d8ab-99e7-477e-83b6-b4f2236940f2</vt:lpwstr>
  </property>
  <property fmtid="{D5CDD505-2E9C-101B-9397-08002B2CF9AE}" pid="8" name="MSIP_Label_6bd9ddd1-4d20-43f6-abfa-fc3c07406f94_ContentBits">
    <vt:lpwstr>0</vt:lpwstr>
  </property>
</Properties>
</file>