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36F65" w14:textId="77777777" w:rsidR="00475CF7" w:rsidRDefault="00475CF7">
      <w:pPr>
        <w:rPr>
          <w:rFonts w:ascii="Avenir Book" w:eastAsia="Twentieth Century" w:hAnsi="Avenir Book" w:cs="Twentieth Century"/>
        </w:rPr>
      </w:pPr>
    </w:p>
    <w:p w14:paraId="1A55505B" w14:textId="77777777" w:rsidR="00475CF7" w:rsidRDefault="00475CF7">
      <w:pPr>
        <w:rPr>
          <w:rFonts w:ascii="Avenir Book" w:eastAsia="Twentieth Century" w:hAnsi="Avenir Book" w:cs="Twentieth Century"/>
        </w:rPr>
      </w:pPr>
    </w:p>
    <w:p w14:paraId="55F884A8" w14:textId="77777777" w:rsidR="00475CF7" w:rsidRDefault="00475CF7">
      <w:pPr>
        <w:rPr>
          <w:rFonts w:ascii="Avenir Book" w:eastAsia="Twentieth Century" w:hAnsi="Avenir Book" w:cs="Twentieth Century"/>
        </w:rPr>
      </w:pPr>
    </w:p>
    <w:p w14:paraId="3A05F374" w14:textId="77777777" w:rsidR="00475CF7" w:rsidRDefault="00475CF7">
      <w:pPr>
        <w:rPr>
          <w:rFonts w:ascii="Avenir Book" w:eastAsia="Twentieth Century" w:hAnsi="Avenir Book" w:cs="Twentieth Century"/>
        </w:rPr>
      </w:pPr>
    </w:p>
    <w:p w14:paraId="11597B7D" w14:textId="77777777" w:rsidR="00475CF7" w:rsidRDefault="00475CF7">
      <w:pPr>
        <w:rPr>
          <w:rFonts w:ascii="Avenir Book" w:eastAsia="Twentieth Century" w:hAnsi="Avenir Book" w:cs="Twentieth Century"/>
        </w:rPr>
      </w:pPr>
    </w:p>
    <w:p w14:paraId="30E335CA" w14:textId="77777777" w:rsidR="00475CF7" w:rsidRDefault="00475CF7">
      <w:pPr>
        <w:rPr>
          <w:rFonts w:ascii="Avenir Book" w:eastAsia="Twentieth Century" w:hAnsi="Avenir Book" w:cs="Twentieth Century"/>
        </w:rPr>
      </w:pPr>
    </w:p>
    <w:p w14:paraId="179355E2" w14:textId="77777777" w:rsidR="00475CF7" w:rsidRDefault="00475CF7">
      <w:pPr>
        <w:rPr>
          <w:rFonts w:ascii="Avenir Book" w:eastAsia="Twentieth Century" w:hAnsi="Avenir Book" w:cs="Twentieth Century"/>
        </w:rPr>
      </w:pPr>
    </w:p>
    <w:p w14:paraId="0A528E3B" w14:textId="77777777" w:rsidR="00475CF7" w:rsidRDefault="00475CF7">
      <w:pPr>
        <w:rPr>
          <w:rFonts w:ascii="Avenir Book" w:eastAsia="Twentieth Century" w:hAnsi="Avenir Book" w:cs="Twentieth Century"/>
        </w:rPr>
      </w:pPr>
    </w:p>
    <w:p w14:paraId="1C2719B8" w14:textId="77777777" w:rsidR="00475CF7" w:rsidRDefault="00475CF7">
      <w:pPr>
        <w:rPr>
          <w:rFonts w:ascii="Avenir Book" w:eastAsia="Twentieth Century" w:hAnsi="Avenir Book" w:cs="Twentieth Century"/>
        </w:rPr>
      </w:pPr>
    </w:p>
    <w:p w14:paraId="1448B351" w14:textId="77777777" w:rsidR="00475CF7" w:rsidRDefault="00000000">
      <w:pPr>
        <w:pStyle w:val="P68B1DB1-Normal1"/>
        <w:jc w:val="center"/>
      </w:pPr>
      <w:r>
        <w:t xml:space="preserve">Sociedad civil, juventud y autoridades locales en diálogo: </w:t>
      </w:r>
    </w:p>
    <w:p w14:paraId="4413D4AF" w14:textId="77777777" w:rsidR="00475CF7" w:rsidRDefault="00000000">
      <w:pPr>
        <w:pStyle w:val="P68B1DB1-Normal2"/>
        <w:jc w:val="center"/>
      </w:pPr>
      <w:r>
        <w:t>Preparación de la Cuarta Cumbre CELAC-UE</w:t>
      </w:r>
    </w:p>
    <w:p w14:paraId="47D3287F" w14:textId="77777777" w:rsidR="00475CF7" w:rsidRDefault="00000000">
      <w:pPr>
        <w:pStyle w:val="P68B1DB1-Normal3"/>
        <w:jc w:val="center"/>
      </w:pPr>
      <w:r>
        <w:t xml:space="preserve">29 de abril de 2025, en línea </w:t>
      </w:r>
    </w:p>
    <w:p w14:paraId="0AC571B2" w14:textId="77777777" w:rsidR="00475CF7" w:rsidRDefault="00000000">
      <w:pPr>
        <w:pStyle w:val="P68B1DB1-Normal4"/>
      </w:pPr>
      <w:r>
        <w:rPr>
          <w:noProof/>
        </w:rPr>
        <w:drawing>
          <wp:anchor distT="0" distB="0" distL="114300" distR="114300" simplePos="0" relativeHeight="251658240" behindDoc="0" locked="0" layoutInCell="1" allowOverlap="1" wp14:anchorId="709AC940" wp14:editId="7D2791F5">
            <wp:simplePos x="0" y="0"/>
            <wp:positionH relativeFrom="column">
              <wp:posOffset>-952503</wp:posOffset>
            </wp:positionH>
            <wp:positionV relativeFrom="paragraph">
              <wp:posOffset>6330025</wp:posOffset>
            </wp:positionV>
            <wp:extent cx="7720014" cy="1299499"/>
            <wp:effectExtent l="0" t="0" r="1586" b="0"/>
            <wp:wrapNone/>
            <wp:docPr id="49043591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720014" cy="1299499"/>
                    </a:xfrm>
                    <a:prstGeom prst="rect">
                      <a:avLst/>
                    </a:prstGeom>
                    <a:noFill/>
                    <a:ln>
                      <a:noFill/>
                      <a:prstDash/>
                    </a:ln>
                  </pic:spPr>
                </pic:pic>
              </a:graphicData>
            </a:graphic>
          </wp:anchor>
        </w:drawing>
      </w:r>
    </w:p>
    <w:p w14:paraId="53A7802C" w14:textId="77777777" w:rsidR="00475CF7" w:rsidRDefault="00475CF7">
      <w:pPr>
        <w:rPr>
          <w:rFonts w:ascii="Avenir Book" w:eastAsia="Twentieth Century" w:hAnsi="Avenir Book" w:cs="Twentieth Century"/>
        </w:rPr>
      </w:pPr>
    </w:p>
    <w:p w14:paraId="05D9B9C1" w14:textId="77777777" w:rsidR="00475CF7" w:rsidRDefault="00000000">
      <w:pPr>
        <w:pStyle w:val="P68B1DB1-Normal5"/>
        <w:tabs>
          <w:tab w:val="right" w:leader="dot" w:pos="9360"/>
        </w:tabs>
      </w:pPr>
      <w:r>
        <w:t xml:space="preserve">Tabla de contenidos </w:t>
      </w:r>
    </w:p>
    <w:p w14:paraId="5BECEEE6" w14:textId="77777777" w:rsidR="00475CF7" w:rsidRDefault="00475CF7">
      <w:pPr>
        <w:rPr>
          <w:rFonts w:ascii="Avenir Book" w:eastAsia="Twentieth Century" w:hAnsi="Avenir Book" w:cs="Twentieth Century"/>
        </w:rPr>
      </w:pPr>
    </w:p>
    <w:p w14:paraId="339CE97E" w14:textId="2497995F" w:rsidR="00A37B13" w:rsidRDefault="00000000">
      <w:pPr>
        <w:pStyle w:val="TOC1"/>
        <w:tabs>
          <w:tab w:val="right" w:leader="dot" w:pos="9019"/>
        </w:tabs>
        <w:rPr>
          <w:rFonts w:asciiTheme="minorHAnsi" w:eastAsiaTheme="minorEastAsia" w:hAnsiTheme="minorHAnsi" w:cstheme="minorBidi"/>
          <w:noProof/>
          <w:kern w:val="2"/>
          <w:sz w:val="24"/>
          <w:szCs w:val="24"/>
          <w:lang w:val="en-ES"/>
          <w14:ligatures w14:val="standardContextual"/>
        </w:rPr>
      </w:pPr>
      <w:r>
        <w:fldChar w:fldCharType="begin"/>
      </w:r>
      <w:r>
        <w:instrText xml:space="preserve"> TOC \o "1-9" \u \t "Heading 1,1,Heading 2,2,Heading 3,3,Heading 4,4,Heading 5,5,Heading 6,6" \h </w:instrText>
      </w:r>
      <w:r>
        <w:fldChar w:fldCharType="separate"/>
      </w:r>
      <w:hyperlink w:anchor="_Toc200132650" w:history="1">
        <w:r w:rsidR="00A37B13" w:rsidRPr="00241D83">
          <w:rPr>
            <w:rStyle w:val="Hyperlink"/>
            <w:noProof/>
          </w:rPr>
          <w:t>Resumen ejecutivo</w:t>
        </w:r>
        <w:r w:rsidR="00A37B13">
          <w:rPr>
            <w:noProof/>
          </w:rPr>
          <w:tab/>
        </w:r>
        <w:r w:rsidR="00A37B13">
          <w:rPr>
            <w:noProof/>
          </w:rPr>
          <w:fldChar w:fldCharType="begin"/>
        </w:r>
        <w:r w:rsidR="00A37B13">
          <w:rPr>
            <w:noProof/>
          </w:rPr>
          <w:instrText xml:space="preserve"> PAGEREF _Toc200132650 \h </w:instrText>
        </w:r>
        <w:r w:rsidR="00A37B13">
          <w:rPr>
            <w:noProof/>
          </w:rPr>
        </w:r>
        <w:r w:rsidR="00A37B13">
          <w:rPr>
            <w:noProof/>
          </w:rPr>
          <w:fldChar w:fldCharType="separate"/>
        </w:r>
        <w:r w:rsidR="00A37B13">
          <w:rPr>
            <w:noProof/>
          </w:rPr>
          <w:t>2</w:t>
        </w:r>
        <w:r w:rsidR="00A37B13">
          <w:rPr>
            <w:noProof/>
          </w:rPr>
          <w:fldChar w:fldCharType="end"/>
        </w:r>
      </w:hyperlink>
    </w:p>
    <w:p w14:paraId="25B649E9" w14:textId="45C754AA" w:rsidR="00A37B13" w:rsidRDefault="00A37B13">
      <w:pPr>
        <w:pStyle w:val="TOC1"/>
        <w:tabs>
          <w:tab w:val="right" w:leader="dot" w:pos="9019"/>
        </w:tabs>
        <w:rPr>
          <w:rFonts w:asciiTheme="minorHAnsi" w:eastAsiaTheme="minorEastAsia" w:hAnsiTheme="minorHAnsi" w:cstheme="minorBidi"/>
          <w:noProof/>
          <w:kern w:val="2"/>
          <w:sz w:val="24"/>
          <w:szCs w:val="24"/>
          <w:lang w:val="en-ES"/>
          <w14:ligatures w14:val="standardContextual"/>
        </w:rPr>
      </w:pPr>
      <w:hyperlink w:anchor="_Toc200132651" w:history="1">
        <w:r w:rsidRPr="00241D83">
          <w:rPr>
            <w:rStyle w:val="Hyperlink"/>
            <w:noProof/>
          </w:rPr>
          <w:t>Notas de bienvenida</w:t>
        </w:r>
        <w:r>
          <w:rPr>
            <w:noProof/>
          </w:rPr>
          <w:tab/>
        </w:r>
        <w:r>
          <w:rPr>
            <w:noProof/>
          </w:rPr>
          <w:fldChar w:fldCharType="begin"/>
        </w:r>
        <w:r>
          <w:rPr>
            <w:noProof/>
          </w:rPr>
          <w:instrText xml:space="preserve"> PAGEREF _Toc200132651 \h </w:instrText>
        </w:r>
        <w:r>
          <w:rPr>
            <w:noProof/>
          </w:rPr>
        </w:r>
        <w:r>
          <w:rPr>
            <w:noProof/>
          </w:rPr>
          <w:fldChar w:fldCharType="separate"/>
        </w:r>
        <w:r>
          <w:rPr>
            <w:noProof/>
          </w:rPr>
          <w:t>5</w:t>
        </w:r>
        <w:r>
          <w:rPr>
            <w:noProof/>
          </w:rPr>
          <w:fldChar w:fldCharType="end"/>
        </w:r>
      </w:hyperlink>
    </w:p>
    <w:p w14:paraId="5D3E3FE4" w14:textId="488D673E" w:rsidR="00A37B13" w:rsidRDefault="00A37B13">
      <w:pPr>
        <w:pStyle w:val="TOC1"/>
        <w:tabs>
          <w:tab w:val="right" w:leader="dot" w:pos="9019"/>
        </w:tabs>
        <w:rPr>
          <w:rFonts w:asciiTheme="minorHAnsi" w:eastAsiaTheme="minorEastAsia" w:hAnsiTheme="minorHAnsi" w:cstheme="minorBidi"/>
          <w:noProof/>
          <w:kern w:val="2"/>
          <w:sz w:val="24"/>
          <w:szCs w:val="24"/>
          <w:lang w:val="en-ES"/>
          <w14:ligatures w14:val="standardContextual"/>
        </w:rPr>
      </w:pPr>
      <w:hyperlink w:anchor="_Toc200132652" w:history="1">
        <w:r w:rsidRPr="00241D83">
          <w:rPr>
            <w:rStyle w:val="Hyperlink"/>
            <w:noProof/>
          </w:rPr>
          <w:t>Situación de la hoja de ruta UE-CELAC 2023-2025 y organización de la Cuarta Cumbre CELAC-UE</w:t>
        </w:r>
        <w:r>
          <w:rPr>
            <w:noProof/>
          </w:rPr>
          <w:tab/>
        </w:r>
        <w:r>
          <w:rPr>
            <w:noProof/>
          </w:rPr>
          <w:fldChar w:fldCharType="begin"/>
        </w:r>
        <w:r>
          <w:rPr>
            <w:noProof/>
          </w:rPr>
          <w:instrText xml:space="preserve"> PAGEREF _Toc200132652 \h </w:instrText>
        </w:r>
        <w:r>
          <w:rPr>
            <w:noProof/>
          </w:rPr>
        </w:r>
        <w:r>
          <w:rPr>
            <w:noProof/>
          </w:rPr>
          <w:fldChar w:fldCharType="separate"/>
        </w:r>
        <w:r>
          <w:rPr>
            <w:noProof/>
          </w:rPr>
          <w:t>5</w:t>
        </w:r>
        <w:r>
          <w:rPr>
            <w:noProof/>
          </w:rPr>
          <w:fldChar w:fldCharType="end"/>
        </w:r>
      </w:hyperlink>
    </w:p>
    <w:p w14:paraId="3825FC46" w14:textId="71B10764" w:rsidR="00A37B13" w:rsidRDefault="00A37B13">
      <w:pPr>
        <w:pStyle w:val="TOC1"/>
        <w:tabs>
          <w:tab w:val="right" w:leader="dot" w:pos="9019"/>
        </w:tabs>
        <w:rPr>
          <w:rFonts w:asciiTheme="minorHAnsi" w:eastAsiaTheme="minorEastAsia" w:hAnsiTheme="minorHAnsi" w:cstheme="minorBidi"/>
          <w:noProof/>
          <w:kern w:val="2"/>
          <w:sz w:val="24"/>
          <w:szCs w:val="24"/>
          <w:lang w:val="en-ES"/>
          <w14:ligatures w14:val="standardContextual"/>
        </w:rPr>
      </w:pPr>
      <w:hyperlink w:anchor="_Toc200132653" w:history="1">
        <w:r w:rsidRPr="00241D83">
          <w:rPr>
            <w:rStyle w:val="Hyperlink"/>
            <w:noProof/>
          </w:rPr>
          <w:t>Sesión de preguntas y respuestas</w:t>
        </w:r>
        <w:r>
          <w:rPr>
            <w:noProof/>
          </w:rPr>
          <w:tab/>
        </w:r>
        <w:r>
          <w:rPr>
            <w:noProof/>
          </w:rPr>
          <w:fldChar w:fldCharType="begin"/>
        </w:r>
        <w:r>
          <w:rPr>
            <w:noProof/>
          </w:rPr>
          <w:instrText xml:space="preserve"> PAGEREF _Toc200132653 \h </w:instrText>
        </w:r>
        <w:r>
          <w:rPr>
            <w:noProof/>
          </w:rPr>
        </w:r>
        <w:r>
          <w:rPr>
            <w:noProof/>
          </w:rPr>
          <w:fldChar w:fldCharType="separate"/>
        </w:r>
        <w:r>
          <w:rPr>
            <w:noProof/>
          </w:rPr>
          <w:t>8</w:t>
        </w:r>
        <w:r>
          <w:rPr>
            <w:noProof/>
          </w:rPr>
          <w:fldChar w:fldCharType="end"/>
        </w:r>
      </w:hyperlink>
    </w:p>
    <w:p w14:paraId="244BD93B" w14:textId="4BAC34D7" w:rsidR="00A37B13" w:rsidRDefault="00A37B13">
      <w:pPr>
        <w:pStyle w:val="TOC1"/>
        <w:tabs>
          <w:tab w:val="right" w:leader="dot" w:pos="9019"/>
        </w:tabs>
        <w:rPr>
          <w:rFonts w:asciiTheme="minorHAnsi" w:eastAsiaTheme="minorEastAsia" w:hAnsiTheme="minorHAnsi" w:cstheme="minorBidi"/>
          <w:noProof/>
          <w:kern w:val="2"/>
          <w:sz w:val="24"/>
          <w:szCs w:val="24"/>
          <w:lang w:val="en-ES"/>
          <w14:ligatures w14:val="standardContextual"/>
        </w:rPr>
      </w:pPr>
      <w:hyperlink w:anchor="_Toc200132654" w:history="1">
        <w:r w:rsidRPr="00241D83">
          <w:rPr>
            <w:rStyle w:val="Hyperlink"/>
            <w:noProof/>
          </w:rPr>
          <w:t>El papel de la sociedad civil en el período previo a la Cuarta Cumbre CELAC-UE</w:t>
        </w:r>
        <w:r>
          <w:rPr>
            <w:noProof/>
          </w:rPr>
          <w:tab/>
        </w:r>
        <w:r>
          <w:rPr>
            <w:noProof/>
          </w:rPr>
          <w:fldChar w:fldCharType="begin"/>
        </w:r>
        <w:r>
          <w:rPr>
            <w:noProof/>
          </w:rPr>
          <w:instrText xml:space="preserve"> PAGEREF _Toc200132654 \h </w:instrText>
        </w:r>
        <w:r>
          <w:rPr>
            <w:noProof/>
          </w:rPr>
        </w:r>
        <w:r>
          <w:rPr>
            <w:noProof/>
          </w:rPr>
          <w:fldChar w:fldCharType="separate"/>
        </w:r>
        <w:r>
          <w:rPr>
            <w:noProof/>
          </w:rPr>
          <w:t>9</w:t>
        </w:r>
        <w:r>
          <w:rPr>
            <w:noProof/>
          </w:rPr>
          <w:fldChar w:fldCharType="end"/>
        </w:r>
      </w:hyperlink>
    </w:p>
    <w:p w14:paraId="0CD97112" w14:textId="063019C0" w:rsidR="00A37B13" w:rsidRDefault="00A37B13">
      <w:pPr>
        <w:pStyle w:val="TOC1"/>
        <w:tabs>
          <w:tab w:val="right" w:leader="dot" w:pos="9019"/>
        </w:tabs>
        <w:rPr>
          <w:rFonts w:asciiTheme="minorHAnsi" w:eastAsiaTheme="minorEastAsia" w:hAnsiTheme="minorHAnsi" w:cstheme="minorBidi"/>
          <w:noProof/>
          <w:kern w:val="2"/>
          <w:sz w:val="24"/>
          <w:szCs w:val="24"/>
          <w:lang w:val="en-ES"/>
          <w14:ligatures w14:val="standardContextual"/>
        </w:rPr>
      </w:pPr>
      <w:hyperlink w:anchor="_Toc200132655" w:history="1">
        <w:r w:rsidRPr="00241D83">
          <w:rPr>
            <w:rStyle w:val="Hyperlink"/>
            <w:noProof/>
          </w:rPr>
          <w:t>Sesión de preguntas y respuestas</w:t>
        </w:r>
        <w:r>
          <w:rPr>
            <w:noProof/>
          </w:rPr>
          <w:tab/>
        </w:r>
        <w:r>
          <w:rPr>
            <w:noProof/>
          </w:rPr>
          <w:fldChar w:fldCharType="begin"/>
        </w:r>
        <w:r>
          <w:rPr>
            <w:noProof/>
          </w:rPr>
          <w:instrText xml:space="preserve"> PAGEREF _Toc200132655 \h </w:instrText>
        </w:r>
        <w:r>
          <w:rPr>
            <w:noProof/>
          </w:rPr>
        </w:r>
        <w:r>
          <w:rPr>
            <w:noProof/>
          </w:rPr>
          <w:fldChar w:fldCharType="separate"/>
        </w:r>
        <w:r>
          <w:rPr>
            <w:noProof/>
          </w:rPr>
          <w:t>10</w:t>
        </w:r>
        <w:r>
          <w:rPr>
            <w:noProof/>
          </w:rPr>
          <w:fldChar w:fldCharType="end"/>
        </w:r>
      </w:hyperlink>
    </w:p>
    <w:p w14:paraId="0CD381B4" w14:textId="2685F68C" w:rsidR="00A37B13" w:rsidRDefault="00A37B13">
      <w:pPr>
        <w:pStyle w:val="TOC1"/>
        <w:tabs>
          <w:tab w:val="right" w:leader="dot" w:pos="9019"/>
        </w:tabs>
        <w:rPr>
          <w:rFonts w:asciiTheme="minorHAnsi" w:eastAsiaTheme="minorEastAsia" w:hAnsiTheme="minorHAnsi" w:cstheme="minorBidi"/>
          <w:noProof/>
          <w:kern w:val="2"/>
          <w:sz w:val="24"/>
          <w:szCs w:val="24"/>
          <w:lang w:val="en-ES"/>
          <w14:ligatures w14:val="standardContextual"/>
        </w:rPr>
      </w:pPr>
      <w:hyperlink w:anchor="_Toc200132656" w:history="1">
        <w:r w:rsidRPr="00241D83">
          <w:rPr>
            <w:rStyle w:val="Hyperlink"/>
            <w:noProof/>
          </w:rPr>
          <w:t>Observaciones finales</w:t>
        </w:r>
        <w:r>
          <w:rPr>
            <w:noProof/>
          </w:rPr>
          <w:tab/>
        </w:r>
        <w:r>
          <w:rPr>
            <w:noProof/>
          </w:rPr>
          <w:fldChar w:fldCharType="begin"/>
        </w:r>
        <w:r>
          <w:rPr>
            <w:noProof/>
          </w:rPr>
          <w:instrText xml:space="preserve"> PAGEREF _Toc200132656 \h </w:instrText>
        </w:r>
        <w:r>
          <w:rPr>
            <w:noProof/>
          </w:rPr>
        </w:r>
        <w:r>
          <w:rPr>
            <w:noProof/>
          </w:rPr>
          <w:fldChar w:fldCharType="separate"/>
        </w:r>
        <w:r>
          <w:rPr>
            <w:noProof/>
          </w:rPr>
          <w:t>12</w:t>
        </w:r>
        <w:r>
          <w:rPr>
            <w:noProof/>
          </w:rPr>
          <w:fldChar w:fldCharType="end"/>
        </w:r>
      </w:hyperlink>
    </w:p>
    <w:p w14:paraId="560C1B9C" w14:textId="292398C7" w:rsidR="00475CF7" w:rsidRDefault="00000000">
      <w:pPr>
        <w:pStyle w:val="TOC1"/>
        <w:widowControl w:val="0"/>
        <w:spacing w:before="60" w:line="240" w:lineRule="auto"/>
      </w:pPr>
      <w:r>
        <w:fldChar w:fldCharType="end"/>
      </w:r>
    </w:p>
    <w:p w14:paraId="298C2563" w14:textId="77777777" w:rsidR="00475CF7" w:rsidRDefault="00475CF7">
      <w:pPr>
        <w:pageBreakBefore/>
      </w:pPr>
    </w:p>
    <w:p w14:paraId="00830828" w14:textId="77777777" w:rsidR="00475CF7" w:rsidRDefault="00475CF7">
      <w:pPr>
        <w:rPr>
          <w:rFonts w:ascii="Avenir Book" w:eastAsia="Twentieth Century" w:hAnsi="Avenir Book" w:cs="Twentieth Century"/>
        </w:rPr>
      </w:pPr>
    </w:p>
    <w:p w14:paraId="3DDC9B0E" w14:textId="77777777" w:rsidR="00475CF7" w:rsidRDefault="00000000">
      <w:pPr>
        <w:pStyle w:val="P68B1DB1-Heading16"/>
        <w:shd w:val="clear" w:color="auto" w:fill="F79646"/>
        <w:jc w:val="center"/>
        <w:rPr>
          <w:bCs/>
        </w:rPr>
      </w:pPr>
      <w:bookmarkStart w:id="0" w:name="_Toc1000647299"/>
      <w:bookmarkStart w:id="1" w:name="_Toc200132650"/>
      <w:r>
        <w:t>Resumen ejecutivo</w:t>
      </w:r>
      <w:bookmarkEnd w:id="0"/>
      <w:bookmarkEnd w:id="1"/>
    </w:p>
    <w:p w14:paraId="53354E97" w14:textId="1653E89B" w:rsidR="00475CF7" w:rsidRDefault="00000000">
      <w:pPr>
        <w:pStyle w:val="P68B1DB1-Normal7"/>
        <w:spacing w:before="240"/>
        <w:jc w:val="both"/>
      </w:pPr>
      <w:r>
        <w:t xml:space="preserve">Como parte del diálogo en curso con las organizaciones de la sociedad civil (OSC) y las autoridades locales (AL) en el marco del Foro sobre </w:t>
      </w:r>
      <w:r w:rsidR="002A435E">
        <w:t xml:space="preserve">Políticas de </w:t>
      </w:r>
      <w:r>
        <w:t>Desarrollo (PFD</w:t>
      </w:r>
      <w:r w:rsidR="002A435E">
        <w:t>, por sus siglas en inglés</w:t>
      </w:r>
      <w:r>
        <w:t xml:space="preserve">), la Dirección General de Asociaciones Internacionales de la Comisión Europea y el Servicio Europeo de Acción Exterior (SEAE), con el apoyo de la Embajada de Colombia en Bruselas y el Ministerio de Asuntos Exteriores de Colombia - Dirección de Mecanismos Regionales de Coordinación e Integración, en representación de la Comunidad de Estados Latinoamericanos y Caribeños (CELAC) como Presidencia Pro Tempore, celebró una reunión en línea el 29 de abril de 2025. La reunión </w:t>
      </w:r>
      <w:r w:rsidR="002A435E">
        <w:t>congregó</w:t>
      </w:r>
      <w:r>
        <w:t xml:space="preserve"> a representantes de OSC y AL de la Unión Europea, América Latina y el Caribe (ALC) para un intercambio preparatorio antes de la próxima Cuarta Cumbre, programada para los días 9 y 10 de noviembre de 2025 en Colombia. Sobre la base de los debates mantenidos durante el anterior diálogo del PFD el 17 de septiembre de 2024,</w:t>
      </w:r>
      <w:r w:rsidRPr="002A435E">
        <w:rPr>
          <w:vertAlign w:val="superscript"/>
        </w:rPr>
        <w:footnoteReference w:id="1"/>
      </w:r>
      <w:r>
        <w:t xml:space="preserve"> la sesión se dividió en dos partes: </w:t>
      </w:r>
      <w:r w:rsidR="002A435E">
        <w:t>la</w:t>
      </w:r>
      <w:r>
        <w:t xml:space="preserve"> primer</w:t>
      </w:r>
      <w:r w:rsidR="002A435E">
        <w:t>a</w:t>
      </w:r>
      <w:r>
        <w:t xml:space="preserve"> abordó la situación de la aplicación de la </w:t>
      </w:r>
      <w:hyperlink r:id="rId9" w:history="1">
        <w:r>
          <w:rPr>
            <w:color w:val="1155CC"/>
            <w:u w:val="single"/>
          </w:rPr>
          <w:t>hoja de ruta UE-CELAC 2023-2025</w:t>
        </w:r>
      </w:hyperlink>
      <w:r>
        <w:t xml:space="preserve"> y la organización de la Cuarta Cumbre UE-CELAC, y </w:t>
      </w:r>
      <w:r w:rsidR="002A435E">
        <w:t>la</w:t>
      </w:r>
      <w:r>
        <w:t xml:space="preserve"> segund</w:t>
      </w:r>
      <w:r w:rsidR="002A435E">
        <w:t>a</w:t>
      </w:r>
      <w:r>
        <w:t xml:space="preserve"> abordó el papel de las organizaciones de la sociedad civil en el período previo a la Cuarta Cumbre UE-CELAC, que también abarcó la organización de un Foro de la Sociedad Civil. Ambas sesiones permitieron interacciones y preguntas </w:t>
      </w:r>
      <w:r w:rsidR="002A435E">
        <w:t>de los participantes</w:t>
      </w:r>
      <w:r>
        <w:t>.</w:t>
      </w:r>
    </w:p>
    <w:p w14:paraId="3F14C861" w14:textId="6F896EC4" w:rsidR="00475CF7" w:rsidRDefault="00000000">
      <w:pPr>
        <w:pStyle w:val="P68B1DB1-Normal7"/>
        <w:spacing w:before="240"/>
        <w:jc w:val="both"/>
      </w:pPr>
      <w:r>
        <w:t xml:space="preserve">La reunión comenzó con la bienvenida de </w:t>
      </w:r>
      <w:r>
        <w:rPr>
          <w:b/>
        </w:rPr>
        <w:t>Erica Gerretsen,</w:t>
      </w:r>
      <w:r>
        <w:t xml:space="preserve"> directora de Desarrollo Humano, Migración, Gobernanza y Paz de INTPA G, quien destacó el importante papel desempeñado por las OSC en el fortalecimiento de las relaciones y conexiones entre la UE y la CELAC. </w:t>
      </w:r>
      <w:r>
        <w:rPr>
          <w:b/>
        </w:rPr>
        <w:t>Francisco Gutiérrez,</w:t>
      </w:r>
      <w:r>
        <w:t xml:space="preserve"> director de Mecanismos e Integración Regional del Ministerio de Asuntos Exteriores de Colombia, confirmó el compromiso de Colombia con la Presidencia Pro Tempore y la cooperación continua en el contexto de una asociación mutuamente beneficiosa que incluya los intereses de las OSC. En el contexto de la próxima Cumbre, la Presidencia promoverá actos paralelos para apoyar el diálogo birregional, incluida la organización del Foro de la Sociedad Civil, previsto para noviembre de 2025.  </w:t>
      </w:r>
    </w:p>
    <w:p w14:paraId="1B57FCB2" w14:textId="639B5214" w:rsidR="00475CF7" w:rsidRDefault="00000000">
      <w:pPr>
        <w:pStyle w:val="P68B1DB1-Normal7"/>
        <w:spacing w:before="240"/>
        <w:jc w:val="both"/>
      </w:pPr>
      <w:r>
        <w:t xml:space="preserve">Posteriormente, </w:t>
      </w:r>
      <w:r>
        <w:rPr>
          <w:b/>
        </w:rPr>
        <w:t>Pelayo Castro Zuzuárregui,</w:t>
      </w:r>
      <w:r>
        <w:t xml:space="preserve"> director/director gerente adjunto para las Américas del SEAE, informa sobre la situación de la hoja de ruta UE-CELAC 2023-2025 y las prioridades de la próxima IV Cumbre CELAC-UE. La mayoría de los ámbitos de la hoja de ruta UE-CELAC 2023-2025 han experimentado avances, como la transición digital, la transición ecológica, el desarrollo humano, la seguridad y la investigación y la innovación. La </w:t>
      </w:r>
      <w:r>
        <w:lastRenderedPageBreak/>
        <w:t>presentación destacó el papel clave desempeñado por las OSC en la región, reconociendo el difícil contexto en el que operan</w:t>
      </w:r>
      <w:r w:rsidR="001D52C3">
        <w:t xml:space="preserve"> y poniendo </w:t>
      </w:r>
      <w:r>
        <w:t xml:space="preserve">de relieve el compromiso de la UE de mantener su apoyo. También subrayó la importancia de compartir puntos de vista, perspectivas e ideas sobre cómo la UE y la CELAC pueden obtener resultados para abordar juntos los desafíos mundiales. La UE seguirá prestando atención a la triple transición: </w:t>
      </w:r>
      <w:r w:rsidR="00C77743">
        <w:t>v</w:t>
      </w:r>
      <w:r>
        <w:t>erde, digital y social/just</w:t>
      </w:r>
      <w:r w:rsidR="00C77743">
        <w:t>a</w:t>
      </w:r>
      <w:r>
        <w:t>. También era importante hacer frente a los retos que se avecinaban a este respecto, así como intensificar los esfuerzos en tres ámbitos: la gobernanza democrática; seguridad, seguridad ciudadana y lucha contra la delincuencia organizada; multilateralismo y justicia global.</w:t>
      </w:r>
    </w:p>
    <w:p w14:paraId="1985E8C5" w14:textId="17CE4EB2" w:rsidR="00475CF7" w:rsidRDefault="00000000">
      <w:pPr>
        <w:pStyle w:val="P68B1DB1-Normal7"/>
        <w:spacing w:before="240"/>
        <w:jc w:val="both"/>
      </w:pPr>
      <w:r>
        <w:t xml:space="preserve">Las presentaciones fueron seguidas por una sesión de preguntas y respuestas que permitió a los participantes plantear inquietudes y hacer preguntas. Se formularon preguntas sobre: el papel de las </w:t>
      </w:r>
      <w:r w:rsidR="00F13E75">
        <w:t>OSC</w:t>
      </w:r>
      <w:r>
        <w:t xml:space="preserve"> y los mecanismos para implicarlas en los retos a los que se enfrentan la democracia y la gobernanza; abordar la emergencia climática en las dos regiones; participación de niños, niñas y adolescentes en espacios multilaterales y actos paralelos a la Cuarta Cumbre CELAC-UE; colaboración con la Conferencia sobre la Financiación para el Desarrollo en el contexto del multilateralismo; y abordar la conectividad en las zonas rurales en el marco de la agenda digital de la Cumbre.</w:t>
      </w:r>
    </w:p>
    <w:p w14:paraId="413F9892" w14:textId="078F8272" w:rsidR="00475CF7" w:rsidRDefault="00000000">
      <w:pPr>
        <w:pStyle w:val="P68B1DB1-Normal7"/>
        <w:spacing w:before="240"/>
        <w:jc w:val="both"/>
      </w:pPr>
      <w:r>
        <w:t xml:space="preserve">La segunda parte de la reunión incluyó una presentación a cargo de </w:t>
      </w:r>
      <w:r>
        <w:rPr>
          <w:b/>
        </w:rPr>
        <w:t xml:space="preserve">Felice </w:t>
      </w:r>
      <w:proofErr w:type="spellStart"/>
      <w:r>
        <w:rPr>
          <w:b/>
        </w:rPr>
        <w:t>Zaccheo</w:t>
      </w:r>
      <w:proofErr w:type="spellEnd"/>
      <w:r>
        <w:rPr>
          <w:b/>
        </w:rPr>
        <w:t>,</w:t>
      </w:r>
      <w:r>
        <w:t xml:space="preserve"> jef</w:t>
      </w:r>
      <w:r w:rsidR="00F13E75">
        <w:t>e</w:t>
      </w:r>
      <w:r>
        <w:t xml:space="preserve"> de unidad de INTPA B1 - Programas Regionales para América Latina y el Caribe, quien informó sobre el papel de las OSC en el período previo a la próxima Cuarta Cumbre CELAC-UE, incluida la organización de un Foro de la Sociedad Civil. </w:t>
      </w:r>
    </w:p>
    <w:p w14:paraId="3FCCEC0F" w14:textId="72F4F283" w:rsidR="00475CF7" w:rsidRDefault="00000000">
      <w:pPr>
        <w:pStyle w:val="P68B1DB1-Normal7"/>
        <w:spacing w:before="240"/>
        <w:jc w:val="both"/>
      </w:pPr>
      <w:r>
        <w:t xml:space="preserve">La sesión de preguntas y respuestas que siguió a la segunda parte de la reunión comenzó con una intervención de la Oficina Europea de la Federación Latinoamericana de Municipios (FLACMA), quien destacó la importancia de involucrar a las AL en la cooperación y las agendas birregionales, y pidió la creación del IV Foro de gobiernos locales y regionales para que sirva como una consulta de alto nivel con el fin de alcanzar un conjunto de prioridades y conclusiones que puedan transmitirse a los Jefes de Estado en la Cumbre CELAC-UE. El pleno también planteó varias preguntas, entre ellas la de permitir a las </w:t>
      </w:r>
      <w:r w:rsidR="00CC49C7">
        <w:t>OCS</w:t>
      </w:r>
      <w:r>
        <w:t xml:space="preserve"> hacer un seguimiento de la hoja de ruta; posiciones sobre el Pacto sobre Cuidados; la participación de los jóvenes; reforzar las </w:t>
      </w:r>
      <w:r w:rsidR="00CC49C7">
        <w:t>OSC</w:t>
      </w:r>
      <w:r>
        <w:t xml:space="preserve"> a través de mensajes políticos sólidos; y la posibilidad de contar con un proceso para involucrar a las OSC en la redacción de la declaración final de la Cumbre.</w:t>
      </w:r>
    </w:p>
    <w:p w14:paraId="3388DF2E" w14:textId="77777777" w:rsidR="00475CF7" w:rsidRDefault="00000000">
      <w:pPr>
        <w:pStyle w:val="P68B1DB1-Normal7"/>
        <w:spacing w:before="240"/>
        <w:jc w:val="both"/>
      </w:pPr>
      <w:r>
        <w:t>Las principales conclusiones y los próximos pasos son:</w:t>
      </w:r>
    </w:p>
    <w:p w14:paraId="24E6B87C" w14:textId="77777777" w:rsidR="00475CF7" w:rsidRDefault="00000000">
      <w:pPr>
        <w:pStyle w:val="P68B1DB1-Normal7"/>
        <w:numPr>
          <w:ilvl w:val="0"/>
          <w:numId w:val="1"/>
        </w:numPr>
        <w:spacing w:before="240"/>
        <w:jc w:val="both"/>
      </w:pPr>
      <w:r>
        <w:rPr>
          <w:color w:val="131619"/>
          <w:shd w:val="clear" w:color="auto" w:fill="FFFFFF"/>
        </w:rPr>
        <w:t xml:space="preserve">La Presidencia Pro Témpore de Colombia </w:t>
      </w:r>
      <w:r>
        <w:t>promoverá eventos paralelos para apoyar el diálogo birregional, como el</w:t>
      </w:r>
      <w:r>
        <w:rPr>
          <w:color w:val="131619"/>
          <w:shd w:val="clear" w:color="auto" w:fill="FFFFFF"/>
        </w:rPr>
        <w:t xml:space="preserve"> Foro Empresarial y el Foro </w:t>
      </w:r>
      <w:r>
        <w:t xml:space="preserve">de la Sociedad Civil, que están previstos para noviembre de 2025, </w:t>
      </w:r>
      <w:r>
        <w:rPr>
          <w:color w:val="131619"/>
          <w:shd w:val="clear" w:color="auto" w:fill="FFFFFF"/>
        </w:rPr>
        <w:t>como parte de los preparativos de la Cuarta Cumbre CELAC-UE.</w:t>
      </w:r>
    </w:p>
    <w:p w14:paraId="42403F8B" w14:textId="0446C0E3" w:rsidR="00475CF7" w:rsidRDefault="00000000">
      <w:pPr>
        <w:pStyle w:val="P68B1DB1-Normal8"/>
        <w:numPr>
          <w:ilvl w:val="0"/>
          <w:numId w:val="1"/>
        </w:numPr>
        <w:spacing w:before="240"/>
        <w:jc w:val="both"/>
      </w:pPr>
      <w:r>
        <w:lastRenderedPageBreak/>
        <w:t>La Comisión Europea pondrá en marcha una convocatoria de manifestaciones de interés en mayo o junio de 2025 para identificar a las organizaciones de la sociedad civil para el grupo director del Foro de la Sociedad Civil.</w:t>
      </w:r>
    </w:p>
    <w:p w14:paraId="35D290D0" w14:textId="1DD12A7D" w:rsidR="00475CF7" w:rsidRDefault="00000000">
      <w:pPr>
        <w:pStyle w:val="P68B1DB1-Normal7"/>
        <w:numPr>
          <w:ilvl w:val="0"/>
          <w:numId w:val="1"/>
        </w:numPr>
        <w:spacing w:before="240"/>
        <w:jc w:val="both"/>
      </w:pPr>
      <w:r>
        <w:t>El Foro Académico CELAC-UE está previsto provisionalmente entre el 3 y el 5 de septiembre de 2025. Las IV Jornadas de la Juventud UE-ALC se celebrarán del 19 al 20 de junio de 2025 en Roma.</w:t>
      </w:r>
    </w:p>
    <w:p w14:paraId="6A0A42D1" w14:textId="4FF9EC9F" w:rsidR="00475CF7" w:rsidRDefault="00000000">
      <w:pPr>
        <w:pStyle w:val="P68B1DB1-Normal7"/>
        <w:numPr>
          <w:ilvl w:val="0"/>
          <w:numId w:val="1"/>
        </w:numPr>
        <w:spacing w:before="240"/>
        <w:jc w:val="both"/>
      </w:pPr>
      <w:r>
        <w:t>La Cumbre CELAC-UE se celebra</w:t>
      </w:r>
      <w:r w:rsidR="000228BA">
        <w:t>rá</w:t>
      </w:r>
      <w:r>
        <w:t xml:space="preserve"> </w:t>
      </w:r>
      <w:r w:rsidR="000228BA">
        <w:t>a continuación</w:t>
      </w:r>
      <w:r>
        <w:t xml:space="preserve"> </w:t>
      </w:r>
      <w:r w:rsidR="000228BA">
        <w:t>de</w:t>
      </w:r>
      <w:r>
        <w:t xml:space="preserve"> la Conferencia de las Naciones Unidas sobre el Cambio Climático de 2025 (COP30 de la CMNUCC) en Brasil (Belem, 10-21 de noviembre), que servirá como una oportunidad para que ambas regiones envíen un fuerte mensaje de compromiso con la transición ecológica.</w:t>
      </w:r>
    </w:p>
    <w:p w14:paraId="26B2422A" w14:textId="77777777" w:rsidR="00475CF7" w:rsidRDefault="00000000">
      <w:pPr>
        <w:pStyle w:val="P68B1DB1-Normal7"/>
        <w:numPr>
          <w:ilvl w:val="0"/>
          <w:numId w:val="1"/>
        </w:numPr>
        <w:spacing w:before="240"/>
        <w:jc w:val="both"/>
      </w:pPr>
      <w:r>
        <w:t>En materia de investigación e innovación, se está trabajando en una reunión ministerial CELAC-UE, prevista para septiembre de 2025.</w:t>
      </w:r>
    </w:p>
    <w:p w14:paraId="1FA110DD" w14:textId="4F212CB2" w:rsidR="00475CF7" w:rsidRDefault="00000000">
      <w:pPr>
        <w:pStyle w:val="P68B1DB1-Normal9"/>
        <w:numPr>
          <w:ilvl w:val="0"/>
          <w:numId w:val="1"/>
        </w:numPr>
        <w:spacing w:before="240"/>
        <w:jc w:val="both"/>
      </w:pPr>
      <w:r>
        <w:t xml:space="preserve">La UE y ALC estudiarán mecanismos para que las </w:t>
      </w:r>
      <w:r w:rsidR="000228BA">
        <w:t>OSC</w:t>
      </w:r>
      <w:r>
        <w:t xml:space="preserve"> participen más en la ejecución de los proyectos de Global Gateway.</w:t>
      </w:r>
    </w:p>
    <w:p w14:paraId="0110AC54" w14:textId="77777777" w:rsidR="00475CF7" w:rsidRDefault="00000000">
      <w:pPr>
        <w:pStyle w:val="P68B1DB1-Normal9"/>
        <w:numPr>
          <w:ilvl w:val="0"/>
          <w:numId w:val="1"/>
        </w:numPr>
        <w:spacing w:before="240"/>
        <w:jc w:val="both"/>
      </w:pPr>
      <w:r>
        <w:t>Confirmación de la importancia de las OSC, las AL y la participación de los jóvenes en la configuración de la agenda birregional.</w:t>
      </w:r>
    </w:p>
    <w:p w14:paraId="77AFD546" w14:textId="77777777" w:rsidR="00475CF7" w:rsidRDefault="00000000">
      <w:pPr>
        <w:pStyle w:val="P68B1DB1-Normal7"/>
        <w:numPr>
          <w:ilvl w:val="0"/>
          <w:numId w:val="1"/>
        </w:numPr>
        <w:spacing w:before="240"/>
        <w:jc w:val="both"/>
      </w:pPr>
      <w:r>
        <w:t>Las OSC pueden compartir contribuciones específicas, documentos y recomendaciones políticas con la UE y la CELAC antes de la Cumbre.</w:t>
      </w:r>
    </w:p>
    <w:p w14:paraId="2F95D891" w14:textId="77777777" w:rsidR="00475CF7" w:rsidRDefault="00000000">
      <w:pPr>
        <w:pStyle w:val="P68B1DB1-Normal7"/>
        <w:numPr>
          <w:ilvl w:val="0"/>
          <w:numId w:val="1"/>
        </w:numPr>
        <w:spacing w:before="240"/>
        <w:jc w:val="both"/>
      </w:pPr>
      <w:r>
        <w:t>Se alienta la colaboración para garantizar el multilateralismo, como en el caso de la Conferencia sobre la Financiación para el Desarrollo.</w:t>
      </w:r>
    </w:p>
    <w:p w14:paraId="22A1F48A" w14:textId="70AEAC09" w:rsidR="00475CF7" w:rsidRDefault="00000000">
      <w:pPr>
        <w:pStyle w:val="P68B1DB1-Normal7"/>
        <w:numPr>
          <w:ilvl w:val="0"/>
          <w:numId w:val="1"/>
        </w:numPr>
        <w:spacing w:before="240"/>
        <w:jc w:val="both"/>
      </w:pPr>
      <w:r>
        <w:t>Las autoridades locales prevén organizar un «Foro de Gobiernos Locales y Regionales» que sirva de consulta de alto nivel para alcanzar un conjunto de prioridades y conclusiones que puedan transmitirse.</w:t>
      </w:r>
    </w:p>
    <w:p w14:paraId="3A2F1F03" w14:textId="77777777" w:rsidR="00475CF7" w:rsidRDefault="00000000">
      <w:pPr>
        <w:pStyle w:val="P68B1DB1-Normal7"/>
        <w:numPr>
          <w:ilvl w:val="0"/>
          <w:numId w:val="1"/>
        </w:numPr>
        <w:spacing w:before="240"/>
        <w:jc w:val="both"/>
      </w:pPr>
      <w:r>
        <w:t>Emplear los diferentes foros para reforzar los mensajes políticos sobre el papel de las OSC, especialmente en ámbitos relacionados con la democracia y la gobernanza.</w:t>
      </w:r>
    </w:p>
    <w:p w14:paraId="3CC57781" w14:textId="544B1C62" w:rsidR="00475CF7" w:rsidRDefault="00000000">
      <w:pPr>
        <w:pStyle w:val="P68B1DB1-Normal7"/>
        <w:spacing w:before="240"/>
        <w:jc w:val="both"/>
      </w:pPr>
      <w:r>
        <w:rPr>
          <w:b/>
        </w:rPr>
        <w:t>Felice Zaccheo</w:t>
      </w:r>
      <w:r>
        <w:t xml:space="preserve"> agradeció a todos por participar en la reunión y aseguró a la sala que continuarán informados sobre los desarrollos. La reunión se clausuró. </w:t>
      </w:r>
    </w:p>
    <w:p w14:paraId="7E86594A" w14:textId="77777777" w:rsidR="00475CF7" w:rsidRDefault="00475CF7">
      <w:pPr>
        <w:pageBreakBefore/>
        <w:spacing w:before="240"/>
        <w:jc w:val="both"/>
      </w:pPr>
    </w:p>
    <w:p w14:paraId="031C6C64" w14:textId="0319F306" w:rsidR="00475CF7" w:rsidRDefault="008F413D">
      <w:pPr>
        <w:pStyle w:val="P68B1DB1-Heading110"/>
        <w:spacing w:before="240"/>
        <w:jc w:val="both"/>
        <w:rPr>
          <w:bCs/>
        </w:rPr>
      </w:pPr>
      <w:bookmarkStart w:id="2" w:name="_Toc1883605756"/>
      <w:bookmarkStart w:id="3" w:name="_Toc200132651"/>
      <w:r>
        <w:t>Notas de b</w:t>
      </w:r>
      <w:r w:rsidR="00000000">
        <w:t>ienvenida</w:t>
      </w:r>
      <w:bookmarkEnd w:id="2"/>
      <w:bookmarkEnd w:id="3"/>
    </w:p>
    <w:p w14:paraId="7476D938" w14:textId="1E82D722" w:rsidR="00475CF7" w:rsidRDefault="00000000">
      <w:pPr>
        <w:pStyle w:val="P68B1DB1-Normal7"/>
        <w:spacing w:before="240"/>
        <w:jc w:val="both"/>
      </w:pPr>
      <w:r>
        <w:rPr>
          <w:b/>
        </w:rPr>
        <w:t>Erica Gerretsen,</w:t>
      </w:r>
      <w:r>
        <w:t xml:space="preserve"> directora de INTPA G Desarrollo Humano, Migración, Gobernanza y Paz, dio la bienvenida a todos a la reunión y destacó el importante papel desempeñado por las OSC en el fortalecimiento de las relaciones y conexiones entre la UE y la CELAC. La reunión destaca el papel crucial que desempeñan las OSC y las AL en el diálogo y en el progreso para hacer avanzar la asociación entre las dos regiones. En el contexto del PFD, en los últimos años se han celebrado varias reuniones con representantes de las OSC y las AL, también en lo que respecta a las consultas sobre la aplicación del Programa Indicativo Plurianual Regional de la UE. La última reunión se celebró el 17 de septiembre de 2024, en la que se examinó la situación de la hoja de ruta CELAC-UE, la puesta en práctica de la </w:t>
      </w:r>
      <w:hyperlink r:id="rId10" w:history="1">
        <w:r>
          <w:rPr>
            <w:color w:val="1155CC"/>
            <w:u w:val="single"/>
          </w:rPr>
          <w:t>Agenda de Inversiones Global Gateway UE-ALC</w:t>
        </w:r>
      </w:hyperlink>
      <w:r>
        <w:t xml:space="preserve"> y la aplicación del </w:t>
      </w:r>
      <w:hyperlink r:id="rId11" w:history="1">
        <w:r>
          <w:rPr>
            <w:color w:val="1155CC"/>
            <w:u w:val="single"/>
          </w:rPr>
          <w:t>Program</w:t>
        </w:r>
        <w:r>
          <w:rPr>
            <w:color w:val="1155CC"/>
            <w:u w:val="single"/>
          </w:rPr>
          <w:t>a</w:t>
        </w:r>
        <w:r>
          <w:rPr>
            <w:color w:val="1155CC"/>
            <w:u w:val="single"/>
          </w:rPr>
          <w:t xml:space="preserve"> Indicativo Plurianual Regional para las Américas y el Caribe 2021-2027</w:t>
        </w:r>
        <w:r w:rsidR="00805A67">
          <w:rPr>
            <w:rStyle w:val="FootnoteReference"/>
            <w:color w:val="1155CC"/>
            <w:u w:val="single"/>
          </w:rPr>
          <w:footnoteReference w:id="2"/>
        </w:r>
        <w:r>
          <w:rPr>
            <w:color w:val="1155CC"/>
            <w:u w:val="single"/>
          </w:rPr>
          <w:t>.</w:t>
        </w:r>
      </w:hyperlink>
      <w:r>
        <w:t xml:space="preserve"> La </w:t>
      </w:r>
      <w:r w:rsidR="00805A67">
        <w:t xml:space="preserve">presente </w:t>
      </w:r>
      <w:r>
        <w:t xml:space="preserve">reunión se centra en los avances realizados en la aplicación de la hoja de ruta UE-CELAC 2023-2025, la próxima Cuarta Cumbre UE-CELAC y el compromiso con las OSC y las AL en el período previo a la Cumbre. Las observaciones y recomendaciones recibidas de las </w:t>
      </w:r>
      <w:r w:rsidR="00805A67">
        <w:t>OSC</w:t>
      </w:r>
      <w:r>
        <w:t xml:space="preserve"> en la reunión de septiembre de 2024 se compartirán en una reunión de seguimiento en una fase posterior en el marco de las consultas periódicas. </w:t>
      </w:r>
    </w:p>
    <w:p w14:paraId="0E782F96" w14:textId="77777777" w:rsidR="00475CF7" w:rsidRDefault="00000000">
      <w:pPr>
        <w:pStyle w:val="P68B1DB1-Heading110"/>
        <w:spacing w:before="240"/>
        <w:jc w:val="both"/>
        <w:rPr>
          <w:bCs/>
        </w:rPr>
      </w:pPr>
      <w:bookmarkStart w:id="4" w:name="_Toc768504444"/>
      <w:bookmarkStart w:id="5" w:name="_Toc200132652"/>
      <w:r>
        <w:t>Situación de la hoja de ruta UE-CELAC 2023-2025 y organización de la Cuarta Cumbre CELAC-UE</w:t>
      </w:r>
      <w:bookmarkEnd w:id="4"/>
      <w:bookmarkEnd w:id="5"/>
    </w:p>
    <w:p w14:paraId="33C649A9" w14:textId="7CB18099" w:rsidR="00475CF7" w:rsidRDefault="00000000">
      <w:pPr>
        <w:pStyle w:val="P68B1DB1-Normal7"/>
        <w:spacing w:before="240"/>
        <w:jc w:val="both"/>
      </w:pPr>
      <w:r>
        <w:rPr>
          <w:b/>
        </w:rPr>
        <w:t>Francisco Gutiérrez,</w:t>
      </w:r>
      <w:r>
        <w:t xml:space="preserve"> director de Mecanismos e Integración Regional del Ministerio de Asuntos Exteriores de Colombia, confirmó el compromiso de Colombia con la Presidencia Pro Tempore y reiteró el trabajo y la preparación que se están llevando a cabo con el Servicio Europeo de Acción Exterior y la Comisión Europea en el contexto del proceso de la Cumbre. Colombia considera que las consultas con las OSC y las AL son fundamentales para construir una relación birregional sólida que responda a las necesidades de los ciudadanos, especialmente en el contexto de las realidades geopolíticas que requieren la renovación de las relaciones estratégicas. La Presidencia Pro Tempore trabajará en la cooperación y en una asociación mutuamente beneficiosa que tenga en cuenta los intereses de las OSC. En el contexto de la próxima Cumbre, la Presidencia promoverá actos paralelos para apoyar el diálogo birregional. Entre estos actos paralelos se encuentra el Foro de la Sociedad Civil, previsto para noviembre de 2025. Será una oportunidad para presentar los resultados del Foro Académico y las IV Jornadas de la Juventud UE-ALC, garantizando así una amplia participación de los agentes no gubernamentales. El Foro Académico CELAC-UE está programado tentativamente entre el 3 y el 5 de septiembre de 2025, con el apoyo de la </w:t>
      </w:r>
      <w:r>
        <w:lastRenderedPageBreak/>
        <w:t xml:space="preserve">Universidad Externa de Colombia. Las IV Jornadas de la Juventud UE-ALC están previstas para los días 19 y 20 de junio de 2025 en Roma, con el apoyo de la Fundación UE-ALC. </w:t>
      </w:r>
    </w:p>
    <w:p w14:paraId="5904ACC3" w14:textId="2EF0792C" w:rsidR="00475CF7" w:rsidRDefault="00000000">
      <w:pPr>
        <w:pStyle w:val="P68B1DB1-Normal7"/>
        <w:spacing w:before="240"/>
        <w:jc w:val="both"/>
      </w:pPr>
      <w:r>
        <w:t>En cuanto a la Agenda de Inversiones Global Gateway UE-ALC, alrededor de 130 proyectos emblemáticos representan una oportunidad significativa para la región; la Presidencia colombiana considera crucial explorar mecanismos que permitan a las OSC participar activamente en la implementación y el monitoreo efectivo de la Agenda, asegurando así que estos proyectos respondan a las necesidades reales de las comunidades. Colombia promoverá una comunicación efectiva entre los distintos foros preparatorios para asegurar mensajes coherentes y propuestas complementarias hacia la Cumbre CELAC-UE.</w:t>
      </w:r>
    </w:p>
    <w:p w14:paraId="2364A2E9" w14:textId="0DFD0167" w:rsidR="00475CF7" w:rsidRDefault="00000000">
      <w:pPr>
        <w:pStyle w:val="P68B1DB1-Normal7"/>
        <w:spacing w:before="240"/>
        <w:jc w:val="both"/>
      </w:pPr>
      <w:r>
        <w:rPr>
          <w:b/>
        </w:rPr>
        <w:t>Pelayo Castro Zuzuárregui,</w:t>
      </w:r>
      <w:r>
        <w:t xml:space="preserve"> director/director gerente adjunto para las Américas, SEAE, responsable de las Américas, inform</w:t>
      </w:r>
      <w:r w:rsidR="00ED6811">
        <w:t>ó</w:t>
      </w:r>
      <w:r>
        <w:t xml:space="preserve"> sobre la situación de la hoja de ruta UE-CELAC 2023-2025 y las prioridades de la próxima Cuarta Cumbre CELAC-UE. Las OSC desempeñan un papel importante en el mantenimiento de la relación entre la UE y las regiones de la CELAC, ya sea en lo que respecta al desarrollo sostenible, las libertades fundamentales, los derechos humanos o la democracia. Vale la pena señalar que las OSC trabajan en el contexto de condiciones difíciles, ya que la región de la CELAC es la más peligrosa del mundo con respecto a los defensores de los derechos humanos. La voz de las OSC es importante en el contexto de la próxima Cumbre. La Fundación UE-ALC desempeña un papel muy útil para llegar a las OSC y organizar actos multilaterales con participantes de ambos lados del Atlántico.</w:t>
      </w:r>
    </w:p>
    <w:p w14:paraId="66CA97F6" w14:textId="77777777" w:rsidR="00475CF7" w:rsidRDefault="00000000">
      <w:pPr>
        <w:pStyle w:val="P68B1DB1-Normal7"/>
        <w:spacing w:before="240"/>
        <w:jc w:val="both"/>
      </w:pPr>
      <w:r>
        <w:t xml:space="preserve">Algunos ámbitos de la hoja de ruta UE-CELAC 2023-2025 han sido testigos de un compromiso y un progreso sostenidos basados en el interés mutuo entre ambas regiones. En el ámbito de la </w:t>
      </w:r>
      <w:r>
        <w:rPr>
          <w:b/>
        </w:rPr>
        <w:t>transición digital,</w:t>
      </w:r>
      <w:r>
        <w:t xml:space="preserve"> la Alianza Digital cuenta ahora con 24 miembros. Los diálogos políticos han avanzado considerablemente, incluido el relativo a la política digital en Colombia, a la ciberseguridad en la República Dominicana y a un diálogo temático sobre la gobernanza electrónica. </w:t>
      </w:r>
    </w:p>
    <w:p w14:paraId="0534B7F9" w14:textId="59B54BB1" w:rsidR="00475CF7" w:rsidRDefault="00000000">
      <w:pPr>
        <w:pStyle w:val="P68B1DB1-Normal7"/>
        <w:spacing w:before="240"/>
        <w:jc w:val="both"/>
      </w:pPr>
      <w:r>
        <w:t xml:space="preserve">En cuanto a la </w:t>
      </w:r>
      <w:r>
        <w:rPr>
          <w:b/>
        </w:rPr>
        <w:t>transición ecológica,</w:t>
      </w:r>
      <w:r>
        <w:t xml:space="preserve"> los avances incluyen la reunión ministerial ALC-UE sobre medio ambiente y cambio climático, y los memorandos de entendimiento que se finalizaron sobre energías e hidrógeno verde con Argentina, Chile y Uruguay. También ha habido acuerdos sobre cadenas de valor sostenibles y materias primas fundamentales con Argentina y Chile, y una conferencia sobre prácticas sostenibles y oportunidades económicas para el sargazo en Granada. La transición ecológica seguirá siendo un tema muy importante. La Cumbre UE-CELAC se celebra</w:t>
      </w:r>
      <w:r w:rsidR="00250E4E">
        <w:t>rá</w:t>
      </w:r>
      <w:r>
        <w:t xml:space="preserve"> paralelamente a la Conferencia de las Naciones Unidas sobre el Cambio Climático de 2025 (COP30 de la CMNUCC) en Belém (Brasil), que brindará a ambas regiones la oportunidad de enviar un firme mensaje de compromiso con la transición ecológica.</w:t>
      </w:r>
    </w:p>
    <w:p w14:paraId="52828BBF" w14:textId="77777777" w:rsidR="00475CF7" w:rsidRDefault="00000000">
      <w:pPr>
        <w:pStyle w:val="P68B1DB1-Normal7"/>
        <w:spacing w:before="240"/>
        <w:jc w:val="both"/>
      </w:pPr>
      <w:r>
        <w:lastRenderedPageBreak/>
        <w:t xml:space="preserve">Por lo que se refiere al </w:t>
      </w:r>
      <w:r>
        <w:rPr>
          <w:b/>
        </w:rPr>
        <w:t>desarrollo humano,</w:t>
      </w:r>
      <w:r>
        <w:t xml:space="preserve"> se han celebrado diálogos de alto nivel centrados en las políticas sociales y la salud. La Iniciativa de Resiliencia Sanitaria también será un componente importante de la Cumbre. </w:t>
      </w:r>
    </w:p>
    <w:p w14:paraId="7537F261" w14:textId="77777777" w:rsidR="00475CF7" w:rsidRDefault="00000000">
      <w:pPr>
        <w:pStyle w:val="P68B1DB1-Normal7"/>
        <w:spacing w:before="240"/>
        <w:jc w:val="both"/>
      </w:pPr>
      <w:r>
        <w:t xml:space="preserve">En materia </w:t>
      </w:r>
      <w:r w:rsidRPr="00250E4E">
        <w:rPr>
          <w:bCs/>
        </w:rPr>
        <w:t>de</w:t>
      </w:r>
      <w:r>
        <w:rPr>
          <w:b/>
        </w:rPr>
        <w:t xml:space="preserve"> investigación e innovación,</w:t>
      </w:r>
      <w:r>
        <w:t xml:space="preserve"> se está trabajando en una reunión ministerial UE-CELAC, prevista para septiembre de 2025.</w:t>
      </w:r>
    </w:p>
    <w:p w14:paraId="7E5A64D3" w14:textId="5A655391" w:rsidR="00475CF7" w:rsidRDefault="00000000">
      <w:pPr>
        <w:pStyle w:val="P68B1DB1-Normal7"/>
        <w:spacing w:before="240"/>
        <w:jc w:val="both"/>
      </w:pPr>
      <w:r>
        <w:rPr>
          <w:b/>
        </w:rPr>
        <w:t>La seguridad ciudadana, la lucha contra la delincuencia organizada y las drogas</w:t>
      </w:r>
      <w:r>
        <w:t xml:space="preserve"> siguen siendo un ámbito clave; la tercera reunión a nivel ministerial y una declaración con una sección operativa marcan un paso importante hacia la Cumbre. Otros acontecimientos son la reunión de alto nivel del Mecanismo de Coordinación y Cooperación en materia de Drogas UE-CELAC, que tuvo lugar en Bolivia, y una próxima reunión de los mecanismos sobre drogas en Polonia. Se puso en marcha una reunión de alto nivel de «El Pacto» en Panamá, y se celebrará un acto de alto nivel en junio de 2025 en Lima. Además, se está aplicando el memorando de entendimiento sobre la preparación para casos de desastre. </w:t>
      </w:r>
    </w:p>
    <w:p w14:paraId="6CDB00F0" w14:textId="182B5529" w:rsidR="00475CF7" w:rsidRDefault="00000000">
      <w:pPr>
        <w:pStyle w:val="P68B1DB1-Normal7"/>
        <w:spacing w:before="240"/>
        <w:jc w:val="both"/>
      </w:pPr>
      <w:r>
        <w:t xml:space="preserve">La UE destacó que, en el contexto geopolítico actual, es importante mantener relaciones estratégicas con los países de la CELAC. Hay condiciones de incertidumbre y peligro, y por lo tanto, es importante que las relaciones entre las dos regiones permitan oportunidades para asociaciones y para un programa positivo. Desde la perspectiva de la UE, América Latina y el Caribe forman parte de la solución, que es </w:t>
      </w:r>
      <w:r w:rsidR="00053675">
        <w:t>la manera en que</w:t>
      </w:r>
      <w:r>
        <w:t xml:space="preserve"> se está abordando la Cumbre, para encontrar soluciones a problemas comunes. Es igualmente importante compartir puntos de vista, perspectivas e ideas sobre cómo la UE y la CELAC pueden obtener resultados para abordar juntos los desafíos mundiales. A pesar del cambio de EE.UU. hacia el proteccionismo, sobre los aranceles, el mensaje de la UE es de apertura y fortalecimiento y refuerzo de las relaciones comerciales y de inversión económica entre la UE y el mundo, incluida ALC. Es importante conectar la Agenda de Inversiones de Global Gateway con los acuerdos comerciales y económicos. Además, el multilateralismo es clave, porque ambas regiones representan un tercio de las Naciones Unidas. El contexto multilateral requiere una mayor atención y cooperación entre la UE y la CELAC. La UE reforzará el diálogo con los países de la CELAC en foros multilaterales (en Ginebra, Nueva York, Viena y Roma) sobre diversas cuestiones multilaterales de interés común, incluidas las relacionadas con la arquitectura financiera internacional.</w:t>
      </w:r>
    </w:p>
    <w:p w14:paraId="28BFF4FE" w14:textId="259FE0F8" w:rsidR="00475CF7" w:rsidRDefault="00000000">
      <w:pPr>
        <w:pStyle w:val="P68B1DB1-Normal7"/>
        <w:spacing w:before="240"/>
        <w:jc w:val="both"/>
      </w:pPr>
      <w:r>
        <w:t xml:space="preserve">Se siguió prestando gran atención por parte de la UE a la triple transición: </w:t>
      </w:r>
      <w:r w:rsidR="00332F31">
        <w:t>v</w:t>
      </w:r>
      <w:r>
        <w:t xml:space="preserve">erde, digital y </w:t>
      </w:r>
      <w:r w:rsidR="00332F31">
        <w:t>social</w:t>
      </w:r>
      <w:r>
        <w:t>/</w:t>
      </w:r>
      <w:r w:rsidR="00332F31">
        <w:t>justa</w:t>
      </w:r>
      <w:r>
        <w:t xml:space="preserve">, que forma parte de los objetivos de la Agenda de Inversiones Global Gateway UE-ALC. Es importante hacer frente a los retos que se avecinan a este respecto e intensificar los esfuerzos en tres ámbitos: </w:t>
      </w:r>
      <w:r>
        <w:rPr>
          <w:b/>
        </w:rPr>
        <w:t>en primer lugar,</w:t>
      </w:r>
      <w:r>
        <w:t xml:space="preserve"> «infraestructura invisible» de gobernanza, democracia y elaboración de políticas públicas, especialmente con la regresión mundial de los valores democráticos. </w:t>
      </w:r>
      <w:r>
        <w:rPr>
          <w:b/>
        </w:rPr>
        <w:t>En segundo lugar,</w:t>
      </w:r>
      <w:r>
        <w:t xml:space="preserve"> la seguridad ciudadana y la lucha contra la delincuencia organizada, incluidas las drogas, y el tráfico ilícito. Es importante mover esta </w:t>
      </w:r>
      <w:r>
        <w:lastRenderedPageBreak/>
        <w:t xml:space="preserve">agenda hacia arriba hacia los líderes, y hacia adelante con más ambición. </w:t>
      </w:r>
      <w:r>
        <w:rPr>
          <w:b/>
        </w:rPr>
        <w:t>En tercer lugar,</w:t>
      </w:r>
      <w:r>
        <w:t xml:space="preserve"> el multilateralismo y la justicia mundial, con una importancia clave para la agenda de la reforma de las Naciones Unidas, y el Pacto por el Futuro. La Cumbre es una oportunidad que permitiría transmitir un mensaje firme a este respecto.</w:t>
      </w:r>
    </w:p>
    <w:p w14:paraId="67268D36" w14:textId="77777777" w:rsidR="00475CF7" w:rsidRDefault="00000000">
      <w:pPr>
        <w:pStyle w:val="P68B1DB1-Heading111"/>
        <w:spacing w:before="240"/>
        <w:jc w:val="both"/>
        <w:rPr>
          <w:bCs/>
        </w:rPr>
      </w:pPr>
      <w:bookmarkStart w:id="6" w:name="_Toc15180512"/>
      <w:bookmarkStart w:id="7" w:name="_Toc200132653"/>
      <w:r>
        <w:t>Sesión de preguntas y respuestas</w:t>
      </w:r>
      <w:bookmarkEnd w:id="6"/>
      <w:bookmarkEnd w:id="7"/>
    </w:p>
    <w:p w14:paraId="4D0441C2" w14:textId="26C9919D" w:rsidR="00475CF7" w:rsidRDefault="00000000">
      <w:pPr>
        <w:pStyle w:val="P68B1DB1-Normal7"/>
        <w:spacing w:before="240"/>
        <w:jc w:val="both"/>
      </w:pPr>
      <w:r>
        <w:rPr>
          <w:b/>
        </w:rPr>
        <w:t>Mesa de Articulación</w:t>
      </w:r>
      <w:r>
        <w:t xml:space="preserve"> planteó una pregunta sobre los desafíos en materia de democracia y gobernanza y preguntó sobre el papel desempeñado por las OSC en términos de diálogo político. En América Latina, la participación de las OSC en este marco es crítica y desafiante. Preguntaron sobre la naturaleza de la participación social de las OSC y cómo se puede generar a través de dicho diálogo bilateral para fomentar la legitimidad de las voces independientes. </w:t>
      </w:r>
      <w:r>
        <w:rPr>
          <w:b/>
        </w:rPr>
        <w:t>Pelayo Castro Zuzuárregui</w:t>
      </w:r>
      <w:r>
        <w:t xml:space="preserve"> comentó que el reto es construir una agenda común. Desde la perspectiva de la UE, la preocupación es la regresión del espacio cívico y el difícil entorno laboral para muchas OSC. La forma de abordarlo es trabajar bilateralmente a través del diálogo, y en algunos casos los diálogos sobre derechos humanos, a través de delegaciones, así como a través de planes de acción a nivel bilateral. Esto no solo cubre los derechos políticos civiles, sino también los derechos socioeconómicos y las cuestiones de derechos culturales.</w:t>
      </w:r>
    </w:p>
    <w:p w14:paraId="375B93F5" w14:textId="78D29902" w:rsidR="00475CF7" w:rsidRDefault="00000000">
      <w:pPr>
        <w:pStyle w:val="P68B1DB1-Normal7"/>
        <w:spacing w:before="240"/>
        <w:jc w:val="both"/>
      </w:pPr>
      <w:r>
        <w:rPr>
          <w:b/>
        </w:rPr>
        <w:t>Climate Action Europe Network</w:t>
      </w:r>
      <w:r>
        <w:t xml:space="preserve"> acogió con satisfacción los ámbitos de la gobernanza y la justicia mundial y destacó la importancia de abordar la emergencia climática en las dos regiones. Añadieron que esta sería una oportunidad para el refuerzo del marco climático multilateral y para reflexionar sobre cómo las arquitecturas de comercio y desarrollo que existen entre las dos regiones están teniendo un efecto en la capacidad de los estados para abordar la emergencia climática. Preguntaron sobre la agenda sobre el clima y el medio ambiente, así como el espacio para el compromiso con las OSC, y alentaron a que esto se comunique públicamente y lo antes posible para tener tiempo para participar antes de la Cumbre. </w:t>
      </w:r>
      <w:r>
        <w:rPr>
          <w:b/>
        </w:rPr>
        <w:t>Pelayo Castro Zuzuárregui</w:t>
      </w:r>
      <w:r>
        <w:t xml:space="preserve"> explicó que la Cumbre </w:t>
      </w:r>
      <w:r w:rsidR="005D231A">
        <w:t>se celebrará consecutiva</w:t>
      </w:r>
      <w:r>
        <w:t xml:space="preserve"> a la COP30 en Belem (Brasil). En 2025, gran parte del trabajo en el frente climático se realizará en el contexto del trabajo preparatorio para la COP30.</w:t>
      </w:r>
    </w:p>
    <w:p w14:paraId="4F47E7BC" w14:textId="77777777" w:rsidR="00475CF7" w:rsidRDefault="00000000">
      <w:pPr>
        <w:pStyle w:val="P68B1DB1-Normal7"/>
        <w:spacing w:before="240"/>
        <w:jc w:val="both"/>
      </w:pPr>
      <w:r>
        <w:t xml:space="preserve">Es imperativo enviar un mensaje compatible y que se refuerce mutuamente entre la vía de negociación específica hacia la COP30 y la Cumbre CELAC-UE como espacio político para reforzar el compromiso conjunto en materia de clima. </w:t>
      </w:r>
    </w:p>
    <w:p w14:paraId="1491E6F3" w14:textId="5D37D87F" w:rsidR="00475CF7" w:rsidRDefault="00000000">
      <w:pPr>
        <w:pStyle w:val="P68B1DB1-Normal7"/>
        <w:spacing w:before="240"/>
        <w:jc w:val="both"/>
      </w:pPr>
      <w:r>
        <w:rPr>
          <w:b/>
        </w:rPr>
        <w:t>Save the Children</w:t>
      </w:r>
      <w:r>
        <w:t xml:space="preserve"> preguntó sobre la participación de los niños y adolescentes en espacios multilaterales, como el Consejo de Seguridad de la Juventud, y sobre los planes para estructurar el trabajo en las áreas de interés común. </w:t>
      </w:r>
      <w:r>
        <w:rPr>
          <w:b/>
        </w:rPr>
        <w:t>Felice Zaccheo,</w:t>
      </w:r>
      <w:r>
        <w:t xml:space="preserve"> jefa de unidad de INTPA B1 - Programas Regionales para América Latina y el Caribe, señaló que es importante trabajar en algunos resultados concretos en ese sentido, y aún se está trabajando en </w:t>
      </w:r>
      <w:r w:rsidR="00442F6C">
        <w:t>ello</w:t>
      </w:r>
      <w:r>
        <w:t>.</w:t>
      </w:r>
    </w:p>
    <w:p w14:paraId="3C55AEFA" w14:textId="77777777" w:rsidR="00475CF7" w:rsidRDefault="00000000">
      <w:pPr>
        <w:pStyle w:val="P68B1DB1-Normal7"/>
        <w:spacing w:before="240"/>
        <w:jc w:val="both"/>
      </w:pPr>
      <w:r>
        <w:rPr>
          <w:b/>
        </w:rPr>
        <w:lastRenderedPageBreak/>
        <w:t>Caritas Europa</w:t>
      </w:r>
      <w:r>
        <w:t xml:space="preserve"> planteó una pregunta sobre la colaboración con la Conferencia de Financiación para el Desarrollo en España en junio, dada la importancia del multilateralismo. </w:t>
      </w:r>
      <w:r>
        <w:rPr>
          <w:b/>
        </w:rPr>
        <w:t>Pelayo Castro Zuzuárregui</w:t>
      </w:r>
      <w:r>
        <w:t xml:space="preserve"> explicó que hay una oportunidad política para trabajar juntos y escuchar lo que la región está diciendo, y para construir objetivos compartidos. Gran parte de lo que está haciendo la INTPA es abordar la brecha de capital, que es la demanda clave de la región de los países, que piden un mayor acceso a la financiación y al capital de una manera predecible y asequible. </w:t>
      </w:r>
    </w:p>
    <w:p w14:paraId="3E267739" w14:textId="547C4034" w:rsidR="00475CF7" w:rsidRDefault="00000000">
      <w:pPr>
        <w:pStyle w:val="P68B1DB1-Normal7"/>
        <w:spacing w:before="240"/>
        <w:jc w:val="both"/>
      </w:pPr>
      <w:r>
        <w:rPr>
          <w:b/>
        </w:rPr>
        <w:t>HiperDerecho</w:t>
      </w:r>
      <w:r>
        <w:t xml:space="preserve"> preguntó sobre los temas de interés en la agenda digital de la Cumbre, señalando que en la Cumbre de 2023 se abordaron la alianza digital, la ciberseguridad, la IA y otras cuestiones, pero siguen existiendo desafíos en relación con la conectividad en las zonas rurales, la seguridad y la calidad de las infraestructuras. También destacaron la importancia de centrarse en la justicia climática y el impacto ambiental de las tecnologías. </w:t>
      </w:r>
      <w:r>
        <w:rPr>
          <w:b/>
        </w:rPr>
        <w:t>Pelayo Castro Zuzuárregui</w:t>
      </w:r>
      <w:r>
        <w:t xml:space="preserve"> coincidió en la importancia de abordar el tema de la conectividad, particularmente en las zonas rurales, que forma parte de la cooperación con algunos países, incluido Colombia. </w:t>
      </w:r>
      <w:r>
        <w:rPr>
          <w:b/>
        </w:rPr>
        <w:t>Felice Zaccheo</w:t>
      </w:r>
      <w:r>
        <w:t xml:space="preserve"> agregó que se ha hecho mucho desde la última Cumbre en julio de 2023, cuando se lanzó la Alianza Digital. Se lograron avances en los cuatro pilares establecidos por la Alianza Digital (marco regulador, conectividad, Copernicus y acelerador digital). Se está trabajando en el marco del acelerador digital, en la sanidad electrónica y en la telemedicina, entre otros.</w:t>
      </w:r>
    </w:p>
    <w:p w14:paraId="64B8ADB5" w14:textId="74F11371" w:rsidR="00475CF7" w:rsidRDefault="00000000">
      <w:pPr>
        <w:pStyle w:val="P68B1DB1-Normal7"/>
        <w:spacing w:before="240"/>
        <w:jc w:val="both"/>
      </w:pPr>
      <w:r>
        <w:rPr>
          <w:b/>
        </w:rPr>
        <w:t xml:space="preserve">Francisco Gutiérrez </w:t>
      </w:r>
      <w:r>
        <w:t xml:space="preserve">declaró que se tomaron nota de las preguntas y preocupaciones, y confirmó los mensajes transmitidos por la UE. La Presidencia esperará con interés resultados significativos y ya está trabajando arduamente para avanzar en la región y establecer bases sólidas para lograr avances. </w:t>
      </w:r>
    </w:p>
    <w:p w14:paraId="1BECD717" w14:textId="77777777" w:rsidR="00475CF7" w:rsidRDefault="00000000">
      <w:pPr>
        <w:pStyle w:val="P68B1DB1-Heading110"/>
        <w:spacing w:before="240"/>
        <w:jc w:val="both"/>
        <w:rPr>
          <w:bCs/>
        </w:rPr>
      </w:pPr>
      <w:bookmarkStart w:id="8" w:name="_Toc500864078"/>
      <w:bookmarkStart w:id="9" w:name="_Toc200132654"/>
      <w:r>
        <w:t>El papel de la sociedad civil en el período previo a la Cuarta Cumbre CELAC-UE</w:t>
      </w:r>
      <w:bookmarkEnd w:id="8"/>
      <w:bookmarkEnd w:id="9"/>
    </w:p>
    <w:p w14:paraId="68045B21" w14:textId="29BF03E3" w:rsidR="00475CF7" w:rsidRDefault="00000000">
      <w:pPr>
        <w:pStyle w:val="P68B1DB1-Normal7"/>
        <w:spacing w:before="240"/>
        <w:jc w:val="both"/>
      </w:pPr>
      <w:r>
        <w:rPr>
          <w:b/>
        </w:rPr>
        <w:t xml:space="preserve">Felice </w:t>
      </w:r>
      <w:proofErr w:type="spellStart"/>
      <w:r>
        <w:rPr>
          <w:b/>
        </w:rPr>
        <w:t>Zaccheo</w:t>
      </w:r>
      <w:proofErr w:type="spellEnd"/>
      <w:r>
        <w:rPr>
          <w:b/>
        </w:rPr>
        <w:t>,</w:t>
      </w:r>
      <w:r>
        <w:t xml:space="preserve"> </w:t>
      </w:r>
      <w:r w:rsidR="00B83CC9">
        <w:t>jefe</w:t>
      </w:r>
      <w:r>
        <w:t xml:space="preserve"> de Unidad de INTPA B1 - Programas Regionales para América Latina y el Caribe, informó sobre el papel de las OSC en el período previo a la próxima IV Cumbre CELAC-UE. La Tercera Cumbre, que tuvo lugar en julio de 2023, marcó un hito en las relaciones entre las dos regiones y dio a las OSC, las AL, el sector privado y la juventud espacio para expresar sus opiniones. Garantizar que las voces de las OSC sean escuchadas es fundamental. El enfoque de Global Gateway sigue esta lógica, ya que tiene como objetivo apoyar a las personas, crear puestos de trabajo y encontrar un desarrollo económico sostenible. A través de Global Gateway, existe el objetivo de invertir en educación, juventud, igualdad de género, trabajo decente y reducción de la igualdad. Una parte clave de este trabajo es garantizar que las OSC y las AL sean consultadas y participen activamente. Esta es la razón por la que las delegaciones de la UE en los diferentes países utilizan herramientas como las hojas de ruta de las OSC para participar a nivel nacional. Los actos paralelos </w:t>
      </w:r>
      <w:r w:rsidR="00795F80">
        <w:t>a</w:t>
      </w:r>
      <w:r>
        <w:t xml:space="preserve"> la </w:t>
      </w:r>
      <w:r>
        <w:lastRenderedPageBreak/>
        <w:t>Cumbre CELAC-UE de 2025 se</w:t>
      </w:r>
      <w:r>
        <w:rPr>
          <w:b/>
        </w:rPr>
        <w:t xml:space="preserve"> </w:t>
      </w:r>
      <w:r>
        <w:t>basarán en este mismo espíritu inclusivo. Además, Colombia está interesada en organizar un Foro de la Sociedad Civil, confirmado por la Presidencia colombiana en la reunión. Se ha creado un mecanismo de coordinación entre Colombia y la UE sobre cómo configurar la Cumbre.</w:t>
      </w:r>
    </w:p>
    <w:p w14:paraId="5F7EE4BC" w14:textId="06383B3E" w:rsidR="00475CF7" w:rsidRDefault="00000000" w:rsidP="006B450C">
      <w:pPr>
        <w:pStyle w:val="P68B1DB1-Normal7"/>
        <w:spacing w:before="240"/>
        <w:jc w:val="both"/>
      </w:pPr>
      <w:r>
        <w:t>En cuanto al Foro de la Sociedad Civil, se pretende que permita una participación representativa y equilibrada que permita que el foro sea un espacio donde las OSC de ambas regiones puedan ser escuchadas. Con el fin de establecer una metodología adecuada, se pondrá en marcha una convocatoria de manifestaciones de interés para identificar un número seleccionado de organizaciones que participarán en el Grupo Direct</w:t>
      </w:r>
      <w:r w:rsidR="006B450C">
        <w:t>ivo</w:t>
      </w:r>
      <w:r>
        <w:t xml:space="preserve"> del Foro de la Sociedad Civil. Se está debatiendo</w:t>
      </w:r>
      <w:r>
        <w:rPr>
          <w:b/>
        </w:rPr>
        <w:t xml:space="preserve"> </w:t>
      </w:r>
      <w:r>
        <w:t>si se trataría de una manifestación conjunta de interés (UE y ALC) o de una manifestación exclusiva para la sociedad civil de la UE. La convocatoria de manifestaciones de interés se pondrá en marcha a título indicativo en mayo o principios de junio de 2025.</w:t>
      </w:r>
    </w:p>
    <w:p w14:paraId="2219DEEF" w14:textId="77777777" w:rsidR="00475CF7" w:rsidRDefault="00000000">
      <w:pPr>
        <w:pStyle w:val="P68B1DB1-Heading111"/>
        <w:spacing w:before="240"/>
        <w:jc w:val="both"/>
        <w:rPr>
          <w:bCs/>
        </w:rPr>
      </w:pPr>
      <w:bookmarkStart w:id="10" w:name="_Toc2050550115"/>
      <w:bookmarkStart w:id="11" w:name="_Toc200132655"/>
      <w:r>
        <w:t>Sesión de preguntas y respuestas</w:t>
      </w:r>
      <w:bookmarkEnd w:id="10"/>
      <w:bookmarkEnd w:id="11"/>
    </w:p>
    <w:p w14:paraId="558A3A1C" w14:textId="348E36DB" w:rsidR="00475CF7" w:rsidRDefault="00000000">
      <w:pPr>
        <w:pStyle w:val="P68B1DB1-Normal7"/>
        <w:spacing w:before="240"/>
        <w:jc w:val="both"/>
      </w:pPr>
      <w:r>
        <w:rPr>
          <w:b/>
        </w:rPr>
        <w:t>La Oficina Europea de la Federación Latinoamericana de Municipios (FLACMA)</w:t>
      </w:r>
      <w:r>
        <w:t xml:space="preserve"> hizo hincapié en la importancia de una estrecha cooperación entre las autoridades locales y los gobiernos en el contexto de la cooperación y la agenda birregional. Las AL deben tener voz en los procedimientos de cooperación y en el nuevo paradigma de Global Gateway. Con la descentralización administrativa, las AL pueden liderar iniciativas en la lucha contra las desigualdades y la exclusión. En el período previo a la Cumbre, varias asociaciones de AL planean actualmente organizar el IV Foro de gobiernos locales y regionales para que sirva como una consulta de alto nivel para alcanzar un conjunto de prioridades y conclusiones que puedan transmitirse a los Jefes de Estado de las dos regiones. El lugar de celebración del IV foro podría ser Bogotá; FLACMA ha estado en contacto con representantes locales a este respecto. Celebrarlo en paralelo con la celebración del Día del Hábitat de las Naciones Unidas podría ser una buena oportunidad para crear sinergias. Expresaron su agradecimiento a los esfuerzos realizados, especialmente con respecto a las AL, porque son el gobierno más cercano a los ciudadanos. La coordinación con la DG INTPA, en particular las unidades B1 y G2, es estratégica para organizar un </w:t>
      </w:r>
      <w:r w:rsidR="002F5988">
        <w:t>f</w:t>
      </w:r>
      <w:r>
        <w:t>oro de gobiernos locales y regionales que pueda tener un impacto en la agenda regional.</w:t>
      </w:r>
    </w:p>
    <w:p w14:paraId="32E4225C" w14:textId="28EE41F2" w:rsidR="00475CF7" w:rsidRDefault="00000000">
      <w:pPr>
        <w:pStyle w:val="P68B1DB1-Normal7"/>
        <w:shd w:val="clear" w:color="auto" w:fill="FFFFFF"/>
        <w:spacing w:before="150" w:after="150"/>
        <w:jc w:val="both"/>
      </w:pPr>
      <w:r>
        <w:rPr>
          <w:b/>
        </w:rPr>
        <w:t xml:space="preserve">La Coordinadora </w:t>
      </w:r>
      <w:r w:rsidR="00F536FE" w:rsidRPr="00F536FE">
        <w:rPr>
          <w:bCs/>
        </w:rPr>
        <w:t>(</w:t>
      </w:r>
      <w:r w:rsidR="00F536FE">
        <w:t xml:space="preserve">Plataforma española de ONG de desarrollo) </w:t>
      </w:r>
      <w:r>
        <w:t xml:space="preserve">se refirió al trabajo del Grupo de Trabajo de la Sociedad Civil UE-CELAC, establecido después de la Cumbre anterior, y señaló que su objetivo es garantizar la participación de las OSC a nivel regional en la Cumbre y en el período previo a la Cumbre. En abril de 2025, organizaron una reunión en Bruselas y abordaron una serie de prioridades, la agenda de la Cumbre y la forma en que las OSC podrían participar en el proceso. Plantearon una pregunta sobre el Foro de la Sociedad Civil, y si habría más espacio para discutir cómo se llevaría a cabo, aparte del comité organizador. </w:t>
      </w:r>
      <w:r>
        <w:lastRenderedPageBreak/>
        <w:t xml:space="preserve">También preguntaron sobre la fecha y el lugar propuestos para 2025, y si está prevista la participación de las OSC en la Cumbre, ya que les gustaría transmitir sus aportaciones y ver que la declaración de las OSC forme parte del proceso político y tenga un impacto en la Cumbre. Repitieron una sugerencia que habían compartido antes sobre la participación de las OSC en un mecanismo para permitir el seguimiento de la hoja de ruta, el rendimiento, la rendición de cuentas y la transparencia. También plantearon una cuestión sobre la agenda política de la Cumbre y se refirieron al Pacto birregional sobre </w:t>
      </w:r>
      <w:r w:rsidR="00736566">
        <w:t>C</w:t>
      </w:r>
      <w:r>
        <w:t xml:space="preserve">uidados, que se adelantó a la Cumbre anterior, pero que no se reflejó en el proyecto de declaración. </w:t>
      </w:r>
      <w:r>
        <w:rPr>
          <w:b/>
        </w:rPr>
        <w:t>Felice Zaccheo</w:t>
      </w:r>
      <w:r>
        <w:t xml:space="preserve"> explicó que el lugar será decidido por Colombia. En cuanto a la participación de las OSC, hay espacios para consultas, y el trabajo continuará desarrollándolas. Existen mecanismos para celebrar consultas con las distintas partes interesadas y, por lo tanto, la cooperación continuará en el período previo a la Cumbre. Por lo que se refiere al Pacto sobre Cuidados, esta cuestión se tiene debidamente en cuenta y ya está integrada en los programas de la UE, </w:t>
      </w:r>
      <w:r w:rsidR="0031191E">
        <w:t>tales como</w:t>
      </w:r>
      <w:r>
        <w:t xml:space="preserve"> en el programa sobre Sociedades Inclusivas. </w:t>
      </w:r>
    </w:p>
    <w:p w14:paraId="7506E342" w14:textId="0861B511" w:rsidR="00475CF7" w:rsidRDefault="00000000">
      <w:pPr>
        <w:pStyle w:val="P68B1DB1-Normal7"/>
        <w:spacing w:before="240"/>
        <w:jc w:val="both"/>
      </w:pPr>
      <w:r w:rsidRPr="00DA078B">
        <w:rPr>
          <w:bCs/>
        </w:rPr>
        <w:t>Un representante de la</w:t>
      </w:r>
      <w:r>
        <w:rPr>
          <w:b/>
        </w:rPr>
        <w:t xml:space="preserve"> Junta de Sondeo de la Juventud</w:t>
      </w:r>
      <w:r>
        <w:t xml:space="preserve"> </w:t>
      </w:r>
      <w:r>
        <w:rPr>
          <w:b/>
        </w:rPr>
        <w:t>en Colombia</w:t>
      </w:r>
      <w:r>
        <w:t xml:space="preserve"> planteó una pregunta sobre cómo garantizar que los jóvenes tengan espacio en la agenda del Foro de la Sociedad Civil, el Foro Empresarial y la agenda de la Cumbre. </w:t>
      </w:r>
      <w:r w:rsidRPr="00DA078B">
        <w:rPr>
          <w:bCs/>
        </w:rPr>
        <w:t xml:space="preserve">Un representante de la </w:t>
      </w:r>
      <w:r>
        <w:rPr>
          <w:b/>
        </w:rPr>
        <w:t>Junta de Sondeo de la Juventud de Ecuad</w:t>
      </w:r>
      <w:r w:rsidR="00DA078B">
        <w:rPr>
          <w:b/>
        </w:rPr>
        <w:t xml:space="preserve">or </w:t>
      </w:r>
      <w:r>
        <w:t xml:space="preserve">preguntó cómo se seleccionará a los participantes de las organizaciones juveniles para que participen en las Jornadas de la Juventud UE-ALC. </w:t>
      </w:r>
      <w:r>
        <w:rPr>
          <w:b/>
        </w:rPr>
        <w:t>Felice Zaccheo</w:t>
      </w:r>
      <w:r>
        <w:t xml:space="preserve"> explicó que la participación de las OSC, las AL y los jóvenes demuestra la importancia que se concede a los componentes de las OSC en su conjunto, ya que las OSC engloban a diferentes agentes, incluida la juventud. Se creará un comité y se elaborarán y debatirán criterios a su debido tiempo para seleccionar a los representantes. </w:t>
      </w:r>
    </w:p>
    <w:p w14:paraId="244951E4" w14:textId="77777777" w:rsidR="00475CF7" w:rsidRDefault="00000000">
      <w:pPr>
        <w:pStyle w:val="P68B1DB1-Normal7"/>
        <w:spacing w:before="240"/>
        <w:jc w:val="both"/>
      </w:pPr>
      <w:r>
        <w:rPr>
          <w:b/>
        </w:rPr>
        <w:t xml:space="preserve">Articulación Feminista Marcosur </w:t>
      </w:r>
      <w:r>
        <w:t>enfatizó la importancia de reforzar a las OSC, haciéndolas aliadas para defender las democracias. Las OSC en algunos países, como Perú, están siendo procesadas, prohibidas y marginadas. Es necesario hacer una declaración firme a este respecto, teniendo en cuenta este hecho.</w:t>
      </w:r>
      <w:r>
        <w:rPr>
          <w:b/>
        </w:rPr>
        <w:t xml:space="preserve"> Felice Zaccheo</w:t>
      </w:r>
      <w:r>
        <w:t xml:space="preserve"> señaló que, de hecho, existe la necesidad de un espacio para discutir y compartir puntos de vista, pero también para transmitir mensajes fuertes. </w:t>
      </w:r>
    </w:p>
    <w:p w14:paraId="2BD7557F" w14:textId="77777777" w:rsidR="00475CF7" w:rsidRDefault="00000000">
      <w:pPr>
        <w:pStyle w:val="P68B1DB1-Normal7"/>
        <w:spacing w:before="240"/>
        <w:jc w:val="both"/>
      </w:pPr>
      <w:r>
        <w:rPr>
          <w:b/>
        </w:rPr>
        <w:t xml:space="preserve">Wetlands International </w:t>
      </w:r>
      <w:r>
        <w:t xml:space="preserve">preguntó acerca de los mecanismos previstos para que las OSC promuevan actividades y operaciones que no sean perjudiciales para los humedales y otros hábitats ambientales, y si existe un compromiso con la deforestación. También preguntaron si existen mecanismos para promover el enfoque de la economía circular, para reducir la demanda y la presión sobre los ecosistemas. </w:t>
      </w:r>
      <w:r>
        <w:rPr>
          <w:b/>
        </w:rPr>
        <w:t>Felice Zaccheo</w:t>
      </w:r>
      <w:r>
        <w:t xml:space="preserve"> confirmó que el tema de la deforestación es importante y está incluido en los programas, y agregó que el Reglamento de la UE sobre Deforestación es clave en el trabajo realizado. En cuanto a la economía circular, acaban de comenzar los trabajos para abordar este tema, y se espera lograr los primeros resultados que se presenten en el contexto de los resultados de la Cumbre. </w:t>
      </w:r>
    </w:p>
    <w:p w14:paraId="7EF7AF6A" w14:textId="3CB71889" w:rsidR="00475CF7" w:rsidRDefault="00000000">
      <w:pPr>
        <w:pStyle w:val="P68B1DB1-Normal7"/>
        <w:spacing w:before="240"/>
        <w:jc w:val="both"/>
      </w:pPr>
      <w:r>
        <w:rPr>
          <w:b/>
        </w:rPr>
        <w:lastRenderedPageBreak/>
        <w:t>La Red EULAT</w:t>
      </w:r>
      <w:r>
        <w:t xml:space="preserve"> señaló que habían llevado a cabo una evaluación del foro anterior, evaluando los pros y los contras, y sugirió que </w:t>
      </w:r>
      <w:r w:rsidR="00DB16BE">
        <w:t xml:space="preserve">ésta </w:t>
      </w:r>
      <w:r>
        <w:t xml:space="preserve">se </w:t>
      </w:r>
      <w:r w:rsidR="00DB16BE">
        <w:t>tenga</w:t>
      </w:r>
      <w:r>
        <w:t xml:space="preserve"> en cuenta. La evaluación puso de relieve la importancia de abordar determinadas cuestiones de manera diferente. También preguntaron sobre la posibilidad de contar con un proceso para involucrar a las OSC en la redacción de la declaración final de la Cumbre. Para las OSC, es necesario saber cuáles serían los temas finales, con el fin de proporcionar sugerencias sobre la declaración. </w:t>
      </w:r>
      <w:r>
        <w:rPr>
          <w:b/>
        </w:rPr>
        <w:t>Felice Zaccheo</w:t>
      </w:r>
      <w:r>
        <w:t xml:space="preserve"> les agradeció la evaluación y se aseguró de que se examinaran las opiniones y sugerencias. En cuanto a la declaración, </w:t>
      </w:r>
      <w:r>
        <w:rPr>
          <w:b/>
        </w:rPr>
        <w:t>Pelayo Castro Zuzuárregui</w:t>
      </w:r>
      <w:r>
        <w:t xml:space="preserve"> aclaró que el proceso de negociación es altamente sensible, y muchos gobiernos están involucrados. Se espera que lo que se ha compartido y comunicado se refleje en última instancia en la declaración final. Los participantes pueden compartir sus recomendaciones, documentos, comentarios, declaraciones, documentos relevantes y puntos de vista que pueden ser de interés y beneficio para la Cumbre. </w:t>
      </w:r>
      <w:r>
        <w:rPr>
          <w:b/>
        </w:rPr>
        <w:t>Francisco Gutiérrez</w:t>
      </w:r>
      <w:r>
        <w:t xml:space="preserve"> confirmó que la Presidencia colombiana y la UE han estado escuchando diferentes preguntas y opiniones y se han comprometido a involucrar a las OSC en los diversos escenarios. El objetivo es tener espacios para que las OSC estén representadas y sean escuchadas. También se realizan esfuerzos para garantizar la continuidad de las relaciones birregionales y garantizar la participación efectiva de las organizaciones de la sociedad civil para lograr resultados.</w:t>
      </w:r>
    </w:p>
    <w:p w14:paraId="7F11843E" w14:textId="77777777" w:rsidR="00475CF7" w:rsidRDefault="00000000">
      <w:pPr>
        <w:pStyle w:val="P68B1DB1-Heading110"/>
        <w:spacing w:before="240"/>
        <w:jc w:val="both"/>
        <w:rPr>
          <w:bCs/>
        </w:rPr>
      </w:pPr>
      <w:bookmarkStart w:id="12" w:name="_Toc227541886"/>
      <w:bookmarkStart w:id="13" w:name="_Toc200132656"/>
      <w:r>
        <w:t>Observaciones finales</w:t>
      </w:r>
      <w:bookmarkEnd w:id="12"/>
      <w:bookmarkEnd w:id="13"/>
    </w:p>
    <w:p w14:paraId="5E0B3FC6" w14:textId="77777777" w:rsidR="00475CF7" w:rsidRDefault="00000000">
      <w:pPr>
        <w:pStyle w:val="P68B1DB1-Normal7"/>
        <w:spacing w:before="240"/>
        <w:jc w:val="both"/>
      </w:pPr>
      <w:r>
        <w:rPr>
          <w:b/>
        </w:rPr>
        <w:t>Felice Zaccheo</w:t>
      </w:r>
      <w:r>
        <w:t xml:space="preserve"> agradeció a todos por participar en la reunión. Confirmó que el número de preguntas planteadas y el nivel de dificultad de las cuestiones revelan el compromiso y la buena voluntad de las OSC para apoyar el proceso y desempeñar un papel crítico en la Cumbre, como fue el caso en la anterior.</w:t>
      </w:r>
    </w:p>
    <w:p w14:paraId="709A7581" w14:textId="2184D930" w:rsidR="00475CF7" w:rsidRDefault="00000000">
      <w:pPr>
        <w:pStyle w:val="P68B1DB1-Normal7"/>
        <w:spacing w:before="240"/>
        <w:jc w:val="both"/>
      </w:pPr>
      <w:r>
        <w:t xml:space="preserve">Se está trabajando en los detalles logísticos y las cuestiones relacionadas con el concepto; como tal, la retroalimentación es esencial para fortalecer la cooperación. Se seguirá informando a los participantes sobre la evolución de la situación. La reunión se clausuró. </w:t>
      </w:r>
    </w:p>
    <w:sectPr w:rsidR="00475CF7">
      <w:headerReference w:type="default" r:id="rId12"/>
      <w:footerReference w:type="default" r:id="rId13"/>
      <w:headerReference w:type="first" r:id="rId14"/>
      <w:footerReference w:type="first" r:id="rId15"/>
      <w:pgSz w:w="11909" w:h="16834"/>
      <w:pgMar w:top="1440" w:right="1440" w:bottom="1440" w:left="1440" w:header="28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37D19" w14:textId="77777777" w:rsidR="00C76EED" w:rsidRDefault="00C76EED">
      <w:pPr>
        <w:spacing w:line="240" w:lineRule="auto"/>
      </w:pPr>
      <w:r>
        <w:separator/>
      </w:r>
    </w:p>
  </w:endnote>
  <w:endnote w:type="continuationSeparator" w:id="0">
    <w:p w14:paraId="61B4B0BB" w14:textId="77777777" w:rsidR="00C76EED" w:rsidRDefault="00C76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Twentieth Century">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Lexend">
    <w:panose1 w:val="020B0604020202020204"/>
    <w:charset w:val="00"/>
    <w:family w:val="auto"/>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285DF" w14:textId="77777777" w:rsidR="00475CF7" w:rsidRDefault="00000000">
    <w:pPr>
      <w:jc w:val="right"/>
    </w:pPr>
    <w:r>
      <w:fldChar w:fldCharType="begin"/>
    </w:r>
    <w:r>
      <w:instrText xml:space="preserve"> PAGE </w:instrText>
    </w:r>
    <w:r>
      <w:fldChar w:fldCharType="separate"/>
    </w:r>
    <w:r>
      <w:t>2</w:t>
    </w:r>
    <w:r>
      <w:fldChar w:fldCharType="end"/>
    </w:r>
    <w:r>
      <w:rPr>
        <w:noProof/>
      </w:rPr>
      <w:drawing>
        <wp:anchor distT="0" distB="0" distL="114300" distR="114300" simplePos="0" relativeHeight="251659264" behindDoc="1" locked="0" layoutInCell="1" allowOverlap="1" wp14:anchorId="53A30F87" wp14:editId="31979F8F">
          <wp:simplePos x="0" y="0"/>
          <wp:positionH relativeFrom="column">
            <wp:posOffset>-906298</wp:posOffset>
          </wp:positionH>
          <wp:positionV relativeFrom="paragraph">
            <wp:posOffset>-47621</wp:posOffset>
          </wp:positionV>
          <wp:extent cx="7539035" cy="266867"/>
          <wp:effectExtent l="0" t="0" r="4765" b="0"/>
          <wp:wrapNone/>
          <wp:docPr id="277746010"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39035" cy="266867"/>
                  </a:xfrm>
                  <a:prstGeom prst="rect">
                    <a:avLst/>
                  </a:prstGeom>
                  <a:noFill/>
                  <a:ln>
                    <a:noFill/>
                    <a:prstDash/>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FF593" w14:textId="77777777" w:rsidR="00475CF7" w:rsidRDefault="00000000">
    <w:pPr>
      <w:jc w:val="right"/>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23D4B" w14:textId="77777777" w:rsidR="00C76EED" w:rsidRDefault="00C76EED">
      <w:pPr>
        <w:pStyle w:val="P68B1DB1-Normal12"/>
        <w:spacing w:line="240" w:lineRule="auto"/>
      </w:pPr>
      <w:r>
        <w:separator/>
      </w:r>
    </w:p>
  </w:footnote>
  <w:footnote w:type="continuationSeparator" w:id="0">
    <w:p w14:paraId="196CFE5F" w14:textId="77777777" w:rsidR="00C76EED" w:rsidRDefault="00C76EED">
      <w:pPr>
        <w:spacing w:line="240" w:lineRule="auto"/>
      </w:pPr>
      <w:r>
        <w:continuationSeparator/>
      </w:r>
    </w:p>
  </w:footnote>
  <w:footnote w:id="1">
    <w:p w14:paraId="59C47316" w14:textId="77777777" w:rsidR="00475CF7" w:rsidRDefault="00000000">
      <w:pPr>
        <w:spacing w:line="240" w:lineRule="auto"/>
      </w:pPr>
      <w:r w:rsidRPr="002A435E">
        <w:rPr>
          <w:rStyle w:val="FootnoteReference"/>
          <w:sz w:val="16"/>
          <w:szCs w:val="16"/>
        </w:rPr>
        <w:footnoteRef/>
      </w:r>
      <w:r>
        <w:rPr>
          <w:rFonts w:ascii="Avenir Book" w:eastAsia="Lexend" w:hAnsi="Avenir Book" w:cs="Lexend"/>
          <w:sz w:val="16"/>
          <w:szCs w:val="16"/>
        </w:rPr>
        <w:t>En la última reunión, los participantes compartieron reflexiones sobre el actual marco de cooperación entre la UE y las OSC y las AL, revisaron la situación de la hoja de ruta CELAC-UE, debatieron la puesta en práctica de la Agenda de Inversiones Global Gateway UE-ALC y debatieron la aplicación del Programa Indicativo Plurianual Regional de la UE para las Américas y el Caribe 2021-2027.</w:t>
      </w:r>
    </w:p>
  </w:footnote>
  <w:footnote w:id="2">
    <w:p w14:paraId="5C5AF4B5" w14:textId="7AEBEAC4" w:rsidR="00805A67" w:rsidRPr="00ED6811" w:rsidRDefault="00805A67">
      <w:pPr>
        <w:pStyle w:val="FootnoteText"/>
        <w:rPr>
          <w:rFonts w:ascii="Avenir Book" w:hAnsi="Avenir Book"/>
          <w:sz w:val="18"/>
          <w:szCs w:val="18"/>
          <w:lang w:val="es-ES_tradnl"/>
        </w:rPr>
      </w:pPr>
      <w:r w:rsidRPr="00ED6811">
        <w:rPr>
          <w:rStyle w:val="FootnoteReference"/>
          <w:rFonts w:ascii="Avenir Book" w:hAnsi="Avenir Book"/>
          <w:sz w:val="18"/>
          <w:szCs w:val="18"/>
        </w:rPr>
        <w:footnoteRef/>
      </w:r>
      <w:r w:rsidRPr="00ED6811">
        <w:rPr>
          <w:rFonts w:ascii="Avenir Book" w:hAnsi="Avenir Book"/>
          <w:sz w:val="18"/>
          <w:szCs w:val="18"/>
        </w:rPr>
        <w:t xml:space="preserve"> Documento original en inglés. </w:t>
      </w:r>
      <w:r w:rsidRPr="00ED6811">
        <w:rPr>
          <w:rFonts w:ascii="Avenir Book" w:hAnsi="Avenir Book"/>
          <w:sz w:val="18"/>
          <w:szCs w:val="18"/>
          <w:lang w:val="es-ES_tradnl"/>
        </w:rPr>
        <w:t xml:space="preserve">Ver resumen en español </w:t>
      </w:r>
      <w:hyperlink r:id="rId1" w:history="1">
        <w:r w:rsidRPr="00ED6811">
          <w:rPr>
            <w:rStyle w:val="Hyperlink"/>
            <w:rFonts w:ascii="Avenir Book" w:hAnsi="Avenir Book"/>
            <w:sz w:val="18"/>
            <w:szCs w:val="18"/>
            <w:lang w:val="es-ES_tradnl"/>
          </w:rPr>
          <w:t>aquí</w:t>
        </w:r>
      </w:hyperlink>
      <w:r w:rsidRPr="00ED6811">
        <w:rPr>
          <w:rFonts w:ascii="Avenir Book" w:hAnsi="Avenir Book"/>
          <w:sz w:val="18"/>
          <w:szCs w:val="18"/>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844C1" w14:textId="77777777" w:rsidR="00475CF7" w:rsidRDefault="00475C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B745E" w14:textId="77777777" w:rsidR="00475CF7" w:rsidRDefault="00000000">
    <w:r>
      <w:rPr>
        <w:noProof/>
      </w:rPr>
      <w:drawing>
        <wp:anchor distT="0" distB="0" distL="114300" distR="114300" simplePos="0" relativeHeight="251661312" behindDoc="0" locked="0" layoutInCell="1" allowOverlap="1" wp14:anchorId="20D111E9" wp14:editId="0FA8CCC6">
          <wp:simplePos x="0" y="0"/>
          <wp:positionH relativeFrom="column">
            <wp:posOffset>-953920</wp:posOffset>
          </wp:positionH>
          <wp:positionV relativeFrom="paragraph">
            <wp:posOffset>-65699</wp:posOffset>
          </wp:positionV>
          <wp:extent cx="7634289" cy="2044205"/>
          <wp:effectExtent l="0" t="0" r="0" b="495"/>
          <wp:wrapNone/>
          <wp:docPr id="1356129295"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634289" cy="204420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26B7"/>
    <w:multiLevelType w:val="multilevel"/>
    <w:tmpl w:val="EA86990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1255820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406"/>
    <w:rsid w:val="000228BA"/>
    <w:rsid w:val="00053675"/>
    <w:rsid w:val="000F74E6"/>
    <w:rsid w:val="00116749"/>
    <w:rsid w:val="001D52C3"/>
    <w:rsid w:val="00250E4E"/>
    <w:rsid w:val="00264B96"/>
    <w:rsid w:val="002A435E"/>
    <w:rsid w:val="002F552C"/>
    <w:rsid w:val="002F5988"/>
    <w:rsid w:val="00302478"/>
    <w:rsid w:val="0031191E"/>
    <w:rsid w:val="00332F31"/>
    <w:rsid w:val="00442F6C"/>
    <w:rsid w:val="00475CF7"/>
    <w:rsid w:val="004845B8"/>
    <w:rsid w:val="00525A6B"/>
    <w:rsid w:val="005D231A"/>
    <w:rsid w:val="00660BBB"/>
    <w:rsid w:val="006B450C"/>
    <w:rsid w:val="00722E9A"/>
    <w:rsid w:val="00736566"/>
    <w:rsid w:val="00795F80"/>
    <w:rsid w:val="00805A67"/>
    <w:rsid w:val="00860FAF"/>
    <w:rsid w:val="008F413D"/>
    <w:rsid w:val="00911FED"/>
    <w:rsid w:val="00930DBF"/>
    <w:rsid w:val="00983E00"/>
    <w:rsid w:val="00A37B13"/>
    <w:rsid w:val="00B83CC9"/>
    <w:rsid w:val="00C76EED"/>
    <w:rsid w:val="00C77743"/>
    <w:rsid w:val="00CA6CFB"/>
    <w:rsid w:val="00CC49C7"/>
    <w:rsid w:val="00D04624"/>
    <w:rsid w:val="00D75406"/>
    <w:rsid w:val="00DA078B"/>
    <w:rsid w:val="00DB16BE"/>
    <w:rsid w:val="00E40225"/>
    <w:rsid w:val="00ED6811"/>
    <w:rsid w:val="00EF2080"/>
    <w:rsid w:val="00F13E75"/>
    <w:rsid w:val="00F536F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400E1E20"/>
  <w15:docId w15:val="{126BB2A4-2930-944D-B802-79C444F5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Revision">
    <w:name w:val="Revision"/>
    <w:pPr>
      <w:suppressAutoHyphens/>
      <w:spacing w:line="240" w:lineRule="auto"/>
    </w:pPr>
  </w:style>
  <w:style w:type="paragraph" w:styleId="TOC1">
    <w:name w:val="toc 1"/>
    <w:basedOn w:val="Normal"/>
    <w:next w:val="Normal"/>
    <w:autoRedefine/>
    <w:uiPriority w:val="39"/>
    <w:pPr>
      <w:spacing w:after="100"/>
    </w:p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rPr>
      <w:position w:val="0"/>
      <w:vertAlign w:val="superscript"/>
    </w:rPr>
  </w:style>
  <w:style w:type="paragraph" w:styleId="Header">
    <w:name w:val="header"/>
    <w:basedOn w:val="Normal"/>
    <w:pPr>
      <w:tabs>
        <w:tab w:val="center" w:pos="4513"/>
        <w:tab w:val="right" w:pos="9026"/>
      </w:tabs>
      <w:spacing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line="240" w:lineRule="auto"/>
    </w:pPr>
  </w:style>
  <w:style w:type="character" w:customStyle="1" w:styleId="FooterChar">
    <w:name w:val="Footer Char"/>
    <w:basedOn w:val="DefaultParagraphFont"/>
  </w:style>
  <w:style w:type="paragraph" w:customStyle="1" w:styleId="P68B1DB1-Normal1">
    <w:name w:val="P68B1DB1-Normal1"/>
    <w:basedOn w:val="Normal"/>
    <w:rPr>
      <w:rFonts w:ascii="Avenir Book" w:eastAsia="Twentieth Century" w:hAnsi="Avenir Book" w:cs="Twentieth Century"/>
      <w:b/>
      <w:color w:val="F79646"/>
      <w:sz w:val="28"/>
      <w:szCs w:val="26"/>
    </w:rPr>
  </w:style>
  <w:style w:type="paragraph" w:customStyle="1" w:styleId="P68B1DB1-Normal2">
    <w:name w:val="P68B1DB1-Normal2"/>
    <w:basedOn w:val="Normal"/>
    <w:rPr>
      <w:rFonts w:ascii="Avenir Book" w:eastAsia="Twentieth Century" w:hAnsi="Avenir Book" w:cs="Twentieth Century"/>
      <w:b/>
      <w:color w:val="F79546"/>
      <w:sz w:val="28"/>
      <w:szCs w:val="28"/>
    </w:rPr>
  </w:style>
  <w:style w:type="paragraph" w:customStyle="1" w:styleId="P68B1DB1-Normal3">
    <w:name w:val="P68B1DB1-Normal3"/>
    <w:basedOn w:val="Normal"/>
    <w:rPr>
      <w:rFonts w:ascii="Avenir Book" w:eastAsia="Twentieth Century" w:hAnsi="Avenir Book" w:cs="Twentieth Century"/>
      <w:b/>
    </w:rPr>
  </w:style>
  <w:style w:type="paragraph" w:customStyle="1" w:styleId="P68B1DB1-Normal4">
    <w:name w:val="P68B1DB1-Normal4"/>
    <w:basedOn w:val="Normal"/>
    <w:rPr>
      <w:rFonts w:ascii="Avenir Book" w:hAnsi="Avenir Book"/>
    </w:rPr>
  </w:style>
  <w:style w:type="paragraph" w:customStyle="1" w:styleId="P68B1DB1-Normal5">
    <w:name w:val="P68B1DB1-Normal5"/>
    <w:basedOn w:val="Normal"/>
    <w:rPr>
      <w:rFonts w:ascii="Avenir Book" w:eastAsia="Twentieth Century" w:hAnsi="Avenir Book" w:cs="Twentieth Century"/>
      <w:b/>
      <w:color w:val="EE8E2F"/>
    </w:rPr>
  </w:style>
  <w:style w:type="paragraph" w:customStyle="1" w:styleId="P68B1DB1-Heading16">
    <w:name w:val="P68B1DB1-Heading16"/>
    <w:basedOn w:val="Heading1"/>
    <w:rPr>
      <w:rFonts w:ascii="Avenir Book" w:eastAsia="Twentieth Century" w:hAnsi="Avenir Book" w:cs="Twentieth Century"/>
      <w:b/>
      <w:color w:val="FFFFFF"/>
      <w:sz w:val="22"/>
      <w:szCs w:val="22"/>
    </w:rPr>
  </w:style>
  <w:style w:type="paragraph" w:customStyle="1" w:styleId="P68B1DB1-Normal7">
    <w:name w:val="P68B1DB1-Normal7"/>
    <w:basedOn w:val="Normal"/>
    <w:rPr>
      <w:rFonts w:ascii="Avenir Book" w:eastAsia="Twentieth Century" w:hAnsi="Avenir Book" w:cs="Twentieth Century"/>
    </w:rPr>
  </w:style>
  <w:style w:type="paragraph" w:customStyle="1" w:styleId="P68B1DB1-Normal8">
    <w:name w:val="P68B1DB1-Normal8"/>
    <w:basedOn w:val="Normal"/>
    <w:rPr>
      <w:rFonts w:ascii="Avenir Book" w:eastAsia="Twentieth Century" w:hAnsi="Avenir Book" w:cs="Twentieth Century"/>
      <w:color w:val="131619"/>
      <w:shd w:val="clear" w:color="auto" w:fill="FFFFFF"/>
    </w:rPr>
  </w:style>
  <w:style w:type="paragraph" w:customStyle="1" w:styleId="P68B1DB1-Normal9">
    <w:name w:val="P68B1DB1-Normal9"/>
    <w:basedOn w:val="Normal"/>
    <w:rPr>
      <w:rFonts w:ascii="Avenir Book" w:eastAsia="Twentieth Century" w:hAnsi="Avenir Book" w:cs="Twentieth Century"/>
      <w:shd w:val="clear" w:color="auto" w:fill="FFFFFF"/>
    </w:rPr>
  </w:style>
  <w:style w:type="paragraph" w:customStyle="1" w:styleId="P68B1DB1-Heading110">
    <w:name w:val="P68B1DB1-Heading110"/>
    <w:basedOn w:val="Heading1"/>
    <w:rPr>
      <w:rFonts w:ascii="Avenir Book" w:eastAsia="Twentieth Century" w:hAnsi="Avenir Book" w:cs="Twentieth Century"/>
      <w:b/>
      <w:color w:val="EE8E2F"/>
      <w:sz w:val="28"/>
      <w:szCs w:val="28"/>
    </w:rPr>
  </w:style>
  <w:style w:type="paragraph" w:customStyle="1" w:styleId="P68B1DB1-Heading111">
    <w:name w:val="P68B1DB1-Heading111"/>
    <w:basedOn w:val="Heading1"/>
    <w:rPr>
      <w:rFonts w:ascii="Avenir Book" w:eastAsia="Twentieth Century" w:hAnsi="Avenir Book" w:cs="Twentieth Century"/>
      <w:b/>
      <w:color w:val="EE8E2F"/>
      <w:sz w:val="24"/>
      <w:szCs w:val="24"/>
    </w:rPr>
  </w:style>
  <w:style w:type="paragraph" w:customStyle="1" w:styleId="P68B1DB1-Normal12">
    <w:name w:val="P68B1DB1-Normal12"/>
    <w:basedOn w:val="Normal"/>
    <w:rPr>
      <w:color w:val="000000"/>
    </w:rPr>
  </w:style>
  <w:style w:type="paragraph" w:styleId="FootnoteText">
    <w:name w:val="footnote text"/>
    <w:basedOn w:val="Normal"/>
    <w:link w:val="FootnoteTextChar"/>
    <w:uiPriority w:val="99"/>
    <w:semiHidden/>
    <w:unhideWhenUsed/>
    <w:rsid w:val="00805A67"/>
    <w:pPr>
      <w:spacing w:line="240" w:lineRule="auto"/>
    </w:pPr>
    <w:rPr>
      <w:sz w:val="20"/>
      <w:szCs w:val="20"/>
    </w:rPr>
  </w:style>
  <w:style w:type="character" w:customStyle="1" w:styleId="FootnoteTextChar">
    <w:name w:val="Footnote Text Char"/>
    <w:basedOn w:val="DefaultParagraphFont"/>
    <w:link w:val="FootnoteText"/>
    <w:uiPriority w:val="99"/>
    <w:semiHidden/>
    <w:rsid w:val="00805A67"/>
    <w:rPr>
      <w:sz w:val="20"/>
      <w:szCs w:val="20"/>
    </w:rPr>
  </w:style>
  <w:style w:type="character" w:styleId="UnresolvedMention">
    <w:name w:val="Unresolved Mention"/>
    <w:basedOn w:val="DefaultParagraphFont"/>
    <w:uiPriority w:val="99"/>
    <w:semiHidden/>
    <w:unhideWhenUsed/>
    <w:rsid w:val="00805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ational-partnerships.ec.europa.eu/system/files/2022-01/mip-2021-c2021-9356-americas-caribbean-annex_e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ternational-partnerships.ec.europa.eu/policies/global-gateway/eu-lac-global-gateway-investment-agenda_es" TargetMode="External"/><Relationship Id="rId4" Type="http://schemas.openxmlformats.org/officeDocument/2006/relationships/settings" Target="settings.xml"/><Relationship Id="rId9" Type="http://schemas.openxmlformats.org/officeDocument/2006/relationships/hyperlink" Target="https://www.consilium.europa.eu/media/65921/eu-celac-roadmap2023-25.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capacity4dev.europa.eu/media/129106/download/6583c928-c26a-47e8-98b6-e46b33ac8d3e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DC263-C00B-3541-A365-44986734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4824</Words>
  <Characters>27497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HERRERO ROMEU Anna (INTPA)</dc:creator>
  <cp:lastModifiedBy>teresa cavero</cp:lastModifiedBy>
  <cp:revision>38</cp:revision>
  <dcterms:created xsi:type="dcterms:W3CDTF">2025-06-06T10:53:00Z</dcterms:created>
  <dcterms:modified xsi:type="dcterms:W3CDTF">2025-06-07T19:26:00Z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2025-04-30T14:40:52Z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5e2db7ca-ac7f-4c3f-8138-e446f18a3f5d</vt:lpwstr>
  </property>
  <property fmtid="{D5CDD505-2E9C-101B-9397-08002B2CF9AE}" pid="8" name="MSIP_Label_6bd9ddd1-4d20-43f6-abfa-fc3c07406f94_ContentBits">
    <vt:lpwstr>0</vt:lpwstr>
  </property>
</Properties>
</file>