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D0C" w:rsidRPr="00A10617" w:rsidRDefault="00AF2D0C" w:rsidP="00AF2D0C">
      <w:pPr>
        <w:jc w:val="both"/>
        <w:rPr>
          <w:b/>
          <w:i/>
        </w:rPr>
      </w:pPr>
      <w:r w:rsidRPr="00A10617">
        <w:rPr>
          <w:b/>
          <w:i/>
        </w:rPr>
        <w:t>S</w:t>
      </w:r>
      <w:r>
        <w:rPr>
          <w:b/>
          <w:i/>
        </w:rPr>
        <w:t xml:space="preserve">ession </w:t>
      </w:r>
      <w:r w:rsidR="00173F93">
        <w:rPr>
          <w:b/>
          <w:i/>
        </w:rPr>
        <w:t>13</w:t>
      </w:r>
      <w:r>
        <w:rPr>
          <w:b/>
          <w:i/>
        </w:rPr>
        <w:t>:</w:t>
      </w:r>
      <w:r w:rsidR="00173F93">
        <w:rPr>
          <w:b/>
          <w:i/>
        </w:rPr>
        <w:t xml:space="preserve"> Financing Education:  Country Level Issues</w:t>
      </w:r>
      <w:r>
        <w:rPr>
          <w:b/>
          <w:i/>
        </w:rPr>
        <w:t xml:space="preserve"> </w:t>
      </w:r>
      <w:r w:rsidRPr="00A10617">
        <w:rPr>
          <w:b/>
          <w:i/>
        </w:rPr>
        <w:t xml:space="preserve"> </w:t>
      </w:r>
    </w:p>
    <w:p w:rsidR="001616D0" w:rsidRPr="001616D0" w:rsidRDefault="00AF2D0C" w:rsidP="001616D0">
      <w:pPr>
        <w:jc w:val="both"/>
        <w:rPr>
          <w:i/>
        </w:rPr>
      </w:pPr>
      <w:r w:rsidRPr="00A10617">
        <w:rPr>
          <w:b/>
          <w:i/>
        </w:rPr>
        <w:t>Abstract: (final version to be confirmed)</w:t>
      </w:r>
      <w:r w:rsidR="001616D0">
        <w:rPr>
          <w:b/>
          <w:i/>
        </w:rPr>
        <w:t>.</w:t>
      </w:r>
      <w:r w:rsidRPr="00A10617">
        <w:rPr>
          <w:b/>
          <w:i/>
        </w:rPr>
        <w:t xml:space="preserve"> </w:t>
      </w:r>
      <w:r w:rsidR="001616D0" w:rsidRPr="001616D0">
        <w:rPr>
          <w:i/>
        </w:rPr>
        <w:t xml:space="preserve">At </w:t>
      </w:r>
      <w:r w:rsidR="001616D0">
        <w:rPr>
          <w:i/>
        </w:rPr>
        <w:t xml:space="preserve">the </w:t>
      </w:r>
      <w:r w:rsidR="001616D0" w:rsidRPr="001616D0">
        <w:rPr>
          <w:i/>
        </w:rPr>
        <w:t xml:space="preserve">global level, </w:t>
      </w:r>
      <w:r w:rsidR="001616D0">
        <w:rPr>
          <w:i/>
        </w:rPr>
        <w:t>much of the dialogue and debate around e</w:t>
      </w:r>
      <w:r w:rsidR="001616D0" w:rsidRPr="001616D0">
        <w:rPr>
          <w:i/>
        </w:rPr>
        <w:t xml:space="preserve">ducation financing </w:t>
      </w:r>
      <w:r w:rsidR="001616D0">
        <w:rPr>
          <w:i/>
        </w:rPr>
        <w:t>has dealt with the issue of</w:t>
      </w:r>
      <w:r w:rsidR="001616D0" w:rsidRPr="001616D0">
        <w:rPr>
          <w:i/>
        </w:rPr>
        <w:t xml:space="preserve"> financial gaps and the need to increase </w:t>
      </w:r>
      <w:r w:rsidR="001616D0">
        <w:rPr>
          <w:i/>
        </w:rPr>
        <w:t xml:space="preserve">external </w:t>
      </w:r>
      <w:r w:rsidR="001616D0" w:rsidRPr="001616D0">
        <w:rPr>
          <w:i/>
        </w:rPr>
        <w:t>investments in educat</w:t>
      </w:r>
      <w:r w:rsidR="001616D0">
        <w:rPr>
          <w:i/>
        </w:rPr>
        <w:t xml:space="preserve">ion. This session aims </w:t>
      </w:r>
      <w:r w:rsidR="001616D0" w:rsidRPr="001616D0">
        <w:rPr>
          <w:i/>
        </w:rPr>
        <w:t xml:space="preserve">to </w:t>
      </w:r>
      <w:r w:rsidR="001616D0">
        <w:rPr>
          <w:i/>
        </w:rPr>
        <w:t>address issues at the national level, rather than the global level.  It will consider</w:t>
      </w:r>
      <w:r w:rsidR="001616D0" w:rsidRPr="001616D0">
        <w:rPr>
          <w:i/>
        </w:rPr>
        <w:t xml:space="preserve">: a) </w:t>
      </w:r>
      <w:r w:rsidR="00173F93">
        <w:rPr>
          <w:i/>
        </w:rPr>
        <w:t xml:space="preserve">Domestic Resource Mobilisation, b) </w:t>
      </w:r>
      <w:r w:rsidR="001616D0" w:rsidRPr="001616D0">
        <w:rPr>
          <w:i/>
        </w:rPr>
        <w:t>the differen</w:t>
      </w:r>
      <w:r w:rsidR="00173F93">
        <w:rPr>
          <w:i/>
        </w:rPr>
        <w:t>t types of education spending; c</w:t>
      </w:r>
      <w:r w:rsidR="001616D0" w:rsidRPr="001616D0">
        <w:rPr>
          <w:i/>
        </w:rPr>
        <w:t>) how to analyse national education budgets</w:t>
      </w:r>
      <w:r w:rsidR="001616D0">
        <w:rPr>
          <w:i/>
        </w:rPr>
        <w:t>, including consideration of how best to treat different sources of financing for budgetary purposes</w:t>
      </w:r>
      <w:r w:rsidR="00173F93">
        <w:rPr>
          <w:i/>
        </w:rPr>
        <w:t>; d</w:t>
      </w:r>
      <w:r w:rsidR="001616D0">
        <w:rPr>
          <w:i/>
        </w:rPr>
        <w:t>) school level budgeting and the provision</w:t>
      </w:r>
      <w:r w:rsidR="001616D0" w:rsidRPr="001616D0">
        <w:rPr>
          <w:i/>
        </w:rPr>
        <w:t xml:space="preserve"> of financial resources to schools; </w:t>
      </w:r>
      <w:r w:rsidR="00173F93">
        <w:rPr>
          <w:i/>
        </w:rPr>
        <w:t>e</w:t>
      </w:r>
      <w:r w:rsidR="001616D0" w:rsidRPr="001616D0">
        <w:rPr>
          <w:i/>
        </w:rPr>
        <w:t>) what reforms can improve financing systems in education, etc.</w:t>
      </w:r>
    </w:p>
    <w:p w:rsidR="001616D0" w:rsidRPr="001616D0" w:rsidRDefault="001616D0" w:rsidP="001616D0">
      <w:pPr>
        <w:spacing w:before="120"/>
        <w:jc w:val="both"/>
        <w:rPr>
          <w:i/>
        </w:rPr>
      </w:pPr>
      <w:r w:rsidRPr="001616D0">
        <w:rPr>
          <w:i/>
        </w:rPr>
        <w:t>Th</w:t>
      </w:r>
      <w:r>
        <w:rPr>
          <w:i/>
        </w:rPr>
        <w:t>e session w</w:t>
      </w:r>
      <w:r w:rsidRPr="001616D0">
        <w:rPr>
          <w:i/>
        </w:rPr>
        <w:t xml:space="preserve">ill </w:t>
      </w:r>
      <w:r>
        <w:rPr>
          <w:i/>
        </w:rPr>
        <w:t>draw on</w:t>
      </w:r>
      <w:r w:rsidRPr="001616D0">
        <w:rPr>
          <w:i/>
        </w:rPr>
        <w:t xml:space="preserve"> concrete examples derived from EU programmes, including budget support operations. </w:t>
      </w:r>
    </w:p>
    <w:p w:rsidR="001616D0" w:rsidRPr="001616D0" w:rsidRDefault="001616D0" w:rsidP="001616D0">
      <w:pPr>
        <w:spacing w:before="120"/>
        <w:jc w:val="both"/>
        <w:rPr>
          <w:i/>
        </w:rPr>
      </w:pPr>
      <w:r w:rsidRPr="001616D0">
        <w:rPr>
          <w:i/>
        </w:rPr>
        <w:t>At the end of the session</w:t>
      </w:r>
      <w:r>
        <w:rPr>
          <w:i/>
        </w:rPr>
        <w:t>,</w:t>
      </w:r>
      <w:r w:rsidRPr="001616D0">
        <w:rPr>
          <w:i/>
        </w:rPr>
        <w:t xml:space="preserve"> participants will be better </w:t>
      </w:r>
      <w:r>
        <w:rPr>
          <w:i/>
        </w:rPr>
        <w:t>able to</w:t>
      </w:r>
      <w:r w:rsidRPr="001616D0">
        <w:rPr>
          <w:i/>
        </w:rPr>
        <w:t xml:space="preserve">: </w:t>
      </w:r>
    </w:p>
    <w:p w:rsidR="001616D0" w:rsidRPr="001616D0" w:rsidRDefault="001616D0" w:rsidP="001616D0">
      <w:pPr>
        <w:jc w:val="both"/>
        <w:rPr>
          <w:i/>
        </w:rPr>
      </w:pPr>
      <w:r w:rsidRPr="001616D0">
        <w:rPr>
          <w:i/>
        </w:rPr>
        <w:t xml:space="preserve">1) </w:t>
      </w:r>
      <w:r>
        <w:rPr>
          <w:i/>
        </w:rPr>
        <w:t xml:space="preserve">use a range of </w:t>
      </w:r>
      <w:r w:rsidRPr="001616D0">
        <w:rPr>
          <w:i/>
        </w:rPr>
        <w:t xml:space="preserve">tools </w:t>
      </w:r>
      <w:r>
        <w:rPr>
          <w:i/>
        </w:rPr>
        <w:t>to analyse</w:t>
      </w:r>
      <w:r w:rsidRPr="001616D0">
        <w:rPr>
          <w:i/>
        </w:rPr>
        <w:t xml:space="preserve"> education financing</w:t>
      </w:r>
      <w:r>
        <w:rPr>
          <w:i/>
        </w:rPr>
        <w:t xml:space="preserve"> and budgeting</w:t>
      </w:r>
      <w:r w:rsidRPr="001616D0">
        <w:rPr>
          <w:i/>
        </w:rPr>
        <w:t>;</w:t>
      </w:r>
    </w:p>
    <w:p w:rsidR="001616D0" w:rsidRPr="001616D0" w:rsidRDefault="001616D0" w:rsidP="001616D0">
      <w:pPr>
        <w:rPr>
          <w:i/>
        </w:rPr>
      </w:pPr>
      <w:r w:rsidRPr="001616D0">
        <w:rPr>
          <w:i/>
        </w:rPr>
        <w:t xml:space="preserve">2) </w:t>
      </w:r>
      <w:r>
        <w:rPr>
          <w:i/>
        </w:rPr>
        <w:t xml:space="preserve">engage in policy dialogue around </w:t>
      </w:r>
      <w:r w:rsidRPr="001616D0">
        <w:rPr>
          <w:i/>
        </w:rPr>
        <w:t xml:space="preserve">reforms to improve </w:t>
      </w:r>
      <w:r>
        <w:rPr>
          <w:i/>
        </w:rPr>
        <w:t xml:space="preserve">education </w:t>
      </w:r>
      <w:r w:rsidR="00FC3881">
        <w:rPr>
          <w:i/>
        </w:rPr>
        <w:t xml:space="preserve"> </w:t>
      </w:r>
      <w:r w:rsidRPr="001616D0">
        <w:rPr>
          <w:i/>
        </w:rPr>
        <w:t>financing systems.</w:t>
      </w:r>
    </w:p>
    <w:p w:rsidR="00AF2D0C" w:rsidRPr="00A10617" w:rsidRDefault="00AF2D0C" w:rsidP="001616D0">
      <w:pPr>
        <w:autoSpaceDE w:val="0"/>
        <w:autoSpaceDN w:val="0"/>
        <w:adjustRightInd w:val="0"/>
        <w:jc w:val="both"/>
        <w:rPr>
          <w:b/>
          <w:i/>
        </w:rPr>
      </w:pPr>
      <w:r w:rsidRPr="00A10617">
        <w:rPr>
          <w:b/>
          <w:i/>
        </w:rPr>
        <w:t xml:space="preserve">Essential reading: </w:t>
      </w:r>
      <w:r w:rsidR="00173F93" w:rsidRPr="00173F93">
        <w:rPr>
          <w:i/>
        </w:rPr>
        <w:t>Financing Education:  Opportunities for Global Action</w:t>
      </w:r>
      <w:r w:rsidR="00173F93">
        <w:rPr>
          <w:i/>
        </w:rPr>
        <w:t xml:space="preserve"> (Steer and Smith, 2015.</w:t>
      </w:r>
      <w:r>
        <w:rPr>
          <w:i/>
        </w:rPr>
        <w:t>.</w:t>
      </w:r>
    </w:p>
    <w:p w:rsidR="00AF2D0C" w:rsidRPr="00A10617" w:rsidRDefault="00AF2D0C" w:rsidP="00AF2D0C">
      <w:pPr>
        <w:spacing w:before="120"/>
        <w:jc w:val="both"/>
        <w:rPr>
          <w:b/>
          <w:i/>
        </w:rPr>
      </w:pPr>
      <w:r w:rsidRPr="00A10617">
        <w:rPr>
          <w:b/>
          <w:i/>
        </w:rPr>
        <w:t>Additional reading:</w:t>
      </w:r>
    </w:p>
    <w:p w:rsidR="00AF2D0C" w:rsidRDefault="00AF2D0C" w:rsidP="00AF2D0C">
      <w:pPr>
        <w:shd w:val="clear" w:color="auto" w:fill="FFFFFF"/>
        <w:spacing w:after="0" w:line="240" w:lineRule="auto"/>
        <w:ind w:left="720"/>
        <w:rPr>
          <w:rFonts w:ascii="Calibri" w:eastAsia="Times New Roman" w:hAnsi="Calibri" w:cs="Times New Roman"/>
          <w:color w:val="222222"/>
        </w:rPr>
      </w:pPr>
    </w:p>
    <w:p w:rsidR="00475722" w:rsidRPr="008C690A" w:rsidRDefault="00B91987" w:rsidP="008C690A">
      <w:pPr>
        <w:pStyle w:val="ListParagraph"/>
        <w:numPr>
          <w:ilvl w:val="0"/>
          <w:numId w:val="6"/>
        </w:numPr>
        <w:shd w:val="clear" w:color="auto" w:fill="FFFFFF"/>
        <w:spacing w:after="0" w:line="240" w:lineRule="auto"/>
        <w:rPr>
          <w:rFonts w:ascii="Calibri" w:eastAsia="Times New Roman" w:hAnsi="Calibri" w:cs="Times New Roman"/>
          <w:b/>
          <w:color w:val="222222"/>
        </w:rPr>
      </w:pPr>
      <w:r>
        <w:rPr>
          <w:rFonts w:ascii="Calibri" w:eastAsia="Times New Roman" w:hAnsi="Calibri" w:cs="Times New Roman"/>
          <w:b/>
          <w:color w:val="222222"/>
        </w:rPr>
        <w:t>Introduction (</w:t>
      </w:r>
      <w:r w:rsidR="00475722" w:rsidRPr="008C690A">
        <w:rPr>
          <w:rFonts w:ascii="Calibri" w:eastAsia="Times New Roman" w:hAnsi="Calibri" w:cs="Times New Roman"/>
          <w:b/>
          <w:color w:val="222222"/>
        </w:rPr>
        <w:t>5 minutes)</w:t>
      </w:r>
    </w:p>
    <w:p w:rsidR="00832418" w:rsidRPr="00B91987" w:rsidRDefault="00866EFD" w:rsidP="00832418">
      <w:pPr>
        <w:shd w:val="clear" w:color="auto" w:fill="FFFFFF"/>
        <w:rPr>
          <w:rFonts w:ascii="Calibri" w:hAnsi="Calibri"/>
          <w:color w:val="222222"/>
        </w:rPr>
      </w:pPr>
      <w:r>
        <w:rPr>
          <w:rFonts w:ascii="Calibri" w:eastAsia="Times New Roman" w:hAnsi="Calibri" w:cs="Times New Roman"/>
          <w:b/>
          <w:color w:val="222222"/>
        </w:rPr>
        <w:t>Objective</w:t>
      </w:r>
      <w:r w:rsidR="00832418">
        <w:rPr>
          <w:rFonts w:ascii="Calibri" w:eastAsia="Times New Roman" w:hAnsi="Calibri" w:cs="Times New Roman"/>
          <w:b/>
          <w:color w:val="222222"/>
        </w:rPr>
        <w:t xml:space="preserve">:  </w:t>
      </w:r>
      <w:r w:rsidR="00832418" w:rsidRPr="00B91987">
        <w:rPr>
          <w:rFonts w:ascii="Calibri" w:eastAsia="Times New Roman" w:hAnsi="Calibri"/>
          <w:i/>
          <w:iCs/>
          <w:color w:val="222222"/>
        </w:rPr>
        <w:t>Participants will:</w:t>
      </w:r>
    </w:p>
    <w:p w:rsidR="00B91987" w:rsidRPr="00B91987" w:rsidRDefault="00832418" w:rsidP="00832418">
      <w:pPr>
        <w:numPr>
          <w:ilvl w:val="0"/>
          <w:numId w:val="10"/>
        </w:numPr>
        <w:shd w:val="clear" w:color="auto" w:fill="FFFFFF"/>
        <w:spacing w:after="0" w:line="240" w:lineRule="auto"/>
        <w:rPr>
          <w:rFonts w:ascii="Calibri" w:eastAsia="Times New Roman" w:hAnsi="Calibri" w:cs="Times New Roman"/>
          <w:color w:val="222222"/>
        </w:rPr>
      </w:pPr>
      <w:r w:rsidRPr="00B91987">
        <w:rPr>
          <w:rFonts w:ascii="Calibri" w:eastAsia="Times New Roman" w:hAnsi="Calibri" w:cs="Times New Roman"/>
          <w:i/>
          <w:iCs/>
          <w:color w:val="222222"/>
        </w:rPr>
        <w:t>U</w:t>
      </w:r>
      <w:r w:rsidR="00B91987" w:rsidRPr="00B91987">
        <w:rPr>
          <w:rFonts w:ascii="Calibri" w:eastAsia="Times New Roman" w:hAnsi="Calibri" w:cs="Times New Roman"/>
          <w:i/>
          <w:iCs/>
          <w:color w:val="222222"/>
        </w:rPr>
        <w:t>nderstand trends in education financing</w:t>
      </w:r>
    </w:p>
    <w:p w:rsidR="00B91987" w:rsidRPr="00B91987" w:rsidRDefault="00B91987" w:rsidP="00B91987">
      <w:pPr>
        <w:numPr>
          <w:ilvl w:val="0"/>
          <w:numId w:val="10"/>
        </w:numPr>
        <w:shd w:val="clear" w:color="auto" w:fill="FFFFFF"/>
        <w:spacing w:after="0" w:line="240" w:lineRule="auto"/>
        <w:rPr>
          <w:rFonts w:ascii="Calibri" w:eastAsia="Times New Roman" w:hAnsi="Calibri" w:cs="Times New Roman"/>
          <w:color w:val="222222"/>
        </w:rPr>
      </w:pPr>
      <w:r w:rsidRPr="00B91987">
        <w:rPr>
          <w:rFonts w:ascii="Calibri" w:eastAsia="Times New Roman" w:hAnsi="Calibri" w:cs="Times New Roman"/>
          <w:i/>
          <w:iCs/>
          <w:color w:val="222222"/>
        </w:rPr>
        <w:t>Understand key differences between the anglophone and francophone budget systems;</w:t>
      </w:r>
    </w:p>
    <w:p w:rsidR="00C46BD5" w:rsidRPr="00B91987" w:rsidRDefault="00B91987" w:rsidP="00832418">
      <w:pPr>
        <w:numPr>
          <w:ilvl w:val="0"/>
          <w:numId w:val="10"/>
        </w:numPr>
        <w:shd w:val="clear" w:color="auto" w:fill="FFFFFF"/>
        <w:spacing w:after="0" w:line="240" w:lineRule="auto"/>
        <w:rPr>
          <w:rFonts w:ascii="Calibri" w:eastAsia="Times New Roman" w:hAnsi="Calibri" w:cs="Times New Roman"/>
          <w:color w:val="222222"/>
        </w:rPr>
      </w:pPr>
      <w:r w:rsidRPr="00B91987">
        <w:rPr>
          <w:rFonts w:ascii="Calibri" w:eastAsia="Times New Roman" w:hAnsi="Calibri" w:cs="Times New Roman"/>
          <w:i/>
          <w:iCs/>
          <w:color w:val="222222"/>
        </w:rPr>
        <w:t>U</w:t>
      </w:r>
      <w:r w:rsidR="00832418" w:rsidRPr="00B91987">
        <w:rPr>
          <w:rFonts w:ascii="Calibri" w:eastAsia="Times New Roman" w:hAnsi="Calibri" w:cs="Times New Roman"/>
          <w:i/>
          <w:iCs/>
          <w:color w:val="222222"/>
        </w:rPr>
        <w:t>se a range of tools to analyze education financing and budgeting;</w:t>
      </w:r>
    </w:p>
    <w:p w:rsidR="00C46BD5" w:rsidRPr="00B91987" w:rsidRDefault="00832418" w:rsidP="00832418">
      <w:pPr>
        <w:numPr>
          <w:ilvl w:val="0"/>
          <w:numId w:val="10"/>
        </w:numPr>
        <w:shd w:val="clear" w:color="auto" w:fill="FFFFFF"/>
        <w:spacing w:after="0" w:line="240" w:lineRule="auto"/>
        <w:rPr>
          <w:rFonts w:ascii="Calibri" w:eastAsia="Times New Roman" w:hAnsi="Calibri" w:cs="Times New Roman"/>
          <w:color w:val="222222"/>
        </w:rPr>
      </w:pPr>
      <w:r w:rsidRPr="00B91987">
        <w:rPr>
          <w:rFonts w:ascii="Calibri" w:eastAsia="Times New Roman" w:hAnsi="Calibri" w:cs="Times New Roman"/>
          <w:i/>
          <w:iCs/>
          <w:color w:val="222222"/>
        </w:rPr>
        <w:t>Reflect on EU role regarding education budgeting/financing</w:t>
      </w:r>
    </w:p>
    <w:p w:rsidR="00866EFD" w:rsidRPr="00B91987" w:rsidRDefault="00866EFD" w:rsidP="00475722">
      <w:pPr>
        <w:shd w:val="clear" w:color="auto" w:fill="FFFFFF"/>
        <w:spacing w:after="0" w:line="240" w:lineRule="auto"/>
        <w:rPr>
          <w:rFonts w:ascii="Calibri" w:eastAsia="Times New Roman" w:hAnsi="Calibri" w:cs="Times New Roman"/>
          <w:color w:val="222222"/>
        </w:rPr>
      </w:pPr>
    </w:p>
    <w:p w:rsidR="00B91987" w:rsidRPr="00B91987" w:rsidRDefault="00B91987" w:rsidP="00475722">
      <w:pPr>
        <w:shd w:val="clear" w:color="auto" w:fill="FFFFFF"/>
        <w:spacing w:after="0" w:line="240" w:lineRule="auto"/>
        <w:rPr>
          <w:rFonts w:ascii="Calibri" w:eastAsia="Times New Roman" w:hAnsi="Calibri" w:cs="Times New Roman"/>
          <w:color w:val="222222"/>
        </w:rPr>
      </w:pPr>
      <w:r w:rsidRPr="00B91987">
        <w:rPr>
          <w:rFonts w:ascii="Calibri" w:eastAsia="Times New Roman" w:hAnsi="Calibri" w:cs="Times New Roman"/>
          <w:color w:val="222222"/>
        </w:rPr>
        <w:t>Just a further explanation on the third objective, which will be our main interactive exercise for this session:</w:t>
      </w:r>
    </w:p>
    <w:p w:rsidR="00832418" w:rsidRPr="00B91987" w:rsidRDefault="00832418" w:rsidP="00475722">
      <w:pPr>
        <w:shd w:val="clear" w:color="auto" w:fill="FFFFFF"/>
        <w:spacing w:after="0" w:line="240" w:lineRule="auto"/>
        <w:rPr>
          <w:rFonts w:ascii="Calibri" w:eastAsia="Times New Roman" w:hAnsi="Calibri" w:cs="Times New Roman"/>
          <w:color w:val="222222"/>
        </w:rPr>
      </w:pPr>
      <w:r w:rsidRPr="00B91987">
        <w:rPr>
          <w:rFonts w:ascii="Calibri" w:eastAsia="Times New Roman" w:hAnsi="Calibri" w:cs="Times New Roman"/>
          <w:color w:val="222222"/>
        </w:rPr>
        <w:t>Today we take the humble sector budget</w:t>
      </w:r>
    </w:p>
    <w:p w:rsidR="00832418" w:rsidRPr="00B91987" w:rsidRDefault="00832418" w:rsidP="00475722">
      <w:pPr>
        <w:shd w:val="clear" w:color="auto" w:fill="FFFFFF"/>
        <w:spacing w:after="0" w:line="240" w:lineRule="auto"/>
        <w:rPr>
          <w:rFonts w:ascii="Calibri" w:eastAsia="Times New Roman" w:hAnsi="Calibri" w:cs="Times New Roman"/>
          <w:color w:val="222222"/>
        </w:rPr>
      </w:pPr>
      <w:r w:rsidRPr="00B91987">
        <w:rPr>
          <w:rFonts w:ascii="Calibri" w:eastAsia="Times New Roman" w:hAnsi="Calibri" w:cs="Times New Roman"/>
          <w:color w:val="222222"/>
        </w:rPr>
        <w:t>Can we trust it, or did someone maybe fudge it?</w:t>
      </w:r>
    </w:p>
    <w:p w:rsidR="00832418" w:rsidRPr="00B91987" w:rsidRDefault="00832418" w:rsidP="00475722">
      <w:pPr>
        <w:shd w:val="clear" w:color="auto" w:fill="FFFFFF"/>
        <w:spacing w:after="0" w:line="240" w:lineRule="auto"/>
        <w:rPr>
          <w:rFonts w:ascii="Calibri" w:eastAsia="Times New Roman" w:hAnsi="Calibri" w:cs="Times New Roman"/>
          <w:color w:val="222222"/>
        </w:rPr>
      </w:pPr>
      <w:r w:rsidRPr="00B91987">
        <w:rPr>
          <w:rFonts w:ascii="Calibri" w:eastAsia="Times New Roman" w:hAnsi="Calibri" w:cs="Times New Roman"/>
          <w:color w:val="222222"/>
        </w:rPr>
        <w:t>Does it sit there, smug and pious</w:t>
      </w:r>
    </w:p>
    <w:p w:rsidR="00832418" w:rsidRPr="00B91987" w:rsidRDefault="00832418" w:rsidP="00475722">
      <w:pPr>
        <w:shd w:val="clear" w:color="auto" w:fill="FFFFFF"/>
        <w:spacing w:after="0" w:line="240" w:lineRule="auto"/>
        <w:rPr>
          <w:rFonts w:ascii="Calibri" w:eastAsia="Times New Roman" w:hAnsi="Calibri" w:cs="Times New Roman"/>
          <w:color w:val="222222"/>
        </w:rPr>
      </w:pPr>
      <w:r w:rsidRPr="00B91987">
        <w:rPr>
          <w:rFonts w:ascii="Calibri" w:eastAsia="Times New Roman" w:hAnsi="Calibri" w:cs="Times New Roman"/>
          <w:color w:val="222222"/>
        </w:rPr>
        <w:t>While concealing gender bias.</w:t>
      </w:r>
    </w:p>
    <w:p w:rsidR="00832418" w:rsidRPr="00B91987" w:rsidRDefault="00832418" w:rsidP="00475722">
      <w:pPr>
        <w:shd w:val="clear" w:color="auto" w:fill="FFFFFF"/>
        <w:spacing w:after="0" w:line="240" w:lineRule="auto"/>
        <w:rPr>
          <w:rFonts w:ascii="Calibri" w:eastAsia="Times New Roman" w:hAnsi="Calibri" w:cs="Times New Roman"/>
          <w:color w:val="222222"/>
        </w:rPr>
      </w:pPr>
      <w:r w:rsidRPr="00B91987">
        <w:rPr>
          <w:rFonts w:ascii="Calibri" w:eastAsia="Times New Roman" w:hAnsi="Calibri" w:cs="Times New Roman"/>
          <w:color w:val="222222"/>
        </w:rPr>
        <w:t>We will learn the tools we need so we can judge it.</w:t>
      </w:r>
    </w:p>
    <w:p w:rsidR="00832418" w:rsidRPr="00B91987" w:rsidRDefault="00832418" w:rsidP="00475722">
      <w:pPr>
        <w:shd w:val="clear" w:color="auto" w:fill="FFFFFF"/>
        <w:spacing w:after="0" w:line="240" w:lineRule="auto"/>
        <w:rPr>
          <w:rFonts w:ascii="Calibri" w:eastAsia="Times New Roman" w:hAnsi="Calibri" w:cs="Times New Roman"/>
          <w:color w:val="222222"/>
        </w:rPr>
      </w:pPr>
    </w:p>
    <w:p w:rsidR="00B91987" w:rsidRPr="008C690A" w:rsidRDefault="00B91987" w:rsidP="00B91987">
      <w:pPr>
        <w:pStyle w:val="ListParagraph"/>
        <w:numPr>
          <w:ilvl w:val="0"/>
          <w:numId w:val="6"/>
        </w:numPr>
        <w:shd w:val="clear" w:color="auto" w:fill="FFFFFF"/>
        <w:spacing w:after="0" w:line="240" w:lineRule="auto"/>
        <w:rPr>
          <w:rFonts w:ascii="Calibri" w:eastAsia="Times New Roman" w:hAnsi="Calibri" w:cs="Times New Roman"/>
          <w:b/>
          <w:color w:val="222222"/>
        </w:rPr>
      </w:pPr>
      <w:r>
        <w:rPr>
          <w:rFonts w:ascii="Calibri" w:eastAsia="Times New Roman" w:hAnsi="Calibri" w:cs="Times New Roman"/>
          <w:b/>
          <w:color w:val="222222"/>
        </w:rPr>
        <w:t>Introduction (</w:t>
      </w:r>
      <w:r>
        <w:rPr>
          <w:rFonts w:ascii="Calibri" w:eastAsia="Times New Roman" w:hAnsi="Calibri" w:cs="Times New Roman"/>
          <w:b/>
          <w:color w:val="222222"/>
        </w:rPr>
        <w:t>1</w:t>
      </w:r>
      <w:r w:rsidRPr="008C690A">
        <w:rPr>
          <w:rFonts w:ascii="Calibri" w:eastAsia="Times New Roman" w:hAnsi="Calibri" w:cs="Times New Roman"/>
          <w:b/>
          <w:color w:val="222222"/>
        </w:rPr>
        <w:t>5 minutes)</w:t>
      </w:r>
    </w:p>
    <w:p w:rsidR="00B91987" w:rsidRDefault="00B91987" w:rsidP="00475722">
      <w:p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We will look at trends in education financing by way of a true/false quiz that presents a broad overview.</w:t>
      </w:r>
    </w:p>
    <w:p w:rsidR="00173F93" w:rsidRDefault="00475722" w:rsidP="00475722">
      <w:p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 xml:space="preserve">Opening exercise:  </w:t>
      </w:r>
      <w:r w:rsidR="00E62DB8">
        <w:rPr>
          <w:rFonts w:ascii="Calibri" w:eastAsia="Times New Roman" w:hAnsi="Calibri" w:cs="Times New Roman"/>
          <w:color w:val="222222"/>
        </w:rPr>
        <w:t>True or False</w:t>
      </w:r>
      <w:r w:rsidR="00173F93">
        <w:rPr>
          <w:rFonts w:ascii="Calibri" w:eastAsia="Times New Roman" w:hAnsi="Calibri" w:cs="Times New Roman"/>
          <w:color w:val="222222"/>
        </w:rPr>
        <w:t xml:space="preserve">?  </w:t>
      </w:r>
      <w:r w:rsidR="00E62DB8">
        <w:rPr>
          <w:rFonts w:ascii="Calibri" w:eastAsia="Times New Roman" w:hAnsi="Calibri" w:cs="Times New Roman"/>
          <w:color w:val="222222"/>
        </w:rPr>
        <w:t>P</w:t>
      </w:r>
      <w:r>
        <w:rPr>
          <w:rFonts w:ascii="Calibri" w:eastAsia="Times New Roman" w:hAnsi="Calibri" w:cs="Times New Roman"/>
          <w:color w:val="222222"/>
        </w:rPr>
        <w:t xml:space="preserve">articipants </w:t>
      </w:r>
      <w:r w:rsidR="00173F93">
        <w:rPr>
          <w:rFonts w:ascii="Calibri" w:eastAsia="Times New Roman" w:hAnsi="Calibri" w:cs="Times New Roman"/>
          <w:color w:val="222222"/>
        </w:rPr>
        <w:t xml:space="preserve">will be given a series of </w:t>
      </w:r>
      <w:r w:rsidR="00B91987">
        <w:rPr>
          <w:rFonts w:ascii="Calibri" w:eastAsia="Times New Roman" w:hAnsi="Calibri" w:cs="Times New Roman"/>
          <w:color w:val="222222"/>
        </w:rPr>
        <w:t>eleven</w:t>
      </w:r>
      <w:r w:rsidR="00173F93">
        <w:rPr>
          <w:rFonts w:ascii="Calibri" w:eastAsia="Times New Roman" w:hAnsi="Calibri" w:cs="Times New Roman"/>
          <w:color w:val="222222"/>
        </w:rPr>
        <w:t xml:space="preserve"> questions around domestic financing</w:t>
      </w:r>
      <w:r w:rsidR="00E62DB8">
        <w:rPr>
          <w:rFonts w:ascii="Calibri" w:eastAsia="Times New Roman" w:hAnsi="Calibri" w:cs="Times New Roman"/>
          <w:color w:val="222222"/>
        </w:rPr>
        <w:t xml:space="preserve"> for education</w:t>
      </w:r>
      <w:r w:rsidR="00173F93">
        <w:rPr>
          <w:rFonts w:ascii="Calibri" w:eastAsia="Times New Roman" w:hAnsi="Calibri" w:cs="Times New Roman"/>
          <w:color w:val="222222"/>
        </w:rPr>
        <w:t xml:space="preserve">, and asked to guess </w:t>
      </w:r>
      <w:r w:rsidR="00E62DB8">
        <w:rPr>
          <w:rFonts w:ascii="Calibri" w:eastAsia="Times New Roman" w:hAnsi="Calibri" w:cs="Times New Roman"/>
          <w:color w:val="222222"/>
        </w:rPr>
        <w:t>true or false</w:t>
      </w:r>
      <w:r w:rsidR="00173F93">
        <w:rPr>
          <w:rFonts w:ascii="Calibri" w:eastAsia="Times New Roman" w:hAnsi="Calibri" w:cs="Times New Roman"/>
          <w:color w:val="222222"/>
        </w:rPr>
        <w:t xml:space="preserve">.  This will be followed by a short discussion around </w:t>
      </w:r>
      <w:r w:rsidR="00E62DB8">
        <w:rPr>
          <w:rFonts w:ascii="Calibri" w:eastAsia="Times New Roman" w:hAnsi="Calibri" w:cs="Times New Roman"/>
          <w:color w:val="222222"/>
        </w:rPr>
        <w:t>the answers</w:t>
      </w:r>
      <w:r w:rsidR="00173F93">
        <w:rPr>
          <w:rFonts w:ascii="Calibri" w:eastAsia="Times New Roman" w:hAnsi="Calibri" w:cs="Times New Roman"/>
          <w:color w:val="222222"/>
        </w:rPr>
        <w:t xml:space="preserve">.  The </w:t>
      </w:r>
      <w:r w:rsidR="00E62DB8">
        <w:rPr>
          <w:rFonts w:ascii="Calibri" w:eastAsia="Times New Roman" w:hAnsi="Calibri" w:cs="Times New Roman"/>
          <w:color w:val="222222"/>
        </w:rPr>
        <w:t>purpose is to introduce a number of core concepts around domestic financing.</w:t>
      </w:r>
    </w:p>
    <w:p w:rsidR="00E62DB8" w:rsidRDefault="00E62DB8" w:rsidP="00475722">
      <w:pPr>
        <w:shd w:val="clear" w:color="auto" w:fill="FFFFFF"/>
        <w:spacing w:after="0" w:line="240" w:lineRule="auto"/>
        <w:rPr>
          <w:rFonts w:ascii="Calibri" w:eastAsia="Times New Roman" w:hAnsi="Calibri" w:cs="Times New Roman"/>
          <w:color w:val="222222"/>
        </w:rPr>
      </w:pPr>
    </w:p>
    <w:p w:rsidR="00E62DB8" w:rsidRDefault="00905BE2" w:rsidP="00E62DB8">
      <w:pPr>
        <w:pStyle w:val="ListParagraph"/>
        <w:numPr>
          <w:ilvl w:val="0"/>
          <w:numId w:val="8"/>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 xml:space="preserve"> 9</w:t>
      </w:r>
      <w:r w:rsidR="00E62DB8">
        <w:rPr>
          <w:rFonts w:ascii="Calibri" w:eastAsia="Times New Roman" w:hAnsi="Calibri" w:cs="Times New Roman"/>
          <w:color w:val="222222"/>
        </w:rPr>
        <w:t xml:space="preserve">0% of education aid actually </w:t>
      </w:r>
      <w:r>
        <w:rPr>
          <w:rFonts w:ascii="Calibri" w:eastAsia="Times New Roman" w:hAnsi="Calibri" w:cs="Times New Roman"/>
          <w:color w:val="222222"/>
        </w:rPr>
        <w:t xml:space="preserve">gets spent in </w:t>
      </w:r>
      <w:r w:rsidR="00E62DB8">
        <w:rPr>
          <w:rFonts w:ascii="Calibri" w:eastAsia="Times New Roman" w:hAnsi="Calibri" w:cs="Times New Roman"/>
          <w:color w:val="222222"/>
        </w:rPr>
        <w:t>the country</w:t>
      </w:r>
      <w:r>
        <w:rPr>
          <w:rFonts w:ascii="Calibri" w:eastAsia="Times New Roman" w:hAnsi="Calibri" w:cs="Times New Roman"/>
          <w:color w:val="222222"/>
        </w:rPr>
        <w:t>.  True or False</w:t>
      </w:r>
      <w:r w:rsidR="00E62DB8">
        <w:rPr>
          <w:rFonts w:ascii="Calibri" w:eastAsia="Times New Roman" w:hAnsi="Calibri" w:cs="Times New Roman"/>
          <w:color w:val="222222"/>
        </w:rPr>
        <w:t>?</w:t>
      </w:r>
    </w:p>
    <w:p w:rsidR="00475722" w:rsidRDefault="00E62DB8" w:rsidP="00E62DB8">
      <w:pPr>
        <w:pStyle w:val="ListParagraph"/>
        <w:numPr>
          <w:ilvl w:val="1"/>
          <w:numId w:val="8"/>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 xml:space="preserve">Answer:  </w:t>
      </w:r>
      <w:r w:rsidR="00905BE2">
        <w:rPr>
          <w:rFonts w:ascii="Calibri" w:eastAsia="Times New Roman" w:hAnsi="Calibri" w:cs="Times New Roman"/>
          <w:color w:val="222222"/>
        </w:rPr>
        <w:t>False.  About 70% of education aid is spent in the country (in h</w:t>
      </w:r>
      <w:r>
        <w:rPr>
          <w:rFonts w:ascii="Calibri" w:eastAsia="Times New Roman" w:hAnsi="Calibri" w:cs="Times New Roman"/>
          <w:color w:val="222222"/>
        </w:rPr>
        <w:t>ealth, about 86% of aid reaches the country</w:t>
      </w:r>
      <w:r w:rsidR="00905BE2">
        <w:rPr>
          <w:rFonts w:ascii="Calibri" w:eastAsia="Times New Roman" w:hAnsi="Calibri" w:cs="Times New Roman"/>
          <w:color w:val="222222"/>
        </w:rPr>
        <w:t>)</w:t>
      </w:r>
      <w:r>
        <w:rPr>
          <w:rFonts w:ascii="Calibri" w:eastAsia="Times New Roman" w:hAnsi="Calibri" w:cs="Times New Roman"/>
          <w:color w:val="222222"/>
        </w:rPr>
        <w:t xml:space="preserve">.  This is the concept of country programmable aid (CPA) </w:t>
      </w:r>
      <w:r w:rsidR="00905BE2">
        <w:rPr>
          <w:rFonts w:ascii="Calibri" w:eastAsia="Times New Roman" w:hAnsi="Calibri" w:cs="Times New Roman"/>
          <w:color w:val="222222"/>
        </w:rPr>
        <w:t xml:space="preserve">and is an element that can have a significant impact on education budgets in low income countries </w:t>
      </w:r>
      <w:r>
        <w:rPr>
          <w:rFonts w:ascii="Calibri" w:eastAsia="Times New Roman" w:hAnsi="Calibri" w:cs="Times New Roman"/>
          <w:color w:val="222222"/>
        </w:rPr>
        <w:t>[</w:t>
      </w:r>
      <w:r w:rsidR="00905BE2">
        <w:rPr>
          <w:rFonts w:ascii="Calibri" w:eastAsia="Times New Roman" w:hAnsi="Calibri" w:cs="Times New Roman"/>
          <w:color w:val="222222"/>
        </w:rPr>
        <w:t>the percentage tends to be relatively low</w:t>
      </w:r>
      <w:r>
        <w:rPr>
          <w:rFonts w:ascii="Calibri" w:eastAsia="Times New Roman" w:hAnsi="Calibri" w:cs="Times New Roman"/>
          <w:color w:val="222222"/>
        </w:rPr>
        <w:t xml:space="preserve"> in education in part because of scholarships to foreign countries that take a significant portion of aid to education]</w:t>
      </w:r>
    </w:p>
    <w:p w:rsidR="00E62DB8" w:rsidRDefault="00905BE2" w:rsidP="00E62DB8">
      <w:pPr>
        <w:pStyle w:val="ListParagraph"/>
        <w:numPr>
          <w:ilvl w:val="0"/>
          <w:numId w:val="8"/>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Domestic financing for education has increased substantially in low-income countries in recent years.  True or false?</w:t>
      </w:r>
    </w:p>
    <w:p w:rsidR="00905BE2" w:rsidRDefault="00905BE2" w:rsidP="00905BE2">
      <w:pPr>
        <w:pStyle w:val="ListParagraph"/>
        <w:numPr>
          <w:ilvl w:val="1"/>
          <w:numId w:val="8"/>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Answer:  This one is actually true.  In the decade from 2002 to 2012, spending on education as a share of GDP increase from 3.1% to 3.8% in low-income countries.  But there were several notable exceptions, including countries such as Chad and the Central African Republic that were already far from achieving EFA goals.</w:t>
      </w:r>
      <w:r w:rsidR="00251187">
        <w:rPr>
          <w:rFonts w:ascii="Calibri" w:eastAsia="Times New Roman" w:hAnsi="Calibri" w:cs="Times New Roman"/>
          <w:color w:val="222222"/>
        </w:rPr>
        <w:t xml:space="preserve">  Domestic Resource Mobilization </w:t>
      </w:r>
      <w:r w:rsidR="007839B2">
        <w:rPr>
          <w:rFonts w:ascii="Calibri" w:eastAsia="Times New Roman" w:hAnsi="Calibri" w:cs="Times New Roman"/>
          <w:color w:val="222222"/>
        </w:rPr>
        <w:t>is a critical component of the Sustainable Development Goals, recognizing that aid alone will not fill the gap (aid accounts for about 20% of education financing in low income countries, and 1-2% in middle income countries).</w:t>
      </w:r>
    </w:p>
    <w:p w:rsidR="00905BE2" w:rsidRDefault="00905BE2" w:rsidP="00905BE2">
      <w:pPr>
        <w:pStyle w:val="ListParagraph"/>
        <w:numPr>
          <w:ilvl w:val="0"/>
          <w:numId w:val="8"/>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 xml:space="preserve">Government budgets </w:t>
      </w:r>
      <w:r w:rsidR="00B91987">
        <w:rPr>
          <w:rFonts w:ascii="Calibri" w:eastAsia="Times New Roman" w:hAnsi="Calibri" w:cs="Times New Roman"/>
          <w:color w:val="222222"/>
        </w:rPr>
        <w:t xml:space="preserve">in low-income countries </w:t>
      </w:r>
      <w:r>
        <w:rPr>
          <w:rFonts w:ascii="Calibri" w:eastAsia="Times New Roman" w:hAnsi="Calibri" w:cs="Times New Roman"/>
          <w:color w:val="222222"/>
        </w:rPr>
        <w:t>reflect increases for education</w:t>
      </w:r>
      <w:r w:rsidR="00B91987">
        <w:rPr>
          <w:rFonts w:ascii="Calibri" w:eastAsia="Times New Roman" w:hAnsi="Calibri" w:cs="Times New Roman"/>
          <w:color w:val="222222"/>
        </w:rPr>
        <w:t xml:space="preserve"> over the past decade</w:t>
      </w:r>
      <w:r>
        <w:rPr>
          <w:rFonts w:ascii="Calibri" w:eastAsia="Times New Roman" w:hAnsi="Calibri" w:cs="Times New Roman"/>
          <w:color w:val="222222"/>
        </w:rPr>
        <w:t>.  True or false?</w:t>
      </w:r>
    </w:p>
    <w:p w:rsidR="00905BE2" w:rsidRDefault="00905BE2" w:rsidP="00905BE2">
      <w:pPr>
        <w:pStyle w:val="ListParagraph"/>
        <w:numPr>
          <w:ilvl w:val="1"/>
          <w:numId w:val="8"/>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Answer:  T</w:t>
      </w:r>
      <w:r w:rsidR="00B91987">
        <w:rPr>
          <w:rFonts w:ascii="Calibri" w:eastAsia="Times New Roman" w:hAnsi="Calibri" w:cs="Times New Roman"/>
          <w:color w:val="222222"/>
        </w:rPr>
        <w:t>rue and false.  T</w:t>
      </w:r>
      <w:r>
        <w:rPr>
          <w:rFonts w:ascii="Calibri" w:eastAsia="Times New Roman" w:hAnsi="Calibri" w:cs="Times New Roman"/>
          <w:color w:val="222222"/>
        </w:rPr>
        <w:t>his is a bit of a trick question.  There are increases overall, because of increases in total budgets, but the share to education in the budget has generally declined in low-income countries, from 16% to 14%.  Countries capture much more of GDP than before, so education has improved, but not in relative terms.</w:t>
      </w:r>
    </w:p>
    <w:p w:rsidR="00905BE2" w:rsidRDefault="00905BE2" w:rsidP="00905BE2">
      <w:pPr>
        <w:pStyle w:val="ListParagraph"/>
        <w:numPr>
          <w:ilvl w:val="0"/>
          <w:numId w:val="8"/>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Public spending on education is generally pro-poor.  True or false?</w:t>
      </w:r>
    </w:p>
    <w:p w:rsidR="00905BE2" w:rsidRDefault="00B91987" w:rsidP="00905BE2">
      <w:pPr>
        <w:pStyle w:val="ListParagraph"/>
        <w:numPr>
          <w:ilvl w:val="1"/>
          <w:numId w:val="8"/>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 xml:space="preserve">Answer:  </w:t>
      </w:r>
      <w:r w:rsidR="00905BE2">
        <w:rPr>
          <w:rFonts w:ascii="Calibri" w:eastAsia="Times New Roman" w:hAnsi="Calibri" w:cs="Times New Roman"/>
          <w:color w:val="222222"/>
        </w:rPr>
        <w:t xml:space="preserve">False. According to a </w:t>
      </w:r>
      <w:r w:rsidR="00C2377F">
        <w:rPr>
          <w:rFonts w:ascii="Calibri" w:eastAsia="Times New Roman" w:hAnsi="Calibri" w:cs="Times New Roman"/>
          <w:color w:val="222222"/>
        </w:rPr>
        <w:t>recent Unicef study</w:t>
      </w:r>
      <w:r w:rsidR="00905BE2">
        <w:rPr>
          <w:rFonts w:ascii="Calibri" w:eastAsia="Times New Roman" w:hAnsi="Calibri" w:cs="Times New Roman"/>
          <w:color w:val="222222"/>
        </w:rPr>
        <w:t xml:space="preserve">, </w:t>
      </w:r>
      <w:r w:rsidR="00C2377F">
        <w:rPr>
          <w:rFonts w:ascii="Calibri" w:eastAsia="Times New Roman" w:hAnsi="Calibri" w:cs="Times New Roman"/>
          <w:color w:val="222222"/>
        </w:rPr>
        <w:t>inequities in low-income countries are increasing.  46% of public financing goes to the 10% of students who are the most educated, and the most wealthy</w:t>
      </w:r>
      <w:r w:rsidR="00C2377F">
        <w:rPr>
          <w:rStyle w:val="FootnoteReference"/>
          <w:rFonts w:ascii="Calibri" w:eastAsia="Times New Roman" w:hAnsi="Calibri" w:cs="Times New Roman"/>
          <w:color w:val="222222"/>
        </w:rPr>
        <w:footnoteReference w:id="1"/>
      </w:r>
      <w:r w:rsidR="00C2377F">
        <w:rPr>
          <w:rFonts w:ascii="Calibri" w:eastAsia="Times New Roman" w:hAnsi="Calibri" w:cs="Times New Roman"/>
          <w:color w:val="222222"/>
        </w:rPr>
        <w:t>.  In Malawi, 3% of tertiary financing goes to the bottom 2 income quintiles and 82% to the highest income quintile.</w:t>
      </w:r>
      <w:r>
        <w:rPr>
          <w:rFonts w:ascii="Calibri" w:eastAsia="Times New Roman" w:hAnsi="Calibri" w:cs="Times New Roman"/>
          <w:color w:val="222222"/>
        </w:rPr>
        <w:t xml:space="preserve">  </w:t>
      </w:r>
    </w:p>
    <w:p w:rsidR="00C2377F" w:rsidRDefault="00C2377F" w:rsidP="00C2377F">
      <w:pPr>
        <w:pStyle w:val="ListParagraph"/>
        <w:numPr>
          <w:ilvl w:val="0"/>
          <w:numId w:val="8"/>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Public spending on primary education i</w:t>
      </w:r>
      <w:r w:rsidR="00B91987">
        <w:rPr>
          <w:rFonts w:ascii="Calibri" w:eastAsia="Times New Roman" w:hAnsi="Calibri" w:cs="Times New Roman"/>
          <w:color w:val="222222"/>
        </w:rPr>
        <w:t>s</w:t>
      </w:r>
      <w:r>
        <w:rPr>
          <w:rFonts w:ascii="Calibri" w:eastAsia="Times New Roman" w:hAnsi="Calibri" w:cs="Times New Roman"/>
          <w:color w:val="222222"/>
        </w:rPr>
        <w:t xml:space="preserve"> pro-poor.  True or false?</w:t>
      </w:r>
    </w:p>
    <w:p w:rsidR="00C2377F" w:rsidRDefault="00B91987" w:rsidP="00C2377F">
      <w:pPr>
        <w:pStyle w:val="ListParagraph"/>
        <w:numPr>
          <w:ilvl w:val="1"/>
          <w:numId w:val="8"/>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 xml:space="preserve">Answer:  </w:t>
      </w:r>
      <w:r w:rsidR="00C2377F">
        <w:rPr>
          <w:rFonts w:ascii="Calibri" w:eastAsia="Times New Roman" w:hAnsi="Calibri" w:cs="Times New Roman"/>
          <w:color w:val="222222"/>
        </w:rPr>
        <w:t>This is true.  Public subsidies for primary education are among the most pro-poor expenditures a government can make—with 54% going to the lowest income quintiles and only 9% to the highest.</w:t>
      </w:r>
      <w:r>
        <w:rPr>
          <w:rFonts w:ascii="Calibri" w:eastAsia="Times New Roman" w:hAnsi="Calibri" w:cs="Times New Roman"/>
          <w:color w:val="222222"/>
        </w:rPr>
        <w:t xml:space="preserve">  This is in part because in most countries, the bottom 2 or 3 quintiles are poor, so there are more students, and because a bigger percentage of children from wealthy families attend private schooling.</w:t>
      </w:r>
    </w:p>
    <w:p w:rsidR="00C2377F" w:rsidRDefault="00B91987" w:rsidP="00C2377F">
      <w:pPr>
        <w:pStyle w:val="ListParagraph"/>
        <w:numPr>
          <w:ilvl w:val="0"/>
          <w:numId w:val="8"/>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 xml:space="preserve">Increased </w:t>
      </w:r>
      <w:r w:rsidR="00C2377F">
        <w:rPr>
          <w:rFonts w:ascii="Calibri" w:eastAsia="Times New Roman" w:hAnsi="Calibri" w:cs="Times New Roman"/>
          <w:color w:val="222222"/>
        </w:rPr>
        <w:t>financing is the key to improved learning outcomes.  True or false?</w:t>
      </w:r>
    </w:p>
    <w:p w:rsidR="00C2377F" w:rsidRDefault="00B91987" w:rsidP="00C2377F">
      <w:pPr>
        <w:pStyle w:val="ListParagraph"/>
        <w:numPr>
          <w:ilvl w:val="1"/>
          <w:numId w:val="8"/>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 xml:space="preserve">Answer:  </w:t>
      </w:r>
      <w:r w:rsidR="00C2377F">
        <w:rPr>
          <w:rFonts w:ascii="Calibri" w:eastAsia="Times New Roman" w:hAnsi="Calibri" w:cs="Times New Roman"/>
          <w:color w:val="222222"/>
        </w:rPr>
        <w:t xml:space="preserve">False.  One might get this impression from much of the international advocacy around financing gaps, but higher spending has only a weak relationship with improved learning.  What matters most is how the money is spent (of course, increased spending that is used wisely </w:t>
      </w:r>
      <w:r w:rsidR="00CD306E">
        <w:rPr>
          <w:rFonts w:ascii="Calibri" w:eastAsia="Times New Roman" w:hAnsi="Calibri" w:cs="Times New Roman"/>
          <w:color w:val="222222"/>
        </w:rPr>
        <w:t>could make a big difference).</w:t>
      </w:r>
    </w:p>
    <w:p w:rsidR="00CD306E" w:rsidRDefault="00CD306E" w:rsidP="00CD306E">
      <w:pPr>
        <w:pStyle w:val="ListParagraph"/>
        <w:numPr>
          <w:ilvl w:val="0"/>
          <w:numId w:val="8"/>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The three domestic policy areas that have made the biggest difference in terms of increasing enrollments are:  fee abolition, school feeding, and conditional cash transfers.  True or false?</w:t>
      </w:r>
    </w:p>
    <w:p w:rsidR="00CD306E" w:rsidRDefault="00B91987" w:rsidP="00CD306E">
      <w:pPr>
        <w:pStyle w:val="ListParagraph"/>
        <w:numPr>
          <w:ilvl w:val="1"/>
          <w:numId w:val="8"/>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 xml:space="preserve">Answer: </w:t>
      </w:r>
      <w:r w:rsidR="00CD306E">
        <w:rPr>
          <w:rFonts w:ascii="Calibri" w:eastAsia="Times New Roman" w:hAnsi="Calibri" w:cs="Times New Roman"/>
          <w:color w:val="222222"/>
        </w:rPr>
        <w:t>True.  These are the ‘big three’, and where they can be effectively implemented, they have led to huge breakthroughs in both enrolment and attendance.</w:t>
      </w:r>
    </w:p>
    <w:p w:rsidR="00B91987" w:rsidRDefault="00B91987" w:rsidP="00B91987">
      <w:pPr>
        <w:pStyle w:val="ListParagraph"/>
        <w:numPr>
          <w:ilvl w:val="0"/>
          <w:numId w:val="8"/>
        </w:numPr>
        <w:shd w:val="clear" w:color="auto" w:fill="FFFFFF"/>
        <w:spacing w:after="0" w:line="240" w:lineRule="auto"/>
        <w:rPr>
          <w:rFonts w:ascii="Calibri" w:eastAsia="Times New Roman" w:hAnsi="Calibri" w:cs="Times New Roman"/>
          <w:color w:val="222222"/>
        </w:rPr>
      </w:pPr>
      <w:r w:rsidRPr="00B91987">
        <w:rPr>
          <w:rFonts w:ascii="Calibri" w:eastAsia="Times New Roman" w:hAnsi="Calibri" w:cs="Times New Roman"/>
          <w:bCs/>
          <w:iCs/>
          <w:color w:val="222222"/>
        </w:rPr>
        <w:t>In most developing countries, almost half of the total budget is taken up by teacher salaries.</w:t>
      </w:r>
      <w:r>
        <w:rPr>
          <w:rFonts w:ascii="Calibri" w:eastAsia="Times New Roman" w:hAnsi="Calibri" w:cs="Times New Roman"/>
          <w:bCs/>
          <w:iCs/>
          <w:color w:val="222222"/>
        </w:rPr>
        <w:t xml:space="preserve">  </w:t>
      </w:r>
      <w:r>
        <w:rPr>
          <w:rFonts w:ascii="Calibri" w:eastAsia="Times New Roman" w:hAnsi="Calibri" w:cs="Times New Roman"/>
          <w:color w:val="222222"/>
        </w:rPr>
        <w:t>True or false?</w:t>
      </w:r>
    </w:p>
    <w:p w:rsidR="00B91987" w:rsidRPr="00B91987" w:rsidRDefault="00B91987" w:rsidP="00B91987">
      <w:pPr>
        <w:pStyle w:val="ListParagraph"/>
        <w:numPr>
          <w:ilvl w:val="1"/>
          <w:numId w:val="8"/>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bCs/>
          <w:color w:val="222222"/>
        </w:rPr>
        <w:t xml:space="preserve">Answer: </w:t>
      </w:r>
      <w:r w:rsidRPr="00B91987">
        <w:rPr>
          <w:rFonts w:ascii="Calibri" w:eastAsia="Times New Roman" w:hAnsi="Calibri" w:cs="Times New Roman"/>
          <w:bCs/>
          <w:color w:val="222222"/>
        </w:rPr>
        <w:t xml:space="preserve">False.  </w:t>
      </w:r>
      <w:r w:rsidRPr="00B91987">
        <w:rPr>
          <w:rFonts w:ascii="Calibri" w:eastAsia="Times New Roman" w:hAnsi="Calibri" w:cs="Times New Roman"/>
          <w:color w:val="222222"/>
        </w:rPr>
        <w:t>The percentage is much higher—close to 90% of the education budget in many countries, meaning there is little space for development of new initiatives.  This is one reason that external financing, even if relative modest in amount, can have an outsized impact.</w:t>
      </w:r>
      <w:r w:rsidRPr="00B91987">
        <w:rPr>
          <w:rFonts w:ascii="Calibri" w:eastAsia="Times New Roman" w:hAnsi="Calibri" w:cs="Times New Roman"/>
          <w:bCs/>
          <w:color w:val="222222"/>
        </w:rPr>
        <w:t xml:space="preserve"> </w:t>
      </w:r>
    </w:p>
    <w:p w:rsidR="00B91987" w:rsidRPr="00B91987" w:rsidRDefault="00B91987" w:rsidP="00B91987">
      <w:pPr>
        <w:pStyle w:val="ListParagraph"/>
        <w:numPr>
          <w:ilvl w:val="0"/>
          <w:numId w:val="8"/>
        </w:numPr>
        <w:shd w:val="clear" w:color="auto" w:fill="FFFFFF"/>
        <w:spacing w:after="0" w:line="240" w:lineRule="auto"/>
        <w:rPr>
          <w:rFonts w:ascii="Calibri" w:eastAsia="Times New Roman" w:hAnsi="Calibri" w:cs="Times New Roman"/>
          <w:color w:val="222222"/>
        </w:rPr>
      </w:pPr>
      <w:r w:rsidRPr="00B91987">
        <w:rPr>
          <w:rFonts w:ascii="Calibri" w:eastAsia="Times New Roman" w:hAnsi="Calibri" w:cs="Times New Roman"/>
          <w:bCs/>
          <w:iCs/>
          <w:color w:val="222222"/>
        </w:rPr>
        <w:t>Speaking of non-salary expenditures, the best way to understand what is available is to analyze the approved budget allocation.</w:t>
      </w:r>
      <w:r w:rsidRPr="00B91987">
        <w:rPr>
          <w:rFonts w:ascii="Calibri" w:eastAsia="Times New Roman" w:hAnsi="Calibri" w:cs="Times New Roman"/>
          <w:color w:val="222222"/>
        </w:rPr>
        <w:t xml:space="preserve"> </w:t>
      </w:r>
      <w:r>
        <w:rPr>
          <w:rFonts w:ascii="Calibri" w:eastAsia="Times New Roman" w:hAnsi="Calibri" w:cs="Times New Roman"/>
          <w:color w:val="222222"/>
        </w:rPr>
        <w:t>True or false?</w:t>
      </w:r>
    </w:p>
    <w:p w:rsidR="00B91987" w:rsidRPr="00B91987" w:rsidRDefault="00A9178D" w:rsidP="00B91987">
      <w:pPr>
        <w:pStyle w:val="ListParagraph"/>
        <w:numPr>
          <w:ilvl w:val="1"/>
          <w:numId w:val="8"/>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 xml:space="preserve">Answer: </w:t>
      </w:r>
      <w:r w:rsidR="00B91987" w:rsidRPr="00B91987">
        <w:rPr>
          <w:rFonts w:ascii="Calibri" w:eastAsia="Times New Roman" w:hAnsi="Calibri" w:cs="Times New Roman"/>
          <w:color w:val="222222"/>
        </w:rPr>
        <w:t xml:space="preserve">This is also </w:t>
      </w:r>
      <w:r w:rsidR="00B91987" w:rsidRPr="00B91987">
        <w:rPr>
          <w:rFonts w:ascii="Calibri" w:eastAsia="Times New Roman" w:hAnsi="Calibri" w:cs="Times New Roman"/>
          <w:bCs/>
          <w:color w:val="222222"/>
        </w:rPr>
        <w:t xml:space="preserve">false.  </w:t>
      </w:r>
      <w:r w:rsidR="00B91987" w:rsidRPr="00B91987">
        <w:rPr>
          <w:rFonts w:ascii="Calibri" w:eastAsia="Times New Roman" w:hAnsi="Calibri" w:cs="Times New Roman"/>
          <w:color w:val="222222"/>
        </w:rPr>
        <w:t>In many countries, the budget as approved bears little resemblance to what is ultimately made available, and the non-salary portion of the approved budget is the portion that is most subject to change.</w:t>
      </w:r>
    </w:p>
    <w:p w:rsidR="00B91987" w:rsidRPr="00B91987" w:rsidRDefault="00B91987" w:rsidP="00B91987">
      <w:pPr>
        <w:pStyle w:val="ListParagraph"/>
        <w:numPr>
          <w:ilvl w:val="0"/>
          <w:numId w:val="8"/>
        </w:numPr>
        <w:shd w:val="clear" w:color="auto" w:fill="FFFFFF"/>
        <w:spacing w:after="0" w:line="240" w:lineRule="auto"/>
        <w:rPr>
          <w:rFonts w:ascii="Calibri" w:eastAsia="Times New Roman" w:hAnsi="Calibri" w:cs="Times New Roman"/>
          <w:color w:val="222222"/>
        </w:rPr>
      </w:pPr>
      <w:r w:rsidRPr="00B91987">
        <w:rPr>
          <w:rFonts w:ascii="Calibri" w:eastAsia="Times New Roman" w:hAnsi="Calibri" w:cs="Times New Roman"/>
          <w:bCs/>
          <w:iCs/>
          <w:color w:val="222222"/>
        </w:rPr>
        <w:t>EU disbursements are generally higher for fixed tranches than for variable tranches.</w:t>
      </w:r>
      <w:r w:rsidRPr="00B91987">
        <w:rPr>
          <w:rFonts w:ascii="Calibri" w:eastAsia="Times New Roman" w:hAnsi="Calibri" w:cs="Times New Roman"/>
          <w:color w:val="222222"/>
        </w:rPr>
        <w:t xml:space="preserve"> </w:t>
      </w:r>
      <w:r>
        <w:rPr>
          <w:rFonts w:ascii="Calibri" w:eastAsia="Times New Roman" w:hAnsi="Calibri" w:cs="Times New Roman"/>
          <w:color w:val="222222"/>
        </w:rPr>
        <w:t>True or false?</w:t>
      </w:r>
    </w:p>
    <w:p w:rsidR="00475722" w:rsidRPr="00B91987" w:rsidRDefault="00A9178D" w:rsidP="00B91987">
      <w:pPr>
        <w:pStyle w:val="ListParagraph"/>
        <w:numPr>
          <w:ilvl w:val="1"/>
          <w:numId w:val="8"/>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 xml:space="preserve">Answer: </w:t>
      </w:r>
      <w:r w:rsidR="00B91987" w:rsidRPr="00B91987">
        <w:rPr>
          <w:rFonts w:ascii="Calibri" w:eastAsia="Times New Roman" w:hAnsi="Calibri" w:cs="Times New Roman"/>
          <w:color w:val="222222"/>
        </w:rPr>
        <w:t xml:space="preserve">This is </w:t>
      </w:r>
      <w:r w:rsidR="00B91987" w:rsidRPr="00B91987">
        <w:rPr>
          <w:rFonts w:ascii="Calibri" w:eastAsia="Times New Roman" w:hAnsi="Calibri" w:cs="Times New Roman"/>
          <w:bCs/>
          <w:color w:val="222222"/>
        </w:rPr>
        <w:t xml:space="preserve">true </w:t>
      </w:r>
      <w:r w:rsidR="00B91987" w:rsidRPr="00B91987">
        <w:rPr>
          <w:rFonts w:ascii="Calibri" w:eastAsia="Times New Roman" w:hAnsi="Calibri" w:cs="Times New Roman"/>
          <w:color w:val="222222"/>
        </w:rPr>
        <w:t>(73% vs 49% in 2015) but there are exceptions.  In West and Central Africa, fixed tranche disbursement in 2014 was 35% vs 54% for variable tranches.  But in Latin America, the ratio was 84% vs 31%.</w:t>
      </w:r>
    </w:p>
    <w:p w:rsidR="000638E0" w:rsidRDefault="000638E0" w:rsidP="00475722">
      <w:pPr>
        <w:shd w:val="clear" w:color="auto" w:fill="FFFFFF"/>
        <w:spacing w:after="0" w:line="240" w:lineRule="auto"/>
        <w:rPr>
          <w:rFonts w:ascii="Calibri" w:eastAsia="Times New Roman" w:hAnsi="Calibri" w:cs="Times New Roman"/>
          <w:color w:val="222222"/>
        </w:rPr>
      </w:pPr>
    </w:p>
    <w:p w:rsidR="000638E0" w:rsidRPr="008C690A" w:rsidRDefault="00E27FDC" w:rsidP="00B91987">
      <w:pPr>
        <w:pStyle w:val="ListParagraph"/>
        <w:numPr>
          <w:ilvl w:val="0"/>
          <w:numId w:val="6"/>
        </w:numPr>
        <w:shd w:val="clear" w:color="auto" w:fill="FFFFFF"/>
        <w:spacing w:after="0" w:line="240" w:lineRule="auto"/>
        <w:rPr>
          <w:rFonts w:ascii="Calibri" w:eastAsia="Times New Roman" w:hAnsi="Calibri" w:cs="Times New Roman"/>
          <w:b/>
          <w:color w:val="222222"/>
        </w:rPr>
      </w:pPr>
      <w:r w:rsidRPr="008C690A">
        <w:rPr>
          <w:rFonts w:ascii="Calibri" w:eastAsia="Times New Roman" w:hAnsi="Calibri" w:cs="Times New Roman"/>
          <w:b/>
          <w:color w:val="222222"/>
        </w:rPr>
        <w:t>Key concepts</w:t>
      </w:r>
      <w:r w:rsidR="008C690A">
        <w:rPr>
          <w:rFonts w:ascii="Calibri" w:eastAsia="Times New Roman" w:hAnsi="Calibri" w:cs="Times New Roman"/>
          <w:b/>
          <w:color w:val="222222"/>
        </w:rPr>
        <w:t xml:space="preserve"> (15 minutes)</w:t>
      </w:r>
    </w:p>
    <w:p w:rsidR="000638E0" w:rsidRDefault="000638E0" w:rsidP="00475722">
      <w:pPr>
        <w:shd w:val="clear" w:color="auto" w:fill="FFFFFF"/>
        <w:spacing w:after="0" w:line="240" w:lineRule="auto"/>
        <w:rPr>
          <w:rFonts w:ascii="Calibri" w:eastAsia="Times New Roman" w:hAnsi="Calibri" w:cs="Times New Roman"/>
          <w:color w:val="222222"/>
        </w:rPr>
      </w:pPr>
    </w:p>
    <w:p w:rsidR="000638E0" w:rsidRDefault="00CD306E" w:rsidP="00475722">
      <w:p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Several key concepts were introduced in our opening exercise.  We look at these now in more depth</w:t>
      </w:r>
      <w:r w:rsidR="00251187">
        <w:rPr>
          <w:rFonts w:ascii="Calibri" w:eastAsia="Times New Roman" w:hAnsi="Calibri" w:cs="Times New Roman"/>
          <w:color w:val="222222"/>
        </w:rPr>
        <w:t>, as well as some of the tools used in their analysis</w:t>
      </w:r>
      <w:r w:rsidR="00E27FDC">
        <w:rPr>
          <w:rFonts w:ascii="Calibri" w:eastAsia="Times New Roman" w:hAnsi="Calibri" w:cs="Times New Roman"/>
          <w:color w:val="222222"/>
        </w:rPr>
        <w:t xml:space="preserve">.  </w:t>
      </w:r>
    </w:p>
    <w:p w:rsidR="00E27FDC" w:rsidRDefault="00E27FDC" w:rsidP="00475722">
      <w:pPr>
        <w:shd w:val="clear" w:color="auto" w:fill="FFFFFF"/>
        <w:spacing w:after="0" w:line="240" w:lineRule="auto"/>
        <w:rPr>
          <w:rFonts w:ascii="Calibri" w:eastAsia="Times New Roman" w:hAnsi="Calibri" w:cs="Times New Roman"/>
          <w:color w:val="222222"/>
        </w:rPr>
      </w:pPr>
    </w:p>
    <w:p w:rsidR="00E27FDC" w:rsidRDefault="00251187" w:rsidP="00E27FDC">
      <w:pPr>
        <w:pStyle w:val="ListParagraph"/>
        <w:numPr>
          <w:ilvl w:val="0"/>
          <w:numId w:val="1"/>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Pro-poor spending</w:t>
      </w:r>
      <w:r w:rsidR="00E27FDC">
        <w:rPr>
          <w:rFonts w:ascii="Calibri" w:eastAsia="Times New Roman" w:hAnsi="Calibri" w:cs="Times New Roman"/>
          <w:color w:val="222222"/>
        </w:rPr>
        <w:t>.</w:t>
      </w:r>
      <w:r w:rsidR="00233749">
        <w:rPr>
          <w:rFonts w:ascii="Calibri" w:eastAsia="Times New Roman" w:hAnsi="Calibri" w:cs="Times New Roman"/>
          <w:color w:val="222222"/>
        </w:rPr>
        <w:t xml:space="preserve">  </w:t>
      </w:r>
      <w:r>
        <w:rPr>
          <w:rFonts w:ascii="Calibri" w:eastAsia="Times New Roman" w:hAnsi="Calibri" w:cs="Times New Roman"/>
          <w:color w:val="222222"/>
        </w:rPr>
        <w:t xml:space="preserve">Benefit incidence analysis looks at </w:t>
      </w:r>
      <w:r w:rsidR="001E65B7">
        <w:rPr>
          <w:rFonts w:ascii="Calibri" w:eastAsia="Times New Roman" w:hAnsi="Calibri" w:cs="Times New Roman"/>
          <w:color w:val="222222"/>
        </w:rPr>
        <w:t xml:space="preserve">allocation patterns in </w:t>
      </w:r>
      <w:r>
        <w:rPr>
          <w:rFonts w:ascii="Calibri" w:eastAsia="Times New Roman" w:hAnsi="Calibri" w:cs="Times New Roman"/>
          <w:color w:val="222222"/>
        </w:rPr>
        <w:t>the distribution of public spending across income quintiles</w:t>
      </w:r>
      <w:r w:rsidR="001E65B7">
        <w:rPr>
          <w:rFonts w:ascii="Calibri" w:eastAsia="Times New Roman" w:hAnsi="Calibri" w:cs="Times New Roman"/>
          <w:color w:val="222222"/>
        </w:rPr>
        <w:t>, i.e. who benefits?</w:t>
      </w:r>
      <w:r>
        <w:rPr>
          <w:rFonts w:ascii="Calibri" w:eastAsia="Times New Roman" w:hAnsi="Calibri" w:cs="Times New Roman"/>
          <w:color w:val="222222"/>
        </w:rPr>
        <w:t xml:space="preserve">  An analysis of social spending in Zambia, for instance, found that neither health nor education spending was pro-poor or progressive, on aggregate.  However, spending on primary and secondary education was found to be strongly pro-poor.  On aggregate, this effect was counterbalanced by the extraordinary degree of spending at the tertiary level that was heavily skewed in favor of upper income quintiles.</w:t>
      </w:r>
      <w:r>
        <w:rPr>
          <w:rStyle w:val="FootnoteReference"/>
          <w:rFonts w:ascii="Calibri" w:eastAsia="Times New Roman" w:hAnsi="Calibri" w:cs="Times New Roman"/>
          <w:color w:val="222222"/>
        </w:rPr>
        <w:footnoteReference w:id="2"/>
      </w:r>
      <w:r w:rsidR="00A9178D">
        <w:rPr>
          <w:rFonts w:ascii="Calibri" w:eastAsia="Times New Roman" w:hAnsi="Calibri" w:cs="Times New Roman"/>
          <w:color w:val="222222"/>
        </w:rPr>
        <w:t xml:space="preserve">  The allocation patterns are often expre</w:t>
      </w:r>
      <w:r w:rsidR="005E2CE7">
        <w:rPr>
          <w:rFonts w:ascii="Calibri" w:eastAsia="Times New Roman" w:hAnsi="Calibri" w:cs="Times New Roman"/>
          <w:color w:val="222222"/>
        </w:rPr>
        <w:t>ssed through a Gini coefficient which can range from 0 (perfect equality) to 1 (complete inequality).</w:t>
      </w:r>
    </w:p>
    <w:p w:rsidR="007839B2" w:rsidRDefault="00251187" w:rsidP="007839B2">
      <w:pPr>
        <w:pStyle w:val="ListParagraph"/>
        <w:numPr>
          <w:ilvl w:val="0"/>
          <w:numId w:val="1"/>
        </w:numPr>
        <w:shd w:val="clear" w:color="auto" w:fill="FFFFFF"/>
        <w:spacing w:after="0" w:line="240" w:lineRule="auto"/>
        <w:rPr>
          <w:rFonts w:ascii="Arial" w:hAnsi="Arial" w:cs="Arial"/>
          <w:color w:val="333333"/>
          <w:sz w:val="23"/>
          <w:szCs w:val="23"/>
        </w:rPr>
      </w:pPr>
      <w:r>
        <w:rPr>
          <w:rFonts w:ascii="Calibri" w:eastAsia="Times New Roman" w:hAnsi="Calibri" w:cs="Times New Roman"/>
          <w:color w:val="222222"/>
        </w:rPr>
        <w:t xml:space="preserve">Domestic Resource Mobilization.  </w:t>
      </w:r>
      <w:r w:rsidR="007839B2">
        <w:rPr>
          <w:rFonts w:ascii="Calibri" w:eastAsia="Times New Roman" w:hAnsi="Calibri" w:cs="Times New Roman"/>
          <w:color w:val="222222"/>
        </w:rPr>
        <w:t>DRM refers to the potential for increased financing from domestic sources, including taxation and remittances.  As noted already, increased DRM has resulted in increases in education financing over the past decade and is expected to figure prominently in the SDGs.  It can increase the ownership and sustainability of reform programs and decrease the uncertainty and volatility linked to external aid.  However, increases in DRM have not always been used to improve service delivery in education or in other sectors, as the experiences of Nigeria, Angola and DRC demonstrate.  Without governance reform, DRM may lead to political instability and capital flight.  Elite capture is also a significant source of concern, whereby income from natural resources or other sources is captured by a small minority in positions of power.  Political pressures may also lead to unwise prioritization—in Nigeri</w:t>
      </w:r>
      <w:r w:rsidR="0019290D">
        <w:rPr>
          <w:rFonts w:ascii="Calibri" w:eastAsia="Times New Roman" w:hAnsi="Calibri" w:cs="Times New Roman"/>
          <w:color w:val="222222"/>
        </w:rPr>
        <w:t>a, for instance, the fuel subsi</w:t>
      </w:r>
      <w:r w:rsidR="007839B2">
        <w:rPr>
          <w:rFonts w:ascii="Calibri" w:eastAsia="Times New Roman" w:hAnsi="Calibri" w:cs="Times New Roman"/>
          <w:color w:val="222222"/>
        </w:rPr>
        <w:t>dy accounts for 42% of the national budget (more than agriculture, health, education and water combined).</w:t>
      </w:r>
      <w:r w:rsidR="007839B2">
        <w:rPr>
          <w:rStyle w:val="FootnoteReference"/>
          <w:rFonts w:ascii="Calibri" w:eastAsia="Times New Roman" w:hAnsi="Calibri" w:cs="Times New Roman"/>
          <w:color w:val="222222"/>
        </w:rPr>
        <w:footnoteReference w:id="3"/>
      </w:r>
    </w:p>
    <w:p w:rsidR="007839B2" w:rsidRDefault="001E65B7" w:rsidP="00C02D7D">
      <w:pPr>
        <w:pStyle w:val="ListParagraph"/>
        <w:numPr>
          <w:ilvl w:val="0"/>
          <w:numId w:val="1"/>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 xml:space="preserve">Results-based financing. </w:t>
      </w:r>
      <w:r w:rsidR="00A9178D">
        <w:rPr>
          <w:rFonts w:ascii="Calibri" w:eastAsia="Times New Roman" w:hAnsi="Calibri" w:cs="Times New Roman"/>
          <w:color w:val="222222"/>
        </w:rPr>
        <w:t xml:space="preserve"> This refers to the effort to provide funding targeted to programs that are successful.</w:t>
      </w:r>
      <w:r>
        <w:rPr>
          <w:rFonts w:ascii="Calibri" w:eastAsia="Times New Roman" w:hAnsi="Calibri" w:cs="Times New Roman"/>
          <w:color w:val="222222"/>
        </w:rPr>
        <w:t xml:space="preserve"> Increasingly popular, though not appropriate for supporting core activities.  (examples)</w:t>
      </w:r>
    </w:p>
    <w:p w:rsidR="00B715FB" w:rsidRDefault="00B715FB" w:rsidP="00C02D7D">
      <w:pPr>
        <w:pStyle w:val="ListParagraph"/>
        <w:numPr>
          <w:ilvl w:val="0"/>
          <w:numId w:val="1"/>
        </w:numPr>
        <w:shd w:val="clear" w:color="auto" w:fill="FFFFFF"/>
        <w:spacing w:after="0" w:line="240" w:lineRule="auto"/>
        <w:rPr>
          <w:rFonts w:ascii="Calibri" w:eastAsia="Times New Roman" w:hAnsi="Calibri" w:cs="Times New Roman"/>
          <w:color w:val="222222"/>
        </w:rPr>
      </w:pPr>
      <w:r>
        <w:rPr>
          <w:rFonts w:ascii="Calibri" w:eastAsia="Times New Roman" w:hAnsi="Calibri" w:cs="Times New Roman"/>
          <w:color w:val="222222"/>
        </w:rPr>
        <w:t xml:space="preserve">Cost-Effectiveness Analysis.  This is a measure of improvements in a range of non-monetary benefits, including quantitative aspects such as </w:t>
      </w:r>
      <w:r>
        <w:t>enrolment, attendance and completion, and qualitative aspects such as cognitive development, academic achievement, or non-cognitive skills.</w:t>
      </w:r>
    </w:p>
    <w:p w:rsidR="00B715FB" w:rsidRPr="00B715FB" w:rsidRDefault="00B715FB" w:rsidP="009959A1">
      <w:pPr>
        <w:pStyle w:val="ListParagraph"/>
        <w:numPr>
          <w:ilvl w:val="0"/>
          <w:numId w:val="1"/>
        </w:numPr>
        <w:shd w:val="clear" w:color="auto" w:fill="FFFFFF"/>
        <w:spacing w:after="0" w:line="240" w:lineRule="auto"/>
        <w:rPr>
          <w:rFonts w:ascii="Calibri" w:eastAsia="Times New Roman" w:hAnsi="Calibri" w:cs="Times New Roman"/>
          <w:color w:val="222222"/>
        </w:rPr>
      </w:pPr>
      <w:r w:rsidRPr="00B715FB">
        <w:rPr>
          <w:rFonts w:ascii="Calibri" w:eastAsia="Times New Roman" w:hAnsi="Calibri" w:cs="Times New Roman"/>
          <w:color w:val="222222"/>
        </w:rPr>
        <w:t xml:space="preserve">Cost-Benefit Analysis.  </w:t>
      </w:r>
      <w:r>
        <w:t xml:space="preserve">This is a measure of the social gains created by a specific intervention (additional earnings or tax revenues) or averted costs (reduced crime, etc.).  </w:t>
      </w:r>
    </w:p>
    <w:p w:rsidR="00B715FB" w:rsidRPr="00C751E4" w:rsidRDefault="00B715FB" w:rsidP="00C751E4">
      <w:pPr>
        <w:shd w:val="clear" w:color="auto" w:fill="FFFFFF"/>
        <w:spacing w:after="0" w:line="240" w:lineRule="auto"/>
        <w:ind w:left="360"/>
        <w:rPr>
          <w:rFonts w:ascii="Calibri" w:eastAsia="Times New Roman" w:hAnsi="Calibri" w:cs="Times New Roman"/>
          <w:color w:val="222222"/>
        </w:rPr>
      </w:pPr>
    </w:p>
    <w:p w:rsidR="00AA6DB1" w:rsidRDefault="00AA6DB1" w:rsidP="00AA6DB1">
      <w:pPr>
        <w:shd w:val="clear" w:color="auto" w:fill="FFFFFF"/>
        <w:spacing w:after="0" w:line="240" w:lineRule="auto"/>
        <w:rPr>
          <w:rFonts w:ascii="Calibri" w:eastAsia="Times New Roman" w:hAnsi="Calibri" w:cs="Times New Roman"/>
          <w:color w:val="222222"/>
        </w:rPr>
      </w:pPr>
    </w:p>
    <w:p w:rsidR="00AA6DB1" w:rsidRDefault="00C751E4" w:rsidP="00B91987">
      <w:pPr>
        <w:pStyle w:val="ListParagraph"/>
        <w:numPr>
          <w:ilvl w:val="0"/>
          <w:numId w:val="6"/>
        </w:numPr>
        <w:shd w:val="clear" w:color="auto" w:fill="FFFFFF"/>
        <w:spacing w:after="0" w:line="240" w:lineRule="auto"/>
        <w:rPr>
          <w:rFonts w:ascii="Calibri" w:eastAsia="Times New Roman" w:hAnsi="Calibri" w:cs="Times New Roman"/>
          <w:b/>
          <w:color w:val="222222"/>
        </w:rPr>
      </w:pPr>
      <w:r>
        <w:rPr>
          <w:rFonts w:ascii="Calibri" w:eastAsia="Times New Roman" w:hAnsi="Calibri" w:cs="Times New Roman"/>
          <w:b/>
          <w:color w:val="222222"/>
        </w:rPr>
        <w:t>Differences in anglophone and francophone</w:t>
      </w:r>
      <w:r w:rsidR="008C690A">
        <w:rPr>
          <w:rFonts w:ascii="Calibri" w:eastAsia="Times New Roman" w:hAnsi="Calibri" w:cs="Times New Roman"/>
          <w:b/>
          <w:color w:val="222222"/>
        </w:rPr>
        <w:t xml:space="preserve"> </w:t>
      </w:r>
      <w:r>
        <w:rPr>
          <w:rFonts w:ascii="Calibri" w:eastAsia="Times New Roman" w:hAnsi="Calibri" w:cs="Times New Roman"/>
          <w:b/>
          <w:color w:val="222222"/>
        </w:rPr>
        <w:t xml:space="preserve">budget processes </w:t>
      </w:r>
      <w:r w:rsidR="008C690A">
        <w:rPr>
          <w:rFonts w:ascii="Calibri" w:eastAsia="Times New Roman" w:hAnsi="Calibri" w:cs="Times New Roman"/>
          <w:b/>
          <w:color w:val="222222"/>
        </w:rPr>
        <w:t>(30 minutes)</w:t>
      </w:r>
    </w:p>
    <w:p w:rsidR="00C751E4" w:rsidRPr="00A9178D" w:rsidRDefault="00C751E4" w:rsidP="00B91987">
      <w:pPr>
        <w:pStyle w:val="ListParagraph"/>
        <w:numPr>
          <w:ilvl w:val="1"/>
          <w:numId w:val="6"/>
        </w:numPr>
        <w:shd w:val="clear" w:color="auto" w:fill="FFFFFF"/>
        <w:spacing w:after="0" w:line="240" w:lineRule="auto"/>
        <w:rPr>
          <w:rFonts w:ascii="Calibri" w:eastAsia="Times New Roman" w:hAnsi="Calibri" w:cs="Times New Roman"/>
          <w:color w:val="222222"/>
        </w:rPr>
      </w:pPr>
      <w:r w:rsidRPr="00A9178D">
        <w:rPr>
          <w:rFonts w:ascii="Calibri" w:eastAsia="Times New Roman" w:hAnsi="Calibri" w:cs="Times New Roman"/>
          <w:color w:val="222222"/>
        </w:rPr>
        <w:t>Budget preparation processes are similar</w:t>
      </w:r>
    </w:p>
    <w:p w:rsidR="00C751E4" w:rsidRPr="00A9178D" w:rsidRDefault="00C751E4" w:rsidP="00B91987">
      <w:pPr>
        <w:pStyle w:val="ListParagraph"/>
        <w:numPr>
          <w:ilvl w:val="1"/>
          <w:numId w:val="6"/>
        </w:numPr>
        <w:shd w:val="clear" w:color="auto" w:fill="FFFFFF"/>
        <w:spacing w:after="0" w:line="240" w:lineRule="auto"/>
        <w:rPr>
          <w:rFonts w:ascii="Calibri" w:eastAsia="Times New Roman" w:hAnsi="Calibri" w:cs="Times New Roman"/>
          <w:color w:val="222222"/>
        </w:rPr>
      </w:pPr>
      <w:r w:rsidRPr="00A9178D">
        <w:rPr>
          <w:rFonts w:ascii="Calibri" w:eastAsia="Times New Roman" w:hAnsi="Calibri" w:cs="Times New Roman"/>
          <w:color w:val="222222"/>
        </w:rPr>
        <w:t>Budget execution very different:  in anglophone system, much authority is devolved to the spending ministry where the Accounting Officer is responsible for payments, audits.  In francophone system, authority remains within the Ministry of Finance.   There is an important split between approving the expenditure (ordonnancement) and actually making the expenditure in the francophone system.   The francophone system has generally had lower inflation because of borrowing limits at the Central Bank, but much greater problems with arrears.</w:t>
      </w:r>
    </w:p>
    <w:p w:rsidR="006D3BEF" w:rsidRDefault="006D3BEF" w:rsidP="00AA6DB1">
      <w:pPr>
        <w:shd w:val="clear" w:color="auto" w:fill="FFFFFF"/>
        <w:spacing w:after="0" w:line="240" w:lineRule="auto"/>
        <w:rPr>
          <w:rFonts w:ascii="Calibri" w:eastAsia="Times New Roman" w:hAnsi="Calibri" w:cs="Times New Roman"/>
          <w:color w:val="222222"/>
        </w:rPr>
      </w:pPr>
    </w:p>
    <w:p w:rsidR="008C690A" w:rsidRDefault="001E65B7" w:rsidP="00B91987">
      <w:pPr>
        <w:pStyle w:val="ListParagraph"/>
        <w:numPr>
          <w:ilvl w:val="0"/>
          <w:numId w:val="6"/>
        </w:numPr>
        <w:rPr>
          <w:b/>
        </w:rPr>
      </w:pPr>
      <w:r>
        <w:rPr>
          <w:b/>
        </w:rPr>
        <w:t>Budget analysis exercise (4</w:t>
      </w:r>
      <w:r w:rsidR="006445F2">
        <w:rPr>
          <w:b/>
        </w:rPr>
        <w:t>0 minutes)</w:t>
      </w:r>
    </w:p>
    <w:p w:rsidR="000E66F4" w:rsidRPr="00A9178D" w:rsidRDefault="00A9178D" w:rsidP="00504B3F">
      <w:pPr>
        <w:pStyle w:val="ListParagraph"/>
        <w:ind w:firstLine="720"/>
      </w:pPr>
      <w:r w:rsidRPr="00A9178D">
        <w:t>Consistency</w:t>
      </w:r>
      <w:r w:rsidR="000E66F4" w:rsidRPr="00A9178D">
        <w:t xml:space="preserve"> between policy objectives and budget</w:t>
      </w:r>
      <w:r w:rsidRPr="00A9178D">
        <w:t xml:space="preserve"> (including policy costing analysis)</w:t>
      </w:r>
    </w:p>
    <w:p w:rsidR="00504B3F" w:rsidRPr="00A9178D" w:rsidRDefault="00504B3F" w:rsidP="00504B3F">
      <w:pPr>
        <w:pStyle w:val="ListParagraph"/>
        <w:ind w:firstLine="720"/>
      </w:pPr>
      <w:r w:rsidRPr="00A9178D">
        <w:t>% of overall budget going to education:  $232.3 million of 1.385 billion = 16.7%</w:t>
      </w:r>
    </w:p>
    <w:p w:rsidR="00504B3F" w:rsidRPr="00A9178D" w:rsidRDefault="00504B3F" w:rsidP="00504B3F">
      <w:pPr>
        <w:pStyle w:val="ListParagraph"/>
      </w:pPr>
      <w:r w:rsidRPr="00A9178D">
        <w:tab/>
        <w:t>Sub-sector breakdown:  .1% (pre-primary), 29% (primary), 18%+16% (sec), 2%, 12% (TVET), 18% (higher), 0.1%, 2%, 3%</w:t>
      </w:r>
    </w:p>
    <w:p w:rsidR="00504B3F" w:rsidRPr="00A9178D" w:rsidRDefault="00504B3F" w:rsidP="00504B3F">
      <w:pPr>
        <w:pStyle w:val="ListParagraph"/>
      </w:pPr>
      <w:r w:rsidRPr="00A9178D">
        <w:tab/>
        <w:t xml:space="preserve">By student cost:  </w:t>
      </w:r>
    </w:p>
    <w:p w:rsidR="00724A13" w:rsidRPr="00A9178D" w:rsidRDefault="00504B3F" w:rsidP="00B67692">
      <w:pPr>
        <w:pStyle w:val="ListParagraph"/>
      </w:pPr>
      <w:r w:rsidRPr="00A9178D">
        <w:tab/>
        <w:t xml:space="preserve">By gender public expenditure incidence:  </w:t>
      </w:r>
      <w:r w:rsidR="00B67692" w:rsidRPr="00A9178D">
        <w:t>(</w:t>
      </w:r>
      <w:r w:rsidRPr="00A9178D">
        <w:t xml:space="preserve">250x.52 + 44x.39 + </w:t>
      </w:r>
      <w:r w:rsidR="00B67692" w:rsidRPr="00A9178D">
        <w:t>70x.44)/364= .49  (female students receive .49 compared to boys .51)</w:t>
      </w:r>
    </w:p>
    <w:p w:rsidR="00B67692" w:rsidRPr="00A9178D" w:rsidRDefault="00B67692" w:rsidP="00B67692">
      <w:pPr>
        <w:pStyle w:val="ListParagraph"/>
      </w:pPr>
      <w:r w:rsidRPr="00A9178D">
        <w:tab/>
        <w:t>By benefit incidence: (70x.03 +136x.31 + 116x.78)/322 = .42 (bottom quintile gets .42 compared to top quintile 1.0)</w:t>
      </w:r>
    </w:p>
    <w:p w:rsidR="00724A13" w:rsidRPr="00724A13" w:rsidRDefault="008E44CE" w:rsidP="00B91987">
      <w:pPr>
        <w:pStyle w:val="ListParagraph"/>
        <w:numPr>
          <w:ilvl w:val="0"/>
          <w:numId w:val="6"/>
        </w:numPr>
        <w:rPr>
          <w:b/>
        </w:rPr>
      </w:pPr>
      <w:r>
        <w:rPr>
          <w:b/>
        </w:rPr>
        <w:t>EU Role</w:t>
      </w:r>
      <w:r w:rsidR="00724A13">
        <w:rPr>
          <w:b/>
        </w:rPr>
        <w:t xml:space="preserve"> (10 minutes)</w:t>
      </w:r>
    </w:p>
    <w:p w:rsidR="00724A13" w:rsidRDefault="005E2CE7" w:rsidP="005E2CE7">
      <w:pPr>
        <w:ind w:left="720"/>
      </w:pPr>
      <w:r>
        <w:t>Possible considerations:  funding of tracking surveys, sector Public Expenditure Review, support for improved capacity-building for EMIS, participation in dialogue around pro-poor budget targets, use of pro-poor targets for</w:t>
      </w:r>
      <w:bookmarkStart w:id="0" w:name="_GoBack"/>
      <w:bookmarkEnd w:id="0"/>
      <w:r>
        <w:t xml:space="preserve"> budget support tranching indicators, etc.</w:t>
      </w:r>
    </w:p>
    <w:p w:rsidR="00EE029D" w:rsidRDefault="00EE029D"/>
    <w:sectPr w:rsidR="00EE02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9EC" w:rsidRDefault="001879EC" w:rsidP="00C2377F">
      <w:pPr>
        <w:spacing w:after="0" w:line="240" w:lineRule="auto"/>
      </w:pPr>
      <w:r>
        <w:separator/>
      </w:r>
    </w:p>
  </w:endnote>
  <w:endnote w:type="continuationSeparator" w:id="0">
    <w:p w:rsidR="001879EC" w:rsidRDefault="001879EC" w:rsidP="00C23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9EC" w:rsidRDefault="001879EC" w:rsidP="00C2377F">
      <w:pPr>
        <w:spacing w:after="0" w:line="240" w:lineRule="auto"/>
      </w:pPr>
      <w:r>
        <w:separator/>
      </w:r>
    </w:p>
  </w:footnote>
  <w:footnote w:type="continuationSeparator" w:id="0">
    <w:p w:rsidR="001879EC" w:rsidRDefault="001879EC" w:rsidP="00C2377F">
      <w:pPr>
        <w:spacing w:after="0" w:line="240" w:lineRule="auto"/>
      </w:pPr>
      <w:r>
        <w:continuationSeparator/>
      </w:r>
    </w:p>
  </w:footnote>
  <w:footnote w:id="1">
    <w:p w:rsidR="00C2377F" w:rsidRDefault="00C2377F">
      <w:pPr>
        <w:pStyle w:val="FootnoteText"/>
      </w:pPr>
      <w:r>
        <w:rPr>
          <w:rStyle w:val="FootnoteReference"/>
        </w:rPr>
        <w:footnoteRef/>
      </w:r>
      <w:r>
        <w:t xml:space="preserve"> Unicef (2015).  The Investment Case for Education and Equity.  New York:  Unicef.</w:t>
      </w:r>
    </w:p>
  </w:footnote>
  <w:footnote w:id="2">
    <w:p w:rsidR="00251187" w:rsidRDefault="00251187">
      <w:pPr>
        <w:pStyle w:val="FootnoteText"/>
      </w:pPr>
      <w:r>
        <w:rPr>
          <w:rStyle w:val="FootnoteReference"/>
        </w:rPr>
        <w:footnoteRef/>
      </w:r>
      <w:r>
        <w:t xml:space="preserve"> World Bank (2012).  How Pro-Poor and Progressive is Social Spending in Zambia?</w:t>
      </w:r>
    </w:p>
  </w:footnote>
  <w:footnote w:id="3">
    <w:p w:rsidR="007839B2" w:rsidRDefault="007839B2">
      <w:pPr>
        <w:pStyle w:val="FootnoteText"/>
      </w:pPr>
      <w:r>
        <w:rPr>
          <w:rStyle w:val="FootnoteReference"/>
        </w:rPr>
        <w:footnoteRef/>
      </w:r>
      <w:r>
        <w:t xml:space="preserve"> </w:t>
      </w:r>
      <w:r w:rsidR="0019290D">
        <w:t>E. Uneze (2015).  Domestic Resource Mobilization:  A Financing Option for Sustainable Development in Africa.  Post-2015.org.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800A3"/>
    <w:multiLevelType w:val="hybridMultilevel"/>
    <w:tmpl w:val="23D40380"/>
    <w:lvl w:ilvl="0" w:tplc="D7C2E1C6">
      <w:start w:val="1"/>
      <w:numFmt w:val="decimal"/>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C0595"/>
    <w:multiLevelType w:val="hybridMultilevel"/>
    <w:tmpl w:val="B56C7448"/>
    <w:lvl w:ilvl="0" w:tplc="561008E0">
      <w:start w:val="1"/>
      <w:numFmt w:val="decimal"/>
      <w:lvlText w:val="%1."/>
      <w:lvlJc w:val="left"/>
      <w:pPr>
        <w:tabs>
          <w:tab w:val="num" w:pos="720"/>
        </w:tabs>
        <w:ind w:left="720" w:hanging="360"/>
      </w:pPr>
    </w:lvl>
    <w:lvl w:ilvl="1" w:tplc="EFA069C8" w:tentative="1">
      <w:start w:val="1"/>
      <w:numFmt w:val="decimal"/>
      <w:lvlText w:val="%2."/>
      <w:lvlJc w:val="left"/>
      <w:pPr>
        <w:tabs>
          <w:tab w:val="num" w:pos="1440"/>
        </w:tabs>
        <w:ind w:left="1440" w:hanging="360"/>
      </w:pPr>
    </w:lvl>
    <w:lvl w:ilvl="2" w:tplc="BFCA24D6" w:tentative="1">
      <w:start w:val="1"/>
      <w:numFmt w:val="decimal"/>
      <w:lvlText w:val="%3."/>
      <w:lvlJc w:val="left"/>
      <w:pPr>
        <w:tabs>
          <w:tab w:val="num" w:pos="2160"/>
        </w:tabs>
        <w:ind w:left="2160" w:hanging="360"/>
      </w:pPr>
    </w:lvl>
    <w:lvl w:ilvl="3" w:tplc="A606B58E" w:tentative="1">
      <w:start w:val="1"/>
      <w:numFmt w:val="decimal"/>
      <w:lvlText w:val="%4."/>
      <w:lvlJc w:val="left"/>
      <w:pPr>
        <w:tabs>
          <w:tab w:val="num" w:pos="2880"/>
        </w:tabs>
        <w:ind w:left="2880" w:hanging="360"/>
      </w:pPr>
    </w:lvl>
    <w:lvl w:ilvl="4" w:tplc="A5CAA276" w:tentative="1">
      <w:start w:val="1"/>
      <w:numFmt w:val="decimal"/>
      <w:lvlText w:val="%5."/>
      <w:lvlJc w:val="left"/>
      <w:pPr>
        <w:tabs>
          <w:tab w:val="num" w:pos="3600"/>
        </w:tabs>
        <w:ind w:left="3600" w:hanging="360"/>
      </w:pPr>
    </w:lvl>
    <w:lvl w:ilvl="5" w:tplc="06F65218" w:tentative="1">
      <w:start w:val="1"/>
      <w:numFmt w:val="decimal"/>
      <w:lvlText w:val="%6."/>
      <w:lvlJc w:val="left"/>
      <w:pPr>
        <w:tabs>
          <w:tab w:val="num" w:pos="4320"/>
        </w:tabs>
        <w:ind w:left="4320" w:hanging="360"/>
      </w:pPr>
    </w:lvl>
    <w:lvl w:ilvl="6" w:tplc="BABAE594" w:tentative="1">
      <w:start w:val="1"/>
      <w:numFmt w:val="decimal"/>
      <w:lvlText w:val="%7."/>
      <w:lvlJc w:val="left"/>
      <w:pPr>
        <w:tabs>
          <w:tab w:val="num" w:pos="5040"/>
        </w:tabs>
        <w:ind w:left="5040" w:hanging="360"/>
      </w:pPr>
    </w:lvl>
    <w:lvl w:ilvl="7" w:tplc="005035C4" w:tentative="1">
      <w:start w:val="1"/>
      <w:numFmt w:val="decimal"/>
      <w:lvlText w:val="%8."/>
      <w:lvlJc w:val="left"/>
      <w:pPr>
        <w:tabs>
          <w:tab w:val="num" w:pos="5760"/>
        </w:tabs>
        <w:ind w:left="5760" w:hanging="360"/>
      </w:pPr>
    </w:lvl>
    <w:lvl w:ilvl="8" w:tplc="0B507846" w:tentative="1">
      <w:start w:val="1"/>
      <w:numFmt w:val="decimal"/>
      <w:lvlText w:val="%9."/>
      <w:lvlJc w:val="left"/>
      <w:pPr>
        <w:tabs>
          <w:tab w:val="num" w:pos="6480"/>
        </w:tabs>
        <w:ind w:left="6480" w:hanging="360"/>
      </w:pPr>
    </w:lvl>
  </w:abstractNum>
  <w:abstractNum w:abstractNumId="2" w15:restartNumberingAfterBreak="0">
    <w:nsid w:val="2B8A1537"/>
    <w:multiLevelType w:val="hybridMultilevel"/>
    <w:tmpl w:val="7D663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AA478A"/>
    <w:multiLevelType w:val="hybridMultilevel"/>
    <w:tmpl w:val="DC149A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CB270F"/>
    <w:multiLevelType w:val="hybridMultilevel"/>
    <w:tmpl w:val="DC149A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596DA5"/>
    <w:multiLevelType w:val="hybridMultilevel"/>
    <w:tmpl w:val="A0ECF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4149F7"/>
    <w:multiLevelType w:val="hybridMultilevel"/>
    <w:tmpl w:val="DC149A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E069E9"/>
    <w:multiLevelType w:val="hybridMultilevel"/>
    <w:tmpl w:val="4F8AD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210F5D"/>
    <w:multiLevelType w:val="hybridMultilevel"/>
    <w:tmpl w:val="A1723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BD3CDF"/>
    <w:multiLevelType w:val="hybridMultilevel"/>
    <w:tmpl w:val="E0187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EE113F"/>
    <w:multiLevelType w:val="hybridMultilevel"/>
    <w:tmpl w:val="71BEF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5"/>
  </w:num>
  <w:num w:numId="5">
    <w:abstractNumId w:val="0"/>
  </w:num>
  <w:num w:numId="6">
    <w:abstractNumId w:val="4"/>
  </w:num>
  <w:num w:numId="7">
    <w:abstractNumId w:val="7"/>
  </w:num>
  <w:num w:numId="8">
    <w:abstractNumId w:val="2"/>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D0C"/>
    <w:rsid w:val="000638E0"/>
    <w:rsid w:val="000E66F4"/>
    <w:rsid w:val="001616D0"/>
    <w:rsid w:val="00173F93"/>
    <w:rsid w:val="001879EC"/>
    <w:rsid w:val="0019290D"/>
    <w:rsid w:val="001E65B7"/>
    <w:rsid w:val="00233749"/>
    <w:rsid w:val="00251187"/>
    <w:rsid w:val="00475722"/>
    <w:rsid w:val="00501915"/>
    <w:rsid w:val="00504B3F"/>
    <w:rsid w:val="0057590B"/>
    <w:rsid w:val="005E2CE7"/>
    <w:rsid w:val="006445F2"/>
    <w:rsid w:val="00662214"/>
    <w:rsid w:val="006D3BEF"/>
    <w:rsid w:val="00724A13"/>
    <w:rsid w:val="007839B2"/>
    <w:rsid w:val="007A7D15"/>
    <w:rsid w:val="00832418"/>
    <w:rsid w:val="00866EFD"/>
    <w:rsid w:val="008C690A"/>
    <w:rsid w:val="008E44CE"/>
    <w:rsid w:val="00905BE2"/>
    <w:rsid w:val="00A9178D"/>
    <w:rsid w:val="00AA6DB1"/>
    <w:rsid w:val="00AF2D0C"/>
    <w:rsid w:val="00B35472"/>
    <w:rsid w:val="00B67692"/>
    <w:rsid w:val="00B715FB"/>
    <w:rsid w:val="00B91987"/>
    <w:rsid w:val="00C2377F"/>
    <w:rsid w:val="00C46BD5"/>
    <w:rsid w:val="00C751E4"/>
    <w:rsid w:val="00CD306E"/>
    <w:rsid w:val="00E27FDC"/>
    <w:rsid w:val="00E62DB8"/>
    <w:rsid w:val="00E74A74"/>
    <w:rsid w:val="00EA5868"/>
    <w:rsid w:val="00EB0713"/>
    <w:rsid w:val="00EE029D"/>
    <w:rsid w:val="00FC3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856C1D-3696-400A-A264-3B5F4910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2D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F2D0C"/>
  </w:style>
  <w:style w:type="paragraph" w:styleId="ListParagraph">
    <w:name w:val="List Paragraph"/>
    <w:basedOn w:val="Normal"/>
    <w:uiPriority w:val="34"/>
    <w:qFormat/>
    <w:rsid w:val="00E27FDC"/>
    <w:pPr>
      <w:ind w:left="720"/>
      <w:contextualSpacing/>
    </w:pPr>
  </w:style>
  <w:style w:type="paragraph" w:styleId="FootnoteText">
    <w:name w:val="footnote text"/>
    <w:basedOn w:val="Normal"/>
    <w:link w:val="FootnoteTextChar"/>
    <w:uiPriority w:val="99"/>
    <w:semiHidden/>
    <w:unhideWhenUsed/>
    <w:rsid w:val="00C237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377F"/>
    <w:rPr>
      <w:sz w:val="20"/>
      <w:szCs w:val="20"/>
    </w:rPr>
  </w:style>
  <w:style w:type="character" w:styleId="FootnoteReference">
    <w:name w:val="footnote reference"/>
    <w:basedOn w:val="DefaultParagraphFont"/>
    <w:uiPriority w:val="99"/>
    <w:semiHidden/>
    <w:unhideWhenUsed/>
    <w:rsid w:val="00C2377F"/>
    <w:rPr>
      <w:vertAlign w:val="superscript"/>
    </w:rPr>
  </w:style>
  <w:style w:type="character" w:styleId="Strong">
    <w:name w:val="Strong"/>
    <w:basedOn w:val="DefaultParagraphFont"/>
    <w:uiPriority w:val="22"/>
    <w:qFormat/>
    <w:rsid w:val="007839B2"/>
    <w:rPr>
      <w:b/>
      <w:bCs/>
    </w:rPr>
  </w:style>
  <w:style w:type="character" w:styleId="Hyperlink">
    <w:name w:val="Hyperlink"/>
    <w:basedOn w:val="DefaultParagraphFont"/>
    <w:uiPriority w:val="99"/>
    <w:semiHidden/>
    <w:unhideWhenUsed/>
    <w:rsid w:val="007839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89017">
      <w:bodyDiv w:val="1"/>
      <w:marLeft w:val="0"/>
      <w:marRight w:val="0"/>
      <w:marTop w:val="0"/>
      <w:marBottom w:val="0"/>
      <w:divBdr>
        <w:top w:val="none" w:sz="0" w:space="0" w:color="auto"/>
        <w:left w:val="none" w:sz="0" w:space="0" w:color="auto"/>
        <w:bottom w:val="none" w:sz="0" w:space="0" w:color="auto"/>
        <w:right w:val="none" w:sz="0" w:space="0" w:color="auto"/>
      </w:divBdr>
    </w:div>
    <w:div w:id="209191067">
      <w:bodyDiv w:val="1"/>
      <w:marLeft w:val="0"/>
      <w:marRight w:val="0"/>
      <w:marTop w:val="0"/>
      <w:marBottom w:val="0"/>
      <w:divBdr>
        <w:top w:val="none" w:sz="0" w:space="0" w:color="auto"/>
        <w:left w:val="none" w:sz="0" w:space="0" w:color="auto"/>
        <w:bottom w:val="none" w:sz="0" w:space="0" w:color="auto"/>
        <w:right w:val="none" w:sz="0" w:space="0" w:color="auto"/>
      </w:divBdr>
    </w:div>
    <w:div w:id="236323595">
      <w:bodyDiv w:val="1"/>
      <w:marLeft w:val="0"/>
      <w:marRight w:val="0"/>
      <w:marTop w:val="0"/>
      <w:marBottom w:val="0"/>
      <w:divBdr>
        <w:top w:val="none" w:sz="0" w:space="0" w:color="auto"/>
        <w:left w:val="none" w:sz="0" w:space="0" w:color="auto"/>
        <w:bottom w:val="none" w:sz="0" w:space="0" w:color="auto"/>
        <w:right w:val="none" w:sz="0" w:space="0" w:color="auto"/>
      </w:divBdr>
    </w:div>
    <w:div w:id="321130130">
      <w:bodyDiv w:val="1"/>
      <w:marLeft w:val="0"/>
      <w:marRight w:val="0"/>
      <w:marTop w:val="0"/>
      <w:marBottom w:val="0"/>
      <w:divBdr>
        <w:top w:val="none" w:sz="0" w:space="0" w:color="auto"/>
        <w:left w:val="none" w:sz="0" w:space="0" w:color="auto"/>
        <w:bottom w:val="none" w:sz="0" w:space="0" w:color="auto"/>
        <w:right w:val="none" w:sz="0" w:space="0" w:color="auto"/>
      </w:divBdr>
    </w:div>
    <w:div w:id="476997369">
      <w:bodyDiv w:val="1"/>
      <w:marLeft w:val="0"/>
      <w:marRight w:val="0"/>
      <w:marTop w:val="0"/>
      <w:marBottom w:val="0"/>
      <w:divBdr>
        <w:top w:val="none" w:sz="0" w:space="0" w:color="auto"/>
        <w:left w:val="none" w:sz="0" w:space="0" w:color="auto"/>
        <w:bottom w:val="none" w:sz="0" w:space="0" w:color="auto"/>
        <w:right w:val="none" w:sz="0" w:space="0" w:color="auto"/>
      </w:divBdr>
    </w:div>
    <w:div w:id="649407633">
      <w:bodyDiv w:val="1"/>
      <w:marLeft w:val="0"/>
      <w:marRight w:val="0"/>
      <w:marTop w:val="0"/>
      <w:marBottom w:val="0"/>
      <w:divBdr>
        <w:top w:val="none" w:sz="0" w:space="0" w:color="auto"/>
        <w:left w:val="none" w:sz="0" w:space="0" w:color="auto"/>
        <w:bottom w:val="none" w:sz="0" w:space="0" w:color="auto"/>
        <w:right w:val="none" w:sz="0" w:space="0" w:color="auto"/>
      </w:divBdr>
    </w:div>
    <w:div w:id="748120722">
      <w:bodyDiv w:val="1"/>
      <w:marLeft w:val="0"/>
      <w:marRight w:val="0"/>
      <w:marTop w:val="0"/>
      <w:marBottom w:val="0"/>
      <w:divBdr>
        <w:top w:val="none" w:sz="0" w:space="0" w:color="auto"/>
        <w:left w:val="none" w:sz="0" w:space="0" w:color="auto"/>
        <w:bottom w:val="none" w:sz="0" w:space="0" w:color="auto"/>
        <w:right w:val="none" w:sz="0" w:space="0" w:color="auto"/>
      </w:divBdr>
    </w:div>
    <w:div w:id="1158308866">
      <w:bodyDiv w:val="1"/>
      <w:marLeft w:val="0"/>
      <w:marRight w:val="0"/>
      <w:marTop w:val="0"/>
      <w:marBottom w:val="0"/>
      <w:divBdr>
        <w:top w:val="none" w:sz="0" w:space="0" w:color="auto"/>
        <w:left w:val="none" w:sz="0" w:space="0" w:color="auto"/>
        <w:bottom w:val="none" w:sz="0" w:space="0" w:color="auto"/>
        <w:right w:val="none" w:sz="0" w:space="0" w:color="auto"/>
      </w:divBdr>
    </w:div>
    <w:div w:id="1236090521">
      <w:bodyDiv w:val="1"/>
      <w:marLeft w:val="0"/>
      <w:marRight w:val="0"/>
      <w:marTop w:val="0"/>
      <w:marBottom w:val="0"/>
      <w:divBdr>
        <w:top w:val="none" w:sz="0" w:space="0" w:color="auto"/>
        <w:left w:val="none" w:sz="0" w:space="0" w:color="auto"/>
        <w:bottom w:val="none" w:sz="0" w:space="0" w:color="auto"/>
        <w:right w:val="none" w:sz="0" w:space="0" w:color="auto"/>
      </w:divBdr>
    </w:div>
    <w:div w:id="1254707835">
      <w:bodyDiv w:val="1"/>
      <w:marLeft w:val="0"/>
      <w:marRight w:val="0"/>
      <w:marTop w:val="0"/>
      <w:marBottom w:val="0"/>
      <w:divBdr>
        <w:top w:val="none" w:sz="0" w:space="0" w:color="auto"/>
        <w:left w:val="none" w:sz="0" w:space="0" w:color="auto"/>
        <w:bottom w:val="none" w:sz="0" w:space="0" w:color="auto"/>
        <w:right w:val="none" w:sz="0" w:space="0" w:color="auto"/>
      </w:divBdr>
      <w:divsChild>
        <w:div w:id="1831824655">
          <w:marLeft w:val="720"/>
          <w:marRight w:val="0"/>
          <w:marTop w:val="115"/>
          <w:marBottom w:val="0"/>
          <w:divBdr>
            <w:top w:val="none" w:sz="0" w:space="0" w:color="auto"/>
            <w:left w:val="none" w:sz="0" w:space="0" w:color="auto"/>
            <w:bottom w:val="none" w:sz="0" w:space="0" w:color="auto"/>
            <w:right w:val="none" w:sz="0" w:space="0" w:color="auto"/>
          </w:divBdr>
        </w:div>
        <w:div w:id="152331714">
          <w:marLeft w:val="720"/>
          <w:marRight w:val="0"/>
          <w:marTop w:val="115"/>
          <w:marBottom w:val="0"/>
          <w:divBdr>
            <w:top w:val="none" w:sz="0" w:space="0" w:color="auto"/>
            <w:left w:val="none" w:sz="0" w:space="0" w:color="auto"/>
            <w:bottom w:val="none" w:sz="0" w:space="0" w:color="auto"/>
            <w:right w:val="none" w:sz="0" w:space="0" w:color="auto"/>
          </w:divBdr>
        </w:div>
        <w:div w:id="1618443074">
          <w:marLeft w:val="720"/>
          <w:marRight w:val="0"/>
          <w:marTop w:val="115"/>
          <w:marBottom w:val="0"/>
          <w:divBdr>
            <w:top w:val="none" w:sz="0" w:space="0" w:color="auto"/>
            <w:left w:val="none" w:sz="0" w:space="0" w:color="auto"/>
            <w:bottom w:val="none" w:sz="0" w:space="0" w:color="auto"/>
            <w:right w:val="none" w:sz="0" w:space="0" w:color="auto"/>
          </w:divBdr>
        </w:div>
      </w:divsChild>
    </w:div>
    <w:div w:id="133537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4555A-ADE3-42BA-BE95-B851DA59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Prouty</dc:creator>
  <cp:keywords/>
  <dc:description/>
  <cp:lastModifiedBy>Bob Prouty</cp:lastModifiedBy>
  <cp:revision>2</cp:revision>
  <dcterms:created xsi:type="dcterms:W3CDTF">2015-10-22T09:48:00Z</dcterms:created>
  <dcterms:modified xsi:type="dcterms:W3CDTF">2015-10-22T09:48:00Z</dcterms:modified>
</cp:coreProperties>
</file>