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Default="002A23D6" w:rsidP="00700CEE">
      <w:pPr>
        <w:spacing w:after="60"/>
        <w:jc w:val="center"/>
        <w:rPr>
          <w:b/>
        </w:rPr>
      </w:pPr>
      <w:r>
        <w:rPr>
          <w:b/>
        </w:rPr>
        <w:t>SEPTEMBER – OCTOBER</w:t>
      </w:r>
      <w:r w:rsidR="00273BAA" w:rsidRPr="00273BAA">
        <w:rPr>
          <w:b/>
        </w:rPr>
        <w:t xml:space="preserve"> </w:t>
      </w:r>
      <w:r w:rsidR="00AE009E">
        <w:rPr>
          <w:b/>
        </w:rPr>
        <w:t>2015</w:t>
      </w:r>
    </w:p>
    <w:p w:rsidR="00C82220" w:rsidRDefault="00E77D18" w:rsidP="00E77D18">
      <w:pPr>
        <w:pStyle w:val="ListParagraph"/>
        <w:numPr>
          <w:ilvl w:val="0"/>
          <w:numId w:val="11"/>
        </w:numPr>
        <w:spacing w:after="60"/>
        <w:jc w:val="both"/>
        <w:rPr>
          <w:sz w:val="21"/>
          <w:szCs w:val="21"/>
        </w:rPr>
      </w:pPr>
      <w:r w:rsidRPr="00E77D18">
        <w:rPr>
          <w:sz w:val="21"/>
          <w:szCs w:val="21"/>
        </w:rPr>
        <w:t xml:space="preserve">EUROPEAN COMMISSION </w:t>
      </w:r>
      <w:r w:rsidR="00C82220" w:rsidRPr="00E77D18">
        <w:rPr>
          <w:sz w:val="21"/>
          <w:szCs w:val="21"/>
        </w:rPr>
        <w:t xml:space="preserve">- </w:t>
      </w:r>
      <w:hyperlink r:id="rId9" w:history="1">
        <w:r w:rsidRPr="00E77D18">
          <w:rPr>
            <w:rStyle w:val="Hyperlink"/>
            <w:b/>
          </w:rPr>
          <w:t>GENDER EQUALITY AND WOMEN'S EMPOWERMENT: TRANSFORMING THE LIVES OF GIRLS AND WOMEN THROUGH EU EXTERNAL RELATIONS 2016-2020</w:t>
        </w:r>
      </w:hyperlink>
      <w:r w:rsidRPr="00E77D18">
        <w:rPr>
          <w:sz w:val="21"/>
          <w:szCs w:val="21"/>
        </w:rPr>
        <w:t xml:space="preserve"> </w:t>
      </w:r>
      <w:r>
        <w:rPr>
          <w:sz w:val="21"/>
          <w:szCs w:val="21"/>
        </w:rPr>
        <w:t>–</w:t>
      </w:r>
      <w:r w:rsidRPr="00E77D18">
        <w:rPr>
          <w:sz w:val="21"/>
          <w:szCs w:val="21"/>
        </w:rPr>
        <w:t xml:space="preserve"> 2015</w:t>
      </w:r>
    </w:p>
    <w:p w:rsidR="00E77D18" w:rsidRDefault="002A23D6" w:rsidP="002A23D6">
      <w:pPr>
        <w:spacing w:after="120"/>
        <w:ind w:left="360"/>
        <w:jc w:val="both"/>
        <w:rPr>
          <w:sz w:val="19"/>
          <w:szCs w:val="19"/>
        </w:rPr>
      </w:pPr>
      <w:r w:rsidRPr="002A23D6">
        <w:rPr>
          <w:sz w:val="19"/>
          <w:szCs w:val="19"/>
        </w:rPr>
        <w:t xml:space="preserve">This </w:t>
      </w:r>
      <w:r>
        <w:rPr>
          <w:sz w:val="19"/>
          <w:szCs w:val="19"/>
        </w:rPr>
        <w:t>d</w:t>
      </w:r>
      <w:r w:rsidRPr="002A23D6">
        <w:rPr>
          <w:sz w:val="19"/>
          <w:szCs w:val="19"/>
        </w:rPr>
        <w:t>ocument provides the framework for results-oriented measures for "Gender Equality and Women’s Empowerment: Transforming the Lives of Girls and Women through EU External Relations 2016-2020"</w:t>
      </w:r>
      <w:r>
        <w:rPr>
          <w:sz w:val="19"/>
          <w:szCs w:val="19"/>
        </w:rPr>
        <w:t xml:space="preserve">. </w:t>
      </w:r>
      <w:r w:rsidRPr="002A23D6">
        <w:rPr>
          <w:sz w:val="19"/>
          <w:szCs w:val="19"/>
        </w:rPr>
        <w:t>It builds on the lessons learnt from, and achievements of, the previous Gender Action Plan 2010-2015, and consolidates the context, rationale and priorities of a refreshed approach that reaffirms and translates the EU's policy and political commitments to gender equality into more effective delivery of concrete results for girls and women, while promoting more efficient coordination, implementation and monitoring of EU activities in this area.</w:t>
      </w:r>
    </w:p>
    <w:p w:rsidR="00976668" w:rsidRDefault="00B86298" w:rsidP="00976668">
      <w:pPr>
        <w:pStyle w:val="ListParagraph"/>
        <w:numPr>
          <w:ilvl w:val="0"/>
          <w:numId w:val="11"/>
        </w:numPr>
        <w:spacing w:after="60"/>
        <w:jc w:val="both"/>
        <w:rPr>
          <w:sz w:val="21"/>
          <w:szCs w:val="21"/>
        </w:rPr>
      </w:pPr>
      <w:r>
        <w:t>Helen Durham and Katie O’Byrne (</w:t>
      </w:r>
      <w:r w:rsidR="00976668" w:rsidRPr="00976668">
        <w:rPr>
          <w:sz w:val="21"/>
          <w:szCs w:val="21"/>
        </w:rPr>
        <w:t>ICRC</w:t>
      </w:r>
      <w:r>
        <w:rPr>
          <w:sz w:val="21"/>
          <w:szCs w:val="21"/>
        </w:rPr>
        <w:t>)</w:t>
      </w:r>
      <w:r w:rsidR="00976668">
        <w:rPr>
          <w:sz w:val="19"/>
          <w:szCs w:val="19"/>
        </w:rPr>
        <w:t xml:space="preserve">, </w:t>
      </w:r>
      <w:hyperlink r:id="rId10" w:history="1">
        <w:r w:rsidR="00976668" w:rsidRPr="00976668">
          <w:rPr>
            <w:rStyle w:val="Hyperlink"/>
            <w:b/>
          </w:rPr>
          <w:t>THE DIALOGUE OF DIFFERENCE: GENDER PERSPECTIVES ON INTERNATIONAL HUMANITARIAN LAW</w:t>
        </w:r>
      </w:hyperlink>
      <w:r w:rsidR="00976668" w:rsidRPr="00976668">
        <w:rPr>
          <w:sz w:val="21"/>
          <w:szCs w:val="21"/>
        </w:rPr>
        <w:t xml:space="preserve"> </w:t>
      </w:r>
      <w:r w:rsidR="00976668">
        <w:rPr>
          <w:sz w:val="21"/>
          <w:szCs w:val="21"/>
        </w:rPr>
        <w:t>–</w:t>
      </w:r>
      <w:r w:rsidR="00976668" w:rsidRPr="00976668">
        <w:rPr>
          <w:sz w:val="21"/>
          <w:szCs w:val="21"/>
        </w:rPr>
        <w:t xml:space="preserve"> 2011</w:t>
      </w:r>
    </w:p>
    <w:p w:rsidR="00976668" w:rsidRDefault="00976668" w:rsidP="00976668">
      <w:pPr>
        <w:spacing w:after="120"/>
        <w:ind w:left="360"/>
        <w:jc w:val="both"/>
        <w:rPr>
          <w:sz w:val="19"/>
          <w:szCs w:val="19"/>
        </w:rPr>
      </w:pPr>
      <w:r w:rsidRPr="00976668">
        <w:rPr>
          <w:sz w:val="19"/>
          <w:szCs w:val="19"/>
        </w:rPr>
        <w:t>This article examines the meaning and potential usefulness of a ‘gender perspective’ on international humanitarian law (IHL). In order to do so, it considers a number of ‘gendered’ themes found within IHL, including the role of women as combatants, and the gendered use of sexual violence during times of armed conflict. The authors suggest that further development and understanding of a gender perspective will contribute to the resilience and effectiveness of IHL as a system of law, and will strengthen the protection of those who are victimized and disempowered during times of war.</w:t>
      </w:r>
    </w:p>
    <w:p w:rsidR="00976668" w:rsidRPr="00976668" w:rsidRDefault="00976668" w:rsidP="00976668">
      <w:pPr>
        <w:pStyle w:val="ListParagraph"/>
        <w:numPr>
          <w:ilvl w:val="0"/>
          <w:numId w:val="11"/>
        </w:numPr>
        <w:spacing w:after="60"/>
        <w:jc w:val="both"/>
        <w:rPr>
          <w:b/>
          <w:color w:val="0000FF" w:themeColor="hyperlink"/>
          <w:u w:val="single"/>
        </w:rPr>
      </w:pPr>
      <w:r w:rsidRPr="00976668">
        <w:rPr>
          <w:sz w:val="21"/>
          <w:szCs w:val="21"/>
        </w:rPr>
        <w:t xml:space="preserve">Chris Dolan (ICRC), </w:t>
      </w:r>
      <w:hyperlink r:id="rId11" w:history="1">
        <w:r w:rsidRPr="007F4E7A">
          <w:rPr>
            <w:rStyle w:val="Hyperlink"/>
            <w:b/>
          </w:rPr>
          <w:t>LETTING GO OF THE GENDER BINARY: CHARTING NEW PATHWAYS FOR HUMANITARIAN INTERVENTIONS ON GENDER-BASED VIOLENCE</w:t>
        </w:r>
      </w:hyperlink>
      <w:r>
        <w:rPr>
          <w:rStyle w:val="Hyperlink"/>
          <w:b/>
        </w:rPr>
        <w:t xml:space="preserve"> </w:t>
      </w:r>
      <w:r>
        <w:rPr>
          <w:sz w:val="21"/>
          <w:szCs w:val="21"/>
        </w:rPr>
        <w:t>–</w:t>
      </w:r>
      <w:r w:rsidRPr="00976668">
        <w:rPr>
          <w:sz w:val="21"/>
          <w:szCs w:val="21"/>
        </w:rPr>
        <w:t xml:space="preserve"> 2015</w:t>
      </w:r>
    </w:p>
    <w:p w:rsidR="00976668" w:rsidRDefault="00976668" w:rsidP="00976668">
      <w:pPr>
        <w:spacing w:after="120"/>
        <w:ind w:left="360"/>
        <w:jc w:val="both"/>
        <w:rPr>
          <w:sz w:val="19"/>
          <w:szCs w:val="19"/>
        </w:rPr>
      </w:pPr>
      <w:r w:rsidRPr="00976668">
        <w:rPr>
          <w:sz w:val="19"/>
          <w:szCs w:val="19"/>
        </w:rPr>
        <w:t>If gender is a potentially powerful analytical, practical and</w:t>
      </w:r>
      <w:r>
        <w:rPr>
          <w:sz w:val="19"/>
          <w:szCs w:val="19"/>
        </w:rPr>
        <w:t xml:space="preserve"> </w:t>
      </w:r>
      <w:r w:rsidRPr="00976668">
        <w:rPr>
          <w:sz w:val="19"/>
          <w:szCs w:val="19"/>
        </w:rPr>
        <w:t>political engine, it is one which is currently firing on only half its cylinders. This</w:t>
      </w:r>
      <w:r>
        <w:rPr>
          <w:sz w:val="19"/>
          <w:szCs w:val="19"/>
        </w:rPr>
        <w:t xml:space="preserve"> a</w:t>
      </w:r>
      <w:r w:rsidRPr="00976668">
        <w:rPr>
          <w:sz w:val="19"/>
          <w:szCs w:val="19"/>
        </w:rPr>
        <w:t>rticle highlights some emerging thinking about GBV, examines the Inter-Agency</w:t>
      </w:r>
      <w:r>
        <w:rPr>
          <w:sz w:val="19"/>
          <w:szCs w:val="19"/>
        </w:rPr>
        <w:t xml:space="preserve"> </w:t>
      </w:r>
      <w:r w:rsidRPr="00976668">
        <w:rPr>
          <w:sz w:val="19"/>
          <w:szCs w:val="19"/>
        </w:rPr>
        <w:t>Standing Committee’s (IASC) 2005 Guidelines on GBV prevention, and argues</w:t>
      </w:r>
      <w:r>
        <w:rPr>
          <w:sz w:val="19"/>
          <w:szCs w:val="19"/>
        </w:rPr>
        <w:t xml:space="preserve"> </w:t>
      </w:r>
      <w:r w:rsidRPr="00976668">
        <w:rPr>
          <w:sz w:val="19"/>
          <w:szCs w:val="19"/>
        </w:rPr>
        <w:t>that as a ten-year review process of the Guidelines nears completion, a number of</w:t>
      </w:r>
      <w:r>
        <w:rPr>
          <w:sz w:val="19"/>
          <w:szCs w:val="19"/>
        </w:rPr>
        <w:t xml:space="preserve"> </w:t>
      </w:r>
      <w:r w:rsidRPr="00976668">
        <w:rPr>
          <w:sz w:val="19"/>
          <w:szCs w:val="19"/>
        </w:rPr>
        <w:t>key shifts in the conceptualization of GBV in humanitarian settings are required,</w:t>
      </w:r>
      <w:r>
        <w:rPr>
          <w:sz w:val="19"/>
          <w:szCs w:val="19"/>
        </w:rPr>
        <w:t xml:space="preserve"> </w:t>
      </w:r>
      <w:r w:rsidRPr="00976668">
        <w:rPr>
          <w:sz w:val="19"/>
          <w:szCs w:val="19"/>
        </w:rPr>
        <w:t>for unless understandings of GBV shift from an emphasis on gender equality</w:t>
      </w:r>
      <w:r>
        <w:rPr>
          <w:sz w:val="19"/>
          <w:szCs w:val="19"/>
        </w:rPr>
        <w:t xml:space="preserve"> </w:t>
      </w:r>
      <w:r w:rsidRPr="00976668">
        <w:rPr>
          <w:sz w:val="19"/>
          <w:szCs w:val="19"/>
        </w:rPr>
        <w:t>towards an ethos of gender inclusivity, the situation of victims will not improve,</w:t>
      </w:r>
      <w:r>
        <w:rPr>
          <w:sz w:val="19"/>
          <w:szCs w:val="19"/>
        </w:rPr>
        <w:t xml:space="preserve"> </w:t>
      </w:r>
      <w:r w:rsidRPr="00976668">
        <w:rPr>
          <w:sz w:val="19"/>
          <w:szCs w:val="19"/>
        </w:rPr>
        <w:t>and social justice and change agendas will continue to falter.</w:t>
      </w:r>
    </w:p>
    <w:p w:rsidR="00BB55FF" w:rsidRPr="00D94A6E" w:rsidRDefault="00BB55FF" w:rsidP="00BB55FF">
      <w:pPr>
        <w:pStyle w:val="ListParagraph"/>
        <w:numPr>
          <w:ilvl w:val="0"/>
          <w:numId w:val="11"/>
        </w:numPr>
        <w:spacing w:after="120"/>
        <w:jc w:val="both"/>
        <w:rPr>
          <w:sz w:val="19"/>
          <w:szCs w:val="19"/>
        </w:rPr>
      </w:pPr>
      <w:r w:rsidRPr="00976668">
        <w:rPr>
          <w:sz w:val="21"/>
          <w:szCs w:val="21"/>
        </w:rPr>
        <w:t>Chris Dolan</w:t>
      </w:r>
      <w:r>
        <w:rPr>
          <w:sz w:val="21"/>
          <w:szCs w:val="21"/>
        </w:rPr>
        <w:t xml:space="preserve">, </w:t>
      </w:r>
      <w:hyperlink r:id="rId12" w:history="1">
        <w:r w:rsidRPr="00FB3854">
          <w:rPr>
            <w:rStyle w:val="Hyperlink"/>
            <w:b/>
          </w:rPr>
          <w:t>INTO THE MAINSTREAM: ADDRESSING SEXUAL VIOLENCE AGAINST MEN AND BOYS IN CONFLICT</w:t>
        </w:r>
      </w:hyperlink>
      <w:r w:rsidR="00FB3854">
        <w:t>, 2014</w:t>
      </w:r>
    </w:p>
    <w:p w:rsidR="00D94A6E" w:rsidRDefault="00D94A6E" w:rsidP="00D94A6E">
      <w:pPr>
        <w:spacing w:after="120"/>
        <w:ind w:left="360"/>
        <w:jc w:val="both"/>
        <w:rPr>
          <w:sz w:val="19"/>
          <w:szCs w:val="19"/>
        </w:rPr>
      </w:pPr>
      <w:r w:rsidRPr="00D94A6E">
        <w:rPr>
          <w:sz w:val="19"/>
          <w:szCs w:val="19"/>
        </w:rPr>
        <w:t>Between 1998 and 2008 alone, sexual violence against men was noted in reports on twenty-f</w:t>
      </w:r>
      <w:r>
        <w:rPr>
          <w:sz w:val="19"/>
          <w:szCs w:val="19"/>
        </w:rPr>
        <w:t>i</w:t>
      </w:r>
      <w:r w:rsidRPr="00D94A6E">
        <w:rPr>
          <w:sz w:val="19"/>
          <w:szCs w:val="19"/>
        </w:rPr>
        <w:t xml:space="preserve">ve </w:t>
      </w:r>
      <w:r>
        <w:rPr>
          <w:sz w:val="19"/>
          <w:szCs w:val="19"/>
        </w:rPr>
        <w:t>conflict</w:t>
      </w:r>
      <w:r w:rsidRPr="00D94A6E">
        <w:rPr>
          <w:sz w:val="19"/>
          <w:szCs w:val="19"/>
        </w:rPr>
        <w:t>-af</w:t>
      </w:r>
      <w:r>
        <w:rPr>
          <w:sz w:val="19"/>
          <w:szCs w:val="19"/>
        </w:rPr>
        <w:t>f</w:t>
      </w:r>
      <w:r w:rsidRPr="00D94A6E">
        <w:rPr>
          <w:sz w:val="19"/>
          <w:szCs w:val="19"/>
        </w:rPr>
        <w:t xml:space="preserve">ected countries.2 </w:t>
      </w:r>
      <w:proofErr w:type="gramStart"/>
      <w:r w:rsidRPr="00D94A6E">
        <w:rPr>
          <w:sz w:val="19"/>
          <w:szCs w:val="19"/>
        </w:rPr>
        <w:t>Since</w:t>
      </w:r>
      <w:proofErr w:type="gramEnd"/>
      <w:r w:rsidRPr="00D94A6E">
        <w:rPr>
          <w:sz w:val="19"/>
          <w:szCs w:val="19"/>
        </w:rPr>
        <w:t xml:space="preserve"> then, additional reports have emerged from the major </w:t>
      </w:r>
      <w:r>
        <w:rPr>
          <w:sz w:val="19"/>
          <w:szCs w:val="19"/>
        </w:rPr>
        <w:t>conflict</w:t>
      </w:r>
      <w:r w:rsidRPr="00D94A6E">
        <w:rPr>
          <w:sz w:val="19"/>
          <w:szCs w:val="19"/>
        </w:rPr>
        <w:t xml:space="preserve"> zones of our time, including Libya, Syria, Democratic Republic of Congo, and Central African Republic </w:t>
      </w:r>
      <w:r>
        <w:rPr>
          <w:sz w:val="19"/>
          <w:szCs w:val="19"/>
        </w:rPr>
        <w:t>(CAR). Th</w:t>
      </w:r>
      <w:r w:rsidRPr="00D94A6E">
        <w:rPr>
          <w:sz w:val="19"/>
          <w:szCs w:val="19"/>
        </w:rPr>
        <w:t>e UN Security Council f</w:t>
      </w:r>
      <w:r>
        <w:rPr>
          <w:sz w:val="19"/>
          <w:szCs w:val="19"/>
        </w:rPr>
        <w:t>i</w:t>
      </w:r>
      <w:r w:rsidRPr="00D94A6E">
        <w:rPr>
          <w:sz w:val="19"/>
          <w:szCs w:val="19"/>
        </w:rPr>
        <w:t xml:space="preserve">rst </w:t>
      </w:r>
      <w:r w:rsidRPr="00D94A6E">
        <w:rPr>
          <w:sz w:val="19"/>
          <w:szCs w:val="19"/>
        </w:rPr>
        <w:t>recognized</w:t>
      </w:r>
      <w:r w:rsidRPr="00D94A6E">
        <w:rPr>
          <w:sz w:val="19"/>
          <w:szCs w:val="19"/>
        </w:rPr>
        <w:t xml:space="preserve"> men and boys as victims of sexual violence in </w:t>
      </w:r>
      <w:r>
        <w:rPr>
          <w:sz w:val="19"/>
          <w:szCs w:val="19"/>
        </w:rPr>
        <w:t>conflict</w:t>
      </w:r>
      <w:r w:rsidRPr="00D94A6E">
        <w:rPr>
          <w:sz w:val="19"/>
          <w:szCs w:val="19"/>
        </w:rPr>
        <w:t xml:space="preserve"> in UNSCR 2106 of June 2013. 4 As evidence builds, multi-laterals, donors and NGOs involved in humanitarian response in </w:t>
      </w:r>
      <w:r>
        <w:rPr>
          <w:sz w:val="19"/>
          <w:szCs w:val="19"/>
        </w:rPr>
        <w:t>conflict</w:t>
      </w:r>
      <w:r w:rsidRPr="00D94A6E">
        <w:rPr>
          <w:sz w:val="19"/>
          <w:szCs w:val="19"/>
        </w:rPr>
        <w:t xml:space="preserve"> and emergency situations are beginning to raise critical questions: what are the scope, forms and impacts of such violence? Which legal frameworks are available to survivors? What specif</w:t>
      </w:r>
      <w:r>
        <w:rPr>
          <w:sz w:val="19"/>
          <w:szCs w:val="19"/>
        </w:rPr>
        <w:t>i</w:t>
      </w:r>
      <w:r w:rsidRPr="00D94A6E">
        <w:rPr>
          <w:sz w:val="19"/>
          <w:szCs w:val="19"/>
        </w:rPr>
        <w:t xml:space="preserve">c response and prevention mechanisms are required to address this violence? Does the current discourse on </w:t>
      </w:r>
      <w:r>
        <w:rPr>
          <w:sz w:val="19"/>
          <w:szCs w:val="19"/>
        </w:rPr>
        <w:t>conflict</w:t>
      </w:r>
      <w:r w:rsidRPr="00D94A6E">
        <w:rPr>
          <w:sz w:val="19"/>
          <w:szCs w:val="19"/>
        </w:rPr>
        <w:t xml:space="preserve"> and sexu</w:t>
      </w:r>
      <w:r>
        <w:rPr>
          <w:sz w:val="19"/>
          <w:szCs w:val="19"/>
        </w:rPr>
        <w:t xml:space="preserve">al violence need to change? </w:t>
      </w:r>
      <w:r w:rsidRPr="00D94A6E">
        <w:rPr>
          <w:sz w:val="19"/>
          <w:szCs w:val="19"/>
        </w:rPr>
        <w:t>T</w:t>
      </w:r>
      <w:r>
        <w:rPr>
          <w:sz w:val="19"/>
          <w:szCs w:val="19"/>
        </w:rPr>
        <w:t>h</w:t>
      </w:r>
      <w:r w:rsidRPr="00D94A6E">
        <w:rPr>
          <w:sz w:val="19"/>
          <w:szCs w:val="19"/>
        </w:rPr>
        <w:t xml:space="preserve">is report considers these questions and presents new evidence regarding sexual violence against men and boys in </w:t>
      </w:r>
      <w:r>
        <w:rPr>
          <w:sz w:val="19"/>
          <w:szCs w:val="19"/>
        </w:rPr>
        <w:t>conflict</w:t>
      </w:r>
      <w:r w:rsidRPr="00D94A6E">
        <w:rPr>
          <w:sz w:val="19"/>
          <w:szCs w:val="19"/>
        </w:rPr>
        <w:t>.</w:t>
      </w:r>
    </w:p>
    <w:p w:rsidR="00C4445E" w:rsidRPr="00C4445E" w:rsidRDefault="00C4445E" w:rsidP="00C4445E">
      <w:pPr>
        <w:pStyle w:val="ListParagraph"/>
        <w:numPr>
          <w:ilvl w:val="0"/>
          <w:numId w:val="11"/>
        </w:numPr>
        <w:spacing w:after="120"/>
        <w:jc w:val="both"/>
        <w:rPr>
          <w:rStyle w:val="Hyperlink"/>
          <w:color w:val="auto"/>
          <w:sz w:val="19"/>
          <w:szCs w:val="19"/>
          <w:u w:val="none"/>
        </w:rPr>
      </w:pPr>
      <w:r w:rsidRPr="00C4445E">
        <w:rPr>
          <w:sz w:val="21"/>
          <w:szCs w:val="21"/>
        </w:rPr>
        <w:t>PROMUNDO, UNFPA and MEN ENGAGE</w:t>
      </w:r>
      <w:r>
        <w:rPr>
          <w:sz w:val="19"/>
          <w:szCs w:val="19"/>
        </w:rPr>
        <w:t xml:space="preserve"> – </w:t>
      </w:r>
      <w:hyperlink r:id="rId13" w:history="1">
        <w:r w:rsidRPr="00C4445E">
          <w:rPr>
            <w:rStyle w:val="Hyperlink"/>
            <w:b/>
          </w:rPr>
          <w:t>ENGAGING MEN AND BOYS IN GENDER EQUALITY AND HEALTH</w:t>
        </w:r>
      </w:hyperlink>
    </w:p>
    <w:p w:rsidR="00C4445E" w:rsidRPr="00C4445E" w:rsidRDefault="00C4445E" w:rsidP="00C4445E">
      <w:pPr>
        <w:spacing w:after="120"/>
        <w:ind w:left="360"/>
        <w:jc w:val="both"/>
        <w:rPr>
          <w:rStyle w:val="Hyperlink"/>
          <w:color w:val="auto"/>
          <w:sz w:val="19"/>
          <w:szCs w:val="19"/>
          <w:u w:val="none"/>
        </w:rPr>
      </w:pPr>
      <w:r>
        <w:rPr>
          <w:rStyle w:val="Hyperlink"/>
          <w:color w:val="auto"/>
          <w:sz w:val="19"/>
          <w:szCs w:val="19"/>
          <w:u w:val="none"/>
        </w:rPr>
        <w:t>Despite the increasing recognition of the important role that men and boys play in family planning and sexual and reproductive health, HIV/STI prevention, GBV, maternal health and in childcare, they are still rarely engaged in health policies and programs. The toolkit serves to articulate and reinforce the benefits of working with men and boys and provide practical strategies to do so in ways that address the underlying gender norms which most often influence th</w:t>
      </w:r>
      <w:bookmarkStart w:id="0" w:name="_GoBack"/>
      <w:bookmarkEnd w:id="0"/>
      <w:r>
        <w:rPr>
          <w:rStyle w:val="Hyperlink"/>
          <w:color w:val="auto"/>
          <w:sz w:val="19"/>
          <w:szCs w:val="19"/>
          <w:u w:val="none"/>
        </w:rPr>
        <w:t>eir health-related attitudes and behaviors.</w:t>
      </w:r>
    </w:p>
    <w:p w:rsidR="00C4445E" w:rsidRPr="00C4445E" w:rsidRDefault="00C4445E" w:rsidP="00C4445E">
      <w:pPr>
        <w:spacing w:after="120"/>
        <w:ind w:left="360"/>
        <w:jc w:val="both"/>
        <w:rPr>
          <w:sz w:val="19"/>
          <w:szCs w:val="19"/>
        </w:rPr>
      </w:pPr>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4"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5"/>
      <w:head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88" w:rsidRDefault="00386588" w:rsidP="00796ADA">
      <w:pPr>
        <w:spacing w:after="0" w:line="240" w:lineRule="auto"/>
      </w:pPr>
      <w:r>
        <w:separator/>
      </w:r>
    </w:p>
  </w:endnote>
  <w:endnote w:type="continuationSeparator" w:id="0">
    <w:p w:rsidR="00386588" w:rsidRDefault="00386588"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88" w:rsidRDefault="00386588" w:rsidP="00796ADA">
      <w:pPr>
        <w:spacing w:after="0" w:line="240" w:lineRule="auto"/>
      </w:pPr>
      <w:r>
        <w:separator/>
      </w:r>
    </w:p>
  </w:footnote>
  <w:footnote w:type="continuationSeparator" w:id="0">
    <w:p w:rsidR="00386588" w:rsidRDefault="00386588" w:rsidP="00796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0" w:rsidRDefault="003865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0" w:rsidRDefault="003865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0" w:rsidRDefault="003865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CF6"/>
    <w:multiLevelType w:val="hybridMultilevel"/>
    <w:tmpl w:val="4FA4C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71238"/>
    <w:multiLevelType w:val="hybridMultilevel"/>
    <w:tmpl w:val="F6CE0670"/>
    <w:lvl w:ilvl="0" w:tplc="6E44C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506E3"/>
    <w:multiLevelType w:val="hybridMultilevel"/>
    <w:tmpl w:val="19704AAE"/>
    <w:lvl w:ilvl="0" w:tplc="685CFC8E">
      <w:start w:val="1"/>
      <w:numFmt w:val="decimal"/>
      <w:lvlText w:val="%1)"/>
      <w:lvlJc w:val="left"/>
      <w:pPr>
        <w:ind w:left="720" w:hanging="360"/>
      </w:pPr>
      <w:rPr>
        <w:rFonts w:hint="default"/>
        <w:b w:val="0"/>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A6015"/>
    <w:multiLevelType w:val="hybridMultilevel"/>
    <w:tmpl w:val="FAC4F07A"/>
    <w:lvl w:ilvl="0" w:tplc="15665B4A">
      <w:start w:val="1"/>
      <w:numFmt w:val="decimal"/>
      <w:lvlText w:val="%1)"/>
      <w:lvlJc w:val="left"/>
      <w:pPr>
        <w:ind w:left="720" w:hanging="360"/>
      </w:pPr>
      <w:rPr>
        <w:rFonts w:hint="default"/>
        <w:b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34C34"/>
    <w:multiLevelType w:val="hybridMultilevel"/>
    <w:tmpl w:val="8B90BF72"/>
    <w:lvl w:ilvl="0" w:tplc="0D1E7950">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8"/>
  </w:num>
  <w:num w:numId="5">
    <w:abstractNumId w:val="11"/>
  </w:num>
  <w:num w:numId="6">
    <w:abstractNumId w:val="5"/>
  </w:num>
  <w:num w:numId="7">
    <w:abstractNumId w:val="6"/>
  </w:num>
  <w:num w:numId="8">
    <w:abstractNumId w:val="12"/>
  </w:num>
  <w:num w:numId="9">
    <w:abstractNumId w:val="2"/>
  </w:num>
  <w:num w:numId="10">
    <w:abstractNumId w:val="9"/>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085A31"/>
    <w:rsid w:val="000E0896"/>
    <w:rsid w:val="000F7EC0"/>
    <w:rsid w:val="001221DB"/>
    <w:rsid w:val="00142AC7"/>
    <w:rsid w:val="0014651D"/>
    <w:rsid w:val="001A5A6B"/>
    <w:rsid w:val="001B0614"/>
    <w:rsid w:val="001B6063"/>
    <w:rsid w:val="001C3EE1"/>
    <w:rsid w:val="001E3499"/>
    <w:rsid w:val="00211FB7"/>
    <w:rsid w:val="00225157"/>
    <w:rsid w:val="002575D6"/>
    <w:rsid w:val="00273BAA"/>
    <w:rsid w:val="00282845"/>
    <w:rsid w:val="00287C22"/>
    <w:rsid w:val="00294D13"/>
    <w:rsid w:val="002A23D6"/>
    <w:rsid w:val="002B7F90"/>
    <w:rsid w:val="002C5BF6"/>
    <w:rsid w:val="002C75D8"/>
    <w:rsid w:val="002D3A20"/>
    <w:rsid w:val="002E4B14"/>
    <w:rsid w:val="003105FB"/>
    <w:rsid w:val="00386588"/>
    <w:rsid w:val="003A241A"/>
    <w:rsid w:val="003A251B"/>
    <w:rsid w:val="003B6040"/>
    <w:rsid w:val="003E716B"/>
    <w:rsid w:val="003F3C2E"/>
    <w:rsid w:val="003F7935"/>
    <w:rsid w:val="00471E3E"/>
    <w:rsid w:val="00484258"/>
    <w:rsid w:val="004851D8"/>
    <w:rsid w:val="004C62B7"/>
    <w:rsid w:val="004D3E4C"/>
    <w:rsid w:val="004D760B"/>
    <w:rsid w:val="00540C9B"/>
    <w:rsid w:val="0054647B"/>
    <w:rsid w:val="005735F0"/>
    <w:rsid w:val="00587ADF"/>
    <w:rsid w:val="00597E34"/>
    <w:rsid w:val="005E0045"/>
    <w:rsid w:val="005E277C"/>
    <w:rsid w:val="00625D11"/>
    <w:rsid w:val="00635024"/>
    <w:rsid w:val="00652395"/>
    <w:rsid w:val="006745EE"/>
    <w:rsid w:val="0068536C"/>
    <w:rsid w:val="006B38FF"/>
    <w:rsid w:val="006C5ECB"/>
    <w:rsid w:val="006C61B5"/>
    <w:rsid w:val="00700CEE"/>
    <w:rsid w:val="00707F97"/>
    <w:rsid w:val="00711D00"/>
    <w:rsid w:val="00796ADA"/>
    <w:rsid w:val="007F4E7A"/>
    <w:rsid w:val="008043BD"/>
    <w:rsid w:val="008161C1"/>
    <w:rsid w:val="00843A3A"/>
    <w:rsid w:val="0084756F"/>
    <w:rsid w:val="00893B29"/>
    <w:rsid w:val="008D6D68"/>
    <w:rsid w:val="008F4B93"/>
    <w:rsid w:val="008F7213"/>
    <w:rsid w:val="009310A8"/>
    <w:rsid w:val="00934558"/>
    <w:rsid w:val="0097306C"/>
    <w:rsid w:val="00976668"/>
    <w:rsid w:val="0098320D"/>
    <w:rsid w:val="00990F5B"/>
    <w:rsid w:val="009E0B74"/>
    <w:rsid w:val="00A17AF7"/>
    <w:rsid w:val="00A247E8"/>
    <w:rsid w:val="00AA7001"/>
    <w:rsid w:val="00AD4CEB"/>
    <w:rsid w:val="00AE009E"/>
    <w:rsid w:val="00AE30E1"/>
    <w:rsid w:val="00B15167"/>
    <w:rsid w:val="00B33D56"/>
    <w:rsid w:val="00B86298"/>
    <w:rsid w:val="00BA7EA6"/>
    <w:rsid w:val="00BB55FF"/>
    <w:rsid w:val="00BE47EB"/>
    <w:rsid w:val="00C34995"/>
    <w:rsid w:val="00C37DC9"/>
    <w:rsid w:val="00C4445E"/>
    <w:rsid w:val="00C73184"/>
    <w:rsid w:val="00C82220"/>
    <w:rsid w:val="00CE7EE0"/>
    <w:rsid w:val="00D20E45"/>
    <w:rsid w:val="00D300DC"/>
    <w:rsid w:val="00D607AC"/>
    <w:rsid w:val="00D65C9E"/>
    <w:rsid w:val="00D861AA"/>
    <w:rsid w:val="00D94A6E"/>
    <w:rsid w:val="00D9620E"/>
    <w:rsid w:val="00DF1B7F"/>
    <w:rsid w:val="00E330CA"/>
    <w:rsid w:val="00E4319D"/>
    <w:rsid w:val="00E77D18"/>
    <w:rsid w:val="00F00D9E"/>
    <w:rsid w:val="00F250AA"/>
    <w:rsid w:val="00F44BF7"/>
    <w:rsid w:val="00F72CC8"/>
    <w:rsid w:val="00F86354"/>
    <w:rsid w:val="00FA1AA5"/>
    <w:rsid w:val="00FB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71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71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748">
      <w:bodyDiv w:val="1"/>
      <w:marLeft w:val="0"/>
      <w:marRight w:val="0"/>
      <w:marTop w:val="0"/>
      <w:marBottom w:val="0"/>
      <w:divBdr>
        <w:top w:val="none" w:sz="0" w:space="0" w:color="auto"/>
        <w:left w:val="none" w:sz="0" w:space="0" w:color="auto"/>
        <w:bottom w:val="none" w:sz="0" w:space="0" w:color="auto"/>
        <w:right w:val="none" w:sz="0" w:space="0" w:color="auto"/>
      </w:divBdr>
    </w:div>
    <w:div w:id="23019415">
      <w:bodyDiv w:val="1"/>
      <w:marLeft w:val="0"/>
      <w:marRight w:val="0"/>
      <w:marTop w:val="0"/>
      <w:marBottom w:val="0"/>
      <w:divBdr>
        <w:top w:val="none" w:sz="0" w:space="0" w:color="auto"/>
        <w:left w:val="none" w:sz="0" w:space="0" w:color="auto"/>
        <w:bottom w:val="none" w:sz="0" w:space="0" w:color="auto"/>
        <w:right w:val="none" w:sz="0" w:space="0" w:color="auto"/>
      </w:divBdr>
    </w:div>
    <w:div w:id="270086048">
      <w:bodyDiv w:val="1"/>
      <w:marLeft w:val="0"/>
      <w:marRight w:val="0"/>
      <w:marTop w:val="0"/>
      <w:marBottom w:val="0"/>
      <w:divBdr>
        <w:top w:val="none" w:sz="0" w:space="0" w:color="auto"/>
        <w:left w:val="none" w:sz="0" w:space="0" w:color="auto"/>
        <w:bottom w:val="none" w:sz="0" w:space="0" w:color="auto"/>
        <w:right w:val="none" w:sz="0" w:space="0" w:color="auto"/>
      </w:divBdr>
    </w:div>
    <w:div w:id="305818553">
      <w:bodyDiv w:val="1"/>
      <w:marLeft w:val="0"/>
      <w:marRight w:val="0"/>
      <w:marTop w:val="0"/>
      <w:marBottom w:val="0"/>
      <w:divBdr>
        <w:top w:val="none" w:sz="0" w:space="0" w:color="auto"/>
        <w:left w:val="none" w:sz="0" w:space="0" w:color="auto"/>
        <w:bottom w:val="none" w:sz="0" w:space="0" w:color="auto"/>
        <w:right w:val="none" w:sz="0" w:space="0" w:color="auto"/>
      </w:divBdr>
    </w:div>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416051961">
      <w:bodyDiv w:val="1"/>
      <w:marLeft w:val="0"/>
      <w:marRight w:val="0"/>
      <w:marTop w:val="0"/>
      <w:marBottom w:val="0"/>
      <w:divBdr>
        <w:top w:val="none" w:sz="0" w:space="0" w:color="auto"/>
        <w:left w:val="none" w:sz="0" w:space="0" w:color="auto"/>
        <w:bottom w:val="none" w:sz="0" w:space="0" w:color="auto"/>
        <w:right w:val="none" w:sz="0" w:space="0" w:color="auto"/>
      </w:divBdr>
    </w:div>
    <w:div w:id="432632952">
      <w:bodyDiv w:val="1"/>
      <w:marLeft w:val="0"/>
      <w:marRight w:val="0"/>
      <w:marTop w:val="0"/>
      <w:marBottom w:val="0"/>
      <w:divBdr>
        <w:top w:val="none" w:sz="0" w:space="0" w:color="auto"/>
        <w:left w:val="none" w:sz="0" w:space="0" w:color="auto"/>
        <w:bottom w:val="none" w:sz="0" w:space="0" w:color="auto"/>
        <w:right w:val="none" w:sz="0" w:space="0" w:color="auto"/>
      </w:divBdr>
    </w:div>
    <w:div w:id="526412155">
      <w:bodyDiv w:val="1"/>
      <w:marLeft w:val="0"/>
      <w:marRight w:val="0"/>
      <w:marTop w:val="0"/>
      <w:marBottom w:val="0"/>
      <w:divBdr>
        <w:top w:val="none" w:sz="0" w:space="0" w:color="auto"/>
        <w:left w:val="none" w:sz="0" w:space="0" w:color="auto"/>
        <w:bottom w:val="none" w:sz="0" w:space="0" w:color="auto"/>
        <w:right w:val="none" w:sz="0" w:space="0" w:color="auto"/>
      </w:divBdr>
    </w:div>
    <w:div w:id="701588571">
      <w:bodyDiv w:val="1"/>
      <w:marLeft w:val="0"/>
      <w:marRight w:val="0"/>
      <w:marTop w:val="0"/>
      <w:marBottom w:val="0"/>
      <w:divBdr>
        <w:top w:val="none" w:sz="0" w:space="0" w:color="auto"/>
        <w:left w:val="none" w:sz="0" w:space="0" w:color="auto"/>
        <w:bottom w:val="none" w:sz="0" w:space="0" w:color="auto"/>
        <w:right w:val="none" w:sz="0" w:space="0" w:color="auto"/>
      </w:divBdr>
    </w:div>
    <w:div w:id="840510445">
      <w:bodyDiv w:val="1"/>
      <w:marLeft w:val="0"/>
      <w:marRight w:val="0"/>
      <w:marTop w:val="0"/>
      <w:marBottom w:val="0"/>
      <w:divBdr>
        <w:top w:val="none" w:sz="0" w:space="0" w:color="auto"/>
        <w:left w:val="none" w:sz="0" w:space="0" w:color="auto"/>
        <w:bottom w:val="none" w:sz="0" w:space="0" w:color="auto"/>
        <w:right w:val="none" w:sz="0" w:space="0" w:color="auto"/>
      </w:divBdr>
    </w:div>
    <w:div w:id="1069500402">
      <w:bodyDiv w:val="1"/>
      <w:marLeft w:val="0"/>
      <w:marRight w:val="0"/>
      <w:marTop w:val="0"/>
      <w:marBottom w:val="0"/>
      <w:divBdr>
        <w:top w:val="none" w:sz="0" w:space="0" w:color="auto"/>
        <w:left w:val="none" w:sz="0" w:space="0" w:color="auto"/>
        <w:bottom w:val="none" w:sz="0" w:space="0" w:color="auto"/>
        <w:right w:val="none" w:sz="0" w:space="0" w:color="auto"/>
      </w:divBdr>
    </w:div>
    <w:div w:id="1228372622">
      <w:bodyDiv w:val="1"/>
      <w:marLeft w:val="0"/>
      <w:marRight w:val="0"/>
      <w:marTop w:val="0"/>
      <w:marBottom w:val="0"/>
      <w:divBdr>
        <w:top w:val="none" w:sz="0" w:space="0" w:color="auto"/>
        <w:left w:val="none" w:sz="0" w:space="0" w:color="auto"/>
        <w:bottom w:val="none" w:sz="0" w:space="0" w:color="auto"/>
        <w:right w:val="none" w:sz="0" w:space="0" w:color="auto"/>
      </w:divBdr>
    </w:div>
    <w:div w:id="127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38456710">
          <w:marLeft w:val="0"/>
          <w:marRight w:val="0"/>
          <w:marTop w:val="0"/>
          <w:marBottom w:val="150"/>
          <w:divBdr>
            <w:top w:val="none" w:sz="0" w:space="0" w:color="auto"/>
            <w:left w:val="none" w:sz="0" w:space="0" w:color="auto"/>
            <w:bottom w:val="none" w:sz="0" w:space="0" w:color="auto"/>
            <w:right w:val="none" w:sz="0" w:space="0" w:color="auto"/>
          </w:divBdr>
          <w:divsChild>
            <w:div w:id="58136696">
              <w:marLeft w:val="0"/>
              <w:marRight w:val="0"/>
              <w:marTop w:val="0"/>
              <w:marBottom w:val="0"/>
              <w:divBdr>
                <w:top w:val="none" w:sz="0" w:space="0" w:color="auto"/>
                <w:left w:val="none" w:sz="0" w:space="0" w:color="auto"/>
                <w:bottom w:val="none" w:sz="0" w:space="0" w:color="auto"/>
                <w:right w:val="none" w:sz="0" w:space="0" w:color="auto"/>
              </w:divBdr>
              <w:divsChild>
                <w:div w:id="1208778">
                  <w:marLeft w:val="0"/>
                  <w:marRight w:val="0"/>
                  <w:marTop w:val="0"/>
                  <w:marBottom w:val="150"/>
                  <w:divBdr>
                    <w:top w:val="none" w:sz="0" w:space="0" w:color="auto"/>
                    <w:left w:val="none" w:sz="0" w:space="0" w:color="auto"/>
                    <w:bottom w:val="single" w:sz="6" w:space="0" w:color="D3D3D3"/>
                    <w:right w:val="none" w:sz="0" w:space="0" w:color="auto"/>
                  </w:divBdr>
                  <w:divsChild>
                    <w:div w:id="1723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31">
          <w:marLeft w:val="150"/>
          <w:marRight w:val="0"/>
          <w:marTop w:val="0"/>
          <w:marBottom w:val="0"/>
          <w:divBdr>
            <w:top w:val="none" w:sz="0" w:space="0" w:color="auto"/>
            <w:left w:val="none" w:sz="0" w:space="0" w:color="auto"/>
            <w:bottom w:val="none" w:sz="0" w:space="0" w:color="auto"/>
            <w:right w:val="none" w:sz="0" w:space="0" w:color="auto"/>
          </w:divBdr>
          <w:divsChild>
            <w:div w:id="1501458378">
              <w:marLeft w:val="0"/>
              <w:marRight w:val="0"/>
              <w:marTop w:val="0"/>
              <w:marBottom w:val="300"/>
              <w:divBdr>
                <w:top w:val="none" w:sz="0" w:space="0" w:color="auto"/>
                <w:left w:val="none" w:sz="0" w:space="0" w:color="auto"/>
                <w:bottom w:val="none" w:sz="0" w:space="0" w:color="auto"/>
                <w:right w:val="none" w:sz="0" w:space="0" w:color="auto"/>
              </w:divBdr>
              <w:divsChild>
                <w:div w:id="391778311">
                  <w:marLeft w:val="0"/>
                  <w:marRight w:val="150"/>
                  <w:marTop w:val="0"/>
                  <w:marBottom w:val="0"/>
                  <w:divBdr>
                    <w:top w:val="none" w:sz="0" w:space="0" w:color="auto"/>
                    <w:left w:val="none" w:sz="0" w:space="0" w:color="auto"/>
                    <w:bottom w:val="none" w:sz="0" w:space="0" w:color="auto"/>
                    <w:right w:val="none" w:sz="0" w:space="0" w:color="auto"/>
                  </w:divBdr>
                  <w:divsChild>
                    <w:div w:id="1824085742">
                      <w:marLeft w:val="0"/>
                      <w:marRight w:val="150"/>
                      <w:marTop w:val="0"/>
                      <w:marBottom w:val="0"/>
                      <w:divBdr>
                        <w:top w:val="none" w:sz="0" w:space="0" w:color="auto"/>
                        <w:left w:val="none" w:sz="0" w:space="0" w:color="auto"/>
                        <w:bottom w:val="none" w:sz="0" w:space="0" w:color="auto"/>
                        <w:right w:val="none" w:sz="0" w:space="0" w:color="auto"/>
                      </w:divBdr>
                      <w:divsChild>
                        <w:div w:id="1116487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5718337">
      <w:bodyDiv w:val="1"/>
      <w:marLeft w:val="0"/>
      <w:marRight w:val="0"/>
      <w:marTop w:val="0"/>
      <w:marBottom w:val="0"/>
      <w:divBdr>
        <w:top w:val="none" w:sz="0" w:space="0" w:color="auto"/>
        <w:left w:val="none" w:sz="0" w:space="0" w:color="auto"/>
        <w:bottom w:val="none" w:sz="0" w:space="0" w:color="auto"/>
        <w:right w:val="none" w:sz="0" w:space="0" w:color="auto"/>
      </w:divBdr>
    </w:div>
    <w:div w:id="1388534326">
      <w:bodyDiv w:val="1"/>
      <w:marLeft w:val="0"/>
      <w:marRight w:val="0"/>
      <w:marTop w:val="0"/>
      <w:marBottom w:val="0"/>
      <w:divBdr>
        <w:top w:val="none" w:sz="0" w:space="0" w:color="auto"/>
        <w:left w:val="none" w:sz="0" w:space="0" w:color="auto"/>
        <w:bottom w:val="none" w:sz="0" w:space="0" w:color="auto"/>
        <w:right w:val="none" w:sz="0" w:space="0" w:color="auto"/>
      </w:divBdr>
    </w:div>
    <w:div w:id="1463958773">
      <w:bodyDiv w:val="1"/>
      <w:marLeft w:val="0"/>
      <w:marRight w:val="0"/>
      <w:marTop w:val="0"/>
      <w:marBottom w:val="0"/>
      <w:divBdr>
        <w:top w:val="none" w:sz="0" w:space="0" w:color="auto"/>
        <w:left w:val="none" w:sz="0" w:space="0" w:color="auto"/>
        <w:bottom w:val="none" w:sz="0" w:space="0" w:color="auto"/>
        <w:right w:val="none" w:sz="0" w:space="0" w:color="auto"/>
      </w:divBdr>
    </w:div>
    <w:div w:id="1578440133">
      <w:bodyDiv w:val="1"/>
      <w:marLeft w:val="0"/>
      <w:marRight w:val="0"/>
      <w:marTop w:val="0"/>
      <w:marBottom w:val="0"/>
      <w:divBdr>
        <w:top w:val="none" w:sz="0" w:space="0" w:color="auto"/>
        <w:left w:val="none" w:sz="0" w:space="0" w:color="auto"/>
        <w:bottom w:val="none" w:sz="0" w:space="0" w:color="auto"/>
        <w:right w:val="none" w:sz="0" w:space="0" w:color="auto"/>
      </w:divBdr>
    </w:div>
    <w:div w:id="1747721850">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63067094">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 w:id="1838380292">
      <w:bodyDiv w:val="1"/>
      <w:marLeft w:val="0"/>
      <w:marRight w:val="0"/>
      <w:marTop w:val="0"/>
      <w:marBottom w:val="0"/>
      <w:divBdr>
        <w:top w:val="none" w:sz="0" w:space="0" w:color="auto"/>
        <w:left w:val="none" w:sz="0" w:space="0" w:color="auto"/>
        <w:bottom w:val="none" w:sz="0" w:space="0" w:color="auto"/>
        <w:right w:val="none" w:sz="0" w:space="0" w:color="auto"/>
      </w:divBdr>
    </w:div>
    <w:div w:id="1898009291">
      <w:bodyDiv w:val="1"/>
      <w:marLeft w:val="0"/>
      <w:marRight w:val="0"/>
      <w:marTop w:val="0"/>
      <w:marBottom w:val="0"/>
      <w:divBdr>
        <w:top w:val="none" w:sz="0" w:space="0" w:color="auto"/>
        <w:left w:val="none" w:sz="0" w:space="0" w:color="auto"/>
        <w:bottom w:val="none" w:sz="0" w:space="0" w:color="auto"/>
        <w:right w:val="none" w:sz="0" w:space="0" w:color="auto"/>
      </w:divBdr>
    </w:div>
    <w:div w:id="2027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nengage.org/wp-content/uploads/2014/06/engaging-men-and-boy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fugeelawproject.org/files/briefing_papers/Into_The_Mainstream-Addressing_Sexual_Violence_against_Men_and_Boys_in_Conflict.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rc.org/en/international-review/article/letting-go-gender-binary-charting-new-pathways-humanitaria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crc.org/eng/assets/files/other/irrc-877-durham-obyrne.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c.europa.eu/europeaid/sites/devco/files/staff-working-document-gender-2016-2020-20150922_en.pdf" TargetMode="External"/><Relationship Id="rId14" Type="http://schemas.openxmlformats.org/officeDocument/2006/relationships/hyperlink" Target="mailto:Eliana.irato@echofiel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3367-1C90-46A0-92DA-9C8C88F4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3395</TotalTime>
  <Pages>1</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7</cp:revision>
  <dcterms:created xsi:type="dcterms:W3CDTF">2015-10-12T08:06:00Z</dcterms:created>
  <dcterms:modified xsi:type="dcterms:W3CDTF">2015-10-30T11:19:00Z</dcterms:modified>
</cp:coreProperties>
</file>