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8F" w:rsidRPr="00216955" w:rsidRDefault="005C178F" w:rsidP="005C178F">
      <w:pPr>
        <w:spacing w:after="0" w:line="240" w:lineRule="auto"/>
        <w:contextualSpacing/>
        <w:rPr>
          <w:rFonts w:ascii="Times" w:hAnsi="Times"/>
        </w:rPr>
      </w:pPr>
    </w:p>
    <w:p w:rsidR="005C178F" w:rsidRPr="00216955" w:rsidRDefault="005C178F" w:rsidP="005C178F">
      <w:pPr>
        <w:pStyle w:val="Header"/>
        <w:contextualSpacing/>
        <w:jc w:val="both"/>
        <w:rPr>
          <w:rFonts w:ascii="Times" w:hAnsi="Times"/>
          <w:sz w:val="24"/>
          <w:szCs w:val="24"/>
        </w:rPr>
      </w:pPr>
    </w:p>
    <w:tbl>
      <w:tblPr>
        <w:tblpPr w:leftFromText="180" w:rightFromText="180" w:vertAnchor="text" w:horzAnchor="page" w:tblpX="1290" w:tblpY="-179"/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728"/>
        <w:gridCol w:w="1620"/>
        <w:gridCol w:w="1260"/>
        <w:gridCol w:w="1350"/>
        <w:gridCol w:w="1001"/>
        <w:gridCol w:w="900"/>
        <w:gridCol w:w="810"/>
        <w:gridCol w:w="900"/>
      </w:tblGrid>
      <w:tr w:rsidR="005C178F" w:rsidRPr="00CF365E" w:rsidTr="00EC12C6">
        <w:tc>
          <w:tcPr>
            <w:tcW w:w="1728" w:type="dxa"/>
            <w:shd w:val="clear" w:color="auto" w:fill="CCFFCC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Pays</w:t>
            </w:r>
          </w:p>
        </w:tc>
        <w:tc>
          <w:tcPr>
            <w:tcW w:w="1620" w:type="dxa"/>
            <w:shd w:val="clear" w:color="auto" w:fill="CCFFCC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Bulletin utilisé</w:t>
            </w:r>
          </w:p>
        </w:tc>
        <w:tc>
          <w:tcPr>
            <w:tcW w:w="1260" w:type="dxa"/>
            <w:shd w:val="clear" w:color="auto" w:fill="CCFFCC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Nombre des partis politiques</w:t>
            </w:r>
          </w:p>
        </w:tc>
        <w:tc>
          <w:tcPr>
            <w:tcW w:w="1350" w:type="dxa"/>
            <w:shd w:val="clear" w:color="auto" w:fill="CCFFCC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Taux d’</w:t>
            </w:r>
            <w:proofErr w:type="spellStart"/>
            <w:r w:rsidRPr="00CF365E">
              <w:rPr>
                <w:rFonts w:ascii="Times" w:hAnsi="Times"/>
              </w:rPr>
              <w:t>alphabétisa</w:t>
            </w:r>
            <w:r>
              <w:rPr>
                <w:rFonts w:ascii="Times" w:hAnsi="Times"/>
              </w:rPr>
              <w:t>-</w:t>
            </w:r>
            <w:r w:rsidRPr="00CF365E">
              <w:rPr>
                <w:rFonts w:ascii="Times" w:hAnsi="Times"/>
              </w:rPr>
              <w:t>tion</w:t>
            </w:r>
            <w:proofErr w:type="spellEnd"/>
            <w:r w:rsidRPr="00CF365E">
              <w:rPr>
                <w:rStyle w:val="FootnoteReference"/>
                <w:rFonts w:ascii="Times" w:hAnsi="Times"/>
              </w:rPr>
              <w:footnoteReference w:id="1"/>
            </w:r>
          </w:p>
        </w:tc>
        <w:tc>
          <w:tcPr>
            <w:tcW w:w="1001" w:type="dxa"/>
            <w:shd w:val="clear" w:color="auto" w:fill="CCFFCC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Taux des bulletins nuls</w:t>
            </w:r>
            <w:r w:rsidRPr="00CF365E">
              <w:rPr>
                <w:rStyle w:val="FootnoteReference"/>
                <w:rFonts w:ascii="Times" w:hAnsi="Times"/>
              </w:rPr>
              <w:footnoteReference w:id="2"/>
            </w:r>
          </w:p>
        </w:tc>
        <w:tc>
          <w:tcPr>
            <w:tcW w:w="900" w:type="dxa"/>
            <w:shd w:val="clear" w:color="auto" w:fill="CCFFCC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20"/>
              </w:rPr>
            </w:pPr>
            <w:r w:rsidRPr="00CF365E">
              <w:rPr>
                <w:rFonts w:ascii="Times" w:hAnsi="Times"/>
                <w:sz w:val="20"/>
              </w:rPr>
              <w:t>Coût indicatif  par élect</w:t>
            </w:r>
            <w:r>
              <w:rPr>
                <w:rFonts w:ascii="Times" w:hAnsi="Times"/>
                <w:sz w:val="20"/>
              </w:rPr>
              <w:t>eur</w:t>
            </w:r>
            <w:r w:rsidRPr="00CF365E">
              <w:rPr>
                <w:rFonts w:ascii="Times" w:hAnsi="Times"/>
                <w:sz w:val="20"/>
              </w:rPr>
              <w:t xml:space="preserve"> inscrit</w:t>
            </w:r>
          </w:p>
        </w:tc>
        <w:tc>
          <w:tcPr>
            <w:tcW w:w="810" w:type="dxa"/>
            <w:shd w:val="clear" w:color="auto" w:fill="CCFFCC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20"/>
              </w:rPr>
            </w:pPr>
            <w:r w:rsidRPr="00CF365E">
              <w:rPr>
                <w:rFonts w:ascii="Times" w:hAnsi="Times"/>
                <w:sz w:val="20"/>
              </w:rPr>
              <w:t>Second Tour</w:t>
            </w:r>
          </w:p>
        </w:tc>
        <w:tc>
          <w:tcPr>
            <w:tcW w:w="900" w:type="dxa"/>
            <w:shd w:val="clear" w:color="auto" w:fill="CCFFCC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20"/>
              </w:rPr>
            </w:pPr>
            <w:r w:rsidRPr="00CF365E">
              <w:rPr>
                <w:rFonts w:ascii="Times" w:hAnsi="Times"/>
                <w:sz w:val="20"/>
              </w:rPr>
              <w:t>Coût du bulletin total</w:t>
            </w:r>
          </w:p>
        </w:tc>
      </w:tr>
      <w:tr w:rsidR="005C178F" w:rsidRPr="00CF365E" w:rsidTr="00EC12C6">
        <w:tc>
          <w:tcPr>
            <w:tcW w:w="1728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Mali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165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33,4%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3,5%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81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90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</w:tr>
      <w:tr w:rsidR="005C178F" w:rsidRPr="00CF365E" w:rsidTr="00EC12C6">
        <w:tc>
          <w:tcPr>
            <w:tcW w:w="1728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proofErr w:type="spellStart"/>
            <w:r w:rsidRPr="00CF365E">
              <w:rPr>
                <w:rFonts w:ascii="Times" w:hAnsi="Times"/>
              </w:rPr>
              <w:t>Ca</w:t>
            </w:r>
            <w:r>
              <w:rPr>
                <w:rFonts w:ascii="Times" w:hAnsi="Times"/>
              </w:rPr>
              <w:t>bo</w:t>
            </w:r>
            <w:proofErr w:type="spellEnd"/>
            <w:r w:rsidRPr="00CF365E">
              <w:rPr>
                <w:rFonts w:ascii="Times" w:hAnsi="Times"/>
              </w:rPr>
              <w:t xml:space="preserve"> </w:t>
            </w:r>
            <w:proofErr w:type="spellStart"/>
            <w:r w:rsidRPr="00CF365E">
              <w:rPr>
                <w:rFonts w:ascii="Times" w:hAnsi="Times"/>
              </w:rPr>
              <w:t>Ver</w:t>
            </w:r>
            <w:r>
              <w:rPr>
                <w:rFonts w:ascii="Times" w:hAnsi="Times"/>
              </w:rPr>
              <w:t>de</w:t>
            </w:r>
            <w:proofErr w:type="spellEnd"/>
          </w:p>
        </w:tc>
        <w:tc>
          <w:tcPr>
            <w:tcW w:w="162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9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84,9%</w:t>
            </w:r>
          </w:p>
        </w:tc>
        <w:tc>
          <w:tcPr>
            <w:tcW w:w="1001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1,3%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23FCFA</w:t>
            </w:r>
          </w:p>
        </w:tc>
        <w:tc>
          <w:tcPr>
            <w:tcW w:w="81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17FCFA</w:t>
            </w:r>
          </w:p>
        </w:tc>
        <w:tc>
          <w:tcPr>
            <w:tcW w:w="90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>
              <w:rPr>
                <w:rFonts w:ascii="Times" w:hAnsi="Times"/>
                <w:sz w:val="16"/>
                <w:szCs w:val="20"/>
              </w:rPr>
              <w:t>4</w:t>
            </w:r>
            <w:r w:rsidRPr="00CF365E">
              <w:rPr>
                <w:rFonts w:ascii="Times" w:hAnsi="Times"/>
                <w:sz w:val="16"/>
                <w:szCs w:val="20"/>
              </w:rPr>
              <w:t>0FCFA</w:t>
            </w:r>
            <w:r>
              <w:rPr>
                <w:rStyle w:val="FootnoteReference"/>
                <w:rFonts w:ascii="Times" w:hAnsi="Times"/>
                <w:sz w:val="16"/>
                <w:szCs w:val="20"/>
              </w:rPr>
              <w:footnoteReference w:id="3"/>
            </w:r>
          </w:p>
        </w:tc>
      </w:tr>
      <w:tr w:rsidR="005C178F" w:rsidRPr="00CF365E" w:rsidTr="00EC12C6">
        <w:tc>
          <w:tcPr>
            <w:tcW w:w="1728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Guin</w:t>
            </w:r>
            <w:r>
              <w:rPr>
                <w:rFonts w:ascii="Times" w:hAnsi="Times"/>
              </w:rPr>
              <w:t>ée</w:t>
            </w:r>
            <w:r w:rsidRPr="00CF365E">
              <w:rPr>
                <w:rFonts w:ascii="Times" w:hAnsi="Times"/>
              </w:rPr>
              <w:t xml:space="preserve"> Bissau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55,3%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1,8%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23FCFA</w:t>
            </w:r>
          </w:p>
        </w:tc>
        <w:tc>
          <w:tcPr>
            <w:tcW w:w="81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18FCFA</w:t>
            </w:r>
          </w:p>
        </w:tc>
        <w:tc>
          <w:tcPr>
            <w:tcW w:w="90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>
              <w:rPr>
                <w:rFonts w:ascii="Times" w:hAnsi="Times"/>
                <w:sz w:val="16"/>
                <w:szCs w:val="20"/>
              </w:rPr>
              <w:t>4</w:t>
            </w:r>
            <w:r w:rsidRPr="00CF365E">
              <w:rPr>
                <w:rFonts w:ascii="Times" w:hAnsi="Times"/>
                <w:sz w:val="16"/>
                <w:szCs w:val="20"/>
              </w:rPr>
              <w:t>1FCFA</w:t>
            </w:r>
            <w:r>
              <w:rPr>
                <w:rStyle w:val="FootnoteReference"/>
                <w:rFonts w:ascii="Times" w:hAnsi="Times"/>
                <w:sz w:val="16"/>
                <w:szCs w:val="20"/>
              </w:rPr>
              <w:footnoteReference w:id="4"/>
            </w:r>
          </w:p>
        </w:tc>
      </w:tr>
      <w:tr w:rsidR="005C178F" w:rsidRPr="00CF365E" w:rsidTr="00EC12C6">
        <w:tc>
          <w:tcPr>
            <w:tcW w:w="1728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Cote d’Ivoire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138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56,9%</w:t>
            </w:r>
          </w:p>
        </w:tc>
        <w:tc>
          <w:tcPr>
            <w:tcW w:w="1001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2,1%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65FCFA</w:t>
            </w:r>
          </w:p>
        </w:tc>
        <w:tc>
          <w:tcPr>
            <w:tcW w:w="81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55FCFA</w:t>
            </w:r>
          </w:p>
        </w:tc>
        <w:tc>
          <w:tcPr>
            <w:tcW w:w="90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120FCFA</w:t>
            </w:r>
            <w:r w:rsidRPr="00CF365E">
              <w:rPr>
                <w:rStyle w:val="FootnoteReference"/>
                <w:rFonts w:ascii="Times" w:hAnsi="Times"/>
                <w:sz w:val="16"/>
                <w:szCs w:val="20"/>
              </w:rPr>
              <w:footnoteReference w:id="5"/>
            </w:r>
          </w:p>
        </w:tc>
      </w:tr>
      <w:tr w:rsidR="005C178F" w:rsidRPr="00CF365E" w:rsidTr="00EC12C6">
        <w:tc>
          <w:tcPr>
            <w:tcW w:w="1728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Niger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88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28,7%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3,22%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250 FCFA</w:t>
            </w:r>
            <w:r w:rsidRPr="00CF365E">
              <w:rPr>
                <w:rStyle w:val="FootnoteReference"/>
                <w:rFonts w:ascii="Times" w:hAnsi="Times"/>
                <w:sz w:val="16"/>
                <w:szCs w:val="20"/>
              </w:rPr>
              <w:footnoteReference w:id="6"/>
            </w:r>
          </w:p>
        </w:tc>
        <w:tc>
          <w:tcPr>
            <w:tcW w:w="81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100 FCFA</w:t>
            </w:r>
          </w:p>
        </w:tc>
        <w:tc>
          <w:tcPr>
            <w:tcW w:w="90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7E4C89">
              <w:rPr>
                <w:rFonts w:ascii="Times" w:hAnsi="Times"/>
                <w:sz w:val="16"/>
                <w:szCs w:val="20"/>
                <w:highlight w:val="yellow"/>
              </w:rPr>
              <w:t>350FCFA</w:t>
            </w:r>
          </w:p>
        </w:tc>
      </w:tr>
      <w:tr w:rsidR="005C178F" w:rsidRPr="00CF365E" w:rsidTr="00EC12C6">
        <w:tc>
          <w:tcPr>
            <w:tcW w:w="1728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Tchad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41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35,4%</w:t>
            </w:r>
          </w:p>
        </w:tc>
        <w:tc>
          <w:tcPr>
            <w:tcW w:w="1001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11%</w:t>
            </w:r>
            <w:r w:rsidRPr="00CF365E">
              <w:rPr>
                <w:rStyle w:val="FootnoteReference"/>
                <w:rFonts w:ascii="Times" w:hAnsi="Times"/>
              </w:rPr>
              <w:footnoteReference w:id="7"/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81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90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</w:tr>
      <w:tr w:rsidR="005C178F" w:rsidRPr="00CF365E" w:rsidTr="00EC12C6">
        <w:tc>
          <w:tcPr>
            <w:tcW w:w="1728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Ghana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71%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0,7%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91FCFA</w:t>
            </w:r>
          </w:p>
        </w:tc>
        <w:tc>
          <w:tcPr>
            <w:tcW w:w="81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91FCFA</w:t>
            </w:r>
          </w:p>
        </w:tc>
        <w:tc>
          <w:tcPr>
            <w:tcW w:w="90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182FCFA</w:t>
            </w:r>
          </w:p>
        </w:tc>
      </w:tr>
      <w:tr w:rsidR="005C178F" w:rsidRPr="00CF365E" w:rsidTr="00EC12C6">
        <w:tc>
          <w:tcPr>
            <w:tcW w:w="1728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Nigeria</w:t>
            </w:r>
            <w:r w:rsidRPr="00CF365E">
              <w:rPr>
                <w:rStyle w:val="FootnoteReference"/>
                <w:rFonts w:ascii="Times" w:hAnsi="Times"/>
              </w:rPr>
              <w:footnoteReference w:id="8"/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29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51%</w:t>
            </w:r>
          </w:p>
        </w:tc>
        <w:tc>
          <w:tcPr>
            <w:tcW w:w="1001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 xml:space="preserve">3% </w:t>
            </w:r>
            <w:r w:rsidRPr="00CF365E">
              <w:rPr>
                <w:rFonts w:ascii="Times" w:hAnsi="Times"/>
                <w:sz w:val="16"/>
              </w:rPr>
              <w:t>(2011)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64FCFA</w:t>
            </w:r>
          </w:p>
        </w:tc>
        <w:tc>
          <w:tcPr>
            <w:tcW w:w="81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64FCFA</w:t>
            </w:r>
          </w:p>
        </w:tc>
        <w:tc>
          <w:tcPr>
            <w:tcW w:w="90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128FCFA</w:t>
            </w:r>
          </w:p>
        </w:tc>
      </w:tr>
      <w:tr w:rsidR="005C178F" w:rsidRPr="00CF365E" w:rsidTr="00EC12C6">
        <w:tc>
          <w:tcPr>
            <w:tcW w:w="1728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Liberia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42,9%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1,6%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55 FCFA</w:t>
            </w:r>
          </w:p>
        </w:tc>
        <w:tc>
          <w:tcPr>
            <w:tcW w:w="81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-</w:t>
            </w:r>
          </w:p>
        </w:tc>
        <w:tc>
          <w:tcPr>
            <w:tcW w:w="90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55FCFA</w:t>
            </w:r>
          </w:p>
        </w:tc>
      </w:tr>
      <w:tr w:rsidR="005C178F" w:rsidRPr="00CF365E" w:rsidTr="00EC12C6">
        <w:tc>
          <w:tcPr>
            <w:tcW w:w="1728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Sierra Leone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11</w:t>
            </w:r>
            <w:r w:rsidRPr="00CF365E">
              <w:rPr>
                <w:rStyle w:val="FootnoteReference"/>
                <w:rFonts w:ascii="Times" w:hAnsi="Times"/>
              </w:rPr>
              <w:footnoteReference w:id="9"/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43,3%</w:t>
            </w:r>
          </w:p>
        </w:tc>
        <w:tc>
          <w:tcPr>
            <w:tcW w:w="1001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4,7%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81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90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</w:tr>
      <w:tr w:rsidR="005C178F" w:rsidRPr="00CF365E" w:rsidTr="00EC12C6">
        <w:tc>
          <w:tcPr>
            <w:tcW w:w="1728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RDC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461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61,2%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3,9%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81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90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</w:tr>
      <w:tr w:rsidR="005C178F" w:rsidRPr="00CF365E" w:rsidTr="00EC12C6">
        <w:tc>
          <w:tcPr>
            <w:tcW w:w="1728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Madagascar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303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64%</w:t>
            </w:r>
          </w:p>
        </w:tc>
        <w:tc>
          <w:tcPr>
            <w:tcW w:w="1001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4,3%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65FCFA</w:t>
            </w:r>
          </w:p>
        </w:tc>
        <w:tc>
          <w:tcPr>
            <w:tcW w:w="81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>
              <w:rPr>
                <w:rFonts w:ascii="Times" w:hAnsi="Times"/>
                <w:sz w:val="16"/>
                <w:szCs w:val="20"/>
              </w:rPr>
              <w:t>5</w:t>
            </w:r>
            <w:r w:rsidRPr="00CF365E">
              <w:rPr>
                <w:rFonts w:ascii="Times" w:hAnsi="Times"/>
                <w:sz w:val="16"/>
                <w:szCs w:val="20"/>
              </w:rPr>
              <w:t>5FCFA</w:t>
            </w:r>
          </w:p>
        </w:tc>
        <w:tc>
          <w:tcPr>
            <w:tcW w:w="90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>
              <w:rPr>
                <w:rFonts w:ascii="Times" w:hAnsi="Times"/>
                <w:sz w:val="16"/>
                <w:szCs w:val="20"/>
              </w:rPr>
              <w:t>12</w:t>
            </w:r>
            <w:r w:rsidRPr="00CF365E">
              <w:rPr>
                <w:rFonts w:ascii="Times" w:hAnsi="Times"/>
                <w:sz w:val="16"/>
                <w:szCs w:val="20"/>
              </w:rPr>
              <w:t>0FCFA</w:t>
            </w:r>
          </w:p>
        </w:tc>
      </w:tr>
      <w:tr w:rsidR="005C178F" w:rsidRPr="00CF365E" w:rsidTr="00EC12C6">
        <w:tc>
          <w:tcPr>
            <w:tcW w:w="1728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Mauritanie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 xml:space="preserve">56 </w:t>
            </w:r>
            <w:r w:rsidRPr="00CF365E">
              <w:rPr>
                <w:rFonts w:ascii="Times" w:hAnsi="Times"/>
                <w:sz w:val="16"/>
              </w:rPr>
              <w:t>(2007)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58,6%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3%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81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90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</w:tr>
      <w:tr w:rsidR="005C178F" w:rsidRPr="00CF365E" w:rsidTr="00EC12C6">
        <w:tc>
          <w:tcPr>
            <w:tcW w:w="1728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Tunisie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101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79%</w:t>
            </w:r>
          </w:p>
        </w:tc>
        <w:tc>
          <w:tcPr>
            <w:tcW w:w="1001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1,49%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56FCFA</w:t>
            </w:r>
          </w:p>
        </w:tc>
        <w:tc>
          <w:tcPr>
            <w:tcW w:w="81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56FCFA</w:t>
            </w:r>
          </w:p>
        </w:tc>
        <w:tc>
          <w:tcPr>
            <w:tcW w:w="90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112FCFA</w:t>
            </w:r>
          </w:p>
        </w:tc>
      </w:tr>
      <w:tr w:rsidR="005C178F" w:rsidRPr="00CF365E" w:rsidTr="00EC12C6">
        <w:tc>
          <w:tcPr>
            <w:tcW w:w="1728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Guinée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148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25,3%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3%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>
              <w:rPr>
                <w:rFonts w:ascii="Times" w:hAnsi="Times"/>
                <w:sz w:val="16"/>
                <w:szCs w:val="20"/>
              </w:rPr>
              <w:t>81FCFA</w:t>
            </w:r>
          </w:p>
        </w:tc>
        <w:tc>
          <w:tcPr>
            <w:tcW w:w="81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>
              <w:rPr>
                <w:rFonts w:ascii="Times" w:hAnsi="Times"/>
                <w:sz w:val="16"/>
                <w:szCs w:val="20"/>
              </w:rPr>
              <w:t>75FCFA</w:t>
            </w:r>
          </w:p>
        </w:tc>
        <w:tc>
          <w:tcPr>
            <w:tcW w:w="90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>
              <w:rPr>
                <w:rFonts w:ascii="Times" w:hAnsi="Times"/>
                <w:sz w:val="16"/>
                <w:szCs w:val="20"/>
              </w:rPr>
              <w:t>156FCFA</w:t>
            </w:r>
          </w:p>
        </w:tc>
      </w:tr>
      <w:tr w:rsidR="005C178F" w:rsidRPr="00CF365E" w:rsidTr="00EC12C6">
        <w:tc>
          <w:tcPr>
            <w:tcW w:w="1728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Bénin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151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28,7%</w:t>
            </w:r>
          </w:p>
        </w:tc>
        <w:tc>
          <w:tcPr>
            <w:tcW w:w="1001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2,8%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183FCFA</w:t>
            </w:r>
          </w:p>
        </w:tc>
        <w:tc>
          <w:tcPr>
            <w:tcW w:w="81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-</w:t>
            </w:r>
          </w:p>
        </w:tc>
        <w:tc>
          <w:tcPr>
            <w:tcW w:w="90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183FCFA</w:t>
            </w:r>
          </w:p>
        </w:tc>
      </w:tr>
      <w:tr w:rsidR="005C178F" w:rsidRPr="00CF365E" w:rsidTr="00EC12C6">
        <w:tc>
          <w:tcPr>
            <w:tcW w:w="1728" w:type="dxa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Burkina</w:t>
            </w:r>
          </w:p>
        </w:tc>
        <w:tc>
          <w:tcPr>
            <w:tcW w:w="1620" w:type="dxa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203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28,7%</w:t>
            </w:r>
          </w:p>
        </w:tc>
        <w:tc>
          <w:tcPr>
            <w:tcW w:w="1001" w:type="dxa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2,3%</w:t>
            </w:r>
          </w:p>
        </w:tc>
        <w:tc>
          <w:tcPr>
            <w:tcW w:w="900" w:type="dxa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280FCFA</w:t>
            </w:r>
            <w:r w:rsidRPr="00CF365E">
              <w:rPr>
                <w:rStyle w:val="FootnoteReference"/>
                <w:rFonts w:ascii="Times" w:hAnsi="Times"/>
                <w:sz w:val="16"/>
                <w:szCs w:val="20"/>
              </w:rPr>
              <w:footnoteReference w:id="10"/>
            </w:r>
          </w:p>
        </w:tc>
        <w:tc>
          <w:tcPr>
            <w:tcW w:w="81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90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280FCFA</w:t>
            </w:r>
          </w:p>
        </w:tc>
      </w:tr>
      <w:tr w:rsidR="005C178F" w:rsidRPr="00CF365E" w:rsidTr="00EC12C6">
        <w:tc>
          <w:tcPr>
            <w:tcW w:w="1728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RCA</w:t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48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56,9%</w:t>
            </w:r>
          </w:p>
        </w:tc>
        <w:tc>
          <w:tcPr>
            <w:tcW w:w="1001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2,1%</w:t>
            </w:r>
            <w:r w:rsidRPr="00CF365E">
              <w:rPr>
                <w:rStyle w:val="FootnoteReference"/>
                <w:rFonts w:ascii="Times" w:hAnsi="Times"/>
              </w:rPr>
              <w:footnoteReference w:id="11"/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48FCFA</w:t>
            </w:r>
          </w:p>
        </w:tc>
        <w:tc>
          <w:tcPr>
            <w:tcW w:w="81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48FCFA</w:t>
            </w:r>
          </w:p>
        </w:tc>
        <w:tc>
          <w:tcPr>
            <w:tcW w:w="90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96FCFA</w:t>
            </w:r>
          </w:p>
        </w:tc>
      </w:tr>
      <w:tr w:rsidR="005C178F" w:rsidRPr="00CF365E" w:rsidTr="00EC12C6">
        <w:tc>
          <w:tcPr>
            <w:tcW w:w="1728" w:type="dxa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Rwanda</w:t>
            </w:r>
          </w:p>
        </w:tc>
        <w:tc>
          <w:tcPr>
            <w:tcW w:w="1620" w:type="dxa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10</w:t>
            </w:r>
          </w:p>
        </w:tc>
        <w:tc>
          <w:tcPr>
            <w:tcW w:w="1350" w:type="dxa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65,9%</w:t>
            </w:r>
          </w:p>
        </w:tc>
        <w:tc>
          <w:tcPr>
            <w:tcW w:w="1001" w:type="dxa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1,2%</w:t>
            </w:r>
            <w:r w:rsidRPr="00CF365E">
              <w:rPr>
                <w:rStyle w:val="FootnoteReference"/>
                <w:rFonts w:ascii="Times" w:hAnsi="Times"/>
              </w:rPr>
              <w:footnoteReference w:id="12"/>
            </w:r>
          </w:p>
        </w:tc>
        <w:tc>
          <w:tcPr>
            <w:tcW w:w="900" w:type="dxa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81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90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</w:tr>
      <w:tr w:rsidR="005C178F" w:rsidRPr="00CF365E" w:rsidTr="00EC12C6">
        <w:tc>
          <w:tcPr>
            <w:tcW w:w="1728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Togo</w:t>
            </w:r>
            <w:r w:rsidRPr="00CF365E">
              <w:rPr>
                <w:rStyle w:val="FootnoteReference"/>
                <w:rFonts w:ascii="Times" w:hAnsi="Times"/>
              </w:rPr>
              <w:footnoteReference w:id="13"/>
            </w:r>
          </w:p>
        </w:tc>
        <w:tc>
          <w:tcPr>
            <w:tcW w:w="162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100+</w:t>
            </w:r>
          </w:p>
        </w:tc>
        <w:tc>
          <w:tcPr>
            <w:tcW w:w="135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60,4%</w:t>
            </w:r>
          </w:p>
        </w:tc>
        <w:tc>
          <w:tcPr>
            <w:tcW w:w="1001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2,75%</w:t>
            </w:r>
          </w:p>
        </w:tc>
        <w:tc>
          <w:tcPr>
            <w:tcW w:w="900" w:type="dxa"/>
            <w:shd w:val="clear" w:color="auto" w:fill="F2F2F2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200FCFA</w:t>
            </w:r>
            <w:r w:rsidRPr="00CF365E">
              <w:rPr>
                <w:rStyle w:val="FootnoteReference"/>
                <w:rFonts w:ascii="Times" w:hAnsi="Times"/>
                <w:sz w:val="16"/>
                <w:szCs w:val="20"/>
              </w:rPr>
              <w:footnoteReference w:id="14"/>
            </w:r>
          </w:p>
        </w:tc>
        <w:tc>
          <w:tcPr>
            <w:tcW w:w="81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900" w:type="dxa"/>
            <w:shd w:val="clear" w:color="auto" w:fill="F2F2F2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200FCFA</w:t>
            </w:r>
          </w:p>
        </w:tc>
      </w:tr>
      <w:tr w:rsidR="005C178F" w:rsidRPr="00CF365E" w:rsidTr="00EC12C6">
        <w:tc>
          <w:tcPr>
            <w:tcW w:w="1728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Burundi</w:t>
            </w:r>
            <w:r w:rsidRPr="00CF365E">
              <w:rPr>
                <w:rStyle w:val="FootnoteReference"/>
                <w:rFonts w:ascii="Times" w:hAnsi="Times"/>
              </w:rPr>
              <w:footnoteReference w:id="15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Unique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43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86,9%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10%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>
              <w:rPr>
                <w:rFonts w:ascii="Times" w:hAnsi="Times"/>
                <w:sz w:val="16"/>
                <w:szCs w:val="20"/>
              </w:rPr>
              <w:t>26</w:t>
            </w:r>
            <w:r w:rsidRPr="00CF365E">
              <w:rPr>
                <w:rFonts w:ascii="Times" w:hAnsi="Times"/>
                <w:sz w:val="16"/>
                <w:szCs w:val="20"/>
              </w:rPr>
              <w:t>FCFA</w:t>
            </w:r>
          </w:p>
        </w:tc>
        <w:tc>
          <w:tcPr>
            <w:tcW w:w="810" w:type="dxa"/>
            <w:shd w:val="clear" w:color="auto" w:fill="auto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-</w:t>
            </w:r>
          </w:p>
        </w:tc>
        <w:tc>
          <w:tcPr>
            <w:tcW w:w="900" w:type="dxa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>
              <w:rPr>
                <w:rFonts w:ascii="Times" w:hAnsi="Times"/>
                <w:sz w:val="16"/>
                <w:szCs w:val="20"/>
              </w:rPr>
              <w:t>26</w:t>
            </w:r>
            <w:r w:rsidRPr="00CF365E">
              <w:rPr>
                <w:rFonts w:ascii="Times" w:hAnsi="Times"/>
                <w:sz w:val="16"/>
                <w:szCs w:val="20"/>
              </w:rPr>
              <w:t>FCFA</w:t>
            </w:r>
            <w:r>
              <w:rPr>
                <w:rStyle w:val="FootnoteReference"/>
                <w:rFonts w:ascii="Times" w:hAnsi="Times"/>
                <w:sz w:val="16"/>
                <w:szCs w:val="20"/>
              </w:rPr>
              <w:footnoteReference w:id="16"/>
            </w:r>
          </w:p>
        </w:tc>
      </w:tr>
      <w:tr w:rsidR="005C178F" w:rsidRPr="00CF365E" w:rsidTr="00EC12C6">
        <w:tc>
          <w:tcPr>
            <w:tcW w:w="1728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Gabon</w:t>
            </w:r>
          </w:p>
        </w:tc>
        <w:tc>
          <w:tcPr>
            <w:tcW w:w="162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Multiple</w:t>
            </w:r>
          </w:p>
        </w:tc>
        <w:tc>
          <w:tcPr>
            <w:tcW w:w="126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173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89%</w:t>
            </w:r>
          </w:p>
        </w:tc>
        <w:tc>
          <w:tcPr>
            <w:tcW w:w="1001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5,1%</w:t>
            </w:r>
          </w:p>
        </w:tc>
        <w:tc>
          <w:tcPr>
            <w:tcW w:w="90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810" w:type="dxa"/>
            <w:shd w:val="clear" w:color="auto" w:fill="FDE9D9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900" w:type="dxa"/>
            <w:shd w:val="clear" w:color="auto" w:fill="FDE9D9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</w:tr>
      <w:tr w:rsidR="005C178F" w:rsidRPr="00CF365E" w:rsidTr="00EC12C6">
        <w:tc>
          <w:tcPr>
            <w:tcW w:w="1728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Cameroun</w:t>
            </w:r>
          </w:p>
        </w:tc>
        <w:tc>
          <w:tcPr>
            <w:tcW w:w="162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Multiple</w:t>
            </w:r>
          </w:p>
        </w:tc>
        <w:tc>
          <w:tcPr>
            <w:tcW w:w="126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282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71,3%</w:t>
            </w:r>
          </w:p>
        </w:tc>
        <w:tc>
          <w:tcPr>
            <w:tcW w:w="1001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2,3%</w:t>
            </w:r>
          </w:p>
        </w:tc>
        <w:tc>
          <w:tcPr>
            <w:tcW w:w="90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810" w:type="dxa"/>
            <w:shd w:val="clear" w:color="auto" w:fill="FDE9D9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  <w:tc>
          <w:tcPr>
            <w:tcW w:w="900" w:type="dxa"/>
            <w:shd w:val="clear" w:color="auto" w:fill="FDE9D9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</w:p>
        </w:tc>
      </w:tr>
      <w:tr w:rsidR="005C178F" w:rsidRPr="00CF365E" w:rsidTr="00EC12C6">
        <w:tc>
          <w:tcPr>
            <w:tcW w:w="1728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Suède</w:t>
            </w:r>
            <w:r w:rsidRPr="00CF365E">
              <w:rPr>
                <w:rStyle w:val="FootnoteReference"/>
                <w:rFonts w:ascii="Times" w:hAnsi="Times"/>
              </w:rPr>
              <w:footnoteReference w:id="17"/>
            </w:r>
          </w:p>
        </w:tc>
        <w:tc>
          <w:tcPr>
            <w:tcW w:w="162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Multiple</w:t>
            </w:r>
          </w:p>
        </w:tc>
        <w:tc>
          <w:tcPr>
            <w:tcW w:w="126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69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99%</w:t>
            </w:r>
          </w:p>
        </w:tc>
        <w:tc>
          <w:tcPr>
            <w:tcW w:w="1001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0,92%</w:t>
            </w:r>
          </w:p>
        </w:tc>
        <w:tc>
          <w:tcPr>
            <w:tcW w:w="90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247FCFA</w:t>
            </w:r>
          </w:p>
        </w:tc>
        <w:tc>
          <w:tcPr>
            <w:tcW w:w="810" w:type="dxa"/>
            <w:shd w:val="clear" w:color="auto" w:fill="FDE9D9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-</w:t>
            </w:r>
          </w:p>
        </w:tc>
        <w:tc>
          <w:tcPr>
            <w:tcW w:w="900" w:type="dxa"/>
            <w:shd w:val="clear" w:color="auto" w:fill="FDE9D9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CF365E">
              <w:rPr>
                <w:rFonts w:ascii="Times" w:hAnsi="Times"/>
                <w:sz w:val="16"/>
                <w:szCs w:val="20"/>
              </w:rPr>
              <w:t>247FCFA</w:t>
            </w:r>
          </w:p>
        </w:tc>
      </w:tr>
      <w:tr w:rsidR="005C178F" w:rsidRPr="008C7A7B" w:rsidTr="00EC12C6">
        <w:tc>
          <w:tcPr>
            <w:tcW w:w="1728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Sénégal</w:t>
            </w:r>
          </w:p>
        </w:tc>
        <w:tc>
          <w:tcPr>
            <w:tcW w:w="162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Multiple</w:t>
            </w:r>
          </w:p>
        </w:tc>
        <w:tc>
          <w:tcPr>
            <w:tcW w:w="126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286</w:t>
            </w:r>
          </w:p>
        </w:tc>
        <w:tc>
          <w:tcPr>
            <w:tcW w:w="135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49,7%</w:t>
            </w:r>
          </w:p>
        </w:tc>
        <w:tc>
          <w:tcPr>
            <w:tcW w:w="1001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</w:rPr>
            </w:pPr>
            <w:r w:rsidRPr="00CF365E">
              <w:rPr>
                <w:rFonts w:ascii="Times" w:hAnsi="Times"/>
              </w:rPr>
              <w:t>1%</w:t>
            </w:r>
          </w:p>
        </w:tc>
        <w:tc>
          <w:tcPr>
            <w:tcW w:w="900" w:type="dxa"/>
            <w:shd w:val="clear" w:color="auto" w:fill="FDE9D9"/>
            <w:vAlign w:val="center"/>
          </w:tcPr>
          <w:p w:rsidR="005C178F" w:rsidRPr="00CF365E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>
              <w:rPr>
                <w:rFonts w:ascii="Times" w:hAnsi="Times"/>
                <w:sz w:val="16"/>
                <w:szCs w:val="20"/>
              </w:rPr>
              <w:t>302FCFA</w:t>
            </w:r>
          </w:p>
        </w:tc>
        <w:tc>
          <w:tcPr>
            <w:tcW w:w="810" w:type="dxa"/>
            <w:shd w:val="clear" w:color="auto" w:fill="FDE9D9"/>
            <w:vAlign w:val="center"/>
          </w:tcPr>
          <w:p w:rsidR="005C178F" w:rsidRPr="008C7A7B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8C7A7B">
              <w:rPr>
                <w:rFonts w:ascii="Times" w:hAnsi="Times"/>
                <w:sz w:val="16"/>
                <w:szCs w:val="20"/>
              </w:rPr>
              <w:t>43FCFA</w:t>
            </w:r>
          </w:p>
        </w:tc>
        <w:tc>
          <w:tcPr>
            <w:tcW w:w="900" w:type="dxa"/>
            <w:shd w:val="clear" w:color="auto" w:fill="FDE9D9"/>
            <w:vAlign w:val="center"/>
          </w:tcPr>
          <w:p w:rsidR="005C178F" w:rsidRPr="008C7A7B" w:rsidRDefault="005C178F" w:rsidP="00EC12C6">
            <w:pPr>
              <w:spacing w:after="0" w:line="240" w:lineRule="auto"/>
              <w:contextualSpacing/>
              <w:jc w:val="center"/>
              <w:rPr>
                <w:rFonts w:ascii="Times" w:hAnsi="Times"/>
                <w:sz w:val="16"/>
                <w:szCs w:val="20"/>
              </w:rPr>
            </w:pPr>
            <w:r w:rsidRPr="007E4C89">
              <w:rPr>
                <w:sz w:val="16"/>
                <w:highlight w:val="yellow"/>
              </w:rPr>
              <w:t>345FCFA</w:t>
            </w:r>
            <w:bookmarkStart w:id="0" w:name="_GoBack"/>
            <w:bookmarkEnd w:id="0"/>
          </w:p>
        </w:tc>
      </w:tr>
    </w:tbl>
    <w:p w:rsidR="00E266EB" w:rsidRDefault="00E266EB"/>
    <w:sectPr w:rsidR="00E266EB" w:rsidSect="00E266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8F" w:rsidRDefault="005C178F" w:rsidP="005C178F">
      <w:pPr>
        <w:spacing w:after="0" w:line="240" w:lineRule="auto"/>
      </w:pPr>
      <w:r>
        <w:separator/>
      </w:r>
    </w:p>
  </w:endnote>
  <w:endnote w:type="continuationSeparator" w:id="0">
    <w:p w:rsidR="005C178F" w:rsidRDefault="005C178F" w:rsidP="005C1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8F" w:rsidRDefault="005C178F" w:rsidP="005C178F">
      <w:pPr>
        <w:spacing w:after="0" w:line="240" w:lineRule="auto"/>
      </w:pPr>
      <w:r>
        <w:separator/>
      </w:r>
    </w:p>
  </w:footnote>
  <w:footnote w:type="continuationSeparator" w:id="0">
    <w:p w:rsidR="005C178F" w:rsidRDefault="005C178F" w:rsidP="005C178F">
      <w:pPr>
        <w:spacing w:after="0" w:line="240" w:lineRule="auto"/>
      </w:pPr>
      <w:r>
        <w:continuationSeparator/>
      </w:r>
    </w:p>
  </w:footnote>
  <w:footnote w:id="1">
    <w:p w:rsidR="005C178F" w:rsidRPr="005C178F" w:rsidRDefault="005C178F" w:rsidP="005C178F">
      <w:pPr>
        <w:pStyle w:val="FootnoteText"/>
        <w:contextualSpacing/>
        <w:rPr>
          <w:rFonts w:asciiTheme="minorHAnsi" w:hAnsiTheme="minorHAnsi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</w:t>
      </w:r>
      <w:hyperlink r:id="rId1" w:history="1">
        <w:r w:rsidRPr="005C178F">
          <w:rPr>
            <w:rStyle w:val="Hyperlink"/>
            <w:rFonts w:asciiTheme="minorHAnsi" w:hAnsiTheme="minorHAnsi"/>
            <w:sz w:val="18"/>
            <w:szCs w:val="18"/>
          </w:rPr>
          <w:t>http://hdr.undp.org/en/content/adult-literacy-rate-both-sexes-ages-15-and-older</w:t>
        </w:r>
      </w:hyperlink>
      <w:r w:rsidRPr="005C178F">
        <w:rPr>
          <w:rFonts w:asciiTheme="minorHAnsi" w:hAnsiTheme="minorHAnsi"/>
          <w:sz w:val="18"/>
          <w:szCs w:val="18"/>
        </w:rPr>
        <w:t xml:space="preserve"> </w:t>
      </w:r>
    </w:p>
  </w:footnote>
  <w:footnote w:id="2">
    <w:p w:rsidR="005C178F" w:rsidRPr="005C178F" w:rsidRDefault="005C178F" w:rsidP="005C178F">
      <w:pPr>
        <w:pStyle w:val="FootnoteText"/>
        <w:contextualSpacing/>
        <w:rPr>
          <w:rFonts w:asciiTheme="minorHAnsi" w:hAnsiTheme="minorHAnsi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Issu du second tour de la dernière élection présidentielle</w:t>
      </w:r>
    </w:p>
  </w:footnote>
  <w:footnote w:id="3">
    <w:p w:rsidR="005C178F" w:rsidRPr="007E4C89" w:rsidRDefault="005C178F">
      <w:pPr>
        <w:pStyle w:val="FootnoteText"/>
        <w:rPr>
          <w:rFonts w:asciiTheme="minorHAnsi" w:hAnsiTheme="minorHAnsi"/>
          <w:sz w:val="18"/>
          <w:szCs w:val="18"/>
          <w:lang w:val="fr-BE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</w:t>
      </w:r>
      <w:r w:rsidRPr="007E4C89">
        <w:rPr>
          <w:rFonts w:asciiTheme="minorHAnsi" w:hAnsiTheme="minorHAnsi"/>
          <w:sz w:val="18"/>
          <w:szCs w:val="18"/>
          <w:lang w:val="fr-BE"/>
        </w:rPr>
        <w:t>PNUD, impimé localement</w:t>
      </w:r>
    </w:p>
  </w:footnote>
  <w:footnote w:id="4">
    <w:p w:rsidR="005C178F" w:rsidRPr="007E4C89" w:rsidRDefault="005C178F">
      <w:pPr>
        <w:pStyle w:val="FootnoteText"/>
        <w:rPr>
          <w:rFonts w:asciiTheme="minorHAnsi" w:hAnsiTheme="minorHAnsi"/>
          <w:sz w:val="18"/>
          <w:szCs w:val="18"/>
          <w:lang w:val="fr-BE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</w:t>
      </w:r>
      <w:r w:rsidRPr="007E4C89">
        <w:rPr>
          <w:rFonts w:asciiTheme="minorHAnsi" w:hAnsiTheme="minorHAnsi"/>
          <w:sz w:val="18"/>
          <w:szCs w:val="18"/>
          <w:lang w:val="fr-BE"/>
        </w:rPr>
        <w:t>PNUD, imprimé localement</w:t>
      </w:r>
    </w:p>
  </w:footnote>
  <w:footnote w:id="5">
    <w:p w:rsidR="005C178F" w:rsidRPr="005C178F" w:rsidRDefault="005C178F" w:rsidP="005C178F">
      <w:pPr>
        <w:pStyle w:val="FootnoteText"/>
        <w:contextualSpacing/>
        <w:rPr>
          <w:rFonts w:asciiTheme="minorHAnsi" w:hAnsiTheme="minorHAnsi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Communication avec Aimé N’Cho, chargé du PNUD de l’impression du bulletin en 2010</w:t>
      </w:r>
    </w:p>
  </w:footnote>
  <w:footnote w:id="6">
    <w:p w:rsidR="005C178F" w:rsidRPr="005C178F" w:rsidRDefault="005C178F" w:rsidP="005C178F">
      <w:pPr>
        <w:pStyle w:val="FootnoteText"/>
        <w:contextualSpacing/>
        <w:rPr>
          <w:rFonts w:asciiTheme="minorHAnsi" w:hAnsiTheme="minorHAnsi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Impression à du être reprise à cause d’une erreur.</w:t>
      </w:r>
    </w:p>
  </w:footnote>
  <w:footnote w:id="7">
    <w:p w:rsidR="005C178F" w:rsidRPr="005C178F" w:rsidRDefault="005C178F" w:rsidP="005C178F">
      <w:pPr>
        <w:pStyle w:val="FootnoteText"/>
        <w:contextualSpacing/>
        <w:rPr>
          <w:rFonts w:asciiTheme="minorHAnsi" w:hAnsiTheme="minorHAnsi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Selon des observateurs internationaux à cause d’une interprétation “rigoriste” du code.</w:t>
      </w:r>
    </w:p>
  </w:footnote>
  <w:footnote w:id="8">
    <w:p w:rsidR="005C178F" w:rsidRPr="005C178F" w:rsidRDefault="005C178F" w:rsidP="005C178F">
      <w:pPr>
        <w:pStyle w:val="FootnoteText"/>
        <w:contextualSpacing/>
        <w:rPr>
          <w:rFonts w:asciiTheme="minorHAnsi" w:hAnsiTheme="minorHAnsi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Extrapolé du coût global de l’impression des bulletins.</w:t>
      </w:r>
    </w:p>
  </w:footnote>
  <w:footnote w:id="9">
    <w:p w:rsidR="005C178F" w:rsidRPr="005C178F" w:rsidRDefault="005C178F" w:rsidP="005C178F">
      <w:pPr>
        <w:pStyle w:val="FootnoteText"/>
        <w:contextualSpacing/>
        <w:rPr>
          <w:rFonts w:asciiTheme="minorHAnsi" w:hAnsiTheme="minorHAnsi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</w:t>
      </w:r>
      <w:hyperlink r:id="rId2" w:history="1">
        <w:r w:rsidRPr="005C178F">
          <w:rPr>
            <w:rStyle w:val="Hyperlink"/>
            <w:rFonts w:asciiTheme="minorHAnsi" w:hAnsiTheme="minorHAnsi"/>
            <w:sz w:val="18"/>
            <w:szCs w:val="18"/>
          </w:rPr>
          <w:t>http://www.pprcsierraleone.org/ct-menu-item-47/ct-menu-item-51</w:t>
        </w:r>
      </w:hyperlink>
      <w:r w:rsidRPr="005C178F">
        <w:rPr>
          <w:rFonts w:asciiTheme="minorHAnsi" w:hAnsiTheme="minorHAnsi"/>
          <w:sz w:val="18"/>
          <w:szCs w:val="18"/>
        </w:rPr>
        <w:t xml:space="preserve"> </w:t>
      </w:r>
    </w:p>
  </w:footnote>
  <w:footnote w:id="10">
    <w:p w:rsidR="005C178F" w:rsidRPr="005C178F" w:rsidRDefault="005C178F" w:rsidP="005C178F">
      <w:pPr>
        <w:pStyle w:val="FootnoteText"/>
        <w:contextualSpacing/>
        <w:rPr>
          <w:rFonts w:asciiTheme="minorHAnsi" w:hAnsiTheme="minorHAnsi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Aux législatives de 2010, la CENI a lancé un appel d’offre en novembre 2015 pour obtenir un prix plus compétitif</w:t>
      </w:r>
    </w:p>
  </w:footnote>
  <w:footnote w:id="11">
    <w:p w:rsidR="005C178F" w:rsidRPr="005C178F" w:rsidRDefault="005C178F" w:rsidP="005C178F">
      <w:pPr>
        <w:pStyle w:val="FootnoteText"/>
        <w:contextualSpacing/>
        <w:rPr>
          <w:rFonts w:asciiTheme="minorHAnsi" w:hAnsiTheme="minorHAnsi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En 2005, 2011 non-disponible</w:t>
      </w:r>
    </w:p>
  </w:footnote>
  <w:footnote w:id="12">
    <w:p w:rsidR="005C178F" w:rsidRPr="005C178F" w:rsidRDefault="005C178F" w:rsidP="005C178F">
      <w:pPr>
        <w:pStyle w:val="FootnoteText"/>
        <w:contextualSpacing/>
        <w:rPr>
          <w:rFonts w:asciiTheme="minorHAnsi" w:hAnsiTheme="minorHAnsi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</w:t>
      </w:r>
      <w:hyperlink r:id="rId3" w:history="1">
        <w:r w:rsidRPr="005C178F">
          <w:rPr>
            <w:rStyle w:val="Hyperlink"/>
            <w:rFonts w:asciiTheme="minorHAnsi" w:hAnsiTheme="minorHAnsi"/>
            <w:sz w:val="18"/>
            <w:szCs w:val="18"/>
          </w:rPr>
          <w:t>http://africanelections.tripod.com/rw.html</w:t>
        </w:r>
      </w:hyperlink>
      <w:r w:rsidRPr="005C178F">
        <w:rPr>
          <w:rFonts w:asciiTheme="minorHAnsi" w:hAnsiTheme="minorHAnsi"/>
          <w:sz w:val="18"/>
          <w:szCs w:val="18"/>
        </w:rPr>
        <w:t xml:space="preserve"> </w:t>
      </w:r>
    </w:p>
  </w:footnote>
  <w:footnote w:id="13">
    <w:p w:rsidR="005C178F" w:rsidRPr="005C178F" w:rsidRDefault="005C178F" w:rsidP="005C178F">
      <w:pPr>
        <w:pStyle w:val="FootnoteText"/>
        <w:contextualSpacing/>
        <w:rPr>
          <w:rFonts w:asciiTheme="minorHAnsi" w:hAnsiTheme="minorHAnsi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</w:t>
      </w:r>
      <w:hyperlink r:id="rId4" w:history="1">
        <w:r w:rsidRPr="005C178F">
          <w:rPr>
            <w:rStyle w:val="Hyperlink"/>
            <w:rFonts w:asciiTheme="minorHAnsi" w:hAnsiTheme="minorHAnsi"/>
            <w:sz w:val="18"/>
            <w:szCs w:val="18"/>
          </w:rPr>
          <w:t>http://procurement-notices.undp.org/view_notice.cfm?notice_id=4883</w:t>
        </w:r>
      </w:hyperlink>
      <w:r w:rsidRPr="005C178F">
        <w:rPr>
          <w:rFonts w:asciiTheme="minorHAnsi" w:hAnsiTheme="minorHAnsi"/>
          <w:sz w:val="18"/>
          <w:szCs w:val="18"/>
        </w:rPr>
        <w:t xml:space="preserve"> </w:t>
      </w:r>
    </w:p>
  </w:footnote>
  <w:footnote w:id="14">
    <w:p w:rsidR="005C178F" w:rsidRPr="005C178F" w:rsidRDefault="005C178F" w:rsidP="005C178F">
      <w:pPr>
        <w:pStyle w:val="FootnoteText"/>
        <w:contextualSpacing/>
        <w:rPr>
          <w:rFonts w:asciiTheme="minorHAnsi" w:hAnsiTheme="minorHAnsi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Aux législatives de 2007</w:t>
      </w:r>
    </w:p>
  </w:footnote>
  <w:footnote w:id="15">
    <w:p w:rsidR="005C178F" w:rsidRPr="005C178F" w:rsidRDefault="005C178F" w:rsidP="005C178F">
      <w:pPr>
        <w:pStyle w:val="FootnoteText"/>
        <w:contextualSpacing/>
        <w:rPr>
          <w:rFonts w:asciiTheme="minorHAnsi" w:hAnsiTheme="minorHAnsi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Produc PNUD 2015</w:t>
      </w:r>
    </w:p>
  </w:footnote>
  <w:footnote w:id="16">
    <w:p w:rsidR="005C178F" w:rsidRPr="007E4C89" w:rsidRDefault="005C178F">
      <w:pPr>
        <w:pStyle w:val="FootnoteText"/>
        <w:rPr>
          <w:rFonts w:asciiTheme="minorHAnsi" w:hAnsiTheme="minorHAnsi"/>
          <w:sz w:val="18"/>
          <w:szCs w:val="18"/>
          <w:lang w:val="fr-BE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</w:t>
      </w:r>
      <w:r w:rsidRPr="007E4C89">
        <w:rPr>
          <w:rFonts w:asciiTheme="minorHAnsi" w:hAnsiTheme="minorHAnsi"/>
          <w:sz w:val="18"/>
          <w:szCs w:val="18"/>
          <w:lang w:val="fr-BE"/>
        </w:rPr>
        <w:t>PNUD, imprimé à Johannesburg</w:t>
      </w:r>
    </w:p>
  </w:footnote>
  <w:footnote w:id="17">
    <w:p w:rsidR="005C178F" w:rsidRPr="00C14003" w:rsidRDefault="005C178F" w:rsidP="005C178F">
      <w:pPr>
        <w:pStyle w:val="FootnoteText"/>
        <w:contextualSpacing/>
        <w:rPr>
          <w:rFonts w:ascii="Times" w:hAnsi="Times"/>
          <w:sz w:val="18"/>
          <w:szCs w:val="18"/>
        </w:rPr>
      </w:pPr>
      <w:r w:rsidRPr="005C178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5C178F">
        <w:rPr>
          <w:rFonts w:asciiTheme="minorHAnsi" w:hAnsiTheme="minorHAnsi"/>
          <w:sz w:val="18"/>
          <w:szCs w:val="18"/>
        </w:rPr>
        <w:t xml:space="preserve"> En 2004 selon CORE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8F"/>
    <w:rsid w:val="005C178F"/>
    <w:rsid w:val="007E4C89"/>
    <w:rsid w:val="00E2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8F"/>
    <w:pPr>
      <w:spacing w:after="200" w:line="276" w:lineRule="auto"/>
    </w:pPr>
    <w:rPr>
      <w:rFonts w:ascii="Cambria" w:eastAsia="Cambria" w:hAnsi="Cambria" w:cs="Times New Roman"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5_G"/>
    <w:basedOn w:val="Normal"/>
    <w:link w:val="FootnoteTextChar"/>
    <w:uiPriority w:val="99"/>
    <w:rsid w:val="005C178F"/>
    <w:pPr>
      <w:spacing w:after="0" w:line="240" w:lineRule="auto"/>
    </w:pPr>
    <w:rPr>
      <w:rFonts w:ascii="Times New Roman" w:eastAsia="MS ??" w:hAnsi="Times New Roman"/>
      <w:sz w:val="20"/>
      <w:szCs w:val="20"/>
      <w:lang w:eastAsia="x-none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99"/>
    <w:rsid w:val="005C178F"/>
    <w:rPr>
      <w:rFonts w:ascii="Times New Roman" w:eastAsia="MS ??" w:hAnsi="Times New Roman" w:cs="Times New Roman"/>
      <w:sz w:val="20"/>
      <w:szCs w:val="20"/>
      <w:lang w:val="fr-FR" w:eastAsia="x-none"/>
    </w:rPr>
  </w:style>
  <w:style w:type="character" w:styleId="FootnoteReference">
    <w:name w:val="footnote reference"/>
    <w:aliases w:val="4_G"/>
    <w:uiPriority w:val="99"/>
    <w:rsid w:val="005C178F"/>
    <w:rPr>
      <w:rFonts w:cs="Times New Roman"/>
      <w:vertAlign w:val="superscript"/>
    </w:rPr>
  </w:style>
  <w:style w:type="character" w:styleId="Hyperlink">
    <w:name w:val="Hyperlink"/>
    <w:uiPriority w:val="99"/>
    <w:rsid w:val="005C178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178F"/>
    <w:pPr>
      <w:tabs>
        <w:tab w:val="center" w:pos="4536"/>
        <w:tab w:val="right" w:pos="9072"/>
      </w:tabs>
      <w:spacing w:after="0" w:line="240" w:lineRule="auto"/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C178F"/>
    <w:rPr>
      <w:rFonts w:ascii="Cambria" w:eastAsia="Cambria" w:hAnsi="Cambria" w:cs="Times New Roman"/>
      <w:sz w:val="22"/>
      <w:szCs w:val="22"/>
      <w:lang w:val="fr-FR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8F"/>
    <w:pPr>
      <w:spacing w:after="200" w:line="276" w:lineRule="auto"/>
    </w:pPr>
    <w:rPr>
      <w:rFonts w:ascii="Cambria" w:eastAsia="Cambria" w:hAnsi="Cambria" w:cs="Times New Roman"/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5_G"/>
    <w:basedOn w:val="Normal"/>
    <w:link w:val="FootnoteTextChar"/>
    <w:uiPriority w:val="99"/>
    <w:rsid w:val="005C178F"/>
    <w:pPr>
      <w:spacing w:after="0" w:line="240" w:lineRule="auto"/>
    </w:pPr>
    <w:rPr>
      <w:rFonts w:ascii="Times New Roman" w:eastAsia="MS ??" w:hAnsi="Times New Roman"/>
      <w:sz w:val="20"/>
      <w:szCs w:val="20"/>
      <w:lang w:eastAsia="x-none"/>
    </w:rPr>
  </w:style>
  <w:style w:type="character" w:customStyle="1" w:styleId="FootnoteTextChar">
    <w:name w:val="Footnote Text Char"/>
    <w:aliases w:val="5_G Char"/>
    <w:basedOn w:val="DefaultParagraphFont"/>
    <w:link w:val="FootnoteText"/>
    <w:uiPriority w:val="99"/>
    <w:rsid w:val="005C178F"/>
    <w:rPr>
      <w:rFonts w:ascii="Times New Roman" w:eastAsia="MS ??" w:hAnsi="Times New Roman" w:cs="Times New Roman"/>
      <w:sz w:val="20"/>
      <w:szCs w:val="20"/>
      <w:lang w:val="fr-FR" w:eastAsia="x-none"/>
    </w:rPr>
  </w:style>
  <w:style w:type="character" w:styleId="FootnoteReference">
    <w:name w:val="footnote reference"/>
    <w:aliases w:val="4_G"/>
    <w:uiPriority w:val="99"/>
    <w:rsid w:val="005C178F"/>
    <w:rPr>
      <w:rFonts w:cs="Times New Roman"/>
      <w:vertAlign w:val="superscript"/>
    </w:rPr>
  </w:style>
  <w:style w:type="character" w:styleId="Hyperlink">
    <w:name w:val="Hyperlink"/>
    <w:uiPriority w:val="99"/>
    <w:rsid w:val="005C178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178F"/>
    <w:pPr>
      <w:tabs>
        <w:tab w:val="center" w:pos="4536"/>
        <w:tab w:val="right" w:pos="9072"/>
      </w:tabs>
      <w:spacing w:after="0" w:line="240" w:lineRule="auto"/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5C178F"/>
    <w:rPr>
      <w:rFonts w:ascii="Cambria" w:eastAsia="Cambria" w:hAnsi="Cambria" w:cs="Times New Roman"/>
      <w:sz w:val="22"/>
      <w:szCs w:val="22"/>
      <w:lang w:val="fr-FR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africanelections.tripod.com/rw.html" TargetMode="External"/><Relationship Id="rId2" Type="http://schemas.openxmlformats.org/officeDocument/2006/relationships/hyperlink" Target="http://www.pprcsierraleone.org/ct-menu-item-47/ct-menu-item-51" TargetMode="External"/><Relationship Id="rId1" Type="http://schemas.openxmlformats.org/officeDocument/2006/relationships/hyperlink" Target="http://hdr.undp.org/en/content/adult-literacy-rate-both-sexes-ages-15-and-older" TargetMode="External"/><Relationship Id="rId4" Type="http://schemas.openxmlformats.org/officeDocument/2006/relationships/hyperlink" Target="http://procurement-notices.undp.org/view_notice.cfm?notice_id=4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w</dc:creator>
  <cp:lastModifiedBy>VANDENDORPE Florence (DEVCO)</cp:lastModifiedBy>
  <cp:revision>1</cp:revision>
  <dcterms:created xsi:type="dcterms:W3CDTF">2015-11-17T10:19:00Z</dcterms:created>
  <dcterms:modified xsi:type="dcterms:W3CDTF">2015-11-17T13:36:00Z</dcterms:modified>
</cp:coreProperties>
</file>