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7D3D1" w14:textId="77777777" w:rsidR="00E36D2C" w:rsidRDefault="00E36D2C">
      <w:pPr>
        <w:spacing w:line="276" w:lineRule="auto"/>
        <w:rPr>
          <w:rFonts w:ascii="Montserrat" w:eastAsia="Montserrat" w:hAnsi="Montserrat" w:cs="Montserrat"/>
          <w:b/>
          <w:bCs/>
          <w:sz w:val="30"/>
          <w:szCs w:val="30"/>
        </w:rPr>
      </w:pPr>
    </w:p>
    <w:p w14:paraId="16B7D3D2" w14:textId="77777777" w:rsidR="00E36D2C" w:rsidRDefault="005A004B">
      <w:pPr>
        <w:spacing w:line="276" w:lineRule="auto"/>
        <w:jc w:val="center"/>
      </w:pPr>
      <w:r>
        <w:rPr>
          <w:rFonts w:ascii="Montserrat" w:eastAsia="Montserrat" w:hAnsi="Montserrat" w:cs="Montserrat"/>
          <w:b/>
          <w:bCs/>
          <w:sz w:val="26"/>
          <w:szCs w:val="26"/>
        </w:rPr>
        <w:t>Comunicado de Lanzamiento</w:t>
      </w:r>
    </w:p>
    <w:p w14:paraId="16B7D3D3" w14:textId="77777777" w:rsidR="00E36D2C" w:rsidRDefault="00E36D2C">
      <w:pPr>
        <w:spacing w:line="276" w:lineRule="auto"/>
        <w:rPr>
          <w:rFonts w:ascii="Montserrat" w:eastAsia="Montserrat" w:hAnsi="Montserrat" w:cs="Montserrat"/>
          <w:b/>
          <w:bCs/>
          <w:sz w:val="26"/>
          <w:szCs w:val="26"/>
        </w:rPr>
      </w:pPr>
    </w:p>
    <w:p w14:paraId="16B7D3D4" w14:textId="77777777" w:rsidR="00E36D2C" w:rsidRDefault="005A004B">
      <w:pPr>
        <w:spacing w:line="276" w:lineRule="auto"/>
        <w:jc w:val="center"/>
        <w:rPr>
          <w:rFonts w:ascii="Montserrat" w:eastAsia="Montserrat" w:hAnsi="Montserrat" w:cs="Montserrat"/>
        </w:rPr>
      </w:pPr>
      <w:r>
        <w:rPr>
          <w:noProof/>
        </w:rPr>
        <w:drawing>
          <wp:inline distT="0" distB="0" distL="0" distR="0" wp14:anchorId="16B7D405" wp14:editId="16B7D406">
            <wp:extent cx="3580441" cy="1272110"/>
            <wp:effectExtent l="0" t="0" r="0" b="0"/>
            <wp:docPr id="10" name="image4.jpg" descr="Logotipo, nome da empresa  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Logotipo, nome da empresa  O conteúdo gerado por IA pode estar incorreto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0441" cy="1272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B7D3D5" w14:textId="77777777" w:rsidR="00E36D2C" w:rsidRDefault="005A004B">
      <w:pPr>
        <w:spacing w:line="276" w:lineRule="auto"/>
        <w:rPr>
          <w:rFonts w:ascii="Montserrat" w:eastAsia="Montserrat" w:hAnsi="Montserrat" w:cs="Montserrat"/>
          <w:b/>
          <w:bCs/>
          <w:sz w:val="40"/>
          <w:szCs w:val="40"/>
        </w:rPr>
      </w:pPr>
      <w:proofErr w:type="spellStart"/>
      <w:r>
        <w:rPr>
          <w:rFonts w:ascii="Montserrat" w:eastAsia="Montserrat" w:hAnsi="Montserrat" w:cs="Montserrat"/>
          <w:b/>
          <w:bCs/>
          <w:sz w:val="40"/>
          <w:szCs w:val="40"/>
        </w:rPr>
        <w:t>ExpoMIF</w:t>
      </w:r>
      <w:proofErr w:type="spellEnd"/>
      <w:r>
        <w:rPr>
          <w:rFonts w:ascii="Montserrat" w:eastAsia="Montserrat" w:hAnsi="Montserrat" w:cs="Montserrat"/>
          <w:b/>
          <w:bCs/>
          <w:sz w:val="40"/>
          <w:szCs w:val="40"/>
        </w:rPr>
        <w:t>: nueva plataforma regional reúne más de 50 buenas prácticas de Manejo Integral del Fuego en la Amazonía</w:t>
      </w:r>
    </w:p>
    <w:p w14:paraId="16B7D3D6" w14:textId="77777777" w:rsidR="00E36D2C" w:rsidRDefault="00E36D2C">
      <w:pPr>
        <w:spacing w:line="276" w:lineRule="auto"/>
        <w:rPr>
          <w:rFonts w:ascii="Montserrat" w:eastAsia="Montserrat" w:hAnsi="Montserrat" w:cs="Montserrat"/>
          <w:sz w:val="24"/>
          <w:szCs w:val="24"/>
        </w:rPr>
      </w:pPr>
    </w:p>
    <w:p w14:paraId="16B7D3D7" w14:textId="7385EE95" w:rsidR="00E36D2C" w:rsidRDefault="005A004B">
      <w:pPr>
        <w:spacing w:line="276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El lanzamiento oficial de la </w:t>
      </w:r>
      <w:hyperlink r:id="rId9">
        <w:r>
          <w:rPr>
            <w:rFonts w:ascii="Montserrat" w:eastAsia="Montserrat" w:hAnsi="Montserrat" w:cs="Montserrat"/>
            <w:color w:val="0563C1"/>
            <w:sz w:val="24"/>
            <w:szCs w:val="24"/>
            <w:u w:val="single"/>
          </w:rPr>
          <w:t xml:space="preserve">plataforma digital </w:t>
        </w:r>
        <w:proofErr w:type="spellStart"/>
        <w:r>
          <w:rPr>
            <w:rFonts w:ascii="Montserrat" w:eastAsia="Montserrat" w:hAnsi="Montserrat" w:cs="Montserrat"/>
            <w:color w:val="0563C1"/>
            <w:sz w:val="24"/>
            <w:szCs w:val="24"/>
            <w:u w:val="single"/>
          </w:rPr>
          <w:t>ExpoMIF</w:t>
        </w:r>
        <w:proofErr w:type="spellEnd"/>
      </w:hyperlink>
      <w:r>
        <w:rPr>
          <w:rFonts w:ascii="Montserrat" w:eastAsia="Montserrat" w:hAnsi="Montserrat" w:cs="Montserrat"/>
          <w:sz w:val="24"/>
          <w:szCs w:val="24"/>
        </w:rPr>
        <w:t xml:space="preserve"> tendrá lugar el 5 de febrero de 2026, a través de un evento virtual abierto al público y que reunirá aliados estratégicos, expertos y buenas prácticas de la región amazónica.</w:t>
      </w:r>
    </w:p>
    <w:p w14:paraId="16B7D3D8" w14:textId="77777777" w:rsidR="00E36D2C" w:rsidRDefault="00E36D2C">
      <w:pPr>
        <w:spacing w:line="276" w:lineRule="auto"/>
        <w:rPr>
          <w:rFonts w:ascii="Montserrat" w:eastAsia="Montserrat" w:hAnsi="Montserrat" w:cs="Montserrat"/>
          <w:sz w:val="24"/>
          <w:szCs w:val="24"/>
        </w:rPr>
      </w:pPr>
    </w:p>
    <w:p w14:paraId="16B7D3D9" w14:textId="77777777" w:rsidR="00E36D2C" w:rsidRDefault="005A004B">
      <w:pPr>
        <w:spacing w:line="276" w:lineRule="auto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En línea – 5 de </w:t>
      </w:r>
      <w:proofErr w:type="gramStart"/>
      <w:r>
        <w:rPr>
          <w:rFonts w:ascii="Montserrat" w:eastAsia="Montserrat" w:hAnsi="Montserrat" w:cs="Montserrat"/>
          <w:b/>
          <w:bCs/>
          <w:sz w:val="24"/>
          <w:szCs w:val="24"/>
        </w:rPr>
        <w:t>Febrero</w:t>
      </w:r>
      <w:proofErr w:type="gramEnd"/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 de 2026</w:t>
      </w:r>
    </w:p>
    <w:p w14:paraId="16B7D3DA" w14:textId="28D86188" w:rsidR="00E36D2C" w:rsidRPr="00531F91" w:rsidRDefault="005A004B">
      <w:pPr>
        <w:spacing w:line="276" w:lineRule="auto"/>
        <w:rPr>
          <w:rFonts w:ascii="Montserrat" w:eastAsia="Montserrat" w:hAnsi="Montserrat" w:cs="Montserrat"/>
          <w:sz w:val="24"/>
          <w:szCs w:val="24"/>
        </w:rPr>
      </w:pPr>
      <w:r w:rsidRPr="00531F91">
        <w:rPr>
          <w:rFonts w:ascii="Montserrat" w:eastAsia="Montserrat" w:hAnsi="Montserrat" w:cs="Montserrat"/>
          <w:sz w:val="24"/>
          <w:szCs w:val="24"/>
        </w:rPr>
        <w:t>09:00 – 10:30</w:t>
      </w:r>
      <w:r w:rsidR="00531F91" w:rsidRPr="00531F91">
        <w:rPr>
          <w:rFonts w:ascii="Montserrat" w:eastAsia="Montserrat" w:hAnsi="Montserrat" w:cs="Montserrat"/>
          <w:sz w:val="24"/>
          <w:szCs w:val="24"/>
        </w:rPr>
        <w:t xml:space="preserve"> </w:t>
      </w:r>
      <w:r w:rsidRPr="00531F91">
        <w:rPr>
          <w:rFonts w:ascii="Montserrat" w:eastAsia="Montserrat" w:hAnsi="Montserrat" w:cs="Montserrat"/>
          <w:sz w:val="24"/>
          <w:szCs w:val="24"/>
        </w:rPr>
        <w:t>(GMT-5) /</w:t>
      </w:r>
      <w:r w:rsidR="00531F91" w:rsidRPr="00531F91">
        <w:rPr>
          <w:rFonts w:ascii="Montserrat" w:eastAsia="Montserrat" w:hAnsi="Montserrat" w:cs="Montserrat"/>
          <w:sz w:val="24"/>
          <w:szCs w:val="24"/>
        </w:rPr>
        <w:t xml:space="preserve"> 10:00 – 11:30 (GMT-4) </w:t>
      </w:r>
      <w:proofErr w:type="gramStart"/>
      <w:r w:rsidR="00531F91" w:rsidRPr="00531F91">
        <w:rPr>
          <w:rFonts w:ascii="Montserrat" w:eastAsia="Montserrat" w:hAnsi="Montserrat" w:cs="Montserrat"/>
          <w:sz w:val="24"/>
          <w:szCs w:val="24"/>
        </w:rPr>
        <w:t xml:space="preserve">/ </w:t>
      </w:r>
      <w:r w:rsidRPr="00531F91">
        <w:rPr>
          <w:rFonts w:ascii="Montserrat" w:eastAsia="Montserrat" w:hAnsi="Montserrat" w:cs="Montserrat"/>
          <w:sz w:val="24"/>
          <w:szCs w:val="24"/>
        </w:rPr>
        <w:t xml:space="preserve"> 11:00</w:t>
      </w:r>
      <w:proofErr w:type="gramEnd"/>
      <w:r w:rsidRPr="00531F91">
        <w:rPr>
          <w:rFonts w:ascii="Montserrat" w:eastAsia="Montserrat" w:hAnsi="Montserrat" w:cs="Montserrat"/>
          <w:sz w:val="24"/>
          <w:szCs w:val="24"/>
        </w:rPr>
        <w:t xml:space="preserve"> - 12:30</w:t>
      </w:r>
      <w:r w:rsidR="00531F91" w:rsidRPr="00531F91">
        <w:rPr>
          <w:rFonts w:ascii="Montserrat" w:eastAsia="Montserrat" w:hAnsi="Montserrat" w:cs="Montserrat"/>
          <w:sz w:val="24"/>
          <w:szCs w:val="24"/>
        </w:rPr>
        <w:t xml:space="preserve"> </w:t>
      </w:r>
      <w:r w:rsidRPr="00531F91">
        <w:rPr>
          <w:rFonts w:ascii="Montserrat" w:eastAsia="Montserrat" w:hAnsi="Montserrat" w:cs="Montserrat"/>
          <w:sz w:val="24"/>
          <w:szCs w:val="24"/>
        </w:rPr>
        <w:t>(GMT-3)</w:t>
      </w:r>
    </w:p>
    <w:p w14:paraId="16B7D3DB" w14:textId="7990B79A" w:rsidR="00E36D2C" w:rsidRDefault="005A004B">
      <w:pPr>
        <w:spacing w:line="276" w:lineRule="auto"/>
        <w:rPr>
          <w:rFonts w:ascii="Montserrat" w:eastAsia="Montserrat" w:hAnsi="Montserrat" w:cs="Montserrat"/>
          <w:sz w:val="24"/>
          <w:szCs w:val="24"/>
        </w:rPr>
      </w:pPr>
      <w:proofErr w:type="spellStart"/>
      <w:r>
        <w:rPr>
          <w:rFonts w:ascii="Montserrat" w:eastAsia="Montserrat" w:hAnsi="Montserrat" w:cs="Montserrat"/>
          <w:sz w:val="24"/>
          <w:szCs w:val="24"/>
        </w:rPr>
        <w:t>Youtube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de la OTCA</w:t>
      </w:r>
      <w:r w:rsidR="00531F91">
        <w:rPr>
          <w:rFonts w:ascii="Montserrat" w:eastAsia="Montserrat" w:hAnsi="Montserrat" w:cs="Montserrat"/>
          <w:sz w:val="24"/>
          <w:szCs w:val="24"/>
        </w:rPr>
        <w:t xml:space="preserve"> - </w:t>
      </w:r>
      <w:hyperlink r:id="rId10" w:history="1">
        <w:r w:rsidR="00531F91" w:rsidRPr="00397E06">
          <w:rPr>
            <w:rStyle w:val="Hyperlink"/>
            <w:rFonts w:ascii="Montserrat" w:eastAsia="Montserrat" w:hAnsi="Montserrat" w:cs="Montserrat"/>
            <w:sz w:val="24"/>
            <w:szCs w:val="24"/>
          </w:rPr>
          <w:t>https://www.youtube.com/@OTCAvideo</w:t>
        </w:r>
      </w:hyperlink>
    </w:p>
    <w:p w14:paraId="24173F9B" w14:textId="05047332" w:rsidR="00D27822" w:rsidRDefault="00D27822">
      <w:pPr>
        <w:spacing w:line="276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Inscripciones en: </w:t>
      </w:r>
      <w:hyperlink r:id="rId11" w:history="1">
        <w:r w:rsidRPr="00397E06">
          <w:rPr>
            <w:rStyle w:val="Hyperlink"/>
            <w:rFonts w:ascii="Montserrat" w:eastAsia="Montserrat" w:hAnsi="Montserrat" w:cs="Montserrat"/>
            <w:sz w:val="24"/>
            <w:szCs w:val="24"/>
          </w:rPr>
          <w:t>https://forms.gle/VUS1Wdb7nPXBUUpL6</w:t>
        </w:r>
      </w:hyperlink>
      <w:r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16B7D3DC" w14:textId="77777777" w:rsidR="00E36D2C" w:rsidRDefault="00E36D2C">
      <w:pPr>
        <w:spacing w:line="276" w:lineRule="auto"/>
        <w:rPr>
          <w:rFonts w:ascii="Montserrat" w:eastAsia="Montserrat" w:hAnsi="Montserrat" w:cs="Montserrat"/>
        </w:rPr>
      </w:pPr>
    </w:p>
    <w:p w14:paraId="16B7D3DD" w14:textId="77777777" w:rsidR="00E36D2C" w:rsidRDefault="005A004B">
      <w:pPr>
        <w:spacing w:line="276" w:lineRule="auto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Contexto</w:t>
      </w:r>
    </w:p>
    <w:p w14:paraId="16B7D3DE" w14:textId="77777777" w:rsidR="00E36D2C" w:rsidRDefault="00E36D2C">
      <w:pPr>
        <w:spacing w:line="276" w:lineRule="auto"/>
        <w:rPr>
          <w:rFonts w:ascii="Montserrat" w:eastAsia="Montserrat" w:hAnsi="Montserrat" w:cs="Montserrat"/>
        </w:rPr>
      </w:pPr>
    </w:p>
    <w:p w14:paraId="16B7D3DF" w14:textId="1F05F79C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En un contexto de aumento de la frecuencia, intensidad y complejidad de los incendios forestales en la Amazonía, el fortalecimiento de enfoques integrales, preventivos y regionales se vuelve cada vez más urgente. En respuesta a este desafío, el próximo 5 de febrero de 2026, se lanza la plataforma digital </w:t>
      </w:r>
      <w:proofErr w:type="spellStart"/>
      <w:r>
        <w:rPr>
          <w:rFonts w:ascii="Montserrat" w:eastAsia="Montserrat" w:hAnsi="Montserrat" w:cs="Montserrat"/>
        </w:rPr>
        <w:t>ExpoMIF</w:t>
      </w:r>
      <w:proofErr w:type="spellEnd"/>
      <w:r>
        <w:rPr>
          <w:rFonts w:ascii="Montserrat" w:eastAsia="Montserrat" w:hAnsi="Montserrat" w:cs="Montserrat"/>
        </w:rPr>
        <w:t>, mediante un evento virtual, que reunirá a instituciones, socios estratégicos, expertos y representantes de buenas prácticas de distintos países amazónicos.</w:t>
      </w:r>
    </w:p>
    <w:p w14:paraId="16B7D3E0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3E1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Sobre la </w:t>
      </w:r>
      <w:proofErr w:type="spellStart"/>
      <w:r>
        <w:rPr>
          <w:rFonts w:ascii="Montserrat" w:eastAsia="Montserrat" w:hAnsi="Montserrat" w:cs="Montserrat"/>
          <w:b/>
          <w:bCs/>
          <w:sz w:val="24"/>
          <w:szCs w:val="24"/>
        </w:rPr>
        <w:t>ExpoMIF</w:t>
      </w:r>
      <w:proofErr w:type="spellEnd"/>
    </w:p>
    <w:p w14:paraId="16B7D3E2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3E3" w14:textId="7CB1E859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ExpoMIF</w:t>
      </w:r>
      <w:proofErr w:type="spellEnd"/>
      <w:r>
        <w:rPr>
          <w:rFonts w:ascii="Montserrat" w:eastAsia="Montserrat" w:hAnsi="Montserrat" w:cs="Montserrat"/>
        </w:rPr>
        <w:t xml:space="preserve"> es una plataforma digital colaborativa de alcance regional que recopila, organiza y visibiliza buenas prácticas de Manejo Integral del Fuego (MIF) desarrolladas en</w:t>
      </w:r>
      <w:r w:rsidR="00D27822">
        <w:rPr>
          <w:rFonts w:ascii="Montserrat" w:eastAsia="Montserrat" w:hAnsi="Montserrat" w:cs="Montserrat"/>
        </w:rPr>
        <w:t xml:space="preserve"> y para</w:t>
      </w:r>
      <w:r>
        <w:rPr>
          <w:rFonts w:ascii="Montserrat" w:eastAsia="Montserrat" w:hAnsi="Montserrat" w:cs="Montserrat"/>
        </w:rPr>
        <w:t xml:space="preserve"> la Amazonía. Hasta el momento, ya fueron identificadas más de </w:t>
      </w:r>
      <w:r w:rsidR="00D27822">
        <w:rPr>
          <w:rFonts w:ascii="Montserrat" w:eastAsia="Montserrat" w:hAnsi="Montserrat" w:cs="Montserrat"/>
        </w:rPr>
        <w:t>60</w:t>
      </w:r>
      <w:r>
        <w:rPr>
          <w:rFonts w:ascii="Montserrat" w:eastAsia="Montserrat" w:hAnsi="Montserrat" w:cs="Montserrat"/>
        </w:rPr>
        <w:t xml:space="preserve"> buenas prácticas de 09 países distintos. La plataforma reúne</w:t>
      </w:r>
      <w:r w:rsidR="00D27822"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</w:rPr>
        <w:t>experiencias provenientes de países amazónicos y otros, desde que aport</w:t>
      </w:r>
      <w:r w:rsidR="00D27822">
        <w:rPr>
          <w:rFonts w:ascii="Montserrat" w:eastAsia="Montserrat" w:hAnsi="Montserrat" w:cs="Montserrat"/>
        </w:rPr>
        <w:t>e</w:t>
      </w:r>
      <w:r>
        <w:rPr>
          <w:rFonts w:ascii="Montserrat" w:eastAsia="Montserrat" w:hAnsi="Montserrat" w:cs="Montserrat"/>
        </w:rPr>
        <w:t xml:space="preserve">n datos </w:t>
      </w:r>
      <w:r>
        <w:rPr>
          <w:rFonts w:ascii="Montserrat" w:eastAsia="Montserrat" w:hAnsi="Montserrat" w:cs="Montserrat"/>
        </w:rPr>
        <w:lastRenderedPageBreak/>
        <w:t>relacionados a la experiencia amazónica. Allí convergen una amplia diversidad de</w:t>
      </w:r>
      <w:r w:rsidR="00D27822"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</w:rPr>
        <w:t>actores, incluyendo comunidades, instituciones públicas, organizaciones técnicas y proyectos de cooperación.</w:t>
      </w:r>
    </w:p>
    <w:p w14:paraId="16B7D3E4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3E5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Su objetivo es facilitar el acceso al conocimiento existente en la región, promover el aprendizaje mutuo y contribuir al fortalecimiento de la protección de la Amazonía mediante enfoques integrales que permitan prevenir y reducir los grandes incendios forestales.</w:t>
      </w:r>
    </w:p>
    <w:p w14:paraId="16B7D3E6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3E7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Categorías y Alcance de las Buenas Prácticas</w:t>
      </w:r>
    </w:p>
    <w:p w14:paraId="16B7D3E8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  <w:b/>
          <w:bCs/>
        </w:rPr>
      </w:pPr>
    </w:p>
    <w:p w14:paraId="16B7D3E9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Las buenas prácticas disponibles en </w:t>
      </w:r>
      <w:proofErr w:type="spellStart"/>
      <w:r>
        <w:rPr>
          <w:rFonts w:ascii="Montserrat" w:eastAsia="Montserrat" w:hAnsi="Montserrat" w:cs="Montserrat"/>
        </w:rPr>
        <w:t>ExpoMIF</w:t>
      </w:r>
      <w:proofErr w:type="spellEnd"/>
      <w:r>
        <w:rPr>
          <w:rFonts w:ascii="Montserrat" w:eastAsia="Montserrat" w:hAnsi="Montserrat" w:cs="Montserrat"/>
        </w:rPr>
        <w:t xml:space="preserve"> están organizadas en cinco categorías temáticas del MIF, que permiten reflejar distintos enfoques y niveles de intervención:</w:t>
      </w:r>
    </w:p>
    <w:p w14:paraId="16B7D3EA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3EB" w14:textId="77777777" w:rsidR="00E36D2C" w:rsidRDefault="005A004B">
      <w:pPr>
        <w:numPr>
          <w:ilvl w:val="0"/>
          <w:numId w:val="1"/>
        </w:numPr>
        <w:spacing w:line="276" w:lineRule="auto"/>
        <w:jc w:val="both"/>
      </w:pPr>
      <w:r>
        <w:rPr>
          <w:rFonts w:ascii="Montserrat" w:eastAsia="Montserrat" w:hAnsi="Montserrat" w:cs="Montserrat"/>
          <w:b/>
          <w:bCs/>
        </w:rPr>
        <w:t>Fortalecimiento de capacidades</w:t>
      </w:r>
      <w:r>
        <w:rPr>
          <w:rFonts w:ascii="Montserrat" w:eastAsia="Montserrat" w:hAnsi="Montserrat" w:cs="Montserrat"/>
        </w:rPr>
        <w:t>, orientado a procesos de formación, capacitación técnica e intercambio de conocimientos;</w:t>
      </w:r>
    </w:p>
    <w:p w14:paraId="16B7D3EC" w14:textId="77777777" w:rsidR="00E36D2C" w:rsidRDefault="005A004B">
      <w:pPr>
        <w:numPr>
          <w:ilvl w:val="0"/>
          <w:numId w:val="1"/>
        </w:numPr>
        <w:spacing w:line="276" w:lineRule="auto"/>
        <w:jc w:val="both"/>
      </w:pPr>
      <w:r>
        <w:rPr>
          <w:rFonts w:ascii="Montserrat" w:eastAsia="Montserrat" w:hAnsi="Montserrat" w:cs="Montserrat"/>
          <w:b/>
          <w:bCs/>
        </w:rPr>
        <w:t>Comunicación y sensibilización</w:t>
      </w:r>
      <w:r>
        <w:rPr>
          <w:rFonts w:ascii="Montserrat" w:eastAsia="Montserrat" w:hAnsi="Montserrat" w:cs="Montserrat"/>
        </w:rPr>
        <w:t>, enfocado en acciones de educación, concientización pública y prevención;</w:t>
      </w:r>
    </w:p>
    <w:p w14:paraId="16B7D3ED" w14:textId="77777777" w:rsidR="00E36D2C" w:rsidRDefault="005A004B">
      <w:pPr>
        <w:numPr>
          <w:ilvl w:val="0"/>
          <w:numId w:val="1"/>
        </w:numPr>
        <w:spacing w:line="276" w:lineRule="auto"/>
        <w:jc w:val="both"/>
      </w:pPr>
      <w:r>
        <w:rPr>
          <w:rFonts w:ascii="Montserrat" w:eastAsia="Montserrat" w:hAnsi="Montserrat" w:cs="Montserrat"/>
          <w:b/>
          <w:bCs/>
        </w:rPr>
        <w:t>Gobernanza para la sostenibilidad</w:t>
      </w:r>
      <w:r>
        <w:rPr>
          <w:rFonts w:ascii="Montserrat" w:eastAsia="Montserrat" w:hAnsi="Montserrat" w:cs="Montserrat"/>
        </w:rPr>
        <w:t>, que aborda políticas públicas, marcos normativos y mecanismos de coordinación institucional;</w:t>
      </w:r>
    </w:p>
    <w:p w14:paraId="16B7D3EE" w14:textId="77777777" w:rsidR="00E36D2C" w:rsidRDefault="005A004B">
      <w:pPr>
        <w:numPr>
          <w:ilvl w:val="0"/>
          <w:numId w:val="1"/>
        </w:numPr>
        <w:spacing w:line="276" w:lineRule="auto"/>
        <w:jc w:val="both"/>
      </w:pPr>
      <w:r>
        <w:rPr>
          <w:rFonts w:ascii="Montserrat" w:eastAsia="Montserrat" w:hAnsi="Montserrat" w:cs="Montserrat"/>
          <w:b/>
          <w:bCs/>
        </w:rPr>
        <w:t>Innovación y herramientas digitales</w:t>
      </w:r>
      <w:r>
        <w:rPr>
          <w:rFonts w:ascii="Montserrat" w:eastAsia="Montserrat" w:hAnsi="Montserrat" w:cs="Montserrat"/>
        </w:rPr>
        <w:t>, vinculada al desarrollo y uso de tecnologías, plataformas digitales y sistemas de monitoreo; y</w:t>
      </w:r>
    </w:p>
    <w:p w14:paraId="16B7D3EF" w14:textId="77777777" w:rsidR="00E36D2C" w:rsidRDefault="005A004B">
      <w:pPr>
        <w:numPr>
          <w:ilvl w:val="0"/>
          <w:numId w:val="1"/>
        </w:numPr>
        <w:spacing w:line="276" w:lineRule="auto"/>
        <w:jc w:val="both"/>
      </w:pPr>
      <w:r>
        <w:rPr>
          <w:rFonts w:ascii="Montserrat" w:eastAsia="Montserrat" w:hAnsi="Montserrat" w:cs="Montserrat"/>
          <w:b/>
          <w:bCs/>
        </w:rPr>
        <w:t>Prácticas de Manejo Integral del Fuego</w:t>
      </w:r>
      <w:r>
        <w:rPr>
          <w:rFonts w:ascii="Montserrat" w:eastAsia="Montserrat" w:hAnsi="Montserrat" w:cs="Montserrat"/>
        </w:rPr>
        <w:t>, que reúne experiencias territoriales de prevención, manejo, respuesta y recuperación.</w:t>
      </w:r>
    </w:p>
    <w:p w14:paraId="16B7D3F0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3F1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Esta estructura facilita la navegación por la plataforma y promueve la replicabilidad de experiencias en distintos contextos de la región amazónica.</w:t>
      </w:r>
    </w:p>
    <w:p w14:paraId="16B7D3F2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3F3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Marco Institucional y Alianzas</w:t>
      </w:r>
    </w:p>
    <w:p w14:paraId="16B7D3F4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  <w:b/>
          <w:bCs/>
        </w:rPr>
      </w:pPr>
    </w:p>
    <w:p w14:paraId="16B7D3F5" w14:textId="143FA01C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ExpoMIF</w:t>
      </w:r>
      <w:proofErr w:type="spellEnd"/>
      <w:r>
        <w:rPr>
          <w:rFonts w:ascii="Montserrat" w:eastAsia="Montserrat" w:hAnsi="Montserrat" w:cs="Montserrat"/>
        </w:rPr>
        <w:t xml:space="preserve"> es una iniciativa desarrollada en el marco del Observatorio Regional Amazónico (ORA) y de la Red Amazónica de Manejo Integral del Fuego (RAMIF), ambas </w:t>
      </w:r>
      <w:r w:rsidR="000E2B1A">
        <w:rPr>
          <w:rFonts w:ascii="Montserrat" w:eastAsia="Montserrat" w:hAnsi="Montserrat" w:cs="Montserrat"/>
        </w:rPr>
        <w:t>instancias</w:t>
      </w:r>
      <w:r>
        <w:rPr>
          <w:rFonts w:ascii="Montserrat" w:eastAsia="Montserrat" w:hAnsi="Montserrat" w:cs="Montserrat"/>
        </w:rPr>
        <w:t xml:space="preserve"> de la Organización del Tratado de Cooperación Amazónica (OTCA). La plataforma es impulsada por la Cooperación Alemana (GIZ) y la Cooperación Suiza (COSUDE), a través del Proyecto CoRAmazonia, y cuenta con el apoyo de aliados estratégicos como la FAO, el Global </w:t>
      </w:r>
      <w:proofErr w:type="spellStart"/>
      <w:r>
        <w:rPr>
          <w:rFonts w:ascii="Montserrat" w:eastAsia="Montserrat" w:hAnsi="Montserrat" w:cs="Montserrat"/>
        </w:rPr>
        <w:t>Fire</w:t>
      </w:r>
      <w:proofErr w:type="spellEnd"/>
      <w:r>
        <w:rPr>
          <w:rFonts w:ascii="Montserrat" w:eastAsia="Montserrat" w:hAnsi="Montserrat" w:cs="Montserrat"/>
        </w:rPr>
        <w:t xml:space="preserve"> Management </w:t>
      </w:r>
      <w:proofErr w:type="gramStart"/>
      <w:r>
        <w:rPr>
          <w:rFonts w:ascii="Montserrat" w:eastAsia="Montserrat" w:hAnsi="Montserrat" w:cs="Montserrat"/>
        </w:rPr>
        <w:t>Hub</w:t>
      </w:r>
      <w:proofErr w:type="gramEnd"/>
      <w:r>
        <w:rPr>
          <w:rFonts w:ascii="Montserrat" w:eastAsia="Montserrat" w:hAnsi="Montserrat" w:cs="Montserrat"/>
        </w:rPr>
        <w:t>, el programa Amazonía+, de la Unión Europea (UE), y el Banco Interamericano de Desarrollo (BID), fortaleciendo una articulación interinstitucional basada en la colaboración y la complementariedad de acciones.</w:t>
      </w:r>
    </w:p>
    <w:p w14:paraId="16B7D3F6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31B05F13" w14:textId="77777777" w:rsidR="00D27822" w:rsidRDefault="00D27822">
      <w:pPr>
        <w:spacing w:line="276" w:lineRule="auto"/>
        <w:jc w:val="both"/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5B5754B1" w14:textId="77777777" w:rsidR="00D27822" w:rsidRDefault="00D27822">
      <w:pPr>
        <w:spacing w:line="276" w:lineRule="auto"/>
        <w:jc w:val="both"/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16B7D3F7" w14:textId="563C1DFD" w:rsidR="00E36D2C" w:rsidRDefault="005A004B">
      <w:pPr>
        <w:spacing w:line="276" w:lineRule="auto"/>
        <w:jc w:val="both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lastRenderedPageBreak/>
        <w:t>Próximas Etapas y Proyección</w:t>
      </w:r>
    </w:p>
    <w:p w14:paraId="2D716809" w14:textId="77777777" w:rsidR="00D27822" w:rsidRDefault="00D27822">
      <w:pPr>
        <w:spacing w:line="276" w:lineRule="auto"/>
        <w:jc w:val="both"/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16B7D3F8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El evento virtual del 5 de febrero de 2026 marca la primera etapa de un proceso más amplio de consolidación de </w:t>
      </w:r>
      <w:proofErr w:type="spellStart"/>
      <w:r>
        <w:rPr>
          <w:rFonts w:ascii="Montserrat" w:eastAsia="Montserrat" w:hAnsi="Montserrat" w:cs="Montserrat"/>
        </w:rPr>
        <w:t>ExpoMIF</w:t>
      </w:r>
      <w:proofErr w:type="spellEnd"/>
      <w:r>
        <w:rPr>
          <w:rFonts w:ascii="Montserrat" w:eastAsia="Montserrat" w:hAnsi="Montserrat" w:cs="Montserrat"/>
        </w:rPr>
        <w:t xml:space="preserve"> como espacio regional de referencia. Además de presentar la plataforma, esta fase inicial servirá como una oportunidad para identificar y visibilizar nuevas buenas prácticas con potencial para integrarse a </w:t>
      </w:r>
      <w:proofErr w:type="spellStart"/>
      <w:r>
        <w:rPr>
          <w:rFonts w:ascii="Montserrat" w:eastAsia="Montserrat" w:hAnsi="Montserrat" w:cs="Montserrat"/>
        </w:rPr>
        <w:t>ExpoMIF</w:t>
      </w:r>
      <w:proofErr w:type="spellEnd"/>
      <w:r>
        <w:rPr>
          <w:rFonts w:ascii="Montserrat" w:eastAsia="Montserrat" w:hAnsi="Montserrat" w:cs="Montserrat"/>
        </w:rPr>
        <w:t xml:space="preserve"> y participar en una siguiente etapa presencial.</w:t>
      </w:r>
    </w:p>
    <w:p w14:paraId="16B7D3F9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3FA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En una fase posterior, este proceso culminará en un evento de intercambio presencial de buenas prácticas, orientado a profundizar el diálogo técnico y político, así como a promover la firma de acuerdos y alianzas interinstitucionales que fortalezcan la cooperación regional en el MIF. Los detalles de esta próxima etapa serán anunciados oportunamente.</w:t>
      </w:r>
    </w:p>
    <w:p w14:paraId="16B7D3FB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3FC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Contacto de Prensa</w:t>
      </w:r>
    </w:p>
    <w:p w14:paraId="16B7D3FD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  <w:b/>
          <w:bCs/>
        </w:rPr>
      </w:pPr>
    </w:p>
    <w:p w14:paraId="16B7D3FE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Fernando Orn</w:t>
      </w:r>
    </w:p>
    <w:p w14:paraId="16B7D3FF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Proyecto CoRAmazonia, GIZ Brasil</w:t>
      </w:r>
    </w:p>
    <w:p w14:paraId="16B7D400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Asesor Técnico para la Comunicación y Gestión del Conocimiento</w:t>
      </w:r>
    </w:p>
    <w:p w14:paraId="16B7D401" w14:textId="77777777" w:rsidR="00E36D2C" w:rsidRDefault="005A004B">
      <w:pPr>
        <w:spacing w:line="276" w:lineRule="auto"/>
        <w:jc w:val="both"/>
        <w:rPr>
          <w:rFonts w:ascii="Montserrat" w:eastAsia="Montserrat" w:hAnsi="Montserrat" w:cs="Montserrat"/>
          <w:b/>
          <w:bCs/>
        </w:rPr>
      </w:pPr>
      <w:hyperlink r:id="rId12">
        <w:r>
          <w:rPr>
            <w:rFonts w:ascii="Montserrat" w:eastAsia="Montserrat" w:hAnsi="Montserrat" w:cs="Montserrat"/>
            <w:b/>
            <w:bCs/>
            <w:color w:val="0563C1"/>
            <w:u w:val="single"/>
          </w:rPr>
          <w:t>fernando.orn@giz.de</w:t>
        </w:r>
      </w:hyperlink>
      <w:r>
        <w:rPr>
          <w:rFonts w:ascii="Montserrat" w:eastAsia="Montserrat" w:hAnsi="Montserrat" w:cs="Montserrat"/>
          <w:b/>
          <w:bCs/>
        </w:rPr>
        <w:t xml:space="preserve"> | +55 11 97423-6939</w:t>
      </w:r>
    </w:p>
    <w:p w14:paraId="16B7D402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403" w14:textId="77777777" w:rsidR="00E36D2C" w:rsidRDefault="00E36D2C">
      <w:pPr>
        <w:spacing w:line="276" w:lineRule="auto"/>
        <w:jc w:val="both"/>
        <w:rPr>
          <w:rFonts w:ascii="Montserrat" w:eastAsia="Montserrat" w:hAnsi="Montserrat" w:cs="Montserrat"/>
        </w:rPr>
      </w:pPr>
    </w:p>
    <w:p w14:paraId="16B7D404" w14:textId="77777777" w:rsidR="00E36D2C" w:rsidRDefault="00E36D2C">
      <w:pPr>
        <w:rPr>
          <w:rFonts w:ascii="Montserrat" w:eastAsia="Montserrat" w:hAnsi="Montserrat" w:cs="Montserrat"/>
          <w:sz w:val="24"/>
          <w:szCs w:val="24"/>
        </w:rPr>
      </w:pPr>
    </w:p>
    <w:sectPr w:rsidR="00E36D2C" w:rsidSect="00D27822">
      <w:headerReference w:type="default" r:id="rId13"/>
      <w:footerReference w:type="default" r:id="rId14"/>
      <w:pgSz w:w="11906" w:h="16838"/>
      <w:pgMar w:top="1418" w:right="1418" w:bottom="1276" w:left="1418" w:header="1701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7D40E" w14:textId="77777777" w:rsidR="005A004B" w:rsidRDefault="005A004B">
      <w:r>
        <w:separator/>
      </w:r>
    </w:p>
  </w:endnote>
  <w:endnote w:type="continuationSeparator" w:id="0">
    <w:p w14:paraId="16B7D410" w14:textId="77777777" w:rsidR="005A004B" w:rsidRDefault="005A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AB2F452-2842-48C6-8181-5F7BBEC3A3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D87621D-5889-4CC4-A538-2C9C330CFD28}"/>
    <w:embedItalic r:id="rId3" w:fontKey="{B53009EA-D93A-437D-B03C-5FFC0EC4A9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4" w:fontKey="{FF13BBB2-C048-472F-A9A6-89DB01BE85DB}"/>
    <w:embedBold r:id="rId5" w:fontKey="{D1F44AD8-3286-4B45-90A9-9550E7180D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FE5B7B3-6609-4497-976C-26713127CD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D408" w14:textId="26ECBB71" w:rsidR="00E36D2C" w:rsidRDefault="005A00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Montserrat" w:eastAsia="Montserrat" w:hAnsi="Montserrat" w:cs="Montserrat"/>
        <w:color w:val="000000"/>
        <w:sz w:val="24"/>
        <w:szCs w:val="24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D4C9F">
      <w:rPr>
        <w:noProof/>
        <w:color w:val="000000"/>
      </w:rPr>
      <w:t>1</w:t>
    </w:r>
    <w:r>
      <w:rPr>
        <w:color w:val="000000"/>
      </w:rPr>
      <w:fldChar w:fldCharType="end"/>
    </w:r>
  </w:p>
  <w:p w14:paraId="16B7D409" w14:textId="77777777" w:rsidR="00E36D2C" w:rsidRDefault="00E36D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7D40A" w14:textId="77777777" w:rsidR="005A004B" w:rsidRDefault="005A004B">
      <w:r>
        <w:separator/>
      </w:r>
    </w:p>
  </w:footnote>
  <w:footnote w:type="continuationSeparator" w:id="0">
    <w:p w14:paraId="16B7D40C" w14:textId="77777777" w:rsidR="005A004B" w:rsidRDefault="005A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D407" w14:textId="7F6B6F8A" w:rsidR="00E36D2C" w:rsidRDefault="00D278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B7D40C" wp14:editId="49796685">
          <wp:simplePos x="0" y="0"/>
          <wp:positionH relativeFrom="column">
            <wp:posOffset>4119880</wp:posOffset>
          </wp:positionH>
          <wp:positionV relativeFrom="paragraph">
            <wp:posOffset>-488950</wp:posOffset>
          </wp:positionV>
          <wp:extent cx="1207770" cy="368300"/>
          <wp:effectExtent l="0" t="0" r="0" b="0"/>
          <wp:wrapSquare wrapText="bothSides" distT="0" distB="0" distL="114300" distR="114300"/>
          <wp:docPr id="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777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6B7D40E" wp14:editId="34E17CB1">
          <wp:simplePos x="0" y="0"/>
          <wp:positionH relativeFrom="column">
            <wp:posOffset>377190</wp:posOffset>
          </wp:positionH>
          <wp:positionV relativeFrom="paragraph">
            <wp:posOffset>-624205</wp:posOffset>
          </wp:positionV>
          <wp:extent cx="1272540" cy="636270"/>
          <wp:effectExtent l="0" t="0" r="3810" b="0"/>
          <wp:wrapSquare wrapText="bothSides" distT="0" distB="0" distL="114300" distR="114300"/>
          <wp:docPr id="11" name="image2.png" descr="Uma imagem contendo 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ma imagem contendo Text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2540" cy="636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6B7D40A" wp14:editId="4B883ABC">
          <wp:simplePos x="0" y="0"/>
          <wp:positionH relativeFrom="margin">
            <wp:posOffset>1989455</wp:posOffset>
          </wp:positionH>
          <wp:positionV relativeFrom="paragraph">
            <wp:posOffset>-747883</wp:posOffset>
          </wp:positionV>
          <wp:extent cx="1779905" cy="730250"/>
          <wp:effectExtent l="0" t="0" r="0" b="0"/>
          <wp:wrapSquare wrapText="bothSides" distT="0" distB="0" distL="114300" distR="114300"/>
          <wp:docPr id="9" name="image1.jpg" descr="Desenho de um círcul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enho de um círcul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9905" cy="730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5002C"/>
    <w:multiLevelType w:val="multilevel"/>
    <w:tmpl w:val="9D343D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1209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D2C"/>
    <w:rsid w:val="000E2B1A"/>
    <w:rsid w:val="00531F91"/>
    <w:rsid w:val="005A004B"/>
    <w:rsid w:val="00C35317"/>
    <w:rsid w:val="00CD4C9F"/>
    <w:rsid w:val="00D02F16"/>
    <w:rsid w:val="00D27822"/>
    <w:rsid w:val="00D87629"/>
    <w:rsid w:val="00E3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D3D1"/>
  <w15:docId w15:val="{260A3041-BBF1-4042-B608-361814DE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b/>
      <w:bCs/>
      <w:color w:val="345A8A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bCs/>
      <w:color w:val="4F81BD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B13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131D"/>
  </w:style>
  <w:style w:type="paragraph" w:styleId="Rodap">
    <w:name w:val="footer"/>
    <w:basedOn w:val="Normal"/>
    <w:link w:val="RodapChar"/>
    <w:uiPriority w:val="99"/>
    <w:unhideWhenUsed/>
    <w:rsid w:val="001B13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131D"/>
  </w:style>
  <w:style w:type="paragraph" w:styleId="Subttulo">
    <w:name w:val="Subtitle"/>
    <w:basedOn w:val="Normal"/>
    <w:next w:val="Normal"/>
    <w:uiPriority w:val="11"/>
    <w:qFormat/>
    <w:rPr>
      <w:i/>
      <w:iCs/>
      <w:color w:val="4F81BD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31F9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1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ernando.orn@giz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VUS1Wdb7nPXBUUpL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@OTCAvi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omif.org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R39YyiTev9DPWnqTZ7EVqcLiuQ==">CgMxLjA4AHIhMUdDeE04V0J0QnVOSm52TmYtZFh4MldvdG9Vdm9uS1ZM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Orn, Fernando GIZ BR</dc:creator>
  <cp:lastModifiedBy>Orn, Fernando GIZ BR</cp:lastModifiedBy>
  <cp:revision>2</cp:revision>
  <dcterms:created xsi:type="dcterms:W3CDTF">2026-01-20T19:01:00Z</dcterms:created>
  <dcterms:modified xsi:type="dcterms:W3CDTF">2026-01-20T19:01:00Z</dcterms:modified>
</cp:coreProperties>
</file>