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B48A6" w14:textId="6C7E3C6C" w:rsidR="00A7080F" w:rsidRPr="00B24ABE" w:rsidRDefault="00A7080F" w:rsidP="00A7080F">
      <w:pPr>
        <w:pStyle w:val="Heading1"/>
      </w:pPr>
      <w:bookmarkStart w:id="0" w:name="_Toc170738055"/>
      <w:bookmarkStart w:id="1" w:name="_Toc158905096"/>
      <w:bookmarkStart w:id="2" w:name="_Toc164257701"/>
      <w:bookmarkStart w:id="3" w:name="_Toc167867332"/>
      <w:bookmarkStart w:id="4" w:name="_Toc170735758"/>
      <w:r w:rsidRPr="00B24ABE">
        <w:t xml:space="preserve">Annex </w:t>
      </w:r>
      <w:r>
        <w:t>6</w:t>
      </w:r>
      <w:r w:rsidRPr="00B24ABE">
        <w:t xml:space="preserve">. Model Terms of Reference for a </w:t>
      </w:r>
      <w:r w:rsidR="00EE5644">
        <w:t>Strategic Environmental Assessment</w:t>
      </w:r>
      <w:bookmarkEnd w:id="0"/>
    </w:p>
    <w:p w14:paraId="6E4EEA15" w14:textId="6A88DDFE" w:rsidR="00A7080F" w:rsidRPr="00B24ABE" w:rsidRDefault="00A7080F" w:rsidP="00A7080F">
      <w:pPr>
        <w:pStyle w:val="Heading2"/>
      </w:pPr>
      <w:bookmarkStart w:id="5" w:name="_Toc158904979"/>
      <w:bookmarkStart w:id="6" w:name="_Toc164257583"/>
      <w:bookmarkStart w:id="7" w:name="_Toc170738056"/>
      <w:r w:rsidRPr="00B24ABE">
        <w:t xml:space="preserve">Terms of Reference for the </w:t>
      </w:r>
      <w:r w:rsidR="00EE5644">
        <w:t>Strategic Environmental Assessment</w:t>
      </w:r>
      <w:r w:rsidRPr="00B24ABE">
        <w:t xml:space="preserve"> of (name of the strategic</w:t>
      </w:r>
      <w:r>
        <w:t>/planning</w:t>
      </w:r>
      <w:r w:rsidRPr="00B24ABE">
        <w:t xml:space="preserve"> document and/or EU support programme) in (country/region)</w:t>
      </w:r>
      <w:bookmarkEnd w:id="5"/>
      <w:bookmarkEnd w:id="6"/>
      <w:bookmarkEnd w:id="7"/>
    </w:p>
    <w:p w14:paraId="64772967" w14:textId="77777777" w:rsidR="00A7080F" w:rsidRPr="00B24ABE" w:rsidRDefault="00A7080F" w:rsidP="00A7080F">
      <w:pPr>
        <w:pStyle w:val="Heading3"/>
      </w:pPr>
      <w:bookmarkStart w:id="8" w:name="_Toc137551844"/>
      <w:bookmarkStart w:id="9" w:name="_Toc137552686"/>
      <w:bookmarkStart w:id="10" w:name="_Toc137554061"/>
      <w:bookmarkStart w:id="11" w:name="_Toc138322350"/>
      <w:bookmarkStart w:id="12" w:name="_Toc149498720"/>
      <w:bookmarkStart w:id="13" w:name="_Toc149837348"/>
      <w:bookmarkStart w:id="14" w:name="_Toc157446230"/>
      <w:bookmarkStart w:id="15" w:name="_Toc158904980"/>
      <w:bookmarkStart w:id="16" w:name="_Toc164257584"/>
      <w:bookmarkStart w:id="17" w:name="_Toc170738057"/>
      <w:r w:rsidRPr="00B24ABE">
        <w:t>Background</w:t>
      </w:r>
      <w:bookmarkEnd w:id="8"/>
      <w:bookmarkEnd w:id="9"/>
      <w:bookmarkEnd w:id="10"/>
      <w:bookmarkEnd w:id="11"/>
      <w:bookmarkEnd w:id="12"/>
      <w:bookmarkEnd w:id="13"/>
      <w:bookmarkEnd w:id="14"/>
      <w:bookmarkEnd w:id="15"/>
      <w:bookmarkEnd w:id="16"/>
      <w:bookmarkEnd w:id="17"/>
    </w:p>
    <w:p w14:paraId="4A7C4556" w14:textId="77777777" w:rsidR="00A7080F" w:rsidRPr="00B24ABE" w:rsidRDefault="00A7080F" w:rsidP="00A7080F">
      <w:pPr>
        <w:snapToGrid w:val="0"/>
        <w:spacing w:line="240" w:lineRule="auto"/>
        <w:rPr>
          <w:i/>
          <w:iCs/>
        </w:rPr>
      </w:pPr>
      <w:r w:rsidRPr="00B24ABE">
        <w:rPr>
          <w:i/>
          <w:iCs/>
        </w:rPr>
        <w:t xml:space="preserve">This section should enable to get an understanding of the subject of </w:t>
      </w:r>
      <w:r>
        <w:rPr>
          <w:i/>
          <w:iCs/>
        </w:rPr>
        <w:t xml:space="preserve">the </w:t>
      </w:r>
      <w:r w:rsidRPr="00B24ABE">
        <w:rPr>
          <w:i/>
          <w:iCs/>
        </w:rPr>
        <w:t>SEA i.e.</w:t>
      </w:r>
      <w:r>
        <w:rPr>
          <w:i/>
          <w:iCs/>
        </w:rPr>
        <w:t>,</w:t>
      </w:r>
      <w:r w:rsidRPr="00B24ABE">
        <w:rPr>
          <w:i/>
          <w:iCs/>
        </w:rPr>
        <w:t xml:space="preserve"> the strategic document or the EU budgetary or strategic level support</w:t>
      </w:r>
      <w:r>
        <w:rPr>
          <w:i/>
          <w:iCs/>
        </w:rPr>
        <w:t>,</w:t>
      </w:r>
      <w:r w:rsidRPr="00B24ABE">
        <w:rPr>
          <w:i/>
          <w:iCs/>
        </w:rPr>
        <w:t xml:space="preserve"> and </w:t>
      </w:r>
      <w:r>
        <w:rPr>
          <w:i/>
          <w:iCs/>
        </w:rPr>
        <w:t xml:space="preserve">its </w:t>
      </w:r>
      <w:r w:rsidRPr="00B24ABE">
        <w:rPr>
          <w:i/>
          <w:iCs/>
        </w:rPr>
        <w:t>relevant preparation process</w:t>
      </w:r>
      <w:r>
        <w:rPr>
          <w:i/>
          <w:iCs/>
        </w:rPr>
        <w:t>,</w:t>
      </w:r>
      <w:r w:rsidRPr="00B24ABE">
        <w:rPr>
          <w:i/>
          <w:iCs/>
        </w:rPr>
        <w:t xml:space="preserve"> and thus allow to outline an approach to </w:t>
      </w:r>
      <w:r>
        <w:rPr>
          <w:i/>
          <w:iCs/>
        </w:rPr>
        <w:t xml:space="preserve">the </w:t>
      </w:r>
      <w:r w:rsidRPr="00B24ABE">
        <w:rPr>
          <w:i/>
          <w:iCs/>
        </w:rPr>
        <w:t>SEA, compose the team with appropriate expertise, and to estimate the budget.</w:t>
      </w:r>
    </w:p>
    <w:p w14:paraId="1C7CC3D2" w14:textId="77777777" w:rsidR="00A7080F" w:rsidRPr="00B24ABE" w:rsidRDefault="00A7080F" w:rsidP="00A7080F">
      <w:pPr>
        <w:pStyle w:val="Heading3"/>
      </w:pPr>
      <w:bookmarkStart w:id="18" w:name="_Toc137551845"/>
      <w:bookmarkStart w:id="19" w:name="_Toc137552687"/>
      <w:bookmarkStart w:id="20" w:name="_Toc137554062"/>
      <w:bookmarkStart w:id="21" w:name="_Toc138322351"/>
      <w:bookmarkStart w:id="22" w:name="_Toc149498721"/>
      <w:bookmarkStart w:id="23" w:name="_Toc149837349"/>
      <w:bookmarkStart w:id="24" w:name="_Toc157446231"/>
      <w:bookmarkStart w:id="25" w:name="_Toc158904981"/>
      <w:bookmarkStart w:id="26" w:name="_Toc164257585"/>
      <w:bookmarkStart w:id="27" w:name="_Toc170738058"/>
      <w:r w:rsidRPr="00B24ABE">
        <w:t>Rationale</w:t>
      </w:r>
      <w:bookmarkEnd w:id="18"/>
      <w:bookmarkEnd w:id="19"/>
      <w:bookmarkEnd w:id="20"/>
      <w:bookmarkEnd w:id="21"/>
      <w:bookmarkEnd w:id="22"/>
      <w:bookmarkEnd w:id="23"/>
      <w:bookmarkEnd w:id="24"/>
      <w:bookmarkEnd w:id="25"/>
      <w:bookmarkEnd w:id="26"/>
      <w:bookmarkEnd w:id="27"/>
    </w:p>
    <w:p w14:paraId="61C3444B" w14:textId="77777777" w:rsidR="00177535" w:rsidRPr="00177535" w:rsidRDefault="00A7080F" w:rsidP="00177535">
      <w:pPr>
        <w:snapToGrid w:val="0"/>
        <w:spacing w:line="240" w:lineRule="auto"/>
        <w:rPr>
          <w:i/>
          <w:lang w:val="en-US"/>
        </w:rPr>
      </w:pPr>
      <w:r w:rsidRPr="00B24ABE">
        <w:t xml:space="preserve">A </w:t>
      </w:r>
      <w:r w:rsidR="00177535" w:rsidRPr="00177535">
        <w:rPr>
          <w:lang w:val="en-US"/>
        </w:rPr>
        <w:t xml:space="preserve">Strategic Environmental Assessment (SEA) is required for the preparation of </w:t>
      </w:r>
      <w:r w:rsidR="00177535" w:rsidRPr="00177535">
        <w:rPr>
          <w:i/>
          <w:lang w:val="en-US"/>
        </w:rPr>
        <w:t xml:space="preserve">(name of the EU sector support </w:t>
      </w:r>
      <w:proofErr w:type="spellStart"/>
      <w:r w:rsidR="00177535" w:rsidRPr="00177535">
        <w:rPr>
          <w:i/>
          <w:lang w:val="en-US"/>
        </w:rPr>
        <w:t>programme</w:t>
      </w:r>
      <w:proofErr w:type="spellEnd"/>
      <w:r w:rsidR="00177535" w:rsidRPr="00177535">
        <w:rPr>
          <w:i/>
          <w:lang w:val="en-US"/>
        </w:rPr>
        <w:t xml:space="preserve">) </w:t>
      </w:r>
      <w:r w:rsidR="00177535" w:rsidRPr="00177535">
        <w:rPr>
          <w:lang w:val="en-US"/>
        </w:rPr>
        <w:t xml:space="preserve">and/or as support to </w:t>
      </w:r>
      <w:r w:rsidR="00177535" w:rsidRPr="00177535">
        <w:rPr>
          <w:i/>
          <w:lang w:val="en-US"/>
        </w:rPr>
        <w:t>(name of the partner country/region policy/strategy/planning document).</w:t>
      </w:r>
    </w:p>
    <w:p w14:paraId="1B1FE5D6" w14:textId="5A7893A1" w:rsidR="00177535" w:rsidRPr="00177535" w:rsidRDefault="00177535" w:rsidP="00177535">
      <w:pPr>
        <w:snapToGrid w:val="0"/>
        <w:spacing w:line="240" w:lineRule="auto"/>
        <w:rPr>
          <w:i/>
          <w:lang w:val="en-US"/>
        </w:rPr>
      </w:pPr>
      <w:r w:rsidRPr="00177535">
        <w:rPr>
          <w:i/>
          <w:lang w:val="en-US"/>
        </w:rPr>
        <w:t xml:space="preserve">Explain the status of the strategic document and EU support </w:t>
      </w:r>
      <w:proofErr w:type="spellStart"/>
      <w:r w:rsidRPr="00177535">
        <w:rPr>
          <w:i/>
          <w:lang w:val="en-US"/>
        </w:rPr>
        <w:t>programme</w:t>
      </w:r>
      <w:proofErr w:type="spellEnd"/>
      <w:r w:rsidRPr="00177535">
        <w:rPr>
          <w:i/>
          <w:lang w:val="en-US"/>
        </w:rPr>
        <w:t xml:space="preserve"> subject of the SEA, e.g. if it is being developed, updated or already under implementation. Explain the reasons why an SEA is required and how the outcomes of the SEA will be considered – i.e., informing policy development/strategic planning or their update, informing the implementation of the strategic document, informing the development of investment plans or pipelines; and/or informing the preparation of the support to be provided by the EU.</w:t>
      </w:r>
    </w:p>
    <w:p w14:paraId="7915BE3A" w14:textId="31C10E7F" w:rsidR="00A7080F" w:rsidRPr="00B24ABE" w:rsidRDefault="00177535" w:rsidP="00177535">
      <w:pPr>
        <w:snapToGrid w:val="0"/>
        <w:spacing w:line="240" w:lineRule="auto"/>
        <w:rPr>
          <w:i/>
          <w:iCs/>
        </w:rPr>
      </w:pPr>
      <w:r w:rsidRPr="00177535">
        <w:rPr>
          <w:i/>
          <w:lang w:val="en-US"/>
        </w:rPr>
        <w:t xml:space="preserve">If the SEA is prepared in the context of a sector budget support, reference should be made to the need to ensure that the sector strategy being supported is environmentally sustainable and that compliance with the ‘do no harm’ principle should be ensured. Reference should also be made to the need to align EU support to the Global Gateway and European Green Deal and </w:t>
      </w:r>
      <w:proofErr w:type="spellStart"/>
      <w:r w:rsidRPr="00177535">
        <w:rPr>
          <w:i/>
          <w:lang w:val="en-US"/>
        </w:rPr>
        <w:t>maximise</w:t>
      </w:r>
      <w:proofErr w:type="spellEnd"/>
      <w:r w:rsidRPr="00177535">
        <w:rPr>
          <w:i/>
          <w:lang w:val="en-US"/>
        </w:rPr>
        <w:t xml:space="preserve"> opportunities for the EU support to promote an environmentally sustainable, low carbon and climate resilient development of the sector</w:t>
      </w:r>
      <w:r w:rsidR="00A7080F" w:rsidRPr="00B24ABE">
        <w:rPr>
          <w:i/>
          <w:iCs/>
        </w:rPr>
        <w:t>.</w:t>
      </w:r>
    </w:p>
    <w:p w14:paraId="522FBF5D" w14:textId="77777777" w:rsidR="00A7080F" w:rsidRPr="00B24ABE" w:rsidRDefault="00A7080F">
      <w:pPr>
        <w:pStyle w:val="Heading3"/>
        <w:numPr>
          <w:ilvl w:val="0"/>
          <w:numId w:val="7"/>
        </w:numPr>
        <w:ind w:left="284" w:hanging="284"/>
      </w:pPr>
      <w:bookmarkStart w:id="28" w:name="_Toc137551846"/>
      <w:bookmarkStart w:id="29" w:name="_Toc137552688"/>
      <w:bookmarkStart w:id="30" w:name="_Toc137554063"/>
      <w:bookmarkStart w:id="31" w:name="_Toc138322352"/>
      <w:bookmarkStart w:id="32" w:name="_Toc149498722"/>
      <w:bookmarkStart w:id="33" w:name="_Toc149837350"/>
      <w:bookmarkStart w:id="34" w:name="_Toc157446232"/>
      <w:bookmarkStart w:id="35" w:name="_Toc158904982"/>
      <w:bookmarkStart w:id="36" w:name="_Toc164257586"/>
      <w:bookmarkStart w:id="37" w:name="_Toc170738059"/>
      <w:r w:rsidRPr="00B24ABE">
        <w:t>Main features of the strategic document and/or EU support programme</w:t>
      </w:r>
      <w:bookmarkEnd w:id="28"/>
      <w:bookmarkEnd w:id="29"/>
      <w:bookmarkEnd w:id="30"/>
      <w:bookmarkEnd w:id="31"/>
      <w:bookmarkEnd w:id="32"/>
      <w:bookmarkEnd w:id="33"/>
      <w:bookmarkEnd w:id="34"/>
      <w:bookmarkEnd w:id="35"/>
      <w:bookmarkEnd w:id="36"/>
      <w:bookmarkEnd w:id="37"/>
    </w:p>
    <w:p w14:paraId="0CCD3C36" w14:textId="77777777" w:rsidR="00A7080F" w:rsidRPr="00B24ABE" w:rsidRDefault="00A7080F" w:rsidP="00A7080F">
      <w:pPr>
        <w:snapToGrid w:val="0"/>
        <w:spacing w:line="240" w:lineRule="auto"/>
        <w:rPr>
          <w:i/>
          <w:iCs/>
        </w:rPr>
      </w:pPr>
      <w:r w:rsidRPr="00B24ABE">
        <w:rPr>
          <w:i/>
          <w:iCs/>
        </w:rPr>
        <w:t xml:space="preserve">Briefly provide the following information regarding the strategic document and/or EU support programme subject to SEA: </w:t>
      </w:r>
    </w:p>
    <w:p w14:paraId="388BACE6" w14:textId="77777777" w:rsidR="00A7080F" w:rsidRPr="00B24ABE" w:rsidRDefault="00A7080F">
      <w:pPr>
        <w:pStyle w:val="ListParagraph"/>
        <w:numPr>
          <w:ilvl w:val="0"/>
          <w:numId w:val="1"/>
        </w:numPr>
        <w:snapToGrid w:val="0"/>
        <w:spacing w:before="0" w:after="160" w:line="240" w:lineRule="auto"/>
        <w:ind w:left="567" w:hanging="294"/>
        <w:contextualSpacing w:val="0"/>
        <w:rPr>
          <w:i/>
          <w:iCs/>
          <w:lang w:val="en-GB"/>
        </w:rPr>
      </w:pPr>
      <w:r w:rsidRPr="00B24ABE">
        <w:rPr>
          <w:i/>
          <w:iCs/>
          <w:lang w:val="en-GB"/>
        </w:rPr>
        <w:t>Level of the strategic document (national, regional).</w:t>
      </w:r>
    </w:p>
    <w:p w14:paraId="6174BFC1" w14:textId="77777777" w:rsidR="00A7080F" w:rsidRPr="00B24ABE" w:rsidRDefault="00A7080F">
      <w:pPr>
        <w:pStyle w:val="ListParagraph"/>
        <w:numPr>
          <w:ilvl w:val="0"/>
          <w:numId w:val="1"/>
        </w:numPr>
        <w:snapToGrid w:val="0"/>
        <w:spacing w:before="0" w:after="160" w:line="240" w:lineRule="auto"/>
        <w:ind w:left="567" w:hanging="294"/>
        <w:contextualSpacing w:val="0"/>
        <w:rPr>
          <w:i/>
          <w:iCs/>
          <w:lang w:val="en-GB"/>
        </w:rPr>
      </w:pPr>
      <w:r w:rsidRPr="00B24ABE">
        <w:rPr>
          <w:i/>
          <w:iCs/>
          <w:lang w:val="en-GB"/>
        </w:rPr>
        <w:t>Sector and geographical area covered by the strategic document and/or EU support programme.</w:t>
      </w:r>
    </w:p>
    <w:p w14:paraId="56ED44E6" w14:textId="77777777" w:rsidR="00A7080F" w:rsidRPr="00B24ABE" w:rsidRDefault="00A7080F">
      <w:pPr>
        <w:pStyle w:val="ListParagraph"/>
        <w:numPr>
          <w:ilvl w:val="0"/>
          <w:numId w:val="1"/>
        </w:numPr>
        <w:snapToGrid w:val="0"/>
        <w:spacing w:before="0" w:after="160" w:line="240" w:lineRule="auto"/>
        <w:ind w:left="567" w:hanging="294"/>
        <w:contextualSpacing w:val="0"/>
        <w:rPr>
          <w:i/>
          <w:iCs/>
          <w:lang w:val="en-GB"/>
        </w:rPr>
      </w:pPr>
      <w:r w:rsidRPr="00B24ABE">
        <w:rPr>
          <w:i/>
          <w:iCs/>
          <w:lang w:val="en-GB"/>
        </w:rPr>
        <w:t>State of the strategic document and/or EU support programme (</w:t>
      </w:r>
      <w:r>
        <w:rPr>
          <w:i/>
          <w:iCs/>
          <w:lang w:val="en-GB"/>
        </w:rPr>
        <w:t>e.g.</w:t>
      </w:r>
      <w:r w:rsidRPr="00B24ABE">
        <w:rPr>
          <w:i/>
          <w:iCs/>
          <w:lang w:val="en-GB"/>
        </w:rPr>
        <w:t xml:space="preserve"> under preparation, under revision, under implementation).</w:t>
      </w:r>
    </w:p>
    <w:p w14:paraId="67791A12" w14:textId="77777777" w:rsidR="00A7080F" w:rsidRPr="00B24ABE" w:rsidRDefault="00A7080F">
      <w:pPr>
        <w:pStyle w:val="ListParagraph"/>
        <w:numPr>
          <w:ilvl w:val="0"/>
          <w:numId w:val="1"/>
        </w:numPr>
        <w:snapToGrid w:val="0"/>
        <w:spacing w:before="0" w:after="160" w:line="240" w:lineRule="auto"/>
        <w:ind w:left="567" w:hanging="294"/>
        <w:contextualSpacing w:val="0"/>
        <w:rPr>
          <w:i/>
          <w:iCs/>
          <w:lang w:val="en-GB"/>
        </w:rPr>
      </w:pPr>
      <w:r w:rsidRPr="00B24ABE">
        <w:rPr>
          <w:i/>
          <w:iCs/>
          <w:lang w:val="en-GB"/>
        </w:rPr>
        <w:t>Main priorities and objectives as well as specific activities or projects covered by the strategic document and/or EU support programme and that will be subject of the SEA (keeping in mind that the SEA does not necessarily have to cover the whole scope of the strategic document).</w:t>
      </w:r>
    </w:p>
    <w:p w14:paraId="2BEA21AC" w14:textId="6CF7AE07" w:rsidR="00A7080F" w:rsidRPr="00B24ABE" w:rsidRDefault="00A7080F">
      <w:pPr>
        <w:pStyle w:val="ListParagraph"/>
        <w:numPr>
          <w:ilvl w:val="0"/>
          <w:numId w:val="1"/>
        </w:numPr>
        <w:snapToGrid w:val="0"/>
        <w:spacing w:before="0" w:after="160" w:line="240" w:lineRule="auto"/>
        <w:ind w:left="567" w:hanging="294"/>
        <w:contextualSpacing w:val="0"/>
        <w:rPr>
          <w:i/>
          <w:iCs/>
          <w:lang w:val="en-GB"/>
        </w:rPr>
      </w:pPr>
      <w:r w:rsidRPr="00B24ABE">
        <w:rPr>
          <w:i/>
          <w:iCs/>
          <w:lang w:val="en-GB"/>
        </w:rPr>
        <w:t xml:space="preserve">Main alternatives being considered in the planning / policy-making process for the sector strategy, or by the EU </w:t>
      </w:r>
      <w:r w:rsidR="005168B6">
        <w:rPr>
          <w:i/>
          <w:iCs/>
          <w:lang w:val="en-GB"/>
        </w:rPr>
        <w:t>delegation</w:t>
      </w:r>
      <w:r w:rsidRPr="00B24ABE">
        <w:rPr>
          <w:i/>
          <w:iCs/>
          <w:lang w:val="en-GB"/>
        </w:rPr>
        <w:t xml:space="preserve"> (in relation to the preparation of the EU support programme).</w:t>
      </w:r>
    </w:p>
    <w:p w14:paraId="501A83FF" w14:textId="77777777" w:rsidR="00A7080F" w:rsidRPr="00B24ABE" w:rsidRDefault="00A7080F" w:rsidP="00A7080F">
      <w:pPr>
        <w:pStyle w:val="Heading5"/>
      </w:pPr>
      <w:bookmarkStart w:id="38" w:name="_Toc137551847"/>
      <w:bookmarkStart w:id="39" w:name="_Toc137552689"/>
      <w:bookmarkStart w:id="40" w:name="_Toc137554064"/>
      <w:bookmarkStart w:id="41" w:name="_Toc138322353"/>
      <w:bookmarkStart w:id="42" w:name="_Toc149498723"/>
      <w:bookmarkStart w:id="43" w:name="_Toc149837351"/>
      <w:bookmarkStart w:id="44" w:name="_Toc157446233"/>
      <w:r w:rsidRPr="00B24ABE">
        <w:t>Preparation process of the strategic document and/or of the EU support programme</w:t>
      </w:r>
      <w:bookmarkEnd w:id="38"/>
      <w:bookmarkEnd w:id="39"/>
      <w:bookmarkEnd w:id="40"/>
      <w:bookmarkEnd w:id="41"/>
      <w:bookmarkEnd w:id="42"/>
      <w:bookmarkEnd w:id="43"/>
      <w:bookmarkEnd w:id="44"/>
    </w:p>
    <w:p w14:paraId="2446B68A" w14:textId="77777777" w:rsidR="00A7080F" w:rsidRPr="00B24ABE" w:rsidRDefault="00A7080F" w:rsidP="00A7080F">
      <w:pPr>
        <w:snapToGrid w:val="0"/>
        <w:spacing w:line="240" w:lineRule="auto"/>
        <w:rPr>
          <w:i/>
          <w:iCs/>
        </w:rPr>
      </w:pPr>
      <w:r w:rsidRPr="00B24ABE">
        <w:rPr>
          <w:i/>
          <w:iCs/>
        </w:rPr>
        <w:t>The following information is important to properly outline the approach and workplan for the SEA. Not all points may be relevant, depending on the state of the strategic document.</w:t>
      </w:r>
    </w:p>
    <w:p w14:paraId="47D58AFF" w14:textId="77777777" w:rsidR="00A7080F" w:rsidRPr="00B24ABE" w:rsidRDefault="00A7080F">
      <w:pPr>
        <w:pStyle w:val="ListParagraph"/>
        <w:numPr>
          <w:ilvl w:val="0"/>
          <w:numId w:val="1"/>
        </w:numPr>
        <w:snapToGrid w:val="0"/>
        <w:spacing w:before="0" w:after="0" w:line="240" w:lineRule="auto"/>
        <w:ind w:left="567" w:hanging="294"/>
        <w:contextualSpacing w:val="0"/>
        <w:rPr>
          <w:i/>
          <w:iCs/>
          <w:lang w:val="en-GB"/>
        </w:rPr>
      </w:pPr>
      <w:r w:rsidRPr="00B24ABE">
        <w:rPr>
          <w:i/>
          <w:iCs/>
          <w:lang w:val="en-GB"/>
        </w:rPr>
        <w:t>Steps and milestones for the preparation and approval of the strategic</w:t>
      </w:r>
      <w:r>
        <w:rPr>
          <w:i/>
          <w:iCs/>
          <w:lang w:val="en-GB"/>
        </w:rPr>
        <w:t>/planning</w:t>
      </w:r>
      <w:r w:rsidRPr="00B24ABE">
        <w:rPr>
          <w:i/>
          <w:iCs/>
          <w:lang w:val="en-GB"/>
        </w:rPr>
        <w:t xml:space="preserve"> document and/or the EU support programme.</w:t>
      </w:r>
    </w:p>
    <w:p w14:paraId="664241AF" w14:textId="77777777" w:rsidR="00A7080F" w:rsidRPr="00B24ABE" w:rsidRDefault="00A7080F">
      <w:pPr>
        <w:pStyle w:val="ListParagraph"/>
        <w:numPr>
          <w:ilvl w:val="0"/>
          <w:numId w:val="1"/>
        </w:numPr>
        <w:snapToGrid w:val="0"/>
        <w:spacing w:before="0" w:after="0" w:line="240" w:lineRule="auto"/>
        <w:ind w:left="567" w:hanging="294"/>
        <w:contextualSpacing w:val="0"/>
        <w:rPr>
          <w:i/>
          <w:iCs/>
          <w:lang w:val="en-GB"/>
        </w:rPr>
      </w:pPr>
      <w:r w:rsidRPr="00B24ABE">
        <w:rPr>
          <w:i/>
          <w:iCs/>
          <w:lang w:val="en-GB"/>
        </w:rPr>
        <w:t>Who will coordinate and supervise the preparation process, who will do the actual drafting.</w:t>
      </w:r>
    </w:p>
    <w:p w14:paraId="16DEC9BE" w14:textId="77777777" w:rsidR="00A7080F" w:rsidRPr="00B24ABE" w:rsidRDefault="00A7080F">
      <w:pPr>
        <w:pStyle w:val="ListParagraph"/>
        <w:numPr>
          <w:ilvl w:val="0"/>
          <w:numId w:val="1"/>
        </w:numPr>
        <w:snapToGrid w:val="0"/>
        <w:spacing w:before="0" w:after="0" w:line="240" w:lineRule="auto"/>
        <w:ind w:left="567" w:hanging="294"/>
        <w:contextualSpacing w:val="0"/>
        <w:rPr>
          <w:i/>
          <w:iCs/>
          <w:lang w:val="en-GB"/>
        </w:rPr>
      </w:pPr>
      <w:r w:rsidRPr="00B24ABE">
        <w:rPr>
          <w:i/>
          <w:iCs/>
          <w:lang w:val="en-GB"/>
        </w:rPr>
        <w:t>Any analyses being (or to be) conducted as a part of the preparation process</w:t>
      </w:r>
      <w:r>
        <w:rPr>
          <w:i/>
          <w:iCs/>
          <w:lang w:val="en-GB"/>
        </w:rPr>
        <w:t>.</w:t>
      </w:r>
    </w:p>
    <w:p w14:paraId="7BEE3877" w14:textId="77777777" w:rsidR="00A7080F" w:rsidRPr="00B24ABE" w:rsidRDefault="00A7080F">
      <w:pPr>
        <w:pStyle w:val="ListParagraph"/>
        <w:numPr>
          <w:ilvl w:val="0"/>
          <w:numId w:val="1"/>
        </w:numPr>
        <w:snapToGrid w:val="0"/>
        <w:spacing w:before="0" w:after="0" w:line="240" w:lineRule="auto"/>
        <w:ind w:left="567" w:hanging="294"/>
        <w:contextualSpacing w:val="0"/>
        <w:rPr>
          <w:i/>
          <w:iCs/>
          <w:lang w:val="en-GB"/>
        </w:rPr>
      </w:pPr>
      <w:r w:rsidRPr="00B24ABE">
        <w:rPr>
          <w:i/>
          <w:iCs/>
          <w:lang w:val="en-GB"/>
        </w:rPr>
        <w:lastRenderedPageBreak/>
        <w:t>Consultations with relevant stakeholders to be carried out as a part of the preparation process.</w:t>
      </w:r>
    </w:p>
    <w:p w14:paraId="7CF92124" w14:textId="77777777" w:rsidR="00A7080F" w:rsidRPr="00B24ABE" w:rsidRDefault="00A7080F">
      <w:pPr>
        <w:pStyle w:val="ListParagraph"/>
        <w:numPr>
          <w:ilvl w:val="0"/>
          <w:numId w:val="1"/>
        </w:numPr>
        <w:snapToGrid w:val="0"/>
        <w:spacing w:before="0" w:after="160" w:line="240" w:lineRule="auto"/>
        <w:ind w:left="567" w:hanging="294"/>
        <w:contextualSpacing w:val="0"/>
        <w:rPr>
          <w:i/>
          <w:iCs/>
          <w:lang w:val="en-GB"/>
        </w:rPr>
      </w:pPr>
      <w:r w:rsidRPr="00B24ABE">
        <w:rPr>
          <w:i/>
          <w:iCs/>
          <w:lang w:val="en-GB"/>
        </w:rPr>
        <w:t>Governmental body responsible for adoption or approval of the strategic document.</w:t>
      </w:r>
    </w:p>
    <w:p w14:paraId="7C796247" w14:textId="77777777" w:rsidR="00A7080F" w:rsidRPr="000841EB" w:rsidRDefault="00A7080F">
      <w:pPr>
        <w:pStyle w:val="Heading3"/>
        <w:numPr>
          <w:ilvl w:val="0"/>
          <w:numId w:val="7"/>
        </w:numPr>
        <w:ind w:left="284" w:hanging="284"/>
      </w:pPr>
      <w:bookmarkStart w:id="45" w:name="_Toc137551848"/>
      <w:bookmarkStart w:id="46" w:name="_Toc137552690"/>
      <w:bookmarkStart w:id="47" w:name="_Toc137554065"/>
      <w:bookmarkStart w:id="48" w:name="_Toc138322354"/>
      <w:bookmarkStart w:id="49" w:name="_Toc149498724"/>
      <w:bookmarkStart w:id="50" w:name="_Toc149837352"/>
      <w:bookmarkStart w:id="51" w:name="_Toc157446234"/>
      <w:bookmarkStart w:id="52" w:name="_Toc158904983"/>
      <w:bookmarkStart w:id="53" w:name="_Toc164257587"/>
      <w:bookmarkStart w:id="54" w:name="_Toc170738060"/>
      <w:r w:rsidRPr="000841EB">
        <w:t>Objectives of the SEA</w:t>
      </w:r>
      <w:bookmarkEnd w:id="45"/>
      <w:bookmarkEnd w:id="46"/>
      <w:bookmarkEnd w:id="47"/>
      <w:bookmarkEnd w:id="48"/>
      <w:bookmarkEnd w:id="49"/>
      <w:bookmarkEnd w:id="50"/>
      <w:bookmarkEnd w:id="51"/>
      <w:bookmarkEnd w:id="52"/>
      <w:bookmarkEnd w:id="53"/>
      <w:bookmarkEnd w:id="54"/>
    </w:p>
    <w:p w14:paraId="3B9A91C1" w14:textId="6E0C7A61" w:rsidR="00AD30A5" w:rsidRPr="00AD30A5" w:rsidRDefault="00A7080F" w:rsidP="00AD30A5">
      <w:pPr>
        <w:snapToGrid w:val="0"/>
        <w:spacing w:line="240" w:lineRule="auto"/>
        <w:rPr>
          <w:i/>
          <w:lang w:val="en-US"/>
        </w:rPr>
      </w:pPr>
      <w:r w:rsidRPr="00B24ABE">
        <w:t xml:space="preserve">The </w:t>
      </w:r>
      <w:r w:rsidR="00AD30A5" w:rsidRPr="00AD30A5">
        <w:rPr>
          <w:lang w:val="en-US"/>
        </w:rPr>
        <w:t xml:space="preserve">objective of this SEA is to inform the decision-makers (in the partner country as well as the EU and other donors, and in case of potential transboundary impacts the affected third countries) on the potential significant environmental, climate and social challenges and opportunities related to the </w:t>
      </w:r>
      <w:r w:rsidR="00AD30A5" w:rsidRPr="00AD30A5">
        <w:rPr>
          <w:i/>
          <w:lang w:val="en-US"/>
        </w:rPr>
        <w:t xml:space="preserve">(name of the strategic document, investment plan and/or EU support </w:t>
      </w:r>
      <w:proofErr w:type="spellStart"/>
      <w:r w:rsidR="00AD30A5" w:rsidRPr="00AD30A5">
        <w:rPr>
          <w:i/>
          <w:lang w:val="en-US"/>
        </w:rPr>
        <w:t>programme</w:t>
      </w:r>
      <w:proofErr w:type="spellEnd"/>
      <w:r w:rsidR="00AD30A5" w:rsidRPr="00AD30A5">
        <w:rPr>
          <w:i/>
          <w:lang w:val="en-US"/>
        </w:rPr>
        <w:t>).</w:t>
      </w:r>
    </w:p>
    <w:p w14:paraId="33D674D4" w14:textId="2BA06ED6" w:rsidR="00AD30A5" w:rsidRPr="00AD30A5" w:rsidRDefault="00AD30A5" w:rsidP="00AD30A5">
      <w:pPr>
        <w:snapToGrid w:val="0"/>
        <w:spacing w:line="240" w:lineRule="auto"/>
        <w:rPr>
          <w:lang w:val="en-US"/>
        </w:rPr>
      </w:pPr>
      <w:r w:rsidRPr="00AD30A5">
        <w:rPr>
          <w:lang w:val="en-US"/>
        </w:rPr>
        <w:t xml:space="preserve">This includes the identification of potential significant impacts on the environment and climate that may result from the implementation of the strategic document, investment plan and/or EU support </w:t>
      </w:r>
      <w:proofErr w:type="spellStart"/>
      <w:r w:rsidRPr="00AD30A5">
        <w:rPr>
          <w:lang w:val="en-US"/>
        </w:rPr>
        <w:t>programme</w:t>
      </w:r>
      <w:proofErr w:type="spellEnd"/>
      <w:r w:rsidRPr="00AD30A5">
        <w:rPr>
          <w:lang w:val="en-US"/>
        </w:rPr>
        <w:t>; the identification of measures to avoid or minimize adverse impacts and to maximize positive impacts.</w:t>
      </w:r>
    </w:p>
    <w:p w14:paraId="454CA914" w14:textId="77777777" w:rsidR="00AD30A5" w:rsidRPr="00AD30A5" w:rsidRDefault="00AD30A5" w:rsidP="00AD30A5">
      <w:pPr>
        <w:snapToGrid w:val="0"/>
        <w:spacing w:line="240" w:lineRule="auto"/>
        <w:rPr>
          <w:lang w:val="en-US"/>
        </w:rPr>
      </w:pPr>
      <w:r w:rsidRPr="00AD30A5">
        <w:rPr>
          <w:lang w:val="en-US"/>
        </w:rPr>
        <w:t xml:space="preserve">The SEA will also identify the challenges that environmental degradation and climate change pose to the sustainability and feasibility of the strategy and/or EU support </w:t>
      </w:r>
      <w:proofErr w:type="spellStart"/>
      <w:r w:rsidRPr="00AD30A5">
        <w:rPr>
          <w:lang w:val="en-US"/>
        </w:rPr>
        <w:t>programme</w:t>
      </w:r>
      <w:proofErr w:type="spellEnd"/>
      <w:r w:rsidRPr="00AD30A5">
        <w:rPr>
          <w:lang w:val="en-US"/>
        </w:rPr>
        <w:t xml:space="preserve"> and identify measures to be integrated in the strategic document and/or EU support </w:t>
      </w:r>
      <w:proofErr w:type="spellStart"/>
      <w:r w:rsidRPr="00AD30A5">
        <w:rPr>
          <w:lang w:val="en-US"/>
        </w:rPr>
        <w:t>programme</w:t>
      </w:r>
      <w:proofErr w:type="spellEnd"/>
      <w:r w:rsidRPr="00AD30A5">
        <w:rPr>
          <w:lang w:val="en-US"/>
        </w:rPr>
        <w:t xml:space="preserve"> to take them into account and enhance their resilience.</w:t>
      </w:r>
    </w:p>
    <w:p w14:paraId="348B3D93" w14:textId="28FF49B8" w:rsidR="00A7080F" w:rsidRPr="00B24ABE" w:rsidRDefault="00AD30A5" w:rsidP="00AD30A5">
      <w:pPr>
        <w:snapToGrid w:val="0"/>
        <w:spacing w:line="240" w:lineRule="auto"/>
      </w:pPr>
      <w:r w:rsidRPr="00AD30A5">
        <w:rPr>
          <w:lang w:val="en-US"/>
        </w:rPr>
        <w:t>The SEA will thus provide elements that will contribute to enhance the state of the environment and health, build climate resilience of the sector and the population, contribute to disaster risk reduction, and promote low carbon development and the transition to a green economy</w:t>
      </w:r>
      <w:r w:rsidR="00A7080F" w:rsidRPr="00B24ABE">
        <w:t>.</w:t>
      </w:r>
    </w:p>
    <w:p w14:paraId="5CC5F93B" w14:textId="77777777" w:rsidR="00A7080F" w:rsidRPr="000841EB" w:rsidRDefault="00A7080F">
      <w:pPr>
        <w:pStyle w:val="Heading3"/>
        <w:numPr>
          <w:ilvl w:val="0"/>
          <w:numId w:val="7"/>
        </w:numPr>
        <w:ind w:left="284" w:hanging="284"/>
      </w:pPr>
      <w:bookmarkStart w:id="55" w:name="_Toc137551849"/>
      <w:bookmarkStart w:id="56" w:name="_Toc137552691"/>
      <w:bookmarkStart w:id="57" w:name="_Toc137554066"/>
      <w:bookmarkStart w:id="58" w:name="_Toc138322355"/>
      <w:bookmarkStart w:id="59" w:name="_Toc149498725"/>
      <w:bookmarkStart w:id="60" w:name="_Toc149837353"/>
      <w:bookmarkStart w:id="61" w:name="_Toc157446235"/>
      <w:bookmarkStart w:id="62" w:name="_Toc158904984"/>
      <w:bookmarkStart w:id="63" w:name="_Toc164257588"/>
      <w:bookmarkStart w:id="64" w:name="_Toc170738061"/>
      <w:r w:rsidRPr="000841EB">
        <w:t>Main activities and deliverables</w:t>
      </w:r>
      <w:bookmarkEnd w:id="55"/>
      <w:bookmarkEnd w:id="56"/>
      <w:bookmarkEnd w:id="57"/>
      <w:bookmarkEnd w:id="58"/>
      <w:bookmarkEnd w:id="59"/>
      <w:bookmarkEnd w:id="60"/>
      <w:bookmarkEnd w:id="61"/>
      <w:bookmarkEnd w:id="62"/>
      <w:bookmarkEnd w:id="63"/>
      <w:bookmarkEnd w:id="64"/>
    </w:p>
    <w:p w14:paraId="31F73B8E" w14:textId="77777777" w:rsidR="00A7080F" w:rsidRPr="00B24ABE" w:rsidRDefault="00A7080F" w:rsidP="00A7080F">
      <w:pPr>
        <w:snapToGrid w:val="0"/>
        <w:spacing w:line="240" w:lineRule="auto"/>
      </w:pPr>
      <w:r w:rsidRPr="00B24ABE">
        <w:t>The following main activities will be performed during the SEA:</w:t>
      </w:r>
    </w:p>
    <w:p w14:paraId="74B4785F" w14:textId="77777777" w:rsidR="00A7080F" w:rsidRPr="00B24ABE" w:rsidRDefault="00A7080F" w:rsidP="00A7080F">
      <w:pPr>
        <w:pStyle w:val="Heading5"/>
      </w:pPr>
      <w:bookmarkStart w:id="65" w:name="_Toc137551850"/>
      <w:bookmarkStart w:id="66" w:name="_Toc137552692"/>
      <w:bookmarkStart w:id="67" w:name="_Toc137554067"/>
      <w:bookmarkStart w:id="68" w:name="_Toc138322356"/>
      <w:bookmarkStart w:id="69" w:name="_Toc149498726"/>
      <w:bookmarkStart w:id="70" w:name="_Toc149837354"/>
      <w:bookmarkStart w:id="71" w:name="_Toc157446236"/>
      <w:r>
        <w:t xml:space="preserve">3.1. </w:t>
      </w:r>
      <w:r w:rsidRPr="00B24ABE">
        <w:t>General activities</w:t>
      </w:r>
      <w:bookmarkEnd w:id="65"/>
      <w:bookmarkEnd w:id="66"/>
      <w:bookmarkEnd w:id="67"/>
      <w:bookmarkEnd w:id="68"/>
      <w:bookmarkEnd w:id="69"/>
      <w:bookmarkEnd w:id="70"/>
      <w:bookmarkEnd w:id="71"/>
    </w:p>
    <w:p w14:paraId="4A7AC0C8" w14:textId="3FC5D8E6" w:rsidR="00A7080F" w:rsidRPr="00B24ABE" w:rsidRDefault="00A7080F">
      <w:pPr>
        <w:pStyle w:val="ListParagraph"/>
        <w:numPr>
          <w:ilvl w:val="0"/>
          <w:numId w:val="8"/>
        </w:numPr>
        <w:snapToGrid w:val="0"/>
        <w:spacing w:before="0" w:after="160" w:line="240" w:lineRule="auto"/>
        <w:ind w:left="567" w:hanging="283"/>
        <w:contextualSpacing w:val="0"/>
        <w:rPr>
          <w:lang w:val="en-GB"/>
        </w:rPr>
      </w:pPr>
      <w:r w:rsidRPr="00B24ABE">
        <w:rPr>
          <w:lang w:val="en-GB"/>
        </w:rPr>
        <w:t xml:space="preserve">Overall coordination of the SEA, including communication with the EU </w:t>
      </w:r>
      <w:r w:rsidR="005168B6">
        <w:rPr>
          <w:lang w:val="en-GB"/>
        </w:rPr>
        <w:t>delegation</w:t>
      </w:r>
      <w:r w:rsidRPr="00B24ABE">
        <w:rPr>
          <w:lang w:val="en-GB"/>
        </w:rPr>
        <w:t>, and the governmental body responsible for the strategic document and, if relevant, the SEA Competent Authority (to be specified according to the national SEA legislation or system)</w:t>
      </w:r>
      <w:r>
        <w:rPr>
          <w:lang w:val="en-GB"/>
        </w:rPr>
        <w:t>.</w:t>
      </w:r>
    </w:p>
    <w:p w14:paraId="6242A4A0" w14:textId="77777777" w:rsidR="00A7080F" w:rsidRPr="00B24ABE" w:rsidRDefault="00A7080F">
      <w:pPr>
        <w:pStyle w:val="ListParagraph"/>
        <w:numPr>
          <w:ilvl w:val="0"/>
          <w:numId w:val="8"/>
        </w:numPr>
        <w:snapToGrid w:val="0"/>
        <w:spacing w:before="0" w:after="160" w:line="240" w:lineRule="auto"/>
        <w:ind w:left="567" w:hanging="283"/>
        <w:contextualSpacing w:val="0"/>
        <w:rPr>
          <w:lang w:val="en-GB"/>
        </w:rPr>
      </w:pPr>
      <w:r w:rsidRPr="00B24ABE">
        <w:rPr>
          <w:lang w:val="en-GB"/>
        </w:rPr>
        <w:t>Coordination of the stakeholders’ participation, including identification of relevant stakeholders, facilitation of their involvement throughout the SEA process, and ensuring that comments and suggestions received are given due consideration.</w:t>
      </w:r>
    </w:p>
    <w:p w14:paraId="31B28483" w14:textId="77777777" w:rsidR="00A7080F" w:rsidRPr="00B24ABE" w:rsidRDefault="00A7080F" w:rsidP="00A7080F">
      <w:pPr>
        <w:pStyle w:val="Heading5"/>
        <w:rPr>
          <w:rFonts w:eastAsiaTheme="minorEastAsia"/>
          <w:color w:val="auto"/>
          <w:szCs w:val="20"/>
        </w:rPr>
      </w:pPr>
      <w:r w:rsidRPr="00B24ABE">
        <w:t>3.2. Specific activities</w:t>
      </w:r>
    </w:p>
    <w:p w14:paraId="28926F22" w14:textId="77777777" w:rsidR="00A7080F" w:rsidRPr="00B24ABE" w:rsidRDefault="00A7080F">
      <w:pPr>
        <w:pStyle w:val="ListParagraph"/>
        <w:numPr>
          <w:ilvl w:val="0"/>
          <w:numId w:val="8"/>
        </w:numPr>
        <w:snapToGrid w:val="0"/>
        <w:spacing w:before="0" w:after="160" w:line="240" w:lineRule="auto"/>
        <w:ind w:left="567" w:hanging="283"/>
        <w:contextualSpacing w:val="0"/>
        <w:rPr>
          <w:lang w:val="en-GB"/>
        </w:rPr>
      </w:pPr>
      <w:r w:rsidRPr="00B24ABE">
        <w:rPr>
          <w:lang w:val="en-GB"/>
        </w:rPr>
        <w:t>Preparation of the SEA approach, methodology and workplan</w:t>
      </w:r>
      <w:r>
        <w:rPr>
          <w:lang w:val="en-GB"/>
        </w:rPr>
        <w:t>.</w:t>
      </w:r>
    </w:p>
    <w:p w14:paraId="14BE2127" w14:textId="77777777" w:rsidR="00A7080F" w:rsidRPr="00B24ABE" w:rsidRDefault="00A7080F">
      <w:pPr>
        <w:pStyle w:val="ListParagraph"/>
        <w:numPr>
          <w:ilvl w:val="0"/>
          <w:numId w:val="8"/>
        </w:numPr>
        <w:snapToGrid w:val="0"/>
        <w:spacing w:before="0" w:after="160" w:line="240" w:lineRule="auto"/>
        <w:ind w:left="567" w:hanging="283"/>
        <w:contextualSpacing w:val="0"/>
        <w:rPr>
          <w:lang w:val="en-GB"/>
        </w:rPr>
      </w:pPr>
      <w:r w:rsidRPr="00B24ABE">
        <w:rPr>
          <w:lang w:val="en-GB"/>
        </w:rPr>
        <w:t>Conducting the SEA scoping, including consultations with key stakeholders including, inter alia,</w:t>
      </w:r>
    </w:p>
    <w:p w14:paraId="5D0A98AD"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Literature review</w:t>
      </w:r>
    </w:p>
    <w:p w14:paraId="7A9017EF"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Fact finding/data collection</w:t>
      </w:r>
    </w:p>
    <w:p w14:paraId="04F32C08"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Review of prior public consultations (if relevant and accessible)</w:t>
      </w:r>
    </w:p>
    <w:p w14:paraId="7FECDA49"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Identification of stakeholders</w:t>
      </w:r>
    </w:p>
    <w:p w14:paraId="3C7F293E"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Engagement of stakeholders</w:t>
      </w:r>
    </w:p>
    <w:p w14:paraId="755DF9C6"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Site visits</w:t>
      </w:r>
    </w:p>
    <w:p w14:paraId="3144215C"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Analysis</w:t>
      </w:r>
    </w:p>
    <w:p w14:paraId="1DC086CA" w14:textId="77777777" w:rsidR="00A7080F" w:rsidRPr="00B24ABE" w:rsidRDefault="00A7080F">
      <w:pPr>
        <w:pStyle w:val="ListParagraph"/>
        <w:numPr>
          <w:ilvl w:val="0"/>
          <w:numId w:val="8"/>
        </w:numPr>
        <w:snapToGrid w:val="0"/>
        <w:spacing w:before="160" w:after="160" w:line="240" w:lineRule="auto"/>
        <w:ind w:left="568" w:hanging="284"/>
        <w:contextualSpacing w:val="0"/>
        <w:rPr>
          <w:lang w:val="en-GB"/>
        </w:rPr>
      </w:pPr>
      <w:r w:rsidRPr="00B24ABE">
        <w:rPr>
          <w:lang w:val="en-GB"/>
        </w:rPr>
        <w:t>Preparation of the scoping report, including validation of its findings through a workshop and consultation of key stakeholders</w:t>
      </w:r>
      <w:r>
        <w:rPr>
          <w:lang w:val="en-GB"/>
        </w:rPr>
        <w:t>.</w:t>
      </w:r>
    </w:p>
    <w:p w14:paraId="7DFFA7FB" w14:textId="77777777" w:rsidR="00A7080F" w:rsidRPr="00B24ABE" w:rsidRDefault="00A7080F">
      <w:pPr>
        <w:pStyle w:val="ListParagraph"/>
        <w:numPr>
          <w:ilvl w:val="0"/>
          <w:numId w:val="8"/>
        </w:numPr>
        <w:snapToGrid w:val="0"/>
        <w:spacing w:before="160" w:after="160" w:line="240" w:lineRule="auto"/>
        <w:ind w:left="568" w:hanging="284"/>
        <w:contextualSpacing w:val="0"/>
        <w:rPr>
          <w:lang w:val="en-GB"/>
        </w:rPr>
      </w:pPr>
      <w:r w:rsidRPr="00B24ABE">
        <w:rPr>
          <w:lang w:val="en-GB"/>
        </w:rPr>
        <w:t>Refinement of the SEA approach, methodology and workplan based on scoping outcomes and feedback from (indicate relevant actors that will review the scoping report)</w:t>
      </w:r>
      <w:r>
        <w:rPr>
          <w:lang w:val="en-GB"/>
        </w:rPr>
        <w:t>.</w:t>
      </w:r>
    </w:p>
    <w:p w14:paraId="53DC35A7" w14:textId="77777777" w:rsidR="00A7080F" w:rsidRPr="00B24ABE" w:rsidRDefault="00A7080F">
      <w:pPr>
        <w:pStyle w:val="ListParagraph"/>
        <w:numPr>
          <w:ilvl w:val="0"/>
          <w:numId w:val="8"/>
        </w:numPr>
        <w:snapToGrid w:val="0"/>
        <w:spacing w:before="160" w:after="160" w:line="240" w:lineRule="auto"/>
        <w:ind w:left="568" w:hanging="284"/>
        <w:contextualSpacing w:val="0"/>
        <w:rPr>
          <w:lang w:val="en-GB"/>
        </w:rPr>
      </w:pPr>
      <w:r w:rsidRPr="00B24ABE">
        <w:rPr>
          <w:lang w:val="en-GB"/>
        </w:rPr>
        <w:t>Conducting the SEA study, including consultations with key stakeholders including, inter alia,</w:t>
      </w:r>
    </w:p>
    <w:p w14:paraId="4203300B"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Fact finding/data collection</w:t>
      </w:r>
    </w:p>
    <w:p w14:paraId="0F56F0D0"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Site visits</w:t>
      </w:r>
    </w:p>
    <w:p w14:paraId="156114BC"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Engagement of stakeholders</w:t>
      </w:r>
    </w:p>
    <w:p w14:paraId="48653A7A"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lastRenderedPageBreak/>
        <w:t>Identification and detailed analysis of potential environmental and climate-related risks, impacts, constraints and opportunities</w:t>
      </w:r>
    </w:p>
    <w:p w14:paraId="6E812D6A" w14:textId="77777777" w:rsidR="00A7080F" w:rsidRPr="00B24ABE" w:rsidRDefault="00A7080F">
      <w:pPr>
        <w:pStyle w:val="ListParagraph"/>
        <w:numPr>
          <w:ilvl w:val="1"/>
          <w:numId w:val="2"/>
        </w:numPr>
        <w:snapToGrid w:val="0"/>
        <w:spacing w:before="0" w:after="0" w:line="240" w:lineRule="auto"/>
        <w:ind w:left="1134"/>
        <w:contextualSpacing w:val="0"/>
        <w:rPr>
          <w:lang w:val="en-GB"/>
        </w:rPr>
      </w:pPr>
      <w:r w:rsidRPr="00B24ABE">
        <w:rPr>
          <w:lang w:val="en-GB"/>
        </w:rPr>
        <w:t>Identification of measures to avoid, minimise and offset adverse impacts on environment, on climate and on climate vulnerability; as well as to maximise positive impacts and enhance the sustainability of the sector strategy</w:t>
      </w:r>
    </w:p>
    <w:p w14:paraId="6CB82634" w14:textId="77777777" w:rsidR="00A7080F" w:rsidRPr="00B24ABE" w:rsidRDefault="00A7080F">
      <w:pPr>
        <w:pStyle w:val="ListParagraph"/>
        <w:numPr>
          <w:ilvl w:val="0"/>
          <w:numId w:val="8"/>
        </w:numPr>
        <w:snapToGrid w:val="0"/>
        <w:spacing w:before="160" w:after="160" w:line="240" w:lineRule="auto"/>
        <w:ind w:left="568" w:hanging="284"/>
        <w:contextualSpacing w:val="0"/>
        <w:rPr>
          <w:lang w:val="en-GB"/>
        </w:rPr>
      </w:pPr>
      <w:r w:rsidRPr="00B24ABE">
        <w:rPr>
          <w:lang w:val="en-GB"/>
        </w:rPr>
        <w:t>Preparation of the draft SEA report</w:t>
      </w:r>
      <w:r>
        <w:rPr>
          <w:lang w:val="en-GB"/>
        </w:rPr>
        <w:t>.</w:t>
      </w:r>
    </w:p>
    <w:p w14:paraId="6F9E8BE7" w14:textId="77777777" w:rsidR="00A7080F" w:rsidRPr="00B24ABE" w:rsidRDefault="00A7080F">
      <w:pPr>
        <w:pStyle w:val="ListParagraph"/>
        <w:numPr>
          <w:ilvl w:val="0"/>
          <w:numId w:val="8"/>
        </w:numPr>
        <w:snapToGrid w:val="0"/>
        <w:spacing w:before="160" w:after="160" w:line="240" w:lineRule="auto"/>
        <w:ind w:left="568" w:hanging="284"/>
        <w:contextualSpacing w:val="0"/>
        <w:rPr>
          <w:lang w:val="en-GB"/>
        </w:rPr>
      </w:pPr>
      <w:r w:rsidRPr="00B24ABE">
        <w:rPr>
          <w:lang w:val="en-GB"/>
        </w:rPr>
        <w:t>Carrying out consultations on the strategic document and the draft SEA report (depending on the objectives of the SEA, the strategic document may not be subject to consultation)</w:t>
      </w:r>
      <w:r>
        <w:rPr>
          <w:lang w:val="en-GB"/>
        </w:rPr>
        <w:t>.</w:t>
      </w:r>
    </w:p>
    <w:p w14:paraId="306A163A" w14:textId="77777777" w:rsidR="00A7080F" w:rsidRPr="00B24ABE" w:rsidRDefault="00A7080F">
      <w:pPr>
        <w:pStyle w:val="ListParagraph"/>
        <w:numPr>
          <w:ilvl w:val="0"/>
          <w:numId w:val="8"/>
        </w:numPr>
        <w:snapToGrid w:val="0"/>
        <w:spacing w:before="160" w:after="160" w:line="240" w:lineRule="auto"/>
        <w:ind w:left="568" w:hanging="284"/>
        <w:contextualSpacing w:val="0"/>
        <w:rPr>
          <w:lang w:val="en-GB"/>
        </w:rPr>
      </w:pPr>
      <w:r w:rsidRPr="00B24ABE">
        <w:rPr>
          <w:lang w:val="en-GB"/>
        </w:rPr>
        <w:t>Preparation of the final SEA report (integrating feedback from the consultations).</w:t>
      </w:r>
    </w:p>
    <w:p w14:paraId="70E38BE7" w14:textId="77777777" w:rsidR="00A7080F" w:rsidRPr="00B24ABE" w:rsidRDefault="00A7080F" w:rsidP="00A7080F">
      <w:pPr>
        <w:pStyle w:val="Heading5"/>
        <w:rPr>
          <w:rFonts w:eastAsiaTheme="minorEastAsia"/>
          <w:color w:val="auto"/>
          <w:szCs w:val="20"/>
        </w:rPr>
      </w:pPr>
      <w:r w:rsidRPr="00B24ABE">
        <w:t>3.3. Reports</w:t>
      </w:r>
    </w:p>
    <w:p w14:paraId="647B1F24" w14:textId="77777777" w:rsidR="00A7080F" w:rsidRPr="00B24ABE" w:rsidRDefault="00A7080F" w:rsidP="00A7080F">
      <w:pPr>
        <w:snapToGrid w:val="0"/>
        <w:spacing w:line="240" w:lineRule="auto"/>
      </w:pPr>
      <w:r w:rsidRPr="00B24ABE">
        <w:t>The SEA is composed of two parts: a scoping study and an SEA study proper. The scoping study will define the key issues that need to be addressed in the SEA study, considering the specific context in which the support is being developed and is likely to be implemented. Detailed activities and calendar for the SEA study will be determined based on the conclusions of the scoping study.</w:t>
      </w:r>
    </w:p>
    <w:p w14:paraId="62669C97" w14:textId="77777777" w:rsidR="00A7080F" w:rsidRPr="00B24ABE" w:rsidRDefault="00A7080F" w:rsidP="00A7080F">
      <w:pPr>
        <w:snapToGrid w:val="0"/>
        <w:spacing w:line="240" w:lineRule="auto"/>
      </w:pPr>
      <w:r w:rsidRPr="00B24ABE">
        <w:t>Key deliverables are as follows:</w:t>
      </w:r>
    </w:p>
    <w:p w14:paraId="15923801" w14:textId="5A65E4FD" w:rsidR="00A7080F" w:rsidRPr="00B24ABE" w:rsidRDefault="00A7080F">
      <w:pPr>
        <w:pStyle w:val="ListParagraph"/>
        <w:numPr>
          <w:ilvl w:val="0"/>
          <w:numId w:val="1"/>
        </w:numPr>
        <w:snapToGrid w:val="0"/>
        <w:spacing w:before="0" w:after="0" w:line="240" w:lineRule="auto"/>
        <w:ind w:left="567" w:hanging="294"/>
        <w:contextualSpacing w:val="0"/>
        <w:rPr>
          <w:lang w:val="en-GB"/>
        </w:rPr>
      </w:pPr>
      <w:r w:rsidRPr="00B24ABE">
        <w:rPr>
          <w:lang w:val="en-GB"/>
        </w:rPr>
        <w:t>SEA approach, methodology and workplan</w:t>
      </w:r>
      <w:r>
        <w:rPr>
          <w:lang w:val="en-GB"/>
        </w:rPr>
        <w:t>.</w:t>
      </w:r>
    </w:p>
    <w:p w14:paraId="257B4E77" w14:textId="77777777" w:rsidR="00A7080F" w:rsidRPr="00B24ABE" w:rsidRDefault="00A7080F">
      <w:pPr>
        <w:pStyle w:val="ListParagraph"/>
        <w:numPr>
          <w:ilvl w:val="0"/>
          <w:numId w:val="1"/>
        </w:numPr>
        <w:snapToGrid w:val="0"/>
        <w:spacing w:before="0" w:after="0" w:line="240" w:lineRule="auto"/>
        <w:ind w:left="567" w:hanging="294"/>
        <w:contextualSpacing w:val="0"/>
        <w:rPr>
          <w:lang w:val="en-GB"/>
        </w:rPr>
      </w:pPr>
      <w:r w:rsidRPr="00B24ABE">
        <w:rPr>
          <w:lang w:val="en-GB"/>
        </w:rPr>
        <w:t>Scoping report (see the details below)</w:t>
      </w:r>
      <w:r>
        <w:rPr>
          <w:lang w:val="en-GB"/>
        </w:rPr>
        <w:t>.</w:t>
      </w:r>
    </w:p>
    <w:p w14:paraId="067DE561" w14:textId="77777777" w:rsidR="00A7080F" w:rsidRPr="00B24ABE" w:rsidRDefault="00A7080F">
      <w:pPr>
        <w:pStyle w:val="ListParagraph"/>
        <w:numPr>
          <w:ilvl w:val="0"/>
          <w:numId w:val="1"/>
        </w:numPr>
        <w:snapToGrid w:val="0"/>
        <w:spacing w:before="0" w:after="0" w:line="240" w:lineRule="auto"/>
        <w:ind w:left="567" w:hanging="294"/>
        <w:contextualSpacing w:val="0"/>
        <w:rPr>
          <w:lang w:val="en-GB"/>
        </w:rPr>
      </w:pPr>
      <w:r w:rsidRPr="00B24ABE">
        <w:rPr>
          <w:lang w:val="en-GB"/>
        </w:rPr>
        <w:t>Draft SEA report (see the details below)</w:t>
      </w:r>
      <w:r>
        <w:rPr>
          <w:lang w:val="en-GB"/>
        </w:rPr>
        <w:t>.</w:t>
      </w:r>
    </w:p>
    <w:p w14:paraId="26D56BEB" w14:textId="77777777" w:rsidR="00A7080F" w:rsidRPr="00B24ABE" w:rsidRDefault="00A7080F">
      <w:pPr>
        <w:pStyle w:val="ListParagraph"/>
        <w:numPr>
          <w:ilvl w:val="0"/>
          <w:numId w:val="1"/>
        </w:numPr>
        <w:snapToGrid w:val="0"/>
        <w:spacing w:before="0" w:after="160" w:line="240" w:lineRule="auto"/>
        <w:ind w:left="567" w:hanging="294"/>
        <w:contextualSpacing w:val="0"/>
        <w:rPr>
          <w:lang w:val="en-GB"/>
        </w:rPr>
      </w:pPr>
      <w:r w:rsidRPr="00B24ABE">
        <w:rPr>
          <w:lang w:val="en-GB"/>
        </w:rPr>
        <w:t>Final SEA report.</w:t>
      </w:r>
    </w:p>
    <w:p w14:paraId="6499DA41" w14:textId="77777777" w:rsidR="00A7080F" w:rsidRPr="00B24ABE" w:rsidRDefault="00A7080F" w:rsidP="00A7080F">
      <w:pPr>
        <w:pStyle w:val="Heading5"/>
        <w:rPr>
          <w:rFonts w:eastAsiaTheme="minorEastAsia"/>
          <w:color w:val="auto"/>
          <w:szCs w:val="20"/>
        </w:rPr>
      </w:pPr>
      <w:r w:rsidRPr="00B24ABE">
        <w:t>3.4. Other deliverables</w:t>
      </w:r>
    </w:p>
    <w:p w14:paraId="39C572C0" w14:textId="77777777" w:rsidR="00AD30A5" w:rsidRDefault="00A7080F">
      <w:pPr>
        <w:pStyle w:val="ListParagraph"/>
        <w:numPr>
          <w:ilvl w:val="0"/>
          <w:numId w:val="1"/>
        </w:numPr>
        <w:snapToGrid w:val="0"/>
        <w:spacing w:before="0" w:after="0" w:line="240" w:lineRule="auto"/>
        <w:ind w:left="567" w:hanging="294"/>
        <w:contextualSpacing w:val="0"/>
        <w:rPr>
          <w:lang w:val="en-GB"/>
        </w:rPr>
      </w:pPr>
      <w:r w:rsidRPr="00B24ABE">
        <w:rPr>
          <w:lang w:val="en-GB"/>
        </w:rPr>
        <w:t>Presentations for the consultation workshop(s)</w:t>
      </w:r>
      <w:r>
        <w:rPr>
          <w:lang w:val="en-GB"/>
        </w:rPr>
        <w:t>.</w:t>
      </w:r>
    </w:p>
    <w:p w14:paraId="08BCD350" w14:textId="7345045E" w:rsidR="00A7080F" w:rsidRDefault="00A7080F">
      <w:pPr>
        <w:pStyle w:val="ListParagraph"/>
        <w:numPr>
          <w:ilvl w:val="0"/>
          <w:numId w:val="1"/>
        </w:numPr>
        <w:snapToGrid w:val="0"/>
        <w:spacing w:before="0" w:after="0" w:line="240" w:lineRule="auto"/>
        <w:ind w:left="567" w:hanging="294"/>
        <w:contextualSpacing w:val="0"/>
        <w:rPr>
          <w:lang w:val="en-GB"/>
        </w:rPr>
      </w:pPr>
      <w:r w:rsidRPr="00AD30A5">
        <w:rPr>
          <w:lang w:val="en-GB"/>
        </w:rPr>
        <w:t>Minutes of the consultation workshop(s).</w:t>
      </w:r>
    </w:p>
    <w:p w14:paraId="539453FA" w14:textId="77777777" w:rsidR="00AD30A5" w:rsidRPr="00AD30A5" w:rsidRDefault="00AD30A5" w:rsidP="00AD30A5">
      <w:pPr>
        <w:snapToGrid w:val="0"/>
        <w:spacing w:after="0" w:line="240" w:lineRule="auto"/>
      </w:pPr>
    </w:p>
    <w:p w14:paraId="4F03513E" w14:textId="77777777" w:rsidR="00A7080F" w:rsidRPr="000841EB" w:rsidRDefault="00A7080F">
      <w:pPr>
        <w:pStyle w:val="Heading3"/>
        <w:numPr>
          <w:ilvl w:val="0"/>
          <w:numId w:val="7"/>
        </w:numPr>
        <w:ind w:left="284" w:hanging="284"/>
      </w:pPr>
      <w:bookmarkStart w:id="72" w:name="_Toc137551851"/>
      <w:bookmarkStart w:id="73" w:name="_Toc137552693"/>
      <w:bookmarkStart w:id="74" w:name="_Toc137554068"/>
      <w:bookmarkStart w:id="75" w:name="_Toc138322357"/>
      <w:bookmarkStart w:id="76" w:name="_Toc149498727"/>
      <w:bookmarkStart w:id="77" w:name="_Toc149837355"/>
      <w:bookmarkStart w:id="78" w:name="_Toc157446237"/>
      <w:bookmarkStart w:id="79" w:name="_Toc158904985"/>
      <w:bookmarkStart w:id="80" w:name="_Toc164257589"/>
      <w:bookmarkStart w:id="81" w:name="_Toc170738062"/>
      <w:r w:rsidRPr="000841EB">
        <w:t>Outline of the scoping and SEA reports</w:t>
      </w:r>
      <w:bookmarkEnd w:id="72"/>
      <w:bookmarkEnd w:id="73"/>
      <w:bookmarkEnd w:id="74"/>
      <w:bookmarkEnd w:id="75"/>
      <w:bookmarkEnd w:id="76"/>
      <w:bookmarkEnd w:id="77"/>
      <w:bookmarkEnd w:id="78"/>
      <w:bookmarkEnd w:id="79"/>
      <w:bookmarkEnd w:id="80"/>
      <w:bookmarkEnd w:id="81"/>
    </w:p>
    <w:p w14:paraId="4D50A5AB" w14:textId="77777777" w:rsidR="00A7080F" w:rsidRPr="00B24ABE" w:rsidRDefault="00A7080F" w:rsidP="00A7080F">
      <w:pPr>
        <w:pStyle w:val="Heading5"/>
        <w:rPr>
          <w:rFonts w:eastAsiaTheme="minorEastAsia"/>
          <w:color w:val="auto"/>
          <w:szCs w:val="20"/>
        </w:rPr>
      </w:pPr>
      <w:r w:rsidRPr="00B24ABE">
        <w:t>4.1. Information to be provided in the scoping report</w:t>
      </w:r>
    </w:p>
    <w:p w14:paraId="29F06B69" w14:textId="77777777" w:rsidR="00A7080F" w:rsidRPr="00B24ABE" w:rsidRDefault="00A7080F" w:rsidP="00A7080F">
      <w:pPr>
        <w:snapToGrid w:val="0"/>
        <w:spacing w:line="240" w:lineRule="auto"/>
      </w:pPr>
      <w:r w:rsidRPr="00B24ABE">
        <w:t>The indicative length of the scoping report is 25 pages.</w:t>
      </w:r>
    </w:p>
    <w:p w14:paraId="07557044" w14:textId="77777777" w:rsidR="00A7080F" w:rsidRPr="00B24ABE" w:rsidRDefault="00A7080F" w:rsidP="00A7080F">
      <w:pPr>
        <w:snapToGrid w:val="0"/>
        <w:spacing w:line="240" w:lineRule="auto"/>
      </w:pPr>
      <w:r w:rsidRPr="00B24ABE">
        <w:t>The following text should appear on the inside front cover of the report:</w:t>
      </w:r>
    </w:p>
    <w:p w14:paraId="73C0A15D" w14:textId="77777777" w:rsidR="00A7080F" w:rsidRPr="00B24ABE" w:rsidRDefault="00A7080F" w:rsidP="00A7080F">
      <w:pPr>
        <w:snapToGrid w:val="0"/>
        <w:spacing w:line="240" w:lineRule="auto"/>
        <w:rPr>
          <w:i/>
          <w:iCs/>
        </w:rPr>
      </w:pPr>
      <w:r w:rsidRPr="00B24ABE">
        <w:rPr>
          <w:i/>
          <w:iCs/>
        </w:rPr>
        <w:t xml:space="preserve">This report is financed by the European Union and is presented by the </w:t>
      </w:r>
      <w:r w:rsidRPr="00B24ABE">
        <w:t>(name of consultants/consortium)</w:t>
      </w:r>
      <w:r w:rsidRPr="00B24ABE">
        <w:rPr>
          <w:i/>
          <w:iCs/>
        </w:rPr>
        <w:t xml:space="preserve"> for </w:t>
      </w:r>
      <w:r w:rsidRPr="00B24ABE">
        <w:t>(national institution)</w:t>
      </w:r>
      <w:r w:rsidRPr="00B24ABE">
        <w:rPr>
          <w:i/>
          <w:iCs/>
        </w:rPr>
        <w:t xml:space="preserve"> and the European Union. It does not necessarily reflect the opinion of </w:t>
      </w:r>
      <w:r w:rsidRPr="00B24ABE">
        <w:t>(national institution)</w:t>
      </w:r>
      <w:r w:rsidRPr="00B24ABE">
        <w:rPr>
          <w:i/>
          <w:iCs/>
        </w:rPr>
        <w:t xml:space="preserve"> or the European Union.</w:t>
      </w:r>
    </w:p>
    <w:p w14:paraId="3FFB639F" w14:textId="77777777" w:rsidR="00A7080F" w:rsidRPr="00B24ABE" w:rsidRDefault="00A7080F" w:rsidP="00A7080F">
      <w:pPr>
        <w:snapToGrid w:val="0"/>
        <w:spacing w:line="240" w:lineRule="auto"/>
      </w:pPr>
      <w:r w:rsidRPr="00B24ABE">
        <w:t>The scoping report should outline:</w:t>
      </w:r>
    </w:p>
    <w:p w14:paraId="2A29A7E6"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The alternatives or options that should be addressed in the SEA study</w:t>
      </w:r>
      <w:r>
        <w:rPr>
          <w:lang w:val="en-GB"/>
        </w:rPr>
        <w:t>.</w:t>
      </w:r>
    </w:p>
    <w:p w14:paraId="1B1AF3EE"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The key environmental and climate aspects to be examined in the SEA study, the spatial boundaries that will be covered for the different aspects, and the depth or detail of the information and data to be used</w:t>
      </w:r>
    </w:p>
    <w:p w14:paraId="740CAEF9"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Analytical methods and tools to be used, as well as sources of relevant data</w:t>
      </w:r>
      <w:r>
        <w:rPr>
          <w:lang w:val="en-GB"/>
        </w:rPr>
        <w:t>.</w:t>
      </w:r>
    </w:p>
    <w:p w14:paraId="25A18B88"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Key stakeholders to be consulted (including environmental, climate and health authorities and CSOs, as well as the public)</w:t>
      </w:r>
      <w:r>
        <w:rPr>
          <w:lang w:val="en-GB"/>
        </w:rPr>
        <w:t>.</w:t>
      </w:r>
    </w:p>
    <w:p w14:paraId="4172AAA9"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The level and nature of stakeholder involvement in the SEA procedure and participatory approaches and methods</w:t>
      </w:r>
      <w:r>
        <w:rPr>
          <w:lang w:val="en-GB"/>
        </w:rPr>
        <w:t>.</w:t>
      </w:r>
    </w:p>
    <w:p w14:paraId="6709EF75" w14:textId="77777777" w:rsidR="00A7080F" w:rsidRPr="00B944B8"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 xml:space="preserve">SEA work-plan and timescale, </w:t>
      </w:r>
      <w:proofErr w:type="gramStart"/>
      <w:r w:rsidRPr="00B24ABE">
        <w:rPr>
          <w:lang w:val="en-GB"/>
        </w:rPr>
        <w:t>taking into account</w:t>
      </w:r>
      <w:proofErr w:type="gramEnd"/>
      <w:r w:rsidRPr="00B24ABE">
        <w:rPr>
          <w:lang w:val="en-GB"/>
        </w:rPr>
        <w:t xml:space="preserve"> the available resources.</w:t>
      </w:r>
    </w:p>
    <w:p w14:paraId="03344216" w14:textId="77777777" w:rsidR="00A7080F" w:rsidRPr="00B24ABE" w:rsidRDefault="00A7080F" w:rsidP="00A7080F">
      <w:pPr>
        <w:snapToGrid w:val="0"/>
        <w:spacing w:before="240" w:line="240" w:lineRule="auto"/>
      </w:pPr>
      <w:r w:rsidRPr="00B24ABE">
        <w:t>Considering the above, the following information should be provided in the scoping report:</w:t>
      </w:r>
    </w:p>
    <w:p w14:paraId="06D7ECA9"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Executive summary</w:t>
      </w:r>
    </w:p>
    <w:p w14:paraId="249EB862"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Introduction</w:t>
      </w:r>
    </w:p>
    <w:p w14:paraId="78145FC8"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lastRenderedPageBreak/>
        <w:t>Purpose and objectives of the scoping and scoping report</w:t>
      </w:r>
    </w:p>
    <w:p w14:paraId="40AB6498" w14:textId="77777777" w:rsidR="00A7080F" w:rsidRPr="00B24ABE" w:rsidRDefault="00A7080F">
      <w:pPr>
        <w:pStyle w:val="ListParagraph"/>
        <w:numPr>
          <w:ilvl w:val="1"/>
          <w:numId w:val="3"/>
        </w:numPr>
        <w:snapToGrid w:val="0"/>
        <w:spacing w:before="0" w:after="160" w:line="240" w:lineRule="auto"/>
        <w:ind w:left="993"/>
        <w:contextualSpacing w:val="0"/>
        <w:rPr>
          <w:lang w:val="en-GB"/>
        </w:rPr>
      </w:pPr>
      <w:r w:rsidRPr="00B24ABE">
        <w:rPr>
          <w:lang w:val="en-GB"/>
        </w:rPr>
        <w:t>Approach to scoping</w:t>
      </w:r>
    </w:p>
    <w:p w14:paraId="0A3EF0DE"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Information about the context and the strategic document</w:t>
      </w:r>
      <w:r>
        <w:rPr>
          <w:lang w:val="en-GB"/>
        </w:rPr>
        <w:t>/ investment plan</w:t>
      </w:r>
      <w:r w:rsidRPr="00B24ABE">
        <w:rPr>
          <w:lang w:val="en-GB"/>
        </w:rPr>
        <w:t xml:space="preserve"> / EU support programme subject to SEA </w:t>
      </w:r>
      <w:r w:rsidRPr="009D35CE">
        <w:rPr>
          <w:lang w:val="en-GB"/>
        </w:rPr>
        <w:t>(see section 1 above), including</w:t>
      </w:r>
      <w:r w:rsidRPr="00B24ABE">
        <w:rPr>
          <w:lang w:val="en-GB"/>
        </w:rPr>
        <w:t xml:space="preserve">: </w:t>
      </w:r>
    </w:p>
    <w:p w14:paraId="2BAB195D"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 xml:space="preserve">A brief description of the relevant strategic planning process and the entry points for the integration of environment, and climate change aspects. </w:t>
      </w:r>
    </w:p>
    <w:p w14:paraId="5DF8DEC6" w14:textId="492A1B81" w:rsidR="00A7080F" w:rsidRPr="00B24ABE" w:rsidRDefault="00A7080F">
      <w:pPr>
        <w:pStyle w:val="ListParagraph"/>
        <w:numPr>
          <w:ilvl w:val="1"/>
          <w:numId w:val="3"/>
        </w:numPr>
        <w:snapToGrid w:val="0"/>
        <w:spacing w:before="0" w:after="160" w:line="240" w:lineRule="auto"/>
        <w:ind w:left="993"/>
        <w:contextualSpacing w:val="0"/>
        <w:rPr>
          <w:lang w:val="en-GB"/>
        </w:rPr>
      </w:pPr>
      <w:r w:rsidRPr="00B24ABE">
        <w:rPr>
          <w:lang w:val="en-GB"/>
        </w:rPr>
        <w:t xml:space="preserve">If relevant, a short description of the strategic alternatives being considered in the planning process. (These can be defined by the planning entity/EU </w:t>
      </w:r>
      <w:r w:rsidR="005168B6">
        <w:rPr>
          <w:lang w:val="en-GB"/>
        </w:rPr>
        <w:t>delegation</w:t>
      </w:r>
      <w:r w:rsidRPr="00B24ABE">
        <w:rPr>
          <w:lang w:val="en-GB"/>
        </w:rPr>
        <w:t xml:space="preserve"> or proposed by the consultants).</w:t>
      </w:r>
    </w:p>
    <w:p w14:paraId="2F87318A"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The specific policy</w:t>
      </w:r>
      <w:r>
        <w:rPr>
          <w:lang w:val="en-GB"/>
        </w:rPr>
        <w:t xml:space="preserve"> </w:t>
      </w:r>
      <w:r w:rsidRPr="00B24ABE">
        <w:rPr>
          <w:lang w:val="en-GB"/>
        </w:rPr>
        <w:t>making/planning decisions and processes that will be informed by the SEA; institutional, policy and regulatory framework</w:t>
      </w:r>
      <w:r>
        <w:rPr>
          <w:lang w:val="en-GB"/>
        </w:rPr>
        <w:t>.</w:t>
      </w:r>
    </w:p>
    <w:p w14:paraId="70844C47"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A brief description of the policy, institutional and regulatory framework relating to the sector, including relevant environmental and climate policy and legislation.</w:t>
      </w:r>
    </w:p>
    <w:p w14:paraId="1E6F3522"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 xml:space="preserve">Overview of the environmental and climate objectives relevant to the sector: these objectives should be optimally taken from official strategic documents at the international, national, and/or local/ municipal levels. Typically, they include </w:t>
      </w:r>
      <w:r>
        <w:rPr>
          <w:lang w:val="en-GB"/>
        </w:rPr>
        <w:t>e.g.</w:t>
      </w:r>
      <w:r w:rsidRPr="00B24ABE">
        <w:rPr>
          <w:lang w:val="en-GB"/>
        </w:rPr>
        <w:t xml:space="preserve"> national environmental strategy and action plan, National Biodiversity Strategy and Action Plan (NBSAP), Nationally Determined Contributions to the Paris Agreement (NDC), etc. </w:t>
      </w:r>
    </w:p>
    <w:p w14:paraId="2B561E36" w14:textId="77777777" w:rsidR="00A7080F" w:rsidRPr="00B24ABE" w:rsidRDefault="00A7080F">
      <w:pPr>
        <w:pStyle w:val="ListParagraph"/>
        <w:numPr>
          <w:ilvl w:val="1"/>
          <w:numId w:val="3"/>
        </w:numPr>
        <w:snapToGrid w:val="0"/>
        <w:spacing w:before="0" w:after="160" w:line="240" w:lineRule="auto"/>
        <w:ind w:left="993"/>
        <w:contextualSpacing w:val="0"/>
        <w:rPr>
          <w:lang w:val="en-GB"/>
        </w:rPr>
      </w:pPr>
      <w:r w:rsidRPr="00B24ABE">
        <w:rPr>
          <w:lang w:val="en-GB"/>
        </w:rPr>
        <w:t>Overview of relevant environmental and climate objectives and criteria at EU level against which the sector strategy / EU support programme should also be measured (</w:t>
      </w:r>
      <w:r>
        <w:rPr>
          <w:lang w:val="en-GB"/>
        </w:rPr>
        <w:t>e.g.</w:t>
      </w:r>
      <w:r w:rsidRPr="00B24ABE">
        <w:rPr>
          <w:lang w:val="en-GB"/>
        </w:rPr>
        <w:t xml:space="preserve"> excluded activities under Article 29 of the NDICI-GE Regulation, European Green Deal, MIP objectives and indicators).</w:t>
      </w:r>
    </w:p>
    <w:p w14:paraId="21D1D4B0"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Overview of the environmental and climate change context, of relevance to the sector, including:</w:t>
      </w:r>
    </w:p>
    <w:p w14:paraId="09D919F7" w14:textId="77777777" w:rsidR="00A7080F" w:rsidRDefault="00A7080F">
      <w:pPr>
        <w:pStyle w:val="ListParagraph"/>
        <w:numPr>
          <w:ilvl w:val="1"/>
          <w:numId w:val="3"/>
        </w:numPr>
        <w:snapToGrid w:val="0"/>
        <w:spacing w:before="0" w:after="0" w:line="240" w:lineRule="auto"/>
        <w:ind w:left="993"/>
        <w:contextualSpacing w:val="0"/>
        <w:rPr>
          <w:lang w:val="en-GB"/>
        </w:rPr>
      </w:pPr>
      <w:r w:rsidRPr="00B24ABE">
        <w:rPr>
          <w:lang w:val="en-GB"/>
        </w:rPr>
        <w:t>Brief description of the main environmental and climate-related issues in the likely affected area (</w:t>
      </w:r>
      <w:r>
        <w:rPr>
          <w:lang w:val="en-GB"/>
        </w:rPr>
        <w:t>e.g.</w:t>
      </w:r>
      <w:r w:rsidRPr="00B24ABE">
        <w:rPr>
          <w:lang w:val="en-GB"/>
        </w:rPr>
        <w:t xml:space="preserve"> main sources of water pollution or biodiversity decline).</w:t>
      </w:r>
    </w:p>
    <w:p w14:paraId="68C5CAC8" w14:textId="77777777" w:rsidR="00A7080F" w:rsidRPr="00A43C47" w:rsidRDefault="00A7080F">
      <w:pPr>
        <w:pStyle w:val="ListParagraph"/>
        <w:numPr>
          <w:ilvl w:val="1"/>
          <w:numId w:val="3"/>
        </w:numPr>
        <w:snapToGrid w:val="0"/>
        <w:spacing w:before="0" w:after="0" w:line="240" w:lineRule="auto"/>
        <w:ind w:left="993"/>
        <w:contextualSpacing w:val="0"/>
        <w:rPr>
          <w:lang w:val="en-GB"/>
        </w:rPr>
      </w:pPr>
      <w:r>
        <w:rPr>
          <w:lang w:val="en-GB"/>
        </w:rPr>
        <w:t>Brief description of existing and planned future activities with a potential to create cumulative impacts with the proposed strategic document and/or EU support programme.</w:t>
      </w:r>
    </w:p>
    <w:p w14:paraId="07014163"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 xml:space="preserve">Brief description of the current and expected impacts of climate change </w:t>
      </w:r>
      <w:proofErr w:type="gramStart"/>
      <w:r w:rsidRPr="00B24ABE">
        <w:rPr>
          <w:lang w:val="en-GB"/>
        </w:rPr>
        <w:t>in the area of</w:t>
      </w:r>
      <w:proofErr w:type="gramEnd"/>
      <w:r w:rsidRPr="00B24ABE">
        <w:rPr>
          <w:lang w:val="en-GB"/>
        </w:rPr>
        <w:t xml:space="preserve"> influence of the strategic document and/or EU support programme. </w:t>
      </w:r>
    </w:p>
    <w:p w14:paraId="56362790"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Outline of the trends and drivers for the key issues identified i.e.</w:t>
      </w:r>
      <w:r>
        <w:rPr>
          <w:lang w:val="en-GB"/>
        </w:rPr>
        <w:t>,</w:t>
      </w:r>
      <w:r w:rsidRPr="00B24ABE">
        <w:rPr>
          <w:lang w:val="en-GB"/>
        </w:rPr>
        <w:t xml:space="preserve"> main factors affecting situation so far (</w:t>
      </w:r>
      <w:r>
        <w:rPr>
          <w:lang w:val="en-GB"/>
        </w:rPr>
        <w:t>e.g.</w:t>
      </w:r>
      <w:r w:rsidRPr="00B24ABE">
        <w:rPr>
          <w:lang w:val="en-GB"/>
        </w:rPr>
        <w:t xml:space="preserve"> agriculture can be a major source of the water pollution, poaching a key source of biodiversity decline, etc.)</w:t>
      </w:r>
    </w:p>
    <w:p w14:paraId="7698ACC8" w14:textId="77777777" w:rsidR="00A7080F" w:rsidRPr="00B24ABE" w:rsidRDefault="00A7080F">
      <w:pPr>
        <w:pStyle w:val="ListParagraph"/>
        <w:numPr>
          <w:ilvl w:val="1"/>
          <w:numId w:val="3"/>
        </w:numPr>
        <w:snapToGrid w:val="0"/>
        <w:spacing w:before="0" w:after="160" w:line="240" w:lineRule="auto"/>
        <w:ind w:left="993"/>
        <w:contextualSpacing w:val="0"/>
        <w:rPr>
          <w:lang w:val="en-GB"/>
        </w:rPr>
      </w:pPr>
      <w:r w:rsidRPr="00B24ABE">
        <w:rPr>
          <w:lang w:val="en-GB"/>
        </w:rPr>
        <w:t xml:space="preserve">An overview of sensitive areas or hotspots relevant for a given environmental or climate-related topic </w:t>
      </w:r>
      <w:r>
        <w:rPr>
          <w:lang w:val="en-GB"/>
        </w:rPr>
        <w:t>e.g.</w:t>
      </w:r>
      <w:r w:rsidRPr="00B24ABE">
        <w:rPr>
          <w:lang w:val="en-GB"/>
        </w:rPr>
        <w:t xml:space="preserve"> areas with unsatisfactory water quality or availability, nature-protected areas, areas prone to erosion and/or floods, etc. This section can use maps and schemes. If the area cannot be clearly determined, at least a ‘type of area’ should be described (</w:t>
      </w:r>
      <w:r>
        <w:rPr>
          <w:lang w:val="en-GB"/>
        </w:rPr>
        <w:t>e.g.</w:t>
      </w:r>
      <w:r w:rsidRPr="00B24ABE">
        <w:rPr>
          <w:lang w:val="en-GB"/>
        </w:rPr>
        <w:t xml:space="preserve"> ‘river sections downstream to large cities can be considered a geographic area of water pollution by municipal waste waters’). </w:t>
      </w:r>
    </w:p>
    <w:p w14:paraId="5A295CF5"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 xml:space="preserve">Main gaps in the existing information and data needed for further analyses of the likely effects. </w:t>
      </w:r>
    </w:p>
    <w:p w14:paraId="7FDFF6D8"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 xml:space="preserve">Overview of the characteristics of environmental and climate aspects likely to be </w:t>
      </w:r>
      <w:r w:rsidRPr="00AD30A5">
        <w:rPr>
          <w:lang w:val="en-GB"/>
        </w:rPr>
        <w:t>significantly</w:t>
      </w:r>
      <w:r w:rsidRPr="00B24ABE">
        <w:rPr>
          <w:lang w:val="en-GB"/>
        </w:rPr>
        <w:t xml:space="preserve"> affected by the implementation of the sector strategy and/or EU support programme, indicating the potential causal link with the sector strategy (</w:t>
      </w:r>
      <w:r w:rsidRPr="00AD30A5">
        <w:rPr>
          <w:lang w:val="en-GB"/>
        </w:rPr>
        <w:t>Note: the list below needs to be adjusted to the strategic document subject of the SEA. The key is to focus the analysis and SEA on relevant areas and</w:t>
      </w:r>
      <w:r w:rsidRPr="00B24ABE">
        <w:rPr>
          <w:i/>
          <w:iCs/>
          <w:lang w:val="en-GB"/>
        </w:rPr>
        <w:t xml:space="preserve"> issues, not to provide a thorough overview for all environmental components and aspects</w:t>
      </w:r>
      <w:r w:rsidRPr="00B24ABE">
        <w:rPr>
          <w:lang w:val="en-GB"/>
        </w:rPr>
        <w:t>):</w:t>
      </w:r>
    </w:p>
    <w:p w14:paraId="4E0DC67C"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Climate (i.e.</w:t>
      </w:r>
      <w:r>
        <w:rPr>
          <w:lang w:val="en-GB"/>
        </w:rPr>
        <w:t>,</w:t>
      </w:r>
      <w:r w:rsidRPr="00B24ABE">
        <w:rPr>
          <w:lang w:val="en-GB"/>
        </w:rPr>
        <w:t xml:space="preserve"> greenhouse gas emissions and degradation of carbon sinks) and climate change vulnerability</w:t>
      </w:r>
    </w:p>
    <w:p w14:paraId="0184735E"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Air quality</w:t>
      </w:r>
    </w:p>
    <w:p w14:paraId="514A9B57"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Geology, land, and soil (including land use, soil degradation, and pollution)</w:t>
      </w:r>
    </w:p>
    <w:p w14:paraId="3636294E"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Pr>
          <w:lang w:val="en-GB"/>
        </w:rPr>
        <w:t xml:space="preserve">Water quantity, i.e. river basins including transboundary linkages, lakes and other surface waters and groundwater aquifers (rate of renewal); water use and allocation; quality of water resources, main types and sources of pollution. </w:t>
      </w:r>
      <w:r w:rsidRPr="00B24ABE">
        <w:rPr>
          <w:lang w:val="en-GB"/>
        </w:rPr>
        <w:t>Waste and wastewater management</w:t>
      </w:r>
    </w:p>
    <w:p w14:paraId="56DB6C54"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Ecosystems and biodiversity</w:t>
      </w:r>
      <w:r>
        <w:rPr>
          <w:lang w:val="en-GB"/>
        </w:rPr>
        <w:t xml:space="preserve">, including </w:t>
      </w:r>
      <w:r w:rsidRPr="00B24ABE">
        <w:rPr>
          <w:lang w:val="en-GB"/>
        </w:rPr>
        <w:t>protected areas</w:t>
      </w:r>
      <w:r>
        <w:rPr>
          <w:lang w:val="en-GB"/>
        </w:rPr>
        <w:t xml:space="preserve"> and protected species; ecosystem services and their uses / users (dependency, vulnerability, status)</w:t>
      </w:r>
    </w:p>
    <w:p w14:paraId="3AD7A7EF"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Culture heritage</w:t>
      </w:r>
    </w:p>
    <w:p w14:paraId="7E52585B"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 xml:space="preserve">Key social aspects (poverty, vulnerable groups, gender issues, </w:t>
      </w:r>
      <w:r>
        <w:rPr>
          <w:lang w:val="en-GB"/>
        </w:rPr>
        <w:t xml:space="preserve">education and training, </w:t>
      </w:r>
      <w:r w:rsidRPr="00B24ABE">
        <w:rPr>
          <w:lang w:val="en-GB"/>
        </w:rPr>
        <w:t>etc.)</w:t>
      </w:r>
    </w:p>
    <w:p w14:paraId="3814A7C6"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lastRenderedPageBreak/>
        <w:t>Environmental health</w:t>
      </w:r>
    </w:p>
    <w:p w14:paraId="0B753591" w14:textId="77777777" w:rsidR="00A7080F" w:rsidRPr="00AE5D4B" w:rsidRDefault="00A7080F">
      <w:pPr>
        <w:pStyle w:val="ListParagraph"/>
        <w:numPr>
          <w:ilvl w:val="1"/>
          <w:numId w:val="3"/>
        </w:numPr>
        <w:snapToGrid w:val="0"/>
        <w:spacing w:before="0" w:after="160" w:line="240" w:lineRule="auto"/>
        <w:ind w:left="993"/>
        <w:contextualSpacing w:val="0"/>
        <w:rPr>
          <w:lang w:val="fr-BE"/>
        </w:rPr>
      </w:pPr>
      <w:r w:rsidRPr="00AE5D4B">
        <w:rPr>
          <w:lang w:val="fr-BE"/>
        </w:rPr>
        <w:t>Nuisances (</w:t>
      </w:r>
      <w:r>
        <w:rPr>
          <w:lang w:val="fr-BE"/>
        </w:rPr>
        <w:t>e.g.</w:t>
      </w:r>
      <w:r w:rsidRPr="00822407">
        <w:rPr>
          <w:lang w:val="fr-BE"/>
        </w:rPr>
        <w:t xml:space="preserve"> </w:t>
      </w:r>
      <w:proofErr w:type="spellStart"/>
      <w:r w:rsidRPr="00822407">
        <w:rPr>
          <w:lang w:val="fr-BE"/>
        </w:rPr>
        <w:t>odour</w:t>
      </w:r>
      <w:proofErr w:type="spellEnd"/>
      <w:r w:rsidRPr="00822407">
        <w:rPr>
          <w:lang w:val="fr-BE"/>
        </w:rPr>
        <w:t xml:space="preserve">, vibrations, </w:t>
      </w:r>
      <w:proofErr w:type="spellStart"/>
      <w:r w:rsidRPr="00822407">
        <w:rPr>
          <w:lang w:val="fr-BE"/>
        </w:rPr>
        <w:t>visual</w:t>
      </w:r>
      <w:proofErr w:type="spellEnd"/>
      <w:r w:rsidRPr="00822407">
        <w:rPr>
          <w:lang w:val="fr-BE"/>
        </w:rPr>
        <w:t xml:space="preserve"> impacts)</w:t>
      </w:r>
    </w:p>
    <w:p w14:paraId="2A94BEF7"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Overview of the state of the natural resources and climatic conditions necessary for the development of the sector and for the effective implementation of the strategic document and/or EU support programme (</w:t>
      </w:r>
      <w:r>
        <w:rPr>
          <w:lang w:val="en-GB"/>
        </w:rPr>
        <w:t>e.g.</w:t>
      </w:r>
      <w:r w:rsidRPr="00B24ABE">
        <w:rPr>
          <w:lang w:val="en-GB"/>
        </w:rPr>
        <w:t xml:space="preserve"> water availability for electricity production, quality of soils for agricultural production, predictability of rainfall).</w:t>
      </w:r>
    </w:p>
    <w:p w14:paraId="276EC18E"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 xml:space="preserve">Initial identification of the key environmental and climate issues relevant to the strategic document and/or EU support programme, which will be addressed in SEA study, in the light of: </w:t>
      </w:r>
    </w:p>
    <w:p w14:paraId="5F04246C"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Potential significant impacts on the environment, significant contributions to greenhouse gas emissions (in relation to national emissions), and increased climate change vulnerability associated to the implementation of the strategic document</w:t>
      </w:r>
      <w:r>
        <w:rPr>
          <w:lang w:val="en-GB"/>
        </w:rPr>
        <w:t>.</w:t>
      </w:r>
    </w:p>
    <w:p w14:paraId="3CF63A25"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Key environmental, natural resources and climate change aspects that impinge on sector performance and are not adequately addressed by the strategic document</w:t>
      </w:r>
      <w:r>
        <w:rPr>
          <w:lang w:val="en-GB"/>
        </w:rPr>
        <w:t>.</w:t>
      </w:r>
    </w:p>
    <w:p w14:paraId="4D218165" w14:textId="77777777" w:rsidR="00A7080F" w:rsidRPr="00B24ABE" w:rsidRDefault="00A7080F">
      <w:pPr>
        <w:pStyle w:val="ListParagraph"/>
        <w:numPr>
          <w:ilvl w:val="1"/>
          <w:numId w:val="3"/>
        </w:numPr>
        <w:snapToGrid w:val="0"/>
        <w:spacing w:before="0" w:after="0" w:line="240" w:lineRule="auto"/>
        <w:ind w:left="993"/>
        <w:contextualSpacing w:val="0"/>
        <w:rPr>
          <w:lang w:val="en-GB"/>
        </w:rPr>
      </w:pPr>
      <w:r w:rsidRPr="00B24ABE">
        <w:rPr>
          <w:lang w:val="en-GB"/>
        </w:rPr>
        <w:t>Key opportunities for the strategic document to make a significant contribution to environmental sustainability, climate resilience, low carbon development and the transition to a green and circular economy, including through the adoption of nature-based solutions</w:t>
      </w:r>
      <w:r>
        <w:rPr>
          <w:lang w:val="en-GB"/>
        </w:rPr>
        <w:t>.</w:t>
      </w:r>
    </w:p>
    <w:p w14:paraId="196DE55F" w14:textId="77777777" w:rsidR="00A7080F" w:rsidRPr="00B24ABE" w:rsidRDefault="00A7080F">
      <w:pPr>
        <w:pStyle w:val="ListParagraph"/>
        <w:numPr>
          <w:ilvl w:val="1"/>
          <w:numId w:val="3"/>
        </w:numPr>
        <w:snapToGrid w:val="0"/>
        <w:spacing w:before="0" w:after="160" w:line="240" w:lineRule="auto"/>
        <w:ind w:left="993"/>
        <w:contextualSpacing w:val="0"/>
        <w:rPr>
          <w:lang w:val="en-GB"/>
        </w:rPr>
      </w:pPr>
      <w:r w:rsidRPr="00B24ABE">
        <w:rPr>
          <w:lang w:val="en-GB"/>
        </w:rPr>
        <w:t>Potential conflicts between the sector strategic document and environmental and climate change policy objectives (at national or sub-national level, as well as those of the EU).</w:t>
      </w:r>
    </w:p>
    <w:p w14:paraId="280533A5"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Depending on expected impacts on society and the scope of other studies, there is also a need to determine the extent to which social impacts should be assessed</w:t>
      </w:r>
      <w:r w:rsidRPr="00AD30A5">
        <w:footnoteReference w:id="2"/>
      </w:r>
      <w:r w:rsidRPr="00B24ABE">
        <w:rPr>
          <w:lang w:val="en-GB"/>
        </w:rPr>
        <w:t>, notably from the perspective of livelihoods</w:t>
      </w:r>
      <w:r>
        <w:rPr>
          <w:lang w:val="en-GB"/>
        </w:rPr>
        <w:t>,</w:t>
      </w:r>
      <w:r w:rsidRPr="00B24ABE">
        <w:rPr>
          <w:lang w:val="en-GB"/>
        </w:rPr>
        <w:t xml:space="preserve"> poverty reduction</w:t>
      </w:r>
      <w:r>
        <w:rPr>
          <w:lang w:val="en-GB"/>
        </w:rPr>
        <w:t>, gender-related impacts, and the position of vulnerable groups</w:t>
      </w:r>
      <w:r w:rsidRPr="00B24ABE">
        <w:rPr>
          <w:lang w:val="en-GB"/>
        </w:rPr>
        <w:t>.</w:t>
      </w:r>
    </w:p>
    <w:p w14:paraId="6A9B1B61"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Analyses and surveys to be conducted during the SEA, methods and tools to be used, as well as sources of relevant data: Special attention should be given to identifying those environmental interactions that will require quantitative analyses and those for which qualitative analyses should be carried out.</w:t>
      </w:r>
    </w:p>
    <w:p w14:paraId="5B763B4B"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Identification of relevant stakeholders, including the public, to be involved in the SEA; and the consultation plan.</w:t>
      </w:r>
    </w:p>
    <w:p w14:paraId="61CD8B07"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Results of the stakeholders</w:t>
      </w:r>
      <w:r>
        <w:rPr>
          <w:lang w:val="en-GB"/>
        </w:rPr>
        <w:t>’</w:t>
      </w:r>
      <w:r w:rsidRPr="00B24ABE">
        <w:rPr>
          <w:lang w:val="en-GB"/>
        </w:rPr>
        <w:t xml:space="preserve"> workshop validating the key issues identified and to be addressed in the SEA study.</w:t>
      </w:r>
    </w:p>
    <w:p w14:paraId="255B8321"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sidRPr="00B24ABE">
        <w:rPr>
          <w:lang w:val="en-GB"/>
        </w:rPr>
        <w:t>Revised calendar for the completion of the SEA study.</w:t>
      </w:r>
    </w:p>
    <w:p w14:paraId="42C25EEE" w14:textId="77777777" w:rsidR="00A7080F" w:rsidRPr="00B24ABE" w:rsidRDefault="00A7080F" w:rsidP="00A7080F">
      <w:pPr>
        <w:pStyle w:val="Heading5"/>
        <w:rPr>
          <w:rFonts w:eastAsiaTheme="minorEastAsia"/>
          <w:color w:val="auto"/>
          <w:szCs w:val="20"/>
        </w:rPr>
      </w:pPr>
      <w:r w:rsidRPr="00B24ABE">
        <w:t>4.2. Information to be provided in the SEA study report</w:t>
      </w:r>
    </w:p>
    <w:p w14:paraId="35C0B76A" w14:textId="77777777" w:rsidR="00A7080F" w:rsidRPr="00B24ABE" w:rsidRDefault="00A7080F" w:rsidP="00A7080F">
      <w:pPr>
        <w:snapToGrid w:val="0"/>
        <w:spacing w:line="240" w:lineRule="auto"/>
      </w:pPr>
      <w:r w:rsidRPr="00B24ABE">
        <w:t xml:space="preserve">The indicative length of the </w:t>
      </w:r>
      <w:r>
        <w:t>SEA</w:t>
      </w:r>
      <w:r w:rsidRPr="00B24ABE">
        <w:t xml:space="preserve"> report is 100 pages.</w:t>
      </w:r>
    </w:p>
    <w:p w14:paraId="3D492703" w14:textId="77777777" w:rsidR="00A7080F" w:rsidRPr="00B24ABE" w:rsidRDefault="00A7080F" w:rsidP="00A7080F">
      <w:pPr>
        <w:snapToGrid w:val="0"/>
        <w:spacing w:line="240" w:lineRule="auto"/>
      </w:pPr>
      <w:r w:rsidRPr="00B24ABE">
        <w:t>The following text should appear on the inside front cover of the report:</w:t>
      </w:r>
    </w:p>
    <w:p w14:paraId="3A6A7F33" w14:textId="77777777" w:rsidR="00A7080F" w:rsidRPr="00B24ABE" w:rsidRDefault="00A7080F" w:rsidP="00A7080F">
      <w:pPr>
        <w:snapToGrid w:val="0"/>
        <w:spacing w:line="240" w:lineRule="auto"/>
        <w:rPr>
          <w:i/>
          <w:iCs/>
        </w:rPr>
      </w:pPr>
      <w:r w:rsidRPr="00B24ABE">
        <w:rPr>
          <w:i/>
          <w:iCs/>
        </w:rPr>
        <w:t xml:space="preserve">This report is financed by the European Union and is presented by the </w:t>
      </w:r>
      <w:r w:rsidRPr="00B24ABE">
        <w:t>(name of consultants/consortium)</w:t>
      </w:r>
      <w:r w:rsidRPr="00B24ABE">
        <w:rPr>
          <w:i/>
          <w:iCs/>
        </w:rPr>
        <w:t xml:space="preserve"> for </w:t>
      </w:r>
      <w:r w:rsidRPr="00B24ABE">
        <w:t>(national institution)</w:t>
      </w:r>
      <w:r w:rsidRPr="00B24ABE">
        <w:rPr>
          <w:i/>
          <w:iCs/>
        </w:rPr>
        <w:t xml:space="preserve"> and the European Union. It does not necessarily reflect the opinion of </w:t>
      </w:r>
      <w:r w:rsidRPr="00B24ABE">
        <w:t>(national institution)</w:t>
      </w:r>
      <w:r w:rsidRPr="00B24ABE">
        <w:rPr>
          <w:i/>
          <w:iCs/>
        </w:rPr>
        <w:t xml:space="preserve"> or the European Union.</w:t>
      </w:r>
    </w:p>
    <w:p w14:paraId="229E8A97" w14:textId="77777777" w:rsidR="00A7080F" w:rsidRPr="00B24ABE" w:rsidRDefault="00A7080F" w:rsidP="00A7080F">
      <w:pPr>
        <w:snapToGrid w:val="0"/>
        <w:spacing w:line="240" w:lineRule="auto"/>
      </w:pPr>
      <w:r w:rsidRPr="00B24ABE">
        <w:t>The SEA report will be based on the results of the scoping phase and should include:</w:t>
      </w:r>
    </w:p>
    <w:p w14:paraId="37378C23"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Pr>
          <w:lang w:val="en-GB"/>
        </w:rPr>
        <w:t>A</w:t>
      </w:r>
      <w:r w:rsidRPr="00B24ABE">
        <w:rPr>
          <w:lang w:val="en-GB"/>
        </w:rPr>
        <w:t>n environmental and climate baseline study</w:t>
      </w:r>
      <w:r>
        <w:rPr>
          <w:lang w:val="en-GB"/>
        </w:rPr>
        <w:t>.</w:t>
      </w:r>
    </w:p>
    <w:p w14:paraId="6907E6EA"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Pr>
          <w:lang w:val="en-GB"/>
        </w:rPr>
        <w:t>I</w:t>
      </w:r>
      <w:r w:rsidRPr="00B24ABE">
        <w:rPr>
          <w:lang w:val="en-GB"/>
        </w:rPr>
        <w:t>dentification of significant environmental and climate change risks, constraints and opportunities (largely informed by the scoping study but validated at this stage)</w:t>
      </w:r>
      <w:r>
        <w:rPr>
          <w:lang w:val="en-GB"/>
        </w:rPr>
        <w:t>.</w:t>
      </w:r>
    </w:p>
    <w:p w14:paraId="6F3294CB" w14:textId="77777777" w:rsidR="00A7080F" w:rsidRDefault="00A7080F">
      <w:pPr>
        <w:pStyle w:val="ListParagraph"/>
        <w:numPr>
          <w:ilvl w:val="0"/>
          <w:numId w:val="1"/>
        </w:numPr>
        <w:snapToGrid w:val="0"/>
        <w:spacing w:before="0" w:after="60" w:line="240" w:lineRule="auto"/>
        <w:ind w:left="567" w:hanging="295"/>
        <w:contextualSpacing w:val="0"/>
        <w:rPr>
          <w:lang w:val="en-GB"/>
        </w:rPr>
      </w:pPr>
      <w:r>
        <w:rPr>
          <w:lang w:val="en-GB"/>
        </w:rPr>
        <w:t>I</w:t>
      </w:r>
      <w:r w:rsidRPr="00B24ABE">
        <w:rPr>
          <w:lang w:val="en-GB"/>
        </w:rPr>
        <w:t>dentification and assessment of the potential significant environmental and climate-related impacts, and mechanisms/approaches to avoid or minimize the potential adverse effects and maximise the positive ones</w:t>
      </w:r>
      <w:r>
        <w:rPr>
          <w:lang w:val="en-GB"/>
        </w:rPr>
        <w:t>.</w:t>
      </w:r>
    </w:p>
    <w:p w14:paraId="02831E45" w14:textId="77777777" w:rsidR="00A7080F" w:rsidRPr="00A43C47" w:rsidRDefault="00A7080F">
      <w:pPr>
        <w:pStyle w:val="ListParagraph"/>
        <w:numPr>
          <w:ilvl w:val="0"/>
          <w:numId w:val="1"/>
        </w:numPr>
        <w:snapToGrid w:val="0"/>
        <w:spacing w:before="0" w:after="60" w:line="240" w:lineRule="auto"/>
        <w:ind w:left="567" w:hanging="295"/>
        <w:contextualSpacing w:val="0"/>
        <w:rPr>
          <w:lang w:val="en-GB"/>
        </w:rPr>
      </w:pPr>
      <w:r>
        <w:rPr>
          <w:lang w:val="en-GB"/>
        </w:rPr>
        <w:t xml:space="preserve">Description of how negative and positive effects will affect different groups in society; in other words, who are the winners and who are the losers (with special attention to vulnerable groups and gender division).  </w:t>
      </w:r>
    </w:p>
    <w:p w14:paraId="7B2CED8B"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Pr>
          <w:lang w:val="en-GB"/>
        </w:rPr>
        <w:lastRenderedPageBreak/>
        <w:t>T</w:t>
      </w:r>
      <w:r w:rsidRPr="00B24ABE">
        <w:rPr>
          <w:lang w:val="en-GB"/>
        </w:rPr>
        <w:t>he identification of options for the strategic document and/or EU support programme to make positive contributions to environmental sustainability, climate resilience, low-carbon development and the transition to a green and circular economy</w:t>
      </w:r>
      <w:r>
        <w:rPr>
          <w:lang w:val="en-GB"/>
        </w:rPr>
        <w:t>.</w:t>
      </w:r>
    </w:p>
    <w:p w14:paraId="05A1DB59" w14:textId="77777777" w:rsidR="00A7080F" w:rsidRPr="00B24ABE" w:rsidRDefault="00A7080F">
      <w:pPr>
        <w:pStyle w:val="ListParagraph"/>
        <w:numPr>
          <w:ilvl w:val="0"/>
          <w:numId w:val="1"/>
        </w:numPr>
        <w:snapToGrid w:val="0"/>
        <w:spacing w:before="0" w:after="60" w:line="240" w:lineRule="auto"/>
        <w:ind w:left="567" w:hanging="295"/>
        <w:contextualSpacing w:val="0"/>
        <w:rPr>
          <w:lang w:val="en-GB"/>
        </w:rPr>
      </w:pPr>
      <w:r>
        <w:rPr>
          <w:lang w:val="en-GB"/>
        </w:rPr>
        <w:t>A</w:t>
      </w:r>
      <w:r w:rsidRPr="00B24ABE">
        <w:rPr>
          <w:lang w:val="en-GB"/>
        </w:rPr>
        <w:t>n analysis of the performance indicators of the strategic document and/or EU support programme, and appreciation of the institutional capacities to address the environmental and climate change challenges identified.</w:t>
      </w:r>
    </w:p>
    <w:p w14:paraId="2D689477" w14:textId="77777777" w:rsidR="00A7080F" w:rsidRPr="00B24ABE" w:rsidRDefault="00A7080F" w:rsidP="00A7080F">
      <w:pPr>
        <w:snapToGrid w:val="0"/>
        <w:spacing w:line="240" w:lineRule="auto"/>
      </w:pPr>
      <w:r w:rsidRPr="00B24ABE">
        <w:t>The contents of the SEA report are as follows:</w:t>
      </w:r>
    </w:p>
    <w:p w14:paraId="20145660" w14:textId="77777777" w:rsidR="00A7080F" w:rsidRPr="00836100" w:rsidRDefault="00A7080F">
      <w:pPr>
        <w:pStyle w:val="ListParagraph"/>
        <w:numPr>
          <w:ilvl w:val="0"/>
          <w:numId w:val="1"/>
        </w:numPr>
        <w:snapToGrid w:val="0"/>
        <w:spacing w:before="0" w:after="60" w:line="240" w:lineRule="auto"/>
        <w:ind w:left="567" w:hanging="295"/>
        <w:contextualSpacing w:val="0"/>
        <w:rPr>
          <w:b/>
          <w:bCs/>
          <w:lang w:val="en-GB"/>
        </w:rPr>
      </w:pPr>
      <w:r w:rsidRPr="00836100">
        <w:rPr>
          <w:b/>
          <w:bCs/>
          <w:lang w:val="en-GB"/>
        </w:rPr>
        <w:t xml:space="preserve">Executive summary </w:t>
      </w:r>
    </w:p>
    <w:p w14:paraId="47425CBE" w14:textId="77777777" w:rsidR="00A7080F" w:rsidRPr="00836100" w:rsidRDefault="00A7080F">
      <w:pPr>
        <w:pStyle w:val="ListParagraph"/>
        <w:numPr>
          <w:ilvl w:val="0"/>
          <w:numId w:val="1"/>
        </w:numPr>
        <w:snapToGrid w:val="0"/>
        <w:spacing w:before="0" w:after="60" w:line="240" w:lineRule="auto"/>
        <w:ind w:left="567" w:hanging="295"/>
        <w:contextualSpacing w:val="0"/>
        <w:rPr>
          <w:b/>
          <w:bCs/>
          <w:lang w:val="en-GB"/>
        </w:rPr>
      </w:pPr>
      <w:r w:rsidRPr="00836100">
        <w:rPr>
          <w:b/>
          <w:bCs/>
          <w:lang w:val="en-GB"/>
        </w:rPr>
        <w:t>Introduction</w:t>
      </w:r>
    </w:p>
    <w:p w14:paraId="57ECC3E2"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Purpose and objectives of the SEA and the SEA report</w:t>
      </w:r>
    </w:p>
    <w:p w14:paraId="31238D4B"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SEA approach and methodology, methods and tools used: A description of how the assessment was undertaken, any difficulties (such as technical deficiencies, lack of cooperation by key stakeholders) encountered in compiling the required information</w:t>
      </w:r>
      <w:r>
        <w:rPr>
          <w:lang w:val="en-GB"/>
        </w:rPr>
        <w:t>.</w:t>
      </w:r>
    </w:p>
    <w:p w14:paraId="3BF04812"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 xml:space="preserve">A description of gaps in data and information and how these have been addressed in the assessment. </w:t>
      </w:r>
    </w:p>
    <w:p w14:paraId="0C099B81"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Information about the context and the strategic document</w:t>
      </w:r>
      <w:r w:rsidRPr="009D35CE">
        <w:rPr>
          <w:lang w:val="en-GB"/>
        </w:rPr>
        <w:t xml:space="preserve"> / EU support programme subject to SEA (see section 1 above) incl</w:t>
      </w:r>
      <w:r w:rsidRPr="00B24ABE">
        <w:rPr>
          <w:lang w:val="en-GB"/>
        </w:rPr>
        <w:t xml:space="preserve">uding:  </w:t>
      </w:r>
    </w:p>
    <w:p w14:paraId="679F69D8"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 xml:space="preserve">A brief description of the relevant strategic planning process and the entry points for the integration of environment and climate change aspects. </w:t>
      </w:r>
    </w:p>
    <w:p w14:paraId="69AC7655" w14:textId="6BAA5D0A"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 xml:space="preserve">If relevant, a short description of the strategic alternatives being considered in the planning process. (These can be defined by the planning entity/EU </w:t>
      </w:r>
      <w:r w:rsidR="005168B6">
        <w:rPr>
          <w:lang w:val="en-GB"/>
        </w:rPr>
        <w:t>delegation</w:t>
      </w:r>
      <w:r>
        <w:rPr>
          <w:lang w:val="en-GB"/>
        </w:rPr>
        <w:t>,</w:t>
      </w:r>
      <w:r w:rsidRPr="00B24ABE">
        <w:rPr>
          <w:lang w:val="en-GB"/>
        </w:rPr>
        <w:t xml:space="preserve"> proposed by the consultants</w:t>
      </w:r>
      <w:r>
        <w:rPr>
          <w:lang w:val="en-GB"/>
        </w:rPr>
        <w:t>, or preferably developed in a participatory process with relevant stakeholders</w:t>
      </w:r>
      <w:r w:rsidRPr="00B24ABE">
        <w:rPr>
          <w:lang w:val="en-GB"/>
        </w:rPr>
        <w:t>).</w:t>
      </w:r>
    </w:p>
    <w:p w14:paraId="1844862E"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Relationship of the strategic document to other strategic planning documents.</w:t>
      </w:r>
    </w:p>
    <w:p w14:paraId="17DC4A63"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The specific policy</w:t>
      </w:r>
      <w:r>
        <w:rPr>
          <w:lang w:val="en-GB"/>
        </w:rPr>
        <w:t xml:space="preserve"> </w:t>
      </w:r>
      <w:r w:rsidRPr="00B24ABE">
        <w:rPr>
          <w:lang w:val="en-GB"/>
        </w:rPr>
        <w:t>making/planning decisions and processes that will be informed by the SEA.</w:t>
      </w:r>
    </w:p>
    <w:p w14:paraId="791E69DD"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Outcomes of scoping</w:t>
      </w:r>
      <w:r w:rsidRPr="00B24ABE">
        <w:rPr>
          <w:lang w:val="en-GB"/>
        </w:rPr>
        <w:t>, i.e.</w:t>
      </w:r>
      <w:r>
        <w:rPr>
          <w:lang w:val="en-GB"/>
        </w:rPr>
        <w:t>,</w:t>
      </w:r>
      <w:r w:rsidRPr="00B24ABE">
        <w:rPr>
          <w:lang w:val="en-GB"/>
        </w:rPr>
        <w:t xml:space="preserve"> the key environmental and </w:t>
      </w:r>
      <w:r>
        <w:rPr>
          <w:lang w:val="en-GB"/>
        </w:rPr>
        <w:t xml:space="preserve">climate </w:t>
      </w:r>
      <w:r w:rsidRPr="00B24ABE">
        <w:rPr>
          <w:lang w:val="en-GB"/>
        </w:rPr>
        <w:t>change aspects identified and subject of the SEA study, and the results of the scoping consultations (including explanation how comments and suggestions raised during scoping have been addressed in the SEA Report).</w:t>
      </w:r>
    </w:p>
    <w:p w14:paraId="1ED04271"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Environmental and climate baseline</w:t>
      </w:r>
      <w:r w:rsidRPr="00B24ABE">
        <w:rPr>
          <w:lang w:val="en-GB"/>
        </w:rPr>
        <w:t>, focusing on the key environmental and climate components identified during scoping and necessary to understand the key issues identified, as well as on the geographical areas relevant to each variable.</w:t>
      </w:r>
    </w:p>
    <w:p w14:paraId="3691A5F8"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The state of the key environment and climate-related aspects and the likely evolution without implementation of the strategic document (i.e.</w:t>
      </w:r>
      <w:r>
        <w:rPr>
          <w:lang w:val="en-GB"/>
        </w:rPr>
        <w:t>,</w:t>
      </w:r>
      <w:r w:rsidRPr="00B24ABE">
        <w:rPr>
          <w:lang w:val="en-GB"/>
        </w:rPr>
        <w:t xml:space="preserve"> ‘business as usual’ scenario), taking into account the effects of climate change (to the extent that they can be predicted with some reliability), as well as other approved plans and development projects affecting the areas in </w:t>
      </w:r>
      <w:proofErr w:type="gramStart"/>
      <w:r w:rsidRPr="00B24ABE">
        <w:rPr>
          <w:lang w:val="en-GB"/>
        </w:rPr>
        <w:t>question;</w:t>
      </w:r>
      <w:proofErr w:type="gramEnd"/>
    </w:p>
    <w:p w14:paraId="0C98E86C"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 xml:space="preserve">An overview of the key drivers of environmental degradation affecting the quality of the key environmental and climate aspects identified. </w:t>
      </w:r>
    </w:p>
    <w:p w14:paraId="61193C17"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A description of the environmental and climate-related objectives established at national and international levels relevant to the strategic document, as well as relevant EU environmental and climate objectives and criteria (</w:t>
      </w:r>
      <w:r>
        <w:rPr>
          <w:lang w:val="en-GB"/>
        </w:rPr>
        <w:t>e.g.</w:t>
      </w:r>
      <w:r w:rsidRPr="00B24ABE">
        <w:rPr>
          <w:lang w:val="en-GB"/>
        </w:rPr>
        <w:t xml:space="preserve"> excluded activities under Article 29 of the NDICI-GE Regulation, European Green Deal, MIP objectives and indicators).</w:t>
      </w:r>
    </w:p>
    <w:p w14:paraId="20233BCA"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A description of the likely significant effects expected from the implementation of the strategic document and/or EU support programme on the environment and climate</w:t>
      </w:r>
      <w:r w:rsidRPr="00B24ABE">
        <w:rPr>
          <w:lang w:val="en-GB"/>
        </w:rPr>
        <w:t>, including (as identified in the scoping phase) biodiversity, population, human health, fauna, flora, soil, water, air, climatic factors, greenhouse gas emissions, vulnerability to climate change, material assets, cultural heritage, landscape, livelihoods, etc., as well as the interrelationship between the above factors (the likely effects to be examined should include secondary, cumulative, short-, medium- and long-term permanent and temporary, positive and negative effects</w:t>
      </w:r>
      <w:r>
        <w:rPr>
          <w:lang w:val="en-GB"/>
        </w:rPr>
        <w:t>, and possible transboundary effects</w:t>
      </w:r>
      <w:r w:rsidRPr="00B24ABE">
        <w:rPr>
          <w:lang w:val="en-GB"/>
        </w:rPr>
        <w:t>). The causal links (direct and indirect) should be explained.</w:t>
      </w:r>
    </w:p>
    <w:p w14:paraId="02B96A69"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The measures and/or strategic options envisaged to avoid, minimise, offset (in that order of priority) any significant adverse effects on the environment and climate (mitigation and adaptation) of implementing the strategic document</w:t>
      </w:r>
      <w:r w:rsidRPr="00B24ABE">
        <w:rPr>
          <w:lang w:val="en-GB"/>
        </w:rPr>
        <w:t xml:space="preserve">, including possible alternative options to be considered in the strategic document and/or EU support programme. </w:t>
      </w:r>
    </w:p>
    <w:p w14:paraId="1E33F033"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lastRenderedPageBreak/>
        <w:t>A description of measures and/or strategic options to bring about net-gains to environmental sustainability, climate resilience and low carbon development</w:t>
      </w:r>
      <w:r w:rsidRPr="00B24ABE">
        <w:rPr>
          <w:lang w:val="en-GB"/>
        </w:rPr>
        <w:t>, including options to phase-out environmentally harmful subsidies to fossil fuels, and the promotion of nature-based solutions.</w:t>
      </w:r>
    </w:p>
    <w:p w14:paraId="499294E5"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A description of measures and/or strategic options to maximise positive impacts on environment and climate (mitigation and adaptation) expected from the implementation of the strategic document and/or the EU support programme.</w:t>
      </w:r>
      <w:r w:rsidRPr="00B24ABE">
        <w:rPr>
          <w:lang w:val="en-GB"/>
        </w:rPr>
        <w:t xml:space="preserve"> A description of measures and/or strategic options necessary to provide an adequate response to the environment degradation processes and climate change that have an impact on the sector’s performance and the effectiveness of the strategic document and/or the EU support programme.</w:t>
      </w:r>
    </w:p>
    <w:p w14:paraId="1766E0CC"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B24ABE">
        <w:rPr>
          <w:lang w:val="en-GB"/>
        </w:rPr>
        <w:t xml:space="preserve">(If relevant) </w:t>
      </w:r>
      <w:r w:rsidRPr="00836100">
        <w:rPr>
          <w:b/>
          <w:bCs/>
          <w:lang w:val="en-GB"/>
        </w:rPr>
        <w:t>evaluation and comparison of the alternatives of the strategic document from an environmental and climate (mitigation and adaptation) impacts point of view</w:t>
      </w:r>
      <w:r w:rsidRPr="00B24ABE">
        <w:rPr>
          <w:lang w:val="en-GB"/>
        </w:rPr>
        <w:t>. A justified recommendation on the best alternative.</w:t>
      </w:r>
    </w:p>
    <w:p w14:paraId="60CAB026"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A description of the adequacy of the institutional, policy and regulatory framework to address the potential key environmental and climate change challenges and opportunities related to the implementation of the strategic document</w:t>
      </w:r>
      <w:r w:rsidRPr="00B24ABE">
        <w:rPr>
          <w:lang w:val="en-GB"/>
        </w:rPr>
        <w:t>.</w:t>
      </w:r>
      <w:r>
        <w:rPr>
          <w:lang w:val="en-GB"/>
        </w:rPr>
        <w:t xml:space="preserve"> This includes the institutional capacity to perform the required tasks.</w:t>
      </w:r>
    </w:p>
    <w:p w14:paraId="5AD48AEE"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A description of the adequacy of the performance indicators of the strategic document and/or the EU support programme to reflect key environmental and climate concerns</w:t>
      </w:r>
      <w:r w:rsidRPr="00B24ABE">
        <w:rPr>
          <w:lang w:val="en-GB"/>
        </w:rPr>
        <w:t xml:space="preserve">, </w:t>
      </w:r>
      <w:proofErr w:type="gramStart"/>
      <w:r w:rsidRPr="00B24ABE">
        <w:rPr>
          <w:lang w:val="en-GB"/>
        </w:rPr>
        <w:t>taking into account</w:t>
      </w:r>
      <w:proofErr w:type="gramEnd"/>
      <w:r w:rsidRPr="00B24ABE">
        <w:rPr>
          <w:lang w:val="en-GB"/>
        </w:rPr>
        <w:t xml:space="preserve"> potential conflicts with existing environmental and climate objectives and indicators at national, sectoral and EU levels.</w:t>
      </w:r>
    </w:p>
    <w:p w14:paraId="26E2A03C"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A description of proposed indicators and measures to monitor the adverse environmental and climate effects that may arise during the implementation of the strategic document</w:t>
      </w:r>
      <w:r w:rsidRPr="00B24ABE">
        <w:rPr>
          <w:lang w:val="en-GB"/>
        </w:rPr>
        <w:t>, and that should be integrated in the set of performance indicators of the strategic document and/or the EU support programme.</w:t>
      </w:r>
    </w:p>
    <w:p w14:paraId="5F29D41E" w14:textId="77777777" w:rsidR="00A7080F" w:rsidRPr="00B24ABE" w:rsidRDefault="00A7080F">
      <w:pPr>
        <w:pStyle w:val="ListParagraph"/>
        <w:numPr>
          <w:ilvl w:val="0"/>
          <w:numId w:val="1"/>
        </w:numPr>
        <w:snapToGrid w:val="0"/>
        <w:spacing w:before="60" w:after="60" w:line="240" w:lineRule="auto"/>
        <w:ind w:left="567" w:hanging="295"/>
        <w:contextualSpacing w:val="0"/>
        <w:rPr>
          <w:lang w:val="en-GB"/>
        </w:rPr>
      </w:pPr>
      <w:r w:rsidRPr="00836100">
        <w:rPr>
          <w:b/>
          <w:bCs/>
          <w:lang w:val="en-GB"/>
        </w:rPr>
        <w:t>Conclusions</w:t>
      </w:r>
      <w:r w:rsidRPr="00B24ABE">
        <w:rPr>
          <w:lang w:val="en-GB"/>
        </w:rPr>
        <w:t xml:space="preserve"> – a summary of the main recommendations which should be considered in decision-making and implementation of the strategic document and/or the EU support programme:</w:t>
      </w:r>
    </w:p>
    <w:p w14:paraId="62BB772F"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 xml:space="preserve">This section will summarise the key environmental and climate-related issues for the sector, including policy and institutional constraints, challenges and main recommendations. </w:t>
      </w:r>
    </w:p>
    <w:p w14:paraId="4CD842AE"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 xml:space="preserve">Recommendations should be made on how to optimise positive impacts, produce net gains on environment and climate change (mitigation and adaptation), and on how to avoid, mitigate and/or offset adverse effects, adapt to environmental and climate constraints and manage risks. </w:t>
      </w:r>
    </w:p>
    <w:p w14:paraId="1F82E9AD" w14:textId="77777777" w:rsidR="00A7080F" w:rsidRPr="00B24ABE" w:rsidRDefault="00A7080F">
      <w:pPr>
        <w:pStyle w:val="ListParagraph"/>
        <w:numPr>
          <w:ilvl w:val="1"/>
          <w:numId w:val="4"/>
        </w:numPr>
        <w:snapToGrid w:val="0"/>
        <w:spacing w:before="0" w:after="0" w:line="240" w:lineRule="auto"/>
        <w:ind w:left="993"/>
        <w:contextualSpacing w:val="0"/>
        <w:rPr>
          <w:lang w:val="en-GB"/>
        </w:rPr>
      </w:pPr>
      <w:r w:rsidRPr="00B24ABE">
        <w:rPr>
          <w:lang w:val="en-GB"/>
        </w:rPr>
        <w:t>Recommendation can suggest the selection of an alternative (in cases where more than one alternative is envisaged), potential changes in the design of the sector strategic document and/or the EU support programme, implementation and monitoring modalities, or cooperation actions.</w:t>
      </w:r>
    </w:p>
    <w:p w14:paraId="7C4B4ADD" w14:textId="77777777" w:rsidR="00A7080F" w:rsidRDefault="00A7080F">
      <w:pPr>
        <w:pStyle w:val="ListParagraph"/>
        <w:numPr>
          <w:ilvl w:val="1"/>
          <w:numId w:val="4"/>
        </w:numPr>
        <w:snapToGrid w:val="0"/>
        <w:spacing w:before="0" w:after="0" w:line="240" w:lineRule="auto"/>
        <w:ind w:left="993"/>
        <w:contextualSpacing w:val="0"/>
        <w:rPr>
          <w:lang w:val="en-GB"/>
        </w:rPr>
      </w:pPr>
      <w:r w:rsidRPr="00B24ABE">
        <w:rPr>
          <w:lang w:val="en-GB"/>
        </w:rPr>
        <w:t>Recommendations to enhance the sector strategic document should be distinguished from those for the formulation of the EU support. The recommendations for enhancing the sector strategic document should be incorporated in the policy dialogue of the EU with the partner government. Recommendations to the EU for the formulation of its sector support programme may outline complementary measures to address specific weaknesses in the environmental and climate change institutional, legal and policy framework.</w:t>
      </w:r>
    </w:p>
    <w:p w14:paraId="5461102E" w14:textId="77777777" w:rsidR="000C7B35" w:rsidRPr="00B24ABE" w:rsidRDefault="000C7B35" w:rsidP="000C7B35">
      <w:pPr>
        <w:pStyle w:val="ListParagraph"/>
        <w:snapToGrid w:val="0"/>
        <w:spacing w:before="0" w:after="0" w:line="240" w:lineRule="auto"/>
        <w:ind w:left="993"/>
        <w:contextualSpacing w:val="0"/>
        <w:rPr>
          <w:lang w:val="en-GB"/>
        </w:rPr>
      </w:pPr>
    </w:p>
    <w:p w14:paraId="6F840940" w14:textId="77777777" w:rsidR="00A7080F" w:rsidRPr="00B24ABE" w:rsidRDefault="00A7080F">
      <w:pPr>
        <w:pStyle w:val="Heading3"/>
        <w:numPr>
          <w:ilvl w:val="0"/>
          <w:numId w:val="7"/>
        </w:numPr>
        <w:ind w:left="284" w:hanging="284"/>
      </w:pPr>
      <w:bookmarkStart w:id="82" w:name="_Toc137551852"/>
      <w:bookmarkStart w:id="83" w:name="_Toc137552694"/>
      <w:bookmarkStart w:id="84" w:name="_Toc137554069"/>
      <w:bookmarkStart w:id="85" w:name="_Toc138322358"/>
      <w:bookmarkStart w:id="86" w:name="_Toc149498728"/>
      <w:bookmarkStart w:id="87" w:name="_Toc149837356"/>
      <w:bookmarkStart w:id="88" w:name="_Toc157446238"/>
      <w:bookmarkStart w:id="89" w:name="_Toc158904986"/>
      <w:bookmarkStart w:id="90" w:name="_Toc164257590"/>
      <w:bookmarkStart w:id="91" w:name="_Toc170738063"/>
      <w:r>
        <w:t>Organisation of the s</w:t>
      </w:r>
      <w:r w:rsidRPr="00B24ABE">
        <w:t>takeholder consultations and participation</w:t>
      </w:r>
      <w:bookmarkEnd w:id="82"/>
      <w:bookmarkEnd w:id="83"/>
      <w:bookmarkEnd w:id="84"/>
      <w:bookmarkEnd w:id="85"/>
      <w:bookmarkEnd w:id="86"/>
      <w:bookmarkEnd w:id="87"/>
      <w:r>
        <w:t xml:space="preserve"> process</w:t>
      </w:r>
      <w:bookmarkEnd w:id="88"/>
      <w:bookmarkEnd w:id="89"/>
      <w:bookmarkEnd w:id="90"/>
      <w:bookmarkEnd w:id="91"/>
    </w:p>
    <w:p w14:paraId="1A6E779B" w14:textId="77777777" w:rsidR="000C7B35" w:rsidRPr="000C7B35" w:rsidRDefault="00A7080F" w:rsidP="000C7B35">
      <w:pPr>
        <w:snapToGrid w:val="0"/>
        <w:spacing w:line="240" w:lineRule="auto"/>
        <w:rPr>
          <w:lang w:val="en-US"/>
        </w:rPr>
      </w:pPr>
      <w:r w:rsidRPr="00B24ABE">
        <w:t xml:space="preserve">The </w:t>
      </w:r>
      <w:r w:rsidR="000C7B35" w:rsidRPr="000C7B35">
        <w:rPr>
          <w:lang w:val="en-US"/>
        </w:rPr>
        <w:t>objective of stakeholder consultations and participation in SEA is to create a transparent process and provide for early, timely and effective opportunity to all relevant stakeholders so that they can contribute their inputs into the SEA process, when options and alternatives are open.</w:t>
      </w:r>
    </w:p>
    <w:p w14:paraId="1AEF3766" w14:textId="2E5D02AC" w:rsidR="000C7B35" w:rsidRPr="000C7B35" w:rsidRDefault="000C7B35" w:rsidP="000C7B35">
      <w:pPr>
        <w:snapToGrid w:val="0"/>
        <w:spacing w:line="240" w:lineRule="auto"/>
        <w:rPr>
          <w:lang w:val="en-US"/>
        </w:rPr>
      </w:pPr>
      <w:r w:rsidRPr="000C7B35">
        <w:rPr>
          <w:lang w:val="en-US"/>
        </w:rPr>
        <w:t xml:space="preserve">Identify and invite key stakeholders into the process. These should include, but not limited to, environmental and health governmental agencies, climate change related institutions, non-governmental </w:t>
      </w:r>
      <w:proofErr w:type="spellStart"/>
      <w:r w:rsidRPr="000C7B35">
        <w:rPr>
          <w:lang w:val="en-US"/>
        </w:rPr>
        <w:t>organisations</w:t>
      </w:r>
      <w:proofErr w:type="spellEnd"/>
      <w:r w:rsidRPr="000C7B35">
        <w:rPr>
          <w:lang w:val="en-US"/>
        </w:rPr>
        <w:t>, the public and the public concerned, including those groups potentially affected by the implementation of the strategic document. Particular attention should be paid to involving typically less represented groups such as women, indigenous peoples, minority groups and vulnerable groups.</w:t>
      </w:r>
    </w:p>
    <w:p w14:paraId="662CFF79" w14:textId="77777777" w:rsidR="000C7B35" w:rsidRPr="000C7B35" w:rsidRDefault="000C7B35" w:rsidP="000C7B35">
      <w:pPr>
        <w:snapToGrid w:val="0"/>
        <w:spacing w:line="240" w:lineRule="auto"/>
        <w:rPr>
          <w:lang w:val="en-US"/>
        </w:rPr>
      </w:pPr>
      <w:proofErr w:type="spellStart"/>
      <w:r w:rsidRPr="000C7B35">
        <w:rPr>
          <w:lang w:val="en-US"/>
        </w:rPr>
        <w:lastRenderedPageBreak/>
        <w:t>Organise</w:t>
      </w:r>
      <w:proofErr w:type="spellEnd"/>
      <w:r w:rsidRPr="000C7B35">
        <w:rPr>
          <w:lang w:val="en-US"/>
        </w:rPr>
        <w:t xml:space="preserve"> consultations during scoping and the SEA study phase and make the draft scoping report and draft SEA report publicly available for review, by means of written comments and/or preferably by means of consultation workshops. (Think of local language summary translations!)</w:t>
      </w:r>
    </w:p>
    <w:p w14:paraId="6751A05E" w14:textId="77777777" w:rsidR="000C7B35" w:rsidRPr="000C7B35" w:rsidRDefault="000C7B35" w:rsidP="000C7B35">
      <w:pPr>
        <w:snapToGrid w:val="0"/>
        <w:spacing w:line="240" w:lineRule="auto"/>
        <w:rPr>
          <w:lang w:val="en-US"/>
        </w:rPr>
      </w:pPr>
      <w:r w:rsidRPr="000C7B35">
        <w:rPr>
          <w:lang w:val="en-US"/>
        </w:rPr>
        <w:t xml:space="preserve">Collect comments, questions and suggestions – both submitted in writing as well as those verbally raised and report on these in the SEA report. Indicate how the values and attitudes of the public towards the plan or </w:t>
      </w:r>
      <w:proofErr w:type="spellStart"/>
      <w:r w:rsidRPr="000C7B35">
        <w:rPr>
          <w:lang w:val="en-US"/>
        </w:rPr>
        <w:t>programme</w:t>
      </w:r>
      <w:proofErr w:type="spellEnd"/>
      <w:r w:rsidRPr="000C7B35">
        <w:rPr>
          <w:lang w:val="en-US"/>
        </w:rPr>
        <w:t xml:space="preserve"> are reflected in the SEA. Indicate how their involvement during the implementation of the plan or </w:t>
      </w:r>
      <w:proofErr w:type="spellStart"/>
      <w:r w:rsidRPr="000C7B35">
        <w:rPr>
          <w:lang w:val="en-US"/>
        </w:rPr>
        <w:t>programme</w:t>
      </w:r>
      <w:proofErr w:type="spellEnd"/>
      <w:r w:rsidRPr="000C7B35">
        <w:rPr>
          <w:lang w:val="en-US"/>
        </w:rPr>
        <w:t xml:space="preserve"> after its approval is </w:t>
      </w:r>
      <w:proofErr w:type="spellStart"/>
      <w:r w:rsidRPr="000C7B35">
        <w:rPr>
          <w:lang w:val="en-US"/>
        </w:rPr>
        <w:t>organised</w:t>
      </w:r>
      <w:proofErr w:type="spellEnd"/>
      <w:r w:rsidRPr="000C7B35">
        <w:rPr>
          <w:lang w:val="en-US"/>
        </w:rPr>
        <w:t>.</w:t>
      </w:r>
    </w:p>
    <w:p w14:paraId="41822711" w14:textId="77777777" w:rsidR="000C7B35" w:rsidRPr="000C7B35" w:rsidRDefault="000C7B35" w:rsidP="000C7B35">
      <w:pPr>
        <w:snapToGrid w:val="0"/>
        <w:spacing w:line="240" w:lineRule="auto"/>
        <w:rPr>
          <w:lang w:val="en-US"/>
        </w:rPr>
      </w:pPr>
      <w:r w:rsidRPr="000C7B35">
        <w:rPr>
          <w:lang w:val="en-US"/>
        </w:rPr>
        <w:t>Provide suggestions for relevant additional consultations based on stakeholders’ interests and concerns – this may include ad hoc meetings with the vulnerable groups, working sessions with NGOs and CSOs, etc.</w:t>
      </w:r>
    </w:p>
    <w:p w14:paraId="742A4DE4" w14:textId="392186C0" w:rsidR="00A7080F" w:rsidRPr="00B24ABE" w:rsidRDefault="000C7B35" w:rsidP="000C7B35">
      <w:pPr>
        <w:snapToGrid w:val="0"/>
        <w:spacing w:line="240" w:lineRule="auto"/>
      </w:pPr>
      <w:r w:rsidRPr="000C7B35">
        <w:rPr>
          <w:lang w:val="en-US"/>
        </w:rPr>
        <w:t xml:space="preserve">To increase </w:t>
      </w:r>
      <w:proofErr w:type="gramStart"/>
      <w:r w:rsidRPr="000C7B35">
        <w:rPr>
          <w:lang w:val="en-US"/>
        </w:rPr>
        <w:t>effectivity</w:t>
      </w:r>
      <w:proofErr w:type="gramEnd"/>
      <w:r w:rsidRPr="000C7B35">
        <w:rPr>
          <w:lang w:val="en-US"/>
        </w:rPr>
        <w:t xml:space="preserve"> of the consultations, it may be recommended to include an ‘education’ component in the stakeholder engagement process (to promote participation in contexts where the public are not used to engage in participatory processes</w:t>
      </w:r>
      <w:r w:rsidR="00A7080F" w:rsidRPr="00B24ABE">
        <w:t>.</w:t>
      </w:r>
    </w:p>
    <w:p w14:paraId="15FB1592" w14:textId="77777777" w:rsidR="00A7080F" w:rsidRPr="00B24ABE" w:rsidRDefault="00A7080F">
      <w:pPr>
        <w:pStyle w:val="Heading3"/>
        <w:numPr>
          <w:ilvl w:val="0"/>
          <w:numId w:val="7"/>
        </w:numPr>
        <w:ind w:left="284" w:hanging="284"/>
      </w:pPr>
      <w:bookmarkStart w:id="92" w:name="_Toc137551853"/>
      <w:bookmarkStart w:id="93" w:name="_Toc137552695"/>
      <w:bookmarkStart w:id="94" w:name="_Toc137554070"/>
      <w:bookmarkStart w:id="95" w:name="_Toc138322359"/>
      <w:bookmarkStart w:id="96" w:name="_Toc149498729"/>
      <w:bookmarkStart w:id="97" w:name="_Toc149837357"/>
      <w:bookmarkStart w:id="98" w:name="_Toc157446239"/>
      <w:bookmarkStart w:id="99" w:name="_Toc158904987"/>
      <w:bookmarkStart w:id="100" w:name="_Toc164257591"/>
      <w:bookmarkStart w:id="101" w:name="_Toc170738064"/>
      <w:r w:rsidRPr="00B24ABE">
        <w:t>SEA workplan</w:t>
      </w:r>
      <w:bookmarkEnd w:id="92"/>
      <w:bookmarkEnd w:id="93"/>
      <w:bookmarkEnd w:id="94"/>
      <w:bookmarkEnd w:id="95"/>
      <w:bookmarkEnd w:id="96"/>
      <w:bookmarkEnd w:id="97"/>
      <w:bookmarkEnd w:id="98"/>
      <w:bookmarkEnd w:id="99"/>
      <w:bookmarkEnd w:id="100"/>
      <w:bookmarkEnd w:id="101"/>
    </w:p>
    <w:p w14:paraId="5C7751B0" w14:textId="059E68C5" w:rsidR="00A7080F" w:rsidRPr="00A43C47" w:rsidRDefault="000C7B35" w:rsidP="00A7080F">
      <w:pPr>
        <w:snapToGrid w:val="0"/>
        <w:spacing w:line="240" w:lineRule="auto"/>
        <w:rPr>
          <w:i/>
          <w:iCs/>
        </w:rPr>
      </w:pPr>
      <w:r w:rsidRPr="000C7B35">
        <w:rPr>
          <w:i/>
          <w:iCs/>
          <w:lang w:val="en-US"/>
        </w:rPr>
        <w:t xml:space="preserve">The timing below is tentative and may be adjusted following possible changes of the planning process, as well as to the context of the SEA in question. It needs to be </w:t>
      </w:r>
      <w:proofErr w:type="spellStart"/>
      <w:r w:rsidRPr="000C7B35">
        <w:rPr>
          <w:i/>
          <w:iCs/>
          <w:lang w:val="en-US"/>
        </w:rPr>
        <w:t>emphasised</w:t>
      </w:r>
      <w:proofErr w:type="spellEnd"/>
      <w:r w:rsidRPr="000C7B35">
        <w:rPr>
          <w:i/>
          <w:iCs/>
          <w:lang w:val="en-US"/>
        </w:rPr>
        <w:t xml:space="preserve"> that if the SEA is carried out parallel to or integrated in the preparation of the strategic document, the SEA activities should – </w:t>
      </w:r>
      <w:proofErr w:type="gramStart"/>
      <w:r w:rsidRPr="000C7B35">
        <w:rPr>
          <w:i/>
          <w:iCs/>
          <w:lang w:val="en-US"/>
        </w:rPr>
        <w:t>to a large extent – follow</w:t>
      </w:r>
      <w:proofErr w:type="gramEnd"/>
      <w:r w:rsidRPr="000C7B35">
        <w:rPr>
          <w:i/>
          <w:iCs/>
          <w:lang w:val="en-US"/>
        </w:rPr>
        <w:t xml:space="preserve"> the planning steps. Such </w:t>
      </w:r>
      <w:proofErr w:type="gramStart"/>
      <w:r w:rsidRPr="000C7B35">
        <w:rPr>
          <w:i/>
          <w:iCs/>
          <w:lang w:val="en-US"/>
        </w:rPr>
        <w:t>approach</w:t>
      </w:r>
      <w:proofErr w:type="gramEnd"/>
      <w:r w:rsidRPr="000C7B35">
        <w:rPr>
          <w:i/>
          <w:iCs/>
          <w:lang w:val="en-US"/>
        </w:rPr>
        <w:t xml:space="preserve"> </w:t>
      </w:r>
      <w:proofErr w:type="spellStart"/>
      <w:r w:rsidRPr="000C7B35">
        <w:rPr>
          <w:i/>
          <w:iCs/>
          <w:lang w:val="en-US"/>
        </w:rPr>
        <w:t>maximises</w:t>
      </w:r>
      <w:proofErr w:type="spellEnd"/>
      <w:r w:rsidRPr="000C7B35">
        <w:rPr>
          <w:i/>
          <w:iCs/>
          <w:lang w:val="en-US"/>
        </w:rPr>
        <w:t xml:space="preserve"> the chances that the SEA recommendations will be integrated in the strategic document during its preparation</w:t>
      </w:r>
      <w:r w:rsidR="00A7080F" w:rsidRPr="00A43C47">
        <w:rPr>
          <w:i/>
          <w:iCs/>
        </w:rPr>
        <w:t>.</w:t>
      </w:r>
    </w:p>
    <w:p w14:paraId="6885A9FF" w14:textId="77777777" w:rsidR="00A7080F" w:rsidRPr="00B24ABE" w:rsidRDefault="00A7080F" w:rsidP="00A7080F">
      <w:pPr>
        <w:snapToGrid w:val="0"/>
        <w:spacing w:line="240" w:lineRule="auto"/>
      </w:pPr>
      <w:r w:rsidRPr="00B24ABE">
        <w:t>The indicative timing for the SEA is as follows:</w:t>
      </w:r>
    </w:p>
    <w:p w14:paraId="6AD78C67" w14:textId="77777777" w:rsidR="00A7080F" w:rsidRPr="00B24ABE" w:rsidRDefault="00A7080F">
      <w:pPr>
        <w:pStyle w:val="ListParagraph"/>
        <w:numPr>
          <w:ilvl w:val="0"/>
          <w:numId w:val="9"/>
        </w:numPr>
        <w:snapToGrid w:val="0"/>
        <w:spacing w:before="0" w:after="0" w:line="240" w:lineRule="auto"/>
        <w:contextualSpacing w:val="0"/>
        <w:rPr>
          <w:lang w:val="en-GB"/>
        </w:rPr>
      </w:pPr>
      <w:r w:rsidRPr="00B24ABE">
        <w:rPr>
          <w:lang w:val="en-GB"/>
        </w:rPr>
        <w:t>SEA approach, methodology, workplan and stakeholders’ engagement plan: within two weeks after kick-off</w:t>
      </w:r>
    </w:p>
    <w:p w14:paraId="6A32336B" w14:textId="77777777" w:rsidR="00A7080F" w:rsidRPr="00B24ABE" w:rsidRDefault="00A7080F">
      <w:pPr>
        <w:pStyle w:val="ListParagraph"/>
        <w:numPr>
          <w:ilvl w:val="0"/>
          <w:numId w:val="9"/>
        </w:numPr>
        <w:snapToGrid w:val="0"/>
        <w:spacing w:before="0" w:after="0" w:line="240" w:lineRule="auto"/>
        <w:contextualSpacing w:val="0"/>
        <w:rPr>
          <w:lang w:val="en-GB"/>
        </w:rPr>
      </w:pPr>
      <w:r w:rsidRPr="00B24ABE">
        <w:rPr>
          <w:lang w:val="en-GB"/>
        </w:rPr>
        <w:t>Draft scoping report: within two months after initiating the work on SEA</w:t>
      </w:r>
    </w:p>
    <w:p w14:paraId="22EB6E35" w14:textId="77777777" w:rsidR="00A7080F" w:rsidRPr="00B24ABE" w:rsidRDefault="00A7080F">
      <w:pPr>
        <w:pStyle w:val="ListParagraph"/>
        <w:numPr>
          <w:ilvl w:val="0"/>
          <w:numId w:val="9"/>
        </w:numPr>
        <w:snapToGrid w:val="0"/>
        <w:spacing w:before="0" w:after="0" w:line="240" w:lineRule="auto"/>
        <w:contextualSpacing w:val="0"/>
        <w:rPr>
          <w:lang w:val="en-GB"/>
        </w:rPr>
      </w:pPr>
      <w:r w:rsidRPr="00B24ABE">
        <w:rPr>
          <w:lang w:val="en-GB"/>
        </w:rPr>
        <w:t>Stakeholders’ workshop: within two weeks after completing the draft scoping report</w:t>
      </w:r>
    </w:p>
    <w:p w14:paraId="3CEFB508" w14:textId="77777777" w:rsidR="00A7080F" w:rsidRPr="00B24ABE" w:rsidRDefault="00A7080F">
      <w:pPr>
        <w:pStyle w:val="ListParagraph"/>
        <w:numPr>
          <w:ilvl w:val="0"/>
          <w:numId w:val="9"/>
        </w:numPr>
        <w:snapToGrid w:val="0"/>
        <w:spacing w:before="0" w:after="0" w:line="240" w:lineRule="auto"/>
        <w:contextualSpacing w:val="0"/>
        <w:rPr>
          <w:lang w:val="en-GB"/>
        </w:rPr>
      </w:pPr>
      <w:r w:rsidRPr="00B24ABE">
        <w:rPr>
          <w:lang w:val="en-GB"/>
        </w:rPr>
        <w:t>Final scoping report: within two weeks after receiving comments on the draft report</w:t>
      </w:r>
    </w:p>
    <w:p w14:paraId="5300BC36" w14:textId="77777777" w:rsidR="00A7080F" w:rsidRPr="00B24ABE" w:rsidRDefault="00A7080F">
      <w:pPr>
        <w:pStyle w:val="ListParagraph"/>
        <w:numPr>
          <w:ilvl w:val="0"/>
          <w:numId w:val="9"/>
        </w:numPr>
        <w:snapToGrid w:val="0"/>
        <w:spacing w:before="0" w:after="0" w:line="240" w:lineRule="auto"/>
        <w:contextualSpacing w:val="0"/>
        <w:rPr>
          <w:lang w:val="en-GB"/>
        </w:rPr>
      </w:pPr>
      <w:r w:rsidRPr="00B24ABE">
        <w:rPr>
          <w:lang w:val="en-GB"/>
        </w:rPr>
        <w:t xml:space="preserve">Draft SEA report: within 4 months after approval of the scoping report </w:t>
      </w:r>
    </w:p>
    <w:p w14:paraId="5E414852" w14:textId="77777777" w:rsidR="00A7080F" w:rsidRPr="00B24ABE" w:rsidRDefault="00A7080F">
      <w:pPr>
        <w:pStyle w:val="ListParagraph"/>
        <w:numPr>
          <w:ilvl w:val="0"/>
          <w:numId w:val="9"/>
        </w:numPr>
        <w:snapToGrid w:val="0"/>
        <w:spacing w:before="0" w:after="0" w:line="240" w:lineRule="auto"/>
        <w:contextualSpacing w:val="0"/>
        <w:rPr>
          <w:lang w:val="en-GB"/>
        </w:rPr>
      </w:pPr>
      <w:r w:rsidRPr="00B24ABE">
        <w:rPr>
          <w:lang w:val="en-GB"/>
        </w:rPr>
        <w:t>Consultations on the draft strategic document and the draft SEA report (as relevant, according to the context of the SEA): within 2 months after publishing the draft strategic document and the draft SEA report</w:t>
      </w:r>
    </w:p>
    <w:p w14:paraId="0980506D" w14:textId="77777777" w:rsidR="00A7080F" w:rsidRPr="00B24ABE" w:rsidRDefault="00A7080F">
      <w:pPr>
        <w:pStyle w:val="ListParagraph"/>
        <w:numPr>
          <w:ilvl w:val="0"/>
          <w:numId w:val="9"/>
        </w:numPr>
        <w:snapToGrid w:val="0"/>
        <w:spacing w:before="0" w:after="160" w:line="240" w:lineRule="auto"/>
        <w:contextualSpacing w:val="0"/>
        <w:rPr>
          <w:lang w:val="en-GB"/>
        </w:rPr>
      </w:pPr>
      <w:r w:rsidRPr="00B24ABE">
        <w:rPr>
          <w:lang w:val="en-GB"/>
        </w:rPr>
        <w:t>Final SEA report: within 1 month after the consultations on the draft SEA report</w:t>
      </w:r>
    </w:p>
    <w:p w14:paraId="1A9A28E3" w14:textId="77777777" w:rsidR="00A7080F" w:rsidRPr="00B24ABE" w:rsidRDefault="00A7080F" w:rsidP="00A7080F">
      <w:pPr>
        <w:snapToGrid w:val="0"/>
        <w:spacing w:line="240" w:lineRule="auto"/>
      </w:pPr>
      <w:r w:rsidRPr="00B24ABE">
        <w:t>The consultants must adjust and provide their detailed workplan.</w:t>
      </w:r>
    </w:p>
    <w:p w14:paraId="271F444A" w14:textId="77777777" w:rsidR="00A7080F" w:rsidRPr="00B24ABE" w:rsidRDefault="00A7080F" w:rsidP="00A7080F">
      <w:pPr>
        <w:snapToGrid w:val="0"/>
        <w:spacing w:line="240" w:lineRule="auto"/>
        <w:rPr>
          <w:i/>
          <w:iCs/>
        </w:rPr>
      </w:pPr>
      <w:r w:rsidRPr="00B24ABE">
        <w:rPr>
          <w:i/>
          <w:iCs/>
        </w:rPr>
        <w:t>Normally at least two missions should be foreseen, one for the scoping phase and another for the SEA study phase. Provision should be included for site visits</w:t>
      </w:r>
      <w:r>
        <w:rPr>
          <w:i/>
          <w:iCs/>
        </w:rPr>
        <w:t xml:space="preserve"> and attendance to consultation workshops</w:t>
      </w:r>
      <w:r w:rsidRPr="00B24ABE">
        <w:rPr>
          <w:i/>
          <w:iCs/>
        </w:rPr>
        <w:t>.</w:t>
      </w:r>
    </w:p>
    <w:p w14:paraId="758B8AB8" w14:textId="77777777" w:rsidR="00A7080F" w:rsidRPr="00B24ABE" w:rsidRDefault="00A7080F">
      <w:pPr>
        <w:pStyle w:val="Heading3"/>
        <w:numPr>
          <w:ilvl w:val="0"/>
          <w:numId w:val="7"/>
        </w:numPr>
        <w:ind w:left="284" w:hanging="284"/>
      </w:pPr>
      <w:bookmarkStart w:id="102" w:name="_Toc137551854"/>
      <w:bookmarkStart w:id="103" w:name="_Toc137552696"/>
      <w:bookmarkStart w:id="104" w:name="_Toc137554071"/>
      <w:bookmarkStart w:id="105" w:name="_Toc138322360"/>
      <w:bookmarkStart w:id="106" w:name="_Toc149498730"/>
      <w:bookmarkStart w:id="107" w:name="_Toc149837358"/>
      <w:bookmarkStart w:id="108" w:name="_Toc157446240"/>
      <w:bookmarkStart w:id="109" w:name="_Toc158904988"/>
      <w:bookmarkStart w:id="110" w:name="_Toc164257592"/>
      <w:bookmarkStart w:id="111" w:name="_Toc170738065"/>
      <w:r w:rsidRPr="00B24ABE">
        <w:t>Expertise required</w:t>
      </w:r>
      <w:bookmarkEnd w:id="102"/>
      <w:bookmarkEnd w:id="103"/>
      <w:bookmarkEnd w:id="104"/>
      <w:bookmarkEnd w:id="105"/>
      <w:bookmarkEnd w:id="106"/>
      <w:bookmarkEnd w:id="107"/>
      <w:bookmarkEnd w:id="108"/>
      <w:bookmarkEnd w:id="109"/>
      <w:bookmarkEnd w:id="110"/>
      <w:bookmarkEnd w:id="111"/>
    </w:p>
    <w:p w14:paraId="0555ABC2"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team will consist of </w:t>
      </w:r>
      <w:r w:rsidRPr="00B24ABE">
        <w:rPr>
          <w:rFonts w:ascii="Calibri" w:hAnsi="Calibri" w:cs="Calibri"/>
          <w:i/>
          <w:iCs/>
        </w:rPr>
        <w:t xml:space="preserve">(number) </w:t>
      </w:r>
      <w:r w:rsidRPr="00B24ABE">
        <w:rPr>
          <w:rFonts w:ascii="Calibri" w:hAnsi="Calibri" w:cs="Calibri"/>
        </w:rPr>
        <w:t xml:space="preserve">experts: a Team Leader (senior expert), </w:t>
      </w:r>
      <w:r w:rsidRPr="00B24ABE">
        <w:rPr>
          <w:rFonts w:ascii="Calibri" w:hAnsi="Calibri" w:cs="Calibri"/>
          <w:i/>
          <w:iCs/>
        </w:rPr>
        <w:t xml:space="preserve">(number) </w:t>
      </w:r>
      <w:r w:rsidRPr="00B24ABE">
        <w:rPr>
          <w:rFonts w:ascii="Calibri" w:hAnsi="Calibri" w:cs="Calibri"/>
        </w:rPr>
        <w:t xml:space="preserve">sectoral, environmental and climate experts (senior and/or junior) and </w:t>
      </w:r>
      <w:r w:rsidRPr="00B24ABE">
        <w:rPr>
          <w:rFonts w:ascii="Calibri" w:hAnsi="Calibri" w:cs="Calibri"/>
          <w:i/>
          <w:iCs/>
        </w:rPr>
        <w:t xml:space="preserve">(complete as necessary, </w:t>
      </w:r>
      <w:r>
        <w:rPr>
          <w:rFonts w:ascii="Calibri" w:hAnsi="Calibri" w:cs="Calibri"/>
          <w:i/>
          <w:iCs/>
        </w:rPr>
        <w:t>e.g.</w:t>
      </w:r>
      <w:r w:rsidRPr="00B24ABE">
        <w:rPr>
          <w:rFonts w:ascii="Calibri" w:hAnsi="Calibri" w:cs="Calibri"/>
          <w:i/>
          <w:iCs/>
        </w:rPr>
        <w:t xml:space="preserve"> an expert on social impacts, on a specific environmental issue, on GIS mapping, or on public consultations)</w:t>
      </w:r>
      <w:r w:rsidRPr="00B24ABE">
        <w:rPr>
          <w:rFonts w:ascii="Calibri" w:hAnsi="Calibri" w:cs="Calibri"/>
        </w:rPr>
        <w:t>.</w:t>
      </w:r>
    </w:p>
    <w:p w14:paraId="42AAEF25"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The Team Leader must have, at least, a master’s degree in a relevant area, such as environment, climate change or natural resources management with at least 10 years of relevant professional experience. (S)he will have proven experience in the preparation of SEAs, preferably in the context of EU development cooperation. (S)he must have experience as team leader in at least 3 assignments, preferably one of which for an SEA. (S)he must have good knowledge of the EU interventions cycle. Experience in the sector, country and region will be an asset.</w:t>
      </w:r>
    </w:p>
    <w:p w14:paraId="32A524BA" w14:textId="4ED69CC5"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sectoral, environmental and/or climate experts </w:t>
      </w:r>
      <w:r w:rsidRPr="00B24ABE">
        <w:rPr>
          <w:rFonts w:ascii="Calibri" w:hAnsi="Calibri" w:cs="Calibri"/>
          <w:i/>
          <w:iCs/>
        </w:rPr>
        <w:t xml:space="preserve">(specify sector, or theme) </w:t>
      </w:r>
      <w:r w:rsidRPr="00B24ABE">
        <w:rPr>
          <w:rFonts w:ascii="Calibri" w:hAnsi="Calibri" w:cs="Calibri"/>
        </w:rPr>
        <w:t xml:space="preserve">must have, at least, a master’s degree in a relevant area </w:t>
      </w:r>
      <w:r w:rsidRPr="00B24ABE">
        <w:rPr>
          <w:rFonts w:ascii="Calibri" w:hAnsi="Calibri" w:cs="Calibri"/>
          <w:i/>
          <w:iCs/>
        </w:rPr>
        <w:t xml:space="preserve">(specify) </w:t>
      </w:r>
      <w:r w:rsidRPr="00B24ABE">
        <w:rPr>
          <w:rFonts w:ascii="Calibri" w:hAnsi="Calibri" w:cs="Calibri"/>
        </w:rPr>
        <w:t xml:space="preserve">with at least 10 years of relevant professional experience in </w:t>
      </w:r>
      <w:r w:rsidRPr="00B24ABE">
        <w:rPr>
          <w:rFonts w:ascii="Calibri" w:hAnsi="Calibri" w:cs="Calibri"/>
          <w:i/>
          <w:iCs/>
        </w:rPr>
        <w:t>(specify subject areas)</w:t>
      </w:r>
      <w:r w:rsidRPr="00B24ABE">
        <w:rPr>
          <w:rFonts w:ascii="Calibri" w:hAnsi="Calibri" w:cs="Calibri"/>
        </w:rPr>
        <w:t xml:space="preserve">. (S)he must have proven experience in </w:t>
      </w:r>
      <w:r w:rsidRPr="00B24ABE">
        <w:rPr>
          <w:rFonts w:ascii="Calibri" w:hAnsi="Calibri" w:cs="Calibri"/>
          <w:i/>
          <w:iCs/>
        </w:rPr>
        <w:t>(specify country or region)</w:t>
      </w:r>
      <w:r w:rsidRPr="00B24ABE">
        <w:rPr>
          <w:rFonts w:ascii="Calibri" w:hAnsi="Calibri" w:cs="Calibri"/>
        </w:rPr>
        <w:t xml:space="preserve">. Participation in </w:t>
      </w:r>
      <w:r w:rsidR="00EE5644">
        <w:rPr>
          <w:rFonts w:ascii="Calibri" w:hAnsi="Calibri" w:cs="Calibri"/>
        </w:rPr>
        <w:t>Strategic Environmental Assessment</w:t>
      </w:r>
      <w:r w:rsidRPr="00B24ABE">
        <w:rPr>
          <w:rFonts w:ascii="Calibri" w:hAnsi="Calibri" w:cs="Calibri"/>
        </w:rPr>
        <w:t>s and knowledge of the EU interventions cycle will be an asset.</w:t>
      </w:r>
    </w:p>
    <w:p w14:paraId="047EB596"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All experts must be fluent in </w:t>
      </w:r>
      <w:r w:rsidRPr="00B24ABE">
        <w:rPr>
          <w:rFonts w:ascii="Calibri" w:hAnsi="Calibri" w:cs="Calibri"/>
          <w:i/>
          <w:iCs/>
        </w:rPr>
        <w:t xml:space="preserve">(English, French, Spanish, Portuguese) </w:t>
      </w:r>
      <w:r w:rsidRPr="00B24ABE">
        <w:rPr>
          <w:rFonts w:ascii="Calibri" w:hAnsi="Calibri" w:cs="Calibri"/>
        </w:rPr>
        <w:t xml:space="preserve">and at least one expert must be fluent in </w:t>
      </w:r>
      <w:r w:rsidRPr="00B24ABE">
        <w:rPr>
          <w:rFonts w:ascii="Calibri" w:hAnsi="Calibri" w:cs="Calibri"/>
          <w:i/>
          <w:iCs/>
        </w:rPr>
        <w:t>(specify local language, if relevant)</w:t>
      </w:r>
      <w:r w:rsidRPr="00B24ABE">
        <w:rPr>
          <w:rFonts w:ascii="Calibri" w:hAnsi="Calibri" w:cs="Calibri"/>
        </w:rPr>
        <w:t>.</w:t>
      </w:r>
    </w:p>
    <w:p w14:paraId="0C08EFF2" w14:textId="77777777" w:rsidR="00A7080F" w:rsidRPr="00B24ABE" w:rsidRDefault="00A7080F" w:rsidP="00A7080F">
      <w:pPr>
        <w:autoSpaceDE w:val="0"/>
        <w:autoSpaceDN w:val="0"/>
        <w:adjustRightInd w:val="0"/>
        <w:snapToGrid w:val="0"/>
        <w:spacing w:line="240" w:lineRule="auto"/>
        <w:rPr>
          <w:rFonts w:ascii="Calibri" w:hAnsi="Calibri" w:cs="Calibri"/>
          <w:i/>
          <w:iCs/>
        </w:rPr>
      </w:pPr>
      <w:r w:rsidRPr="00B24ABE">
        <w:rPr>
          <w:rFonts w:ascii="Calibri" w:hAnsi="Calibri" w:cs="Calibri"/>
          <w:i/>
          <w:iCs/>
        </w:rPr>
        <w:lastRenderedPageBreak/>
        <w:t>(This section is to be adapted and completed based on the required expertise)</w:t>
      </w:r>
    </w:p>
    <w:p w14:paraId="4DE9D015" w14:textId="77777777" w:rsidR="00A7080F" w:rsidRPr="00B24ABE" w:rsidRDefault="00A7080F" w:rsidP="00A7080F">
      <w:pPr>
        <w:autoSpaceDE w:val="0"/>
        <w:autoSpaceDN w:val="0"/>
        <w:adjustRightInd w:val="0"/>
        <w:snapToGrid w:val="0"/>
        <w:spacing w:line="240" w:lineRule="auto"/>
        <w:rPr>
          <w:rFonts w:ascii="Calibri" w:hAnsi="Calibri" w:cs="Calibri"/>
          <w:i/>
          <w:iCs/>
        </w:rPr>
      </w:pPr>
      <w:r w:rsidRPr="00B24ABE">
        <w:rPr>
          <w:rFonts w:ascii="Calibri" w:hAnsi="Calibri" w:cs="Calibri"/>
        </w:rPr>
        <w:t xml:space="preserve">For each expert proposed, a </w:t>
      </w:r>
      <w:r w:rsidRPr="00B24ABE">
        <w:rPr>
          <w:rFonts w:ascii="Calibri" w:hAnsi="Calibri" w:cs="Calibri"/>
          <w:i/>
          <w:iCs/>
        </w:rPr>
        <w:t xml:space="preserve">curriculum vitae </w:t>
      </w:r>
      <w:r w:rsidRPr="00B24ABE">
        <w:rPr>
          <w:rFonts w:ascii="Calibri" w:hAnsi="Calibri" w:cs="Calibri"/>
        </w:rPr>
        <w:t xml:space="preserve">must be provided or no more than </w:t>
      </w:r>
      <w:r w:rsidRPr="00B24ABE">
        <w:rPr>
          <w:rFonts w:ascii="Calibri" w:hAnsi="Calibri" w:cs="Calibri"/>
          <w:i/>
          <w:iCs/>
        </w:rPr>
        <w:t xml:space="preserve">(four) </w:t>
      </w:r>
      <w:r w:rsidRPr="00B24ABE">
        <w:rPr>
          <w:rFonts w:ascii="Calibri" w:hAnsi="Calibri" w:cs="Calibri"/>
        </w:rPr>
        <w:t>pages, setting out the relevant qualifications and experience.</w:t>
      </w:r>
      <w:r w:rsidRPr="00B24ABE">
        <w:rPr>
          <w:rFonts w:ascii="Calibri" w:hAnsi="Calibri" w:cs="Calibri"/>
          <w:i/>
          <w:iCs/>
        </w:rPr>
        <w:t xml:space="preserve"> </w:t>
      </w:r>
    </w:p>
    <w:p w14:paraId="1DE0A62C" w14:textId="77777777" w:rsidR="00A7080F" w:rsidRPr="00B24ABE" w:rsidRDefault="00A7080F">
      <w:pPr>
        <w:pStyle w:val="Heading3"/>
        <w:numPr>
          <w:ilvl w:val="0"/>
          <w:numId w:val="7"/>
        </w:numPr>
        <w:ind w:left="284" w:hanging="284"/>
      </w:pPr>
      <w:bookmarkStart w:id="112" w:name="_Toc137551855"/>
      <w:bookmarkStart w:id="113" w:name="_Toc137552697"/>
      <w:bookmarkStart w:id="114" w:name="_Toc137554072"/>
      <w:bookmarkStart w:id="115" w:name="_Toc138322361"/>
      <w:bookmarkStart w:id="116" w:name="_Toc149498731"/>
      <w:bookmarkStart w:id="117" w:name="_Toc149837359"/>
      <w:bookmarkStart w:id="118" w:name="_Toc157446241"/>
      <w:bookmarkStart w:id="119" w:name="_Toc158904989"/>
      <w:bookmarkStart w:id="120" w:name="_Toc164257593"/>
      <w:bookmarkStart w:id="121" w:name="_Toc170738066"/>
      <w:r w:rsidRPr="00B24ABE">
        <w:t>Reporting</w:t>
      </w:r>
      <w:bookmarkEnd w:id="112"/>
      <w:bookmarkEnd w:id="113"/>
      <w:bookmarkEnd w:id="114"/>
      <w:bookmarkEnd w:id="115"/>
      <w:bookmarkEnd w:id="116"/>
      <w:bookmarkEnd w:id="117"/>
      <w:bookmarkEnd w:id="118"/>
      <w:bookmarkEnd w:id="119"/>
      <w:bookmarkEnd w:id="120"/>
      <w:bookmarkEnd w:id="121"/>
    </w:p>
    <w:p w14:paraId="75F404BA" w14:textId="4394F6CD" w:rsidR="000C7B35" w:rsidRPr="000C7B35" w:rsidRDefault="00A7080F" w:rsidP="000C7B35">
      <w:pPr>
        <w:adjustRightInd w:val="0"/>
        <w:snapToGrid w:val="0"/>
        <w:rPr>
          <w:rFonts w:ascii="Calibri" w:hAnsi="Calibri" w:cs="Calibri"/>
          <w:lang w:val="en-US"/>
        </w:rPr>
      </w:pPr>
      <w:r w:rsidRPr="00B24ABE">
        <w:rPr>
          <w:rFonts w:ascii="Calibri" w:hAnsi="Calibri" w:cs="Calibri"/>
        </w:rPr>
        <w:t xml:space="preserve">All </w:t>
      </w:r>
      <w:r w:rsidR="000C7B35" w:rsidRPr="000C7B35">
        <w:rPr>
          <w:rFonts w:ascii="Calibri" w:hAnsi="Calibri" w:cs="Calibri"/>
          <w:lang w:val="en-US"/>
        </w:rPr>
        <w:t>reports should be submitted in electronic format (Microsoft Word).</w:t>
      </w:r>
    </w:p>
    <w:p w14:paraId="2D664790" w14:textId="77777777" w:rsidR="000C7B35" w:rsidRPr="000C7B35" w:rsidRDefault="000C7B35" w:rsidP="000C7B35">
      <w:pPr>
        <w:autoSpaceDE w:val="0"/>
        <w:autoSpaceDN w:val="0"/>
        <w:adjustRightInd w:val="0"/>
        <w:snapToGrid w:val="0"/>
        <w:spacing w:line="240" w:lineRule="auto"/>
        <w:rPr>
          <w:rFonts w:ascii="Calibri" w:hAnsi="Calibri" w:cs="Calibri"/>
          <w:lang w:val="en-US"/>
        </w:rPr>
      </w:pPr>
      <w:r w:rsidRPr="000C7B35">
        <w:rPr>
          <w:rFonts w:ascii="Calibri" w:hAnsi="Calibri" w:cs="Calibri"/>
          <w:lang w:val="en-US"/>
        </w:rPr>
        <w:t xml:space="preserve">The EU will provide compiled feedback to the consultants on the different </w:t>
      </w:r>
      <w:proofErr w:type="gramStart"/>
      <w:r w:rsidRPr="000C7B35">
        <w:rPr>
          <w:rFonts w:ascii="Calibri" w:hAnsi="Calibri" w:cs="Calibri"/>
          <w:lang w:val="en-US"/>
        </w:rPr>
        <w:t>deliverables</w:t>
      </w:r>
      <w:proofErr w:type="gramEnd"/>
      <w:r w:rsidRPr="000C7B35">
        <w:rPr>
          <w:rFonts w:ascii="Calibri" w:hAnsi="Calibri" w:cs="Calibri"/>
          <w:lang w:val="en-US"/>
        </w:rPr>
        <w:t xml:space="preserve"> no later than two weeks (one week for the SEA approach, methodology and stakeholders engagement plan) after their delivery.</w:t>
      </w:r>
    </w:p>
    <w:p w14:paraId="4FA8E93A" w14:textId="065F90E6" w:rsidR="00A7080F" w:rsidRPr="000C7B35" w:rsidRDefault="000C7B35" w:rsidP="000C7B35">
      <w:pPr>
        <w:autoSpaceDE w:val="0"/>
        <w:autoSpaceDN w:val="0"/>
        <w:adjustRightInd w:val="0"/>
        <w:snapToGrid w:val="0"/>
        <w:spacing w:line="240" w:lineRule="auto"/>
        <w:rPr>
          <w:rFonts w:ascii="Calibri" w:hAnsi="Calibri" w:cs="Calibri"/>
          <w:i/>
          <w:lang w:val="en-US"/>
        </w:rPr>
      </w:pPr>
      <w:r w:rsidRPr="000C7B35">
        <w:rPr>
          <w:rFonts w:ascii="Calibri" w:hAnsi="Calibri" w:cs="Calibri"/>
          <w:i/>
          <w:lang w:val="en-US"/>
        </w:rPr>
        <w:t xml:space="preserve">Requirements for hard copies should be avoided, otherwise they should be kept to a </w:t>
      </w:r>
      <w:proofErr w:type="spellStart"/>
      <w:r w:rsidRPr="000C7B35">
        <w:rPr>
          <w:rFonts w:ascii="Calibri" w:hAnsi="Calibri" w:cs="Calibri"/>
          <w:i/>
          <w:lang w:val="en-US"/>
        </w:rPr>
        <w:t>minumum</w:t>
      </w:r>
      <w:proofErr w:type="spellEnd"/>
      <w:r w:rsidRPr="000C7B35">
        <w:rPr>
          <w:rFonts w:ascii="Calibri" w:hAnsi="Calibri" w:cs="Calibri"/>
          <w:i/>
          <w:lang w:val="en-US"/>
        </w:rPr>
        <w:t>, in which</w:t>
      </w:r>
      <w:r>
        <w:rPr>
          <w:rFonts w:ascii="Calibri" w:hAnsi="Calibri" w:cs="Calibri"/>
          <w:i/>
          <w:lang w:val="en-US"/>
        </w:rPr>
        <w:t xml:space="preserve"> </w:t>
      </w:r>
      <w:r w:rsidRPr="000C7B35">
        <w:rPr>
          <w:rFonts w:ascii="Calibri" w:hAnsi="Calibri" w:cs="Calibri"/>
          <w:i/>
          <w:lang w:val="en-US"/>
        </w:rPr>
        <w:t>case they are to be printed double-sided on recycled or certified paper (for sustainable forestry)</w:t>
      </w:r>
      <w:r w:rsidR="00A7080F" w:rsidRPr="00B24ABE">
        <w:rPr>
          <w:rFonts w:ascii="Calibri" w:hAnsi="Calibri" w:cs="Calibri"/>
          <w:i/>
          <w:iCs/>
        </w:rPr>
        <w:t>.</w:t>
      </w:r>
    </w:p>
    <w:p w14:paraId="1E082439" w14:textId="77777777" w:rsidR="00A7080F" w:rsidRPr="00B24ABE" w:rsidRDefault="00A7080F">
      <w:pPr>
        <w:pStyle w:val="Heading3"/>
        <w:numPr>
          <w:ilvl w:val="0"/>
          <w:numId w:val="7"/>
        </w:numPr>
        <w:ind w:left="284" w:hanging="284"/>
      </w:pPr>
      <w:bookmarkStart w:id="122" w:name="_Toc137551856"/>
      <w:bookmarkStart w:id="123" w:name="_Toc137552698"/>
      <w:bookmarkStart w:id="124" w:name="_Toc137554073"/>
      <w:bookmarkStart w:id="125" w:name="_Toc138322362"/>
      <w:bookmarkStart w:id="126" w:name="_Toc149498732"/>
      <w:bookmarkStart w:id="127" w:name="_Toc149837360"/>
      <w:bookmarkStart w:id="128" w:name="_Toc157446242"/>
      <w:bookmarkStart w:id="129" w:name="_Toc158904990"/>
      <w:bookmarkStart w:id="130" w:name="_Toc164257594"/>
      <w:bookmarkStart w:id="131" w:name="_Toc170738067"/>
      <w:r w:rsidRPr="00B24ABE">
        <w:t>Technical proposal</w:t>
      </w:r>
      <w:bookmarkEnd w:id="122"/>
      <w:bookmarkEnd w:id="123"/>
      <w:bookmarkEnd w:id="124"/>
      <w:bookmarkEnd w:id="125"/>
      <w:bookmarkEnd w:id="126"/>
      <w:bookmarkEnd w:id="127"/>
      <w:bookmarkEnd w:id="128"/>
      <w:bookmarkEnd w:id="129"/>
      <w:bookmarkEnd w:id="130"/>
      <w:bookmarkEnd w:id="131"/>
    </w:p>
    <w:p w14:paraId="3962637E"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The technical proposal must include an understanding of the Terms of Reference and a description of the following:</w:t>
      </w:r>
    </w:p>
    <w:p w14:paraId="0E8FA8E0" w14:textId="77777777" w:rsidR="00A7080F" w:rsidRPr="00116C44" w:rsidRDefault="00A7080F">
      <w:pPr>
        <w:pStyle w:val="ListParagraph"/>
        <w:numPr>
          <w:ilvl w:val="0"/>
          <w:numId w:val="10"/>
        </w:numPr>
        <w:snapToGrid w:val="0"/>
        <w:spacing w:after="0" w:line="240" w:lineRule="auto"/>
        <w:ind w:left="709"/>
        <w:rPr>
          <w:lang w:val="en-US"/>
        </w:rPr>
      </w:pPr>
      <w:r w:rsidRPr="00116C44">
        <w:rPr>
          <w:lang w:val="en-US"/>
        </w:rPr>
        <w:t>Proposed general approach to SEA including:</w:t>
      </w:r>
    </w:p>
    <w:p w14:paraId="384E5385" w14:textId="77777777" w:rsidR="00A7080F" w:rsidRPr="00B24ABE" w:rsidRDefault="00A7080F">
      <w:pPr>
        <w:pStyle w:val="ListParagraph"/>
        <w:numPr>
          <w:ilvl w:val="1"/>
          <w:numId w:val="5"/>
        </w:numPr>
        <w:autoSpaceDE w:val="0"/>
        <w:autoSpaceDN w:val="0"/>
        <w:adjustRightInd w:val="0"/>
        <w:snapToGrid w:val="0"/>
        <w:spacing w:before="0" w:after="0" w:line="240" w:lineRule="auto"/>
        <w:ind w:left="1134"/>
        <w:contextualSpacing w:val="0"/>
        <w:rPr>
          <w:rFonts w:ascii="Calibri" w:hAnsi="Calibri" w:cs="Calibri"/>
          <w:lang w:val="en-GB"/>
        </w:rPr>
      </w:pPr>
      <w:r w:rsidRPr="00B24ABE">
        <w:rPr>
          <w:rFonts w:ascii="Calibri" w:hAnsi="Calibri" w:cs="Calibri"/>
          <w:lang w:val="en-GB"/>
        </w:rPr>
        <w:t>An outline of the proposed SEA approach and methodology to be applied, specification of models and analytical methods proposed to be used, etc.</w:t>
      </w:r>
    </w:p>
    <w:p w14:paraId="2FE6ED5C" w14:textId="47F39448" w:rsidR="00A7080F" w:rsidRPr="00B24ABE" w:rsidRDefault="00A7080F">
      <w:pPr>
        <w:pStyle w:val="ListParagraph"/>
        <w:numPr>
          <w:ilvl w:val="1"/>
          <w:numId w:val="5"/>
        </w:numPr>
        <w:autoSpaceDE w:val="0"/>
        <w:autoSpaceDN w:val="0"/>
        <w:adjustRightInd w:val="0"/>
        <w:snapToGrid w:val="0"/>
        <w:spacing w:before="0" w:after="0" w:line="240" w:lineRule="auto"/>
        <w:ind w:left="1134"/>
        <w:contextualSpacing w:val="0"/>
        <w:rPr>
          <w:rFonts w:ascii="Calibri" w:hAnsi="Calibri" w:cs="Calibri"/>
          <w:lang w:val="en-GB"/>
        </w:rPr>
      </w:pPr>
      <w:r w:rsidRPr="00B24ABE">
        <w:rPr>
          <w:rFonts w:ascii="Calibri" w:hAnsi="Calibri" w:cs="Calibri"/>
          <w:lang w:val="en-GB"/>
        </w:rPr>
        <w:t xml:space="preserve">Project management including way of communication and coordination with the EU </w:t>
      </w:r>
      <w:r w:rsidR="005168B6">
        <w:rPr>
          <w:rFonts w:ascii="Calibri" w:hAnsi="Calibri" w:cs="Calibri"/>
          <w:lang w:val="en-GB"/>
        </w:rPr>
        <w:t>delegation</w:t>
      </w:r>
      <w:r w:rsidRPr="00B24ABE">
        <w:rPr>
          <w:rFonts w:ascii="Calibri" w:hAnsi="Calibri" w:cs="Calibri"/>
          <w:lang w:val="en-GB"/>
        </w:rPr>
        <w:t xml:space="preserve"> and the focal person for the SEA in the partner government.</w:t>
      </w:r>
    </w:p>
    <w:p w14:paraId="492CA64F" w14:textId="77777777" w:rsidR="00A7080F" w:rsidRPr="00115E79" w:rsidRDefault="00A7080F">
      <w:pPr>
        <w:pStyle w:val="ListParagraph"/>
        <w:numPr>
          <w:ilvl w:val="1"/>
          <w:numId w:val="4"/>
        </w:numPr>
        <w:snapToGrid w:val="0"/>
        <w:spacing w:before="0" w:after="160" w:line="240" w:lineRule="auto"/>
        <w:ind w:left="1134"/>
        <w:contextualSpacing w:val="0"/>
        <w:rPr>
          <w:lang w:val="en-GB"/>
        </w:rPr>
      </w:pPr>
      <w:r w:rsidRPr="00115E79">
        <w:rPr>
          <w:lang w:val="en-GB"/>
        </w:rPr>
        <w:t>Consultations with relevant stakeholders.</w:t>
      </w:r>
    </w:p>
    <w:p w14:paraId="50F4EDE7" w14:textId="77777777" w:rsidR="00A7080F" w:rsidRPr="00116C44" w:rsidRDefault="00A7080F">
      <w:pPr>
        <w:pStyle w:val="ListParagraph"/>
        <w:numPr>
          <w:ilvl w:val="0"/>
          <w:numId w:val="10"/>
        </w:numPr>
        <w:snapToGrid w:val="0"/>
        <w:spacing w:after="0" w:line="240" w:lineRule="auto"/>
        <w:ind w:left="709"/>
        <w:rPr>
          <w:lang w:val="en-US"/>
        </w:rPr>
      </w:pPr>
      <w:r w:rsidRPr="00116C44">
        <w:rPr>
          <w:lang w:val="en-US"/>
        </w:rPr>
        <w:t>The proposed work plan with a detail of the activities and tasks outlined above as well as with any additional activities as considered relevant for the SEA.</w:t>
      </w:r>
    </w:p>
    <w:p w14:paraId="5F57A283" w14:textId="77777777" w:rsidR="00A7080F" w:rsidRPr="00116C44" w:rsidRDefault="00A7080F">
      <w:pPr>
        <w:pStyle w:val="ListParagraph"/>
        <w:numPr>
          <w:ilvl w:val="0"/>
          <w:numId w:val="10"/>
        </w:numPr>
        <w:snapToGrid w:val="0"/>
        <w:spacing w:after="0" w:line="240" w:lineRule="auto"/>
        <w:ind w:left="709"/>
        <w:rPr>
          <w:lang w:val="en-US"/>
        </w:rPr>
      </w:pPr>
      <w:r w:rsidRPr="00116C44">
        <w:rPr>
          <w:lang w:val="en-US"/>
        </w:rPr>
        <w:t>A description of the team following the specifications stipulated above.</w:t>
      </w:r>
    </w:p>
    <w:p w14:paraId="40027580" w14:textId="77777777" w:rsidR="00A7080F" w:rsidRPr="00B24ABE" w:rsidRDefault="00A7080F">
      <w:pPr>
        <w:pStyle w:val="ListParagraph"/>
        <w:numPr>
          <w:ilvl w:val="0"/>
          <w:numId w:val="10"/>
        </w:numPr>
        <w:snapToGrid w:val="0"/>
        <w:spacing w:after="0" w:line="240" w:lineRule="auto"/>
        <w:ind w:left="709"/>
        <w:rPr>
          <w:lang w:val="en-GB"/>
        </w:rPr>
      </w:pPr>
      <w:r w:rsidRPr="00116C44">
        <w:rPr>
          <w:lang w:val="en-US"/>
        </w:rPr>
        <w:t>CVs</w:t>
      </w:r>
      <w:r w:rsidRPr="00B24ABE">
        <w:rPr>
          <w:lang w:val="en-GB"/>
        </w:rPr>
        <w:t xml:space="preserve"> of proposed experts clearly </w:t>
      </w:r>
      <w:proofErr w:type="gramStart"/>
      <w:r w:rsidRPr="00B24ABE">
        <w:rPr>
          <w:lang w:val="en-GB"/>
        </w:rPr>
        <w:t>showing</w:t>
      </w:r>
      <w:proofErr w:type="gramEnd"/>
      <w:r w:rsidRPr="00B24ABE">
        <w:rPr>
          <w:lang w:val="en-GB"/>
        </w:rPr>
        <w:t xml:space="preserve"> that the experts meet the required qualification criteria.</w:t>
      </w:r>
    </w:p>
    <w:p w14:paraId="39627748" w14:textId="77777777" w:rsidR="00A7080F" w:rsidRPr="00B24ABE" w:rsidRDefault="00A7080F">
      <w:pPr>
        <w:pStyle w:val="Heading3"/>
        <w:numPr>
          <w:ilvl w:val="0"/>
          <w:numId w:val="7"/>
        </w:numPr>
        <w:ind w:left="-142" w:firstLine="142"/>
      </w:pPr>
      <w:bookmarkStart w:id="132" w:name="_Toc137551857"/>
      <w:bookmarkStart w:id="133" w:name="_Toc137552699"/>
      <w:bookmarkStart w:id="134" w:name="_Toc137554074"/>
      <w:bookmarkStart w:id="135" w:name="_Toc138322363"/>
      <w:bookmarkStart w:id="136" w:name="_Toc149498733"/>
      <w:bookmarkStart w:id="137" w:name="_Toc149837361"/>
      <w:bookmarkStart w:id="138" w:name="_Toc157446243"/>
      <w:bookmarkStart w:id="139" w:name="_Toc158904991"/>
      <w:bookmarkStart w:id="140" w:name="_Toc164257595"/>
      <w:bookmarkStart w:id="141" w:name="_Toc170738068"/>
      <w:r w:rsidRPr="00B24ABE">
        <w:t>Financial proposal</w:t>
      </w:r>
      <w:bookmarkEnd w:id="132"/>
      <w:bookmarkEnd w:id="133"/>
      <w:bookmarkEnd w:id="134"/>
      <w:bookmarkEnd w:id="135"/>
      <w:bookmarkEnd w:id="136"/>
      <w:bookmarkEnd w:id="137"/>
      <w:bookmarkEnd w:id="138"/>
      <w:bookmarkEnd w:id="139"/>
      <w:bookmarkEnd w:id="140"/>
      <w:bookmarkEnd w:id="141"/>
    </w:p>
    <w:p w14:paraId="1186DF73"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The financial proposal will not exceed maximum budget i.e.</w:t>
      </w:r>
      <w:r>
        <w:rPr>
          <w:rFonts w:ascii="Calibri" w:hAnsi="Calibri" w:cs="Calibri"/>
        </w:rPr>
        <w:t>,</w:t>
      </w:r>
      <w:r w:rsidRPr="00B24ABE">
        <w:rPr>
          <w:rFonts w:ascii="Calibri" w:hAnsi="Calibri" w:cs="Calibri"/>
        </w:rPr>
        <w:t xml:space="preserve"> </w:t>
      </w:r>
      <w:r w:rsidRPr="00B24ABE">
        <w:rPr>
          <w:rFonts w:ascii="Calibri" w:hAnsi="Calibri" w:cs="Calibri"/>
          <w:i/>
          <w:iCs/>
        </w:rPr>
        <w:t>XXX EUR</w:t>
      </w:r>
      <w:r w:rsidRPr="00B24ABE">
        <w:rPr>
          <w:rFonts w:ascii="Calibri" w:hAnsi="Calibri" w:cs="Calibri"/>
        </w:rPr>
        <w:t xml:space="preserve">. It will be structured as follows: </w:t>
      </w:r>
    </w:p>
    <w:p w14:paraId="7E36ED87" w14:textId="187EBFA7" w:rsidR="00A7080F" w:rsidRPr="00B24ABE" w:rsidRDefault="00A7080F">
      <w:pPr>
        <w:pStyle w:val="ListParagraph"/>
        <w:numPr>
          <w:ilvl w:val="0"/>
          <w:numId w:val="6"/>
        </w:numPr>
        <w:snapToGrid w:val="0"/>
        <w:spacing w:before="0" w:after="0" w:line="240" w:lineRule="auto"/>
        <w:contextualSpacing w:val="0"/>
        <w:rPr>
          <w:lang w:val="en-GB"/>
        </w:rPr>
      </w:pPr>
      <w:r w:rsidRPr="00B24ABE">
        <w:rPr>
          <w:lang w:val="en-GB"/>
        </w:rPr>
        <w:t>Expert costs: Following the expertise required, the financial proposal will (</w:t>
      </w:r>
      <w:proofErr w:type="spellStart"/>
      <w:r w:rsidRPr="00B24ABE">
        <w:rPr>
          <w:lang w:val="en-GB"/>
        </w:rPr>
        <w:t>i</w:t>
      </w:r>
      <w:proofErr w:type="spellEnd"/>
      <w:r w:rsidRPr="00B24ABE">
        <w:rPr>
          <w:lang w:val="en-GB"/>
        </w:rPr>
        <w:t>) allocate necessary number of working days for each expert position, (ii) define daily rate for each expert position, and (iii) provide summary of the overall expert costs.</w:t>
      </w:r>
    </w:p>
    <w:p w14:paraId="1C43616F" w14:textId="77777777" w:rsidR="00A7080F" w:rsidRPr="00B24ABE" w:rsidRDefault="00A7080F">
      <w:pPr>
        <w:pStyle w:val="ListParagraph"/>
        <w:numPr>
          <w:ilvl w:val="0"/>
          <w:numId w:val="6"/>
        </w:numPr>
        <w:snapToGrid w:val="0"/>
        <w:spacing w:before="0" w:after="0" w:line="240" w:lineRule="auto"/>
        <w:contextualSpacing w:val="0"/>
        <w:rPr>
          <w:lang w:val="en-GB"/>
        </w:rPr>
      </w:pPr>
      <w:r w:rsidRPr="00B24ABE">
        <w:rPr>
          <w:lang w:val="en-GB"/>
        </w:rPr>
        <w:t>Direct costs: The direct costs may include the travel costs, administrative support, printing, venue and refreshments for the stakeholder workshops, interpreting, translations etc. A provision must be included for the offsetting of all air travel related greenhouse gas emissions. For each item included in the budget, a short explanation will be provided why this item is needed for the SEA, the costs that will be allocated, and the overall direct cost will be summarised. Travel by railways or waterways should be prioritised over air travel, whenever feasible.</w:t>
      </w:r>
    </w:p>
    <w:p w14:paraId="5FFDAFDF" w14:textId="77777777" w:rsidR="00A7080F" w:rsidRPr="00B24ABE" w:rsidRDefault="00A7080F">
      <w:pPr>
        <w:pStyle w:val="ListParagraph"/>
        <w:numPr>
          <w:ilvl w:val="0"/>
          <w:numId w:val="6"/>
        </w:numPr>
        <w:snapToGrid w:val="0"/>
        <w:spacing w:before="0" w:after="160" w:line="240" w:lineRule="auto"/>
        <w:contextualSpacing w:val="0"/>
        <w:rPr>
          <w:lang w:val="en-GB"/>
        </w:rPr>
      </w:pPr>
      <w:r w:rsidRPr="00B24ABE">
        <w:rPr>
          <w:lang w:val="en-GB"/>
        </w:rPr>
        <w:t xml:space="preserve">Total costs: A sum of the expert and direct costs. </w:t>
      </w:r>
    </w:p>
    <w:p w14:paraId="2250E1F8" w14:textId="77777777" w:rsidR="00A7080F" w:rsidRPr="00B24ABE" w:rsidRDefault="00A7080F">
      <w:pPr>
        <w:pStyle w:val="Heading3"/>
        <w:numPr>
          <w:ilvl w:val="0"/>
          <w:numId w:val="7"/>
        </w:numPr>
        <w:ind w:left="284" w:hanging="284"/>
      </w:pPr>
      <w:bookmarkStart w:id="142" w:name="_Toc137551858"/>
      <w:bookmarkStart w:id="143" w:name="_Toc137552700"/>
      <w:bookmarkStart w:id="144" w:name="_Toc137554075"/>
      <w:bookmarkStart w:id="145" w:name="_Toc138322364"/>
      <w:bookmarkStart w:id="146" w:name="_Toc149498734"/>
      <w:bookmarkStart w:id="147" w:name="_Toc149837362"/>
      <w:bookmarkStart w:id="148" w:name="_Toc157446244"/>
      <w:bookmarkStart w:id="149" w:name="_Toc158904992"/>
      <w:bookmarkStart w:id="150" w:name="_Toc164257596"/>
      <w:bookmarkStart w:id="151" w:name="_Toc170738069"/>
      <w:r w:rsidRPr="00B24ABE">
        <w:t>Evaluation of the proposal</w:t>
      </w:r>
      <w:bookmarkEnd w:id="142"/>
      <w:bookmarkEnd w:id="143"/>
      <w:bookmarkEnd w:id="144"/>
      <w:bookmarkEnd w:id="145"/>
      <w:bookmarkEnd w:id="146"/>
      <w:bookmarkEnd w:id="147"/>
      <w:bookmarkEnd w:id="148"/>
      <w:bookmarkEnd w:id="149"/>
      <w:bookmarkEnd w:id="150"/>
      <w:bookmarkEnd w:id="151"/>
    </w:p>
    <w:p w14:paraId="13F9A669"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The proposals will be evaluated using the principle of quality and cost-based selection with a weight of 80 % given to the technical proposal and a weight of 20 % given to the financial proposal.</w:t>
      </w:r>
    </w:p>
    <w:p w14:paraId="6B71D046"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following criteria shall be used as a basis for evaluation of technical proposals: </w:t>
      </w:r>
    </w:p>
    <w:p w14:paraId="08500E3C" w14:textId="77777777" w:rsidR="00A7080F" w:rsidRPr="00115E79" w:rsidRDefault="00A7080F" w:rsidP="00A7080F">
      <w:pPr>
        <w:autoSpaceDE w:val="0"/>
        <w:autoSpaceDN w:val="0"/>
        <w:adjustRightInd w:val="0"/>
        <w:snapToGrid w:val="0"/>
        <w:spacing w:after="0" w:line="240" w:lineRule="auto"/>
        <w:rPr>
          <w:rFonts w:ascii="Calibri" w:hAnsi="Calibri" w:cs="Calibri"/>
          <w:b/>
          <w:bCs/>
        </w:rPr>
      </w:pPr>
      <w:r w:rsidRPr="00115E79">
        <w:rPr>
          <w:rFonts w:ascii="Calibri" w:hAnsi="Calibri" w:cs="Calibri"/>
          <w:b/>
          <w:bCs/>
        </w:rPr>
        <w:t>Criteria</w:t>
      </w:r>
      <w:r w:rsidRPr="00115E79">
        <w:rPr>
          <w:rFonts w:ascii="Calibri" w:hAnsi="Calibri" w:cs="Calibri"/>
          <w:b/>
          <w:bCs/>
        </w:rPr>
        <w:tab/>
      </w:r>
      <w:r w:rsidRPr="00115E79">
        <w:rPr>
          <w:rFonts w:ascii="Calibri" w:hAnsi="Calibri" w:cs="Calibri"/>
          <w:b/>
          <w:bCs/>
        </w:rPr>
        <w:tab/>
      </w:r>
      <w:r w:rsidRPr="00115E79">
        <w:rPr>
          <w:rFonts w:ascii="Calibri" w:hAnsi="Calibri" w:cs="Calibri"/>
          <w:b/>
          <w:bCs/>
        </w:rPr>
        <w:tab/>
        <w:t xml:space="preserve">Weight  </w:t>
      </w:r>
    </w:p>
    <w:p w14:paraId="023ED091" w14:textId="77777777" w:rsidR="00A7080F" w:rsidRPr="00B24ABE" w:rsidRDefault="00A7080F" w:rsidP="00A7080F">
      <w:pPr>
        <w:autoSpaceDE w:val="0"/>
        <w:autoSpaceDN w:val="0"/>
        <w:adjustRightInd w:val="0"/>
        <w:snapToGrid w:val="0"/>
        <w:spacing w:after="0" w:line="240" w:lineRule="auto"/>
        <w:rPr>
          <w:rFonts w:ascii="Calibri" w:hAnsi="Calibri" w:cs="Calibri"/>
        </w:rPr>
      </w:pPr>
      <w:r w:rsidRPr="00B24ABE">
        <w:rPr>
          <w:rFonts w:ascii="Calibri" w:hAnsi="Calibri" w:cs="Calibri"/>
        </w:rPr>
        <w:t>Proposed approach</w:t>
      </w:r>
      <w:r w:rsidRPr="00B24ABE">
        <w:rPr>
          <w:rFonts w:ascii="Calibri" w:hAnsi="Calibri" w:cs="Calibri"/>
        </w:rPr>
        <w:tab/>
        <w:t>40%</w:t>
      </w:r>
    </w:p>
    <w:p w14:paraId="3ED40A11" w14:textId="77777777" w:rsidR="00A7080F" w:rsidRPr="00B24ABE" w:rsidRDefault="00A7080F" w:rsidP="00A7080F">
      <w:pPr>
        <w:autoSpaceDE w:val="0"/>
        <w:autoSpaceDN w:val="0"/>
        <w:adjustRightInd w:val="0"/>
        <w:snapToGrid w:val="0"/>
        <w:spacing w:after="0" w:line="240" w:lineRule="auto"/>
        <w:rPr>
          <w:rFonts w:ascii="Calibri" w:hAnsi="Calibri" w:cs="Calibri"/>
        </w:rPr>
      </w:pPr>
      <w:r w:rsidRPr="00B24ABE">
        <w:rPr>
          <w:rFonts w:ascii="Calibri" w:hAnsi="Calibri" w:cs="Calibri"/>
        </w:rPr>
        <w:t>Proposed work plan</w:t>
      </w:r>
      <w:r w:rsidRPr="00B24ABE">
        <w:rPr>
          <w:rFonts w:ascii="Calibri" w:hAnsi="Calibri" w:cs="Calibri"/>
        </w:rPr>
        <w:tab/>
        <w:t>20%</w:t>
      </w:r>
    </w:p>
    <w:p w14:paraId="6792FB47"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Team composition </w:t>
      </w:r>
      <w:r w:rsidRPr="00B24ABE">
        <w:rPr>
          <w:rFonts w:ascii="Calibri" w:hAnsi="Calibri" w:cs="Calibri"/>
        </w:rPr>
        <w:tab/>
        <w:t>40%</w:t>
      </w:r>
    </w:p>
    <w:p w14:paraId="0CBEC01E"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level of responsiveness for each criterion shall be rated on a scale using the following discrete grades: </w:t>
      </w:r>
    </w:p>
    <w:p w14:paraId="0CDCF2E7" w14:textId="77777777" w:rsidR="00A7080F" w:rsidRPr="00B24ABE" w:rsidRDefault="00A7080F">
      <w:pPr>
        <w:pStyle w:val="ListParagraph"/>
        <w:numPr>
          <w:ilvl w:val="0"/>
          <w:numId w:val="6"/>
        </w:numPr>
        <w:snapToGrid w:val="0"/>
        <w:spacing w:before="0" w:after="0" w:line="240" w:lineRule="auto"/>
        <w:contextualSpacing w:val="0"/>
        <w:rPr>
          <w:lang w:val="en-GB"/>
        </w:rPr>
      </w:pPr>
      <w:r w:rsidRPr="00B24ABE">
        <w:rPr>
          <w:lang w:val="en-GB"/>
        </w:rPr>
        <w:t>poor: 40 points</w:t>
      </w:r>
    </w:p>
    <w:p w14:paraId="135F3DA5" w14:textId="77777777" w:rsidR="00A7080F" w:rsidRPr="00B24ABE" w:rsidRDefault="00A7080F">
      <w:pPr>
        <w:pStyle w:val="ListParagraph"/>
        <w:numPr>
          <w:ilvl w:val="0"/>
          <w:numId w:val="6"/>
        </w:numPr>
        <w:snapToGrid w:val="0"/>
        <w:spacing w:before="0" w:after="0" w:line="240" w:lineRule="auto"/>
        <w:contextualSpacing w:val="0"/>
        <w:rPr>
          <w:lang w:val="en-GB"/>
        </w:rPr>
      </w:pPr>
      <w:r w:rsidRPr="00B24ABE">
        <w:rPr>
          <w:lang w:val="en-GB"/>
        </w:rPr>
        <w:t xml:space="preserve">satisfactory: 70 points </w:t>
      </w:r>
    </w:p>
    <w:p w14:paraId="47CC9F7C" w14:textId="77777777" w:rsidR="00A7080F" w:rsidRPr="00B24ABE" w:rsidRDefault="00A7080F">
      <w:pPr>
        <w:pStyle w:val="ListParagraph"/>
        <w:numPr>
          <w:ilvl w:val="0"/>
          <w:numId w:val="6"/>
        </w:numPr>
        <w:snapToGrid w:val="0"/>
        <w:spacing w:before="0" w:after="0" w:line="240" w:lineRule="auto"/>
        <w:contextualSpacing w:val="0"/>
        <w:rPr>
          <w:lang w:val="en-GB"/>
        </w:rPr>
      </w:pPr>
      <w:r w:rsidRPr="00B24ABE">
        <w:rPr>
          <w:lang w:val="en-GB"/>
        </w:rPr>
        <w:lastRenderedPageBreak/>
        <w:t xml:space="preserve">good: 90 points </w:t>
      </w:r>
    </w:p>
    <w:p w14:paraId="100F28E6" w14:textId="77777777" w:rsidR="00A7080F" w:rsidRPr="00B24ABE" w:rsidRDefault="00A7080F">
      <w:pPr>
        <w:pStyle w:val="ListParagraph"/>
        <w:numPr>
          <w:ilvl w:val="0"/>
          <w:numId w:val="6"/>
        </w:numPr>
        <w:snapToGrid w:val="0"/>
        <w:spacing w:before="0" w:after="160" w:line="240" w:lineRule="auto"/>
        <w:contextualSpacing w:val="0"/>
        <w:rPr>
          <w:lang w:val="en-GB"/>
        </w:rPr>
      </w:pPr>
      <w:r w:rsidRPr="00B24ABE">
        <w:rPr>
          <w:lang w:val="en-GB"/>
        </w:rPr>
        <w:t xml:space="preserve">very good: 100 points </w:t>
      </w:r>
    </w:p>
    <w:p w14:paraId="30A0B2A8"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rating of each criterion shall then be weighted and added to give to total score. </w:t>
      </w:r>
    </w:p>
    <w:p w14:paraId="3BC5F4B4" w14:textId="794364BD" w:rsidR="00A7080F" w:rsidRDefault="00A7080F" w:rsidP="000C7B35">
      <w:pPr>
        <w:autoSpaceDE w:val="0"/>
        <w:autoSpaceDN w:val="0"/>
        <w:adjustRightInd w:val="0"/>
        <w:snapToGrid w:val="0"/>
        <w:spacing w:line="240" w:lineRule="auto"/>
        <w:rPr>
          <w:rFonts w:ascii="Calibri" w:hAnsi="Calibri" w:cs="Calibri"/>
        </w:rPr>
      </w:pPr>
      <w:r w:rsidRPr="00B24ABE">
        <w:rPr>
          <w:rFonts w:ascii="Calibri" w:hAnsi="Calibri" w:cs="Calibri"/>
        </w:rPr>
        <w:t>The technical proposal shall be considered unsuitable if it fails to achieve a minimum score of 75 out of 100 points and the entire proposal rejected.</w:t>
      </w:r>
      <w:bookmarkEnd w:id="1"/>
      <w:bookmarkEnd w:id="2"/>
      <w:bookmarkEnd w:id="3"/>
      <w:bookmarkEnd w:id="4"/>
    </w:p>
    <w:sectPr w:rsidR="00A7080F" w:rsidSect="00E128D9">
      <w:footerReference w:type="default" r:id="rId11"/>
      <w:pgSz w:w="11906" w:h="16838"/>
      <w:pgMar w:top="1134" w:right="1440" w:bottom="1843"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E487F" w14:textId="77777777" w:rsidR="005B0535" w:rsidRDefault="005B0535" w:rsidP="00B41400">
      <w:pPr>
        <w:spacing w:after="0" w:line="240" w:lineRule="auto"/>
      </w:pPr>
      <w:r>
        <w:separator/>
      </w:r>
    </w:p>
  </w:endnote>
  <w:endnote w:type="continuationSeparator" w:id="0">
    <w:p w14:paraId="71B63552" w14:textId="77777777" w:rsidR="005B0535" w:rsidRDefault="005B0535" w:rsidP="00B41400">
      <w:pPr>
        <w:spacing w:after="0" w:line="240" w:lineRule="auto"/>
      </w:pPr>
      <w:r>
        <w:continuationSeparator/>
      </w:r>
    </w:p>
  </w:endnote>
  <w:endnote w:type="continuationNotice" w:id="1">
    <w:p w14:paraId="0CDBFEDA" w14:textId="77777777" w:rsidR="005B0535" w:rsidRDefault="005B0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036744"/>
      <w:docPartObj>
        <w:docPartGallery w:val="Page Numbers (Bottom of Page)"/>
        <w:docPartUnique/>
      </w:docPartObj>
    </w:sdtPr>
    <w:sdtContent>
      <w:p w14:paraId="461B1005" w14:textId="685FCD0A" w:rsidR="00E128D9" w:rsidRDefault="00E128D9">
        <w:pPr>
          <w:pStyle w:val="Footer"/>
          <w:jc w:val="right"/>
        </w:pPr>
        <w:r>
          <w:fldChar w:fldCharType="begin"/>
        </w:r>
        <w:r>
          <w:instrText>PAGE   \* MERGEFORMAT</w:instrText>
        </w:r>
        <w:r>
          <w:fldChar w:fldCharType="separate"/>
        </w:r>
        <w:r>
          <w:t>2</w:t>
        </w:r>
        <w:r>
          <w:fldChar w:fldCharType="end"/>
        </w:r>
      </w:p>
    </w:sdtContent>
  </w:sdt>
  <w:p w14:paraId="3EAA878B" w14:textId="77777777" w:rsidR="00E128D9" w:rsidRDefault="00E1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4B1E8" w14:textId="77777777" w:rsidR="005B0535" w:rsidRDefault="005B0535" w:rsidP="00B41400">
      <w:pPr>
        <w:spacing w:after="0" w:line="240" w:lineRule="auto"/>
      </w:pPr>
      <w:r>
        <w:separator/>
      </w:r>
    </w:p>
  </w:footnote>
  <w:footnote w:type="continuationSeparator" w:id="0">
    <w:p w14:paraId="18E8100B" w14:textId="77777777" w:rsidR="005B0535" w:rsidRDefault="005B0535" w:rsidP="00B41400">
      <w:pPr>
        <w:spacing w:after="0" w:line="240" w:lineRule="auto"/>
      </w:pPr>
      <w:r>
        <w:continuationSeparator/>
      </w:r>
    </w:p>
  </w:footnote>
  <w:footnote w:type="continuationNotice" w:id="1">
    <w:p w14:paraId="6586B67C" w14:textId="77777777" w:rsidR="005B0535" w:rsidRDefault="005B0535">
      <w:pPr>
        <w:spacing w:after="0" w:line="240" w:lineRule="auto"/>
      </w:pPr>
    </w:p>
  </w:footnote>
  <w:footnote w:id="2">
    <w:p w14:paraId="40F8C3D0" w14:textId="77777777"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In this case, likely impacts on the population should be disaggregated by gender, age, or other relevant social criteria.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742E8"/>
    <w:multiLevelType w:val="hybridMultilevel"/>
    <w:tmpl w:val="4852C75C"/>
    <w:lvl w:ilvl="0" w:tplc="AAFC2E5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6E1742C"/>
    <w:multiLevelType w:val="hybridMultilevel"/>
    <w:tmpl w:val="F6F260CA"/>
    <w:lvl w:ilvl="0" w:tplc="C8A857EA">
      <w:numFmt w:val="bullet"/>
      <w:lvlText w:val="•"/>
      <w:lvlJc w:val="left"/>
      <w:pPr>
        <w:ind w:left="108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28D95676"/>
    <w:multiLevelType w:val="hybridMultilevel"/>
    <w:tmpl w:val="0492CC28"/>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017D0"/>
    <w:multiLevelType w:val="hybridMultilevel"/>
    <w:tmpl w:val="4B7AD88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2523859"/>
    <w:multiLevelType w:val="hybridMultilevel"/>
    <w:tmpl w:val="F7AAC45E"/>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B38FB"/>
    <w:multiLevelType w:val="hybridMultilevel"/>
    <w:tmpl w:val="8FF8C24C"/>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0730F"/>
    <w:multiLevelType w:val="hybridMultilevel"/>
    <w:tmpl w:val="F93C06D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0D3616"/>
    <w:multiLevelType w:val="hybridMultilevel"/>
    <w:tmpl w:val="4C2E0782"/>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85C6C"/>
    <w:multiLevelType w:val="hybridMultilevel"/>
    <w:tmpl w:val="AB3A4630"/>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776A2"/>
    <w:multiLevelType w:val="hybridMultilevel"/>
    <w:tmpl w:val="59F0D94A"/>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9843843">
    <w:abstractNumId w:val="7"/>
  </w:num>
  <w:num w:numId="2" w16cid:durableId="1325012820">
    <w:abstractNumId w:val="4"/>
  </w:num>
  <w:num w:numId="3" w16cid:durableId="1425226761">
    <w:abstractNumId w:val="5"/>
  </w:num>
  <w:num w:numId="4" w16cid:durableId="1928732267">
    <w:abstractNumId w:val="8"/>
  </w:num>
  <w:num w:numId="5" w16cid:durableId="2011252148">
    <w:abstractNumId w:val="2"/>
  </w:num>
  <w:num w:numId="6" w16cid:durableId="402531518">
    <w:abstractNumId w:val="3"/>
  </w:num>
  <w:num w:numId="7" w16cid:durableId="2003193967">
    <w:abstractNumId w:val="0"/>
  </w:num>
  <w:num w:numId="8" w16cid:durableId="1790196033">
    <w:abstractNumId w:val="9"/>
  </w:num>
  <w:num w:numId="9" w16cid:durableId="1733654512">
    <w:abstractNumId w:val="6"/>
  </w:num>
  <w:num w:numId="10" w16cid:durableId="27297878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00"/>
    <w:rsid w:val="0000008E"/>
    <w:rsid w:val="000043C6"/>
    <w:rsid w:val="00004E55"/>
    <w:rsid w:val="0000630F"/>
    <w:rsid w:val="00006BBB"/>
    <w:rsid w:val="00010547"/>
    <w:rsid w:val="00010729"/>
    <w:rsid w:val="00011388"/>
    <w:rsid w:val="00012A35"/>
    <w:rsid w:val="000138A1"/>
    <w:rsid w:val="00014178"/>
    <w:rsid w:val="00015586"/>
    <w:rsid w:val="00017239"/>
    <w:rsid w:val="000205DC"/>
    <w:rsid w:val="00020F92"/>
    <w:rsid w:val="00021C04"/>
    <w:rsid w:val="00022FB4"/>
    <w:rsid w:val="00023DA2"/>
    <w:rsid w:val="00024CA5"/>
    <w:rsid w:val="00025E26"/>
    <w:rsid w:val="00026AC1"/>
    <w:rsid w:val="00027162"/>
    <w:rsid w:val="00027C39"/>
    <w:rsid w:val="0003115E"/>
    <w:rsid w:val="0003122D"/>
    <w:rsid w:val="000350AD"/>
    <w:rsid w:val="00036420"/>
    <w:rsid w:val="00036608"/>
    <w:rsid w:val="00036999"/>
    <w:rsid w:val="00036C72"/>
    <w:rsid w:val="00037836"/>
    <w:rsid w:val="00040673"/>
    <w:rsid w:val="00043A35"/>
    <w:rsid w:val="000445EB"/>
    <w:rsid w:val="00044EA0"/>
    <w:rsid w:val="00045079"/>
    <w:rsid w:val="0004633D"/>
    <w:rsid w:val="00046C25"/>
    <w:rsid w:val="00046F07"/>
    <w:rsid w:val="000471BE"/>
    <w:rsid w:val="0005056E"/>
    <w:rsid w:val="00051533"/>
    <w:rsid w:val="00051ABE"/>
    <w:rsid w:val="00051F3C"/>
    <w:rsid w:val="00053EE6"/>
    <w:rsid w:val="00053F6F"/>
    <w:rsid w:val="00054AD9"/>
    <w:rsid w:val="00056166"/>
    <w:rsid w:val="000602CA"/>
    <w:rsid w:val="000603C4"/>
    <w:rsid w:val="00061921"/>
    <w:rsid w:val="00061CE1"/>
    <w:rsid w:val="00063953"/>
    <w:rsid w:val="00063DDC"/>
    <w:rsid w:val="000654BB"/>
    <w:rsid w:val="00065743"/>
    <w:rsid w:val="0006613E"/>
    <w:rsid w:val="000667B0"/>
    <w:rsid w:val="000668CC"/>
    <w:rsid w:val="0007052F"/>
    <w:rsid w:val="00071E2A"/>
    <w:rsid w:val="00071F98"/>
    <w:rsid w:val="0007279F"/>
    <w:rsid w:val="000744D4"/>
    <w:rsid w:val="00074D3D"/>
    <w:rsid w:val="00074F91"/>
    <w:rsid w:val="00077E64"/>
    <w:rsid w:val="000808FA"/>
    <w:rsid w:val="00080D94"/>
    <w:rsid w:val="00080FC9"/>
    <w:rsid w:val="000813F9"/>
    <w:rsid w:val="000841EB"/>
    <w:rsid w:val="000853E8"/>
    <w:rsid w:val="00086030"/>
    <w:rsid w:val="00086331"/>
    <w:rsid w:val="00091267"/>
    <w:rsid w:val="0009347D"/>
    <w:rsid w:val="00097000"/>
    <w:rsid w:val="0009712A"/>
    <w:rsid w:val="000A1CD7"/>
    <w:rsid w:val="000A2D2A"/>
    <w:rsid w:val="000A2DF9"/>
    <w:rsid w:val="000A33B4"/>
    <w:rsid w:val="000A3CFD"/>
    <w:rsid w:val="000B0316"/>
    <w:rsid w:val="000B12DD"/>
    <w:rsid w:val="000B1C3A"/>
    <w:rsid w:val="000B2DC8"/>
    <w:rsid w:val="000B47A6"/>
    <w:rsid w:val="000B48D4"/>
    <w:rsid w:val="000B5DD1"/>
    <w:rsid w:val="000B77DD"/>
    <w:rsid w:val="000B7EF4"/>
    <w:rsid w:val="000C0719"/>
    <w:rsid w:val="000C0966"/>
    <w:rsid w:val="000C1E2D"/>
    <w:rsid w:val="000C4483"/>
    <w:rsid w:val="000C485B"/>
    <w:rsid w:val="000C4B4D"/>
    <w:rsid w:val="000C5447"/>
    <w:rsid w:val="000C6C71"/>
    <w:rsid w:val="000C7B35"/>
    <w:rsid w:val="000D013A"/>
    <w:rsid w:val="000D2A3D"/>
    <w:rsid w:val="000D3ABA"/>
    <w:rsid w:val="000D4A96"/>
    <w:rsid w:val="000D4C2B"/>
    <w:rsid w:val="000D4C68"/>
    <w:rsid w:val="000D5DFA"/>
    <w:rsid w:val="000D7109"/>
    <w:rsid w:val="000D7E64"/>
    <w:rsid w:val="000E076D"/>
    <w:rsid w:val="000E126A"/>
    <w:rsid w:val="000E1B08"/>
    <w:rsid w:val="000E2F1E"/>
    <w:rsid w:val="000E45E0"/>
    <w:rsid w:val="000E4708"/>
    <w:rsid w:val="000E4AA8"/>
    <w:rsid w:val="000E4BDC"/>
    <w:rsid w:val="000E4D5D"/>
    <w:rsid w:val="000E548E"/>
    <w:rsid w:val="000E705C"/>
    <w:rsid w:val="000E7319"/>
    <w:rsid w:val="000F09E4"/>
    <w:rsid w:val="000F0F4A"/>
    <w:rsid w:val="000F231C"/>
    <w:rsid w:val="000F30EA"/>
    <w:rsid w:val="000F4756"/>
    <w:rsid w:val="000F584D"/>
    <w:rsid w:val="000F6097"/>
    <w:rsid w:val="000F636B"/>
    <w:rsid w:val="000F6866"/>
    <w:rsid w:val="000F737D"/>
    <w:rsid w:val="001001B6"/>
    <w:rsid w:val="001026CB"/>
    <w:rsid w:val="001041BE"/>
    <w:rsid w:val="001050C6"/>
    <w:rsid w:val="00107932"/>
    <w:rsid w:val="001119D3"/>
    <w:rsid w:val="001133A3"/>
    <w:rsid w:val="00113B00"/>
    <w:rsid w:val="00114911"/>
    <w:rsid w:val="00115652"/>
    <w:rsid w:val="001156FC"/>
    <w:rsid w:val="00115BEA"/>
    <w:rsid w:val="00115E79"/>
    <w:rsid w:val="00115EDF"/>
    <w:rsid w:val="00116BA8"/>
    <w:rsid w:val="00116C44"/>
    <w:rsid w:val="00116EA3"/>
    <w:rsid w:val="001172ED"/>
    <w:rsid w:val="00120071"/>
    <w:rsid w:val="00122695"/>
    <w:rsid w:val="00123E88"/>
    <w:rsid w:val="00124372"/>
    <w:rsid w:val="001262E1"/>
    <w:rsid w:val="001265FA"/>
    <w:rsid w:val="001266B6"/>
    <w:rsid w:val="0012679E"/>
    <w:rsid w:val="00130F39"/>
    <w:rsid w:val="00133091"/>
    <w:rsid w:val="0013318B"/>
    <w:rsid w:val="0013397D"/>
    <w:rsid w:val="00133AA4"/>
    <w:rsid w:val="00133B87"/>
    <w:rsid w:val="00134B3B"/>
    <w:rsid w:val="00134C5B"/>
    <w:rsid w:val="00137228"/>
    <w:rsid w:val="001402C2"/>
    <w:rsid w:val="001405B3"/>
    <w:rsid w:val="001406D5"/>
    <w:rsid w:val="00141529"/>
    <w:rsid w:val="001425D0"/>
    <w:rsid w:val="001433A6"/>
    <w:rsid w:val="00143E89"/>
    <w:rsid w:val="001468C2"/>
    <w:rsid w:val="001473EB"/>
    <w:rsid w:val="0014771D"/>
    <w:rsid w:val="00147792"/>
    <w:rsid w:val="001501ED"/>
    <w:rsid w:val="001528BE"/>
    <w:rsid w:val="001539B0"/>
    <w:rsid w:val="001554E9"/>
    <w:rsid w:val="00155929"/>
    <w:rsid w:val="00156022"/>
    <w:rsid w:val="0015624E"/>
    <w:rsid w:val="001576D6"/>
    <w:rsid w:val="00157DD5"/>
    <w:rsid w:val="00161742"/>
    <w:rsid w:val="00161BC4"/>
    <w:rsid w:val="001632A7"/>
    <w:rsid w:val="0016342B"/>
    <w:rsid w:val="0016587F"/>
    <w:rsid w:val="0016591B"/>
    <w:rsid w:val="001666E1"/>
    <w:rsid w:val="00166B49"/>
    <w:rsid w:val="00167D25"/>
    <w:rsid w:val="001705E3"/>
    <w:rsid w:val="001733D9"/>
    <w:rsid w:val="001739CC"/>
    <w:rsid w:val="00174133"/>
    <w:rsid w:val="00174A07"/>
    <w:rsid w:val="00177508"/>
    <w:rsid w:val="00177535"/>
    <w:rsid w:val="0018155F"/>
    <w:rsid w:val="001816C1"/>
    <w:rsid w:val="0018216C"/>
    <w:rsid w:val="00184FDD"/>
    <w:rsid w:val="0018531A"/>
    <w:rsid w:val="0018609A"/>
    <w:rsid w:val="0018634C"/>
    <w:rsid w:val="00186A66"/>
    <w:rsid w:val="00186FE9"/>
    <w:rsid w:val="00187976"/>
    <w:rsid w:val="00187F65"/>
    <w:rsid w:val="001919A3"/>
    <w:rsid w:val="001921A0"/>
    <w:rsid w:val="001924C3"/>
    <w:rsid w:val="0019328F"/>
    <w:rsid w:val="00193528"/>
    <w:rsid w:val="00193850"/>
    <w:rsid w:val="00196F27"/>
    <w:rsid w:val="001A0FDE"/>
    <w:rsid w:val="001A14A0"/>
    <w:rsid w:val="001A170C"/>
    <w:rsid w:val="001A270D"/>
    <w:rsid w:val="001A47F7"/>
    <w:rsid w:val="001A562A"/>
    <w:rsid w:val="001A7E27"/>
    <w:rsid w:val="001B0D3F"/>
    <w:rsid w:val="001B1045"/>
    <w:rsid w:val="001B11A2"/>
    <w:rsid w:val="001B1BFA"/>
    <w:rsid w:val="001B1EEA"/>
    <w:rsid w:val="001B27FC"/>
    <w:rsid w:val="001B2BA2"/>
    <w:rsid w:val="001B3E77"/>
    <w:rsid w:val="001B42B5"/>
    <w:rsid w:val="001B46A7"/>
    <w:rsid w:val="001B46FC"/>
    <w:rsid w:val="001B5D3F"/>
    <w:rsid w:val="001B60F6"/>
    <w:rsid w:val="001B612B"/>
    <w:rsid w:val="001C0D31"/>
    <w:rsid w:val="001C1C12"/>
    <w:rsid w:val="001C1DE0"/>
    <w:rsid w:val="001C4AE7"/>
    <w:rsid w:val="001C514F"/>
    <w:rsid w:val="001C6C8F"/>
    <w:rsid w:val="001C7168"/>
    <w:rsid w:val="001C7DB7"/>
    <w:rsid w:val="001D0532"/>
    <w:rsid w:val="001D23BA"/>
    <w:rsid w:val="001D2D55"/>
    <w:rsid w:val="001D2E34"/>
    <w:rsid w:val="001D333B"/>
    <w:rsid w:val="001D4C3F"/>
    <w:rsid w:val="001D597B"/>
    <w:rsid w:val="001D7ABD"/>
    <w:rsid w:val="001D7C9F"/>
    <w:rsid w:val="001E0E7A"/>
    <w:rsid w:val="001E2FB4"/>
    <w:rsid w:val="001E3289"/>
    <w:rsid w:val="001E3F40"/>
    <w:rsid w:val="001E470F"/>
    <w:rsid w:val="001E4CF8"/>
    <w:rsid w:val="001E598D"/>
    <w:rsid w:val="001E61F8"/>
    <w:rsid w:val="001E6C13"/>
    <w:rsid w:val="001E780E"/>
    <w:rsid w:val="001F1773"/>
    <w:rsid w:val="001F208A"/>
    <w:rsid w:val="001F20FA"/>
    <w:rsid w:val="001F255E"/>
    <w:rsid w:val="001F34CF"/>
    <w:rsid w:val="001F3885"/>
    <w:rsid w:val="001F3E67"/>
    <w:rsid w:val="001F3F54"/>
    <w:rsid w:val="001F4875"/>
    <w:rsid w:val="001F551F"/>
    <w:rsid w:val="001F5A0F"/>
    <w:rsid w:val="001F5AD7"/>
    <w:rsid w:val="001F6476"/>
    <w:rsid w:val="001F69AA"/>
    <w:rsid w:val="001F6D54"/>
    <w:rsid w:val="00200BC0"/>
    <w:rsid w:val="00201859"/>
    <w:rsid w:val="0020373D"/>
    <w:rsid w:val="002039F7"/>
    <w:rsid w:val="002041E2"/>
    <w:rsid w:val="00204416"/>
    <w:rsid w:val="00205111"/>
    <w:rsid w:val="00205ADA"/>
    <w:rsid w:val="00206809"/>
    <w:rsid w:val="002068C2"/>
    <w:rsid w:val="00206A99"/>
    <w:rsid w:val="00206B8A"/>
    <w:rsid w:val="0021188D"/>
    <w:rsid w:val="002119F4"/>
    <w:rsid w:val="00214498"/>
    <w:rsid w:val="00215E0E"/>
    <w:rsid w:val="00215F5D"/>
    <w:rsid w:val="002165B5"/>
    <w:rsid w:val="00216FB2"/>
    <w:rsid w:val="00217A92"/>
    <w:rsid w:val="002201CD"/>
    <w:rsid w:val="002202BC"/>
    <w:rsid w:val="00221365"/>
    <w:rsid w:val="0022176D"/>
    <w:rsid w:val="00222764"/>
    <w:rsid w:val="0022329C"/>
    <w:rsid w:val="00224212"/>
    <w:rsid w:val="00224326"/>
    <w:rsid w:val="002254E6"/>
    <w:rsid w:val="002259BD"/>
    <w:rsid w:val="00225B25"/>
    <w:rsid w:val="0022643B"/>
    <w:rsid w:val="002305D1"/>
    <w:rsid w:val="00230663"/>
    <w:rsid w:val="00231867"/>
    <w:rsid w:val="002347E8"/>
    <w:rsid w:val="00235FF2"/>
    <w:rsid w:val="002363AD"/>
    <w:rsid w:val="00236531"/>
    <w:rsid w:val="00236A59"/>
    <w:rsid w:val="0024270B"/>
    <w:rsid w:val="00242868"/>
    <w:rsid w:val="00242D0E"/>
    <w:rsid w:val="002430DC"/>
    <w:rsid w:val="0024355D"/>
    <w:rsid w:val="00243C37"/>
    <w:rsid w:val="002444D6"/>
    <w:rsid w:val="00245A6A"/>
    <w:rsid w:val="00245B21"/>
    <w:rsid w:val="002464D4"/>
    <w:rsid w:val="00251215"/>
    <w:rsid w:val="0025168C"/>
    <w:rsid w:val="00253503"/>
    <w:rsid w:val="00254256"/>
    <w:rsid w:val="00255244"/>
    <w:rsid w:val="00255E74"/>
    <w:rsid w:val="0025669F"/>
    <w:rsid w:val="00260BC2"/>
    <w:rsid w:val="00261762"/>
    <w:rsid w:val="002620A5"/>
    <w:rsid w:val="002632D1"/>
    <w:rsid w:val="00263754"/>
    <w:rsid w:val="002656FE"/>
    <w:rsid w:val="00265C33"/>
    <w:rsid w:val="00265EB6"/>
    <w:rsid w:val="00266515"/>
    <w:rsid w:val="00266C19"/>
    <w:rsid w:val="00266E6B"/>
    <w:rsid w:val="0026770C"/>
    <w:rsid w:val="00270B7E"/>
    <w:rsid w:val="00271709"/>
    <w:rsid w:val="00272671"/>
    <w:rsid w:val="00275457"/>
    <w:rsid w:val="002758E1"/>
    <w:rsid w:val="00275FC0"/>
    <w:rsid w:val="002760EE"/>
    <w:rsid w:val="00280142"/>
    <w:rsid w:val="0028028A"/>
    <w:rsid w:val="00280B1A"/>
    <w:rsid w:val="00281DB4"/>
    <w:rsid w:val="00281DE0"/>
    <w:rsid w:val="0028356F"/>
    <w:rsid w:val="0028444B"/>
    <w:rsid w:val="00285619"/>
    <w:rsid w:val="002858D6"/>
    <w:rsid w:val="00286020"/>
    <w:rsid w:val="00287928"/>
    <w:rsid w:val="00292A37"/>
    <w:rsid w:val="00292ACF"/>
    <w:rsid w:val="00292F56"/>
    <w:rsid w:val="002951B3"/>
    <w:rsid w:val="0029590A"/>
    <w:rsid w:val="00295C81"/>
    <w:rsid w:val="00296957"/>
    <w:rsid w:val="002A328B"/>
    <w:rsid w:val="002A3D5A"/>
    <w:rsid w:val="002B0B29"/>
    <w:rsid w:val="002B15EF"/>
    <w:rsid w:val="002B16F7"/>
    <w:rsid w:val="002B254E"/>
    <w:rsid w:val="002B33EA"/>
    <w:rsid w:val="002B3DA1"/>
    <w:rsid w:val="002B47EB"/>
    <w:rsid w:val="002B6C83"/>
    <w:rsid w:val="002B6D39"/>
    <w:rsid w:val="002B70DF"/>
    <w:rsid w:val="002B750A"/>
    <w:rsid w:val="002C2778"/>
    <w:rsid w:val="002C4740"/>
    <w:rsid w:val="002C604C"/>
    <w:rsid w:val="002C606C"/>
    <w:rsid w:val="002C7F4E"/>
    <w:rsid w:val="002D00FF"/>
    <w:rsid w:val="002D0A08"/>
    <w:rsid w:val="002D1374"/>
    <w:rsid w:val="002D4625"/>
    <w:rsid w:val="002D4A5F"/>
    <w:rsid w:val="002D5C92"/>
    <w:rsid w:val="002D6579"/>
    <w:rsid w:val="002D72C4"/>
    <w:rsid w:val="002D76B4"/>
    <w:rsid w:val="002E0D65"/>
    <w:rsid w:val="002E0F76"/>
    <w:rsid w:val="002E0F77"/>
    <w:rsid w:val="002E1869"/>
    <w:rsid w:val="002E256B"/>
    <w:rsid w:val="002E319E"/>
    <w:rsid w:val="002E40BA"/>
    <w:rsid w:val="002E5277"/>
    <w:rsid w:val="002E5E75"/>
    <w:rsid w:val="002E6413"/>
    <w:rsid w:val="002F18E9"/>
    <w:rsid w:val="002F1C66"/>
    <w:rsid w:val="002F2C98"/>
    <w:rsid w:val="002F3076"/>
    <w:rsid w:val="002F3B63"/>
    <w:rsid w:val="002F4A14"/>
    <w:rsid w:val="002F4F52"/>
    <w:rsid w:val="002F50B3"/>
    <w:rsid w:val="002F59EF"/>
    <w:rsid w:val="002F692E"/>
    <w:rsid w:val="002F76C7"/>
    <w:rsid w:val="00300F09"/>
    <w:rsid w:val="0030204D"/>
    <w:rsid w:val="00302544"/>
    <w:rsid w:val="003025C9"/>
    <w:rsid w:val="0030494A"/>
    <w:rsid w:val="003117B2"/>
    <w:rsid w:val="00311C12"/>
    <w:rsid w:val="00312530"/>
    <w:rsid w:val="00313CD5"/>
    <w:rsid w:val="0031638C"/>
    <w:rsid w:val="0031646F"/>
    <w:rsid w:val="00316974"/>
    <w:rsid w:val="00317F0F"/>
    <w:rsid w:val="003223F9"/>
    <w:rsid w:val="00322ADC"/>
    <w:rsid w:val="00324424"/>
    <w:rsid w:val="00324E3B"/>
    <w:rsid w:val="003250E4"/>
    <w:rsid w:val="00325167"/>
    <w:rsid w:val="00325826"/>
    <w:rsid w:val="00325F31"/>
    <w:rsid w:val="00327B80"/>
    <w:rsid w:val="00327F7E"/>
    <w:rsid w:val="00330166"/>
    <w:rsid w:val="003310F7"/>
    <w:rsid w:val="003313A6"/>
    <w:rsid w:val="0033165C"/>
    <w:rsid w:val="00331B82"/>
    <w:rsid w:val="00332D90"/>
    <w:rsid w:val="003330E2"/>
    <w:rsid w:val="0033332E"/>
    <w:rsid w:val="00333628"/>
    <w:rsid w:val="00336C61"/>
    <w:rsid w:val="0033748E"/>
    <w:rsid w:val="00340D87"/>
    <w:rsid w:val="003411D8"/>
    <w:rsid w:val="003415DA"/>
    <w:rsid w:val="0034191A"/>
    <w:rsid w:val="00341A62"/>
    <w:rsid w:val="003442EC"/>
    <w:rsid w:val="003443F9"/>
    <w:rsid w:val="00344C14"/>
    <w:rsid w:val="00345073"/>
    <w:rsid w:val="003470F5"/>
    <w:rsid w:val="00347CA6"/>
    <w:rsid w:val="00352030"/>
    <w:rsid w:val="00352BD2"/>
    <w:rsid w:val="00354D5F"/>
    <w:rsid w:val="003557C5"/>
    <w:rsid w:val="003558D5"/>
    <w:rsid w:val="003605AA"/>
    <w:rsid w:val="00361800"/>
    <w:rsid w:val="00363F5E"/>
    <w:rsid w:val="003648E5"/>
    <w:rsid w:val="00364A37"/>
    <w:rsid w:val="003664EF"/>
    <w:rsid w:val="00367410"/>
    <w:rsid w:val="00370835"/>
    <w:rsid w:val="00373217"/>
    <w:rsid w:val="0037401F"/>
    <w:rsid w:val="003740C7"/>
    <w:rsid w:val="003746CD"/>
    <w:rsid w:val="00374DC9"/>
    <w:rsid w:val="00374E1C"/>
    <w:rsid w:val="00375919"/>
    <w:rsid w:val="00380456"/>
    <w:rsid w:val="00381E21"/>
    <w:rsid w:val="00383970"/>
    <w:rsid w:val="00384681"/>
    <w:rsid w:val="003866BF"/>
    <w:rsid w:val="00390DDA"/>
    <w:rsid w:val="003912A8"/>
    <w:rsid w:val="00391ED1"/>
    <w:rsid w:val="00392F62"/>
    <w:rsid w:val="003945B0"/>
    <w:rsid w:val="00394C2A"/>
    <w:rsid w:val="003958BC"/>
    <w:rsid w:val="00396469"/>
    <w:rsid w:val="00396511"/>
    <w:rsid w:val="00396BDC"/>
    <w:rsid w:val="00396CB6"/>
    <w:rsid w:val="00397B82"/>
    <w:rsid w:val="003A027A"/>
    <w:rsid w:val="003A1407"/>
    <w:rsid w:val="003A1D50"/>
    <w:rsid w:val="003A22A6"/>
    <w:rsid w:val="003A22F7"/>
    <w:rsid w:val="003A305C"/>
    <w:rsid w:val="003A3214"/>
    <w:rsid w:val="003A33C5"/>
    <w:rsid w:val="003A38A5"/>
    <w:rsid w:val="003A3C36"/>
    <w:rsid w:val="003A561C"/>
    <w:rsid w:val="003A5B59"/>
    <w:rsid w:val="003A5C65"/>
    <w:rsid w:val="003A5FEB"/>
    <w:rsid w:val="003A773E"/>
    <w:rsid w:val="003B1F24"/>
    <w:rsid w:val="003B2C5F"/>
    <w:rsid w:val="003B3060"/>
    <w:rsid w:val="003B3A13"/>
    <w:rsid w:val="003B3FF4"/>
    <w:rsid w:val="003B46A0"/>
    <w:rsid w:val="003B7E99"/>
    <w:rsid w:val="003C0178"/>
    <w:rsid w:val="003C0CA7"/>
    <w:rsid w:val="003C2106"/>
    <w:rsid w:val="003C2E50"/>
    <w:rsid w:val="003C541E"/>
    <w:rsid w:val="003C7296"/>
    <w:rsid w:val="003C78FB"/>
    <w:rsid w:val="003D046A"/>
    <w:rsid w:val="003D0DDF"/>
    <w:rsid w:val="003D2376"/>
    <w:rsid w:val="003D2A5D"/>
    <w:rsid w:val="003D391F"/>
    <w:rsid w:val="003D6139"/>
    <w:rsid w:val="003D6491"/>
    <w:rsid w:val="003E15DA"/>
    <w:rsid w:val="003E25D2"/>
    <w:rsid w:val="003E3311"/>
    <w:rsid w:val="003E463E"/>
    <w:rsid w:val="003E480E"/>
    <w:rsid w:val="003E4AA0"/>
    <w:rsid w:val="003E507E"/>
    <w:rsid w:val="003E5162"/>
    <w:rsid w:val="003E5DF6"/>
    <w:rsid w:val="003E7371"/>
    <w:rsid w:val="003E741F"/>
    <w:rsid w:val="003F060A"/>
    <w:rsid w:val="003F248B"/>
    <w:rsid w:val="003F2918"/>
    <w:rsid w:val="003F2FAF"/>
    <w:rsid w:val="003F321E"/>
    <w:rsid w:val="003F5602"/>
    <w:rsid w:val="003F5B34"/>
    <w:rsid w:val="003F7321"/>
    <w:rsid w:val="004015B1"/>
    <w:rsid w:val="00402790"/>
    <w:rsid w:val="00403830"/>
    <w:rsid w:val="0040500A"/>
    <w:rsid w:val="00405DEB"/>
    <w:rsid w:val="0040693F"/>
    <w:rsid w:val="004079D4"/>
    <w:rsid w:val="004105F9"/>
    <w:rsid w:val="004121F3"/>
    <w:rsid w:val="004123D4"/>
    <w:rsid w:val="00413790"/>
    <w:rsid w:val="004140C1"/>
    <w:rsid w:val="004150EC"/>
    <w:rsid w:val="00415A88"/>
    <w:rsid w:val="00415EE9"/>
    <w:rsid w:val="0041644A"/>
    <w:rsid w:val="00416B56"/>
    <w:rsid w:val="004176FF"/>
    <w:rsid w:val="004204FA"/>
    <w:rsid w:val="004209BC"/>
    <w:rsid w:val="00422096"/>
    <w:rsid w:val="00422930"/>
    <w:rsid w:val="00422DE2"/>
    <w:rsid w:val="00423C6A"/>
    <w:rsid w:val="00424724"/>
    <w:rsid w:val="00426BE6"/>
    <w:rsid w:val="00427B09"/>
    <w:rsid w:val="00431119"/>
    <w:rsid w:val="004311B6"/>
    <w:rsid w:val="00431F91"/>
    <w:rsid w:val="00432BD1"/>
    <w:rsid w:val="00432CAB"/>
    <w:rsid w:val="00433430"/>
    <w:rsid w:val="00433A7D"/>
    <w:rsid w:val="00434991"/>
    <w:rsid w:val="004368C5"/>
    <w:rsid w:val="00436C9D"/>
    <w:rsid w:val="00440D4A"/>
    <w:rsid w:val="00441BE8"/>
    <w:rsid w:val="0044215A"/>
    <w:rsid w:val="00442368"/>
    <w:rsid w:val="00442F31"/>
    <w:rsid w:val="00442F76"/>
    <w:rsid w:val="00444488"/>
    <w:rsid w:val="0044493C"/>
    <w:rsid w:val="00445083"/>
    <w:rsid w:val="004477CD"/>
    <w:rsid w:val="00447A5F"/>
    <w:rsid w:val="00451D55"/>
    <w:rsid w:val="00452184"/>
    <w:rsid w:val="00454298"/>
    <w:rsid w:val="004600DC"/>
    <w:rsid w:val="004610D0"/>
    <w:rsid w:val="0046166E"/>
    <w:rsid w:val="00462B60"/>
    <w:rsid w:val="00463C70"/>
    <w:rsid w:val="00464D0A"/>
    <w:rsid w:val="0046526B"/>
    <w:rsid w:val="00465AF6"/>
    <w:rsid w:val="00466563"/>
    <w:rsid w:val="00466892"/>
    <w:rsid w:val="0047041C"/>
    <w:rsid w:val="00470697"/>
    <w:rsid w:val="00470C89"/>
    <w:rsid w:val="004712AF"/>
    <w:rsid w:val="0047186F"/>
    <w:rsid w:val="004722FF"/>
    <w:rsid w:val="00475136"/>
    <w:rsid w:val="00475ED8"/>
    <w:rsid w:val="00476622"/>
    <w:rsid w:val="00480693"/>
    <w:rsid w:val="00481786"/>
    <w:rsid w:val="004825D9"/>
    <w:rsid w:val="00482C13"/>
    <w:rsid w:val="00482C90"/>
    <w:rsid w:val="00486C85"/>
    <w:rsid w:val="00491473"/>
    <w:rsid w:val="00491565"/>
    <w:rsid w:val="00491748"/>
    <w:rsid w:val="0049190B"/>
    <w:rsid w:val="004921DD"/>
    <w:rsid w:val="00492A9F"/>
    <w:rsid w:val="00494826"/>
    <w:rsid w:val="00494AD2"/>
    <w:rsid w:val="00494B0C"/>
    <w:rsid w:val="00495051"/>
    <w:rsid w:val="00495963"/>
    <w:rsid w:val="004960C4"/>
    <w:rsid w:val="00496D23"/>
    <w:rsid w:val="004A093A"/>
    <w:rsid w:val="004A0AB7"/>
    <w:rsid w:val="004A1AE6"/>
    <w:rsid w:val="004A1C49"/>
    <w:rsid w:val="004A20A7"/>
    <w:rsid w:val="004A5D3B"/>
    <w:rsid w:val="004A6406"/>
    <w:rsid w:val="004A6755"/>
    <w:rsid w:val="004A6EBC"/>
    <w:rsid w:val="004A784D"/>
    <w:rsid w:val="004B001B"/>
    <w:rsid w:val="004B1998"/>
    <w:rsid w:val="004B3020"/>
    <w:rsid w:val="004B3623"/>
    <w:rsid w:val="004B5B1E"/>
    <w:rsid w:val="004B7BEB"/>
    <w:rsid w:val="004C09A6"/>
    <w:rsid w:val="004C2EA1"/>
    <w:rsid w:val="004C597C"/>
    <w:rsid w:val="004C776C"/>
    <w:rsid w:val="004C7E5A"/>
    <w:rsid w:val="004D17ED"/>
    <w:rsid w:val="004D19C6"/>
    <w:rsid w:val="004D3453"/>
    <w:rsid w:val="004D396D"/>
    <w:rsid w:val="004D3CD3"/>
    <w:rsid w:val="004D4822"/>
    <w:rsid w:val="004D579E"/>
    <w:rsid w:val="004D64D5"/>
    <w:rsid w:val="004E07F6"/>
    <w:rsid w:val="004E0978"/>
    <w:rsid w:val="004E0B86"/>
    <w:rsid w:val="004E1B03"/>
    <w:rsid w:val="004E1C45"/>
    <w:rsid w:val="004E2AC4"/>
    <w:rsid w:val="004E2C63"/>
    <w:rsid w:val="004E2CB3"/>
    <w:rsid w:val="004E495E"/>
    <w:rsid w:val="004E57DA"/>
    <w:rsid w:val="004E6317"/>
    <w:rsid w:val="004E671A"/>
    <w:rsid w:val="004E68E8"/>
    <w:rsid w:val="004E733A"/>
    <w:rsid w:val="004E7D55"/>
    <w:rsid w:val="004F021C"/>
    <w:rsid w:val="004F1134"/>
    <w:rsid w:val="004F44FF"/>
    <w:rsid w:val="004F46B0"/>
    <w:rsid w:val="004F74AB"/>
    <w:rsid w:val="00501856"/>
    <w:rsid w:val="0050261D"/>
    <w:rsid w:val="005068D6"/>
    <w:rsid w:val="00506C55"/>
    <w:rsid w:val="00506C7E"/>
    <w:rsid w:val="00506DA5"/>
    <w:rsid w:val="00506ECD"/>
    <w:rsid w:val="00507759"/>
    <w:rsid w:val="00507A50"/>
    <w:rsid w:val="00511A16"/>
    <w:rsid w:val="00511E80"/>
    <w:rsid w:val="00515628"/>
    <w:rsid w:val="00516425"/>
    <w:rsid w:val="005168B6"/>
    <w:rsid w:val="00520DCB"/>
    <w:rsid w:val="00520F87"/>
    <w:rsid w:val="00521EEB"/>
    <w:rsid w:val="00525F8F"/>
    <w:rsid w:val="00526787"/>
    <w:rsid w:val="005276E4"/>
    <w:rsid w:val="00527E98"/>
    <w:rsid w:val="00531F3C"/>
    <w:rsid w:val="00534036"/>
    <w:rsid w:val="00534C35"/>
    <w:rsid w:val="00535A40"/>
    <w:rsid w:val="00535FDA"/>
    <w:rsid w:val="005376FE"/>
    <w:rsid w:val="0053786D"/>
    <w:rsid w:val="00540334"/>
    <w:rsid w:val="00540D9C"/>
    <w:rsid w:val="00540E54"/>
    <w:rsid w:val="00541F70"/>
    <w:rsid w:val="00543166"/>
    <w:rsid w:val="00543B45"/>
    <w:rsid w:val="00543E16"/>
    <w:rsid w:val="005458B9"/>
    <w:rsid w:val="00545FB4"/>
    <w:rsid w:val="005464FA"/>
    <w:rsid w:val="00547B8C"/>
    <w:rsid w:val="00550538"/>
    <w:rsid w:val="00550972"/>
    <w:rsid w:val="00550DC6"/>
    <w:rsid w:val="00551DED"/>
    <w:rsid w:val="005529D5"/>
    <w:rsid w:val="00552A20"/>
    <w:rsid w:val="0055424B"/>
    <w:rsid w:val="00555C6F"/>
    <w:rsid w:val="0055667A"/>
    <w:rsid w:val="00557F66"/>
    <w:rsid w:val="00561BAA"/>
    <w:rsid w:val="0056383E"/>
    <w:rsid w:val="00564E4A"/>
    <w:rsid w:val="00565BDD"/>
    <w:rsid w:val="005673EB"/>
    <w:rsid w:val="005705C8"/>
    <w:rsid w:val="00570999"/>
    <w:rsid w:val="00570A41"/>
    <w:rsid w:val="00571069"/>
    <w:rsid w:val="005732B4"/>
    <w:rsid w:val="00573593"/>
    <w:rsid w:val="00575C81"/>
    <w:rsid w:val="00576993"/>
    <w:rsid w:val="005800AD"/>
    <w:rsid w:val="00580292"/>
    <w:rsid w:val="005828E2"/>
    <w:rsid w:val="0058322D"/>
    <w:rsid w:val="00583CDA"/>
    <w:rsid w:val="00585033"/>
    <w:rsid w:val="0058596D"/>
    <w:rsid w:val="00586884"/>
    <w:rsid w:val="00590441"/>
    <w:rsid w:val="0059129D"/>
    <w:rsid w:val="00593BCC"/>
    <w:rsid w:val="00595E4D"/>
    <w:rsid w:val="00597717"/>
    <w:rsid w:val="00597C4B"/>
    <w:rsid w:val="005A2A5A"/>
    <w:rsid w:val="005A309C"/>
    <w:rsid w:val="005A3A8A"/>
    <w:rsid w:val="005A3CEF"/>
    <w:rsid w:val="005A540A"/>
    <w:rsid w:val="005A55BB"/>
    <w:rsid w:val="005A5C92"/>
    <w:rsid w:val="005A5D6D"/>
    <w:rsid w:val="005A6C99"/>
    <w:rsid w:val="005B0535"/>
    <w:rsid w:val="005B0BBE"/>
    <w:rsid w:val="005B0E94"/>
    <w:rsid w:val="005B178A"/>
    <w:rsid w:val="005B300D"/>
    <w:rsid w:val="005B3989"/>
    <w:rsid w:val="005B3B0B"/>
    <w:rsid w:val="005B5C36"/>
    <w:rsid w:val="005B5DE4"/>
    <w:rsid w:val="005B6389"/>
    <w:rsid w:val="005B6F5D"/>
    <w:rsid w:val="005B792A"/>
    <w:rsid w:val="005B7F75"/>
    <w:rsid w:val="005C0662"/>
    <w:rsid w:val="005C07FD"/>
    <w:rsid w:val="005C1565"/>
    <w:rsid w:val="005C177E"/>
    <w:rsid w:val="005C1DA5"/>
    <w:rsid w:val="005C4189"/>
    <w:rsid w:val="005C5538"/>
    <w:rsid w:val="005C592D"/>
    <w:rsid w:val="005C6D8B"/>
    <w:rsid w:val="005C6F4C"/>
    <w:rsid w:val="005C7F90"/>
    <w:rsid w:val="005D02E4"/>
    <w:rsid w:val="005D0EFF"/>
    <w:rsid w:val="005D1CF2"/>
    <w:rsid w:val="005D1FF9"/>
    <w:rsid w:val="005D6570"/>
    <w:rsid w:val="005D6DDE"/>
    <w:rsid w:val="005E0AE2"/>
    <w:rsid w:val="005E1E5A"/>
    <w:rsid w:val="005E1F2C"/>
    <w:rsid w:val="005E4467"/>
    <w:rsid w:val="005E6335"/>
    <w:rsid w:val="005F16EE"/>
    <w:rsid w:val="005F4A91"/>
    <w:rsid w:val="005F54EA"/>
    <w:rsid w:val="005F55CE"/>
    <w:rsid w:val="005F6839"/>
    <w:rsid w:val="005F7266"/>
    <w:rsid w:val="00600A81"/>
    <w:rsid w:val="00602EDA"/>
    <w:rsid w:val="0060468F"/>
    <w:rsid w:val="006055DA"/>
    <w:rsid w:val="00606043"/>
    <w:rsid w:val="00610E5C"/>
    <w:rsid w:val="00610F1F"/>
    <w:rsid w:val="00612349"/>
    <w:rsid w:val="00612CD7"/>
    <w:rsid w:val="00613028"/>
    <w:rsid w:val="00613138"/>
    <w:rsid w:val="006148A2"/>
    <w:rsid w:val="00615532"/>
    <w:rsid w:val="0061656F"/>
    <w:rsid w:val="00616915"/>
    <w:rsid w:val="00617DDD"/>
    <w:rsid w:val="00617E88"/>
    <w:rsid w:val="0062038D"/>
    <w:rsid w:val="00620D25"/>
    <w:rsid w:val="00621D7F"/>
    <w:rsid w:val="00622A1D"/>
    <w:rsid w:val="00622B3F"/>
    <w:rsid w:val="0062425A"/>
    <w:rsid w:val="006257EC"/>
    <w:rsid w:val="00625E59"/>
    <w:rsid w:val="00627391"/>
    <w:rsid w:val="00631585"/>
    <w:rsid w:val="0063207F"/>
    <w:rsid w:val="0063278D"/>
    <w:rsid w:val="006342A6"/>
    <w:rsid w:val="006345BD"/>
    <w:rsid w:val="00634A4A"/>
    <w:rsid w:val="006414FA"/>
    <w:rsid w:val="00645697"/>
    <w:rsid w:val="00647757"/>
    <w:rsid w:val="00650FE2"/>
    <w:rsid w:val="006512ED"/>
    <w:rsid w:val="006517B4"/>
    <w:rsid w:val="00651C07"/>
    <w:rsid w:val="00652317"/>
    <w:rsid w:val="00652AFD"/>
    <w:rsid w:val="0065311A"/>
    <w:rsid w:val="00654BC1"/>
    <w:rsid w:val="006610B2"/>
    <w:rsid w:val="00663317"/>
    <w:rsid w:val="00663F46"/>
    <w:rsid w:val="006654EC"/>
    <w:rsid w:val="006679CB"/>
    <w:rsid w:val="00670727"/>
    <w:rsid w:val="00670E21"/>
    <w:rsid w:val="00673A36"/>
    <w:rsid w:val="006742DD"/>
    <w:rsid w:val="0067448E"/>
    <w:rsid w:val="006746CA"/>
    <w:rsid w:val="00675DFE"/>
    <w:rsid w:val="0067709B"/>
    <w:rsid w:val="006775D7"/>
    <w:rsid w:val="00677833"/>
    <w:rsid w:val="00677B6F"/>
    <w:rsid w:val="006800AC"/>
    <w:rsid w:val="0068190D"/>
    <w:rsid w:val="006824DE"/>
    <w:rsid w:val="00682A30"/>
    <w:rsid w:val="00682D32"/>
    <w:rsid w:val="0068347C"/>
    <w:rsid w:val="0068348A"/>
    <w:rsid w:val="00684348"/>
    <w:rsid w:val="00684519"/>
    <w:rsid w:val="00684EC0"/>
    <w:rsid w:val="00684F94"/>
    <w:rsid w:val="00690875"/>
    <w:rsid w:val="00692CC3"/>
    <w:rsid w:val="00692FFC"/>
    <w:rsid w:val="00694E3A"/>
    <w:rsid w:val="00694FBB"/>
    <w:rsid w:val="00695D52"/>
    <w:rsid w:val="0069657F"/>
    <w:rsid w:val="00697059"/>
    <w:rsid w:val="006A0961"/>
    <w:rsid w:val="006A1231"/>
    <w:rsid w:val="006A18AE"/>
    <w:rsid w:val="006A1D91"/>
    <w:rsid w:val="006A2194"/>
    <w:rsid w:val="006A2B52"/>
    <w:rsid w:val="006A3097"/>
    <w:rsid w:val="006A41A7"/>
    <w:rsid w:val="006A4ED3"/>
    <w:rsid w:val="006A5C41"/>
    <w:rsid w:val="006A6FD1"/>
    <w:rsid w:val="006A7A5C"/>
    <w:rsid w:val="006B083A"/>
    <w:rsid w:val="006B1316"/>
    <w:rsid w:val="006B299B"/>
    <w:rsid w:val="006B3D74"/>
    <w:rsid w:val="006B4E1B"/>
    <w:rsid w:val="006B5203"/>
    <w:rsid w:val="006B66D9"/>
    <w:rsid w:val="006B6ABF"/>
    <w:rsid w:val="006B74A5"/>
    <w:rsid w:val="006B7737"/>
    <w:rsid w:val="006B7FE8"/>
    <w:rsid w:val="006C0FFE"/>
    <w:rsid w:val="006C2E56"/>
    <w:rsid w:val="006C3630"/>
    <w:rsid w:val="006C4635"/>
    <w:rsid w:val="006C6FDF"/>
    <w:rsid w:val="006C7B02"/>
    <w:rsid w:val="006D0041"/>
    <w:rsid w:val="006D10D8"/>
    <w:rsid w:val="006D1B16"/>
    <w:rsid w:val="006D2A4D"/>
    <w:rsid w:val="006D336A"/>
    <w:rsid w:val="006D50AC"/>
    <w:rsid w:val="006D5531"/>
    <w:rsid w:val="006D5E89"/>
    <w:rsid w:val="006D6613"/>
    <w:rsid w:val="006D66A4"/>
    <w:rsid w:val="006D7A55"/>
    <w:rsid w:val="006E0907"/>
    <w:rsid w:val="006E2D4E"/>
    <w:rsid w:val="006E2EE5"/>
    <w:rsid w:val="006E339D"/>
    <w:rsid w:val="006E35DD"/>
    <w:rsid w:val="006E5904"/>
    <w:rsid w:val="006E6676"/>
    <w:rsid w:val="006E6FBE"/>
    <w:rsid w:val="006F070C"/>
    <w:rsid w:val="006F0B17"/>
    <w:rsid w:val="006F0B57"/>
    <w:rsid w:val="006F328E"/>
    <w:rsid w:val="006F3AE9"/>
    <w:rsid w:val="006F5194"/>
    <w:rsid w:val="006F5ACE"/>
    <w:rsid w:val="006F6096"/>
    <w:rsid w:val="006F77FD"/>
    <w:rsid w:val="007002F9"/>
    <w:rsid w:val="00700AD6"/>
    <w:rsid w:val="00700B1D"/>
    <w:rsid w:val="00701008"/>
    <w:rsid w:val="00701A59"/>
    <w:rsid w:val="00702099"/>
    <w:rsid w:val="0070409B"/>
    <w:rsid w:val="00706206"/>
    <w:rsid w:val="007066EC"/>
    <w:rsid w:val="0070733B"/>
    <w:rsid w:val="00711F19"/>
    <w:rsid w:val="00712611"/>
    <w:rsid w:val="00714EA9"/>
    <w:rsid w:val="00715751"/>
    <w:rsid w:val="0071578A"/>
    <w:rsid w:val="00715812"/>
    <w:rsid w:val="00715AD5"/>
    <w:rsid w:val="007176BC"/>
    <w:rsid w:val="0071793B"/>
    <w:rsid w:val="00717F37"/>
    <w:rsid w:val="00721642"/>
    <w:rsid w:val="00724A62"/>
    <w:rsid w:val="00726233"/>
    <w:rsid w:val="00727660"/>
    <w:rsid w:val="00730FED"/>
    <w:rsid w:val="007337CB"/>
    <w:rsid w:val="00733EAF"/>
    <w:rsid w:val="00735280"/>
    <w:rsid w:val="007356B7"/>
    <w:rsid w:val="007359BF"/>
    <w:rsid w:val="007373E9"/>
    <w:rsid w:val="00737431"/>
    <w:rsid w:val="00740E70"/>
    <w:rsid w:val="0074153A"/>
    <w:rsid w:val="007420A6"/>
    <w:rsid w:val="00742264"/>
    <w:rsid w:val="00744D9E"/>
    <w:rsid w:val="00746AD6"/>
    <w:rsid w:val="00750102"/>
    <w:rsid w:val="00750BCD"/>
    <w:rsid w:val="00752985"/>
    <w:rsid w:val="00752DB0"/>
    <w:rsid w:val="007539F0"/>
    <w:rsid w:val="0075410D"/>
    <w:rsid w:val="00754161"/>
    <w:rsid w:val="00755819"/>
    <w:rsid w:val="0075583E"/>
    <w:rsid w:val="0075624D"/>
    <w:rsid w:val="0075662A"/>
    <w:rsid w:val="00756C0B"/>
    <w:rsid w:val="00756E11"/>
    <w:rsid w:val="0076062B"/>
    <w:rsid w:val="00763B05"/>
    <w:rsid w:val="0076419E"/>
    <w:rsid w:val="00766924"/>
    <w:rsid w:val="007704F5"/>
    <w:rsid w:val="0077068B"/>
    <w:rsid w:val="00771799"/>
    <w:rsid w:val="0077261B"/>
    <w:rsid w:val="00772855"/>
    <w:rsid w:val="0077399F"/>
    <w:rsid w:val="00774B02"/>
    <w:rsid w:val="0077519D"/>
    <w:rsid w:val="0077552A"/>
    <w:rsid w:val="0077552C"/>
    <w:rsid w:val="0077656E"/>
    <w:rsid w:val="0077659B"/>
    <w:rsid w:val="00780031"/>
    <w:rsid w:val="00780784"/>
    <w:rsid w:val="007807EE"/>
    <w:rsid w:val="00784523"/>
    <w:rsid w:val="00784732"/>
    <w:rsid w:val="00784B7E"/>
    <w:rsid w:val="00784DE5"/>
    <w:rsid w:val="00785A29"/>
    <w:rsid w:val="00786588"/>
    <w:rsid w:val="00786DAD"/>
    <w:rsid w:val="00787720"/>
    <w:rsid w:val="00787AFD"/>
    <w:rsid w:val="00790570"/>
    <w:rsid w:val="00790FF3"/>
    <w:rsid w:val="00793380"/>
    <w:rsid w:val="00793428"/>
    <w:rsid w:val="00793836"/>
    <w:rsid w:val="00795907"/>
    <w:rsid w:val="007969D2"/>
    <w:rsid w:val="00797422"/>
    <w:rsid w:val="00797BAE"/>
    <w:rsid w:val="007A12ED"/>
    <w:rsid w:val="007A3E98"/>
    <w:rsid w:val="007A5D0F"/>
    <w:rsid w:val="007A6BE0"/>
    <w:rsid w:val="007A6C1B"/>
    <w:rsid w:val="007A7258"/>
    <w:rsid w:val="007A77E5"/>
    <w:rsid w:val="007B140C"/>
    <w:rsid w:val="007B218C"/>
    <w:rsid w:val="007B229B"/>
    <w:rsid w:val="007B23B0"/>
    <w:rsid w:val="007B3EC9"/>
    <w:rsid w:val="007B3FC6"/>
    <w:rsid w:val="007B4F61"/>
    <w:rsid w:val="007B64B6"/>
    <w:rsid w:val="007B64FB"/>
    <w:rsid w:val="007B6DDD"/>
    <w:rsid w:val="007B6E46"/>
    <w:rsid w:val="007B7744"/>
    <w:rsid w:val="007B7E43"/>
    <w:rsid w:val="007C058B"/>
    <w:rsid w:val="007C0E97"/>
    <w:rsid w:val="007C1967"/>
    <w:rsid w:val="007C2939"/>
    <w:rsid w:val="007C2D57"/>
    <w:rsid w:val="007C4336"/>
    <w:rsid w:val="007C6D4D"/>
    <w:rsid w:val="007C6E8B"/>
    <w:rsid w:val="007C7A5D"/>
    <w:rsid w:val="007C7A84"/>
    <w:rsid w:val="007D25DF"/>
    <w:rsid w:val="007D2FFB"/>
    <w:rsid w:val="007D30ED"/>
    <w:rsid w:val="007D30FB"/>
    <w:rsid w:val="007D3438"/>
    <w:rsid w:val="007D404D"/>
    <w:rsid w:val="007D49FC"/>
    <w:rsid w:val="007D5C3B"/>
    <w:rsid w:val="007D6892"/>
    <w:rsid w:val="007D77CA"/>
    <w:rsid w:val="007E0828"/>
    <w:rsid w:val="007E1313"/>
    <w:rsid w:val="007E24CD"/>
    <w:rsid w:val="007E2C66"/>
    <w:rsid w:val="007E44EC"/>
    <w:rsid w:val="007E4664"/>
    <w:rsid w:val="007E5475"/>
    <w:rsid w:val="007E7435"/>
    <w:rsid w:val="007F095B"/>
    <w:rsid w:val="007F0B9D"/>
    <w:rsid w:val="007F232D"/>
    <w:rsid w:val="007F2A48"/>
    <w:rsid w:val="007F3F76"/>
    <w:rsid w:val="007F438D"/>
    <w:rsid w:val="007F47CB"/>
    <w:rsid w:val="007F6191"/>
    <w:rsid w:val="007F7516"/>
    <w:rsid w:val="007F7F57"/>
    <w:rsid w:val="008025AB"/>
    <w:rsid w:val="00802657"/>
    <w:rsid w:val="00804990"/>
    <w:rsid w:val="00804F9A"/>
    <w:rsid w:val="0080502A"/>
    <w:rsid w:val="0080509F"/>
    <w:rsid w:val="00805C1F"/>
    <w:rsid w:val="008067B9"/>
    <w:rsid w:val="00807BA3"/>
    <w:rsid w:val="00811C80"/>
    <w:rsid w:val="00812660"/>
    <w:rsid w:val="00814E8B"/>
    <w:rsid w:val="00816840"/>
    <w:rsid w:val="00820CFB"/>
    <w:rsid w:val="00820F70"/>
    <w:rsid w:val="00821CF6"/>
    <w:rsid w:val="00822407"/>
    <w:rsid w:val="0082253E"/>
    <w:rsid w:val="0082254E"/>
    <w:rsid w:val="008225A1"/>
    <w:rsid w:val="0082452A"/>
    <w:rsid w:val="0082453A"/>
    <w:rsid w:val="00825F16"/>
    <w:rsid w:val="008265A2"/>
    <w:rsid w:val="008275FD"/>
    <w:rsid w:val="00827961"/>
    <w:rsid w:val="00830EE4"/>
    <w:rsid w:val="008310B0"/>
    <w:rsid w:val="008310DC"/>
    <w:rsid w:val="008311D2"/>
    <w:rsid w:val="0083171C"/>
    <w:rsid w:val="008327D9"/>
    <w:rsid w:val="008347A9"/>
    <w:rsid w:val="00834FD5"/>
    <w:rsid w:val="00835563"/>
    <w:rsid w:val="00835D17"/>
    <w:rsid w:val="008360BF"/>
    <w:rsid w:val="00836100"/>
    <w:rsid w:val="008370CE"/>
    <w:rsid w:val="00837729"/>
    <w:rsid w:val="00837B67"/>
    <w:rsid w:val="00840801"/>
    <w:rsid w:val="008417CE"/>
    <w:rsid w:val="0084198E"/>
    <w:rsid w:val="00841F77"/>
    <w:rsid w:val="008432F6"/>
    <w:rsid w:val="00843E03"/>
    <w:rsid w:val="00843F8F"/>
    <w:rsid w:val="00845039"/>
    <w:rsid w:val="0085000F"/>
    <w:rsid w:val="00851C18"/>
    <w:rsid w:val="00853276"/>
    <w:rsid w:val="00855621"/>
    <w:rsid w:val="00856900"/>
    <w:rsid w:val="00857313"/>
    <w:rsid w:val="008579F1"/>
    <w:rsid w:val="00861C86"/>
    <w:rsid w:val="0086244D"/>
    <w:rsid w:val="008625A1"/>
    <w:rsid w:val="00863EF8"/>
    <w:rsid w:val="00863F14"/>
    <w:rsid w:val="008666EF"/>
    <w:rsid w:val="00866A8A"/>
    <w:rsid w:val="0086728D"/>
    <w:rsid w:val="0086793A"/>
    <w:rsid w:val="00867BDD"/>
    <w:rsid w:val="00870871"/>
    <w:rsid w:val="0087104C"/>
    <w:rsid w:val="00871382"/>
    <w:rsid w:val="00872076"/>
    <w:rsid w:val="00873077"/>
    <w:rsid w:val="00873E5C"/>
    <w:rsid w:val="00873FC6"/>
    <w:rsid w:val="0087478E"/>
    <w:rsid w:val="00874DEA"/>
    <w:rsid w:val="008765DC"/>
    <w:rsid w:val="00876879"/>
    <w:rsid w:val="00880652"/>
    <w:rsid w:val="008808BE"/>
    <w:rsid w:val="00880B59"/>
    <w:rsid w:val="00880C0F"/>
    <w:rsid w:val="00880C1E"/>
    <w:rsid w:val="00880D67"/>
    <w:rsid w:val="00881021"/>
    <w:rsid w:val="00881F93"/>
    <w:rsid w:val="0088219F"/>
    <w:rsid w:val="008823EB"/>
    <w:rsid w:val="008840FF"/>
    <w:rsid w:val="00885AF2"/>
    <w:rsid w:val="00885B86"/>
    <w:rsid w:val="00885E46"/>
    <w:rsid w:val="008866CB"/>
    <w:rsid w:val="008867A3"/>
    <w:rsid w:val="00890A89"/>
    <w:rsid w:val="0089187B"/>
    <w:rsid w:val="00891A7B"/>
    <w:rsid w:val="00891B24"/>
    <w:rsid w:val="00893B4E"/>
    <w:rsid w:val="00893BD1"/>
    <w:rsid w:val="00893BDC"/>
    <w:rsid w:val="0089424F"/>
    <w:rsid w:val="008963D2"/>
    <w:rsid w:val="008A2BAC"/>
    <w:rsid w:val="008A4A34"/>
    <w:rsid w:val="008A4D3B"/>
    <w:rsid w:val="008A5B7E"/>
    <w:rsid w:val="008A6EC7"/>
    <w:rsid w:val="008A7D04"/>
    <w:rsid w:val="008B08DC"/>
    <w:rsid w:val="008B0B4F"/>
    <w:rsid w:val="008B396B"/>
    <w:rsid w:val="008B461C"/>
    <w:rsid w:val="008B4BEC"/>
    <w:rsid w:val="008B57E5"/>
    <w:rsid w:val="008B655B"/>
    <w:rsid w:val="008C074E"/>
    <w:rsid w:val="008C0C53"/>
    <w:rsid w:val="008C2815"/>
    <w:rsid w:val="008C2B5D"/>
    <w:rsid w:val="008C3431"/>
    <w:rsid w:val="008C3746"/>
    <w:rsid w:val="008C3863"/>
    <w:rsid w:val="008C5039"/>
    <w:rsid w:val="008C5358"/>
    <w:rsid w:val="008C62C0"/>
    <w:rsid w:val="008C6CED"/>
    <w:rsid w:val="008C70EA"/>
    <w:rsid w:val="008D020D"/>
    <w:rsid w:val="008D0E95"/>
    <w:rsid w:val="008D130A"/>
    <w:rsid w:val="008D2563"/>
    <w:rsid w:val="008D2A35"/>
    <w:rsid w:val="008D4EFD"/>
    <w:rsid w:val="008D5A17"/>
    <w:rsid w:val="008E0113"/>
    <w:rsid w:val="008E062A"/>
    <w:rsid w:val="008E08B5"/>
    <w:rsid w:val="008E26A8"/>
    <w:rsid w:val="008E394C"/>
    <w:rsid w:val="008E3F2A"/>
    <w:rsid w:val="008E4172"/>
    <w:rsid w:val="008E7842"/>
    <w:rsid w:val="008F09FD"/>
    <w:rsid w:val="008F1265"/>
    <w:rsid w:val="008F1419"/>
    <w:rsid w:val="008F215B"/>
    <w:rsid w:val="008F4C92"/>
    <w:rsid w:val="008F50CF"/>
    <w:rsid w:val="008F6676"/>
    <w:rsid w:val="008F6D40"/>
    <w:rsid w:val="008F770D"/>
    <w:rsid w:val="009008C6"/>
    <w:rsid w:val="00900DD0"/>
    <w:rsid w:val="009019A4"/>
    <w:rsid w:val="00902773"/>
    <w:rsid w:val="00902C2A"/>
    <w:rsid w:val="009046C4"/>
    <w:rsid w:val="00904A1F"/>
    <w:rsid w:val="009056FF"/>
    <w:rsid w:val="009057CA"/>
    <w:rsid w:val="00906DF4"/>
    <w:rsid w:val="009106E6"/>
    <w:rsid w:val="0091090F"/>
    <w:rsid w:val="00912A9F"/>
    <w:rsid w:val="00912B1D"/>
    <w:rsid w:val="00913221"/>
    <w:rsid w:val="00913D7F"/>
    <w:rsid w:val="0091414C"/>
    <w:rsid w:val="0091463D"/>
    <w:rsid w:val="00914A95"/>
    <w:rsid w:val="00916D47"/>
    <w:rsid w:val="0092028E"/>
    <w:rsid w:val="0092109A"/>
    <w:rsid w:val="0092304D"/>
    <w:rsid w:val="00923210"/>
    <w:rsid w:val="00923AEB"/>
    <w:rsid w:val="00923B84"/>
    <w:rsid w:val="00923F80"/>
    <w:rsid w:val="00924E33"/>
    <w:rsid w:val="00925357"/>
    <w:rsid w:val="0092541E"/>
    <w:rsid w:val="009256E8"/>
    <w:rsid w:val="009273C4"/>
    <w:rsid w:val="00930047"/>
    <w:rsid w:val="00932165"/>
    <w:rsid w:val="00932EF7"/>
    <w:rsid w:val="00933F49"/>
    <w:rsid w:val="00934B93"/>
    <w:rsid w:val="00936FFB"/>
    <w:rsid w:val="0093787E"/>
    <w:rsid w:val="00940A1B"/>
    <w:rsid w:val="00942A9C"/>
    <w:rsid w:val="00942D08"/>
    <w:rsid w:val="0094421C"/>
    <w:rsid w:val="00944916"/>
    <w:rsid w:val="00945398"/>
    <w:rsid w:val="009457F0"/>
    <w:rsid w:val="00946881"/>
    <w:rsid w:val="00946C38"/>
    <w:rsid w:val="0094728B"/>
    <w:rsid w:val="009474FE"/>
    <w:rsid w:val="00947531"/>
    <w:rsid w:val="0095010E"/>
    <w:rsid w:val="00950E25"/>
    <w:rsid w:val="00950FE0"/>
    <w:rsid w:val="0095366A"/>
    <w:rsid w:val="00954379"/>
    <w:rsid w:val="00955381"/>
    <w:rsid w:val="009553F7"/>
    <w:rsid w:val="009566B7"/>
    <w:rsid w:val="00960690"/>
    <w:rsid w:val="0096128B"/>
    <w:rsid w:val="00961C7F"/>
    <w:rsid w:val="00961D6C"/>
    <w:rsid w:val="00962E10"/>
    <w:rsid w:val="009641E7"/>
    <w:rsid w:val="00964D5E"/>
    <w:rsid w:val="00964E14"/>
    <w:rsid w:val="0096637E"/>
    <w:rsid w:val="0096641F"/>
    <w:rsid w:val="009665A0"/>
    <w:rsid w:val="00967DC6"/>
    <w:rsid w:val="0097171A"/>
    <w:rsid w:val="00971AB5"/>
    <w:rsid w:val="00973977"/>
    <w:rsid w:val="00974096"/>
    <w:rsid w:val="009741F7"/>
    <w:rsid w:val="00974443"/>
    <w:rsid w:val="00974CD8"/>
    <w:rsid w:val="00975707"/>
    <w:rsid w:val="009757FE"/>
    <w:rsid w:val="00975A6D"/>
    <w:rsid w:val="00975FAE"/>
    <w:rsid w:val="0097781F"/>
    <w:rsid w:val="00977F3D"/>
    <w:rsid w:val="009806D1"/>
    <w:rsid w:val="00981639"/>
    <w:rsid w:val="00981849"/>
    <w:rsid w:val="0098190F"/>
    <w:rsid w:val="00983088"/>
    <w:rsid w:val="00983273"/>
    <w:rsid w:val="00984E09"/>
    <w:rsid w:val="00986C2C"/>
    <w:rsid w:val="009915B9"/>
    <w:rsid w:val="00991A92"/>
    <w:rsid w:val="009921CB"/>
    <w:rsid w:val="00993366"/>
    <w:rsid w:val="00993F28"/>
    <w:rsid w:val="00994EBB"/>
    <w:rsid w:val="00995314"/>
    <w:rsid w:val="009965CE"/>
    <w:rsid w:val="0099799D"/>
    <w:rsid w:val="00997C27"/>
    <w:rsid w:val="009A31CE"/>
    <w:rsid w:val="009A660B"/>
    <w:rsid w:val="009A68F3"/>
    <w:rsid w:val="009A7F4A"/>
    <w:rsid w:val="009B04B2"/>
    <w:rsid w:val="009B0D87"/>
    <w:rsid w:val="009B0ECA"/>
    <w:rsid w:val="009B1439"/>
    <w:rsid w:val="009B4126"/>
    <w:rsid w:val="009B5633"/>
    <w:rsid w:val="009B663B"/>
    <w:rsid w:val="009B78A7"/>
    <w:rsid w:val="009C05EF"/>
    <w:rsid w:val="009C0E0F"/>
    <w:rsid w:val="009C2785"/>
    <w:rsid w:val="009C5544"/>
    <w:rsid w:val="009C6E95"/>
    <w:rsid w:val="009C725D"/>
    <w:rsid w:val="009D066C"/>
    <w:rsid w:val="009D0E5D"/>
    <w:rsid w:val="009D1A93"/>
    <w:rsid w:val="009D1DFA"/>
    <w:rsid w:val="009D2287"/>
    <w:rsid w:val="009D35CE"/>
    <w:rsid w:val="009D39EE"/>
    <w:rsid w:val="009D427A"/>
    <w:rsid w:val="009D526E"/>
    <w:rsid w:val="009D5D09"/>
    <w:rsid w:val="009D60E6"/>
    <w:rsid w:val="009D642E"/>
    <w:rsid w:val="009D69C1"/>
    <w:rsid w:val="009E0E5C"/>
    <w:rsid w:val="009E15BD"/>
    <w:rsid w:val="009E1BEC"/>
    <w:rsid w:val="009E610E"/>
    <w:rsid w:val="009E6E2C"/>
    <w:rsid w:val="009E7175"/>
    <w:rsid w:val="009F5894"/>
    <w:rsid w:val="009F6BB5"/>
    <w:rsid w:val="009F77DA"/>
    <w:rsid w:val="009F7B31"/>
    <w:rsid w:val="00A002C2"/>
    <w:rsid w:val="00A04041"/>
    <w:rsid w:val="00A04692"/>
    <w:rsid w:val="00A05A0C"/>
    <w:rsid w:val="00A06C8B"/>
    <w:rsid w:val="00A07DFD"/>
    <w:rsid w:val="00A10347"/>
    <w:rsid w:val="00A118F6"/>
    <w:rsid w:val="00A124A7"/>
    <w:rsid w:val="00A128CA"/>
    <w:rsid w:val="00A14206"/>
    <w:rsid w:val="00A162CF"/>
    <w:rsid w:val="00A16803"/>
    <w:rsid w:val="00A17966"/>
    <w:rsid w:val="00A206E0"/>
    <w:rsid w:val="00A21047"/>
    <w:rsid w:val="00A21265"/>
    <w:rsid w:val="00A216C4"/>
    <w:rsid w:val="00A21BEA"/>
    <w:rsid w:val="00A240D3"/>
    <w:rsid w:val="00A24C5D"/>
    <w:rsid w:val="00A2579E"/>
    <w:rsid w:val="00A25D5D"/>
    <w:rsid w:val="00A27B74"/>
    <w:rsid w:val="00A27C2A"/>
    <w:rsid w:val="00A31A95"/>
    <w:rsid w:val="00A31CE5"/>
    <w:rsid w:val="00A329E2"/>
    <w:rsid w:val="00A33616"/>
    <w:rsid w:val="00A35179"/>
    <w:rsid w:val="00A352D8"/>
    <w:rsid w:val="00A36167"/>
    <w:rsid w:val="00A3755D"/>
    <w:rsid w:val="00A410D0"/>
    <w:rsid w:val="00A41A2C"/>
    <w:rsid w:val="00A42CC1"/>
    <w:rsid w:val="00A43C47"/>
    <w:rsid w:val="00A50935"/>
    <w:rsid w:val="00A51F68"/>
    <w:rsid w:val="00A529B0"/>
    <w:rsid w:val="00A52E11"/>
    <w:rsid w:val="00A53F6F"/>
    <w:rsid w:val="00A55274"/>
    <w:rsid w:val="00A56159"/>
    <w:rsid w:val="00A565E1"/>
    <w:rsid w:val="00A56847"/>
    <w:rsid w:val="00A56D68"/>
    <w:rsid w:val="00A57EA6"/>
    <w:rsid w:val="00A625B2"/>
    <w:rsid w:val="00A62989"/>
    <w:rsid w:val="00A62E12"/>
    <w:rsid w:val="00A633D6"/>
    <w:rsid w:val="00A6461B"/>
    <w:rsid w:val="00A669A9"/>
    <w:rsid w:val="00A7080F"/>
    <w:rsid w:val="00A70F7B"/>
    <w:rsid w:val="00A72C55"/>
    <w:rsid w:val="00A73EB8"/>
    <w:rsid w:val="00A74259"/>
    <w:rsid w:val="00A7612C"/>
    <w:rsid w:val="00A76422"/>
    <w:rsid w:val="00A766B9"/>
    <w:rsid w:val="00A77C81"/>
    <w:rsid w:val="00A77CB1"/>
    <w:rsid w:val="00A803F9"/>
    <w:rsid w:val="00A813A8"/>
    <w:rsid w:val="00A814F4"/>
    <w:rsid w:val="00A8154D"/>
    <w:rsid w:val="00A81B5B"/>
    <w:rsid w:val="00A81C6A"/>
    <w:rsid w:val="00A81FEC"/>
    <w:rsid w:val="00A84525"/>
    <w:rsid w:val="00A846D2"/>
    <w:rsid w:val="00A85449"/>
    <w:rsid w:val="00A85592"/>
    <w:rsid w:val="00A87851"/>
    <w:rsid w:val="00A938C2"/>
    <w:rsid w:val="00A93F65"/>
    <w:rsid w:val="00A947BD"/>
    <w:rsid w:val="00A95497"/>
    <w:rsid w:val="00A95CA7"/>
    <w:rsid w:val="00A968A5"/>
    <w:rsid w:val="00AA0B11"/>
    <w:rsid w:val="00AA20B0"/>
    <w:rsid w:val="00AA2872"/>
    <w:rsid w:val="00AA3195"/>
    <w:rsid w:val="00AA39CE"/>
    <w:rsid w:val="00AA51DE"/>
    <w:rsid w:val="00AA54E9"/>
    <w:rsid w:val="00AA60F0"/>
    <w:rsid w:val="00AB1804"/>
    <w:rsid w:val="00AB4DBC"/>
    <w:rsid w:val="00AB62A7"/>
    <w:rsid w:val="00AC02D3"/>
    <w:rsid w:val="00AC03A2"/>
    <w:rsid w:val="00AC0FB7"/>
    <w:rsid w:val="00AC2D17"/>
    <w:rsid w:val="00AC2E85"/>
    <w:rsid w:val="00AC62ED"/>
    <w:rsid w:val="00AD30A5"/>
    <w:rsid w:val="00AD54AD"/>
    <w:rsid w:val="00AD5ECC"/>
    <w:rsid w:val="00AD703A"/>
    <w:rsid w:val="00AE06B8"/>
    <w:rsid w:val="00AE11D1"/>
    <w:rsid w:val="00AE1C07"/>
    <w:rsid w:val="00AE2DEB"/>
    <w:rsid w:val="00AE3684"/>
    <w:rsid w:val="00AE41CC"/>
    <w:rsid w:val="00AE448B"/>
    <w:rsid w:val="00AE5D4B"/>
    <w:rsid w:val="00AF0812"/>
    <w:rsid w:val="00AF1E8A"/>
    <w:rsid w:val="00AF4849"/>
    <w:rsid w:val="00AF4B13"/>
    <w:rsid w:val="00AF4CD2"/>
    <w:rsid w:val="00AF55F8"/>
    <w:rsid w:val="00AF5CB6"/>
    <w:rsid w:val="00AF741C"/>
    <w:rsid w:val="00AF7A96"/>
    <w:rsid w:val="00AF7C0F"/>
    <w:rsid w:val="00B00281"/>
    <w:rsid w:val="00B010AA"/>
    <w:rsid w:val="00B0142F"/>
    <w:rsid w:val="00B0223E"/>
    <w:rsid w:val="00B02435"/>
    <w:rsid w:val="00B02D33"/>
    <w:rsid w:val="00B03960"/>
    <w:rsid w:val="00B03D95"/>
    <w:rsid w:val="00B04340"/>
    <w:rsid w:val="00B0506A"/>
    <w:rsid w:val="00B05539"/>
    <w:rsid w:val="00B0555E"/>
    <w:rsid w:val="00B0559F"/>
    <w:rsid w:val="00B06D6B"/>
    <w:rsid w:val="00B104DC"/>
    <w:rsid w:val="00B11747"/>
    <w:rsid w:val="00B12520"/>
    <w:rsid w:val="00B12CFD"/>
    <w:rsid w:val="00B13104"/>
    <w:rsid w:val="00B136CC"/>
    <w:rsid w:val="00B142A3"/>
    <w:rsid w:val="00B14672"/>
    <w:rsid w:val="00B1509B"/>
    <w:rsid w:val="00B15BE5"/>
    <w:rsid w:val="00B17376"/>
    <w:rsid w:val="00B17527"/>
    <w:rsid w:val="00B2010B"/>
    <w:rsid w:val="00B21456"/>
    <w:rsid w:val="00B21998"/>
    <w:rsid w:val="00B221A8"/>
    <w:rsid w:val="00B223BA"/>
    <w:rsid w:val="00B23E0B"/>
    <w:rsid w:val="00B2407F"/>
    <w:rsid w:val="00B2475B"/>
    <w:rsid w:val="00B24ABE"/>
    <w:rsid w:val="00B24FFE"/>
    <w:rsid w:val="00B25074"/>
    <w:rsid w:val="00B25F17"/>
    <w:rsid w:val="00B265DB"/>
    <w:rsid w:val="00B266A6"/>
    <w:rsid w:val="00B26A82"/>
    <w:rsid w:val="00B26AD3"/>
    <w:rsid w:val="00B275EF"/>
    <w:rsid w:val="00B27960"/>
    <w:rsid w:val="00B30323"/>
    <w:rsid w:val="00B32B2E"/>
    <w:rsid w:val="00B3604C"/>
    <w:rsid w:val="00B36E8D"/>
    <w:rsid w:val="00B40873"/>
    <w:rsid w:val="00B40EF0"/>
    <w:rsid w:val="00B41400"/>
    <w:rsid w:val="00B4156E"/>
    <w:rsid w:val="00B41CFC"/>
    <w:rsid w:val="00B42F5D"/>
    <w:rsid w:val="00B43B53"/>
    <w:rsid w:val="00B4746E"/>
    <w:rsid w:val="00B510CC"/>
    <w:rsid w:val="00B5113B"/>
    <w:rsid w:val="00B52A68"/>
    <w:rsid w:val="00B52B46"/>
    <w:rsid w:val="00B5364F"/>
    <w:rsid w:val="00B54286"/>
    <w:rsid w:val="00B54521"/>
    <w:rsid w:val="00B551B4"/>
    <w:rsid w:val="00B614F4"/>
    <w:rsid w:val="00B62953"/>
    <w:rsid w:val="00B63DA4"/>
    <w:rsid w:val="00B6748D"/>
    <w:rsid w:val="00B67A07"/>
    <w:rsid w:val="00B67C1C"/>
    <w:rsid w:val="00B67D54"/>
    <w:rsid w:val="00B7045E"/>
    <w:rsid w:val="00B708B7"/>
    <w:rsid w:val="00B71AB5"/>
    <w:rsid w:val="00B72F0B"/>
    <w:rsid w:val="00B73552"/>
    <w:rsid w:val="00B73CBB"/>
    <w:rsid w:val="00B76A60"/>
    <w:rsid w:val="00B77439"/>
    <w:rsid w:val="00B800FF"/>
    <w:rsid w:val="00B802E3"/>
    <w:rsid w:val="00B8061F"/>
    <w:rsid w:val="00B80662"/>
    <w:rsid w:val="00B8213C"/>
    <w:rsid w:val="00B82DFA"/>
    <w:rsid w:val="00B83203"/>
    <w:rsid w:val="00B83B3E"/>
    <w:rsid w:val="00B869AF"/>
    <w:rsid w:val="00B87283"/>
    <w:rsid w:val="00B87364"/>
    <w:rsid w:val="00B917A4"/>
    <w:rsid w:val="00B9184E"/>
    <w:rsid w:val="00B91DBE"/>
    <w:rsid w:val="00B92602"/>
    <w:rsid w:val="00B9261D"/>
    <w:rsid w:val="00B929DE"/>
    <w:rsid w:val="00B92CCC"/>
    <w:rsid w:val="00B93512"/>
    <w:rsid w:val="00B93F5B"/>
    <w:rsid w:val="00B944B8"/>
    <w:rsid w:val="00B958BE"/>
    <w:rsid w:val="00B96DBD"/>
    <w:rsid w:val="00B974CD"/>
    <w:rsid w:val="00BA051F"/>
    <w:rsid w:val="00BA088D"/>
    <w:rsid w:val="00BA1D18"/>
    <w:rsid w:val="00BA1D72"/>
    <w:rsid w:val="00BA272A"/>
    <w:rsid w:val="00BA3D02"/>
    <w:rsid w:val="00BA42BF"/>
    <w:rsid w:val="00BA4869"/>
    <w:rsid w:val="00BA5D74"/>
    <w:rsid w:val="00BA6A1A"/>
    <w:rsid w:val="00BA7751"/>
    <w:rsid w:val="00BB0666"/>
    <w:rsid w:val="00BB0C05"/>
    <w:rsid w:val="00BB2617"/>
    <w:rsid w:val="00BB26AE"/>
    <w:rsid w:val="00BB2DF3"/>
    <w:rsid w:val="00BB2E9D"/>
    <w:rsid w:val="00BB3778"/>
    <w:rsid w:val="00BB3BAA"/>
    <w:rsid w:val="00BB592E"/>
    <w:rsid w:val="00BB61FC"/>
    <w:rsid w:val="00BB7F67"/>
    <w:rsid w:val="00BC14D3"/>
    <w:rsid w:val="00BC1950"/>
    <w:rsid w:val="00BC1E3C"/>
    <w:rsid w:val="00BC2746"/>
    <w:rsid w:val="00BC2948"/>
    <w:rsid w:val="00BC39E9"/>
    <w:rsid w:val="00BC4809"/>
    <w:rsid w:val="00BC698D"/>
    <w:rsid w:val="00BD0E22"/>
    <w:rsid w:val="00BD191D"/>
    <w:rsid w:val="00BD232E"/>
    <w:rsid w:val="00BD23A8"/>
    <w:rsid w:val="00BD2708"/>
    <w:rsid w:val="00BD29D0"/>
    <w:rsid w:val="00BD3529"/>
    <w:rsid w:val="00BD5614"/>
    <w:rsid w:val="00BD6BC1"/>
    <w:rsid w:val="00BD792F"/>
    <w:rsid w:val="00BE03B6"/>
    <w:rsid w:val="00BE04EE"/>
    <w:rsid w:val="00BE0519"/>
    <w:rsid w:val="00BE09D9"/>
    <w:rsid w:val="00BE116E"/>
    <w:rsid w:val="00BE2CB1"/>
    <w:rsid w:val="00BE342D"/>
    <w:rsid w:val="00BE4425"/>
    <w:rsid w:val="00BE56CE"/>
    <w:rsid w:val="00BE6888"/>
    <w:rsid w:val="00BE71C5"/>
    <w:rsid w:val="00BE7C39"/>
    <w:rsid w:val="00BF188F"/>
    <w:rsid w:val="00BF1D5D"/>
    <w:rsid w:val="00BF291C"/>
    <w:rsid w:val="00BF3DFF"/>
    <w:rsid w:val="00BF4E9A"/>
    <w:rsid w:val="00BF540F"/>
    <w:rsid w:val="00BF719A"/>
    <w:rsid w:val="00BF7BD0"/>
    <w:rsid w:val="00BF7EDA"/>
    <w:rsid w:val="00C00420"/>
    <w:rsid w:val="00C00628"/>
    <w:rsid w:val="00C00C3A"/>
    <w:rsid w:val="00C00EA4"/>
    <w:rsid w:val="00C01407"/>
    <w:rsid w:val="00C05496"/>
    <w:rsid w:val="00C057B9"/>
    <w:rsid w:val="00C058C0"/>
    <w:rsid w:val="00C068BC"/>
    <w:rsid w:val="00C06962"/>
    <w:rsid w:val="00C07171"/>
    <w:rsid w:val="00C102FC"/>
    <w:rsid w:val="00C1120A"/>
    <w:rsid w:val="00C11FBB"/>
    <w:rsid w:val="00C1344F"/>
    <w:rsid w:val="00C134FD"/>
    <w:rsid w:val="00C13F4E"/>
    <w:rsid w:val="00C14206"/>
    <w:rsid w:val="00C1673E"/>
    <w:rsid w:val="00C20A7C"/>
    <w:rsid w:val="00C20E98"/>
    <w:rsid w:val="00C219F0"/>
    <w:rsid w:val="00C24698"/>
    <w:rsid w:val="00C24CDA"/>
    <w:rsid w:val="00C24F1C"/>
    <w:rsid w:val="00C277E0"/>
    <w:rsid w:val="00C32264"/>
    <w:rsid w:val="00C3334C"/>
    <w:rsid w:val="00C33B81"/>
    <w:rsid w:val="00C35B6A"/>
    <w:rsid w:val="00C4134B"/>
    <w:rsid w:val="00C4181B"/>
    <w:rsid w:val="00C41CFF"/>
    <w:rsid w:val="00C455A9"/>
    <w:rsid w:val="00C47F4F"/>
    <w:rsid w:val="00C530FB"/>
    <w:rsid w:val="00C54F00"/>
    <w:rsid w:val="00C5573C"/>
    <w:rsid w:val="00C56158"/>
    <w:rsid w:val="00C60B8B"/>
    <w:rsid w:val="00C60E2C"/>
    <w:rsid w:val="00C611D8"/>
    <w:rsid w:val="00C61BBB"/>
    <w:rsid w:val="00C61ECE"/>
    <w:rsid w:val="00C6376C"/>
    <w:rsid w:val="00C64071"/>
    <w:rsid w:val="00C644D7"/>
    <w:rsid w:val="00C65C30"/>
    <w:rsid w:val="00C66D8C"/>
    <w:rsid w:val="00C672A3"/>
    <w:rsid w:val="00C67775"/>
    <w:rsid w:val="00C67D2A"/>
    <w:rsid w:val="00C70376"/>
    <w:rsid w:val="00C71FDD"/>
    <w:rsid w:val="00C7332F"/>
    <w:rsid w:val="00C73334"/>
    <w:rsid w:val="00C73BD7"/>
    <w:rsid w:val="00C74960"/>
    <w:rsid w:val="00C76B7C"/>
    <w:rsid w:val="00C7769F"/>
    <w:rsid w:val="00C80B16"/>
    <w:rsid w:val="00C80DB6"/>
    <w:rsid w:val="00C80E10"/>
    <w:rsid w:val="00C82744"/>
    <w:rsid w:val="00C82B37"/>
    <w:rsid w:val="00C8463F"/>
    <w:rsid w:val="00C84AE2"/>
    <w:rsid w:val="00C84CA1"/>
    <w:rsid w:val="00C85640"/>
    <w:rsid w:val="00C85EF7"/>
    <w:rsid w:val="00C869C0"/>
    <w:rsid w:val="00C86B0D"/>
    <w:rsid w:val="00C86E22"/>
    <w:rsid w:val="00C86E58"/>
    <w:rsid w:val="00C8745E"/>
    <w:rsid w:val="00C903A7"/>
    <w:rsid w:val="00C90DAA"/>
    <w:rsid w:val="00C91564"/>
    <w:rsid w:val="00C92FB4"/>
    <w:rsid w:val="00C9471E"/>
    <w:rsid w:val="00C94EE2"/>
    <w:rsid w:val="00C9520E"/>
    <w:rsid w:val="00C955DB"/>
    <w:rsid w:val="00C964BA"/>
    <w:rsid w:val="00C97A66"/>
    <w:rsid w:val="00C97B9B"/>
    <w:rsid w:val="00C97FE2"/>
    <w:rsid w:val="00CA0613"/>
    <w:rsid w:val="00CA1465"/>
    <w:rsid w:val="00CA36CE"/>
    <w:rsid w:val="00CA3924"/>
    <w:rsid w:val="00CA45F4"/>
    <w:rsid w:val="00CA4DE2"/>
    <w:rsid w:val="00CA50D6"/>
    <w:rsid w:val="00CA51C9"/>
    <w:rsid w:val="00CA593F"/>
    <w:rsid w:val="00CA7280"/>
    <w:rsid w:val="00CB0270"/>
    <w:rsid w:val="00CB3BB0"/>
    <w:rsid w:val="00CB596B"/>
    <w:rsid w:val="00CB5B28"/>
    <w:rsid w:val="00CB70B9"/>
    <w:rsid w:val="00CB7997"/>
    <w:rsid w:val="00CC0EFA"/>
    <w:rsid w:val="00CC17ED"/>
    <w:rsid w:val="00CC5014"/>
    <w:rsid w:val="00CC511A"/>
    <w:rsid w:val="00CC7FB1"/>
    <w:rsid w:val="00CD0899"/>
    <w:rsid w:val="00CD09AE"/>
    <w:rsid w:val="00CD0C12"/>
    <w:rsid w:val="00CD147B"/>
    <w:rsid w:val="00CD31CE"/>
    <w:rsid w:val="00CD5675"/>
    <w:rsid w:val="00CD5A3F"/>
    <w:rsid w:val="00CD5F2A"/>
    <w:rsid w:val="00CE22E4"/>
    <w:rsid w:val="00CE2424"/>
    <w:rsid w:val="00CE254B"/>
    <w:rsid w:val="00CE280F"/>
    <w:rsid w:val="00CE2A2B"/>
    <w:rsid w:val="00CE54FD"/>
    <w:rsid w:val="00CE554F"/>
    <w:rsid w:val="00CE62FE"/>
    <w:rsid w:val="00CE6832"/>
    <w:rsid w:val="00CE6D88"/>
    <w:rsid w:val="00CE700E"/>
    <w:rsid w:val="00CE7533"/>
    <w:rsid w:val="00CF0299"/>
    <w:rsid w:val="00CF058D"/>
    <w:rsid w:val="00CF1F0F"/>
    <w:rsid w:val="00CF21A7"/>
    <w:rsid w:val="00CF42ED"/>
    <w:rsid w:val="00CF48AD"/>
    <w:rsid w:val="00CF54C2"/>
    <w:rsid w:val="00CF66A5"/>
    <w:rsid w:val="00CF6705"/>
    <w:rsid w:val="00CF7739"/>
    <w:rsid w:val="00CF79A4"/>
    <w:rsid w:val="00D07043"/>
    <w:rsid w:val="00D10155"/>
    <w:rsid w:val="00D10A16"/>
    <w:rsid w:val="00D11293"/>
    <w:rsid w:val="00D1347C"/>
    <w:rsid w:val="00D1430F"/>
    <w:rsid w:val="00D14F26"/>
    <w:rsid w:val="00D156D3"/>
    <w:rsid w:val="00D16201"/>
    <w:rsid w:val="00D17399"/>
    <w:rsid w:val="00D21454"/>
    <w:rsid w:val="00D21AA0"/>
    <w:rsid w:val="00D22BDF"/>
    <w:rsid w:val="00D25A97"/>
    <w:rsid w:val="00D27A19"/>
    <w:rsid w:val="00D27B09"/>
    <w:rsid w:val="00D31670"/>
    <w:rsid w:val="00D32F30"/>
    <w:rsid w:val="00D33266"/>
    <w:rsid w:val="00D33307"/>
    <w:rsid w:val="00D33403"/>
    <w:rsid w:val="00D35110"/>
    <w:rsid w:val="00D3599C"/>
    <w:rsid w:val="00D35DCD"/>
    <w:rsid w:val="00D36319"/>
    <w:rsid w:val="00D3636B"/>
    <w:rsid w:val="00D36744"/>
    <w:rsid w:val="00D3688B"/>
    <w:rsid w:val="00D36A33"/>
    <w:rsid w:val="00D40365"/>
    <w:rsid w:val="00D420CD"/>
    <w:rsid w:val="00D42308"/>
    <w:rsid w:val="00D437BC"/>
    <w:rsid w:val="00D47001"/>
    <w:rsid w:val="00D471F3"/>
    <w:rsid w:val="00D47428"/>
    <w:rsid w:val="00D54380"/>
    <w:rsid w:val="00D564B8"/>
    <w:rsid w:val="00D566F4"/>
    <w:rsid w:val="00D56AAF"/>
    <w:rsid w:val="00D577E5"/>
    <w:rsid w:val="00D63147"/>
    <w:rsid w:val="00D6457F"/>
    <w:rsid w:val="00D652BC"/>
    <w:rsid w:val="00D652E6"/>
    <w:rsid w:val="00D65A2A"/>
    <w:rsid w:val="00D66B93"/>
    <w:rsid w:val="00D66DC1"/>
    <w:rsid w:val="00D70DE5"/>
    <w:rsid w:val="00D71C44"/>
    <w:rsid w:val="00D72E53"/>
    <w:rsid w:val="00D735FF"/>
    <w:rsid w:val="00D75384"/>
    <w:rsid w:val="00D759C3"/>
    <w:rsid w:val="00D75F27"/>
    <w:rsid w:val="00D761D7"/>
    <w:rsid w:val="00D77637"/>
    <w:rsid w:val="00D77C6F"/>
    <w:rsid w:val="00D8105B"/>
    <w:rsid w:val="00D837D2"/>
    <w:rsid w:val="00D8445E"/>
    <w:rsid w:val="00D84AC9"/>
    <w:rsid w:val="00D86D6D"/>
    <w:rsid w:val="00D872A8"/>
    <w:rsid w:val="00D87EE7"/>
    <w:rsid w:val="00D90572"/>
    <w:rsid w:val="00D9171E"/>
    <w:rsid w:val="00D92910"/>
    <w:rsid w:val="00D93934"/>
    <w:rsid w:val="00D968D1"/>
    <w:rsid w:val="00D9717A"/>
    <w:rsid w:val="00D97C64"/>
    <w:rsid w:val="00D97F20"/>
    <w:rsid w:val="00DA0408"/>
    <w:rsid w:val="00DA1934"/>
    <w:rsid w:val="00DA1FD9"/>
    <w:rsid w:val="00DA25FE"/>
    <w:rsid w:val="00DA434D"/>
    <w:rsid w:val="00DA53C7"/>
    <w:rsid w:val="00DA62DF"/>
    <w:rsid w:val="00DA6452"/>
    <w:rsid w:val="00DA6EAE"/>
    <w:rsid w:val="00DB1458"/>
    <w:rsid w:val="00DB38AB"/>
    <w:rsid w:val="00DB422C"/>
    <w:rsid w:val="00DB4DED"/>
    <w:rsid w:val="00DB58DA"/>
    <w:rsid w:val="00DB64C6"/>
    <w:rsid w:val="00DB6527"/>
    <w:rsid w:val="00DB6CE3"/>
    <w:rsid w:val="00DB7189"/>
    <w:rsid w:val="00DB76D5"/>
    <w:rsid w:val="00DB7A38"/>
    <w:rsid w:val="00DC2582"/>
    <w:rsid w:val="00DC2C02"/>
    <w:rsid w:val="00DC54DE"/>
    <w:rsid w:val="00DC5A38"/>
    <w:rsid w:val="00DC5E6E"/>
    <w:rsid w:val="00DC60D8"/>
    <w:rsid w:val="00DC703A"/>
    <w:rsid w:val="00DD022E"/>
    <w:rsid w:val="00DD3856"/>
    <w:rsid w:val="00DD4D45"/>
    <w:rsid w:val="00DD6017"/>
    <w:rsid w:val="00DD62EA"/>
    <w:rsid w:val="00DD7640"/>
    <w:rsid w:val="00DE02BE"/>
    <w:rsid w:val="00DE121C"/>
    <w:rsid w:val="00DE1EF1"/>
    <w:rsid w:val="00DE2525"/>
    <w:rsid w:val="00DE2D64"/>
    <w:rsid w:val="00DE4BEC"/>
    <w:rsid w:val="00DE5BEF"/>
    <w:rsid w:val="00DE6695"/>
    <w:rsid w:val="00DE6A1F"/>
    <w:rsid w:val="00DE7DD3"/>
    <w:rsid w:val="00DF3848"/>
    <w:rsid w:val="00DF3CA5"/>
    <w:rsid w:val="00DF557D"/>
    <w:rsid w:val="00DF6979"/>
    <w:rsid w:val="00DF6D68"/>
    <w:rsid w:val="00DF73A8"/>
    <w:rsid w:val="00DF7AB6"/>
    <w:rsid w:val="00E0214F"/>
    <w:rsid w:val="00E026FC"/>
    <w:rsid w:val="00E02724"/>
    <w:rsid w:val="00E02E8D"/>
    <w:rsid w:val="00E05A6D"/>
    <w:rsid w:val="00E060D1"/>
    <w:rsid w:val="00E066A7"/>
    <w:rsid w:val="00E1024C"/>
    <w:rsid w:val="00E1128F"/>
    <w:rsid w:val="00E128D9"/>
    <w:rsid w:val="00E130AB"/>
    <w:rsid w:val="00E1496F"/>
    <w:rsid w:val="00E14BDD"/>
    <w:rsid w:val="00E1617B"/>
    <w:rsid w:val="00E167B8"/>
    <w:rsid w:val="00E169CA"/>
    <w:rsid w:val="00E16BF2"/>
    <w:rsid w:val="00E17B53"/>
    <w:rsid w:val="00E206E4"/>
    <w:rsid w:val="00E212D5"/>
    <w:rsid w:val="00E22201"/>
    <w:rsid w:val="00E230FC"/>
    <w:rsid w:val="00E242D3"/>
    <w:rsid w:val="00E249FB"/>
    <w:rsid w:val="00E25BC0"/>
    <w:rsid w:val="00E2641B"/>
    <w:rsid w:val="00E265A6"/>
    <w:rsid w:val="00E2794E"/>
    <w:rsid w:val="00E322F1"/>
    <w:rsid w:val="00E33A8E"/>
    <w:rsid w:val="00E3541B"/>
    <w:rsid w:val="00E354BA"/>
    <w:rsid w:val="00E35D4E"/>
    <w:rsid w:val="00E36858"/>
    <w:rsid w:val="00E37205"/>
    <w:rsid w:val="00E37BE3"/>
    <w:rsid w:val="00E40237"/>
    <w:rsid w:val="00E403B9"/>
    <w:rsid w:val="00E406F9"/>
    <w:rsid w:val="00E4240B"/>
    <w:rsid w:val="00E4249A"/>
    <w:rsid w:val="00E43B2D"/>
    <w:rsid w:val="00E44AAA"/>
    <w:rsid w:val="00E44DBC"/>
    <w:rsid w:val="00E4577A"/>
    <w:rsid w:val="00E46366"/>
    <w:rsid w:val="00E50125"/>
    <w:rsid w:val="00E503F3"/>
    <w:rsid w:val="00E51B66"/>
    <w:rsid w:val="00E51C48"/>
    <w:rsid w:val="00E542B4"/>
    <w:rsid w:val="00E546FB"/>
    <w:rsid w:val="00E54A4B"/>
    <w:rsid w:val="00E56109"/>
    <w:rsid w:val="00E56ED2"/>
    <w:rsid w:val="00E57B2F"/>
    <w:rsid w:val="00E61847"/>
    <w:rsid w:val="00E63F40"/>
    <w:rsid w:val="00E6426A"/>
    <w:rsid w:val="00E64C0C"/>
    <w:rsid w:val="00E66064"/>
    <w:rsid w:val="00E67DCD"/>
    <w:rsid w:val="00E7073F"/>
    <w:rsid w:val="00E73409"/>
    <w:rsid w:val="00E7475B"/>
    <w:rsid w:val="00E76448"/>
    <w:rsid w:val="00E769A6"/>
    <w:rsid w:val="00E76B7E"/>
    <w:rsid w:val="00E77AD5"/>
    <w:rsid w:val="00E809F7"/>
    <w:rsid w:val="00E81DF7"/>
    <w:rsid w:val="00E824CE"/>
    <w:rsid w:val="00E824FE"/>
    <w:rsid w:val="00E8275F"/>
    <w:rsid w:val="00E829C3"/>
    <w:rsid w:val="00E82DCF"/>
    <w:rsid w:val="00E84936"/>
    <w:rsid w:val="00E84F63"/>
    <w:rsid w:val="00E85B85"/>
    <w:rsid w:val="00E864E0"/>
    <w:rsid w:val="00E866C1"/>
    <w:rsid w:val="00E87AA7"/>
    <w:rsid w:val="00E91259"/>
    <w:rsid w:val="00E91B8F"/>
    <w:rsid w:val="00E92282"/>
    <w:rsid w:val="00E922EC"/>
    <w:rsid w:val="00E96D15"/>
    <w:rsid w:val="00E974D5"/>
    <w:rsid w:val="00E97F83"/>
    <w:rsid w:val="00EA13B5"/>
    <w:rsid w:val="00EA1CBF"/>
    <w:rsid w:val="00EA26D6"/>
    <w:rsid w:val="00EA2C95"/>
    <w:rsid w:val="00EA4CF8"/>
    <w:rsid w:val="00EB00DD"/>
    <w:rsid w:val="00EB0112"/>
    <w:rsid w:val="00EB2D01"/>
    <w:rsid w:val="00EB4800"/>
    <w:rsid w:val="00EB7915"/>
    <w:rsid w:val="00EC0807"/>
    <w:rsid w:val="00EC14C2"/>
    <w:rsid w:val="00EC1544"/>
    <w:rsid w:val="00EC1701"/>
    <w:rsid w:val="00EC2393"/>
    <w:rsid w:val="00EC3367"/>
    <w:rsid w:val="00EC5687"/>
    <w:rsid w:val="00EC5A25"/>
    <w:rsid w:val="00EC63DB"/>
    <w:rsid w:val="00EC63F4"/>
    <w:rsid w:val="00EC6724"/>
    <w:rsid w:val="00ED0B74"/>
    <w:rsid w:val="00ED10F4"/>
    <w:rsid w:val="00ED1B46"/>
    <w:rsid w:val="00ED1FEF"/>
    <w:rsid w:val="00ED204C"/>
    <w:rsid w:val="00ED24F9"/>
    <w:rsid w:val="00ED3590"/>
    <w:rsid w:val="00ED3A91"/>
    <w:rsid w:val="00ED3F2F"/>
    <w:rsid w:val="00ED436D"/>
    <w:rsid w:val="00ED5386"/>
    <w:rsid w:val="00ED75A1"/>
    <w:rsid w:val="00EE0205"/>
    <w:rsid w:val="00EE05C4"/>
    <w:rsid w:val="00EE0E4C"/>
    <w:rsid w:val="00EE12F3"/>
    <w:rsid w:val="00EE1887"/>
    <w:rsid w:val="00EE3065"/>
    <w:rsid w:val="00EE4992"/>
    <w:rsid w:val="00EE4D3E"/>
    <w:rsid w:val="00EE5628"/>
    <w:rsid w:val="00EE5644"/>
    <w:rsid w:val="00EE5C67"/>
    <w:rsid w:val="00EE5D3D"/>
    <w:rsid w:val="00EE6FF3"/>
    <w:rsid w:val="00EE7614"/>
    <w:rsid w:val="00EE7F05"/>
    <w:rsid w:val="00EF1743"/>
    <w:rsid w:val="00EF20CC"/>
    <w:rsid w:val="00EF2294"/>
    <w:rsid w:val="00EF2E22"/>
    <w:rsid w:val="00EF389B"/>
    <w:rsid w:val="00EF7E62"/>
    <w:rsid w:val="00F01CA8"/>
    <w:rsid w:val="00F02B09"/>
    <w:rsid w:val="00F036E6"/>
    <w:rsid w:val="00F03953"/>
    <w:rsid w:val="00F04CC4"/>
    <w:rsid w:val="00F05EBF"/>
    <w:rsid w:val="00F05FCA"/>
    <w:rsid w:val="00F06943"/>
    <w:rsid w:val="00F06B42"/>
    <w:rsid w:val="00F06E87"/>
    <w:rsid w:val="00F07183"/>
    <w:rsid w:val="00F11CEB"/>
    <w:rsid w:val="00F12494"/>
    <w:rsid w:val="00F12B85"/>
    <w:rsid w:val="00F131C3"/>
    <w:rsid w:val="00F140A0"/>
    <w:rsid w:val="00F140EB"/>
    <w:rsid w:val="00F1437B"/>
    <w:rsid w:val="00F16ACC"/>
    <w:rsid w:val="00F16E8D"/>
    <w:rsid w:val="00F1774B"/>
    <w:rsid w:val="00F20B21"/>
    <w:rsid w:val="00F2134F"/>
    <w:rsid w:val="00F2172A"/>
    <w:rsid w:val="00F23FD9"/>
    <w:rsid w:val="00F248CF"/>
    <w:rsid w:val="00F24F5F"/>
    <w:rsid w:val="00F24F9F"/>
    <w:rsid w:val="00F25037"/>
    <w:rsid w:val="00F2553E"/>
    <w:rsid w:val="00F25939"/>
    <w:rsid w:val="00F261C7"/>
    <w:rsid w:val="00F26A06"/>
    <w:rsid w:val="00F27070"/>
    <w:rsid w:val="00F31DF9"/>
    <w:rsid w:val="00F31EA4"/>
    <w:rsid w:val="00F345C6"/>
    <w:rsid w:val="00F4082C"/>
    <w:rsid w:val="00F40E94"/>
    <w:rsid w:val="00F40F1C"/>
    <w:rsid w:val="00F410AF"/>
    <w:rsid w:val="00F41D2B"/>
    <w:rsid w:val="00F42134"/>
    <w:rsid w:val="00F43E18"/>
    <w:rsid w:val="00F44811"/>
    <w:rsid w:val="00F45429"/>
    <w:rsid w:val="00F463EA"/>
    <w:rsid w:val="00F514E4"/>
    <w:rsid w:val="00F5297E"/>
    <w:rsid w:val="00F53495"/>
    <w:rsid w:val="00F535F4"/>
    <w:rsid w:val="00F55F28"/>
    <w:rsid w:val="00F62387"/>
    <w:rsid w:val="00F630FA"/>
    <w:rsid w:val="00F6318B"/>
    <w:rsid w:val="00F63955"/>
    <w:rsid w:val="00F64999"/>
    <w:rsid w:val="00F64ECC"/>
    <w:rsid w:val="00F66F47"/>
    <w:rsid w:val="00F67C5C"/>
    <w:rsid w:val="00F701E4"/>
    <w:rsid w:val="00F70771"/>
    <w:rsid w:val="00F70AC7"/>
    <w:rsid w:val="00F7364B"/>
    <w:rsid w:val="00F73811"/>
    <w:rsid w:val="00F74724"/>
    <w:rsid w:val="00F75204"/>
    <w:rsid w:val="00F77C01"/>
    <w:rsid w:val="00F8088C"/>
    <w:rsid w:val="00F823FE"/>
    <w:rsid w:val="00F82FB3"/>
    <w:rsid w:val="00F84335"/>
    <w:rsid w:val="00F849D5"/>
    <w:rsid w:val="00F85440"/>
    <w:rsid w:val="00F90168"/>
    <w:rsid w:val="00F908B4"/>
    <w:rsid w:val="00F92006"/>
    <w:rsid w:val="00F92CAD"/>
    <w:rsid w:val="00F93123"/>
    <w:rsid w:val="00F93500"/>
    <w:rsid w:val="00F94ABA"/>
    <w:rsid w:val="00F955BC"/>
    <w:rsid w:val="00F95871"/>
    <w:rsid w:val="00F974E3"/>
    <w:rsid w:val="00FA066D"/>
    <w:rsid w:val="00FA09A4"/>
    <w:rsid w:val="00FA0CB7"/>
    <w:rsid w:val="00FA1C50"/>
    <w:rsid w:val="00FA2455"/>
    <w:rsid w:val="00FA24BC"/>
    <w:rsid w:val="00FA2627"/>
    <w:rsid w:val="00FA4A23"/>
    <w:rsid w:val="00FA5926"/>
    <w:rsid w:val="00FA5ABD"/>
    <w:rsid w:val="00FA6257"/>
    <w:rsid w:val="00FA6746"/>
    <w:rsid w:val="00FB0746"/>
    <w:rsid w:val="00FB41C2"/>
    <w:rsid w:val="00FB49B0"/>
    <w:rsid w:val="00FB5780"/>
    <w:rsid w:val="00FB57A3"/>
    <w:rsid w:val="00FB5E6C"/>
    <w:rsid w:val="00FB6033"/>
    <w:rsid w:val="00FB6C42"/>
    <w:rsid w:val="00FB6D8F"/>
    <w:rsid w:val="00FB73D2"/>
    <w:rsid w:val="00FC2DFB"/>
    <w:rsid w:val="00FC3432"/>
    <w:rsid w:val="00FC46AD"/>
    <w:rsid w:val="00FC4C92"/>
    <w:rsid w:val="00FC4EC6"/>
    <w:rsid w:val="00FC60D1"/>
    <w:rsid w:val="00FC650B"/>
    <w:rsid w:val="00FC7D95"/>
    <w:rsid w:val="00FD0E24"/>
    <w:rsid w:val="00FD1B50"/>
    <w:rsid w:val="00FD3AB6"/>
    <w:rsid w:val="00FD3FBF"/>
    <w:rsid w:val="00FD60EA"/>
    <w:rsid w:val="00FD78E5"/>
    <w:rsid w:val="00FD7D1E"/>
    <w:rsid w:val="00FE05CA"/>
    <w:rsid w:val="00FE195F"/>
    <w:rsid w:val="00FE19B0"/>
    <w:rsid w:val="00FE1AC2"/>
    <w:rsid w:val="00FE2618"/>
    <w:rsid w:val="00FE278A"/>
    <w:rsid w:val="00FE27E5"/>
    <w:rsid w:val="00FE3B11"/>
    <w:rsid w:val="00FE66DD"/>
    <w:rsid w:val="00FE70A7"/>
    <w:rsid w:val="00FE76E9"/>
    <w:rsid w:val="00FE7AB8"/>
    <w:rsid w:val="00FF05C3"/>
    <w:rsid w:val="00FF208A"/>
    <w:rsid w:val="00FF26D8"/>
    <w:rsid w:val="00FF3A29"/>
    <w:rsid w:val="00FF3BD7"/>
    <w:rsid w:val="00FF6C05"/>
    <w:rsid w:val="00FF78B8"/>
    <w:rsid w:val="01B77A25"/>
    <w:rsid w:val="049E46F1"/>
    <w:rsid w:val="0666E203"/>
    <w:rsid w:val="1411DE4F"/>
    <w:rsid w:val="18CB4683"/>
    <w:rsid w:val="1AFECE19"/>
    <w:rsid w:val="1EF9BFEC"/>
    <w:rsid w:val="1FCCE862"/>
    <w:rsid w:val="24A5787F"/>
    <w:rsid w:val="25AA85F0"/>
    <w:rsid w:val="26256359"/>
    <w:rsid w:val="296F2DB1"/>
    <w:rsid w:val="2CB64BB4"/>
    <w:rsid w:val="2EF4D1E9"/>
    <w:rsid w:val="3026A5F7"/>
    <w:rsid w:val="3222293B"/>
    <w:rsid w:val="42208108"/>
    <w:rsid w:val="4568FC60"/>
    <w:rsid w:val="4704CCC1"/>
    <w:rsid w:val="4D740E45"/>
    <w:rsid w:val="4E874B4E"/>
    <w:rsid w:val="532EE8A2"/>
    <w:rsid w:val="558938BF"/>
    <w:rsid w:val="57B289BB"/>
    <w:rsid w:val="584CC499"/>
    <w:rsid w:val="5AF30155"/>
    <w:rsid w:val="5B933CF7"/>
    <w:rsid w:val="5BC82D5A"/>
    <w:rsid w:val="5D60C910"/>
    <w:rsid w:val="5F2DEFF6"/>
    <w:rsid w:val="5FAFC910"/>
    <w:rsid w:val="63E838BC"/>
    <w:rsid w:val="63FDB190"/>
    <w:rsid w:val="6484CDCA"/>
    <w:rsid w:val="6758C095"/>
    <w:rsid w:val="69266BB9"/>
    <w:rsid w:val="6DDD58B0"/>
    <w:rsid w:val="724337BA"/>
    <w:rsid w:val="758D20F0"/>
    <w:rsid w:val="766589FF"/>
    <w:rsid w:val="79C5909C"/>
    <w:rsid w:val="7A476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D2F6"/>
  <w15:chartTrackingRefBased/>
  <w15:docId w15:val="{CBDC82EA-9473-7242-BE1D-9871B8A5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F30EA"/>
    <w:pPr>
      <w:spacing w:after="160" w:line="259" w:lineRule="auto"/>
      <w:jc w:val="both"/>
    </w:pPr>
    <w:rPr>
      <w:color w:val="000000" w:themeColor="text1"/>
      <w:sz w:val="20"/>
      <w:szCs w:val="22"/>
      <w:lang w:val="en-GB"/>
    </w:rPr>
  </w:style>
  <w:style w:type="paragraph" w:styleId="Heading1">
    <w:name w:val="heading 1"/>
    <w:basedOn w:val="Normal"/>
    <w:next w:val="Normal"/>
    <w:link w:val="Heading1Char"/>
    <w:uiPriority w:val="9"/>
    <w:qFormat/>
    <w:rsid w:val="00CD09AE"/>
    <w:pPr>
      <w:keepNext/>
      <w:keepLines/>
      <w:spacing w:before="240"/>
      <w:outlineLvl w:val="0"/>
    </w:pPr>
    <w:rPr>
      <w:rFonts w:eastAsiaTheme="majorEastAsia" w:cstheme="majorBidi"/>
      <w:b/>
      <w:color w:val="164193" w:themeColor="text2"/>
      <w:sz w:val="36"/>
      <w:szCs w:val="32"/>
    </w:rPr>
  </w:style>
  <w:style w:type="paragraph" w:styleId="Heading2">
    <w:name w:val="heading 2"/>
    <w:basedOn w:val="Heading4"/>
    <w:next w:val="Normal"/>
    <w:link w:val="Heading2Char"/>
    <w:uiPriority w:val="9"/>
    <w:unhideWhenUsed/>
    <w:qFormat/>
    <w:rsid w:val="00EC0807"/>
    <w:pPr>
      <w:outlineLvl w:val="1"/>
    </w:pPr>
  </w:style>
  <w:style w:type="paragraph" w:styleId="Heading3">
    <w:name w:val="heading 3"/>
    <w:basedOn w:val="Heading4"/>
    <w:next w:val="Normal"/>
    <w:link w:val="Heading3Char"/>
    <w:uiPriority w:val="9"/>
    <w:unhideWhenUsed/>
    <w:qFormat/>
    <w:rsid w:val="00EC0807"/>
    <w:pPr>
      <w:outlineLvl w:val="2"/>
    </w:pPr>
    <w:rPr>
      <w:bCs w:val="0"/>
      <w:sz w:val="24"/>
      <w:szCs w:val="24"/>
    </w:rPr>
  </w:style>
  <w:style w:type="paragraph" w:styleId="Heading4">
    <w:name w:val="heading 4"/>
    <w:basedOn w:val="Normal"/>
    <w:next w:val="Normal"/>
    <w:link w:val="Heading4Char"/>
    <w:uiPriority w:val="9"/>
    <w:unhideWhenUsed/>
    <w:qFormat/>
    <w:rsid w:val="005A3CEF"/>
    <w:pPr>
      <w:keepNext/>
      <w:keepLines/>
      <w:spacing w:before="40" w:after="100"/>
      <w:outlineLvl w:val="3"/>
    </w:pPr>
    <w:rPr>
      <w:rFonts w:asciiTheme="majorHAnsi" w:eastAsiaTheme="majorEastAsia" w:hAnsiTheme="majorHAnsi" w:cstheme="majorBidi"/>
      <w:b/>
      <w:bCs/>
      <w:color w:val="79AB2B" w:themeColor="accent1"/>
      <w:sz w:val="28"/>
      <w:szCs w:val="28"/>
    </w:rPr>
  </w:style>
  <w:style w:type="paragraph" w:styleId="Heading5">
    <w:name w:val="heading 5"/>
    <w:basedOn w:val="Normal"/>
    <w:next w:val="Normal"/>
    <w:link w:val="Heading5Char"/>
    <w:uiPriority w:val="9"/>
    <w:unhideWhenUsed/>
    <w:qFormat/>
    <w:rsid w:val="009F6BB5"/>
    <w:pPr>
      <w:keepNext/>
      <w:keepLines/>
      <w:spacing w:before="120" w:after="60"/>
      <w:outlineLvl w:val="4"/>
    </w:pPr>
    <w:rPr>
      <w:rFonts w:asciiTheme="majorHAnsi" w:eastAsiaTheme="majorEastAsia" w:hAnsiTheme="majorHAnsi" w:cstheme="majorBidi"/>
      <w:b/>
      <w:bCs/>
      <w:caps/>
      <w:color w:val="0070C0"/>
      <w:sz w:val="24"/>
      <w:szCs w:val="32"/>
    </w:rPr>
  </w:style>
  <w:style w:type="paragraph" w:styleId="Heading6">
    <w:name w:val="heading 6"/>
    <w:basedOn w:val="Normal"/>
    <w:next w:val="Normal"/>
    <w:link w:val="Heading6Char"/>
    <w:uiPriority w:val="9"/>
    <w:unhideWhenUsed/>
    <w:qFormat/>
    <w:rsid w:val="0067448E"/>
    <w:pPr>
      <w:keepNext/>
      <w:keepLines/>
      <w:spacing w:before="120" w:after="120"/>
      <w:outlineLvl w:val="5"/>
    </w:pPr>
    <w:rPr>
      <w:rFonts w:asciiTheme="majorHAnsi" w:eastAsiaTheme="majorEastAsia" w:hAnsiTheme="majorHAnsi" w:cstheme="majorBidi"/>
      <w:b/>
      <w:color w:val="837331"/>
      <w:sz w:val="26"/>
    </w:rPr>
  </w:style>
  <w:style w:type="paragraph" w:styleId="Heading7">
    <w:name w:val="heading 7"/>
    <w:basedOn w:val="Normal"/>
    <w:next w:val="Normal"/>
    <w:link w:val="Heading7Char"/>
    <w:uiPriority w:val="9"/>
    <w:semiHidden/>
    <w:unhideWhenUsed/>
    <w:qFormat/>
    <w:rsid w:val="00D93934"/>
    <w:pPr>
      <w:keepNext/>
      <w:keepLines/>
      <w:spacing w:before="40" w:after="0"/>
      <w:outlineLvl w:val="6"/>
    </w:pPr>
    <w:rPr>
      <w:rFonts w:asciiTheme="majorHAnsi" w:eastAsiaTheme="majorEastAsia" w:hAnsiTheme="majorHAnsi" w:cstheme="majorBidi"/>
      <w:i/>
      <w:iCs/>
      <w:color w:val="3B5415" w:themeColor="accent1" w:themeShade="7F"/>
    </w:rPr>
  </w:style>
  <w:style w:type="paragraph" w:styleId="Heading9">
    <w:name w:val="heading 9"/>
    <w:basedOn w:val="Normal"/>
    <w:next w:val="Normal"/>
    <w:link w:val="Heading9Char"/>
    <w:uiPriority w:val="9"/>
    <w:semiHidden/>
    <w:unhideWhenUsed/>
    <w:qFormat/>
    <w:rsid w:val="00AD30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B2617"/>
    <w:rPr>
      <w:color w:val="4092CE" w:themeColor="accent2"/>
      <w:sz w:val="28"/>
      <w:szCs w:val="36"/>
    </w:rPr>
  </w:style>
  <w:style w:type="character" w:customStyle="1" w:styleId="SubtitleChar">
    <w:name w:val="Subtitle Char"/>
    <w:basedOn w:val="DefaultParagraphFont"/>
    <w:link w:val="Subtitle"/>
    <w:uiPriority w:val="11"/>
    <w:rsid w:val="00BB2617"/>
    <w:rPr>
      <w:color w:val="4092CE" w:themeColor="accent2"/>
      <w:sz w:val="28"/>
      <w:szCs w:val="36"/>
      <w:lang w:val="en-US"/>
    </w:rPr>
  </w:style>
  <w:style w:type="character" w:customStyle="1" w:styleId="Heading2Char">
    <w:name w:val="Heading 2 Char"/>
    <w:basedOn w:val="DefaultParagraphFont"/>
    <w:link w:val="Heading2"/>
    <w:uiPriority w:val="9"/>
    <w:rsid w:val="00EC0807"/>
    <w:rPr>
      <w:rFonts w:asciiTheme="majorHAnsi" w:eastAsiaTheme="majorEastAsia" w:hAnsiTheme="majorHAnsi" w:cstheme="majorBidi"/>
      <w:b/>
      <w:bCs/>
      <w:color w:val="79AB2B" w:themeColor="accent1"/>
      <w:sz w:val="28"/>
      <w:szCs w:val="28"/>
      <w:lang w:val="en-GB"/>
    </w:rPr>
  </w:style>
  <w:style w:type="character" w:customStyle="1" w:styleId="Heading1Char">
    <w:name w:val="Heading 1 Char"/>
    <w:basedOn w:val="DefaultParagraphFont"/>
    <w:link w:val="Heading1"/>
    <w:uiPriority w:val="9"/>
    <w:rsid w:val="00CD09AE"/>
    <w:rPr>
      <w:rFonts w:eastAsiaTheme="majorEastAsia" w:cstheme="majorBidi"/>
      <w:b/>
      <w:color w:val="164193" w:themeColor="text2"/>
      <w:sz w:val="36"/>
      <w:szCs w:val="32"/>
      <w:lang w:val="en-US"/>
    </w:rPr>
  </w:style>
  <w:style w:type="paragraph" w:styleId="Header">
    <w:name w:val="header"/>
    <w:basedOn w:val="Normal"/>
    <w:link w:val="HeaderChar"/>
    <w:uiPriority w:val="99"/>
    <w:unhideWhenUsed/>
    <w:rsid w:val="00B41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400"/>
    <w:rPr>
      <w:color w:val="000000" w:themeColor="text1"/>
      <w:sz w:val="20"/>
      <w:szCs w:val="22"/>
      <w:lang w:val="en-US"/>
    </w:rPr>
  </w:style>
  <w:style w:type="paragraph" w:styleId="Footer">
    <w:name w:val="footer"/>
    <w:basedOn w:val="Normal"/>
    <w:link w:val="FooterChar"/>
    <w:uiPriority w:val="99"/>
    <w:unhideWhenUsed/>
    <w:rsid w:val="00B41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400"/>
    <w:rPr>
      <w:color w:val="000000" w:themeColor="text1"/>
      <w:sz w:val="20"/>
      <w:szCs w:val="22"/>
      <w:lang w:val="en-US"/>
    </w:rPr>
  </w:style>
  <w:style w:type="paragraph" w:styleId="NoSpacing">
    <w:name w:val="No Spacing"/>
    <w:uiPriority w:val="1"/>
    <w:qFormat/>
    <w:rsid w:val="00BB2617"/>
    <w:rPr>
      <w:color w:val="000000" w:themeColor="text1"/>
      <w:sz w:val="20"/>
      <w:szCs w:val="22"/>
      <w:lang w:val="en-US"/>
    </w:rPr>
  </w:style>
  <w:style w:type="character" w:customStyle="1" w:styleId="Heading3Char">
    <w:name w:val="Heading 3 Char"/>
    <w:basedOn w:val="DefaultParagraphFont"/>
    <w:link w:val="Heading3"/>
    <w:uiPriority w:val="9"/>
    <w:rsid w:val="00EC0807"/>
    <w:rPr>
      <w:rFonts w:asciiTheme="majorHAnsi" w:eastAsiaTheme="majorEastAsia" w:hAnsiTheme="majorHAnsi" w:cstheme="majorBidi"/>
      <w:b/>
      <w:color w:val="79AB2B" w:themeColor="accent1"/>
      <w:lang w:val="en-GB"/>
    </w:rPr>
  </w:style>
  <w:style w:type="character" w:customStyle="1" w:styleId="Heading4Char">
    <w:name w:val="Heading 4 Char"/>
    <w:basedOn w:val="DefaultParagraphFont"/>
    <w:link w:val="Heading4"/>
    <w:uiPriority w:val="9"/>
    <w:rsid w:val="005A3CEF"/>
    <w:rPr>
      <w:rFonts w:asciiTheme="majorHAnsi" w:eastAsiaTheme="majorEastAsia" w:hAnsiTheme="majorHAnsi" w:cstheme="majorBidi"/>
      <w:b/>
      <w:bCs/>
      <w:color w:val="79AB2B" w:themeColor="accent1"/>
      <w:sz w:val="28"/>
      <w:szCs w:val="28"/>
      <w:lang w:val="en-US"/>
    </w:rPr>
  </w:style>
  <w:style w:type="paragraph" w:styleId="Title">
    <w:name w:val="Title"/>
    <w:basedOn w:val="Normal"/>
    <w:next w:val="Normal"/>
    <w:link w:val="TitleChar"/>
    <w:uiPriority w:val="10"/>
    <w:qFormat/>
    <w:rsid w:val="00D3599C"/>
    <w:pPr>
      <w:spacing w:after="0"/>
      <w:ind w:right="947"/>
      <w:jc w:val="right"/>
    </w:pPr>
    <w:rPr>
      <w:b/>
      <w:bCs/>
      <w:color w:val="164193"/>
      <w:sz w:val="56"/>
      <w:szCs w:val="56"/>
    </w:rPr>
  </w:style>
  <w:style w:type="character" w:customStyle="1" w:styleId="TitleChar">
    <w:name w:val="Title Char"/>
    <w:basedOn w:val="DefaultParagraphFont"/>
    <w:link w:val="Title"/>
    <w:uiPriority w:val="10"/>
    <w:rsid w:val="00D3599C"/>
    <w:rPr>
      <w:b/>
      <w:bCs/>
      <w:color w:val="164193"/>
      <w:sz w:val="56"/>
      <w:szCs w:val="56"/>
      <w:lang w:val="en-US"/>
    </w:rPr>
  </w:style>
  <w:style w:type="character" w:styleId="PageNumber">
    <w:name w:val="page number"/>
    <w:basedOn w:val="DefaultParagraphFont"/>
    <w:uiPriority w:val="99"/>
    <w:semiHidden/>
    <w:unhideWhenUsed/>
    <w:rsid w:val="00E322F1"/>
  </w:style>
  <w:style w:type="paragraph" w:styleId="TOC1">
    <w:name w:val="toc 1"/>
    <w:basedOn w:val="Normal"/>
    <w:next w:val="Normal"/>
    <w:autoRedefine/>
    <w:uiPriority w:val="39"/>
    <w:unhideWhenUsed/>
    <w:rsid w:val="000B0316"/>
    <w:pPr>
      <w:tabs>
        <w:tab w:val="right" w:leader="dot" w:pos="9016"/>
      </w:tabs>
      <w:spacing w:before="120" w:after="120"/>
    </w:pPr>
    <w:rPr>
      <w:rFonts w:cstheme="minorHAnsi"/>
      <w:b/>
      <w:bCs/>
      <w:caps/>
      <w:szCs w:val="20"/>
    </w:rPr>
  </w:style>
  <w:style w:type="paragraph" w:styleId="TOC2">
    <w:name w:val="toc 2"/>
    <w:basedOn w:val="Normal"/>
    <w:next w:val="Normal"/>
    <w:autoRedefine/>
    <w:uiPriority w:val="39"/>
    <w:unhideWhenUsed/>
    <w:rsid w:val="00CE62FE"/>
    <w:pPr>
      <w:tabs>
        <w:tab w:val="left" w:pos="800"/>
        <w:tab w:val="right" w:leader="dot" w:pos="9016"/>
      </w:tabs>
      <w:spacing w:after="0"/>
      <w:ind w:left="200"/>
    </w:pPr>
    <w:rPr>
      <w:rFonts w:cstheme="minorHAnsi"/>
      <w:smallCaps/>
      <w:szCs w:val="20"/>
    </w:rPr>
  </w:style>
  <w:style w:type="paragraph" w:styleId="TOC3">
    <w:name w:val="toc 3"/>
    <w:basedOn w:val="Normal"/>
    <w:next w:val="Normal"/>
    <w:autoRedefine/>
    <w:uiPriority w:val="39"/>
    <w:unhideWhenUsed/>
    <w:rsid w:val="00E322F1"/>
    <w:pPr>
      <w:spacing w:after="0"/>
      <w:ind w:left="400"/>
    </w:pPr>
    <w:rPr>
      <w:rFonts w:cstheme="minorHAnsi"/>
      <w:i/>
      <w:iCs/>
      <w:szCs w:val="20"/>
    </w:rPr>
  </w:style>
  <w:style w:type="paragraph" w:styleId="TOC4">
    <w:name w:val="toc 4"/>
    <w:basedOn w:val="Normal"/>
    <w:next w:val="Normal"/>
    <w:autoRedefine/>
    <w:uiPriority w:val="39"/>
    <w:unhideWhenUsed/>
    <w:rsid w:val="00E322F1"/>
    <w:pPr>
      <w:spacing w:after="0"/>
      <w:ind w:left="600"/>
    </w:pPr>
    <w:rPr>
      <w:rFonts w:cstheme="minorHAnsi"/>
      <w:sz w:val="18"/>
      <w:szCs w:val="18"/>
    </w:rPr>
  </w:style>
  <w:style w:type="paragraph" w:styleId="TOC5">
    <w:name w:val="toc 5"/>
    <w:basedOn w:val="Normal"/>
    <w:next w:val="Normal"/>
    <w:autoRedefine/>
    <w:uiPriority w:val="39"/>
    <w:unhideWhenUsed/>
    <w:rsid w:val="00E322F1"/>
    <w:pPr>
      <w:spacing w:after="0"/>
      <w:ind w:left="800"/>
    </w:pPr>
    <w:rPr>
      <w:rFonts w:cstheme="minorHAnsi"/>
      <w:sz w:val="18"/>
      <w:szCs w:val="18"/>
    </w:rPr>
  </w:style>
  <w:style w:type="paragraph" w:styleId="TOC6">
    <w:name w:val="toc 6"/>
    <w:basedOn w:val="Normal"/>
    <w:next w:val="Normal"/>
    <w:autoRedefine/>
    <w:uiPriority w:val="39"/>
    <w:unhideWhenUsed/>
    <w:rsid w:val="00E322F1"/>
    <w:pPr>
      <w:spacing w:after="0"/>
      <w:ind w:left="1000"/>
    </w:pPr>
    <w:rPr>
      <w:rFonts w:cstheme="minorHAnsi"/>
      <w:sz w:val="18"/>
      <w:szCs w:val="18"/>
    </w:rPr>
  </w:style>
  <w:style w:type="paragraph" w:styleId="TOC7">
    <w:name w:val="toc 7"/>
    <w:basedOn w:val="Normal"/>
    <w:next w:val="Normal"/>
    <w:autoRedefine/>
    <w:uiPriority w:val="39"/>
    <w:unhideWhenUsed/>
    <w:rsid w:val="00E322F1"/>
    <w:pPr>
      <w:spacing w:after="0"/>
      <w:ind w:left="1200"/>
    </w:pPr>
    <w:rPr>
      <w:rFonts w:cstheme="minorHAnsi"/>
      <w:sz w:val="18"/>
      <w:szCs w:val="18"/>
    </w:rPr>
  </w:style>
  <w:style w:type="paragraph" w:styleId="TOC8">
    <w:name w:val="toc 8"/>
    <w:basedOn w:val="Normal"/>
    <w:next w:val="Normal"/>
    <w:autoRedefine/>
    <w:uiPriority w:val="39"/>
    <w:unhideWhenUsed/>
    <w:rsid w:val="00E322F1"/>
    <w:pPr>
      <w:spacing w:after="0"/>
      <w:ind w:left="1400"/>
    </w:pPr>
    <w:rPr>
      <w:rFonts w:cstheme="minorHAnsi"/>
      <w:sz w:val="18"/>
      <w:szCs w:val="18"/>
    </w:rPr>
  </w:style>
  <w:style w:type="paragraph" w:styleId="TOC9">
    <w:name w:val="toc 9"/>
    <w:basedOn w:val="Normal"/>
    <w:next w:val="Normal"/>
    <w:autoRedefine/>
    <w:uiPriority w:val="39"/>
    <w:unhideWhenUsed/>
    <w:rsid w:val="00E322F1"/>
    <w:pPr>
      <w:spacing w:after="0"/>
      <w:ind w:left="1600"/>
    </w:pPr>
    <w:rPr>
      <w:rFonts w:cstheme="minorHAnsi"/>
      <w:sz w:val="18"/>
      <w:szCs w:val="18"/>
    </w:rPr>
  </w:style>
  <w:style w:type="character" w:styleId="SubtleEmphasis">
    <w:name w:val="Subtle Emphasis"/>
    <w:aliases w:val="Subtle Dividers"/>
    <w:uiPriority w:val="19"/>
    <w:qFormat/>
    <w:rsid w:val="00D3599C"/>
    <w:rPr>
      <w:sz w:val="32"/>
      <w:szCs w:val="32"/>
    </w:rPr>
  </w:style>
  <w:style w:type="character" w:styleId="CommentReference">
    <w:name w:val="annotation reference"/>
    <w:basedOn w:val="DefaultParagraphFont"/>
    <w:uiPriority w:val="99"/>
    <w:unhideWhenUsed/>
    <w:rsid w:val="001B1EEA"/>
    <w:rPr>
      <w:sz w:val="16"/>
      <w:szCs w:val="16"/>
    </w:rPr>
  </w:style>
  <w:style w:type="paragraph" w:styleId="CommentText">
    <w:name w:val="annotation text"/>
    <w:basedOn w:val="Normal"/>
    <w:link w:val="CommentTextChar"/>
    <w:uiPriority w:val="99"/>
    <w:unhideWhenUsed/>
    <w:rsid w:val="001B1EEA"/>
    <w:pPr>
      <w:spacing w:before="100" w:after="200" w:line="240" w:lineRule="auto"/>
    </w:pPr>
    <w:rPr>
      <w:rFonts w:eastAsiaTheme="minorEastAsia"/>
      <w:color w:val="auto"/>
      <w:szCs w:val="20"/>
      <w:lang w:val="nl-NL"/>
    </w:rPr>
  </w:style>
  <w:style w:type="character" w:customStyle="1" w:styleId="CommentTextChar">
    <w:name w:val="Comment Text Char"/>
    <w:basedOn w:val="DefaultParagraphFont"/>
    <w:link w:val="CommentText"/>
    <w:uiPriority w:val="99"/>
    <w:rsid w:val="001B1EEA"/>
    <w:rPr>
      <w:rFonts w:eastAsiaTheme="minorEastAsia"/>
      <w:sz w:val="20"/>
      <w:szCs w:val="20"/>
      <w:lang w:val="nl-NL"/>
    </w:rPr>
  </w:style>
  <w:style w:type="character" w:styleId="Hyperlink">
    <w:name w:val="Hyperlink"/>
    <w:aliases w:val="min"/>
    <w:basedOn w:val="DefaultParagraphFont"/>
    <w:uiPriority w:val="99"/>
    <w:unhideWhenUsed/>
    <w:rsid w:val="001B1EEA"/>
    <w:rPr>
      <w:color w:val="B0579F" w:themeColor="hyperlink"/>
      <w:u w:val="single"/>
    </w:rPr>
  </w:style>
  <w:style w:type="paragraph" w:styleId="FootnoteText">
    <w:name w:val="footnote text"/>
    <w:basedOn w:val="Normal"/>
    <w:link w:val="FootnoteTextChar"/>
    <w:uiPriority w:val="99"/>
    <w:unhideWhenUsed/>
    <w:rsid w:val="001B1EEA"/>
    <w:pPr>
      <w:spacing w:before="100" w:after="0" w:line="240" w:lineRule="auto"/>
    </w:pPr>
    <w:rPr>
      <w:rFonts w:eastAsiaTheme="minorEastAsia"/>
      <w:color w:val="auto"/>
      <w:szCs w:val="20"/>
      <w:lang w:val="nl-NL"/>
    </w:rPr>
  </w:style>
  <w:style w:type="character" w:customStyle="1" w:styleId="FootnoteTextChar">
    <w:name w:val="Footnote Text Char"/>
    <w:basedOn w:val="DefaultParagraphFont"/>
    <w:link w:val="FootnoteText"/>
    <w:uiPriority w:val="99"/>
    <w:rsid w:val="001B1EEA"/>
    <w:rPr>
      <w:rFonts w:eastAsiaTheme="minorEastAsia"/>
      <w:sz w:val="20"/>
      <w:szCs w:val="20"/>
      <w:lang w:val="nl-NL"/>
    </w:rPr>
  </w:style>
  <w:style w:type="character" w:styleId="FootnoteReference">
    <w:name w:val="footnote reference"/>
    <w:basedOn w:val="DefaultParagraphFont"/>
    <w:uiPriority w:val="99"/>
    <w:unhideWhenUsed/>
    <w:rsid w:val="001B1EEA"/>
    <w:rPr>
      <w:vertAlign w:val="superscript"/>
    </w:rPr>
  </w:style>
  <w:style w:type="paragraph" w:styleId="ListParagraph">
    <w:name w:val="List Paragraph"/>
    <w:aliases w:val="Project Profile name,Indent Paragraph,Table of contents numbered,En tête 1,Bullet Points,Liste Paragraf,List Paragraph in table,Akapit z listą,List Paragraph1,Evidence on Demand bullet points,List Paragraph (numbered (a)),Dot pt"/>
    <w:basedOn w:val="Normal"/>
    <w:link w:val="ListParagraphChar"/>
    <w:uiPriority w:val="1"/>
    <w:qFormat/>
    <w:rsid w:val="001B1EEA"/>
    <w:pPr>
      <w:spacing w:before="100" w:after="200" w:line="276" w:lineRule="auto"/>
      <w:ind w:left="720"/>
      <w:contextualSpacing/>
    </w:pPr>
    <w:rPr>
      <w:rFonts w:eastAsiaTheme="minorEastAsia"/>
      <w:color w:val="auto"/>
      <w:szCs w:val="20"/>
      <w:lang w:val="nl-NL"/>
    </w:rPr>
  </w:style>
  <w:style w:type="table" w:styleId="TableGrid">
    <w:name w:val="Table Grid"/>
    <w:basedOn w:val="TableNormal"/>
    <w:uiPriority w:val="39"/>
    <w:rsid w:val="00C54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4C0C"/>
    <w:pPr>
      <w:spacing w:before="0" w:after="160"/>
    </w:pPr>
    <w:rPr>
      <w:rFonts w:eastAsiaTheme="minorHAnsi"/>
      <w:b/>
      <w:bCs/>
      <w:color w:val="000000" w:themeColor="text1"/>
      <w:lang w:val="en-GB"/>
    </w:rPr>
  </w:style>
  <w:style w:type="character" w:customStyle="1" w:styleId="CommentSubjectChar">
    <w:name w:val="Comment Subject Char"/>
    <w:basedOn w:val="CommentTextChar"/>
    <w:link w:val="CommentSubject"/>
    <w:uiPriority w:val="99"/>
    <w:semiHidden/>
    <w:rsid w:val="00E64C0C"/>
    <w:rPr>
      <w:rFonts w:eastAsiaTheme="minorEastAsia"/>
      <w:b/>
      <w:bCs/>
      <w:color w:val="000000" w:themeColor="text1"/>
      <w:sz w:val="20"/>
      <w:szCs w:val="20"/>
      <w:lang w:val="en-GB"/>
    </w:rPr>
  </w:style>
  <w:style w:type="paragraph" w:styleId="Revision">
    <w:name w:val="Revision"/>
    <w:hidden/>
    <w:uiPriority w:val="99"/>
    <w:semiHidden/>
    <w:rsid w:val="00E64C0C"/>
    <w:rPr>
      <w:color w:val="000000" w:themeColor="text1"/>
      <w:sz w:val="20"/>
      <w:szCs w:val="22"/>
      <w:lang w:val="en-GB"/>
    </w:rPr>
  </w:style>
  <w:style w:type="character" w:styleId="UnresolvedMention">
    <w:name w:val="Unresolved Mention"/>
    <w:basedOn w:val="DefaultParagraphFont"/>
    <w:uiPriority w:val="99"/>
    <w:semiHidden/>
    <w:unhideWhenUsed/>
    <w:rsid w:val="00345073"/>
    <w:rPr>
      <w:color w:val="605E5C"/>
      <w:shd w:val="clear" w:color="auto" w:fill="E1DFDD"/>
    </w:rPr>
  </w:style>
  <w:style w:type="character" w:customStyle="1" w:styleId="ListParagraphChar">
    <w:name w:val="List Paragraph Char"/>
    <w:aliases w:val="Project Profile name Char,Indent Paragraph Char,Table of contents numbered Char,En tête 1 Char,Bullet Points Char,Liste Paragraf Char,List Paragraph in table Char,Akapit z listą Char,List Paragraph1 Char,Dot pt Char"/>
    <w:link w:val="ListParagraph"/>
    <w:uiPriority w:val="34"/>
    <w:rsid w:val="00280142"/>
    <w:rPr>
      <w:rFonts w:eastAsiaTheme="minorEastAsia"/>
      <w:sz w:val="20"/>
      <w:szCs w:val="20"/>
      <w:lang w:val="nl-NL"/>
    </w:rPr>
  </w:style>
  <w:style w:type="character" w:customStyle="1" w:styleId="Heading5Char">
    <w:name w:val="Heading 5 Char"/>
    <w:basedOn w:val="DefaultParagraphFont"/>
    <w:link w:val="Heading5"/>
    <w:uiPriority w:val="9"/>
    <w:rsid w:val="009F6BB5"/>
    <w:rPr>
      <w:rFonts w:asciiTheme="majorHAnsi" w:eastAsiaTheme="majorEastAsia" w:hAnsiTheme="majorHAnsi" w:cstheme="majorBidi"/>
      <w:b/>
      <w:bCs/>
      <w:caps/>
      <w:color w:val="0070C0"/>
      <w:szCs w:val="32"/>
      <w:lang w:val="en-GB"/>
    </w:rPr>
  </w:style>
  <w:style w:type="paragraph" w:styleId="NormalWeb">
    <w:name w:val="Normal (Web)"/>
    <w:basedOn w:val="Normal"/>
    <w:uiPriority w:val="99"/>
    <w:unhideWhenUsed/>
    <w:rsid w:val="00C1344F"/>
    <w:pPr>
      <w:spacing w:before="100" w:beforeAutospacing="1" w:after="100" w:afterAutospacing="1" w:line="240" w:lineRule="auto"/>
    </w:pPr>
    <w:rPr>
      <w:rFonts w:ascii="Times New Roman" w:eastAsia="Times New Roman" w:hAnsi="Times New Roman" w:cs="Times New Roman"/>
      <w:color w:val="auto"/>
      <w:sz w:val="24"/>
      <w:szCs w:val="24"/>
      <w:lang w:val="es-ES" w:eastAsia="es-ES_tradnl"/>
    </w:rPr>
  </w:style>
  <w:style w:type="character" w:customStyle="1" w:styleId="hgkelc">
    <w:name w:val="hgkelc"/>
    <w:basedOn w:val="DefaultParagraphFont"/>
    <w:rsid w:val="00C1344F"/>
  </w:style>
  <w:style w:type="character" w:styleId="FollowedHyperlink">
    <w:name w:val="FollowedHyperlink"/>
    <w:basedOn w:val="DefaultParagraphFont"/>
    <w:uiPriority w:val="99"/>
    <w:semiHidden/>
    <w:unhideWhenUsed/>
    <w:rsid w:val="006A41A7"/>
    <w:rPr>
      <w:color w:val="835EB0" w:themeColor="followedHyperlink"/>
      <w:u w:val="single"/>
    </w:rPr>
  </w:style>
  <w:style w:type="character" w:customStyle="1" w:styleId="Heading6Char">
    <w:name w:val="Heading 6 Char"/>
    <w:basedOn w:val="DefaultParagraphFont"/>
    <w:link w:val="Heading6"/>
    <w:uiPriority w:val="9"/>
    <w:rsid w:val="0067448E"/>
    <w:rPr>
      <w:rFonts w:asciiTheme="majorHAnsi" w:eastAsiaTheme="majorEastAsia" w:hAnsiTheme="majorHAnsi" w:cstheme="majorBidi"/>
      <w:b/>
      <w:color w:val="837331"/>
      <w:sz w:val="26"/>
      <w:szCs w:val="22"/>
      <w:lang w:val="en-GB"/>
    </w:rPr>
  </w:style>
  <w:style w:type="character" w:styleId="Strong">
    <w:name w:val="Strong"/>
    <w:uiPriority w:val="22"/>
    <w:qFormat/>
    <w:rsid w:val="00964D5E"/>
    <w:rPr>
      <w:lang w:val="en-GB"/>
    </w:rPr>
  </w:style>
  <w:style w:type="table" w:customStyle="1" w:styleId="TableNormal1">
    <w:name w:val="Table Normal1"/>
    <w:uiPriority w:val="2"/>
    <w:semiHidden/>
    <w:unhideWhenUsed/>
    <w:qFormat/>
    <w:rsid w:val="0098163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81639"/>
    <w:pPr>
      <w:widowControl w:val="0"/>
      <w:autoSpaceDE w:val="0"/>
      <w:autoSpaceDN w:val="0"/>
      <w:spacing w:after="0" w:line="240" w:lineRule="auto"/>
    </w:pPr>
    <w:rPr>
      <w:rFonts w:ascii="Arial" w:eastAsia="Arial" w:hAnsi="Arial" w:cs="Arial"/>
      <w:color w:val="auto"/>
      <w:sz w:val="22"/>
      <w:lang w:val="en-US"/>
    </w:rPr>
  </w:style>
  <w:style w:type="character" w:customStyle="1" w:styleId="BodyTextChar">
    <w:name w:val="Body Text Char"/>
    <w:basedOn w:val="DefaultParagraphFont"/>
    <w:link w:val="BodyText"/>
    <w:uiPriority w:val="1"/>
    <w:rsid w:val="00981639"/>
    <w:rPr>
      <w:rFonts w:ascii="Arial" w:eastAsia="Arial" w:hAnsi="Arial" w:cs="Arial"/>
      <w:sz w:val="22"/>
      <w:szCs w:val="22"/>
      <w:lang w:val="en-US"/>
    </w:rPr>
  </w:style>
  <w:style w:type="paragraph" w:customStyle="1" w:styleId="TableParagraph">
    <w:name w:val="Table Paragraph"/>
    <w:basedOn w:val="Normal"/>
    <w:uiPriority w:val="1"/>
    <w:qFormat/>
    <w:rsid w:val="00981639"/>
    <w:pPr>
      <w:widowControl w:val="0"/>
      <w:autoSpaceDE w:val="0"/>
      <w:autoSpaceDN w:val="0"/>
      <w:spacing w:after="0" w:line="240" w:lineRule="auto"/>
    </w:pPr>
    <w:rPr>
      <w:rFonts w:ascii="Arial" w:eastAsia="Arial" w:hAnsi="Arial" w:cs="Arial"/>
      <w:color w:val="auto"/>
      <w:sz w:val="22"/>
      <w:lang w:val="en-US"/>
    </w:rPr>
  </w:style>
  <w:style w:type="paragraph" w:styleId="IntenseQuote">
    <w:name w:val="Intense Quote"/>
    <w:basedOn w:val="Normal"/>
    <w:next w:val="Normal"/>
    <w:link w:val="IntenseQuoteChar"/>
    <w:uiPriority w:val="30"/>
    <w:qFormat/>
    <w:rsid w:val="00A813A8"/>
    <w:pPr>
      <w:pBdr>
        <w:top w:val="single" w:sz="4" w:space="10" w:color="79AB2B" w:themeColor="accent1"/>
        <w:bottom w:val="single" w:sz="4" w:space="10" w:color="79AB2B" w:themeColor="accent1"/>
      </w:pBdr>
      <w:spacing w:before="360" w:after="360"/>
      <w:ind w:left="864" w:right="864"/>
      <w:jc w:val="center"/>
    </w:pPr>
    <w:rPr>
      <w:i/>
      <w:iCs/>
      <w:color w:val="79AB2B" w:themeColor="accent1"/>
    </w:rPr>
  </w:style>
  <w:style w:type="character" w:customStyle="1" w:styleId="IntenseQuoteChar">
    <w:name w:val="Intense Quote Char"/>
    <w:basedOn w:val="DefaultParagraphFont"/>
    <w:link w:val="IntenseQuote"/>
    <w:uiPriority w:val="30"/>
    <w:rsid w:val="00A813A8"/>
    <w:rPr>
      <w:i/>
      <w:iCs/>
      <w:color w:val="79AB2B" w:themeColor="accent1"/>
      <w:sz w:val="20"/>
      <w:szCs w:val="22"/>
      <w:lang w:val="en-GB"/>
    </w:rPr>
  </w:style>
  <w:style w:type="character" w:customStyle="1" w:styleId="apple-converted-space">
    <w:name w:val="apple-converted-space"/>
    <w:basedOn w:val="DefaultParagraphFont"/>
    <w:rsid w:val="007B218C"/>
  </w:style>
  <w:style w:type="table" w:customStyle="1" w:styleId="TableGrid1">
    <w:name w:val="Table Grid1"/>
    <w:basedOn w:val="TableNormal"/>
    <w:next w:val="TableGrid"/>
    <w:uiPriority w:val="39"/>
    <w:rsid w:val="007B218C"/>
    <w:rPr>
      <w:rFonts w:eastAsia="DengXi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22BDF"/>
    <w:rPr>
      <w:rFonts w:ascii="Segoe UI" w:hAnsi="Segoe UI" w:cs="Segoe UI" w:hint="default"/>
      <w:sz w:val="18"/>
      <w:szCs w:val="18"/>
    </w:rPr>
  </w:style>
  <w:style w:type="paragraph" w:customStyle="1" w:styleId="pf0">
    <w:name w:val="pf0"/>
    <w:basedOn w:val="Normal"/>
    <w:rsid w:val="002305D1"/>
    <w:pPr>
      <w:spacing w:before="100" w:beforeAutospacing="1" w:after="100" w:afterAutospacing="1" w:line="240" w:lineRule="auto"/>
    </w:pPr>
    <w:rPr>
      <w:rFonts w:ascii="Times New Roman" w:eastAsia="Times New Roman" w:hAnsi="Times New Roman" w:cs="Times New Roman"/>
      <w:color w:val="auto"/>
      <w:sz w:val="24"/>
      <w:szCs w:val="24"/>
      <w:lang w:val="fr-BE" w:eastAsia="fr-BE"/>
    </w:rPr>
  </w:style>
  <w:style w:type="paragraph" w:styleId="Caption">
    <w:name w:val="caption"/>
    <w:basedOn w:val="Normal"/>
    <w:next w:val="Normal"/>
    <w:uiPriority w:val="35"/>
    <w:unhideWhenUsed/>
    <w:qFormat/>
    <w:rsid w:val="00841F77"/>
    <w:pPr>
      <w:spacing w:after="200" w:line="240" w:lineRule="auto"/>
    </w:pPr>
    <w:rPr>
      <w:i/>
      <w:iCs/>
      <w:color w:val="164193" w:themeColor="text2"/>
      <w:sz w:val="18"/>
      <w:szCs w:val="18"/>
    </w:rPr>
  </w:style>
  <w:style w:type="table" w:styleId="ListTable1Light-Accent2">
    <w:name w:val="List Table 1 Light Accent 2"/>
    <w:basedOn w:val="TableNormal"/>
    <w:uiPriority w:val="46"/>
    <w:rsid w:val="00051F3C"/>
    <w:tblPr>
      <w:tblStyleRowBandSize w:val="1"/>
      <w:tblStyleColBandSize w:val="1"/>
    </w:tblPr>
    <w:tblStylePr w:type="firstRow">
      <w:rPr>
        <w:b/>
        <w:bCs/>
      </w:rPr>
      <w:tblPr/>
      <w:tcPr>
        <w:tcBorders>
          <w:bottom w:val="single" w:sz="4" w:space="0" w:color="8CBDE1" w:themeColor="accent2" w:themeTint="99"/>
        </w:tcBorders>
      </w:tcPr>
    </w:tblStylePr>
    <w:tblStylePr w:type="lastRow">
      <w:rPr>
        <w:b/>
        <w:bCs/>
      </w:rPr>
      <w:tblPr/>
      <w:tcPr>
        <w:tcBorders>
          <w:top w:val="sing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ListTable2-Accent2">
    <w:name w:val="List Table 2 Accent 2"/>
    <w:basedOn w:val="TableNormal"/>
    <w:uiPriority w:val="47"/>
    <w:rsid w:val="002B33EA"/>
    <w:tblPr>
      <w:tblStyleRowBandSize w:val="1"/>
      <w:tblStyleColBandSize w:val="1"/>
      <w:tblBorders>
        <w:top w:val="single" w:sz="4" w:space="0" w:color="8CBDE1" w:themeColor="accent2" w:themeTint="99"/>
        <w:bottom w:val="single" w:sz="4" w:space="0" w:color="8CBDE1" w:themeColor="accent2" w:themeTint="99"/>
        <w:insideH w:val="single" w:sz="4" w:space="0" w:color="8CBD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2-Accent2">
    <w:name w:val="Grid Table 2 Accent 2"/>
    <w:basedOn w:val="TableNormal"/>
    <w:uiPriority w:val="47"/>
    <w:rsid w:val="00EC63DB"/>
    <w:tblPr>
      <w:tblStyleRowBandSize w:val="1"/>
      <w:tblStyleColBandSize w:val="1"/>
      <w:tblBorders>
        <w:top w:val="single" w:sz="2" w:space="0" w:color="8CBDE1" w:themeColor="accent2" w:themeTint="99"/>
        <w:bottom w:val="single" w:sz="2" w:space="0" w:color="8CBDE1" w:themeColor="accent2" w:themeTint="99"/>
        <w:insideH w:val="single" w:sz="2" w:space="0" w:color="8CBDE1" w:themeColor="accent2" w:themeTint="99"/>
        <w:insideV w:val="single" w:sz="2" w:space="0" w:color="8CBDE1" w:themeColor="accent2" w:themeTint="99"/>
      </w:tblBorders>
    </w:tblPr>
    <w:tblStylePr w:type="firstRow">
      <w:rPr>
        <w:b/>
        <w:bCs/>
      </w:rPr>
      <w:tblPr/>
      <w:tcPr>
        <w:tcBorders>
          <w:top w:val="nil"/>
          <w:bottom w:val="single" w:sz="12" w:space="0" w:color="8CBDE1" w:themeColor="accent2" w:themeTint="99"/>
          <w:insideH w:val="nil"/>
          <w:insideV w:val="nil"/>
        </w:tcBorders>
        <w:shd w:val="clear" w:color="auto" w:fill="FFFFFF" w:themeFill="background1"/>
      </w:tcPr>
    </w:tblStylePr>
    <w:tblStylePr w:type="lastRow">
      <w:rPr>
        <w:b/>
        <w:bCs/>
      </w:rPr>
      <w:tblPr/>
      <w:tcPr>
        <w:tcBorders>
          <w:top w:val="double" w:sz="2" w:space="0" w:color="8CBD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6ColourfulAccent2">
    <w:name w:val="Grid Table 6 Colorful Accent 2"/>
    <w:basedOn w:val="TableNormal"/>
    <w:uiPriority w:val="51"/>
    <w:rsid w:val="00EC63DB"/>
    <w:rPr>
      <w:color w:val="296EA0" w:themeColor="accent2" w:themeShade="BF"/>
    </w:rPr>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insideV w:val="single" w:sz="4" w:space="0" w:color="8CBDE1" w:themeColor="accent2" w:themeTint="99"/>
      </w:tblBorders>
    </w:tblPr>
    <w:tblStylePr w:type="firstRow">
      <w:rPr>
        <w:b/>
        <w:bCs/>
      </w:rPr>
      <w:tblPr/>
      <w:tcPr>
        <w:tcBorders>
          <w:bottom w:val="single" w:sz="12" w:space="0" w:color="8CBDE1" w:themeColor="accent2" w:themeTint="99"/>
        </w:tcBorders>
      </w:tcPr>
    </w:tblStylePr>
    <w:tblStylePr w:type="lastRow">
      <w:rPr>
        <w:b/>
        <w:bCs/>
      </w:rPr>
      <w:tblPr/>
      <w:tcPr>
        <w:tcBorders>
          <w:top w:val="doub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7ColourfulAccent2">
    <w:name w:val="Grid Table 7 Colorful Accent 2"/>
    <w:basedOn w:val="TableNormal"/>
    <w:uiPriority w:val="52"/>
    <w:rsid w:val="00EC63DB"/>
    <w:rPr>
      <w:color w:val="296EA0" w:themeColor="accent2" w:themeShade="BF"/>
    </w:rPr>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insideV w:val="single" w:sz="4" w:space="0" w:color="8CBD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9F5" w:themeFill="accent2" w:themeFillTint="33"/>
      </w:tcPr>
    </w:tblStylePr>
    <w:tblStylePr w:type="band1Horz">
      <w:tblPr/>
      <w:tcPr>
        <w:shd w:val="clear" w:color="auto" w:fill="D8E9F5" w:themeFill="accent2" w:themeFillTint="33"/>
      </w:tcPr>
    </w:tblStylePr>
    <w:tblStylePr w:type="neCell">
      <w:tblPr/>
      <w:tcPr>
        <w:tcBorders>
          <w:bottom w:val="single" w:sz="4" w:space="0" w:color="8CBDE1" w:themeColor="accent2" w:themeTint="99"/>
        </w:tcBorders>
      </w:tcPr>
    </w:tblStylePr>
    <w:tblStylePr w:type="nwCell">
      <w:tblPr/>
      <w:tcPr>
        <w:tcBorders>
          <w:bottom w:val="single" w:sz="4" w:space="0" w:color="8CBDE1" w:themeColor="accent2" w:themeTint="99"/>
        </w:tcBorders>
      </w:tcPr>
    </w:tblStylePr>
    <w:tblStylePr w:type="seCell">
      <w:tblPr/>
      <w:tcPr>
        <w:tcBorders>
          <w:top w:val="single" w:sz="4" w:space="0" w:color="8CBDE1" w:themeColor="accent2" w:themeTint="99"/>
        </w:tcBorders>
      </w:tcPr>
    </w:tblStylePr>
    <w:tblStylePr w:type="swCell">
      <w:tblPr/>
      <w:tcPr>
        <w:tcBorders>
          <w:top w:val="single" w:sz="4" w:space="0" w:color="8CBDE1" w:themeColor="accent2" w:themeTint="99"/>
        </w:tcBorders>
      </w:tcPr>
    </w:tblStylePr>
  </w:style>
  <w:style w:type="table" w:styleId="ListTable6ColourfulAccent2">
    <w:name w:val="List Table 6 Colorful Accent 2"/>
    <w:basedOn w:val="TableNormal"/>
    <w:uiPriority w:val="51"/>
    <w:rsid w:val="00EC63DB"/>
    <w:rPr>
      <w:color w:val="296EA0" w:themeColor="accent2" w:themeShade="BF"/>
    </w:rPr>
    <w:tblPr>
      <w:tblStyleRowBandSize w:val="1"/>
      <w:tblStyleColBandSize w:val="1"/>
      <w:tblBorders>
        <w:top w:val="single" w:sz="4" w:space="0" w:color="4092CE" w:themeColor="accent2"/>
        <w:bottom w:val="single" w:sz="4" w:space="0" w:color="4092CE" w:themeColor="accent2"/>
      </w:tblBorders>
    </w:tblPr>
    <w:tblStylePr w:type="firstRow">
      <w:rPr>
        <w:b/>
        <w:bCs/>
      </w:rPr>
      <w:tblPr/>
      <w:tcPr>
        <w:tcBorders>
          <w:bottom w:val="single" w:sz="4" w:space="0" w:color="4092CE" w:themeColor="accent2"/>
        </w:tcBorders>
      </w:tcPr>
    </w:tblStylePr>
    <w:tblStylePr w:type="lastRow">
      <w:rPr>
        <w:b/>
        <w:bCs/>
      </w:rPr>
      <w:tblPr/>
      <w:tcPr>
        <w:tcBorders>
          <w:top w:val="double" w:sz="4" w:space="0" w:color="4092CE" w:themeColor="accent2"/>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ListTable2-Accent1">
    <w:name w:val="List Table 2 Accent 1"/>
    <w:basedOn w:val="TableNormal"/>
    <w:uiPriority w:val="47"/>
    <w:rsid w:val="00E46366"/>
    <w:tblPr>
      <w:tblStyleRowBandSize w:val="1"/>
      <w:tblStyleColBandSize w:val="1"/>
      <w:tblBorders>
        <w:top w:val="single" w:sz="4" w:space="0" w:color="B1DB71" w:themeColor="accent1" w:themeTint="99"/>
        <w:bottom w:val="single" w:sz="4" w:space="0" w:color="B1DB71" w:themeColor="accent1" w:themeTint="99"/>
        <w:insideH w:val="single" w:sz="4" w:space="0" w:color="B1DB7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6ColourfulAccent1">
    <w:name w:val="List Table 6 Colorful Accent 1"/>
    <w:basedOn w:val="TableNormal"/>
    <w:uiPriority w:val="51"/>
    <w:rsid w:val="00D71C44"/>
    <w:rPr>
      <w:color w:val="5A7F20" w:themeColor="accent1" w:themeShade="BF"/>
    </w:rPr>
    <w:tblPr>
      <w:tblStyleRowBandSize w:val="1"/>
      <w:tblStyleColBandSize w:val="1"/>
      <w:tblBorders>
        <w:top w:val="single" w:sz="4" w:space="0" w:color="79AB2B" w:themeColor="accent1"/>
        <w:bottom w:val="single" w:sz="4" w:space="0" w:color="79AB2B" w:themeColor="accent1"/>
      </w:tblBorders>
    </w:tblPr>
    <w:tblStylePr w:type="firstRow">
      <w:rPr>
        <w:b/>
        <w:bCs/>
      </w:rPr>
      <w:tblPr/>
      <w:tcPr>
        <w:tcBorders>
          <w:bottom w:val="single" w:sz="4" w:space="0" w:color="79AB2B" w:themeColor="accent1"/>
        </w:tcBorders>
      </w:tcPr>
    </w:tblStylePr>
    <w:tblStylePr w:type="lastRow">
      <w:rPr>
        <w:b/>
        <w:bCs/>
      </w:rPr>
      <w:tblPr/>
      <w:tcPr>
        <w:tcBorders>
          <w:top w:val="double" w:sz="4" w:space="0" w:color="79AB2B" w:themeColor="accent1"/>
        </w:tcBorders>
      </w:tc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4-Accent2">
    <w:name w:val="List Table 4 Accent 2"/>
    <w:basedOn w:val="TableNormal"/>
    <w:uiPriority w:val="49"/>
    <w:rsid w:val="00D71C44"/>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tblBorders>
    </w:tblPr>
    <w:tblStylePr w:type="firstRow">
      <w:rPr>
        <w:b/>
        <w:bCs/>
        <w:color w:val="FFFFFF" w:themeColor="background1"/>
      </w:rPr>
      <w:tblPr/>
      <w:tcPr>
        <w:tcBorders>
          <w:top w:val="single" w:sz="4" w:space="0" w:color="4092CE" w:themeColor="accent2"/>
          <w:left w:val="single" w:sz="4" w:space="0" w:color="4092CE" w:themeColor="accent2"/>
          <w:bottom w:val="single" w:sz="4" w:space="0" w:color="4092CE" w:themeColor="accent2"/>
          <w:right w:val="single" w:sz="4" w:space="0" w:color="4092CE" w:themeColor="accent2"/>
          <w:insideH w:val="nil"/>
        </w:tcBorders>
        <w:shd w:val="clear" w:color="auto" w:fill="4092CE" w:themeFill="accent2"/>
      </w:tcPr>
    </w:tblStylePr>
    <w:tblStylePr w:type="lastRow">
      <w:rPr>
        <w:b/>
        <w:bCs/>
      </w:rPr>
      <w:tblPr/>
      <w:tcPr>
        <w:tcBorders>
          <w:top w:val="doub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1LightAccent2">
    <w:name w:val="Grid Table 1 Light Accent 2"/>
    <w:basedOn w:val="TableNormal"/>
    <w:uiPriority w:val="46"/>
    <w:rsid w:val="00AF0812"/>
    <w:tblPr>
      <w:tblStyleRowBandSize w:val="1"/>
      <w:tblStyleColBandSize w:val="1"/>
      <w:tblBorders>
        <w:top w:val="single" w:sz="4" w:space="0" w:color="B2D3EB" w:themeColor="accent2" w:themeTint="66"/>
        <w:left w:val="single" w:sz="4" w:space="0" w:color="B2D3EB" w:themeColor="accent2" w:themeTint="66"/>
        <w:bottom w:val="single" w:sz="4" w:space="0" w:color="B2D3EB" w:themeColor="accent2" w:themeTint="66"/>
        <w:right w:val="single" w:sz="4" w:space="0" w:color="B2D3EB" w:themeColor="accent2" w:themeTint="66"/>
        <w:insideH w:val="single" w:sz="4" w:space="0" w:color="B2D3EB" w:themeColor="accent2" w:themeTint="66"/>
        <w:insideV w:val="single" w:sz="4" w:space="0" w:color="B2D3EB" w:themeColor="accent2" w:themeTint="66"/>
      </w:tblBorders>
    </w:tblPr>
    <w:tblStylePr w:type="firstRow">
      <w:rPr>
        <w:b/>
        <w:bCs/>
      </w:rPr>
      <w:tblPr/>
      <w:tcPr>
        <w:tcBorders>
          <w:bottom w:val="single" w:sz="12" w:space="0" w:color="8CBDE1" w:themeColor="accent2" w:themeTint="99"/>
        </w:tcBorders>
      </w:tcPr>
    </w:tblStylePr>
    <w:tblStylePr w:type="lastRow">
      <w:rPr>
        <w:b/>
        <w:bCs/>
      </w:rPr>
      <w:tblPr/>
      <w:tcPr>
        <w:tcBorders>
          <w:top w:val="double" w:sz="2" w:space="0" w:color="8CBDE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66B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3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B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B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B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B2B" w:themeFill="accent1"/>
      </w:tcPr>
    </w:tblStylePr>
    <w:tblStylePr w:type="band1Vert">
      <w:tblPr/>
      <w:tcPr>
        <w:shd w:val="clear" w:color="auto" w:fill="CBE7A0" w:themeFill="accent1" w:themeFillTint="66"/>
      </w:tcPr>
    </w:tblStylePr>
    <w:tblStylePr w:type="band1Horz">
      <w:tblPr/>
      <w:tcPr>
        <w:shd w:val="clear" w:color="auto" w:fill="CBE7A0" w:themeFill="accent1" w:themeFillTint="66"/>
      </w:tcPr>
    </w:tblStylePr>
  </w:style>
  <w:style w:type="table" w:styleId="GridTable4-Accent1">
    <w:name w:val="Grid Table 4 Accent 1"/>
    <w:basedOn w:val="TableNormal"/>
    <w:uiPriority w:val="49"/>
    <w:rsid w:val="00D66B93"/>
    <w:tblPr>
      <w:tblStyleRowBandSize w:val="1"/>
      <w:tblStyleColBandSize w:val="1"/>
      <w:tblBorders>
        <w:top w:val="single" w:sz="4" w:space="0" w:color="B1DB71" w:themeColor="accent1" w:themeTint="99"/>
        <w:left w:val="single" w:sz="4" w:space="0" w:color="B1DB71" w:themeColor="accent1" w:themeTint="99"/>
        <w:bottom w:val="single" w:sz="4" w:space="0" w:color="B1DB71" w:themeColor="accent1" w:themeTint="99"/>
        <w:right w:val="single" w:sz="4" w:space="0" w:color="B1DB71" w:themeColor="accent1" w:themeTint="99"/>
        <w:insideH w:val="single" w:sz="4" w:space="0" w:color="B1DB71" w:themeColor="accent1" w:themeTint="99"/>
        <w:insideV w:val="single" w:sz="4" w:space="0" w:color="B1DB71" w:themeColor="accent1" w:themeTint="99"/>
      </w:tblBorders>
    </w:tblPr>
    <w:tblStylePr w:type="firstRow">
      <w:rPr>
        <w:b/>
        <w:bCs/>
        <w:color w:val="FFFFFF" w:themeColor="background1"/>
      </w:rPr>
      <w:tblPr/>
      <w:tcPr>
        <w:tcBorders>
          <w:top w:val="single" w:sz="4" w:space="0" w:color="79AB2B" w:themeColor="accent1"/>
          <w:left w:val="single" w:sz="4" w:space="0" w:color="79AB2B" w:themeColor="accent1"/>
          <w:bottom w:val="single" w:sz="4" w:space="0" w:color="79AB2B" w:themeColor="accent1"/>
          <w:right w:val="single" w:sz="4" w:space="0" w:color="79AB2B" w:themeColor="accent1"/>
          <w:insideH w:val="nil"/>
          <w:insideV w:val="nil"/>
        </w:tcBorders>
        <w:shd w:val="clear" w:color="auto" w:fill="79AB2B" w:themeFill="accent1"/>
      </w:tcPr>
    </w:tblStylePr>
    <w:tblStylePr w:type="lastRow">
      <w:rPr>
        <w:b/>
        <w:bCs/>
      </w:rPr>
      <w:tblPr/>
      <w:tcPr>
        <w:tcBorders>
          <w:top w:val="double" w:sz="4" w:space="0" w:color="79AB2B" w:themeColor="accent1"/>
        </w:tcBorders>
      </w:tc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3-Accent1">
    <w:name w:val="List Table 3 Accent 1"/>
    <w:basedOn w:val="TableNormal"/>
    <w:uiPriority w:val="48"/>
    <w:rsid w:val="00E4249A"/>
    <w:tblPr>
      <w:tblStyleRowBandSize w:val="1"/>
      <w:tblStyleColBandSize w:val="1"/>
      <w:tblBorders>
        <w:top w:val="single" w:sz="4" w:space="0" w:color="79AB2B" w:themeColor="accent1"/>
        <w:left w:val="single" w:sz="4" w:space="0" w:color="79AB2B" w:themeColor="accent1"/>
        <w:bottom w:val="single" w:sz="4" w:space="0" w:color="79AB2B" w:themeColor="accent1"/>
        <w:right w:val="single" w:sz="4" w:space="0" w:color="79AB2B" w:themeColor="accent1"/>
      </w:tblBorders>
    </w:tblPr>
    <w:tblStylePr w:type="firstRow">
      <w:rPr>
        <w:b/>
        <w:bCs/>
        <w:color w:val="FFFFFF" w:themeColor="background1"/>
      </w:rPr>
      <w:tblPr/>
      <w:tcPr>
        <w:shd w:val="clear" w:color="auto" w:fill="79AB2B" w:themeFill="accent1"/>
      </w:tcPr>
    </w:tblStylePr>
    <w:tblStylePr w:type="lastRow">
      <w:rPr>
        <w:b/>
        <w:bCs/>
      </w:rPr>
      <w:tblPr/>
      <w:tcPr>
        <w:tcBorders>
          <w:top w:val="double" w:sz="4" w:space="0" w:color="79AB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B2B" w:themeColor="accent1"/>
          <w:right w:val="single" w:sz="4" w:space="0" w:color="79AB2B" w:themeColor="accent1"/>
        </w:tcBorders>
      </w:tcPr>
    </w:tblStylePr>
    <w:tblStylePr w:type="band1Horz">
      <w:tblPr/>
      <w:tcPr>
        <w:tcBorders>
          <w:top w:val="single" w:sz="4" w:space="0" w:color="79AB2B" w:themeColor="accent1"/>
          <w:bottom w:val="single" w:sz="4" w:space="0" w:color="79AB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B2B" w:themeColor="accent1"/>
          <w:left w:val="nil"/>
        </w:tcBorders>
      </w:tcPr>
    </w:tblStylePr>
    <w:tblStylePr w:type="swCell">
      <w:tblPr/>
      <w:tcPr>
        <w:tcBorders>
          <w:top w:val="double" w:sz="4" w:space="0" w:color="79AB2B" w:themeColor="accent1"/>
          <w:right w:val="nil"/>
        </w:tcBorders>
      </w:tcPr>
    </w:tblStylePr>
  </w:style>
  <w:style w:type="table" w:styleId="GridTable4">
    <w:name w:val="Grid Table 4"/>
    <w:basedOn w:val="TableNormal"/>
    <w:uiPriority w:val="49"/>
    <w:rsid w:val="00E42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1">
    <w:name w:val="Heading #1|1_"/>
    <w:basedOn w:val="DefaultParagraphFont"/>
    <w:link w:val="Heading110"/>
    <w:locked/>
    <w:rsid w:val="00944916"/>
    <w:rPr>
      <w:b/>
      <w:bCs/>
      <w:shd w:val="clear" w:color="auto" w:fill="FFFFFF"/>
    </w:rPr>
  </w:style>
  <w:style w:type="paragraph" w:customStyle="1" w:styleId="Heading110">
    <w:name w:val="Heading #1|1"/>
    <w:basedOn w:val="Normal"/>
    <w:link w:val="Heading11"/>
    <w:rsid w:val="00944916"/>
    <w:pPr>
      <w:shd w:val="clear" w:color="auto" w:fill="FFFFFF"/>
      <w:spacing w:after="260" w:line="244" w:lineRule="exact"/>
      <w:ind w:hanging="360"/>
      <w:jc w:val="left"/>
    </w:pPr>
    <w:rPr>
      <w:b/>
      <w:bCs/>
      <w:color w:val="auto"/>
      <w:sz w:val="24"/>
      <w:szCs w:val="24"/>
      <w:lang w:val="en-IE"/>
    </w:rPr>
  </w:style>
  <w:style w:type="character" w:customStyle="1" w:styleId="ui-provider">
    <w:name w:val="ui-provider"/>
    <w:basedOn w:val="DefaultParagraphFont"/>
    <w:rsid w:val="008C2B5D"/>
  </w:style>
  <w:style w:type="character" w:customStyle="1" w:styleId="oj-bold">
    <w:name w:val="oj-bold"/>
    <w:basedOn w:val="DefaultParagraphFont"/>
    <w:rsid w:val="00A7080F"/>
  </w:style>
  <w:style w:type="character" w:customStyle="1" w:styleId="Heading7Char">
    <w:name w:val="Heading 7 Char"/>
    <w:basedOn w:val="DefaultParagraphFont"/>
    <w:link w:val="Heading7"/>
    <w:uiPriority w:val="9"/>
    <w:semiHidden/>
    <w:rsid w:val="00D93934"/>
    <w:rPr>
      <w:rFonts w:asciiTheme="majorHAnsi" w:eastAsiaTheme="majorEastAsia" w:hAnsiTheme="majorHAnsi" w:cstheme="majorBidi"/>
      <w:i/>
      <w:iCs/>
      <w:color w:val="3B5415" w:themeColor="accent1" w:themeShade="7F"/>
      <w:sz w:val="20"/>
      <w:szCs w:val="22"/>
      <w:lang w:val="en-GB"/>
    </w:rPr>
  </w:style>
  <w:style w:type="character" w:customStyle="1" w:styleId="Heading9Char">
    <w:name w:val="Heading 9 Char"/>
    <w:basedOn w:val="DefaultParagraphFont"/>
    <w:link w:val="Heading9"/>
    <w:uiPriority w:val="9"/>
    <w:semiHidden/>
    <w:rsid w:val="00AD30A5"/>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30338">
      <w:bodyDiv w:val="1"/>
      <w:marLeft w:val="0"/>
      <w:marRight w:val="0"/>
      <w:marTop w:val="0"/>
      <w:marBottom w:val="0"/>
      <w:divBdr>
        <w:top w:val="none" w:sz="0" w:space="0" w:color="auto"/>
        <w:left w:val="none" w:sz="0" w:space="0" w:color="auto"/>
        <w:bottom w:val="none" w:sz="0" w:space="0" w:color="auto"/>
        <w:right w:val="none" w:sz="0" w:space="0" w:color="auto"/>
      </w:divBdr>
    </w:div>
    <w:div w:id="211039540">
      <w:bodyDiv w:val="1"/>
      <w:marLeft w:val="0"/>
      <w:marRight w:val="0"/>
      <w:marTop w:val="0"/>
      <w:marBottom w:val="0"/>
      <w:divBdr>
        <w:top w:val="none" w:sz="0" w:space="0" w:color="auto"/>
        <w:left w:val="none" w:sz="0" w:space="0" w:color="auto"/>
        <w:bottom w:val="none" w:sz="0" w:space="0" w:color="auto"/>
        <w:right w:val="none" w:sz="0" w:space="0" w:color="auto"/>
      </w:divBdr>
    </w:div>
    <w:div w:id="218787800">
      <w:bodyDiv w:val="1"/>
      <w:marLeft w:val="0"/>
      <w:marRight w:val="0"/>
      <w:marTop w:val="0"/>
      <w:marBottom w:val="0"/>
      <w:divBdr>
        <w:top w:val="none" w:sz="0" w:space="0" w:color="auto"/>
        <w:left w:val="none" w:sz="0" w:space="0" w:color="auto"/>
        <w:bottom w:val="none" w:sz="0" w:space="0" w:color="auto"/>
        <w:right w:val="none" w:sz="0" w:space="0" w:color="auto"/>
      </w:divBdr>
    </w:div>
    <w:div w:id="239566322">
      <w:bodyDiv w:val="1"/>
      <w:marLeft w:val="0"/>
      <w:marRight w:val="0"/>
      <w:marTop w:val="0"/>
      <w:marBottom w:val="0"/>
      <w:divBdr>
        <w:top w:val="none" w:sz="0" w:space="0" w:color="auto"/>
        <w:left w:val="none" w:sz="0" w:space="0" w:color="auto"/>
        <w:bottom w:val="none" w:sz="0" w:space="0" w:color="auto"/>
        <w:right w:val="none" w:sz="0" w:space="0" w:color="auto"/>
      </w:divBdr>
      <w:divsChild>
        <w:div w:id="646133310">
          <w:marLeft w:val="0"/>
          <w:marRight w:val="0"/>
          <w:marTop w:val="0"/>
          <w:marBottom w:val="0"/>
          <w:divBdr>
            <w:top w:val="none" w:sz="0" w:space="0" w:color="auto"/>
            <w:left w:val="none" w:sz="0" w:space="0" w:color="auto"/>
            <w:bottom w:val="none" w:sz="0" w:space="0" w:color="auto"/>
            <w:right w:val="none" w:sz="0" w:space="0" w:color="auto"/>
          </w:divBdr>
          <w:divsChild>
            <w:div w:id="392704001">
              <w:marLeft w:val="0"/>
              <w:marRight w:val="0"/>
              <w:marTop w:val="0"/>
              <w:marBottom w:val="0"/>
              <w:divBdr>
                <w:top w:val="none" w:sz="0" w:space="0" w:color="auto"/>
                <w:left w:val="none" w:sz="0" w:space="0" w:color="auto"/>
                <w:bottom w:val="none" w:sz="0" w:space="0" w:color="auto"/>
                <w:right w:val="none" w:sz="0" w:space="0" w:color="auto"/>
              </w:divBdr>
              <w:divsChild>
                <w:div w:id="14327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9082">
      <w:bodyDiv w:val="1"/>
      <w:marLeft w:val="0"/>
      <w:marRight w:val="0"/>
      <w:marTop w:val="0"/>
      <w:marBottom w:val="0"/>
      <w:divBdr>
        <w:top w:val="none" w:sz="0" w:space="0" w:color="auto"/>
        <w:left w:val="none" w:sz="0" w:space="0" w:color="auto"/>
        <w:bottom w:val="none" w:sz="0" w:space="0" w:color="auto"/>
        <w:right w:val="none" w:sz="0" w:space="0" w:color="auto"/>
      </w:divBdr>
    </w:div>
    <w:div w:id="321664620">
      <w:bodyDiv w:val="1"/>
      <w:marLeft w:val="0"/>
      <w:marRight w:val="0"/>
      <w:marTop w:val="0"/>
      <w:marBottom w:val="0"/>
      <w:divBdr>
        <w:top w:val="none" w:sz="0" w:space="0" w:color="auto"/>
        <w:left w:val="none" w:sz="0" w:space="0" w:color="auto"/>
        <w:bottom w:val="none" w:sz="0" w:space="0" w:color="auto"/>
        <w:right w:val="none" w:sz="0" w:space="0" w:color="auto"/>
      </w:divBdr>
      <w:divsChild>
        <w:div w:id="19211223">
          <w:marLeft w:val="0"/>
          <w:marRight w:val="0"/>
          <w:marTop w:val="0"/>
          <w:marBottom w:val="0"/>
          <w:divBdr>
            <w:top w:val="none" w:sz="0" w:space="0" w:color="auto"/>
            <w:left w:val="none" w:sz="0" w:space="0" w:color="auto"/>
            <w:bottom w:val="none" w:sz="0" w:space="0" w:color="auto"/>
            <w:right w:val="none" w:sz="0" w:space="0" w:color="auto"/>
          </w:divBdr>
          <w:divsChild>
            <w:div w:id="748698912">
              <w:marLeft w:val="0"/>
              <w:marRight w:val="0"/>
              <w:marTop w:val="0"/>
              <w:marBottom w:val="0"/>
              <w:divBdr>
                <w:top w:val="none" w:sz="0" w:space="0" w:color="auto"/>
                <w:left w:val="none" w:sz="0" w:space="0" w:color="auto"/>
                <w:bottom w:val="none" w:sz="0" w:space="0" w:color="auto"/>
                <w:right w:val="none" w:sz="0" w:space="0" w:color="auto"/>
              </w:divBdr>
              <w:divsChild>
                <w:div w:id="11734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4952">
      <w:bodyDiv w:val="1"/>
      <w:marLeft w:val="0"/>
      <w:marRight w:val="0"/>
      <w:marTop w:val="0"/>
      <w:marBottom w:val="0"/>
      <w:divBdr>
        <w:top w:val="none" w:sz="0" w:space="0" w:color="auto"/>
        <w:left w:val="none" w:sz="0" w:space="0" w:color="auto"/>
        <w:bottom w:val="none" w:sz="0" w:space="0" w:color="auto"/>
        <w:right w:val="none" w:sz="0" w:space="0" w:color="auto"/>
      </w:divBdr>
      <w:divsChild>
        <w:div w:id="973021867">
          <w:marLeft w:val="547"/>
          <w:marRight w:val="0"/>
          <w:marTop w:val="0"/>
          <w:marBottom w:val="0"/>
          <w:divBdr>
            <w:top w:val="none" w:sz="0" w:space="0" w:color="auto"/>
            <w:left w:val="none" w:sz="0" w:space="0" w:color="auto"/>
            <w:bottom w:val="none" w:sz="0" w:space="0" w:color="auto"/>
            <w:right w:val="none" w:sz="0" w:space="0" w:color="auto"/>
          </w:divBdr>
        </w:div>
      </w:divsChild>
    </w:div>
    <w:div w:id="418019631">
      <w:bodyDiv w:val="1"/>
      <w:marLeft w:val="0"/>
      <w:marRight w:val="0"/>
      <w:marTop w:val="0"/>
      <w:marBottom w:val="0"/>
      <w:divBdr>
        <w:top w:val="none" w:sz="0" w:space="0" w:color="auto"/>
        <w:left w:val="none" w:sz="0" w:space="0" w:color="auto"/>
        <w:bottom w:val="none" w:sz="0" w:space="0" w:color="auto"/>
        <w:right w:val="none" w:sz="0" w:space="0" w:color="auto"/>
      </w:divBdr>
    </w:div>
    <w:div w:id="485585706">
      <w:bodyDiv w:val="1"/>
      <w:marLeft w:val="0"/>
      <w:marRight w:val="0"/>
      <w:marTop w:val="0"/>
      <w:marBottom w:val="0"/>
      <w:divBdr>
        <w:top w:val="none" w:sz="0" w:space="0" w:color="auto"/>
        <w:left w:val="none" w:sz="0" w:space="0" w:color="auto"/>
        <w:bottom w:val="none" w:sz="0" w:space="0" w:color="auto"/>
        <w:right w:val="none" w:sz="0" w:space="0" w:color="auto"/>
      </w:divBdr>
      <w:divsChild>
        <w:div w:id="1752505233">
          <w:marLeft w:val="0"/>
          <w:marRight w:val="0"/>
          <w:marTop w:val="0"/>
          <w:marBottom w:val="0"/>
          <w:divBdr>
            <w:top w:val="none" w:sz="0" w:space="0" w:color="auto"/>
            <w:left w:val="none" w:sz="0" w:space="0" w:color="auto"/>
            <w:bottom w:val="none" w:sz="0" w:space="0" w:color="auto"/>
            <w:right w:val="none" w:sz="0" w:space="0" w:color="auto"/>
          </w:divBdr>
          <w:divsChild>
            <w:div w:id="2091584552">
              <w:marLeft w:val="0"/>
              <w:marRight w:val="0"/>
              <w:marTop w:val="0"/>
              <w:marBottom w:val="0"/>
              <w:divBdr>
                <w:top w:val="none" w:sz="0" w:space="0" w:color="auto"/>
                <w:left w:val="none" w:sz="0" w:space="0" w:color="auto"/>
                <w:bottom w:val="none" w:sz="0" w:space="0" w:color="auto"/>
                <w:right w:val="none" w:sz="0" w:space="0" w:color="auto"/>
              </w:divBdr>
              <w:divsChild>
                <w:div w:id="13856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597">
      <w:bodyDiv w:val="1"/>
      <w:marLeft w:val="0"/>
      <w:marRight w:val="0"/>
      <w:marTop w:val="0"/>
      <w:marBottom w:val="0"/>
      <w:divBdr>
        <w:top w:val="none" w:sz="0" w:space="0" w:color="auto"/>
        <w:left w:val="none" w:sz="0" w:space="0" w:color="auto"/>
        <w:bottom w:val="none" w:sz="0" w:space="0" w:color="auto"/>
        <w:right w:val="none" w:sz="0" w:space="0" w:color="auto"/>
      </w:divBdr>
    </w:div>
    <w:div w:id="575017004">
      <w:bodyDiv w:val="1"/>
      <w:marLeft w:val="0"/>
      <w:marRight w:val="0"/>
      <w:marTop w:val="0"/>
      <w:marBottom w:val="0"/>
      <w:divBdr>
        <w:top w:val="none" w:sz="0" w:space="0" w:color="auto"/>
        <w:left w:val="none" w:sz="0" w:space="0" w:color="auto"/>
        <w:bottom w:val="none" w:sz="0" w:space="0" w:color="auto"/>
        <w:right w:val="none" w:sz="0" w:space="0" w:color="auto"/>
      </w:divBdr>
      <w:divsChild>
        <w:div w:id="1247575934">
          <w:marLeft w:val="0"/>
          <w:marRight w:val="0"/>
          <w:marTop w:val="0"/>
          <w:marBottom w:val="0"/>
          <w:divBdr>
            <w:top w:val="none" w:sz="0" w:space="0" w:color="auto"/>
            <w:left w:val="none" w:sz="0" w:space="0" w:color="auto"/>
            <w:bottom w:val="none" w:sz="0" w:space="0" w:color="auto"/>
            <w:right w:val="none" w:sz="0" w:space="0" w:color="auto"/>
          </w:divBdr>
          <w:divsChild>
            <w:div w:id="2033604429">
              <w:marLeft w:val="0"/>
              <w:marRight w:val="0"/>
              <w:marTop w:val="0"/>
              <w:marBottom w:val="0"/>
              <w:divBdr>
                <w:top w:val="none" w:sz="0" w:space="0" w:color="auto"/>
                <w:left w:val="none" w:sz="0" w:space="0" w:color="auto"/>
                <w:bottom w:val="none" w:sz="0" w:space="0" w:color="auto"/>
                <w:right w:val="none" w:sz="0" w:space="0" w:color="auto"/>
              </w:divBdr>
              <w:divsChild>
                <w:div w:id="20421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1316">
      <w:bodyDiv w:val="1"/>
      <w:marLeft w:val="0"/>
      <w:marRight w:val="0"/>
      <w:marTop w:val="0"/>
      <w:marBottom w:val="0"/>
      <w:divBdr>
        <w:top w:val="none" w:sz="0" w:space="0" w:color="auto"/>
        <w:left w:val="none" w:sz="0" w:space="0" w:color="auto"/>
        <w:bottom w:val="none" w:sz="0" w:space="0" w:color="auto"/>
        <w:right w:val="none" w:sz="0" w:space="0" w:color="auto"/>
      </w:divBdr>
    </w:div>
    <w:div w:id="579605833">
      <w:bodyDiv w:val="1"/>
      <w:marLeft w:val="0"/>
      <w:marRight w:val="0"/>
      <w:marTop w:val="0"/>
      <w:marBottom w:val="0"/>
      <w:divBdr>
        <w:top w:val="none" w:sz="0" w:space="0" w:color="auto"/>
        <w:left w:val="none" w:sz="0" w:space="0" w:color="auto"/>
        <w:bottom w:val="none" w:sz="0" w:space="0" w:color="auto"/>
        <w:right w:val="none" w:sz="0" w:space="0" w:color="auto"/>
      </w:divBdr>
      <w:divsChild>
        <w:div w:id="1031221085">
          <w:marLeft w:val="547"/>
          <w:marRight w:val="0"/>
          <w:marTop w:val="0"/>
          <w:marBottom w:val="0"/>
          <w:divBdr>
            <w:top w:val="none" w:sz="0" w:space="0" w:color="auto"/>
            <w:left w:val="none" w:sz="0" w:space="0" w:color="auto"/>
            <w:bottom w:val="none" w:sz="0" w:space="0" w:color="auto"/>
            <w:right w:val="none" w:sz="0" w:space="0" w:color="auto"/>
          </w:divBdr>
        </w:div>
      </w:divsChild>
    </w:div>
    <w:div w:id="669676395">
      <w:bodyDiv w:val="1"/>
      <w:marLeft w:val="0"/>
      <w:marRight w:val="0"/>
      <w:marTop w:val="0"/>
      <w:marBottom w:val="0"/>
      <w:divBdr>
        <w:top w:val="none" w:sz="0" w:space="0" w:color="auto"/>
        <w:left w:val="none" w:sz="0" w:space="0" w:color="auto"/>
        <w:bottom w:val="none" w:sz="0" w:space="0" w:color="auto"/>
        <w:right w:val="none" w:sz="0" w:space="0" w:color="auto"/>
      </w:divBdr>
      <w:divsChild>
        <w:div w:id="61418040">
          <w:marLeft w:val="547"/>
          <w:marRight w:val="0"/>
          <w:marTop w:val="0"/>
          <w:marBottom w:val="0"/>
          <w:divBdr>
            <w:top w:val="none" w:sz="0" w:space="0" w:color="auto"/>
            <w:left w:val="none" w:sz="0" w:space="0" w:color="auto"/>
            <w:bottom w:val="none" w:sz="0" w:space="0" w:color="auto"/>
            <w:right w:val="none" w:sz="0" w:space="0" w:color="auto"/>
          </w:divBdr>
        </w:div>
      </w:divsChild>
    </w:div>
    <w:div w:id="680551983">
      <w:bodyDiv w:val="1"/>
      <w:marLeft w:val="0"/>
      <w:marRight w:val="0"/>
      <w:marTop w:val="0"/>
      <w:marBottom w:val="0"/>
      <w:divBdr>
        <w:top w:val="none" w:sz="0" w:space="0" w:color="auto"/>
        <w:left w:val="none" w:sz="0" w:space="0" w:color="auto"/>
        <w:bottom w:val="none" w:sz="0" w:space="0" w:color="auto"/>
        <w:right w:val="none" w:sz="0" w:space="0" w:color="auto"/>
      </w:divBdr>
    </w:div>
    <w:div w:id="855114035">
      <w:bodyDiv w:val="1"/>
      <w:marLeft w:val="0"/>
      <w:marRight w:val="0"/>
      <w:marTop w:val="0"/>
      <w:marBottom w:val="0"/>
      <w:divBdr>
        <w:top w:val="none" w:sz="0" w:space="0" w:color="auto"/>
        <w:left w:val="none" w:sz="0" w:space="0" w:color="auto"/>
        <w:bottom w:val="none" w:sz="0" w:space="0" w:color="auto"/>
        <w:right w:val="none" w:sz="0" w:space="0" w:color="auto"/>
      </w:divBdr>
    </w:div>
    <w:div w:id="866910489">
      <w:bodyDiv w:val="1"/>
      <w:marLeft w:val="0"/>
      <w:marRight w:val="0"/>
      <w:marTop w:val="0"/>
      <w:marBottom w:val="0"/>
      <w:divBdr>
        <w:top w:val="none" w:sz="0" w:space="0" w:color="auto"/>
        <w:left w:val="none" w:sz="0" w:space="0" w:color="auto"/>
        <w:bottom w:val="none" w:sz="0" w:space="0" w:color="auto"/>
        <w:right w:val="none" w:sz="0" w:space="0" w:color="auto"/>
      </w:divBdr>
      <w:divsChild>
        <w:div w:id="615218510">
          <w:marLeft w:val="0"/>
          <w:marRight w:val="0"/>
          <w:marTop w:val="0"/>
          <w:marBottom w:val="0"/>
          <w:divBdr>
            <w:top w:val="none" w:sz="0" w:space="0" w:color="auto"/>
            <w:left w:val="none" w:sz="0" w:space="0" w:color="auto"/>
            <w:bottom w:val="none" w:sz="0" w:space="0" w:color="auto"/>
            <w:right w:val="none" w:sz="0" w:space="0" w:color="auto"/>
          </w:divBdr>
          <w:divsChild>
            <w:div w:id="1806855383">
              <w:marLeft w:val="0"/>
              <w:marRight w:val="0"/>
              <w:marTop w:val="0"/>
              <w:marBottom w:val="0"/>
              <w:divBdr>
                <w:top w:val="none" w:sz="0" w:space="0" w:color="auto"/>
                <w:left w:val="none" w:sz="0" w:space="0" w:color="auto"/>
                <w:bottom w:val="none" w:sz="0" w:space="0" w:color="auto"/>
                <w:right w:val="none" w:sz="0" w:space="0" w:color="auto"/>
              </w:divBdr>
              <w:divsChild>
                <w:div w:id="181941708">
                  <w:marLeft w:val="0"/>
                  <w:marRight w:val="0"/>
                  <w:marTop w:val="0"/>
                  <w:marBottom w:val="0"/>
                  <w:divBdr>
                    <w:top w:val="none" w:sz="0" w:space="0" w:color="auto"/>
                    <w:left w:val="none" w:sz="0" w:space="0" w:color="auto"/>
                    <w:bottom w:val="none" w:sz="0" w:space="0" w:color="auto"/>
                    <w:right w:val="none" w:sz="0" w:space="0" w:color="auto"/>
                  </w:divBdr>
                  <w:divsChild>
                    <w:div w:id="8203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1111">
      <w:bodyDiv w:val="1"/>
      <w:marLeft w:val="0"/>
      <w:marRight w:val="0"/>
      <w:marTop w:val="0"/>
      <w:marBottom w:val="0"/>
      <w:divBdr>
        <w:top w:val="none" w:sz="0" w:space="0" w:color="auto"/>
        <w:left w:val="none" w:sz="0" w:space="0" w:color="auto"/>
        <w:bottom w:val="none" w:sz="0" w:space="0" w:color="auto"/>
        <w:right w:val="none" w:sz="0" w:space="0" w:color="auto"/>
      </w:divBdr>
      <w:divsChild>
        <w:div w:id="190924640">
          <w:marLeft w:val="0"/>
          <w:marRight w:val="0"/>
          <w:marTop w:val="0"/>
          <w:marBottom w:val="0"/>
          <w:divBdr>
            <w:top w:val="none" w:sz="0" w:space="0" w:color="auto"/>
            <w:left w:val="none" w:sz="0" w:space="0" w:color="auto"/>
            <w:bottom w:val="none" w:sz="0" w:space="0" w:color="auto"/>
            <w:right w:val="none" w:sz="0" w:space="0" w:color="auto"/>
          </w:divBdr>
          <w:divsChild>
            <w:div w:id="524171358">
              <w:marLeft w:val="0"/>
              <w:marRight w:val="0"/>
              <w:marTop w:val="0"/>
              <w:marBottom w:val="0"/>
              <w:divBdr>
                <w:top w:val="none" w:sz="0" w:space="0" w:color="auto"/>
                <w:left w:val="none" w:sz="0" w:space="0" w:color="auto"/>
                <w:bottom w:val="none" w:sz="0" w:space="0" w:color="auto"/>
                <w:right w:val="none" w:sz="0" w:space="0" w:color="auto"/>
              </w:divBdr>
              <w:divsChild>
                <w:div w:id="1986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2201">
      <w:bodyDiv w:val="1"/>
      <w:marLeft w:val="0"/>
      <w:marRight w:val="0"/>
      <w:marTop w:val="0"/>
      <w:marBottom w:val="0"/>
      <w:divBdr>
        <w:top w:val="none" w:sz="0" w:space="0" w:color="auto"/>
        <w:left w:val="none" w:sz="0" w:space="0" w:color="auto"/>
        <w:bottom w:val="none" w:sz="0" w:space="0" w:color="auto"/>
        <w:right w:val="none" w:sz="0" w:space="0" w:color="auto"/>
      </w:divBdr>
      <w:divsChild>
        <w:div w:id="682049031">
          <w:marLeft w:val="0"/>
          <w:marRight w:val="0"/>
          <w:marTop w:val="0"/>
          <w:marBottom w:val="0"/>
          <w:divBdr>
            <w:top w:val="none" w:sz="0" w:space="0" w:color="auto"/>
            <w:left w:val="none" w:sz="0" w:space="0" w:color="auto"/>
            <w:bottom w:val="none" w:sz="0" w:space="0" w:color="auto"/>
            <w:right w:val="none" w:sz="0" w:space="0" w:color="auto"/>
          </w:divBdr>
          <w:divsChild>
            <w:div w:id="2082478403">
              <w:marLeft w:val="0"/>
              <w:marRight w:val="0"/>
              <w:marTop w:val="0"/>
              <w:marBottom w:val="0"/>
              <w:divBdr>
                <w:top w:val="none" w:sz="0" w:space="0" w:color="auto"/>
                <w:left w:val="none" w:sz="0" w:space="0" w:color="auto"/>
                <w:bottom w:val="none" w:sz="0" w:space="0" w:color="auto"/>
                <w:right w:val="none" w:sz="0" w:space="0" w:color="auto"/>
              </w:divBdr>
              <w:divsChild>
                <w:div w:id="10399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1447">
      <w:bodyDiv w:val="1"/>
      <w:marLeft w:val="0"/>
      <w:marRight w:val="0"/>
      <w:marTop w:val="0"/>
      <w:marBottom w:val="0"/>
      <w:divBdr>
        <w:top w:val="none" w:sz="0" w:space="0" w:color="auto"/>
        <w:left w:val="none" w:sz="0" w:space="0" w:color="auto"/>
        <w:bottom w:val="none" w:sz="0" w:space="0" w:color="auto"/>
        <w:right w:val="none" w:sz="0" w:space="0" w:color="auto"/>
      </w:divBdr>
    </w:div>
    <w:div w:id="1285430048">
      <w:bodyDiv w:val="1"/>
      <w:marLeft w:val="0"/>
      <w:marRight w:val="0"/>
      <w:marTop w:val="0"/>
      <w:marBottom w:val="0"/>
      <w:divBdr>
        <w:top w:val="none" w:sz="0" w:space="0" w:color="auto"/>
        <w:left w:val="none" w:sz="0" w:space="0" w:color="auto"/>
        <w:bottom w:val="none" w:sz="0" w:space="0" w:color="auto"/>
        <w:right w:val="none" w:sz="0" w:space="0" w:color="auto"/>
      </w:divBdr>
      <w:divsChild>
        <w:div w:id="897209468">
          <w:marLeft w:val="0"/>
          <w:marRight w:val="0"/>
          <w:marTop w:val="0"/>
          <w:marBottom w:val="0"/>
          <w:divBdr>
            <w:top w:val="none" w:sz="0" w:space="0" w:color="auto"/>
            <w:left w:val="none" w:sz="0" w:space="0" w:color="auto"/>
            <w:bottom w:val="none" w:sz="0" w:space="0" w:color="auto"/>
            <w:right w:val="none" w:sz="0" w:space="0" w:color="auto"/>
          </w:divBdr>
          <w:divsChild>
            <w:div w:id="897939379">
              <w:marLeft w:val="0"/>
              <w:marRight w:val="0"/>
              <w:marTop w:val="0"/>
              <w:marBottom w:val="0"/>
              <w:divBdr>
                <w:top w:val="none" w:sz="0" w:space="0" w:color="auto"/>
                <w:left w:val="none" w:sz="0" w:space="0" w:color="auto"/>
                <w:bottom w:val="none" w:sz="0" w:space="0" w:color="auto"/>
                <w:right w:val="none" w:sz="0" w:space="0" w:color="auto"/>
              </w:divBdr>
              <w:divsChild>
                <w:div w:id="1155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1998">
      <w:bodyDiv w:val="1"/>
      <w:marLeft w:val="0"/>
      <w:marRight w:val="0"/>
      <w:marTop w:val="0"/>
      <w:marBottom w:val="0"/>
      <w:divBdr>
        <w:top w:val="none" w:sz="0" w:space="0" w:color="auto"/>
        <w:left w:val="none" w:sz="0" w:space="0" w:color="auto"/>
        <w:bottom w:val="none" w:sz="0" w:space="0" w:color="auto"/>
        <w:right w:val="none" w:sz="0" w:space="0" w:color="auto"/>
      </w:divBdr>
      <w:divsChild>
        <w:div w:id="2028751309">
          <w:marLeft w:val="0"/>
          <w:marRight w:val="0"/>
          <w:marTop w:val="0"/>
          <w:marBottom w:val="0"/>
          <w:divBdr>
            <w:top w:val="none" w:sz="0" w:space="0" w:color="auto"/>
            <w:left w:val="none" w:sz="0" w:space="0" w:color="auto"/>
            <w:bottom w:val="none" w:sz="0" w:space="0" w:color="auto"/>
            <w:right w:val="none" w:sz="0" w:space="0" w:color="auto"/>
          </w:divBdr>
          <w:divsChild>
            <w:div w:id="137771949">
              <w:marLeft w:val="0"/>
              <w:marRight w:val="0"/>
              <w:marTop w:val="0"/>
              <w:marBottom w:val="0"/>
              <w:divBdr>
                <w:top w:val="none" w:sz="0" w:space="0" w:color="auto"/>
                <w:left w:val="none" w:sz="0" w:space="0" w:color="auto"/>
                <w:bottom w:val="none" w:sz="0" w:space="0" w:color="auto"/>
                <w:right w:val="none" w:sz="0" w:space="0" w:color="auto"/>
              </w:divBdr>
              <w:divsChild>
                <w:div w:id="350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83863">
      <w:bodyDiv w:val="1"/>
      <w:marLeft w:val="0"/>
      <w:marRight w:val="0"/>
      <w:marTop w:val="0"/>
      <w:marBottom w:val="0"/>
      <w:divBdr>
        <w:top w:val="none" w:sz="0" w:space="0" w:color="auto"/>
        <w:left w:val="none" w:sz="0" w:space="0" w:color="auto"/>
        <w:bottom w:val="none" w:sz="0" w:space="0" w:color="auto"/>
        <w:right w:val="none" w:sz="0" w:space="0" w:color="auto"/>
      </w:divBdr>
      <w:divsChild>
        <w:div w:id="1487746117">
          <w:marLeft w:val="0"/>
          <w:marRight w:val="0"/>
          <w:marTop w:val="0"/>
          <w:marBottom w:val="0"/>
          <w:divBdr>
            <w:top w:val="none" w:sz="0" w:space="0" w:color="auto"/>
            <w:left w:val="none" w:sz="0" w:space="0" w:color="auto"/>
            <w:bottom w:val="none" w:sz="0" w:space="0" w:color="auto"/>
            <w:right w:val="none" w:sz="0" w:space="0" w:color="auto"/>
          </w:divBdr>
          <w:divsChild>
            <w:div w:id="1003900085">
              <w:marLeft w:val="0"/>
              <w:marRight w:val="0"/>
              <w:marTop w:val="0"/>
              <w:marBottom w:val="0"/>
              <w:divBdr>
                <w:top w:val="none" w:sz="0" w:space="0" w:color="auto"/>
                <w:left w:val="none" w:sz="0" w:space="0" w:color="auto"/>
                <w:bottom w:val="none" w:sz="0" w:space="0" w:color="auto"/>
                <w:right w:val="none" w:sz="0" w:space="0" w:color="auto"/>
              </w:divBdr>
              <w:divsChild>
                <w:div w:id="13822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1098">
      <w:bodyDiv w:val="1"/>
      <w:marLeft w:val="0"/>
      <w:marRight w:val="0"/>
      <w:marTop w:val="0"/>
      <w:marBottom w:val="0"/>
      <w:divBdr>
        <w:top w:val="none" w:sz="0" w:space="0" w:color="auto"/>
        <w:left w:val="none" w:sz="0" w:space="0" w:color="auto"/>
        <w:bottom w:val="none" w:sz="0" w:space="0" w:color="auto"/>
        <w:right w:val="none" w:sz="0" w:space="0" w:color="auto"/>
      </w:divBdr>
    </w:div>
    <w:div w:id="1493401075">
      <w:bodyDiv w:val="1"/>
      <w:marLeft w:val="0"/>
      <w:marRight w:val="0"/>
      <w:marTop w:val="0"/>
      <w:marBottom w:val="0"/>
      <w:divBdr>
        <w:top w:val="none" w:sz="0" w:space="0" w:color="auto"/>
        <w:left w:val="none" w:sz="0" w:space="0" w:color="auto"/>
        <w:bottom w:val="none" w:sz="0" w:space="0" w:color="auto"/>
        <w:right w:val="none" w:sz="0" w:space="0" w:color="auto"/>
      </w:divBdr>
      <w:divsChild>
        <w:div w:id="2109083358">
          <w:marLeft w:val="0"/>
          <w:marRight w:val="0"/>
          <w:marTop w:val="0"/>
          <w:marBottom w:val="0"/>
          <w:divBdr>
            <w:top w:val="none" w:sz="0" w:space="0" w:color="auto"/>
            <w:left w:val="none" w:sz="0" w:space="0" w:color="auto"/>
            <w:bottom w:val="none" w:sz="0" w:space="0" w:color="auto"/>
            <w:right w:val="none" w:sz="0" w:space="0" w:color="auto"/>
          </w:divBdr>
          <w:divsChild>
            <w:div w:id="723867701">
              <w:marLeft w:val="0"/>
              <w:marRight w:val="0"/>
              <w:marTop w:val="0"/>
              <w:marBottom w:val="0"/>
              <w:divBdr>
                <w:top w:val="none" w:sz="0" w:space="0" w:color="auto"/>
                <w:left w:val="none" w:sz="0" w:space="0" w:color="auto"/>
                <w:bottom w:val="none" w:sz="0" w:space="0" w:color="auto"/>
                <w:right w:val="none" w:sz="0" w:space="0" w:color="auto"/>
              </w:divBdr>
              <w:divsChild>
                <w:div w:id="513346325">
                  <w:marLeft w:val="0"/>
                  <w:marRight w:val="0"/>
                  <w:marTop w:val="0"/>
                  <w:marBottom w:val="0"/>
                  <w:divBdr>
                    <w:top w:val="none" w:sz="0" w:space="0" w:color="auto"/>
                    <w:left w:val="none" w:sz="0" w:space="0" w:color="auto"/>
                    <w:bottom w:val="none" w:sz="0" w:space="0" w:color="auto"/>
                    <w:right w:val="none" w:sz="0" w:space="0" w:color="auto"/>
                  </w:divBdr>
                  <w:divsChild>
                    <w:div w:id="66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53201">
      <w:bodyDiv w:val="1"/>
      <w:marLeft w:val="0"/>
      <w:marRight w:val="0"/>
      <w:marTop w:val="0"/>
      <w:marBottom w:val="0"/>
      <w:divBdr>
        <w:top w:val="none" w:sz="0" w:space="0" w:color="auto"/>
        <w:left w:val="none" w:sz="0" w:space="0" w:color="auto"/>
        <w:bottom w:val="none" w:sz="0" w:space="0" w:color="auto"/>
        <w:right w:val="none" w:sz="0" w:space="0" w:color="auto"/>
      </w:divBdr>
      <w:divsChild>
        <w:div w:id="920023123">
          <w:marLeft w:val="0"/>
          <w:marRight w:val="0"/>
          <w:marTop w:val="0"/>
          <w:marBottom w:val="0"/>
          <w:divBdr>
            <w:top w:val="none" w:sz="0" w:space="0" w:color="auto"/>
            <w:left w:val="none" w:sz="0" w:space="0" w:color="auto"/>
            <w:bottom w:val="none" w:sz="0" w:space="0" w:color="auto"/>
            <w:right w:val="none" w:sz="0" w:space="0" w:color="auto"/>
          </w:divBdr>
          <w:divsChild>
            <w:div w:id="62414145">
              <w:marLeft w:val="0"/>
              <w:marRight w:val="0"/>
              <w:marTop w:val="0"/>
              <w:marBottom w:val="0"/>
              <w:divBdr>
                <w:top w:val="none" w:sz="0" w:space="0" w:color="auto"/>
                <w:left w:val="none" w:sz="0" w:space="0" w:color="auto"/>
                <w:bottom w:val="none" w:sz="0" w:space="0" w:color="auto"/>
                <w:right w:val="none" w:sz="0" w:space="0" w:color="auto"/>
              </w:divBdr>
              <w:divsChild>
                <w:div w:id="7361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8908">
      <w:bodyDiv w:val="1"/>
      <w:marLeft w:val="0"/>
      <w:marRight w:val="0"/>
      <w:marTop w:val="0"/>
      <w:marBottom w:val="0"/>
      <w:divBdr>
        <w:top w:val="none" w:sz="0" w:space="0" w:color="auto"/>
        <w:left w:val="none" w:sz="0" w:space="0" w:color="auto"/>
        <w:bottom w:val="none" w:sz="0" w:space="0" w:color="auto"/>
        <w:right w:val="none" w:sz="0" w:space="0" w:color="auto"/>
      </w:divBdr>
      <w:divsChild>
        <w:div w:id="1262295034">
          <w:marLeft w:val="0"/>
          <w:marRight w:val="0"/>
          <w:marTop w:val="0"/>
          <w:marBottom w:val="0"/>
          <w:divBdr>
            <w:top w:val="none" w:sz="0" w:space="0" w:color="auto"/>
            <w:left w:val="none" w:sz="0" w:space="0" w:color="auto"/>
            <w:bottom w:val="none" w:sz="0" w:space="0" w:color="auto"/>
            <w:right w:val="none" w:sz="0" w:space="0" w:color="auto"/>
          </w:divBdr>
          <w:divsChild>
            <w:div w:id="207255455">
              <w:marLeft w:val="0"/>
              <w:marRight w:val="0"/>
              <w:marTop w:val="0"/>
              <w:marBottom w:val="0"/>
              <w:divBdr>
                <w:top w:val="none" w:sz="0" w:space="0" w:color="auto"/>
                <w:left w:val="none" w:sz="0" w:space="0" w:color="auto"/>
                <w:bottom w:val="none" w:sz="0" w:space="0" w:color="auto"/>
                <w:right w:val="none" w:sz="0" w:space="0" w:color="auto"/>
              </w:divBdr>
              <w:divsChild>
                <w:div w:id="3640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9563">
      <w:bodyDiv w:val="1"/>
      <w:marLeft w:val="0"/>
      <w:marRight w:val="0"/>
      <w:marTop w:val="0"/>
      <w:marBottom w:val="0"/>
      <w:divBdr>
        <w:top w:val="none" w:sz="0" w:space="0" w:color="auto"/>
        <w:left w:val="none" w:sz="0" w:space="0" w:color="auto"/>
        <w:bottom w:val="none" w:sz="0" w:space="0" w:color="auto"/>
        <w:right w:val="none" w:sz="0" w:space="0" w:color="auto"/>
      </w:divBdr>
      <w:divsChild>
        <w:div w:id="932709365">
          <w:marLeft w:val="0"/>
          <w:marRight w:val="0"/>
          <w:marTop w:val="0"/>
          <w:marBottom w:val="0"/>
          <w:divBdr>
            <w:top w:val="none" w:sz="0" w:space="0" w:color="auto"/>
            <w:left w:val="none" w:sz="0" w:space="0" w:color="auto"/>
            <w:bottom w:val="none" w:sz="0" w:space="0" w:color="auto"/>
            <w:right w:val="none" w:sz="0" w:space="0" w:color="auto"/>
          </w:divBdr>
          <w:divsChild>
            <w:div w:id="586382309">
              <w:marLeft w:val="0"/>
              <w:marRight w:val="0"/>
              <w:marTop w:val="0"/>
              <w:marBottom w:val="0"/>
              <w:divBdr>
                <w:top w:val="none" w:sz="0" w:space="0" w:color="auto"/>
                <w:left w:val="none" w:sz="0" w:space="0" w:color="auto"/>
                <w:bottom w:val="none" w:sz="0" w:space="0" w:color="auto"/>
                <w:right w:val="none" w:sz="0" w:space="0" w:color="auto"/>
              </w:divBdr>
              <w:divsChild>
                <w:div w:id="987248615">
                  <w:marLeft w:val="0"/>
                  <w:marRight w:val="0"/>
                  <w:marTop w:val="0"/>
                  <w:marBottom w:val="0"/>
                  <w:divBdr>
                    <w:top w:val="none" w:sz="0" w:space="0" w:color="auto"/>
                    <w:left w:val="none" w:sz="0" w:space="0" w:color="auto"/>
                    <w:bottom w:val="none" w:sz="0" w:space="0" w:color="auto"/>
                    <w:right w:val="none" w:sz="0" w:space="0" w:color="auto"/>
                  </w:divBdr>
                  <w:divsChild>
                    <w:div w:id="19446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4235">
      <w:bodyDiv w:val="1"/>
      <w:marLeft w:val="0"/>
      <w:marRight w:val="0"/>
      <w:marTop w:val="0"/>
      <w:marBottom w:val="0"/>
      <w:divBdr>
        <w:top w:val="none" w:sz="0" w:space="0" w:color="auto"/>
        <w:left w:val="none" w:sz="0" w:space="0" w:color="auto"/>
        <w:bottom w:val="none" w:sz="0" w:space="0" w:color="auto"/>
        <w:right w:val="none" w:sz="0" w:space="0" w:color="auto"/>
      </w:divBdr>
    </w:div>
    <w:div w:id="1550530220">
      <w:bodyDiv w:val="1"/>
      <w:marLeft w:val="0"/>
      <w:marRight w:val="0"/>
      <w:marTop w:val="0"/>
      <w:marBottom w:val="0"/>
      <w:divBdr>
        <w:top w:val="none" w:sz="0" w:space="0" w:color="auto"/>
        <w:left w:val="none" w:sz="0" w:space="0" w:color="auto"/>
        <w:bottom w:val="none" w:sz="0" w:space="0" w:color="auto"/>
        <w:right w:val="none" w:sz="0" w:space="0" w:color="auto"/>
      </w:divBdr>
      <w:divsChild>
        <w:div w:id="462188627">
          <w:marLeft w:val="0"/>
          <w:marRight w:val="0"/>
          <w:marTop w:val="0"/>
          <w:marBottom w:val="0"/>
          <w:divBdr>
            <w:top w:val="none" w:sz="0" w:space="0" w:color="auto"/>
            <w:left w:val="none" w:sz="0" w:space="0" w:color="auto"/>
            <w:bottom w:val="none" w:sz="0" w:space="0" w:color="auto"/>
            <w:right w:val="none" w:sz="0" w:space="0" w:color="auto"/>
          </w:divBdr>
          <w:divsChild>
            <w:div w:id="1693453494">
              <w:marLeft w:val="0"/>
              <w:marRight w:val="0"/>
              <w:marTop w:val="0"/>
              <w:marBottom w:val="0"/>
              <w:divBdr>
                <w:top w:val="none" w:sz="0" w:space="0" w:color="auto"/>
                <w:left w:val="none" w:sz="0" w:space="0" w:color="auto"/>
                <w:bottom w:val="none" w:sz="0" w:space="0" w:color="auto"/>
                <w:right w:val="none" w:sz="0" w:space="0" w:color="auto"/>
              </w:divBdr>
              <w:divsChild>
                <w:div w:id="11961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0151">
      <w:bodyDiv w:val="1"/>
      <w:marLeft w:val="0"/>
      <w:marRight w:val="0"/>
      <w:marTop w:val="0"/>
      <w:marBottom w:val="0"/>
      <w:divBdr>
        <w:top w:val="none" w:sz="0" w:space="0" w:color="auto"/>
        <w:left w:val="none" w:sz="0" w:space="0" w:color="auto"/>
        <w:bottom w:val="none" w:sz="0" w:space="0" w:color="auto"/>
        <w:right w:val="none" w:sz="0" w:space="0" w:color="auto"/>
      </w:divBdr>
    </w:div>
    <w:div w:id="1663703466">
      <w:bodyDiv w:val="1"/>
      <w:marLeft w:val="0"/>
      <w:marRight w:val="0"/>
      <w:marTop w:val="0"/>
      <w:marBottom w:val="0"/>
      <w:divBdr>
        <w:top w:val="none" w:sz="0" w:space="0" w:color="auto"/>
        <w:left w:val="none" w:sz="0" w:space="0" w:color="auto"/>
        <w:bottom w:val="none" w:sz="0" w:space="0" w:color="auto"/>
        <w:right w:val="none" w:sz="0" w:space="0" w:color="auto"/>
      </w:divBdr>
    </w:div>
    <w:div w:id="1772701231">
      <w:bodyDiv w:val="1"/>
      <w:marLeft w:val="0"/>
      <w:marRight w:val="0"/>
      <w:marTop w:val="0"/>
      <w:marBottom w:val="0"/>
      <w:divBdr>
        <w:top w:val="none" w:sz="0" w:space="0" w:color="auto"/>
        <w:left w:val="none" w:sz="0" w:space="0" w:color="auto"/>
        <w:bottom w:val="none" w:sz="0" w:space="0" w:color="auto"/>
        <w:right w:val="none" w:sz="0" w:space="0" w:color="auto"/>
      </w:divBdr>
    </w:div>
    <w:div w:id="1908614868">
      <w:bodyDiv w:val="1"/>
      <w:marLeft w:val="0"/>
      <w:marRight w:val="0"/>
      <w:marTop w:val="0"/>
      <w:marBottom w:val="0"/>
      <w:divBdr>
        <w:top w:val="none" w:sz="0" w:space="0" w:color="auto"/>
        <w:left w:val="none" w:sz="0" w:space="0" w:color="auto"/>
        <w:bottom w:val="none" w:sz="0" w:space="0" w:color="auto"/>
        <w:right w:val="none" w:sz="0" w:space="0" w:color="auto"/>
      </w:divBdr>
    </w:div>
    <w:div w:id="1938631211">
      <w:bodyDiv w:val="1"/>
      <w:marLeft w:val="0"/>
      <w:marRight w:val="0"/>
      <w:marTop w:val="0"/>
      <w:marBottom w:val="0"/>
      <w:divBdr>
        <w:top w:val="none" w:sz="0" w:space="0" w:color="auto"/>
        <w:left w:val="none" w:sz="0" w:space="0" w:color="auto"/>
        <w:bottom w:val="none" w:sz="0" w:space="0" w:color="auto"/>
        <w:right w:val="none" w:sz="0" w:space="0" w:color="auto"/>
      </w:divBdr>
    </w:div>
    <w:div w:id="1968662263">
      <w:bodyDiv w:val="1"/>
      <w:marLeft w:val="0"/>
      <w:marRight w:val="0"/>
      <w:marTop w:val="0"/>
      <w:marBottom w:val="0"/>
      <w:divBdr>
        <w:top w:val="none" w:sz="0" w:space="0" w:color="auto"/>
        <w:left w:val="none" w:sz="0" w:space="0" w:color="auto"/>
        <w:bottom w:val="none" w:sz="0" w:space="0" w:color="auto"/>
        <w:right w:val="none" w:sz="0" w:space="0" w:color="auto"/>
      </w:divBdr>
    </w:div>
    <w:div w:id="1985698442">
      <w:bodyDiv w:val="1"/>
      <w:marLeft w:val="0"/>
      <w:marRight w:val="0"/>
      <w:marTop w:val="0"/>
      <w:marBottom w:val="0"/>
      <w:divBdr>
        <w:top w:val="none" w:sz="0" w:space="0" w:color="auto"/>
        <w:left w:val="none" w:sz="0" w:space="0" w:color="auto"/>
        <w:bottom w:val="none" w:sz="0" w:space="0" w:color="auto"/>
        <w:right w:val="none" w:sz="0" w:space="0" w:color="auto"/>
      </w:divBdr>
      <w:divsChild>
        <w:div w:id="331877390">
          <w:marLeft w:val="0"/>
          <w:marRight w:val="0"/>
          <w:marTop w:val="0"/>
          <w:marBottom w:val="0"/>
          <w:divBdr>
            <w:top w:val="none" w:sz="0" w:space="0" w:color="auto"/>
            <w:left w:val="none" w:sz="0" w:space="0" w:color="auto"/>
            <w:bottom w:val="none" w:sz="0" w:space="0" w:color="auto"/>
            <w:right w:val="none" w:sz="0" w:space="0" w:color="auto"/>
          </w:divBdr>
          <w:divsChild>
            <w:div w:id="653029911">
              <w:marLeft w:val="0"/>
              <w:marRight w:val="0"/>
              <w:marTop w:val="0"/>
              <w:marBottom w:val="0"/>
              <w:divBdr>
                <w:top w:val="none" w:sz="0" w:space="0" w:color="auto"/>
                <w:left w:val="none" w:sz="0" w:space="0" w:color="auto"/>
                <w:bottom w:val="none" w:sz="0" w:space="0" w:color="auto"/>
                <w:right w:val="none" w:sz="0" w:space="0" w:color="auto"/>
              </w:divBdr>
              <w:divsChild>
                <w:div w:id="8067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41351">
      <w:bodyDiv w:val="1"/>
      <w:marLeft w:val="0"/>
      <w:marRight w:val="0"/>
      <w:marTop w:val="0"/>
      <w:marBottom w:val="0"/>
      <w:divBdr>
        <w:top w:val="none" w:sz="0" w:space="0" w:color="auto"/>
        <w:left w:val="none" w:sz="0" w:space="0" w:color="auto"/>
        <w:bottom w:val="none" w:sz="0" w:space="0" w:color="auto"/>
        <w:right w:val="none" w:sz="0" w:space="0" w:color="auto"/>
      </w:divBdr>
      <w:divsChild>
        <w:div w:id="1792431023">
          <w:marLeft w:val="0"/>
          <w:marRight w:val="0"/>
          <w:marTop w:val="0"/>
          <w:marBottom w:val="0"/>
          <w:divBdr>
            <w:top w:val="none" w:sz="0" w:space="0" w:color="auto"/>
            <w:left w:val="none" w:sz="0" w:space="0" w:color="auto"/>
            <w:bottom w:val="none" w:sz="0" w:space="0" w:color="auto"/>
            <w:right w:val="none" w:sz="0" w:space="0" w:color="auto"/>
          </w:divBdr>
          <w:divsChild>
            <w:div w:id="1760905234">
              <w:marLeft w:val="0"/>
              <w:marRight w:val="0"/>
              <w:marTop w:val="0"/>
              <w:marBottom w:val="0"/>
              <w:divBdr>
                <w:top w:val="none" w:sz="0" w:space="0" w:color="auto"/>
                <w:left w:val="none" w:sz="0" w:space="0" w:color="auto"/>
                <w:bottom w:val="none" w:sz="0" w:space="0" w:color="auto"/>
                <w:right w:val="none" w:sz="0" w:space="0" w:color="auto"/>
              </w:divBdr>
              <w:divsChild>
                <w:div w:id="9829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2315">
      <w:bodyDiv w:val="1"/>
      <w:marLeft w:val="0"/>
      <w:marRight w:val="0"/>
      <w:marTop w:val="0"/>
      <w:marBottom w:val="0"/>
      <w:divBdr>
        <w:top w:val="none" w:sz="0" w:space="0" w:color="auto"/>
        <w:left w:val="none" w:sz="0" w:space="0" w:color="auto"/>
        <w:bottom w:val="none" w:sz="0" w:space="0" w:color="auto"/>
        <w:right w:val="none" w:sz="0" w:space="0" w:color="auto"/>
      </w:divBdr>
      <w:divsChild>
        <w:div w:id="1697191313">
          <w:marLeft w:val="0"/>
          <w:marRight w:val="0"/>
          <w:marTop w:val="0"/>
          <w:marBottom w:val="0"/>
          <w:divBdr>
            <w:top w:val="none" w:sz="0" w:space="0" w:color="auto"/>
            <w:left w:val="none" w:sz="0" w:space="0" w:color="auto"/>
            <w:bottom w:val="none" w:sz="0" w:space="0" w:color="auto"/>
            <w:right w:val="none" w:sz="0" w:space="0" w:color="auto"/>
          </w:divBdr>
          <w:divsChild>
            <w:div w:id="1231040361">
              <w:marLeft w:val="0"/>
              <w:marRight w:val="0"/>
              <w:marTop w:val="0"/>
              <w:marBottom w:val="0"/>
              <w:divBdr>
                <w:top w:val="none" w:sz="0" w:space="0" w:color="auto"/>
                <w:left w:val="none" w:sz="0" w:space="0" w:color="auto"/>
                <w:bottom w:val="none" w:sz="0" w:space="0" w:color="auto"/>
                <w:right w:val="none" w:sz="0" w:space="0" w:color="auto"/>
              </w:divBdr>
              <w:divsChild>
                <w:div w:id="11028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ECCM">
      <a:dk1>
        <a:srgbClr val="000000"/>
      </a:dk1>
      <a:lt1>
        <a:srgbClr val="FFFFFF"/>
      </a:lt1>
      <a:dk2>
        <a:srgbClr val="164193"/>
      </a:dk2>
      <a:lt2>
        <a:srgbClr val="FFFFFF"/>
      </a:lt2>
      <a:accent1>
        <a:srgbClr val="79AB2B"/>
      </a:accent1>
      <a:accent2>
        <a:srgbClr val="4092CE"/>
      </a:accent2>
      <a:accent3>
        <a:srgbClr val="DACD82"/>
      </a:accent3>
      <a:accent4>
        <a:srgbClr val="867732"/>
      </a:accent4>
      <a:accent5>
        <a:srgbClr val="C06B78"/>
      </a:accent5>
      <a:accent6>
        <a:srgbClr val="7E2C51"/>
      </a:accent6>
      <a:hlink>
        <a:srgbClr val="B0579F"/>
      </a:hlink>
      <a:folHlink>
        <a:srgbClr val="835E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140E0B04F1342A01DE84B31DE065E" ma:contentTypeVersion="10" ma:contentTypeDescription="Create a new document." ma:contentTypeScope="" ma:versionID="5b2af03a2974b0a976dca3b142dbc3c4">
  <xsd:schema xmlns:xsd="http://www.w3.org/2001/XMLSchema" xmlns:xs="http://www.w3.org/2001/XMLSchema" xmlns:p="http://schemas.microsoft.com/office/2006/metadata/properties" xmlns:ns2="a517c953-cf33-4492-b086-66309312f726" xmlns:ns3="51c9478a-d806-4266-aba0-a353b3761f36" targetNamespace="http://schemas.microsoft.com/office/2006/metadata/properties" ma:root="true" ma:fieldsID="1ff79f753040608ae793a53b3db11e28" ns2:_="" ns3:_="">
    <xsd:import namespace="a517c953-cf33-4492-b086-66309312f726"/>
    <xsd:import namespace="51c9478a-d806-4266-aba0-a353b376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c953-cf33-4492-b086-66309312f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9478a-d806-4266-aba0-a353b3761f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FA145-D027-4DFA-8B2F-62DEAFB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7c953-cf33-4492-b086-66309312f726"/>
    <ds:schemaRef ds:uri="51c9478a-d806-4266-aba0-a353b376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2A099-067F-EB4E-B25E-1E8AF22BFFCC}">
  <ds:schemaRefs>
    <ds:schemaRef ds:uri="http://schemas.openxmlformats.org/officeDocument/2006/bibliography"/>
  </ds:schemaRefs>
</ds:datastoreItem>
</file>

<file path=customXml/itemProps3.xml><?xml version="1.0" encoding="utf-8"?>
<ds:datastoreItem xmlns:ds="http://schemas.openxmlformats.org/officeDocument/2006/customXml" ds:itemID="{E320E72B-C1EC-4A25-BEFA-17FC0EC9E7F4}">
  <ds:schemaRefs>
    <ds:schemaRef ds:uri="http://schemas.microsoft.com/sharepoint/v3/contenttype/forms"/>
  </ds:schemaRefs>
</ds:datastoreItem>
</file>

<file path=customXml/itemProps4.xml><?xml version="1.0" encoding="utf-8"?>
<ds:datastoreItem xmlns:ds="http://schemas.openxmlformats.org/officeDocument/2006/customXml" ds:itemID="{22663B37-BA79-4791-A2E0-F2D6BC8E6E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4978</Words>
  <Characters>27379</Characters>
  <Application>Microsoft Office Word</Application>
  <DocSecurity>0</DocSecurity>
  <Lines>228</Lines>
  <Paragraphs>64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 Boteva</dc:creator>
  <cp:keywords/>
  <dc:description/>
  <cp:lastModifiedBy>Patricia Rodriguez Fortun</cp:lastModifiedBy>
  <cp:revision>6</cp:revision>
  <cp:lastPrinted>2024-02-01T10:10:00Z</cp:lastPrinted>
  <dcterms:created xsi:type="dcterms:W3CDTF">2024-10-29T05:58:00Z</dcterms:created>
  <dcterms:modified xsi:type="dcterms:W3CDTF">2024-10-29T06:05:00Z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2023-05-25T09:59:37Z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e5cc77e5-846e-42c7-9d03-e5e254f2a64b</vt:lpwstr>
  </property>
  <property fmtid="{D5CDD505-2E9C-101B-9397-08002B2CF9AE}" pid="8" name="MSIP_Label_6bd9ddd1-4d20-43f6-abfa-fc3c07406f94_ContentBits">
    <vt:lpwstr>0</vt:lpwstr>
  </property>
  <property fmtid="{D5CDD505-2E9C-101B-9397-08002B2CF9AE}" pid="9" name="ContentTypeId">
    <vt:lpwstr>0x010100062140E0B04F1342A01DE84B31DE065E</vt:lpwstr>
  </property>
  <property fmtid="{D5CDD505-2E9C-101B-9397-08002B2CF9AE}" pid="10" name="MediaServiceImageTags">
    <vt:lpwstr/>
  </property>
  <property fmtid="{D5CDD505-2E9C-101B-9397-08002B2CF9AE}" pid="11" name="GrammarlyDocumentId">
    <vt:lpwstr>49bb17f2b38c908f9c7d5080b8ed49f3b7b20a7b3191092b0464210043ff84d0</vt:lpwstr>
  </property>
</Properties>
</file>