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25C8A" w14:textId="77777777" w:rsidR="00F2258D" w:rsidRDefault="00B567A7" w:rsidP="00287F82">
      <w:pPr>
        <w:spacing w:after="0" w:line="360" w:lineRule="atLeast"/>
        <w:ind w:right="-340"/>
        <w:rPr>
          <w:rFonts w:eastAsia="Helvetica Neue" w:cs="Calibri"/>
          <w:b/>
          <w:caps/>
          <w:color w:val="7F7F7F"/>
          <w:spacing w:val="10"/>
          <w:sz w:val="24"/>
          <w:lang w:eastAsia="fr-FR"/>
        </w:rPr>
        <w:sectPr w:rsidR="00F2258D" w:rsidSect="00F2258D">
          <w:footerReference w:type="even" r:id="rId8"/>
          <w:footerReference w:type="default" r:id="rId9"/>
          <w:pgSz w:w="11906" w:h="16838"/>
          <w:pgMar w:top="0" w:right="0" w:bottom="0" w:left="0" w:header="709" w:footer="709" w:gutter="0"/>
          <w:cols w:space="708"/>
          <w:docGrid w:linePitch="360"/>
        </w:sectPr>
      </w:pPr>
      <w:r>
        <w:rPr>
          <w:noProof/>
        </w:rPr>
        <w:drawing>
          <wp:inline distT="0" distB="0" distL="0" distR="0" wp14:anchorId="3CFEE141" wp14:editId="66EFC963">
            <wp:extent cx="7560945" cy="10691813"/>
            <wp:effectExtent l="0" t="0" r="1905" b="0"/>
            <wp:docPr id="1660294630" name="Picture 18"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94630" name="Picture 18" descr="A close-up of a book&#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30941" cy="10790793"/>
                    </a:xfrm>
                    <a:prstGeom prst="rect">
                      <a:avLst/>
                    </a:prstGeom>
                    <a:noFill/>
                    <a:ln>
                      <a:noFill/>
                    </a:ln>
                  </pic:spPr>
                </pic:pic>
              </a:graphicData>
            </a:graphic>
          </wp:inline>
        </w:drawing>
      </w:r>
    </w:p>
    <w:p w14:paraId="01A9DD12" w14:textId="52FA27B1" w:rsidR="00665292" w:rsidRPr="004C02B8" w:rsidRDefault="00665292" w:rsidP="00665292">
      <w:pPr>
        <w:spacing w:line="240" w:lineRule="auto"/>
        <w:rPr>
          <w:rFonts w:ascii="Open Sans" w:hAnsi="Open Sans" w:cs="Open Sans"/>
          <w:sz w:val="18"/>
          <w:szCs w:val="18"/>
        </w:rPr>
      </w:pPr>
      <w:r w:rsidRPr="004C02B8">
        <w:rPr>
          <w:rFonts w:ascii="Open Sans" w:hAnsi="Open Sans" w:cs="Open Sans"/>
          <w:sz w:val="18"/>
          <w:szCs w:val="18"/>
        </w:rPr>
        <w:lastRenderedPageBreak/>
        <w:t xml:space="preserve">A </w:t>
      </w:r>
      <w:r w:rsidRPr="004C02B8">
        <w:rPr>
          <w:rFonts w:ascii="Open Sans" w:hAnsi="Open Sans" w:cs="Open Sans"/>
          <w:i/>
          <w:sz w:val="18"/>
          <w:szCs w:val="18"/>
        </w:rPr>
        <w:t>Value Chain Analysis for Development</w:t>
      </w:r>
      <w:r w:rsidRPr="004C02B8">
        <w:rPr>
          <w:rFonts w:ascii="Open Sans" w:hAnsi="Open Sans" w:cs="Open Sans"/>
          <w:sz w:val="18"/>
          <w:szCs w:val="18"/>
        </w:rPr>
        <w:t xml:space="preserve"> (VCA4D) ou Análise de Cadeias de Valor para o Desenvolvimento é uma ferramenta criada pela Comissão Europeia/</w:t>
      </w:r>
      <w:r>
        <w:rPr>
          <w:rFonts w:ascii="Open Sans" w:hAnsi="Open Sans" w:cs="Open Sans"/>
          <w:sz w:val="18"/>
          <w:szCs w:val="18"/>
        </w:rPr>
        <w:t>INTPA</w:t>
      </w:r>
      <w:r w:rsidRPr="004C02B8">
        <w:rPr>
          <w:rFonts w:ascii="Open Sans" w:hAnsi="Open Sans" w:cs="Open Sans"/>
          <w:sz w:val="18"/>
          <w:szCs w:val="18"/>
        </w:rPr>
        <w:t xml:space="preserve"> e implementada em parceria com a Agrinatura. </w:t>
      </w:r>
    </w:p>
    <w:p w14:paraId="6C92A832" w14:textId="77777777" w:rsidR="00665292" w:rsidRPr="004C02B8" w:rsidRDefault="00665292" w:rsidP="00665292">
      <w:pPr>
        <w:spacing w:line="240" w:lineRule="auto"/>
        <w:rPr>
          <w:rFonts w:ascii="Open Sans" w:hAnsi="Open Sans" w:cs="Open Sans"/>
          <w:sz w:val="18"/>
          <w:szCs w:val="18"/>
        </w:rPr>
      </w:pPr>
      <w:r w:rsidRPr="004C02B8">
        <w:rPr>
          <w:rFonts w:ascii="Open Sans" w:hAnsi="Open Sans" w:cs="Open Sans"/>
          <w:sz w:val="18"/>
          <w:szCs w:val="18"/>
        </w:rPr>
        <w:t>A Agrinatura (</w:t>
      </w:r>
      <w:r>
        <w:fldChar w:fldCharType="begin"/>
      </w:r>
      <w:r>
        <w:instrText>HYPERLINK "http://agrinatura-eu.eu"</w:instrText>
      </w:r>
      <w:r>
        <w:fldChar w:fldCharType="separate"/>
      </w:r>
      <w:r w:rsidRPr="004C02B8">
        <w:rPr>
          <w:rFonts w:ascii="Open Sans" w:hAnsi="Open Sans" w:cs="Open Sans"/>
          <w:color w:val="56C7AA"/>
          <w:sz w:val="18"/>
          <w:szCs w:val="18"/>
          <w:u w:val="single"/>
        </w:rPr>
        <w:t>http</w:t>
      </w:r>
      <w:r>
        <w:fldChar w:fldCharType="end"/>
      </w:r>
      <w:hyperlink r:id="rId11" w:history="1">
        <w:r w:rsidRPr="004C02B8">
          <w:rPr>
            <w:rFonts w:ascii="Open Sans" w:hAnsi="Open Sans" w:cs="Open Sans"/>
            <w:color w:val="56C7AA"/>
            <w:sz w:val="18"/>
            <w:szCs w:val="18"/>
            <w:u w:val="single"/>
          </w:rPr>
          <w:t>://</w:t>
        </w:r>
      </w:hyperlink>
      <w:hyperlink r:id="rId12" w:history="1">
        <w:r w:rsidRPr="004C02B8">
          <w:rPr>
            <w:rFonts w:ascii="Open Sans" w:hAnsi="Open Sans" w:cs="Open Sans"/>
            <w:color w:val="56C7AA"/>
            <w:sz w:val="18"/>
            <w:szCs w:val="18"/>
            <w:u w:val="single"/>
          </w:rPr>
          <w:t>agrinatura</w:t>
        </w:r>
      </w:hyperlink>
      <w:hyperlink r:id="rId13" w:history="1">
        <w:r w:rsidRPr="004C02B8">
          <w:rPr>
            <w:rFonts w:ascii="Open Sans" w:hAnsi="Open Sans" w:cs="Open Sans"/>
            <w:color w:val="56C7AA"/>
            <w:sz w:val="18"/>
            <w:szCs w:val="18"/>
            <w:u w:val="single"/>
          </w:rPr>
          <w:t>-</w:t>
        </w:r>
      </w:hyperlink>
      <w:hyperlink r:id="rId14" w:history="1">
        <w:r w:rsidRPr="004C02B8">
          <w:rPr>
            <w:rFonts w:ascii="Open Sans" w:hAnsi="Open Sans" w:cs="Open Sans"/>
            <w:color w:val="56C7AA"/>
            <w:sz w:val="18"/>
            <w:szCs w:val="18"/>
            <w:u w:val="single"/>
          </w:rPr>
          <w:t>eu</w:t>
        </w:r>
      </w:hyperlink>
      <w:hyperlink r:id="rId15" w:history="1">
        <w:r w:rsidRPr="004C02B8">
          <w:rPr>
            <w:rFonts w:ascii="Open Sans" w:hAnsi="Open Sans" w:cs="Open Sans"/>
            <w:color w:val="56C7AA"/>
            <w:sz w:val="18"/>
            <w:szCs w:val="18"/>
            <w:u w:val="single"/>
          </w:rPr>
          <w:t>.</w:t>
        </w:r>
      </w:hyperlink>
      <w:hyperlink r:id="rId16" w:history="1">
        <w:r w:rsidRPr="004C02B8">
          <w:rPr>
            <w:rFonts w:ascii="Open Sans" w:hAnsi="Open Sans" w:cs="Open Sans"/>
            <w:color w:val="56C7AA"/>
            <w:sz w:val="18"/>
            <w:szCs w:val="18"/>
            <w:u w:val="single"/>
          </w:rPr>
          <w:t>eu</w:t>
        </w:r>
      </w:hyperlink>
      <w:r w:rsidRPr="004C02B8">
        <w:rPr>
          <w:rFonts w:ascii="Open Sans" w:hAnsi="Open Sans" w:cs="Open Sans"/>
          <w:sz w:val="18"/>
          <w:szCs w:val="18"/>
        </w:rPr>
        <w:t>) é a Aliança Europeia de Universidades e Centros de Investigação envolvidos em investigação agrícola e capacitação para o desenvolvimento.</w:t>
      </w:r>
    </w:p>
    <w:p w14:paraId="514B69E5" w14:textId="77777777" w:rsidR="00665292" w:rsidRPr="004C02B8" w:rsidRDefault="00665292" w:rsidP="00665292">
      <w:pPr>
        <w:spacing w:line="240" w:lineRule="auto"/>
        <w:rPr>
          <w:rFonts w:ascii="Open Sans" w:hAnsi="Open Sans" w:cs="Open Sans"/>
          <w:sz w:val="18"/>
          <w:szCs w:val="18"/>
        </w:rPr>
      </w:pPr>
      <w:r w:rsidRPr="004C02B8">
        <w:rPr>
          <w:rFonts w:ascii="Open Sans" w:hAnsi="Open Sans" w:cs="Open Sans"/>
          <w:sz w:val="18"/>
          <w:szCs w:val="18"/>
        </w:rPr>
        <w:t>Pretende-se que a informação e conhecimento produzidos pelos estudos das cadeias de valor apoie as Delegações da União Europeia e os seus parceiros no diálogo político, investindo em cadeias de valor e numa melhor compreensão das mudanças ligadas às suas acções.</w:t>
      </w:r>
    </w:p>
    <w:p w14:paraId="552A5294" w14:textId="77777777" w:rsidR="00665292" w:rsidRPr="004C02B8" w:rsidRDefault="00665292" w:rsidP="00665292">
      <w:pPr>
        <w:spacing w:line="240" w:lineRule="auto"/>
        <w:rPr>
          <w:rFonts w:ascii="Open Sans" w:hAnsi="Open Sans" w:cs="Open Sans"/>
          <w:sz w:val="18"/>
          <w:szCs w:val="18"/>
        </w:rPr>
      </w:pPr>
      <w:r w:rsidRPr="004C02B8">
        <w:rPr>
          <w:rFonts w:ascii="Open Sans" w:hAnsi="Open Sans" w:cs="Open Sans"/>
          <w:sz w:val="18"/>
          <w:szCs w:val="18"/>
        </w:rPr>
        <w:t>O programa VCA4D utiliza uma moldura metodológica sistemática para analisar cadeias de valor em agricultura, pecuária, pesca, aquacultura e agro-floresta. Mais informação, incluindo relatórios e material de comunicação pode ser consultada em:</w:t>
      </w:r>
    </w:p>
    <w:p w14:paraId="53AED02E" w14:textId="77777777" w:rsidR="00665292" w:rsidRPr="004C02B8" w:rsidRDefault="00665292" w:rsidP="00665292">
      <w:pPr>
        <w:spacing w:line="240" w:lineRule="auto"/>
        <w:rPr>
          <w:rFonts w:ascii="Open Sans" w:hAnsi="Open Sans" w:cs="Open Sans"/>
          <w:sz w:val="18"/>
          <w:szCs w:val="18"/>
          <w:u w:val="single"/>
        </w:rPr>
      </w:pPr>
      <w:hyperlink r:id="rId17" w:history="1">
        <w:r w:rsidRPr="004C02B8">
          <w:rPr>
            <w:rFonts w:ascii="Open Sans" w:hAnsi="Open Sans" w:cs="Open Sans"/>
            <w:color w:val="56C7AA"/>
            <w:sz w:val="18"/>
            <w:szCs w:val="18"/>
            <w:u w:val="single"/>
          </w:rPr>
          <w:t>https</w:t>
        </w:r>
      </w:hyperlink>
      <w:hyperlink r:id="rId18" w:history="1">
        <w:r w:rsidRPr="004C02B8">
          <w:rPr>
            <w:rFonts w:ascii="Open Sans" w:hAnsi="Open Sans" w:cs="Open Sans"/>
            <w:color w:val="56C7AA"/>
            <w:sz w:val="18"/>
            <w:szCs w:val="18"/>
            <w:u w:val="single"/>
          </w:rPr>
          <w:t>://</w:t>
        </w:r>
      </w:hyperlink>
      <w:hyperlink r:id="rId19" w:history="1">
        <w:r w:rsidRPr="004C02B8">
          <w:rPr>
            <w:rFonts w:ascii="Open Sans" w:hAnsi="Open Sans" w:cs="Open Sans"/>
            <w:color w:val="56C7AA"/>
            <w:sz w:val="18"/>
            <w:szCs w:val="18"/>
            <w:u w:val="single"/>
          </w:rPr>
          <w:t>europa</w:t>
        </w:r>
      </w:hyperlink>
      <w:hyperlink r:id="rId20" w:history="1">
        <w:r w:rsidRPr="004C02B8">
          <w:rPr>
            <w:rFonts w:ascii="Open Sans" w:hAnsi="Open Sans" w:cs="Open Sans"/>
            <w:color w:val="56C7AA"/>
            <w:sz w:val="18"/>
            <w:szCs w:val="18"/>
            <w:u w:val="single"/>
          </w:rPr>
          <w:t>.</w:t>
        </w:r>
      </w:hyperlink>
      <w:hyperlink r:id="rId21" w:history="1">
        <w:r w:rsidRPr="004C02B8">
          <w:rPr>
            <w:rFonts w:ascii="Open Sans" w:hAnsi="Open Sans" w:cs="Open Sans"/>
            <w:color w:val="56C7AA"/>
            <w:sz w:val="18"/>
            <w:szCs w:val="18"/>
            <w:u w:val="single"/>
          </w:rPr>
          <w:t>eu</w:t>
        </w:r>
      </w:hyperlink>
      <w:hyperlink r:id="rId22" w:history="1">
        <w:r w:rsidRPr="004C02B8">
          <w:rPr>
            <w:rFonts w:ascii="Open Sans" w:hAnsi="Open Sans" w:cs="Open Sans"/>
            <w:color w:val="56C7AA"/>
            <w:sz w:val="18"/>
            <w:szCs w:val="18"/>
            <w:u w:val="single"/>
          </w:rPr>
          <w:t>/</w:t>
        </w:r>
      </w:hyperlink>
      <w:hyperlink r:id="rId23" w:history="1">
        <w:r w:rsidRPr="004C02B8">
          <w:rPr>
            <w:rFonts w:ascii="Open Sans" w:hAnsi="Open Sans" w:cs="Open Sans"/>
            <w:color w:val="56C7AA"/>
            <w:sz w:val="18"/>
            <w:szCs w:val="18"/>
            <w:u w:val="single"/>
          </w:rPr>
          <w:t>capacity</w:t>
        </w:r>
      </w:hyperlink>
      <w:hyperlink r:id="rId24" w:history="1">
        <w:r w:rsidRPr="004C02B8">
          <w:rPr>
            <w:rFonts w:ascii="Open Sans" w:hAnsi="Open Sans" w:cs="Open Sans"/>
            <w:color w:val="56C7AA"/>
            <w:sz w:val="18"/>
            <w:szCs w:val="18"/>
            <w:u w:val="single"/>
          </w:rPr>
          <w:t>4</w:t>
        </w:r>
      </w:hyperlink>
      <w:hyperlink r:id="rId25" w:history="1">
        <w:r w:rsidRPr="004C02B8">
          <w:rPr>
            <w:rFonts w:ascii="Open Sans" w:hAnsi="Open Sans" w:cs="Open Sans"/>
            <w:color w:val="56C7AA"/>
            <w:sz w:val="18"/>
            <w:szCs w:val="18"/>
            <w:u w:val="single"/>
          </w:rPr>
          <w:t>dev</w:t>
        </w:r>
      </w:hyperlink>
      <w:hyperlink r:id="rId26" w:history="1">
        <w:r w:rsidRPr="004C02B8">
          <w:rPr>
            <w:rFonts w:ascii="Open Sans" w:hAnsi="Open Sans" w:cs="Open Sans"/>
            <w:color w:val="56C7AA"/>
            <w:sz w:val="18"/>
            <w:szCs w:val="18"/>
            <w:u w:val="single"/>
          </w:rPr>
          <w:t>/</w:t>
        </w:r>
      </w:hyperlink>
      <w:hyperlink r:id="rId27" w:history="1">
        <w:r w:rsidRPr="004C02B8">
          <w:rPr>
            <w:rFonts w:ascii="Open Sans" w:hAnsi="Open Sans" w:cs="Open Sans"/>
            <w:color w:val="56C7AA"/>
            <w:sz w:val="18"/>
            <w:szCs w:val="18"/>
            <w:u w:val="single"/>
          </w:rPr>
          <w:t>value</w:t>
        </w:r>
      </w:hyperlink>
      <w:hyperlink r:id="rId28" w:history="1">
        <w:r w:rsidRPr="004C02B8">
          <w:rPr>
            <w:rFonts w:ascii="Open Sans" w:hAnsi="Open Sans" w:cs="Open Sans"/>
            <w:color w:val="56C7AA"/>
            <w:sz w:val="18"/>
            <w:szCs w:val="18"/>
            <w:u w:val="single"/>
          </w:rPr>
          <w:t>-</w:t>
        </w:r>
      </w:hyperlink>
      <w:hyperlink r:id="rId29" w:history="1">
        <w:r w:rsidRPr="004C02B8">
          <w:rPr>
            <w:rFonts w:ascii="Open Sans" w:hAnsi="Open Sans" w:cs="Open Sans"/>
            <w:color w:val="56C7AA"/>
            <w:sz w:val="18"/>
            <w:szCs w:val="18"/>
            <w:u w:val="single"/>
          </w:rPr>
          <w:t>chain</w:t>
        </w:r>
      </w:hyperlink>
      <w:hyperlink r:id="rId30" w:history="1">
        <w:r w:rsidRPr="004C02B8">
          <w:rPr>
            <w:rFonts w:ascii="Open Sans" w:hAnsi="Open Sans" w:cs="Open Sans"/>
            <w:color w:val="56C7AA"/>
            <w:sz w:val="18"/>
            <w:szCs w:val="18"/>
            <w:u w:val="single"/>
          </w:rPr>
          <w:t>-</w:t>
        </w:r>
      </w:hyperlink>
      <w:hyperlink r:id="rId31" w:history="1">
        <w:r w:rsidRPr="004C02B8">
          <w:rPr>
            <w:rFonts w:ascii="Open Sans" w:hAnsi="Open Sans" w:cs="Open Sans"/>
            <w:color w:val="56C7AA"/>
            <w:sz w:val="18"/>
            <w:szCs w:val="18"/>
            <w:u w:val="single"/>
          </w:rPr>
          <w:t>analysis</w:t>
        </w:r>
      </w:hyperlink>
      <w:hyperlink r:id="rId32" w:history="1">
        <w:r w:rsidRPr="004C02B8">
          <w:rPr>
            <w:rFonts w:ascii="Open Sans" w:hAnsi="Open Sans" w:cs="Open Sans"/>
            <w:color w:val="56C7AA"/>
            <w:sz w:val="18"/>
            <w:szCs w:val="18"/>
            <w:u w:val="single"/>
          </w:rPr>
          <w:t>-</w:t>
        </w:r>
      </w:hyperlink>
      <w:hyperlink r:id="rId33" w:history="1">
        <w:r w:rsidRPr="004C02B8">
          <w:rPr>
            <w:rFonts w:ascii="Open Sans" w:hAnsi="Open Sans" w:cs="Open Sans"/>
            <w:color w:val="56C7AA"/>
            <w:sz w:val="18"/>
            <w:szCs w:val="18"/>
            <w:u w:val="single"/>
          </w:rPr>
          <w:t>for</w:t>
        </w:r>
      </w:hyperlink>
      <w:hyperlink r:id="rId34" w:history="1">
        <w:r w:rsidRPr="004C02B8">
          <w:rPr>
            <w:rFonts w:ascii="Open Sans" w:hAnsi="Open Sans" w:cs="Open Sans"/>
            <w:color w:val="56C7AA"/>
            <w:sz w:val="18"/>
            <w:szCs w:val="18"/>
            <w:u w:val="single"/>
          </w:rPr>
          <w:t>-</w:t>
        </w:r>
      </w:hyperlink>
      <w:hyperlink r:id="rId35" w:history="1">
        <w:r w:rsidRPr="004C02B8">
          <w:rPr>
            <w:rFonts w:ascii="Open Sans" w:hAnsi="Open Sans" w:cs="Open Sans"/>
            <w:color w:val="56C7AA"/>
            <w:sz w:val="18"/>
            <w:szCs w:val="18"/>
            <w:u w:val="single"/>
          </w:rPr>
          <w:t>development</w:t>
        </w:r>
      </w:hyperlink>
      <w:hyperlink r:id="rId36" w:history="1">
        <w:r w:rsidRPr="004C02B8">
          <w:rPr>
            <w:rFonts w:ascii="Open Sans" w:hAnsi="Open Sans" w:cs="Open Sans"/>
            <w:color w:val="56C7AA"/>
            <w:sz w:val="18"/>
            <w:szCs w:val="18"/>
            <w:u w:val="single"/>
          </w:rPr>
          <w:t>-</w:t>
        </w:r>
      </w:hyperlink>
      <w:hyperlink r:id="rId37" w:history="1">
        <w:r w:rsidRPr="004C02B8">
          <w:rPr>
            <w:rFonts w:ascii="Open Sans" w:hAnsi="Open Sans" w:cs="Open Sans"/>
            <w:color w:val="56C7AA"/>
            <w:sz w:val="18"/>
            <w:szCs w:val="18"/>
            <w:u w:val="single"/>
          </w:rPr>
          <w:t>vca</w:t>
        </w:r>
      </w:hyperlink>
      <w:hyperlink r:id="rId38" w:history="1">
        <w:r w:rsidRPr="004C02B8">
          <w:rPr>
            <w:rFonts w:ascii="Open Sans" w:hAnsi="Open Sans" w:cs="Open Sans"/>
            <w:color w:val="56C7AA"/>
            <w:sz w:val="18"/>
            <w:szCs w:val="18"/>
            <w:u w:val="single"/>
          </w:rPr>
          <w:t>4</w:t>
        </w:r>
      </w:hyperlink>
      <w:hyperlink r:id="rId39" w:history="1">
        <w:r w:rsidRPr="004C02B8">
          <w:rPr>
            <w:rFonts w:ascii="Open Sans" w:hAnsi="Open Sans" w:cs="Open Sans"/>
            <w:color w:val="56C7AA"/>
            <w:sz w:val="18"/>
            <w:szCs w:val="18"/>
            <w:u w:val="single"/>
          </w:rPr>
          <w:t>d</w:t>
        </w:r>
      </w:hyperlink>
      <w:hyperlink r:id="rId40" w:history="1">
        <w:r w:rsidRPr="004C02B8">
          <w:rPr>
            <w:rFonts w:ascii="Open Sans" w:hAnsi="Open Sans" w:cs="Open Sans"/>
            <w:color w:val="56C7AA"/>
            <w:sz w:val="18"/>
            <w:szCs w:val="18"/>
            <w:u w:val="single"/>
          </w:rPr>
          <w:t>-</w:t>
        </w:r>
      </w:hyperlink>
    </w:p>
    <w:p w14:paraId="358F0AD4" w14:textId="77777777" w:rsidR="00B567A7" w:rsidRDefault="00B567A7" w:rsidP="00F2258D">
      <w:pPr>
        <w:spacing w:after="0" w:line="360" w:lineRule="atLeast"/>
        <w:ind w:left="709" w:right="509"/>
        <w:rPr>
          <w:rFonts w:eastAsia="Helvetica Neue" w:cs="Calibri"/>
          <w:b/>
          <w:caps/>
          <w:color w:val="7F7F7F"/>
          <w:spacing w:val="10"/>
          <w:szCs w:val="20"/>
          <w:lang w:eastAsia="fr-FR"/>
        </w:rPr>
      </w:pPr>
    </w:p>
    <w:p w14:paraId="34C1E32D" w14:textId="77777777" w:rsidR="00B567A7" w:rsidRDefault="00B567A7" w:rsidP="006A7E5D">
      <w:pPr>
        <w:spacing w:after="0" w:line="360" w:lineRule="atLeast"/>
        <w:rPr>
          <w:rFonts w:eastAsia="Helvetica Neue" w:cs="Calibri"/>
          <w:b/>
          <w:caps/>
          <w:color w:val="7F7F7F"/>
          <w:spacing w:val="10"/>
          <w:szCs w:val="20"/>
          <w:lang w:eastAsia="fr-FR"/>
        </w:rPr>
      </w:pPr>
    </w:p>
    <w:p w14:paraId="44D435CB" w14:textId="77777777" w:rsidR="00B567A7" w:rsidRDefault="00B567A7" w:rsidP="006A7E5D">
      <w:pPr>
        <w:spacing w:after="0" w:line="360" w:lineRule="atLeast"/>
        <w:rPr>
          <w:rFonts w:eastAsia="Helvetica Neue" w:cs="Calibri"/>
          <w:b/>
          <w:caps/>
          <w:color w:val="7F7F7F"/>
          <w:spacing w:val="10"/>
          <w:szCs w:val="20"/>
          <w:lang w:eastAsia="fr-FR"/>
        </w:rPr>
      </w:pPr>
    </w:p>
    <w:p w14:paraId="289B45DD" w14:textId="77777777" w:rsidR="00B567A7" w:rsidRDefault="00B567A7" w:rsidP="006A7E5D">
      <w:pPr>
        <w:spacing w:after="0" w:line="360" w:lineRule="atLeast"/>
        <w:rPr>
          <w:rFonts w:eastAsia="Helvetica Neue" w:cs="Calibri"/>
          <w:b/>
          <w:caps/>
          <w:color w:val="7F7F7F"/>
          <w:spacing w:val="10"/>
          <w:szCs w:val="20"/>
          <w:lang w:eastAsia="fr-FR"/>
        </w:rPr>
      </w:pPr>
    </w:p>
    <w:p w14:paraId="47643C5D" w14:textId="77777777" w:rsidR="00B567A7" w:rsidRDefault="00B567A7" w:rsidP="006A7E5D">
      <w:pPr>
        <w:spacing w:after="0" w:line="360" w:lineRule="atLeast"/>
        <w:rPr>
          <w:rFonts w:eastAsia="Helvetica Neue" w:cs="Calibri"/>
          <w:b/>
          <w:caps/>
          <w:color w:val="7F7F7F"/>
          <w:spacing w:val="10"/>
          <w:szCs w:val="20"/>
          <w:lang w:eastAsia="fr-FR"/>
        </w:rPr>
      </w:pPr>
    </w:p>
    <w:p w14:paraId="40F9BE2F" w14:textId="77777777" w:rsidR="00B567A7" w:rsidRDefault="00B567A7" w:rsidP="006A7E5D">
      <w:pPr>
        <w:spacing w:after="0" w:line="360" w:lineRule="atLeast"/>
        <w:rPr>
          <w:rFonts w:eastAsia="Helvetica Neue" w:cs="Calibri"/>
          <w:b/>
          <w:caps/>
          <w:color w:val="7F7F7F"/>
          <w:spacing w:val="10"/>
          <w:szCs w:val="20"/>
          <w:lang w:eastAsia="fr-FR"/>
        </w:rPr>
      </w:pPr>
    </w:p>
    <w:p w14:paraId="0BC36E83" w14:textId="77777777" w:rsidR="00B567A7" w:rsidRDefault="00B567A7" w:rsidP="006A7E5D">
      <w:pPr>
        <w:spacing w:after="0" w:line="360" w:lineRule="atLeast"/>
        <w:rPr>
          <w:rFonts w:eastAsia="Helvetica Neue" w:cs="Calibri"/>
          <w:b/>
          <w:caps/>
          <w:color w:val="7F7F7F"/>
          <w:spacing w:val="10"/>
          <w:szCs w:val="20"/>
          <w:lang w:eastAsia="fr-FR"/>
        </w:rPr>
      </w:pPr>
    </w:p>
    <w:p w14:paraId="59F3D2C2" w14:textId="77777777" w:rsidR="00B567A7" w:rsidRDefault="00B567A7" w:rsidP="006A7E5D">
      <w:pPr>
        <w:spacing w:after="0" w:line="360" w:lineRule="atLeast"/>
        <w:rPr>
          <w:rFonts w:eastAsia="Helvetica Neue" w:cs="Calibri"/>
          <w:b/>
          <w:caps/>
          <w:color w:val="7F7F7F"/>
          <w:spacing w:val="10"/>
          <w:szCs w:val="20"/>
          <w:lang w:eastAsia="fr-FR"/>
        </w:rPr>
      </w:pPr>
    </w:p>
    <w:p w14:paraId="06566AC0" w14:textId="77777777" w:rsidR="00B567A7" w:rsidRDefault="00B567A7" w:rsidP="006A7E5D">
      <w:pPr>
        <w:spacing w:after="0" w:line="360" w:lineRule="atLeast"/>
        <w:rPr>
          <w:rFonts w:eastAsia="Helvetica Neue" w:cs="Calibri"/>
          <w:b/>
          <w:caps/>
          <w:color w:val="7F7F7F"/>
          <w:spacing w:val="10"/>
          <w:szCs w:val="20"/>
          <w:lang w:eastAsia="fr-FR"/>
        </w:rPr>
      </w:pPr>
    </w:p>
    <w:p w14:paraId="7FF5122F" w14:textId="77777777" w:rsidR="00B567A7" w:rsidRDefault="00B567A7" w:rsidP="006A7E5D">
      <w:pPr>
        <w:spacing w:after="0" w:line="360" w:lineRule="atLeast"/>
        <w:rPr>
          <w:rFonts w:eastAsia="Helvetica Neue" w:cs="Calibri"/>
          <w:b/>
          <w:caps/>
          <w:color w:val="7F7F7F"/>
          <w:spacing w:val="10"/>
          <w:szCs w:val="20"/>
          <w:lang w:eastAsia="fr-FR"/>
        </w:rPr>
      </w:pPr>
    </w:p>
    <w:p w14:paraId="3D6EE549" w14:textId="77777777" w:rsidR="00B567A7" w:rsidRDefault="00B567A7" w:rsidP="006A7E5D">
      <w:pPr>
        <w:spacing w:after="0" w:line="360" w:lineRule="atLeast"/>
        <w:rPr>
          <w:rFonts w:eastAsia="Helvetica Neue" w:cs="Calibri"/>
          <w:b/>
          <w:caps/>
          <w:color w:val="7F7F7F"/>
          <w:spacing w:val="10"/>
          <w:szCs w:val="20"/>
          <w:lang w:eastAsia="fr-FR"/>
        </w:rPr>
      </w:pPr>
    </w:p>
    <w:p w14:paraId="6D8530A1" w14:textId="77777777" w:rsidR="00B567A7" w:rsidRDefault="00B567A7" w:rsidP="006A7E5D">
      <w:pPr>
        <w:spacing w:after="0" w:line="360" w:lineRule="atLeast"/>
        <w:rPr>
          <w:rFonts w:eastAsia="Helvetica Neue" w:cs="Calibri"/>
          <w:b/>
          <w:caps/>
          <w:color w:val="7F7F7F"/>
          <w:spacing w:val="10"/>
          <w:szCs w:val="20"/>
          <w:lang w:eastAsia="fr-FR"/>
        </w:rPr>
      </w:pPr>
    </w:p>
    <w:p w14:paraId="1C66A80D" w14:textId="77777777" w:rsidR="00B567A7" w:rsidRDefault="00B567A7" w:rsidP="006A7E5D">
      <w:pPr>
        <w:spacing w:after="0" w:line="360" w:lineRule="atLeast"/>
        <w:rPr>
          <w:rFonts w:eastAsia="Helvetica Neue" w:cs="Calibri"/>
          <w:b/>
          <w:caps/>
          <w:color w:val="7F7F7F"/>
          <w:spacing w:val="10"/>
          <w:szCs w:val="20"/>
          <w:lang w:eastAsia="fr-FR"/>
        </w:rPr>
      </w:pPr>
    </w:p>
    <w:p w14:paraId="0BA6C0F4" w14:textId="77777777" w:rsidR="00B567A7" w:rsidRDefault="00B567A7" w:rsidP="006A7E5D">
      <w:pPr>
        <w:spacing w:after="0" w:line="360" w:lineRule="atLeast"/>
        <w:rPr>
          <w:rFonts w:eastAsia="Helvetica Neue" w:cs="Calibri"/>
          <w:b/>
          <w:caps/>
          <w:color w:val="7F7F7F"/>
          <w:spacing w:val="10"/>
          <w:szCs w:val="20"/>
          <w:lang w:eastAsia="fr-FR"/>
        </w:rPr>
      </w:pPr>
    </w:p>
    <w:p w14:paraId="4BADBC3D" w14:textId="77777777" w:rsidR="00B567A7" w:rsidRDefault="00B567A7" w:rsidP="006A7E5D">
      <w:pPr>
        <w:spacing w:after="0" w:line="360" w:lineRule="atLeast"/>
        <w:rPr>
          <w:rFonts w:eastAsia="Helvetica Neue" w:cs="Calibri"/>
          <w:b/>
          <w:caps/>
          <w:color w:val="7F7F7F"/>
          <w:spacing w:val="10"/>
          <w:szCs w:val="20"/>
          <w:lang w:eastAsia="fr-FR"/>
        </w:rPr>
      </w:pPr>
    </w:p>
    <w:p w14:paraId="0BEEE1A7" w14:textId="77777777" w:rsidR="00665292" w:rsidRPr="004C02B8" w:rsidRDefault="00665292" w:rsidP="00665292">
      <w:pPr>
        <w:spacing w:line="240" w:lineRule="auto"/>
        <w:contextualSpacing/>
        <w:rPr>
          <w:rFonts w:ascii="Open Sans" w:hAnsi="Open Sans"/>
          <w:b/>
          <w:bCs/>
          <w:color w:val="336666"/>
          <w:sz w:val="18"/>
          <w:szCs w:val="18"/>
          <w:lang w:val="pt-BR"/>
        </w:rPr>
      </w:pPr>
      <w:r w:rsidRPr="004C02B8">
        <w:rPr>
          <w:rFonts w:ascii="Open Sans" w:hAnsi="Open Sans"/>
          <w:b/>
          <w:bCs/>
          <w:color w:val="336666"/>
          <w:sz w:val="18"/>
          <w:szCs w:val="18"/>
          <w:lang w:val="pt-BR"/>
        </w:rPr>
        <w:t xml:space="preserve">Composição da equipa: </w:t>
      </w:r>
    </w:p>
    <w:p w14:paraId="66537618" w14:textId="4CD26FEF" w:rsidR="00665292" w:rsidRPr="004C02B8" w:rsidRDefault="00665292" w:rsidP="00665292">
      <w:pPr>
        <w:spacing w:line="240" w:lineRule="auto"/>
        <w:rPr>
          <w:rFonts w:ascii="Open Sans" w:hAnsi="Open Sans" w:cs="Open Sans"/>
          <w:sz w:val="18"/>
          <w:szCs w:val="18"/>
        </w:rPr>
      </w:pPr>
      <w:r>
        <w:rPr>
          <w:rFonts w:ascii="Open Sans" w:hAnsi="Open Sans" w:cs="Open Sans"/>
          <w:b/>
          <w:sz w:val="18"/>
          <w:szCs w:val="18"/>
        </w:rPr>
        <w:t>Gustavo Saldarriaga</w:t>
      </w:r>
      <w:r w:rsidRPr="004C02B8">
        <w:rPr>
          <w:rFonts w:ascii="Open Sans" w:hAnsi="Open Sans" w:cs="Open Sans"/>
          <w:b/>
          <w:sz w:val="18"/>
          <w:szCs w:val="18"/>
        </w:rPr>
        <w:t xml:space="preserve">, </w:t>
      </w:r>
      <w:r w:rsidRPr="004C02B8">
        <w:rPr>
          <w:rFonts w:ascii="Open Sans" w:hAnsi="Open Sans" w:cs="Open Sans"/>
          <w:sz w:val="18"/>
          <w:szCs w:val="18"/>
        </w:rPr>
        <w:t xml:space="preserve">Economista, Chefe da </w:t>
      </w:r>
      <w:r>
        <w:rPr>
          <w:rFonts w:ascii="Open Sans" w:hAnsi="Open Sans" w:cs="Open Sans"/>
          <w:sz w:val="18"/>
          <w:szCs w:val="18"/>
        </w:rPr>
        <w:t>Equipa</w:t>
      </w:r>
    </w:p>
    <w:p w14:paraId="2AE659ED" w14:textId="6E667AF2" w:rsidR="00665292" w:rsidRPr="004C02B8" w:rsidRDefault="00665292" w:rsidP="00665292">
      <w:pPr>
        <w:rPr>
          <w:rFonts w:ascii="Open Sans" w:hAnsi="Open Sans" w:cs="Open Sans"/>
          <w:b/>
          <w:sz w:val="18"/>
          <w:szCs w:val="18"/>
        </w:rPr>
      </w:pPr>
      <w:r w:rsidRPr="004C02B8">
        <w:rPr>
          <w:rFonts w:ascii="Open Sans" w:hAnsi="Open Sans" w:cs="Open Sans"/>
          <w:b/>
          <w:sz w:val="18"/>
          <w:szCs w:val="18"/>
        </w:rPr>
        <w:t xml:space="preserve">Helena Farrall, </w:t>
      </w:r>
      <w:r>
        <w:rPr>
          <w:rFonts w:ascii="Open Sans" w:hAnsi="Open Sans" w:cs="Open Sans"/>
          <w:sz w:val="18"/>
          <w:szCs w:val="18"/>
        </w:rPr>
        <w:t>Perita</w:t>
      </w:r>
      <w:r w:rsidRPr="004C02B8">
        <w:rPr>
          <w:rFonts w:ascii="Open Sans" w:hAnsi="Open Sans" w:cs="Open Sans"/>
          <w:sz w:val="18"/>
          <w:szCs w:val="18"/>
        </w:rPr>
        <w:t xml:space="preserve"> Ambiental</w:t>
      </w:r>
      <w:r w:rsidRPr="004C02B8">
        <w:rPr>
          <w:rFonts w:ascii="Open Sans" w:hAnsi="Open Sans" w:cs="Open Sans"/>
          <w:b/>
          <w:sz w:val="18"/>
          <w:szCs w:val="18"/>
        </w:rPr>
        <w:t xml:space="preserve"> </w:t>
      </w:r>
      <w:r w:rsidRPr="004C02B8">
        <w:rPr>
          <w:rFonts w:ascii="Open Sans" w:hAnsi="Open Sans" w:cs="Open Sans"/>
          <w:sz w:val="18"/>
          <w:szCs w:val="18"/>
        </w:rPr>
        <w:t>(ISA – Instituto Superior de Agronomia)</w:t>
      </w:r>
    </w:p>
    <w:p w14:paraId="4C36147C" w14:textId="27C16CC1" w:rsidR="00665292" w:rsidRDefault="00665292" w:rsidP="00665292">
      <w:pPr>
        <w:rPr>
          <w:rFonts w:ascii="Open Sans" w:hAnsi="Open Sans" w:cs="Open Sans"/>
          <w:sz w:val="18"/>
          <w:szCs w:val="18"/>
        </w:rPr>
      </w:pPr>
      <w:r w:rsidRPr="004C02B8">
        <w:rPr>
          <w:rFonts w:ascii="Open Sans" w:hAnsi="Open Sans" w:cs="Open Sans"/>
          <w:b/>
          <w:sz w:val="18"/>
          <w:szCs w:val="18"/>
        </w:rPr>
        <w:t xml:space="preserve">Midana Sambu, </w:t>
      </w:r>
      <w:r>
        <w:rPr>
          <w:rFonts w:ascii="Open Sans" w:hAnsi="Open Sans" w:cs="Open Sans"/>
          <w:sz w:val="18"/>
          <w:szCs w:val="18"/>
        </w:rPr>
        <w:t xml:space="preserve">Perito </w:t>
      </w:r>
      <w:r w:rsidRPr="004C02B8">
        <w:rPr>
          <w:rFonts w:ascii="Open Sans" w:hAnsi="Open Sans" w:cs="Open Sans"/>
          <w:sz w:val="18"/>
          <w:szCs w:val="18"/>
        </w:rPr>
        <w:t xml:space="preserve">Nacional </w:t>
      </w:r>
    </w:p>
    <w:p w14:paraId="21DE38B3" w14:textId="731A3AD3" w:rsidR="00665292" w:rsidRPr="002A2405" w:rsidRDefault="00665292" w:rsidP="00665292">
      <w:pPr>
        <w:rPr>
          <w:rFonts w:ascii="Open Sans" w:hAnsi="Open Sans" w:cs="Open Sans"/>
          <w:sz w:val="18"/>
          <w:szCs w:val="18"/>
          <w:lang w:val="pt-BR"/>
        </w:rPr>
      </w:pPr>
      <w:r>
        <w:rPr>
          <w:rFonts w:ascii="Open Sans" w:hAnsi="Open Sans" w:cs="Open Sans"/>
          <w:b/>
          <w:sz w:val="18"/>
          <w:szCs w:val="18"/>
        </w:rPr>
        <w:t>Emanuel Ramos</w:t>
      </w:r>
      <w:r w:rsidRPr="004C02B8">
        <w:rPr>
          <w:rFonts w:ascii="Open Sans" w:hAnsi="Open Sans" w:cs="Open Sans"/>
          <w:b/>
          <w:sz w:val="18"/>
          <w:szCs w:val="18"/>
        </w:rPr>
        <w:t xml:space="preserve">, </w:t>
      </w:r>
      <w:r w:rsidRPr="00665292">
        <w:rPr>
          <w:rFonts w:ascii="Open Sans" w:hAnsi="Open Sans" w:cs="Open Sans"/>
          <w:bCs/>
          <w:sz w:val="18"/>
          <w:szCs w:val="18"/>
        </w:rPr>
        <w:t xml:space="preserve">Perito Nacional </w:t>
      </w:r>
    </w:p>
    <w:p w14:paraId="6531E984" w14:textId="77777777" w:rsidR="00665292" w:rsidRPr="004C02B8" w:rsidRDefault="00665292" w:rsidP="00665292">
      <w:pPr>
        <w:spacing w:line="240" w:lineRule="auto"/>
        <w:contextualSpacing/>
        <w:rPr>
          <w:rFonts w:ascii="Open Sans" w:hAnsi="Open Sans" w:cs="Open Sans"/>
          <w:sz w:val="18"/>
          <w:szCs w:val="18"/>
        </w:rPr>
      </w:pPr>
      <w:r w:rsidRPr="004C02B8">
        <w:rPr>
          <w:rFonts w:ascii="Open Sans" w:hAnsi="Open Sans" w:cs="Open Sans"/>
          <w:sz w:val="18"/>
          <w:szCs w:val="18"/>
        </w:rPr>
        <w:t xml:space="preserve">Este relatório foi produzido com o apoio financeiro da União Europeia. </w:t>
      </w:r>
    </w:p>
    <w:p w14:paraId="46D85986" w14:textId="1A356AD8" w:rsidR="00665292" w:rsidRPr="004C02B8" w:rsidRDefault="00665292" w:rsidP="00665292">
      <w:pPr>
        <w:spacing w:line="240" w:lineRule="auto"/>
        <w:contextualSpacing/>
        <w:rPr>
          <w:rFonts w:ascii="Open Sans" w:hAnsi="Open Sans" w:cs="Open Sans"/>
          <w:sz w:val="18"/>
          <w:szCs w:val="18"/>
        </w:rPr>
      </w:pPr>
      <w:r w:rsidRPr="004C02B8">
        <w:rPr>
          <w:rFonts w:ascii="Open Sans" w:hAnsi="Open Sans" w:cs="Open Sans"/>
          <w:sz w:val="18"/>
          <w:szCs w:val="18"/>
        </w:rPr>
        <w:t>O relatório foi solicitado através da Delegação da União Europeia em Guinea Bissau, e implementado em parceria com o consórcio Agrinatura, no âmbito de um projecto financiado pela União Europeia (VCA4D CTR 201</w:t>
      </w:r>
      <w:r>
        <w:rPr>
          <w:rFonts w:ascii="Open Sans" w:hAnsi="Open Sans" w:cs="Open Sans"/>
          <w:sz w:val="18"/>
          <w:szCs w:val="18"/>
        </w:rPr>
        <w:t>8</w:t>
      </w:r>
      <w:r w:rsidRPr="004C02B8">
        <w:rPr>
          <w:rFonts w:ascii="Open Sans" w:hAnsi="Open Sans" w:cs="Open Sans"/>
          <w:sz w:val="18"/>
          <w:szCs w:val="18"/>
        </w:rPr>
        <w:t xml:space="preserve">/392-417). </w:t>
      </w:r>
    </w:p>
    <w:p w14:paraId="74EF4B15" w14:textId="77777777" w:rsidR="00665292" w:rsidRPr="004C02B8" w:rsidRDefault="00665292" w:rsidP="00665292">
      <w:pPr>
        <w:spacing w:line="240" w:lineRule="auto"/>
        <w:contextualSpacing/>
        <w:rPr>
          <w:rFonts w:ascii="Open Sans" w:hAnsi="Open Sans" w:cs="Open Sans"/>
          <w:sz w:val="18"/>
          <w:szCs w:val="18"/>
        </w:rPr>
      </w:pPr>
    </w:p>
    <w:p w14:paraId="1B2069EE" w14:textId="77777777" w:rsidR="00665292" w:rsidRPr="004C02B8" w:rsidRDefault="00665292" w:rsidP="00E042D7">
      <w:pPr>
        <w:spacing w:line="240" w:lineRule="auto"/>
        <w:contextualSpacing/>
        <w:rPr>
          <w:rFonts w:ascii="Open Sans" w:hAnsi="Open Sans" w:cs="Open Sans"/>
          <w:sz w:val="18"/>
          <w:szCs w:val="18"/>
        </w:rPr>
      </w:pPr>
      <w:r w:rsidRPr="004C02B8">
        <w:rPr>
          <w:rFonts w:ascii="Open Sans" w:hAnsi="Open Sans" w:cs="Open Sans"/>
          <w:sz w:val="18"/>
          <w:szCs w:val="18"/>
        </w:rPr>
        <w:t>O seu conteúdo é da exclusiva responsabilidade dos seus autores e não reflecte necessariamente as posições da União Europeia.</w:t>
      </w:r>
    </w:p>
    <w:p w14:paraId="458C8855" w14:textId="5F6BF5E9" w:rsidR="00665292" w:rsidRPr="002A2405" w:rsidRDefault="00665292" w:rsidP="00E042D7">
      <w:pPr>
        <w:pStyle w:val="Title"/>
        <w:contextualSpacing w:val="0"/>
        <w:jc w:val="both"/>
        <w:rPr>
          <w:rFonts w:ascii="Open Sans" w:eastAsiaTheme="minorHAnsi" w:hAnsi="Open Sans" w:cs="Open Sans"/>
          <w:spacing w:val="0"/>
          <w:kern w:val="0"/>
          <w:sz w:val="18"/>
          <w:szCs w:val="18"/>
          <w:lang w:val="pt-BR"/>
        </w:rPr>
      </w:pPr>
      <w:r w:rsidRPr="00665292">
        <w:rPr>
          <w:rFonts w:ascii="Open Sans" w:eastAsiaTheme="minorHAnsi" w:hAnsi="Open Sans" w:cs="Open Sans"/>
          <w:spacing w:val="0"/>
          <w:kern w:val="0"/>
          <w:sz w:val="18"/>
          <w:szCs w:val="18"/>
          <w:lang w:val="pt-BR"/>
        </w:rPr>
        <w:t xml:space="preserve">Citação deste relatório: </w:t>
      </w:r>
      <w:r>
        <w:rPr>
          <w:rFonts w:ascii="Open Sans" w:eastAsiaTheme="minorHAnsi" w:hAnsi="Open Sans" w:cs="Open Sans"/>
          <w:spacing w:val="0"/>
          <w:kern w:val="0"/>
          <w:sz w:val="18"/>
          <w:szCs w:val="18"/>
          <w:lang w:val="pt-BR"/>
        </w:rPr>
        <w:t>Saldarriaga</w:t>
      </w:r>
      <w:r w:rsidRPr="00665292">
        <w:rPr>
          <w:rFonts w:ascii="Open Sans" w:eastAsiaTheme="minorHAnsi" w:hAnsi="Open Sans" w:cs="Open Sans"/>
          <w:spacing w:val="0"/>
          <w:kern w:val="0"/>
          <w:sz w:val="18"/>
          <w:szCs w:val="18"/>
          <w:lang w:val="pt-BR"/>
        </w:rPr>
        <w:t xml:space="preserve"> </w:t>
      </w:r>
      <w:r>
        <w:rPr>
          <w:rFonts w:ascii="Open Sans" w:eastAsiaTheme="minorHAnsi" w:hAnsi="Open Sans" w:cs="Open Sans"/>
          <w:spacing w:val="0"/>
          <w:kern w:val="0"/>
          <w:sz w:val="18"/>
          <w:szCs w:val="18"/>
          <w:lang w:val="pt-BR"/>
        </w:rPr>
        <w:t>G</w:t>
      </w:r>
      <w:r w:rsidRPr="00665292">
        <w:rPr>
          <w:rFonts w:ascii="Open Sans" w:eastAsiaTheme="minorHAnsi" w:hAnsi="Open Sans" w:cs="Open Sans"/>
          <w:spacing w:val="0"/>
          <w:kern w:val="0"/>
          <w:sz w:val="18"/>
          <w:szCs w:val="18"/>
          <w:lang w:val="pt-BR"/>
        </w:rPr>
        <w:t xml:space="preserve">., Farrall H., </w:t>
      </w:r>
      <w:r>
        <w:rPr>
          <w:rFonts w:ascii="Open Sans" w:eastAsiaTheme="minorHAnsi" w:hAnsi="Open Sans" w:cs="Open Sans"/>
          <w:spacing w:val="0"/>
          <w:kern w:val="0"/>
          <w:sz w:val="18"/>
          <w:szCs w:val="18"/>
          <w:lang w:val="pt-BR"/>
        </w:rPr>
        <w:t>Ramo</w:t>
      </w:r>
      <w:r w:rsidRPr="00665292">
        <w:rPr>
          <w:rFonts w:ascii="Open Sans" w:eastAsiaTheme="minorEastAsia" w:hAnsi="Open Sans" w:cs="Open Sans"/>
          <w:spacing w:val="0"/>
          <w:kern w:val="2"/>
          <w:sz w:val="18"/>
          <w:szCs w:val="18"/>
          <w:lang w:val="pt-PT" w:eastAsia="pt-PT"/>
          <w14:ligatures w14:val="standardContextual"/>
        </w:rPr>
        <w:t xml:space="preserve">s E., Sambu M., 2025. Atualização </w:t>
      </w:r>
      <w:r>
        <w:rPr>
          <w:rFonts w:ascii="Open Sans" w:eastAsiaTheme="minorEastAsia" w:hAnsi="Open Sans" w:cs="Open Sans"/>
          <w:spacing w:val="0"/>
          <w:kern w:val="2"/>
          <w:sz w:val="18"/>
          <w:szCs w:val="18"/>
          <w:lang w:val="pt-PT" w:eastAsia="pt-PT"/>
          <w14:ligatures w14:val="standardContextual"/>
        </w:rPr>
        <w:t>da A</w:t>
      </w:r>
      <w:r w:rsidRPr="00665292">
        <w:rPr>
          <w:rFonts w:ascii="Open Sans" w:eastAsiaTheme="minorEastAsia" w:hAnsi="Open Sans" w:cs="Open Sans"/>
          <w:spacing w:val="0"/>
          <w:kern w:val="2"/>
          <w:sz w:val="18"/>
          <w:szCs w:val="18"/>
          <w:lang w:val="pt-PT" w:eastAsia="pt-PT"/>
          <w14:ligatures w14:val="standardContextual"/>
        </w:rPr>
        <w:t xml:space="preserve">nálise da Cadeia de Valor da </w:t>
      </w:r>
      <w:r>
        <w:rPr>
          <w:rFonts w:ascii="Open Sans" w:eastAsiaTheme="minorEastAsia" w:hAnsi="Open Sans" w:cs="Open Sans"/>
          <w:spacing w:val="0"/>
          <w:kern w:val="2"/>
          <w:sz w:val="18"/>
          <w:szCs w:val="18"/>
          <w:lang w:val="pt-PT" w:eastAsia="pt-PT"/>
          <w14:ligatures w14:val="standardContextual"/>
        </w:rPr>
        <w:t xml:space="preserve">Manga </w:t>
      </w:r>
      <w:r w:rsidRPr="00665292">
        <w:rPr>
          <w:rFonts w:ascii="Open Sans" w:eastAsiaTheme="minorEastAsia" w:hAnsi="Open Sans" w:cs="Open Sans"/>
          <w:spacing w:val="0"/>
          <w:kern w:val="2"/>
          <w:sz w:val="18"/>
          <w:szCs w:val="18"/>
          <w:lang w:val="pt-PT" w:eastAsia="pt-PT"/>
          <w14:ligatures w14:val="standardContextual"/>
        </w:rPr>
        <w:t xml:space="preserve">na Guiné-Bissau. Relatório para a União Europeia, DG-INTPA. </w:t>
      </w:r>
      <w:r w:rsidRPr="002A2405">
        <w:rPr>
          <w:rFonts w:ascii="Open Sans" w:eastAsiaTheme="minorEastAsia" w:hAnsi="Open Sans" w:cs="Open Sans"/>
          <w:spacing w:val="0"/>
          <w:kern w:val="2"/>
          <w:sz w:val="18"/>
          <w:szCs w:val="18"/>
          <w:lang w:val="pt-BR" w:eastAsia="pt-PT"/>
          <w14:ligatures w14:val="standardContextual"/>
        </w:rPr>
        <w:t xml:space="preserve">Value Chain Analysis for Development Project (VCA4D CTR 2018/392-417), </w:t>
      </w:r>
      <w:r w:rsidRPr="00665292">
        <w:rPr>
          <w:rFonts w:ascii="Open Sans" w:eastAsiaTheme="minorEastAsia" w:hAnsi="Open Sans" w:cs="Open Sans"/>
          <w:spacing w:val="0"/>
          <w:kern w:val="2"/>
          <w:sz w:val="18"/>
          <w:szCs w:val="18"/>
          <w:lang w:val="pt-PT" w:eastAsia="pt-PT"/>
          <w14:ligatures w14:val="standardContextual"/>
        </w:rPr>
        <w:fldChar w:fldCharType="begin"/>
      </w:r>
      <w:r w:rsidRPr="002A2405">
        <w:rPr>
          <w:rFonts w:ascii="Open Sans" w:eastAsiaTheme="minorEastAsia" w:hAnsi="Open Sans" w:cs="Open Sans"/>
          <w:spacing w:val="0"/>
          <w:kern w:val="2"/>
          <w:sz w:val="18"/>
          <w:szCs w:val="18"/>
          <w:lang w:val="pt-BR" w:eastAsia="pt-PT"/>
          <w14:ligatures w14:val="standardContextual"/>
        </w:rPr>
        <w:instrText xml:space="preserve"> {=SectionPages} </w:instrText>
      </w:r>
      <w:r w:rsidRPr="00665292">
        <w:rPr>
          <w:rFonts w:ascii="Open Sans" w:eastAsiaTheme="minorEastAsia" w:hAnsi="Open Sans" w:cs="Open Sans"/>
          <w:spacing w:val="0"/>
          <w:kern w:val="2"/>
          <w:sz w:val="18"/>
          <w:szCs w:val="18"/>
          <w:lang w:val="pt-PT" w:eastAsia="pt-PT"/>
          <w14:ligatures w14:val="standardContextual"/>
        </w:rPr>
        <w:fldChar w:fldCharType="end"/>
      </w:r>
      <w:r w:rsidRPr="002A2405">
        <w:rPr>
          <w:rFonts w:ascii="Open Sans" w:eastAsiaTheme="minorEastAsia" w:hAnsi="Open Sans" w:cs="Open Sans"/>
          <w:spacing w:val="0"/>
          <w:kern w:val="2"/>
          <w:sz w:val="18"/>
          <w:szCs w:val="18"/>
          <w:lang w:val="pt-BR" w:eastAsia="pt-PT"/>
          <w14:ligatures w14:val="standardContextual"/>
        </w:rPr>
        <w:t xml:space="preserve"> </w:t>
      </w:r>
      <w:r w:rsidR="00E042D7" w:rsidRPr="002A2405">
        <w:rPr>
          <w:rFonts w:ascii="Open Sans" w:eastAsiaTheme="minorEastAsia" w:hAnsi="Open Sans" w:cs="Open Sans"/>
          <w:spacing w:val="0"/>
          <w:kern w:val="2"/>
          <w:sz w:val="18"/>
          <w:szCs w:val="18"/>
          <w:lang w:val="pt-BR" w:eastAsia="pt-PT"/>
          <w14:ligatures w14:val="standardContextual"/>
        </w:rPr>
        <w:t>59</w:t>
      </w:r>
      <w:r w:rsidRPr="002A2405">
        <w:rPr>
          <w:rFonts w:ascii="Open Sans" w:eastAsiaTheme="minorEastAsia" w:hAnsi="Open Sans" w:cs="Open Sans"/>
          <w:spacing w:val="0"/>
          <w:kern w:val="2"/>
          <w:sz w:val="18"/>
          <w:szCs w:val="18"/>
          <w:lang w:val="pt-BR" w:eastAsia="pt-PT"/>
          <w14:ligatures w14:val="standardContextual"/>
        </w:rPr>
        <w:t>p + anexos.</w:t>
      </w:r>
    </w:p>
    <w:p w14:paraId="53CB2557" w14:textId="5DA49398" w:rsidR="006E474A" w:rsidRPr="002A2405" w:rsidRDefault="008D3D04" w:rsidP="003F6B66">
      <w:pPr>
        <w:rPr>
          <w:rFonts w:eastAsiaTheme="majorEastAsia" w:cs="Calibri"/>
          <w:b/>
          <w:bCs/>
          <w:color w:val="0F4761" w:themeColor="accent1" w:themeShade="BF"/>
          <w:szCs w:val="20"/>
          <w:lang w:val="pt-BR"/>
        </w:rPr>
      </w:pPr>
      <w:r w:rsidRPr="002A2405">
        <w:rPr>
          <w:rFonts w:cs="Calibri"/>
          <w:b/>
          <w:bCs/>
          <w:szCs w:val="20"/>
          <w:lang w:val="pt-BR"/>
        </w:rPr>
        <w:br w:type="page"/>
      </w:r>
    </w:p>
    <w:p w14:paraId="58977996" w14:textId="7C27EE98" w:rsidR="006E474A" w:rsidRPr="00D327B4" w:rsidRDefault="008D3D04" w:rsidP="003F6B66">
      <w:pPr>
        <w:keepNext/>
        <w:keepLines/>
        <w:numPr>
          <w:ilvl w:val="0"/>
          <w:numId w:val="1"/>
        </w:numPr>
        <w:spacing w:before="240" w:after="0"/>
        <w:outlineLvl w:val="0"/>
        <w:rPr>
          <w:rFonts w:eastAsiaTheme="majorEastAsia" w:cs="Calibri"/>
          <w:vanish/>
          <w:color w:val="0F4761" w:themeColor="accent1" w:themeShade="BF"/>
          <w:szCs w:val="20"/>
        </w:rPr>
      </w:pPr>
      <w:r w:rsidRPr="00D327B4">
        <w:rPr>
          <w:rFonts w:eastAsiaTheme="majorEastAsia" w:cs="Calibri"/>
          <w:vanish/>
          <w:color w:val="0F4761" w:themeColor="accent1" w:themeShade="BF"/>
          <w:szCs w:val="20"/>
        </w:rPr>
        <w:lastRenderedPageBreak/>
        <w:t xml:space="preserve">Aproximación metodológica VCA4D </w:t>
      </w:r>
      <w:bookmarkStart w:id="0" w:name="_Toc210806712"/>
      <w:bookmarkStart w:id="1" w:name="_Toc210807084"/>
      <w:bookmarkStart w:id="2" w:name="_Toc210807213"/>
      <w:bookmarkStart w:id="3" w:name="_Toc210807789"/>
      <w:bookmarkStart w:id="4" w:name="_Toc210808753"/>
      <w:bookmarkStart w:id="5" w:name="_Toc210809070"/>
      <w:bookmarkStart w:id="6" w:name="_Toc210827889"/>
      <w:bookmarkStart w:id="7" w:name="_Toc210828568"/>
      <w:bookmarkStart w:id="8" w:name="_Toc210828643"/>
      <w:bookmarkStart w:id="9" w:name="_Toc210828747"/>
      <w:bookmarkStart w:id="10" w:name="_Toc210831836"/>
      <w:bookmarkStart w:id="11" w:name="_Toc210831938"/>
      <w:bookmarkStart w:id="12" w:name="_Toc211339524"/>
      <w:bookmarkStart w:id="13" w:name="_Toc211341644"/>
      <w:bookmarkStart w:id="14" w:name="_Toc211342177"/>
      <w:bookmarkStart w:id="15" w:name="_Toc211344043"/>
      <w:bookmarkStart w:id="16" w:name="_Toc211357896"/>
      <w:bookmarkStart w:id="17" w:name="_Toc211790919"/>
      <w:bookmarkStart w:id="18" w:name="_Toc211790979"/>
      <w:bookmarkStart w:id="19" w:name="_Toc215161226"/>
      <w:bookmarkStart w:id="20" w:name="_Toc215161286"/>
      <w:bookmarkStart w:id="21" w:name="_Toc215163094"/>
      <w:bookmarkStart w:id="22" w:name="_Toc22050749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bookmarkStart w:id="23" w:name="_Toc220507493" w:displacedByCustomXml="next"/>
    <w:sdt>
      <w:sdtPr>
        <w:rPr>
          <w:rFonts w:eastAsiaTheme="minorEastAsia" w:cstheme="minorBidi"/>
          <w:b w:val="0"/>
          <w:bCs w:val="0"/>
          <w:color w:val="000000"/>
          <w:kern w:val="2"/>
          <w:sz w:val="20"/>
          <w:szCs w:val="24"/>
          <w:lang w:eastAsia="pt-PT"/>
          <w14:textFill>
            <w14:solidFill>
              <w14:srgbClr w14:val="000000">
                <w14:lumMod w14:val="90000"/>
                <w14:lumOff w14:val="10000"/>
              </w14:srgbClr>
            </w14:solidFill>
          </w14:textFill>
          <w14:ligatures w14:val="standardContextual"/>
        </w:rPr>
        <w:id w:val="1325321223"/>
        <w:docPartObj>
          <w:docPartGallery w:val="Table of Contents"/>
          <w:docPartUnique/>
        </w:docPartObj>
      </w:sdtPr>
      <w:sdtEndPr>
        <w:rPr>
          <w:noProof/>
        </w:rPr>
      </w:sdtEndPr>
      <w:sdtContent>
        <w:p w14:paraId="5E949002" w14:textId="6609C4C6" w:rsidR="00CB3366" w:rsidRPr="00B166C9" w:rsidRDefault="001C45D2" w:rsidP="00815270">
          <w:pPr>
            <w:pStyle w:val="Subheading"/>
            <w:rPr>
              <w:rStyle w:val="SubheadingChar"/>
            </w:rPr>
          </w:pPr>
          <w:r w:rsidRPr="00B166C9">
            <w:rPr>
              <w:rStyle w:val="SubheadingChar"/>
            </w:rPr>
            <w:t>ÍNDICE</w:t>
          </w:r>
          <w:bookmarkEnd w:id="23"/>
        </w:p>
        <w:p w14:paraId="0E95EF43" w14:textId="42C0210E" w:rsidR="00815270" w:rsidRDefault="00C74BF3">
          <w:pPr>
            <w:pStyle w:val="TOC1"/>
            <w:rPr>
              <w:rFonts w:asciiTheme="minorHAnsi" w:hAnsiTheme="minorHAnsi" w:cstheme="minorBidi"/>
              <w:b w:val="0"/>
              <w:bCs w:val="0"/>
              <w:color w:val="auto"/>
              <w:lang w:val="en-GB" w:eastAsia="en-GB"/>
            </w:rPr>
          </w:pPr>
          <w:r>
            <w:rPr>
              <w:color w:val="0E2841" w:themeColor="text2"/>
              <w14:textFill>
                <w14:solidFill>
                  <w14:schemeClr w14:val="tx2">
                    <w14:lumMod w14:val="90000"/>
                    <w14:lumOff w14:val="10000"/>
                    <w14:lumMod w14:val="90000"/>
                    <w14:lumOff w14:val="10000"/>
                  </w14:schemeClr>
                </w14:solidFill>
              </w14:textFill>
            </w:rPr>
            <w:fldChar w:fldCharType="begin"/>
          </w:r>
          <w:r>
            <w:rPr>
              <w:color w:val="0E2841" w:themeColor="text2"/>
              <w14:textFill>
                <w14:solidFill>
                  <w14:schemeClr w14:val="tx2">
                    <w14:lumMod w14:val="90000"/>
                    <w14:lumOff w14:val="10000"/>
                    <w14:lumMod w14:val="90000"/>
                    <w14:lumOff w14:val="10000"/>
                  </w14:schemeClr>
                </w14:solidFill>
              </w14:textFill>
            </w:rPr>
            <w:instrText xml:space="preserve"> TOC \o "1-3" \h \z \u </w:instrText>
          </w:r>
          <w:r>
            <w:rPr>
              <w:color w:val="0E2841" w:themeColor="text2"/>
              <w14:textFill>
                <w14:solidFill>
                  <w14:schemeClr w14:val="tx2">
                    <w14:lumMod w14:val="90000"/>
                    <w14:lumOff w14:val="10000"/>
                    <w14:lumMod w14:val="90000"/>
                    <w14:lumOff w14:val="10000"/>
                  </w14:schemeClr>
                </w14:solidFill>
              </w14:textFill>
            </w:rPr>
            <w:fldChar w:fldCharType="separate"/>
          </w:r>
          <w:hyperlink w:anchor="_Toc220507493" w:history="1">
            <w:r w:rsidR="00815270" w:rsidRPr="00E739F5">
              <w:rPr>
                <w:rStyle w:val="Hyperlink"/>
              </w:rPr>
              <w:t>ÍNDICE</w:t>
            </w:r>
            <w:r w:rsidR="00815270">
              <w:rPr>
                <w:webHidden/>
              </w:rPr>
              <w:tab/>
            </w:r>
            <w:r w:rsidR="00815270">
              <w:rPr>
                <w:webHidden/>
              </w:rPr>
              <w:fldChar w:fldCharType="begin"/>
            </w:r>
            <w:r w:rsidR="00815270">
              <w:rPr>
                <w:webHidden/>
              </w:rPr>
              <w:instrText xml:space="preserve"> PAGEREF _Toc220507493 \h </w:instrText>
            </w:r>
            <w:r w:rsidR="00815270">
              <w:rPr>
                <w:webHidden/>
              </w:rPr>
            </w:r>
            <w:r w:rsidR="00815270">
              <w:rPr>
                <w:webHidden/>
              </w:rPr>
              <w:fldChar w:fldCharType="separate"/>
            </w:r>
            <w:r w:rsidR="00815270">
              <w:rPr>
                <w:webHidden/>
              </w:rPr>
              <w:t>3</w:t>
            </w:r>
            <w:r w:rsidR="00815270">
              <w:rPr>
                <w:webHidden/>
              </w:rPr>
              <w:fldChar w:fldCharType="end"/>
            </w:r>
          </w:hyperlink>
        </w:p>
        <w:p w14:paraId="29089144" w14:textId="0684F700" w:rsidR="00815270" w:rsidRDefault="00815270">
          <w:pPr>
            <w:pStyle w:val="TOC1"/>
            <w:rPr>
              <w:rFonts w:asciiTheme="minorHAnsi" w:hAnsiTheme="minorHAnsi" w:cstheme="minorBidi"/>
              <w:b w:val="0"/>
              <w:bCs w:val="0"/>
              <w:color w:val="auto"/>
              <w:lang w:val="en-GB" w:eastAsia="en-GB"/>
            </w:rPr>
          </w:pPr>
          <w:hyperlink w:anchor="_Toc220507494" w:history="1">
            <w:r w:rsidRPr="00E739F5">
              <w:rPr>
                <w:rStyle w:val="Hyperlink"/>
                <w:lang w:val="pt-BR"/>
              </w:rPr>
              <w:t>ÍNDICE DE QUADROS</w:t>
            </w:r>
            <w:r>
              <w:rPr>
                <w:webHidden/>
              </w:rPr>
              <w:tab/>
            </w:r>
            <w:r>
              <w:rPr>
                <w:webHidden/>
              </w:rPr>
              <w:fldChar w:fldCharType="begin"/>
            </w:r>
            <w:r>
              <w:rPr>
                <w:webHidden/>
              </w:rPr>
              <w:instrText xml:space="preserve"> PAGEREF _Toc220507494 \h </w:instrText>
            </w:r>
            <w:r>
              <w:rPr>
                <w:webHidden/>
              </w:rPr>
            </w:r>
            <w:r>
              <w:rPr>
                <w:webHidden/>
              </w:rPr>
              <w:fldChar w:fldCharType="separate"/>
            </w:r>
            <w:r>
              <w:rPr>
                <w:webHidden/>
              </w:rPr>
              <w:t>6</w:t>
            </w:r>
            <w:r>
              <w:rPr>
                <w:webHidden/>
              </w:rPr>
              <w:fldChar w:fldCharType="end"/>
            </w:r>
          </w:hyperlink>
        </w:p>
        <w:p w14:paraId="48B9B2D2" w14:textId="61EF9CEC" w:rsidR="00815270" w:rsidRDefault="00815270">
          <w:pPr>
            <w:pStyle w:val="TOC1"/>
            <w:rPr>
              <w:rFonts w:asciiTheme="minorHAnsi" w:hAnsiTheme="minorHAnsi" w:cstheme="minorBidi"/>
              <w:b w:val="0"/>
              <w:bCs w:val="0"/>
              <w:color w:val="auto"/>
              <w:lang w:val="en-GB" w:eastAsia="en-GB"/>
            </w:rPr>
          </w:pPr>
          <w:hyperlink w:anchor="_Toc220507495" w:history="1">
            <w:r w:rsidRPr="00E739F5">
              <w:rPr>
                <w:rStyle w:val="Hyperlink"/>
                <w:lang w:val="pt-BR"/>
              </w:rPr>
              <w:t>ÍNDICE DE FIGURAS</w:t>
            </w:r>
            <w:r>
              <w:rPr>
                <w:webHidden/>
              </w:rPr>
              <w:tab/>
            </w:r>
            <w:r>
              <w:rPr>
                <w:webHidden/>
              </w:rPr>
              <w:fldChar w:fldCharType="begin"/>
            </w:r>
            <w:r>
              <w:rPr>
                <w:webHidden/>
              </w:rPr>
              <w:instrText xml:space="preserve"> PAGEREF _Toc220507495 \h </w:instrText>
            </w:r>
            <w:r>
              <w:rPr>
                <w:webHidden/>
              </w:rPr>
            </w:r>
            <w:r>
              <w:rPr>
                <w:webHidden/>
              </w:rPr>
              <w:fldChar w:fldCharType="separate"/>
            </w:r>
            <w:r>
              <w:rPr>
                <w:webHidden/>
              </w:rPr>
              <w:t>6</w:t>
            </w:r>
            <w:r>
              <w:rPr>
                <w:webHidden/>
              </w:rPr>
              <w:fldChar w:fldCharType="end"/>
            </w:r>
          </w:hyperlink>
        </w:p>
        <w:p w14:paraId="170E0951" w14:textId="57515FB5" w:rsidR="00815270" w:rsidRDefault="00815270">
          <w:pPr>
            <w:pStyle w:val="TOC1"/>
            <w:rPr>
              <w:rFonts w:asciiTheme="minorHAnsi" w:hAnsiTheme="minorHAnsi" w:cstheme="minorBidi"/>
              <w:b w:val="0"/>
              <w:bCs w:val="0"/>
              <w:color w:val="auto"/>
              <w:lang w:val="en-GB" w:eastAsia="en-GB"/>
            </w:rPr>
          </w:pPr>
          <w:hyperlink w:anchor="_Toc220507496" w:history="1">
            <w:r w:rsidRPr="00E739F5">
              <w:rPr>
                <w:rStyle w:val="Hyperlink"/>
              </w:rPr>
              <w:t>ACRÓNIMOS</w:t>
            </w:r>
            <w:r>
              <w:rPr>
                <w:webHidden/>
              </w:rPr>
              <w:tab/>
            </w:r>
            <w:r>
              <w:rPr>
                <w:webHidden/>
              </w:rPr>
              <w:fldChar w:fldCharType="begin"/>
            </w:r>
            <w:r>
              <w:rPr>
                <w:webHidden/>
              </w:rPr>
              <w:instrText xml:space="preserve"> PAGEREF _Toc220507496 \h </w:instrText>
            </w:r>
            <w:r>
              <w:rPr>
                <w:webHidden/>
              </w:rPr>
            </w:r>
            <w:r>
              <w:rPr>
                <w:webHidden/>
              </w:rPr>
              <w:fldChar w:fldCharType="separate"/>
            </w:r>
            <w:r>
              <w:rPr>
                <w:webHidden/>
              </w:rPr>
              <w:t>7</w:t>
            </w:r>
            <w:r>
              <w:rPr>
                <w:webHidden/>
              </w:rPr>
              <w:fldChar w:fldCharType="end"/>
            </w:r>
          </w:hyperlink>
        </w:p>
        <w:p w14:paraId="108838E7" w14:textId="6991B14E" w:rsidR="00815270" w:rsidRDefault="00815270">
          <w:pPr>
            <w:pStyle w:val="TOC1"/>
            <w:rPr>
              <w:rFonts w:asciiTheme="minorHAnsi" w:hAnsiTheme="minorHAnsi" w:cstheme="minorBidi"/>
              <w:b w:val="0"/>
              <w:bCs w:val="0"/>
              <w:color w:val="auto"/>
              <w:lang w:val="en-GB" w:eastAsia="en-GB"/>
            </w:rPr>
          </w:pPr>
          <w:hyperlink w:anchor="_Toc220507497" w:history="1">
            <w:r w:rsidRPr="00E739F5">
              <w:rPr>
                <w:rStyle w:val="Hyperlink"/>
              </w:rPr>
              <w:t>SUMÁRIO EXECUTIVO</w:t>
            </w:r>
            <w:r>
              <w:rPr>
                <w:webHidden/>
              </w:rPr>
              <w:tab/>
            </w:r>
            <w:r>
              <w:rPr>
                <w:webHidden/>
              </w:rPr>
              <w:fldChar w:fldCharType="begin"/>
            </w:r>
            <w:r>
              <w:rPr>
                <w:webHidden/>
              </w:rPr>
              <w:instrText xml:space="preserve"> PAGEREF _Toc220507497 \h </w:instrText>
            </w:r>
            <w:r>
              <w:rPr>
                <w:webHidden/>
              </w:rPr>
            </w:r>
            <w:r>
              <w:rPr>
                <w:webHidden/>
              </w:rPr>
              <w:fldChar w:fldCharType="separate"/>
            </w:r>
            <w:r>
              <w:rPr>
                <w:webHidden/>
              </w:rPr>
              <w:t>8</w:t>
            </w:r>
            <w:r>
              <w:rPr>
                <w:webHidden/>
              </w:rPr>
              <w:fldChar w:fldCharType="end"/>
            </w:r>
          </w:hyperlink>
        </w:p>
        <w:p w14:paraId="54FBAC8A" w14:textId="1B45571B" w:rsidR="00815270" w:rsidRDefault="00815270">
          <w:pPr>
            <w:pStyle w:val="TOC1"/>
            <w:rPr>
              <w:rFonts w:asciiTheme="minorHAnsi" w:hAnsiTheme="minorHAnsi" w:cstheme="minorBidi"/>
              <w:b w:val="0"/>
              <w:bCs w:val="0"/>
              <w:color w:val="auto"/>
              <w:lang w:val="en-GB" w:eastAsia="en-GB"/>
            </w:rPr>
          </w:pPr>
          <w:hyperlink w:anchor="_Toc220507498" w:history="1">
            <w:r w:rsidRPr="00E739F5">
              <w:rPr>
                <w:rStyle w:val="Hyperlink"/>
              </w:rPr>
              <w:t>1.</w:t>
            </w:r>
            <w:r>
              <w:rPr>
                <w:rFonts w:asciiTheme="minorHAnsi" w:hAnsiTheme="minorHAnsi" w:cstheme="minorBidi"/>
                <w:b w:val="0"/>
                <w:bCs w:val="0"/>
                <w:color w:val="auto"/>
                <w:lang w:val="en-GB" w:eastAsia="en-GB"/>
              </w:rPr>
              <w:tab/>
            </w:r>
            <w:r w:rsidRPr="00E739F5">
              <w:rPr>
                <w:rStyle w:val="Hyperlink"/>
              </w:rPr>
              <w:t>INTRODUÇÃO, OBJECTIVOS E METODOLOGIA GERAL</w:t>
            </w:r>
            <w:r>
              <w:rPr>
                <w:webHidden/>
              </w:rPr>
              <w:tab/>
            </w:r>
            <w:r>
              <w:rPr>
                <w:webHidden/>
              </w:rPr>
              <w:fldChar w:fldCharType="begin"/>
            </w:r>
            <w:r>
              <w:rPr>
                <w:webHidden/>
              </w:rPr>
              <w:instrText xml:space="preserve"> PAGEREF _Toc220507498 \h </w:instrText>
            </w:r>
            <w:r>
              <w:rPr>
                <w:webHidden/>
              </w:rPr>
            </w:r>
            <w:r>
              <w:rPr>
                <w:webHidden/>
              </w:rPr>
              <w:fldChar w:fldCharType="separate"/>
            </w:r>
            <w:r>
              <w:rPr>
                <w:webHidden/>
              </w:rPr>
              <w:t>11</w:t>
            </w:r>
            <w:r>
              <w:rPr>
                <w:webHidden/>
              </w:rPr>
              <w:fldChar w:fldCharType="end"/>
            </w:r>
          </w:hyperlink>
        </w:p>
        <w:p w14:paraId="561713EE" w14:textId="72C2D6B4" w:rsidR="00815270" w:rsidRDefault="00815270">
          <w:pPr>
            <w:pStyle w:val="TOC1"/>
            <w:rPr>
              <w:rFonts w:asciiTheme="minorHAnsi" w:hAnsiTheme="minorHAnsi" w:cstheme="minorBidi"/>
              <w:b w:val="0"/>
              <w:bCs w:val="0"/>
              <w:color w:val="auto"/>
              <w:lang w:val="en-GB" w:eastAsia="en-GB"/>
            </w:rPr>
          </w:pPr>
          <w:hyperlink w:anchor="_Toc220507499" w:history="1">
            <w:r w:rsidRPr="00E739F5">
              <w:rPr>
                <w:rStyle w:val="Hyperlink"/>
              </w:rPr>
              <w:t>2.</w:t>
            </w:r>
            <w:r>
              <w:rPr>
                <w:rFonts w:asciiTheme="minorHAnsi" w:hAnsiTheme="minorHAnsi" w:cstheme="minorBidi"/>
                <w:b w:val="0"/>
                <w:bCs w:val="0"/>
                <w:color w:val="auto"/>
                <w:lang w:val="en-GB" w:eastAsia="en-GB"/>
              </w:rPr>
              <w:tab/>
            </w:r>
            <w:r w:rsidRPr="00E739F5">
              <w:rPr>
                <w:rStyle w:val="Hyperlink"/>
              </w:rPr>
              <w:t>ANÁLISE FUNCIONAL</w:t>
            </w:r>
            <w:r>
              <w:rPr>
                <w:webHidden/>
              </w:rPr>
              <w:tab/>
            </w:r>
            <w:r>
              <w:rPr>
                <w:webHidden/>
              </w:rPr>
              <w:fldChar w:fldCharType="begin"/>
            </w:r>
            <w:r>
              <w:rPr>
                <w:webHidden/>
              </w:rPr>
              <w:instrText xml:space="preserve"> PAGEREF _Toc220507499 \h </w:instrText>
            </w:r>
            <w:r>
              <w:rPr>
                <w:webHidden/>
              </w:rPr>
            </w:r>
            <w:r>
              <w:rPr>
                <w:webHidden/>
              </w:rPr>
              <w:fldChar w:fldCharType="separate"/>
            </w:r>
            <w:r>
              <w:rPr>
                <w:webHidden/>
              </w:rPr>
              <w:t>15</w:t>
            </w:r>
            <w:r>
              <w:rPr>
                <w:webHidden/>
              </w:rPr>
              <w:fldChar w:fldCharType="end"/>
            </w:r>
          </w:hyperlink>
        </w:p>
        <w:p w14:paraId="4E647D95" w14:textId="01B17556" w:rsidR="00815270" w:rsidRDefault="00815270">
          <w:pPr>
            <w:pStyle w:val="TOC2"/>
            <w:rPr>
              <w:rFonts w:asciiTheme="minorHAnsi" w:eastAsiaTheme="minorEastAsia" w:hAnsiTheme="minorHAnsi" w:cstheme="minorBidi"/>
              <w:b w:val="0"/>
              <w:bCs w:val="0"/>
              <w:color w:val="auto"/>
              <w:sz w:val="24"/>
              <w:szCs w:val="24"/>
              <w:lang w:val="en-GB" w:eastAsia="en-GB"/>
            </w:rPr>
          </w:pPr>
          <w:hyperlink w:anchor="_Toc220507500" w:history="1">
            <w:r w:rsidRPr="00E739F5">
              <w:rPr>
                <w:rStyle w:val="Hyperlink"/>
              </w:rPr>
              <w:t>4.1</w:t>
            </w:r>
            <w:r>
              <w:rPr>
                <w:rFonts w:asciiTheme="minorHAnsi" w:eastAsiaTheme="minorEastAsia" w:hAnsiTheme="minorHAnsi" w:cstheme="minorBidi"/>
                <w:b w:val="0"/>
                <w:bCs w:val="0"/>
                <w:color w:val="auto"/>
                <w:sz w:val="24"/>
                <w:szCs w:val="24"/>
                <w:lang w:val="en-GB" w:eastAsia="en-GB"/>
              </w:rPr>
              <w:tab/>
            </w:r>
            <w:r w:rsidRPr="00E739F5">
              <w:rPr>
                <w:rStyle w:val="Hyperlink"/>
              </w:rPr>
              <w:t>Comparação das características funcionais 2017 vs 2025</w:t>
            </w:r>
            <w:r>
              <w:rPr>
                <w:webHidden/>
              </w:rPr>
              <w:tab/>
            </w:r>
            <w:r>
              <w:rPr>
                <w:webHidden/>
              </w:rPr>
              <w:fldChar w:fldCharType="begin"/>
            </w:r>
            <w:r>
              <w:rPr>
                <w:webHidden/>
              </w:rPr>
              <w:instrText xml:space="preserve"> PAGEREF _Toc220507500 \h </w:instrText>
            </w:r>
            <w:r>
              <w:rPr>
                <w:webHidden/>
              </w:rPr>
            </w:r>
            <w:r>
              <w:rPr>
                <w:webHidden/>
              </w:rPr>
              <w:fldChar w:fldCharType="separate"/>
            </w:r>
            <w:r>
              <w:rPr>
                <w:webHidden/>
              </w:rPr>
              <w:t>15</w:t>
            </w:r>
            <w:r>
              <w:rPr>
                <w:webHidden/>
              </w:rPr>
              <w:fldChar w:fldCharType="end"/>
            </w:r>
          </w:hyperlink>
        </w:p>
        <w:p w14:paraId="00329B18" w14:textId="61C42725" w:rsidR="00815270" w:rsidRDefault="00815270">
          <w:pPr>
            <w:pStyle w:val="TOC3"/>
            <w:tabs>
              <w:tab w:val="left" w:pos="1200"/>
              <w:tab w:val="right" w:leader="dot" w:pos="9016"/>
            </w:tabs>
            <w:rPr>
              <w:rFonts w:asciiTheme="minorHAnsi" w:hAnsiTheme="minorHAnsi"/>
              <w:noProof/>
              <w:sz w:val="24"/>
              <w:lang w:val="en-GB" w:eastAsia="en-GB"/>
            </w:rPr>
          </w:pPr>
          <w:hyperlink w:anchor="_Toc220507501" w:history="1">
            <w:r w:rsidRPr="00E739F5">
              <w:rPr>
                <w:rStyle w:val="Hyperlink"/>
                <w:noProof/>
              </w:rPr>
              <w:t>2.1.1</w:t>
            </w:r>
            <w:r>
              <w:rPr>
                <w:rFonts w:asciiTheme="minorHAnsi" w:hAnsiTheme="minorHAnsi"/>
                <w:noProof/>
                <w:sz w:val="24"/>
                <w:lang w:val="en-GB" w:eastAsia="en-GB"/>
              </w:rPr>
              <w:tab/>
            </w:r>
            <w:r w:rsidRPr="00E739F5">
              <w:rPr>
                <w:rStyle w:val="Hyperlink"/>
                <w:noProof/>
              </w:rPr>
              <w:t>Aspetos referentes à cadeia de valor da manga</w:t>
            </w:r>
            <w:r>
              <w:rPr>
                <w:noProof/>
                <w:webHidden/>
              </w:rPr>
              <w:tab/>
            </w:r>
            <w:r>
              <w:rPr>
                <w:noProof/>
                <w:webHidden/>
              </w:rPr>
              <w:fldChar w:fldCharType="begin"/>
            </w:r>
            <w:r>
              <w:rPr>
                <w:noProof/>
                <w:webHidden/>
              </w:rPr>
              <w:instrText xml:space="preserve"> PAGEREF _Toc220507501 \h </w:instrText>
            </w:r>
            <w:r>
              <w:rPr>
                <w:noProof/>
                <w:webHidden/>
              </w:rPr>
            </w:r>
            <w:r>
              <w:rPr>
                <w:noProof/>
                <w:webHidden/>
              </w:rPr>
              <w:fldChar w:fldCharType="separate"/>
            </w:r>
            <w:r>
              <w:rPr>
                <w:noProof/>
                <w:webHidden/>
              </w:rPr>
              <w:t>15</w:t>
            </w:r>
            <w:r>
              <w:rPr>
                <w:noProof/>
                <w:webHidden/>
              </w:rPr>
              <w:fldChar w:fldCharType="end"/>
            </w:r>
          </w:hyperlink>
        </w:p>
        <w:p w14:paraId="307492A7" w14:textId="5DE46E87" w:rsidR="00815270" w:rsidRDefault="00815270">
          <w:pPr>
            <w:pStyle w:val="TOC3"/>
            <w:tabs>
              <w:tab w:val="left" w:pos="1200"/>
              <w:tab w:val="right" w:leader="dot" w:pos="9016"/>
            </w:tabs>
            <w:rPr>
              <w:rFonts w:asciiTheme="minorHAnsi" w:hAnsiTheme="minorHAnsi"/>
              <w:noProof/>
              <w:sz w:val="24"/>
              <w:lang w:val="en-GB" w:eastAsia="en-GB"/>
            </w:rPr>
          </w:pPr>
          <w:hyperlink w:anchor="_Toc220507502" w:history="1">
            <w:r w:rsidRPr="00E739F5">
              <w:rPr>
                <w:rStyle w:val="Hyperlink"/>
                <w:noProof/>
              </w:rPr>
              <w:t>2.1.2</w:t>
            </w:r>
            <w:r>
              <w:rPr>
                <w:rFonts w:asciiTheme="minorHAnsi" w:hAnsiTheme="minorHAnsi"/>
                <w:noProof/>
                <w:sz w:val="24"/>
                <w:lang w:val="en-GB" w:eastAsia="en-GB"/>
              </w:rPr>
              <w:tab/>
            </w:r>
            <w:r w:rsidRPr="00E739F5">
              <w:rPr>
                <w:rStyle w:val="Hyperlink"/>
                <w:noProof/>
              </w:rPr>
              <w:t>Aspetos referentes à produção de manga</w:t>
            </w:r>
            <w:r>
              <w:rPr>
                <w:noProof/>
                <w:webHidden/>
              </w:rPr>
              <w:tab/>
            </w:r>
            <w:r>
              <w:rPr>
                <w:noProof/>
                <w:webHidden/>
              </w:rPr>
              <w:fldChar w:fldCharType="begin"/>
            </w:r>
            <w:r>
              <w:rPr>
                <w:noProof/>
                <w:webHidden/>
              </w:rPr>
              <w:instrText xml:space="preserve"> PAGEREF _Toc220507502 \h </w:instrText>
            </w:r>
            <w:r>
              <w:rPr>
                <w:noProof/>
                <w:webHidden/>
              </w:rPr>
            </w:r>
            <w:r>
              <w:rPr>
                <w:noProof/>
                <w:webHidden/>
              </w:rPr>
              <w:fldChar w:fldCharType="separate"/>
            </w:r>
            <w:r>
              <w:rPr>
                <w:noProof/>
                <w:webHidden/>
              </w:rPr>
              <w:t>16</w:t>
            </w:r>
            <w:r>
              <w:rPr>
                <w:noProof/>
                <w:webHidden/>
              </w:rPr>
              <w:fldChar w:fldCharType="end"/>
            </w:r>
          </w:hyperlink>
        </w:p>
        <w:p w14:paraId="032AED96" w14:textId="4F22CD1E" w:rsidR="00815270" w:rsidRDefault="00815270">
          <w:pPr>
            <w:pStyle w:val="TOC2"/>
            <w:rPr>
              <w:rFonts w:asciiTheme="minorHAnsi" w:eastAsiaTheme="minorEastAsia" w:hAnsiTheme="minorHAnsi" w:cstheme="minorBidi"/>
              <w:b w:val="0"/>
              <w:bCs w:val="0"/>
              <w:color w:val="auto"/>
              <w:sz w:val="24"/>
              <w:szCs w:val="24"/>
              <w:lang w:val="en-GB" w:eastAsia="en-GB"/>
            </w:rPr>
          </w:pPr>
          <w:hyperlink w:anchor="_Toc220507503" w:history="1">
            <w:r w:rsidRPr="00E739F5">
              <w:rPr>
                <w:rStyle w:val="Hyperlink"/>
              </w:rPr>
              <w:t>4.2</w:t>
            </w:r>
            <w:r>
              <w:rPr>
                <w:rFonts w:asciiTheme="minorHAnsi" w:eastAsiaTheme="minorEastAsia" w:hAnsiTheme="minorHAnsi" w:cstheme="minorBidi"/>
                <w:b w:val="0"/>
                <w:bCs w:val="0"/>
                <w:color w:val="auto"/>
                <w:sz w:val="24"/>
                <w:szCs w:val="24"/>
                <w:lang w:val="en-GB" w:eastAsia="en-GB"/>
              </w:rPr>
              <w:tab/>
            </w:r>
            <w:r w:rsidRPr="00E739F5">
              <w:rPr>
                <w:rStyle w:val="Hyperlink"/>
              </w:rPr>
              <w:t>Processos, produtos e funções</w:t>
            </w:r>
            <w:r>
              <w:rPr>
                <w:webHidden/>
              </w:rPr>
              <w:tab/>
            </w:r>
            <w:r>
              <w:rPr>
                <w:webHidden/>
              </w:rPr>
              <w:fldChar w:fldCharType="begin"/>
            </w:r>
            <w:r>
              <w:rPr>
                <w:webHidden/>
              </w:rPr>
              <w:instrText xml:space="preserve"> PAGEREF _Toc220507503 \h </w:instrText>
            </w:r>
            <w:r>
              <w:rPr>
                <w:webHidden/>
              </w:rPr>
            </w:r>
            <w:r>
              <w:rPr>
                <w:webHidden/>
              </w:rPr>
              <w:fldChar w:fldCharType="separate"/>
            </w:r>
            <w:r>
              <w:rPr>
                <w:webHidden/>
              </w:rPr>
              <w:t>17</w:t>
            </w:r>
            <w:r>
              <w:rPr>
                <w:webHidden/>
              </w:rPr>
              <w:fldChar w:fldCharType="end"/>
            </w:r>
          </w:hyperlink>
        </w:p>
        <w:p w14:paraId="20E937FC" w14:textId="4AE44950" w:rsidR="00815270" w:rsidRDefault="00815270">
          <w:pPr>
            <w:pStyle w:val="TOC3"/>
            <w:tabs>
              <w:tab w:val="left" w:pos="1200"/>
              <w:tab w:val="right" w:leader="dot" w:pos="9016"/>
            </w:tabs>
            <w:rPr>
              <w:rFonts w:asciiTheme="minorHAnsi" w:hAnsiTheme="minorHAnsi"/>
              <w:noProof/>
              <w:sz w:val="24"/>
              <w:lang w:val="en-GB" w:eastAsia="en-GB"/>
            </w:rPr>
          </w:pPr>
          <w:hyperlink w:anchor="_Toc220507504" w:history="1">
            <w:r w:rsidRPr="00E739F5">
              <w:rPr>
                <w:rStyle w:val="Hyperlink"/>
                <w:noProof/>
              </w:rPr>
              <w:t>2.2.1</w:t>
            </w:r>
            <w:r>
              <w:rPr>
                <w:rFonts w:asciiTheme="minorHAnsi" w:hAnsiTheme="minorHAnsi"/>
                <w:noProof/>
                <w:sz w:val="24"/>
                <w:lang w:val="en-GB" w:eastAsia="en-GB"/>
              </w:rPr>
              <w:tab/>
            </w:r>
            <w:r w:rsidRPr="00E739F5">
              <w:rPr>
                <w:rStyle w:val="Hyperlink"/>
                <w:noProof/>
              </w:rPr>
              <w:t>Produção nacional da manga</w:t>
            </w:r>
            <w:r>
              <w:rPr>
                <w:noProof/>
                <w:webHidden/>
              </w:rPr>
              <w:tab/>
            </w:r>
            <w:r>
              <w:rPr>
                <w:noProof/>
                <w:webHidden/>
              </w:rPr>
              <w:fldChar w:fldCharType="begin"/>
            </w:r>
            <w:r>
              <w:rPr>
                <w:noProof/>
                <w:webHidden/>
              </w:rPr>
              <w:instrText xml:space="preserve"> PAGEREF _Toc220507504 \h </w:instrText>
            </w:r>
            <w:r>
              <w:rPr>
                <w:noProof/>
                <w:webHidden/>
              </w:rPr>
            </w:r>
            <w:r>
              <w:rPr>
                <w:noProof/>
                <w:webHidden/>
              </w:rPr>
              <w:fldChar w:fldCharType="separate"/>
            </w:r>
            <w:r>
              <w:rPr>
                <w:noProof/>
                <w:webHidden/>
              </w:rPr>
              <w:t>17</w:t>
            </w:r>
            <w:r>
              <w:rPr>
                <w:noProof/>
                <w:webHidden/>
              </w:rPr>
              <w:fldChar w:fldCharType="end"/>
            </w:r>
          </w:hyperlink>
        </w:p>
        <w:p w14:paraId="2E1583A2" w14:textId="72FE68DC" w:rsidR="00815270" w:rsidRDefault="00815270">
          <w:pPr>
            <w:pStyle w:val="TOC3"/>
            <w:tabs>
              <w:tab w:val="left" w:pos="1200"/>
              <w:tab w:val="right" w:leader="dot" w:pos="9016"/>
            </w:tabs>
            <w:rPr>
              <w:rFonts w:asciiTheme="minorHAnsi" w:hAnsiTheme="minorHAnsi"/>
              <w:noProof/>
              <w:sz w:val="24"/>
              <w:lang w:val="en-GB" w:eastAsia="en-GB"/>
            </w:rPr>
          </w:pPr>
          <w:hyperlink w:anchor="_Toc220507505" w:history="1">
            <w:r w:rsidRPr="00E739F5">
              <w:rPr>
                <w:rStyle w:val="Hyperlink"/>
                <w:noProof/>
              </w:rPr>
              <w:t>2.2.2</w:t>
            </w:r>
            <w:r>
              <w:rPr>
                <w:rFonts w:asciiTheme="minorHAnsi" w:hAnsiTheme="minorHAnsi"/>
                <w:noProof/>
                <w:sz w:val="24"/>
                <w:lang w:val="en-GB" w:eastAsia="en-GB"/>
              </w:rPr>
              <w:tab/>
            </w:r>
            <w:r w:rsidRPr="00E739F5">
              <w:rPr>
                <w:rStyle w:val="Hyperlink"/>
                <w:noProof/>
              </w:rPr>
              <w:t>Comercialização</w:t>
            </w:r>
            <w:r>
              <w:rPr>
                <w:noProof/>
                <w:webHidden/>
              </w:rPr>
              <w:tab/>
            </w:r>
            <w:r>
              <w:rPr>
                <w:noProof/>
                <w:webHidden/>
              </w:rPr>
              <w:fldChar w:fldCharType="begin"/>
            </w:r>
            <w:r>
              <w:rPr>
                <w:noProof/>
                <w:webHidden/>
              </w:rPr>
              <w:instrText xml:space="preserve"> PAGEREF _Toc220507505 \h </w:instrText>
            </w:r>
            <w:r>
              <w:rPr>
                <w:noProof/>
                <w:webHidden/>
              </w:rPr>
            </w:r>
            <w:r>
              <w:rPr>
                <w:noProof/>
                <w:webHidden/>
              </w:rPr>
              <w:fldChar w:fldCharType="separate"/>
            </w:r>
            <w:r>
              <w:rPr>
                <w:noProof/>
                <w:webHidden/>
              </w:rPr>
              <w:t>20</w:t>
            </w:r>
            <w:r>
              <w:rPr>
                <w:noProof/>
                <w:webHidden/>
              </w:rPr>
              <w:fldChar w:fldCharType="end"/>
            </w:r>
          </w:hyperlink>
        </w:p>
        <w:p w14:paraId="0A67BA77" w14:textId="01C62141" w:rsidR="00815270" w:rsidRDefault="00815270">
          <w:pPr>
            <w:pStyle w:val="TOC3"/>
            <w:tabs>
              <w:tab w:val="left" w:pos="1200"/>
              <w:tab w:val="right" w:leader="dot" w:pos="9016"/>
            </w:tabs>
            <w:rPr>
              <w:rFonts w:asciiTheme="minorHAnsi" w:hAnsiTheme="minorHAnsi"/>
              <w:noProof/>
              <w:sz w:val="24"/>
              <w:lang w:val="en-GB" w:eastAsia="en-GB"/>
            </w:rPr>
          </w:pPr>
          <w:hyperlink w:anchor="_Toc220507506" w:history="1">
            <w:r w:rsidRPr="00E739F5">
              <w:rPr>
                <w:rStyle w:val="Hyperlink"/>
                <w:noProof/>
              </w:rPr>
              <w:t>2.2.3</w:t>
            </w:r>
            <w:r>
              <w:rPr>
                <w:rFonts w:asciiTheme="minorHAnsi" w:hAnsiTheme="minorHAnsi"/>
                <w:noProof/>
                <w:sz w:val="24"/>
                <w:lang w:val="en-GB" w:eastAsia="en-GB"/>
              </w:rPr>
              <w:tab/>
            </w:r>
            <w:r w:rsidRPr="00E739F5">
              <w:rPr>
                <w:rStyle w:val="Hyperlink"/>
                <w:noProof/>
              </w:rPr>
              <w:t>Transformação agroindustrial</w:t>
            </w:r>
            <w:r>
              <w:rPr>
                <w:noProof/>
                <w:webHidden/>
              </w:rPr>
              <w:tab/>
            </w:r>
            <w:r>
              <w:rPr>
                <w:noProof/>
                <w:webHidden/>
              </w:rPr>
              <w:fldChar w:fldCharType="begin"/>
            </w:r>
            <w:r>
              <w:rPr>
                <w:noProof/>
                <w:webHidden/>
              </w:rPr>
              <w:instrText xml:space="preserve"> PAGEREF _Toc220507506 \h </w:instrText>
            </w:r>
            <w:r>
              <w:rPr>
                <w:noProof/>
                <w:webHidden/>
              </w:rPr>
            </w:r>
            <w:r>
              <w:rPr>
                <w:noProof/>
                <w:webHidden/>
              </w:rPr>
              <w:fldChar w:fldCharType="separate"/>
            </w:r>
            <w:r>
              <w:rPr>
                <w:noProof/>
                <w:webHidden/>
              </w:rPr>
              <w:t>21</w:t>
            </w:r>
            <w:r>
              <w:rPr>
                <w:noProof/>
                <w:webHidden/>
              </w:rPr>
              <w:fldChar w:fldCharType="end"/>
            </w:r>
          </w:hyperlink>
        </w:p>
        <w:p w14:paraId="48692E30" w14:textId="132C000A" w:rsidR="00815270" w:rsidRDefault="00815270">
          <w:pPr>
            <w:pStyle w:val="TOC2"/>
            <w:rPr>
              <w:rFonts w:asciiTheme="minorHAnsi" w:eastAsiaTheme="minorEastAsia" w:hAnsiTheme="minorHAnsi" w:cstheme="minorBidi"/>
              <w:b w:val="0"/>
              <w:bCs w:val="0"/>
              <w:color w:val="auto"/>
              <w:sz w:val="24"/>
              <w:szCs w:val="24"/>
              <w:lang w:val="en-GB" w:eastAsia="en-GB"/>
            </w:rPr>
          </w:pPr>
          <w:hyperlink w:anchor="_Toc220507507" w:history="1">
            <w:r w:rsidRPr="00E739F5">
              <w:rPr>
                <w:rStyle w:val="Hyperlink"/>
                <w:rFonts w:eastAsia="Times New Roman"/>
              </w:rPr>
              <w:t>4.3</w:t>
            </w:r>
            <w:r>
              <w:rPr>
                <w:rFonts w:asciiTheme="minorHAnsi" w:eastAsiaTheme="minorEastAsia" w:hAnsiTheme="minorHAnsi" w:cstheme="minorBidi"/>
                <w:b w:val="0"/>
                <w:bCs w:val="0"/>
                <w:color w:val="auto"/>
                <w:sz w:val="24"/>
                <w:szCs w:val="24"/>
                <w:lang w:val="en-GB" w:eastAsia="en-GB"/>
              </w:rPr>
              <w:tab/>
            </w:r>
            <w:r w:rsidRPr="00E739F5">
              <w:rPr>
                <w:rStyle w:val="Hyperlink"/>
                <w:rFonts w:eastAsia="Times New Roman"/>
              </w:rPr>
              <w:t>Estrutura da Cadeia de Valor e das subcadeias regionais</w:t>
            </w:r>
            <w:r>
              <w:rPr>
                <w:webHidden/>
              </w:rPr>
              <w:tab/>
            </w:r>
            <w:r>
              <w:rPr>
                <w:webHidden/>
              </w:rPr>
              <w:fldChar w:fldCharType="begin"/>
            </w:r>
            <w:r>
              <w:rPr>
                <w:webHidden/>
              </w:rPr>
              <w:instrText xml:space="preserve"> PAGEREF _Toc220507507 \h </w:instrText>
            </w:r>
            <w:r>
              <w:rPr>
                <w:webHidden/>
              </w:rPr>
            </w:r>
            <w:r>
              <w:rPr>
                <w:webHidden/>
              </w:rPr>
              <w:fldChar w:fldCharType="separate"/>
            </w:r>
            <w:r>
              <w:rPr>
                <w:webHidden/>
              </w:rPr>
              <w:t>21</w:t>
            </w:r>
            <w:r>
              <w:rPr>
                <w:webHidden/>
              </w:rPr>
              <w:fldChar w:fldCharType="end"/>
            </w:r>
          </w:hyperlink>
        </w:p>
        <w:p w14:paraId="061DC1CE" w14:textId="1451CB1B" w:rsidR="00815270" w:rsidRDefault="00815270">
          <w:pPr>
            <w:pStyle w:val="TOC3"/>
            <w:tabs>
              <w:tab w:val="left" w:pos="1200"/>
              <w:tab w:val="right" w:leader="dot" w:pos="9016"/>
            </w:tabs>
            <w:rPr>
              <w:rFonts w:asciiTheme="minorHAnsi" w:hAnsiTheme="minorHAnsi"/>
              <w:noProof/>
              <w:sz w:val="24"/>
              <w:lang w:val="en-GB" w:eastAsia="en-GB"/>
            </w:rPr>
          </w:pPr>
          <w:hyperlink w:anchor="_Toc220507508" w:history="1">
            <w:r w:rsidRPr="00E739F5">
              <w:rPr>
                <w:rStyle w:val="Hyperlink"/>
                <w:noProof/>
              </w:rPr>
              <w:t>2.3.1</w:t>
            </w:r>
            <w:r>
              <w:rPr>
                <w:rFonts w:asciiTheme="minorHAnsi" w:hAnsiTheme="minorHAnsi"/>
                <w:noProof/>
                <w:sz w:val="24"/>
                <w:lang w:val="en-GB" w:eastAsia="en-GB"/>
              </w:rPr>
              <w:tab/>
            </w:r>
            <w:r w:rsidRPr="00E739F5">
              <w:rPr>
                <w:rStyle w:val="Hyperlink"/>
                <w:noProof/>
              </w:rPr>
              <w:t>Subcadeia da Manga da Região de Oio</w:t>
            </w:r>
            <w:r>
              <w:rPr>
                <w:noProof/>
                <w:webHidden/>
              </w:rPr>
              <w:tab/>
            </w:r>
            <w:r>
              <w:rPr>
                <w:noProof/>
                <w:webHidden/>
              </w:rPr>
              <w:fldChar w:fldCharType="begin"/>
            </w:r>
            <w:r>
              <w:rPr>
                <w:noProof/>
                <w:webHidden/>
              </w:rPr>
              <w:instrText xml:space="preserve"> PAGEREF _Toc220507508 \h </w:instrText>
            </w:r>
            <w:r>
              <w:rPr>
                <w:noProof/>
                <w:webHidden/>
              </w:rPr>
            </w:r>
            <w:r>
              <w:rPr>
                <w:noProof/>
                <w:webHidden/>
              </w:rPr>
              <w:fldChar w:fldCharType="separate"/>
            </w:r>
            <w:r>
              <w:rPr>
                <w:noProof/>
                <w:webHidden/>
              </w:rPr>
              <w:t>23</w:t>
            </w:r>
            <w:r>
              <w:rPr>
                <w:noProof/>
                <w:webHidden/>
              </w:rPr>
              <w:fldChar w:fldCharType="end"/>
            </w:r>
          </w:hyperlink>
        </w:p>
        <w:p w14:paraId="3EA0B18F" w14:textId="39C97ABE" w:rsidR="00815270" w:rsidRDefault="00815270">
          <w:pPr>
            <w:pStyle w:val="TOC3"/>
            <w:tabs>
              <w:tab w:val="left" w:pos="1200"/>
              <w:tab w:val="right" w:leader="dot" w:pos="9016"/>
            </w:tabs>
            <w:rPr>
              <w:rFonts w:asciiTheme="minorHAnsi" w:hAnsiTheme="minorHAnsi"/>
              <w:noProof/>
              <w:sz w:val="24"/>
              <w:lang w:val="en-GB" w:eastAsia="en-GB"/>
            </w:rPr>
          </w:pPr>
          <w:hyperlink w:anchor="_Toc220507509" w:history="1">
            <w:r w:rsidRPr="00E739F5">
              <w:rPr>
                <w:rStyle w:val="Hyperlink"/>
                <w:noProof/>
              </w:rPr>
              <w:t>2.3.2</w:t>
            </w:r>
            <w:r>
              <w:rPr>
                <w:rFonts w:asciiTheme="minorHAnsi" w:hAnsiTheme="minorHAnsi"/>
                <w:noProof/>
                <w:sz w:val="24"/>
                <w:lang w:val="en-GB" w:eastAsia="en-GB"/>
              </w:rPr>
              <w:tab/>
            </w:r>
            <w:r w:rsidRPr="00E739F5">
              <w:rPr>
                <w:rStyle w:val="Hyperlink"/>
                <w:noProof/>
              </w:rPr>
              <w:t>Subcadeia da Manga da região de Cacheu</w:t>
            </w:r>
            <w:r>
              <w:rPr>
                <w:noProof/>
                <w:webHidden/>
              </w:rPr>
              <w:tab/>
            </w:r>
            <w:r>
              <w:rPr>
                <w:noProof/>
                <w:webHidden/>
              </w:rPr>
              <w:fldChar w:fldCharType="begin"/>
            </w:r>
            <w:r>
              <w:rPr>
                <w:noProof/>
                <w:webHidden/>
              </w:rPr>
              <w:instrText xml:space="preserve"> PAGEREF _Toc220507509 \h </w:instrText>
            </w:r>
            <w:r>
              <w:rPr>
                <w:noProof/>
                <w:webHidden/>
              </w:rPr>
            </w:r>
            <w:r>
              <w:rPr>
                <w:noProof/>
                <w:webHidden/>
              </w:rPr>
              <w:fldChar w:fldCharType="separate"/>
            </w:r>
            <w:r>
              <w:rPr>
                <w:noProof/>
                <w:webHidden/>
              </w:rPr>
              <w:t>24</w:t>
            </w:r>
            <w:r>
              <w:rPr>
                <w:noProof/>
                <w:webHidden/>
              </w:rPr>
              <w:fldChar w:fldCharType="end"/>
            </w:r>
          </w:hyperlink>
        </w:p>
        <w:p w14:paraId="35C89DDB" w14:textId="3E91501D" w:rsidR="00815270" w:rsidRDefault="00815270">
          <w:pPr>
            <w:pStyle w:val="TOC3"/>
            <w:tabs>
              <w:tab w:val="left" w:pos="1200"/>
              <w:tab w:val="right" w:leader="dot" w:pos="9016"/>
            </w:tabs>
            <w:rPr>
              <w:rFonts w:asciiTheme="minorHAnsi" w:hAnsiTheme="minorHAnsi"/>
              <w:noProof/>
              <w:sz w:val="24"/>
              <w:lang w:val="en-GB" w:eastAsia="en-GB"/>
            </w:rPr>
          </w:pPr>
          <w:hyperlink w:anchor="_Toc220507510" w:history="1">
            <w:r w:rsidRPr="00E739F5">
              <w:rPr>
                <w:rStyle w:val="Hyperlink"/>
                <w:noProof/>
              </w:rPr>
              <w:t>2.3.3</w:t>
            </w:r>
            <w:r>
              <w:rPr>
                <w:rFonts w:asciiTheme="minorHAnsi" w:hAnsiTheme="minorHAnsi"/>
                <w:noProof/>
                <w:sz w:val="24"/>
                <w:lang w:val="en-GB" w:eastAsia="en-GB"/>
              </w:rPr>
              <w:tab/>
            </w:r>
            <w:r w:rsidRPr="00E739F5">
              <w:rPr>
                <w:rStyle w:val="Hyperlink"/>
                <w:noProof/>
              </w:rPr>
              <w:t>Subcadeia da região de Bafatá e resto do país</w:t>
            </w:r>
            <w:r>
              <w:rPr>
                <w:noProof/>
                <w:webHidden/>
              </w:rPr>
              <w:tab/>
            </w:r>
            <w:r>
              <w:rPr>
                <w:noProof/>
                <w:webHidden/>
              </w:rPr>
              <w:fldChar w:fldCharType="begin"/>
            </w:r>
            <w:r>
              <w:rPr>
                <w:noProof/>
                <w:webHidden/>
              </w:rPr>
              <w:instrText xml:space="preserve"> PAGEREF _Toc220507510 \h </w:instrText>
            </w:r>
            <w:r>
              <w:rPr>
                <w:noProof/>
                <w:webHidden/>
              </w:rPr>
            </w:r>
            <w:r>
              <w:rPr>
                <w:noProof/>
                <w:webHidden/>
              </w:rPr>
              <w:fldChar w:fldCharType="separate"/>
            </w:r>
            <w:r>
              <w:rPr>
                <w:noProof/>
                <w:webHidden/>
              </w:rPr>
              <w:t>26</w:t>
            </w:r>
            <w:r>
              <w:rPr>
                <w:noProof/>
                <w:webHidden/>
              </w:rPr>
              <w:fldChar w:fldCharType="end"/>
            </w:r>
          </w:hyperlink>
        </w:p>
        <w:p w14:paraId="6C5CAB67" w14:textId="166CB453" w:rsidR="00815270" w:rsidRDefault="00815270">
          <w:pPr>
            <w:pStyle w:val="TOC3"/>
            <w:tabs>
              <w:tab w:val="left" w:pos="1200"/>
              <w:tab w:val="right" w:leader="dot" w:pos="9016"/>
            </w:tabs>
            <w:rPr>
              <w:rFonts w:asciiTheme="minorHAnsi" w:hAnsiTheme="minorHAnsi"/>
              <w:noProof/>
              <w:sz w:val="24"/>
              <w:lang w:val="en-GB" w:eastAsia="en-GB"/>
            </w:rPr>
          </w:pPr>
          <w:hyperlink w:anchor="_Toc220507511" w:history="1">
            <w:r w:rsidRPr="00E739F5">
              <w:rPr>
                <w:rStyle w:val="Hyperlink"/>
                <w:noProof/>
              </w:rPr>
              <w:t>2.3.4</w:t>
            </w:r>
            <w:r>
              <w:rPr>
                <w:rFonts w:asciiTheme="minorHAnsi" w:hAnsiTheme="minorHAnsi"/>
                <w:noProof/>
                <w:sz w:val="24"/>
                <w:lang w:val="en-GB" w:eastAsia="en-GB"/>
              </w:rPr>
              <w:tab/>
            </w:r>
            <w:r w:rsidRPr="00E739F5">
              <w:rPr>
                <w:rStyle w:val="Hyperlink"/>
                <w:noProof/>
              </w:rPr>
              <w:t>Evolução da Cadeia de Valor da Manga na Guiné-Bissau de 2017 a 2025</w:t>
            </w:r>
            <w:r>
              <w:rPr>
                <w:noProof/>
                <w:webHidden/>
              </w:rPr>
              <w:tab/>
            </w:r>
            <w:r>
              <w:rPr>
                <w:noProof/>
                <w:webHidden/>
              </w:rPr>
              <w:fldChar w:fldCharType="begin"/>
            </w:r>
            <w:r>
              <w:rPr>
                <w:noProof/>
                <w:webHidden/>
              </w:rPr>
              <w:instrText xml:space="preserve"> PAGEREF _Toc220507511 \h </w:instrText>
            </w:r>
            <w:r>
              <w:rPr>
                <w:noProof/>
                <w:webHidden/>
              </w:rPr>
            </w:r>
            <w:r>
              <w:rPr>
                <w:noProof/>
                <w:webHidden/>
              </w:rPr>
              <w:fldChar w:fldCharType="separate"/>
            </w:r>
            <w:r>
              <w:rPr>
                <w:noProof/>
                <w:webHidden/>
              </w:rPr>
              <w:t>27</w:t>
            </w:r>
            <w:r>
              <w:rPr>
                <w:noProof/>
                <w:webHidden/>
              </w:rPr>
              <w:fldChar w:fldCharType="end"/>
            </w:r>
          </w:hyperlink>
        </w:p>
        <w:p w14:paraId="3A288E3F" w14:textId="570399AB" w:rsidR="00815270" w:rsidRDefault="00815270">
          <w:pPr>
            <w:pStyle w:val="TOC3"/>
            <w:tabs>
              <w:tab w:val="left" w:pos="1200"/>
              <w:tab w:val="right" w:leader="dot" w:pos="9016"/>
            </w:tabs>
            <w:rPr>
              <w:rFonts w:asciiTheme="minorHAnsi" w:hAnsiTheme="minorHAnsi"/>
              <w:noProof/>
              <w:sz w:val="24"/>
              <w:lang w:val="en-GB" w:eastAsia="en-GB"/>
            </w:rPr>
          </w:pPr>
          <w:hyperlink w:anchor="_Toc220507512" w:history="1">
            <w:r w:rsidRPr="00E739F5">
              <w:rPr>
                <w:rStyle w:val="Hyperlink"/>
                <w:noProof/>
              </w:rPr>
              <w:t>2.3.5</w:t>
            </w:r>
            <w:r>
              <w:rPr>
                <w:rFonts w:asciiTheme="minorHAnsi" w:hAnsiTheme="minorHAnsi"/>
                <w:noProof/>
                <w:sz w:val="24"/>
                <w:lang w:val="en-GB" w:eastAsia="en-GB"/>
              </w:rPr>
              <w:tab/>
            </w:r>
            <w:r w:rsidRPr="00E739F5">
              <w:rPr>
                <w:rStyle w:val="Hyperlink"/>
                <w:noProof/>
              </w:rPr>
              <w:t>Principais constrangimentos da Cadeia de Valor da Manga na Guiné-Bissau</w:t>
            </w:r>
            <w:r>
              <w:rPr>
                <w:noProof/>
                <w:webHidden/>
              </w:rPr>
              <w:tab/>
            </w:r>
            <w:r>
              <w:rPr>
                <w:noProof/>
                <w:webHidden/>
              </w:rPr>
              <w:fldChar w:fldCharType="begin"/>
            </w:r>
            <w:r>
              <w:rPr>
                <w:noProof/>
                <w:webHidden/>
              </w:rPr>
              <w:instrText xml:space="preserve"> PAGEREF _Toc220507512 \h </w:instrText>
            </w:r>
            <w:r>
              <w:rPr>
                <w:noProof/>
                <w:webHidden/>
              </w:rPr>
            </w:r>
            <w:r>
              <w:rPr>
                <w:noProof/>
                <w:webHidden/>
              </w:rPr>
              <w:fldChar w:fldCharType="separate"/>
            </w:r>
            <w:r>
              <w:rPr>
                <w:noProof/>
                <w:webHidden/>
              </w:rPr>
              <w:t>28</w:t>
            </w:r>
            <w:r>
              <w:rPr>
                <w:noProof/>
                <w:webHidden/>
              </w:rPr>
              <w:fldChar w:fldCharType="end"/>
            </w:r>
          </w:hyperlink>
        </w:p>
        <w:p w14:paraId="40E5DC3B" w14:textId="4F6B1F38" w:rsidR="00815270" w:rsidRDefault="00815270">
          <w:pPr>
            <w:pStyle w:val="TOC2"/>
            <w:rPr>
              <w:rFonts w:asciiTheme="minorHAnsi" w:eastAsiaTheme="minorEastAsia" w:hAnsiTheme="minorHAnsi" w:cstheme="minorBidi"/>
              <w:b w:val="0"/>
              <w:bCs w:val="0"/>
              <w:color w:val="auto"/>
              <w:sz w:val="24"/>
              <w:szCs w:val="24"/>
              <w:lang w:val="en-GB" w:eastAsia="en-GB"/>
            </w:rPr>
          </w:pPr>
          <w:hyperlink w:anchor="_Toc220507513" w:history="1">
            <w:r w:rsidRPr="00E739F5">
              <w:rPr>
                <w:rStyle w:val="Hyperlink"/>
                <w:rFonts w:eastAsia="Times New Roman"/>
              </w:rPr>
              <w:t>4.4</w:t>
            </w:r>
            <w:r>
              <w:rPr>
                <w:rFonts w:asciiTheme="minorHAnsi" w:eastAsiaTheme="minorEastAsia" w:hAnsiTheme="minorHAnsi" w:cstheme="minorBidi"/>
                <w:b w:val="0"/>
                <w:bCs w:val="0"/>
                <w:color w:val="auto"/>
                <w:sz w:val="24"/>
                <w:szCs w:val="24"/>
                <w:lang w:val="en-GB" w:eastAsia="en-GB"/>
              </w:rPr>
              <w:tab/>
            </w:r>
            <w:r w:rsidRPr="00E739F5">
              <w:rPr>
                <w:rStyle w:val="Hyperlink"/>
                <w:rFonts w:eastAsia="Times New Roman"/>
              </w:rPr>
              <w:t>Atualização da organização e governança da Cadeia de Valor da Manga</w:t>
            </w:r>
            <w:r>
              <w:rPr>
                <w:webHidden/>
              </w:rPr>
              <w:tab/>
            </w:r>
            <w:r>
              <w:rPr>
                <w:webHidden/>
              </w:rPr>
              <w:fldChar w:fldCharType="begin"/>
            </w:r>
            <w:r>
              <w:rPr>
                <w:webHidden/>
              </w:rPr>
              <w:instrText xml:space="preserve"> PAGEREF _Toc220507513 \h </w:instrText>
            </w:r>
            <w:r>
              <w:rPr>
                <w:webHidden/>
              </w:rPr>
            </w:r>
            <w:r>
              <w:rPr>
                <w:webHidden/>
              </w:rPr>
              <w:fldChar w:fldCharType="separate"/>
            </w:r>
            <w:r>
              <w:rPr>
                <w:webHidden/>
              </w:rPr>
              <w:t>28</w:t>
            </w:r>
            <w:r>
              <w:rPr>
                <w:webHidden/>
              </w:rPr>
              <w:fldChar w:fldCharType="end"/>
            </w:r>
          </w:hyperlink>
        </w:p>
        <w:p w14:paraId="4D3E9900" w14:textId="2BE0CF88" w:rsidR="00815270" w:rsidRDefault="00815270">
          <w:pPr>
            <w:pStyle w:val="TOC1"/>
            <w:rPr>
              <w:rFonts w:asciiTheme="minorHAnsi" w:hAnsiTheme="minorHAnsi" w:cstheme="minorBidi"/>
              <w:b w:val="0"/>
              <w:bCs w:val="0"/>
              <w:color w:val="auto"/>
              <w:lang w:val="en-GB" w:eastAsia="en-GB"/>
            </w:rPr>
          </w:pPr>
          <w:hyperlink w:anchor="_Toc220507514" w:history="1">
            <w:r w:rsidRPr="00E739F5">
              <w:rPr>
                <w:rStyle w:val="Hyperlink"/>
              </w:rPr>
              <w:t>3.</w:t>
            </w:r>
            <w:r>
              <w:rPr>
                <w:rFonts w:asciiTheme="minorHAnsi" w:hAnsiTheme="minorHAnsi" w:cstheme="minorBidi"/>
                <w:b w:val="0"/>
                <w:bCs w:val="0"/>
                <w:color w:val="auto"/>
                <w:lang w:val="en-GB" w:eastAsia="en-GB"/>
              </w:rPr>
              <w:tab/>
            </w:r>
            <w:r w:rsidRPr="00E739F5">
              <w:rPr>
                <w:rStyle w:val="Hyperlink"/>
              </w:rPr>
              <w:t>ANÁLISE ECONÓMICA</w:t>
            </w:r>
            <w:r>
              <w:rPr>
                <w:webHidden/>
              </w:rPr>
              <w:tab/>
            </w:r>
            <w:r>
              <w:rPr>
                <w:webHidden/>
              </w:rPr>
              <w:fldChar w:fldCharType="begin"/>
            </w:r>
            <w:r>
              <w:rPr>
                <w:webHidden/>
              </w:rPr>
              <w:instrText xml:space="preserve"> PAGEREF _Toc220507514 \h </w:instrText>
            </w:r>
            <w:r>
              <w:rPr>
                <w:webHidden/>
              </w:rPr>
            </w:r>
            <w:r>
              <w:rPr>
                <w:webHidden/>
              </w:rPr>
              <w:fldChar w:fldCharType="separate"/>
            </w:r>
            <w:r>
              <w:rPr>
                <w:webHidden/>
              </w:rPr>
              <w:t>32</w:t>
            </w:r>
            <w:r>
              <w:rPr>
                <w:webHidden/>
              </w:rPr>
              <w:fldChar w:fldCharType="end"/>
            </w:r>
          </w:hyperlink>
        </w:p>
        <w:p w14:paraId="75807F78" w14:textId="3F633989" w:rsidR="00815270" w:rsidRDefault="00815270">
          <w:pPr>
            <w:pStyle w:val="TOC2"/>
            <w:rPr>
              <w:rFonts w:asciiTheme="minorHAnsi" w:eastAsiaTheme="minorEastAsia" w:hAnsiTheme="minorHAnsi" w:cstheme="minorBidi"/>
              <w:b w:val="0"/>
              <w:bCs w:val="0"/>
              <w:color w:val="auto"/>
              <w:sz w:val="24"/>
              <w:szCs w:val="24"/>
              <w:lang w:val="en-GB" w:eastAsia="en-GB"/>
            </w:rPr>
          </w:pPr>
          <w:hyperlink w:anchor="_Toc220507515" w:history="1">
            <w:r w:rsidRPr="00E739F5">
              <w:rPr>
                <w:rStyle w:val="Hyperlink"/>
              </w:rPr>
              <w:t>3.1.</w:t>
            </w:r>
            <w:r>
              <w:rPr>
                <w:rFonts w:asciiTheme="minorHAnsi" w:eastAsiaTheme="minorEastAsia" w:hAnsiTheme="minorHAnsi" w:cstheme="minorBidi"/>
                <w:b w:val="0"/>
                <w:bCs w:val="0"/>
                <w:color w:val="auto"/>
                <w:sz w:val="24"/>
                <w:szCs w:val="24"/>
                <w:lang w:val="en-GB" w:eastAsia="en-GB"/>
              </w:rPr>
              <w:tab/>
            </w:r>
            <w:r w:rsidRPr="00E739F5">
              <w:rPr>
                <w:rStyle w:val="Hyperlink"/>
              </w:rPr>
              <w:t>Atores e fluxos para análise econômica</w:t>
            </w:r>
            <w:r>
              <w:rPr>
                <w:webHidden/>
              </w:rPr>
              <w:tab/>
            </w:r>
            <w:r>
              <w:rPr>
                <w:webHidden/>
              </w:rPr>
              <w:fldChar w:fldCharType="begin"/>
            </w:r>
            <w:r>
              <w:rPr>
                <w:webHidden/>
              </w:rPr>
              <w:instrText xml:space="preserve"> PAGEREF _Toc220507515 \h </w:instrText>
            </w:r>
            <w:r>
              <w:rPr>
                <w:webHidden/>
              </w:rPr>
            </w:r>
            <w:r>
              <w:rPr>
                <w:webHidden/>
              </w:rPr>
              <w:fldChar w:fldCharType="separate"/>
            </w:r>
            <w:r>
              <w:rPr>
                <w:webHidden/>
              </w:rPr>
              <w:t>32</w:t>
            </w:r>
            <w:r>
              <w:rPr>
                <w:webHidden/>
              </w:rPr>
              <w:fldChar w:fldCharType="end"/>
            </w:r>
          </w:hyperlink>
        </w:p>
        <w:p w14:paraId="5DA72311" w14:textId="79D7B71F" w:rsidR="00815270" w:rsidRDefault="00815270">
          <w:pPr>
            <w:pStyle w:val="TOC3"/>
            <w:tabs>
              <w:tab w:val="left" w:pos="1200"/>
              <w:tab w:val="right" w:leader="dot" w:pos="9016"/>
            </w:tabs>
            <w:rPr>
              <w:rFonts w:asciiTheme="minorHAnsi" w:hAnsiTheme="minorHAnsi"/>
              <w:noProof/>
              <w:sz w:val="24"/>
              <w:lang w:val="en-GB" w:eastAsia="en-GB"/>
            </w:rPr>
          </w:pPr>
          <w:hyperlink w:anchor="_Toc220507516" w:history="1">
            <w:r w:rsidRPr="00E739F5">
              <w:rPr>
                <w:rStyle w:val="Hyperlink"/>
                <w:noProof/>
              </w:rPr>
              <w:t>3.1.1</w:t>
            </w:r>
            <w:r>
              <w:rPr>
                <w:rFonts w:asciiTheme="minorHAnsi" w:hAnsiTheme="minorHAnsi"/>
                <w:noProof/>
                <w:sz w:val="24"/>
                <w:lang w:val="en-GB" w:eastAsia="en-GB"/>
              </w:rPr>
              <w:tab/>
            </w:r>
            <w:r w:rsidRPr="00E739F5">
              <w:rPr>
                <w:rStyle w:val="Hyperlink"/>
                <w:noProof/>
              </w:rPr>
              <w:t>Principais componentes da fileira</w:t>
            </w:r>
            <w:r>
              <w:rPr>
                <w:noProof/>
                <w:webHidden/>
              </w:rPr>
              <w:tab/>
            </w:r>
            <w:r>
              <w:rPr>
                <w:noProof/>
                <w:webHidden/>
              </w:rPr>
              <w:fldChar w:fldCharType="begin"/>
            </w:r>
            <w:r>
              <w:rPr>
                <w:noProof/>
                <w:webHidden/>
              </w:rPr>
              <w:instrText xml:space="preserve"> PAGEREF _Toc220507516 \h </w:instrText>
            </w:r>
            <w:r>
              <w:rPr>
                <w:noProof/>
                <w:webHidden/>
              </w:rPr>
            </w:r>
            <w:r>
              <w:rPr>
                <w:noProof/>
                <w:webHidden/>
              </w:rPr>
              <w:fldChar w:fldCharType="separate"/>
            </w:r>
            <w:r>
              <w:rPr>
                <w:noProof/>
                <w:webHidden/>
              </w:rPr>
              <w:t>32</w:t>
            </w:r>
            <w:r>
              <w:rPr>
                <w:noProof/>
                <w:webHidden/>
              </w:rPr>
              <w:fldChar w:fldCharType="end"/>
            </w:r>
          </w:hyperlink>
        </w:p>
        <w:p w14:paraId="6FF92268" w14:textId="04BBA431" w:rsidR="00815270" w:rsidRDefault="00815270">
          <w:pPr>
            <w:pStyle w:val="TOC3"/>
            <w:tabs>
              <w:tab w:val="left" w:pos="1200"/>
              <w:tab w:val="right" w:leader="dot" w:pos="9016"/>
            </w:tabs>
            <w:rPr>
              <w:rFonts w:asciiTheme="minorHAnsi" w:hAnsiTheme="minorHAnsi"/>
              <w:noProof/>
              <w:sz w:val="24"/>
              <w:lang w:val="en-GB" w:eastAsia="en-GB"/>
            </w:rPr>
          </w:pPr>
          <w:hyperlink w:anchor="_Toc220507517" w:history="1">
            <w:r w:rsidRPr="00E739F5">
              <w:rPr>
                <w:rStyle w:val="Hyperlink"/>
                <w:noProof/>
              </w:rPr>
              <w:t>3.1.2</w:t>
            </w:r>
            <w:r>
              <w:rPr>
                <w:rFonts w:asciiTheme="minorHAnsi" w:hAnsiTheme="minorHAnsi"/>
                <w:noProof/>
                <w:sz w:val="24"/>
                <w:lang w:val="en-GB" w:eastAsia="en-GB"/>
              </w:rPr>
              <w:tab/>
            </w:r>
            <w:r w:rsidRPr="00E739F5">
              <w:rPr>
                <w:rStyle w:val="Hyperlink"/>
                <w:noProof/>
              </w:rPr>
              <w:t>Informações econômicas</w:t>
            </w:r>
            <w:r>
              <w:rPr>
                <w:noProof/>
                <w:webHidden/>
              </w:rPr>
              <w:tab/>
            </w:r>
            <w:r>
              <w:rPr>
                <w:noProof/>
                <w:webHidden/>
              </w:rPr>
              <w:fldChar w:fldCharType="begin"/>
            </w:r>
            <w:r>
              <w:rPr>
                <w:noProof/>
                <w:webHidden/>
              </w:rPr>
              <w:instrText xml:space="preserve"> PAGEREF _Toc220507517 \h </w:instrText>
            </w:r>
            <w:r>
              <w:rPr>
                <w:noProof/>
                <w:webHidden/>
              </w:rPr>
            </w:r>
            <w:r>
              <w:rPr>
                <w:noProof/>
                <w:webHidden/>
              </w:rPr>
              <w:fldChar w:fldCharType="separate"/>
            </w:r>
            <w:r>
              <w:rPr>
                <w:noProof/>
                <w:webHidden/>
              </w:rPr>
              <w:t>33</w:t>
            </w:r>
            <w:r>
              <w:rPr>
                <w:noProof/>
                <w:webHidden/>
              </w:rPr>
              <w:fldChar w:fldCharType="end"/>
            </w:r>
          </w:hyperlink>
        </w:p>
        <w:p w14:paraId="43A9EAD0" w14:textId="04DF6A30" w:rsidR="00815270" w:rsidRDefault="00815270">
          <w:pPr>
            <w:pStyle w:val="TOC2"/>
            <w:rPr>
              <w:rFonts w:asciiTheme="minorHAnsi" w:eastAsiaTheme="minorEastAsia" w:hAnsiTheme="minorHAnsi" w:cstheme="minorBidi"/>
              <w:b w:val="0"/>
              <w:bCs w:val="0"/>
              <w:color w:val="auto"/>
              <w:sz w:val="24"/>
              <w:szCs w:val="24"/>
              <w:lang w:val="en-GB" w:eastAsia="en-GB"/>
            </w:rPr>
          </w:pPr>
          <w:hyperlink w:anchor="_Toc220507518" w:history="1">
            <w:r w:rsidRPr="00E739F5">
              <w:rPr>
                <w:rStyle w:val="Hyperlink"/>
              </w:rPr>
              <w:t>3.2.</w:t>
            </w:r>
            <w:r>
              <w:rPr>
                <w:rFonts w:asciiTheme="minorHAnsi" w:eastAsiaTheme="minorEastAsia" w:hAnsiTheme="minorHAnsi" w:cstheme="minorBidi"/>
                <w:b w:val="0"/>
                <w:bCs w:val="0"/>
                <w:color w:val="auto"/>
                <w:sz w:val="24"/>
                <w:szCs w:val="24"/>
                <w:lang w:val="en-GB" w:eastAsia="en-GB"/>
              </w:rPr>
              <w:tab/>
            </w:r>
            <w:r w:rsidRPr="00E739F5">
              <w:rPr>
                <w:rStyle w:val="Hyperlink"/>
              </w:rPr>
              <w:t>Rentabilidade e sustentabilidade para os atores</w:t>
            </w:r>
            <w:r>
              <w:rPr>
                <w:webHidden/>
              </w:rPr>
              <w:tab/>
            </w:r>
            <w:r>
              <w:rPr>
                <w:webHidden/>
              </w:rPr>
              <w:fldChar w:fldCharType="begin"/>
            </w:r>
            <w:r>
              <w:rPr>
                <w:webHidden/>
              </w:rPr>
              <w:instrText xml:space="preserve"> PAGEREF _Toc220507518 \h </w:instrText>
            </w:r>
            <w:r>
              <w:rPr>
                <w:webHidden/>
              </w:rPr>
            </w:r>
            <w:r>
              <w:rPr>
                <w:webHidden/>
              </w:rPr>
              <w:fldChar w:fldCharType="separate"/>
            </w:r>
            <w:r>
              <w:rPr>
                <w:webHidden/>
              </w:rPr>
              <w:t>36</w:t>
            </w:r>
            <w:r>
              <w:rPr>
                <w:webHidden/>
              </w:rPr>
              <w:fldChar w:fldCharType="end"/>
            </w:r>
          </w:hyperlink>
        </w:p>
        <w:p w14:paraId="68A2114A" w14:textId="3E3BE435" w:rsidR="00815270" w:rsidRDefault="00815270">
          <w:pPr>
            <w:pStyle w:val="TOC2"/>
            <w:rPr>
              <w:rFonts w:asciiTheme="minorHAnsi" w:eastAsiaTheme="minorEastAsia" w:hAnsiTheme="minorHAnsi" w:cstheme="minorBidi"/>
              <w:b w:val="0"/>
              <w:bCs w:val="0"/>
              <w:color w:val="auto"/>
              <w:sz w:val="24"/>
              <w:szCs w:val="24"/>
              <w:lang w:val="en-GB" w:eastAsia="en-GB"/>
            </w:rPr>
          </w:pPr>
          <w:hyperlink w:anchor="_Toc220507519" w:history="1">
            <w:r w:rsidRPr="00E739F5">
              <w:rPr>
                <w:rStyle w:val="Hyperlink"/>
              </w:rPr>
              <w:t>3.3.</w:t>
            </w:r>
            <w:r>
              <w:rPr>
                <w:rFonts w:asciiTheme="minorHAnsi" w:eastAsiaTheme="minorEastAsia" w:hAnsiTheme="minorHAnsi" w:cstheme="minorBidi"/>
                <w:b w:val="0"/>
                <w:bCs w:val="0"/>
                <w:color w:val="auto"/>
                <w:sz w:val="24"/>
                <w:szCs w:val="24"/>
                <w:lang w:val="en-GB" w:eastAsia="en-GB"/>
              </w:rPr>
              <w:tab/>
            </w:r>
            <w:r w:rsidRPr="00E739F5">
              <w:rPr>
                <w:rStyle w:val="Hyperlink"/>
              </w:rPr>
              <w:t>Consolidação das contas da CV</w:t>
            </w:r>
            <w:r>
              <w:rPr>
                <w:webHidden/>
              </w:rPr>
              <w:tab/>
            </w:r>
            <w:r>
              <w:rPr>
                <w:webHidden/>
              </w:rPr>
              <w:fldChar w:fldCharType="begin"/>
            </w:r>
            <w:r>
              <w:rPr>
                <w:webHidden/>
              </w:rPr>
              <w:instrText xml:space="preserve"> PAGEREF _Toc220507519 \h </w:instrText>
            </w:r>
            <w:r>
              <w:rPr>
                <w:webHidden/>
              </w:rPr>
            </w:r>
            <w:r>
              <w:rPr>
                <w:webHidden/>
              </w:rPr>
              <w:fldChar w:fldCharType="separate"/>
            </w:r>
            <w:r>
              <w:rPr>
                <w:webHidden/>
              </w:rPr>
              <w:t>37</w:t>
            </w:r>
            <w:r>
              <w:rPr>
                <w:webHidden/>
              </w:rPr>
              <w:fldChar w:fldCharType="end"/>
            </w:r>
          </w:hyperlink>
        </w:p>
        <w:p w14:paraId="2C7E3B05" w14:textId="394DBF8E" w:rsidR="00815270" w:rsidRDefault="00815270">
          <w:pPr>
            <w:pStyle w:val="TOC2"/>
            <w:rPr>
              <w:rFonts w:asciiTheme="minorHAnsi" w:eastAsiaTheme="minorEastAsia" w:hAnsiTheme="minorHAnsi" w:cstheme="minorBidi"/>
              <w:b w:val="0"/>
              <w:bCs w:val="0"/>
              <w:color w:val="auto"/>
              <w:sz w:val="24"/>
              <w:szCs w:val="24"/>
              <w:lang w:val="en-GB" w:eastAsia="en-GB"/>
            </w:rPr>
          </w:pPr>
          <w:hyperlink w:anchor="_Toc220507520" w:history="1">
            <w:r w:rsidRPr="00E739F5">
              <w:rPr>
                <w:rStyle w:val="Hyperlink"/>
              </w:rPr>
              <w:t>3.4.</w:t>
            </w:r>
            <w:r>
              <w:rPr>
                <w:rFonts w:asciiTheme="minorHAnsi" w:eastAsiaTheme="minorEastAsia" w:hAnsiTheme="minorHAnsi" w:cstheme="minorBidi"/>
                <w:b w:val="0"/>
                <w:bCs w:val="0"/>
                <w:color w:val="auto"/>
                <w:sz w:val="24"/>
                <w:szCs w:val="24"/>
                <w:lang w:val="en-GB" w:eastAsia="en-GB"/>
              </w:rPr>
              <w:tab/>
            </w:r>
            <w:r w:rsidRPr="00E739F5">
              <w:rPr>
                <w:rStyle w:val="Hyperlink"/>
              </w:rPr>
              <w:t>Efeitos da CV na economia nacional</w:t>
            </w:r>
            <w:r>
              <w:rPr>
                <w:webHidden/>
              </w:rPr>
              <w:tab/>
            </w:r>
            <w:r>
              <w:rPr>
                <w:webHidden/>
              </w:rPr>
              <w:fldChar w:fldCharType="begin"/>
            </w:r>
            <w:r>
              <w:rPr>
                <w:webHidden/>
              </w:rPr>
              <w:instrText xml:space="preserve"> PAGEREF _Toc220507520 \h </w:instrText>
            </w:r>
            <w:r>
              <w:rPr>
                <w:webHidden/>
              </w:rPr>
            </w:r>
            <w:r>
              <w:rPr>
                <w:webHidden/>
              </w:rPr>
              <w:fldChar w:fldCharType="separate"/>
            </w:r>
            <w:r>
              <w:rPr>
                <w:webHidden/>
              </w:rPr>
              <w:t>38</w:t>
            </w:r>
            <w:r>
              <w:rPr>
                <w:webHidden/>
              </w:rPr>
              <w:fldChar w:fldCharType="end"/>
            </w:r>
          </w:hyperlink>
        </w:p>
        <w:p w14:paraId="01AB0151" w14:textId="698E9CC3" w:rsidR="00815270" w:rsidRDefault="00815270">
          <w:pPr>
            <w:pStyle w:val="TOC2"/>
            <w:rPr>
              <w:rFonts w:asciiTheme="minorHAnsi" w:eastAsiaTheme="minorEastAsia" w:hAnsiTheme="minorHAnsi" w:cstheme="minorBidi"/>
              <w:b w:val="0"/>
              <w:bCs w:val="0"/>
              <w:color w:val="auto"/>
              <w:sz w:val="24"/>
              <w:szCs w:val="24"/>
              <w:lang w:val="en-GB" w:eastAsia="en-GB"/>
            </w:rPr>
          </w:pPr>
          <w:hyperlink w:anchor="_Toc220507521" w:history="1">
            <w:r w:rsidRPr="00E739F5">
              <w:rPr>
                <w:rStyle w:val="Hyperlink"/>
              </w:rPr>
              <w:t>3.5.</w:t>
            </w:r>
            <w:r>
              <w:rPr>
                <w:rFonts w:asciiTheme="minorHAnsi" w:eastAsiaTheme="minorEastAsia" w:hAnsiTheme="minorHAnsi" w:cstheme="minorBidi"/>
                <w:b w:val="0"/>
                <w:bCs w:val="0"/>
                <w:color w:val="auto"/>
                <w:sz w:val="24"/>
                <w:szCs w:val="24"/>
                <w:lang w:val="en-GB" w:eastAsia="en-GB"/>
              </w:rPr>
              <w:tab/>
            </w:r>
            <w:r w:rsidRPr="00E739F5">
              <w:rPr>
                <w:rStyle w:val="Hyperlink"/>
              </w:rPr>
              <w:t>Distribuição da renda</w:t>
            </w:r>
            <w:r>
              <w:rPr>
                <w:webHidden/>
              </w:rPr>
              <w:tab/>
            </w:r>
            <w:r>
              <w:rPr>
                <w:webHidden/>
              </w:rPr>
              <w:fldChar w:fldCharType="begin"/>
            </w:r>
            <w:r>
              <w:rPr>
                <w:webHidden/>
              </w:rPr>
              <w:instrText xml:space="preserve"> PAGEREF _Toc220507521 \h </w:instrText>
            </w:r>
            <w:r>
              <w:rPr>
                <w:webHidden/>
              </w:rPr>
            </w:r>
            <w:r>
              <w:rPr>
                <w:webHidden/>
              </w:rPr>
              <w:fldChar w:fldCharType="separate"/>
            </w:r>
            <w:r>
              <w:rPr>
                <w:webHidden/>
              </w:rPr>
              <w:t>39</w:t>
            </w:r>
            <w:r>
              <w:rPr>
                <w:webHidden/>
              </w:rPr>
              <w:fldChar w:fldCharType="end"/>
            </w:r>
          </w:hyperlink>
        </w:p>
        <w:p w14:paraId="185E3361" w14:textId="4AEBB515" w:rsidR="00815270" w:rsidRDefault="00815270">
          <w:pPr>
            <w:pStyle w:val="TOC2"/>
            <w:rPr>
              <w:rFonts w:asciiTheme="minorHAnsi" w:eastAsiaTheme="minorEastAsia" w:hAnsiTheme="minorHAnsi" w:cstheme="minorBidi"/>
              <w:b w:val="0"/>
              <w:bCs w:val="0"/>
              <w:color w:val="auto"/>
              <w:sz w:val="24"/>
              <w:szCs w:val="24"/>
              <w:lang w:val="en-GB" w:eastAsia="en-GB"/>
            </w:rPr>
          </w:pPr>
          <w:hyperlink w:anchor="_Toc220507522" w:history="1">
            <w:r w:rsidRPr="00E739F5">
              <w:rPr>
                <w:rStyle w:val="Hyperlink"/>
              </w:rPr>
              <w:t>3.6.</w:t>
            </w:r>
            <w:r>
              <w:rPr>
                <w:rFonts w:asciiTheme="minorHAnsi" w:eastAsiaTheme="minorEastAsia" w:hAnsiTheme="minorHAnsi" w:cstheme="minorBidi"/>
                <w:b w:val="0"/>
                <w:bCs w:val="0"/>
                <w:color w:val="auto"/>
                <w:sz w:val="24"/>
                <w:szCs w:val="24"/>
                <w:lang w:val="en-GB" w:eastAsia="en-GB"/>
              </w:rPr>
              <w:tab/>
            </w:r>
            <w:r w:rsidRPr="00E739F5">
              <w:rPr>
                <w:rStyle w:val="Hyperlink"/>
              </w:rPr>
              <w:t>Distribuição do valor agregado a nível regional</w:t>
            </w:r>
            <w:r>
              <w:rPr>
                <w:webHidden/>
              </w:rPr>
              <w:tab/>
            </w:r>
            <w:r>
              <w:rPr>
                <w:webHidden/>
              </w:rPr>
              <w:fldChar w:fldCharType="begin"/>
            </w:r>
            <w:r>
              <w:rPr>
                <w:webHidden/>
              </w:rPr>
              <w:instrText xml:space="preserve"> PAGEREF _Toc220507522 \h </w:instrText>
            </w:r>
            <w:r>
              <w:rPr>
                <w:webHidden/>
              </w:rPr>
            </w:r>
            <w:r>
              <w:rPr>
                <w:webHidden/>
              </w:rPr>
              <w:fldChar w:fldCharType="separate"/>
            </w:r>
            <w:r>
              <w:rPr>
                <w:webHidden/>
              </w:rPr>
              <w:t>40</w:t>
            </w:r>
            <w:r>
              <w:rPr>
                <w:webHidden/>
              </w:rPr>
              <w:fldChar w:fldCharType="end"/>
            </w:r>
          </w:hyperlink>
        </w:p>
        <w:p w14:paraId="70E5D77F" w14:textId="3435395A" w:rsidR="00815270" w:rsidRDefault="00815270">
          <w:pPr>
            <w:pStyle w:val="TOC2"/>
            <w:rPr>
              <w:rFonts w:asciiTheme="minorHAnsi" w:eastAsiaTheme="minorEastAsia" w:hAnsiTheme="minorHAnsi" w:cstheme="minorBidi"/>
              <w:b w:val="0"/>
              <w:bCs w:val="0"/>
              <w:color w:val="auto"/>
              <w:sz w:val="24"/>
              <w:szCs w:val="24"/>
              <w:lang w:val="en-GB" w:eastAsia="en-GB"/>
            </w:rPr>
          </w:pPr>
          <w:hyperlink w:anchor="_Toc220507523" w:history="1">
            <w:r w:rsidRPr="00E739F5">
              <w:rPr>
                <w:rStyle w:val="Hyperlink"/>
              </w:rPr>
              <w:t>3.7.</w:t>
            </w:r>
            <w:r>
              <w:rPr>
                <w:rFonts w:asciiTheme="minorHAnsi" w:eastAsiaTheme="minorEastAsia" w:hAnsiTheme="minorHAnsi" w:cstheme="minorBidi"/>
                <w:b w:val="0"/>
                <w:bCs w:val="0"/>
                <w:color w:val="auto"/>
                <w:sz w:val="24"/>
                <w:szCs w:val="24"/>
                <w:lang w:val="en-GB" w:eastAsia="en-GB"/>
              </w:rPr>
              <w:tab/>
            </w:r>
            <w:r w:rsidRPr="00E739F5">
              <w:rPr>
                <w:rStyle w:val="Hyperlink"/>
              </w:rPr>
              <w:t>Emprego gerado</w:t>
            </w:r>
            <w:r>
              <w:rPr>
                <w:webHidden/>
              </w:rPr>
              <w:tab/>
            </w:r>
            <w:r>
              <w:rPr>
                <w:webHidden/>
              </w:rPr>
              <w:fldChar w:fldCharType="begin"/>
            </w:r>
            <w:r>
              <w:rPr>
                <w:webHidden/>
              </w:rPr>
              <w:instrText xml:space="preserve"> PAGEREF _Toc220507523 \h </w:instrText>
            </w:r>
            <w:r>
              <w:rPr>
                <w:webHidden/>
              </w:rPr>
            </w:r>
            <w:r>
              <w:rPr>
                <w:webHidden/>
              </w:rPr>
              <w:fldChar w:fldCharType="separate"/>
            </w:r>
            <w:r>
              <w:rPr>
                <w:webHidden/>
              </w:rPr>
              <w:t>40</w:t>
            </w:r>
            <w:r>
              <w:rPr>
                <w:webHidden/>
              </w:rPr>
              <w:fldChar w:fldCharType="end"/>
            </w:r>
          </w:hyperlink>
        </w:p>
        <w:p w14:paraId="3C890A04" w14:textId="2924FD2C" w:rsidR="00815270" w:rsidRDefault="00815270">
          <w:pPr>
            <w:pStyle w:val="TOC1"/>
            <w:rPr>
              <w:rFonts w:asciiTheme="minorHAnsi" w:hAnsiTheme="minorHAnsi" w:cstheme="minorBidi"/>
              <w:b w:val="0"/>
              <w:bCs w:val="0"/>
              <w:color w:val="auto"/>
              <w:lang w:val="en-GB" w:eastAsia="en-GB"/>
            </w:rPr>
          </w:pPr>
          <w:hyperlink w:anchor="_Toc220507524" w:history="1">
            <w:r w:rsidRPr="00E739F5">
              <w:rPr>
                <w:rStyle w:val="Hyperlink"/>
              </w:rPr>
              <w:t>4.</w:t>
            </w:r>
            <w:r>
              <w:rPr>
                <w:rFonts w:asciiTheme="minorHAnsi" w:hAnsiTheme="minorHAnsi" w:cstheme="minorBidi"/>
                <w:b w:val="0"/>
                <w:bCs w:val="0"/>
                <w:color w:val="auto"/>
                <w:lang w:val="en-GB" w:eastAsia="en-GB"/>
              </w:rPr>
              <w:tab/>
            </w:r>
            <w:r w:rsidRPr="00E739F5">
              <w:rPr>
                <w:rStyle w:val="Hyperlink"/>
              </w:rPr>
              <w:t>ANÁLISE AMBIENTAL</w:t>
            </w:r>
            <w:r>
              <w:rPr>
                <w:webHidden/>
              </w:rPr>
              <w:tab/>
            </w:r>
            <w:r>
              <w:rPr>
                <w:webHidden/>
              </w:rPr>
              <w:fldChar w:fldCharType="begin"/>
            </w:r>
            <w:r>
              <w:rPr>
                <w:webHidden/>
              </w:rPr>
              <w:instrText xml:space="preserve"> PAGEREF _Toc220507524 \h </w:instrText>
            </w:r>
            <w:r>
              <w:rPr>
                <w:webHidden/>
              </w:rPr>
            </w:r>
            <w:r>
              <w:rPr>
                <w:webHidden/>
              </w:rPr>
              <w:fldChar w:fldCharType="separate"/>
            </w:r>
            <w:r>
              <w:rPr>
                <w:webHidden/>
              </w:rPr>
              <w:t>41</w:t>
            </w:r>
            <w:r>
              <w:rPr>
                <w:webHidden/>
              </w:rPr>
              <w:fldChar w:fldCharType="end"/>
            </w:r>
          </w:hyperlink>
        </w:p>
        <w:p w14:paraId="7051FE10" w14:textId="30F6436F" w:rsidR="00815270" w:rsidRDefault="00815270">
          <w:pPr>
            <w:pStyle w:val="TOC2"/>
            <w:rPr>
              <w:rFonts w:asciiTheme="minorHAnsi" w:eastAsiaTheme="minorEastAsia" w:hAnsiTheme="minorHAnsi" w:cstheme="minorBidi"/>
              <w:b w:val="0"/>
              <w:bCs w:val="0"/>
              <w:color w:val="auto"/>
              <w:sz w:val="24"/>
              <w:szCs w:val="24"/>
              <w:lang w:val="en-GB" w:eastAsia="en-GB"/>
            </w:rPr>
          </w:pPr>
          <w:hyperlink w:anchor="_Toc220507525" w:history="1">
            <w:r w:rsidRPr="00E739F5">
              <w:rPr>
                <w:rStyle w:val="Hyperlink"/>
              </w:rPr>
              <w:t>4.1</w:t>
            </w:r>
            <w:r>
              <w:rPr>
                <w:rFonts w:asciiTheme="minorHAnsi" w:eastAsiaTheme="minorEastAsia" w:hAnsiTheme="minorHAnsi" w:cstheme="minorBidi"/>
                <w:b w:val="0"/>
                <w:bCs w:val="0"/>
                <w:color w:val="auto"/>
                <w:sz w:val="24"/>
                <w:szCs w:val="24"/>
                <w:lang w:val="en-GB" w:eastAsia="en-GB"/>
              </w:rPr>
              <w:tab/>
            </w:r>
            <w:r w:rsidRPr="00E739F5">
              <w:rPr>
                <w:rStyle w:val="Hyperlink"/>
              </w:rPr>
              <w:t>FITOSSANIDADE E GESTÃO DA MOSCA-DA-FRUTA NOS POMARES DE MANGA NA GUINÉ-BISSAU</w:t>
            </w:r>
            <w:r>
              <w:rPr>
                <w:webHidden/>
              </w:rPr>
              <w:tab/>
            </w:r>
            <w:r>
              <w:rPr>
                <w:webHidden/>
              </w:rPr>
              <w:fldChar w:fldCharType="begin"/>
            </w:r>
            <w:r>
              <w:rPr>
                <w:webHidden/>
              </w:rPr>
              <w:instrText xml:space="preserve"> PAGEREF _Toc220507525 \h </w:instrText>
            </w:r>
            <w:r>
              <w:rPr>
                <w:webHidden/>
              </w:rPr>
            </w:r>
            <w:r>
              <w:rPr>
                <w:webHidden/>
              </w:rPr>
              <w:fldChar w:fldCharType="separate"/>
            </w:r>
            <w:r>
              <w:rPr>
                <w:webHidden/>
              </w:rPr>
              <w:t>41</w:t>
            </w:r>
            <w:r>
              <w:rPr>
                <w:webHidden/>
              </w:rPr>
              <w:fldChar w:fldCharType="end"/>
            </w:r>
          </w:hyperlink>
        </w:p>
        <w:p w14:paraId="148C9803" w14:textId="1011A5D1" w:rsidR="00815270" w:rsidRDefault="00815270">
          <w:pPr>
            <w:pStyle w:val="TOC2"/>
            <w:rPr>
              <w:rFonts w:asciiTheme="minorHAnsi" w:eastAsiaTheme="minorEastAsia" w:hAnsiTheme="minorHAnsi" w:cstheme="minorBidi"/>
              <w:b w:val="0"/>
              <w:bCs w:val="0"/>
              <w:color w:val="auto"/>
              <w:sz w:val="24"/>
              <w:szCs w:val="24"/>
              <w:lang w:val="en-GB" w:eastAsia="en-GB"/>
            </w:rPr>
          </w:pPr>
          <w:hyperlink w:anchor="_Toc220507526" w:history="1">
            <w:r w:rsidRPr="00E739F5">
              <w:rPr>
                <w:rStyle w:val="Hyperlink"/>
              </w:rPr>
              <w:t>4.2</w:t>
            </w:r>
            <w:r>
              <w:rPr>
                <w:rFonts w:asciiTheme="minorHAnsi" w:eastAsiaTheme="minorEastAsia" w:hAnsiTheme="minorHAnsi" w:cstheme="minorBidi"/>
                <w:b w:val="0"/>
                <w:bCs w:val="0"/>
                <w:color w:val="auto"/>
                <w:sz w:val="24"/>
                <w:szCs w:val="24"/>
                <w:lang w:val="en-GB" w:eastAsia="en-GB"/>
              </w:rPr>
              <w:tab/>
            </w:r>
            <w:r w:rsidRPr="00E739F5">
              <w:rPr>
                <w:rStyle w:val="Hyperlink"/>
              </w:rPr>
              <w:t>PRODUÇÃO DE MANGA INTEGRADA EM SISTEMAS AGROFLORESTAIS</w:t>
            </w:r>
            <w:r>
              <w:rPr>
                <w:webHidden/>
              </w:rPr>
              <w:tab/>
            </w:r>
            <w:r>
              <w:rPr>
                <w:webHidden/>
              </w:rPr>
              <w:fldChar w:fldCharType="begin"/>
            </w:r>
            <w:r>
              <w:rPr>
                <w:webHidden/>
              </w:rPr>
              <w:instrText xml:space="preserve"> PAGEREF _Toc220507526 \h </w:instrText>
            </w:r>
            <w:r>
              <w:rPr>
                <w:webHidden/>
              </w:rPr>
            </w:r>
            <w:r>
              <w:rPr>
                <w:webHidden/>
              </w:rPr>
              <w:fldChar w:fldCharType="separate"/>
            </w:r>
            <w:r>
              <w:rPr>
                <w:webHidden/>
              </w:rPr>
              <w:t>42</w:t>
            </w:r>
            <w:r>
              <w:rPr>
                <w:webHidden/>
              </w:rPr>
              <w:fldChar w:fldCharType="end"/>
            </w:r>
          </w:hyperlink>
        </w:p>
        <w:p w14:paraId="70B069A7" w14:textId="4347164C" w:rsidR="00815270" w:rsidRDefault="00815270">
          <w:pPr>
            <w:pStyle w:val="TOC2"/>
            <w:rPr>
              <w:rFonts w:asciiTheme="minorHAnsi" w:eastAsiaTheme="minorEastAsia" w:hAnsiTheme="minorHAnsi" w:cstheme="minorBidi"/>
              <w:b w:val="0"/>
              <w:bCs w:val="0"/>
              <w:color w:val="auto"/>
              <w:sz w:val="24"/>
              <w:szCs w:val="24"/>
              <w:lang w:val="en-GB" w:eastAsia="en-GB"/>
            </w:rPr>
          </w:pPr>
          <w:hyperlink w:anchor="_Toc220507527" w:history="1">
            <w:r w:rsidRPr="00E739F5">
              <w:rPr>
                <w:rStyle w:val="Hyperlink"/>
              </w:rPr>
              <w:t>4.3</w:t>
            </w:r>
            <w:r>
              <w:rPr>
                <w:rFonts w:asciiTheme="minorHAnsi" w:eastAsiaTheme="minorEastAsia" w:hAnsiTheme="minorHAnsi" w:cstheme="minorBidi"/>
                <w:b w:val="0"/>
                <w:bCs w:val="0"/>
                <w:color w:val="auto"/>
                <w:sz w:val="24"/>
                <w:szCs w:val="24"/>
                <w:lang w:val="en-GB" w:eastAsia="en-GB"/>
              </w:rPr>
              <w:tab/>
            </w:r>
            <w:r w:rsidRPr="00E739F5">
              <w:rPr>
                <w:rStyle w:val="Hyperlink"/>
              </w:rPr>
              <w:t>O AMADURECIMENTO ARTIFICIAL DE MANGA NA GUINÉ-BISSAU</w:t>
            </w:r>
            <w:r>
              <w:rPr>
                <w:webHidden/>
              </w:rPr>
              <w:tab/>
            </w:r>
            <w:r>
              <w:rPr>
                <w:webHidden/>
              </w:rPr>
              <w:fldChar w:fldCharType="begin"/>
            </w:r>
            <w:r>
              <w:rPr>
                <w:webHidden/>
              </w:rPr>
              <w:instrText xml:space="preserve"> PAGEREF _Toc220507527 \h </w:instrText>
            </w:r>
            <w:r>
              <w:rPr>
                <w:webHidden/>
              </w:rPr>
            </w:r>
            <w:r>
              <w:rPr>
                <w:webHidden/>
              </w:rPr>
              <w:fldChar w:fldCharType="separate"/>
            </w:r>
            <w:r>
              <w:rPr>
                <w:webHidden/>
              </w:rPr>
              <w:t>44</w:t>
            </w:r>
            <w:r>
              <w:rPr>
                <w:webHidden/>
              </w:rPr>
              <w:fldChar w:fldCharType="end"/>
            </w:r>
          </w:hyperlink>
        </w:p>
        <w:p w14:paraId="3AD21F35" w14:textId="4236D166" w:rsidR="00815270" w:rsidRDefault="00815270">
          <w:pPr>
            <w:pStyle w:val="TOC2"/>
            <w:rPr>
              <w:rFonts w:asciiTheme="minorHAnsi" w:eastAsiaTheme="minorEastAsia" w:hAnsiTheme="minorHAnsi" w:cstheme="minorBidi"/>
              <w:b w:val="0"/>
              <w:bCs w:val="0"/>
              <w:color w:val="auto"/>
              <w:sz w:val="24"/>
              <w:szCs w:val="24"/>
              <w:lang w:val="en-GB" w:eastAsia="en-GB"/>
            </w:rPr>
          </w:pPr>
          <w:hyperlink w:anchor="_Toc220507528" w:history="1">
            <w:r w:rsidRPr="00E739F5">
              <w:rPr>
                <w:rStyle w:val="Hyperlink"/>
              </w:rPr>
              <w:t>4.4</w:t>
            </w:r>
            <w:r>
              <w:rPr>
                <w:rFonts w:asciiTheme="minorHAnsi" w:eastAsiaTheme="minorEastAsia" w:hAnsiTheme="minorHAnsi" w:cstheme="minorBidi"/>
                <w:b w:val="0"/>
                <w:bCs w:val="0"/>
                <w:color w:val="auto"/>
                <w:sz w:val="24"/>
                <w:szCs w:val="24"/>
                <w:lang w:val="en-GB" w:eastAsia="en-GB"/>
              </w:rPr>
              <w:tab/>
            </w:r>
            <w:r w:rsidRPr="00E739F5">
              <w:rPr>
                <w:rStyle w:val="Hyperlink"/>
              </w:rPr>
              <w:t>INVENTÁRIO DO CICLO DE VIDA (ICV)</w:t>
            </w:r>
            <w:r>
              <w:rPr>
                <w:webHidden/>
              </w:rPr>
              <w:tab/>
            </w:r>
            <w:r>
              <w:rPr>
                <w:webHidden/>
              </w:rPr>
              <w:fldChar w:fldCharType="begin"/>
            </w:r>
            <w:r>
              <w:rPr>
                <w:webHidden/>
              </w:rPr>
              <w:instrText xml:space="preserve"> PAGEREF _Toc220507528 \h </w:instrText>
            </w:r>
            <w:r>
              <w:rPr>
                <w:webHidden/>
              </w:rPr>
            </w:r>
            <w:r>
              <w:rPr>
                <w:webHidden/>
              </w:rPr>
              <w:fldChar w:fldCharType="separate"/>
            </w:r>
            <w:r>
              <w:rPr>
                <w:webHidden/>
              </w:rPr>
              <w:t>44</w:t>
            </w:r>
            <w:r>
              <w:rPr>
                <w:webHidden/>
              </w:rPr>
              <w:fldChar w:fldCharType="end"/>
            </w:r>
          </w:hyperlink>
        </w:p>
        <w:p w14:paraId="2A0411B1" w14:textId="08097C00" w:rsidR="00815270" w:rsidRDefault="00815270">
          <w:pPr>
            <w:pStyle w:val="TOC2"/>
            <w:rPr>
              <w:rFonts w:asciiTheme="minorHAnsi" w:eastAsiaTheme="minorEastAsia" w:hAnsiTheme="minorHAnsi" w:cstheme="minorBidi"/>
              <w:b w:val="0"/>
              <w:bCs w:val="0"/>
              <w:color w:val="auto"/>
              <w:sz w:val="24"/>
              <w:szCs w:val="24"/>
              <w:lang w:val="en-GB" w:eastAsia="en-GB"/>
            </w:rPr>
          </w:pPr>
          <w:hyperlink w:anchor="_Toc220507529" w:history="1">
            <w:r w:rsidRPr="00E739F5">
              <w:rPr>
                <w:rStyle w:val="Hyperlink"/>
              </w:rPr>
              <w:t>4.5</w:t>
            </w:r>
            <w:r>
              <w:rPr>
                <w:rFonts w:asciiTheme="minorHAnsi" w:eastAsiaTheme="minorEastAsia" w:hAnsiTheme="minorHAnsi" w:cstheme="minorBidi"/>
                <w:b w:val="0"/>
                <w:bCs w:val="0"/>
                <w:color w:val="auto"/>
                <w:sz w:val="24"/>
                <w:szCs w:val="24"/>
                <w:lang w:val="en-GB" w:eastAsia="en-GB"/>
              </w:rPr>
              <w:tab/>
            </w:r>
            <w:r w:rsidRPr="00E739F5">
              <w:rPr>
                <w:rStyle w:val="Hyperlink"/>
              </w:rPr>
              <w:t>RESULTADOS: AVALIAÇÃO DO IMPACTE DO CICLO DE VIDA</w:t>
            </w:r>
            <w:r>
              <w:rPr>
                <w:webHidden/>
              </w:rPr>
              <w:tab/>
            </w:r>
            <w:r>
              <w:rPr>
                <w:webHidden/>
              </w:rPr>
              <w:fldChar w:fldCharType="begin"/>
            </w:r>
            <w:r>
              <w:rPr>
                <w:webHidden/>
              </w:rPr>
              <w:instrText xml:space="preserve"> PAGEREF _Toc220507529 \h </w:instrText>
            </w:r>
            <w:r>
              <w:rPr>
                <w:webHidden/>
              </w:rPr>
            </w:r>
            <w:r>
              <w:rPr>
                <w:webHidden/>
              </w:rPr>
              <w:fldChar w:fldCharType="separate"/>
            </w:r>
            <w:r>
              <w:rPr>
                <w:webHidden/>
              </w:rPr>
              <w:t>45</w:t>
            </w:r>
            <w:r>
              <w:rPr>
                <w:webHidden/>
              </w:rPr>
              <w:fldChar w:fldCharType="end"/>
            </w:r>
          </w:hyperlink>
        </w:p>
        <w:p w14:paraId="79277A2E" w14:textId="28321BA1" w:rsidR="00815270" w:rsidRDefault="00815270">
          <w:pPr>
            <w:pStyle w:val="TOC3"/>
            <w:tabs>
              <w:tab w:val="right" w:leader="dot" w:pos="9016"/>
            </w:tabs>
            <w:rPr>
              <w:rFonts w:asciiTheme="minorHAnsi" w:hAnsiTheme="minorHAnsi"/>
              <w:noProof/>
              <w:sz w:val="24"/>
              <w:lang w:val="en-GB" w:eastAsia="en-GB"/>
            </w:rPr>
          </w:pPr>
          <w:hyperlink w:anchor="_Toc220507530" w:history="1">
            <w:r w:rsidRPr="00E739F5">
              <w:rPr>
                <w:rStyle w:val="Hyperlink"/>
                <w:noProof/>
              </w:rPr>
              <w:t>ALTERAÇÕES CLIMÁTICAS: POTENCIAL DE AQUECIMENTO GLOBAL</w:t>
            </w:r>
            <w:r>
              <w:rPr>
                <w:noProof/>
                <w:webHidden/>
              </w:rPr>
              <w:tab/>
            </w:r>
            <w:r>
              <w:rPr>
                <w:noProof/>
                <w:webHidden/>
              </w:rPr>
              <w:fldChar w:fldCharType="begin"/>
            </w:r>
            <w:r>
              <w:rPr>
                <w:noProof/>
                <w:webHidden/>
              </w:rPr>
              <w:instrText xml:space="preserve"> PAGEREF _Toc220507530 \h </w:instrText>
            </w:r>
            <w:r>
              <w:rPr>
                <w:noProof/>
                <w:webHidden/>
              </w:rPr>
            </w:r>
            <w:r>
              <w:rPr>
                <w:noProof/>
                <w:webHidden/>
              </w:rPr>
              <w:fldChar w:fldCharType="separate"/>
            </w:r>
            <w:r>
              <w:rPr>
                <w:noProof/>
                <w:webHidden/>
              </w:rPr>
              <w:t>50</w:t>
            </w:r>
            <w:r>
              <w:rPr>
                <w:noProof/>
                <w:webHidden/>
              </w:rPr>
              <w:fldChar w:fldCharType="end"/>
            </w:r>
          </w:hyperlink>
        </w:p>
        <w:p w14:paraId="7A873077" w14:textId="22BD1D4C" w:rsidR="00815270" w:rsidRDefault="00815270">
          <w:pPr>
            <w:pStyle w:val="TOC1"/>
            <w:rPr>
              <w:rFonts w:asciiTheme="minorHAnsi" w:hAnsiTheme="minorHAnsi" w:cstheme="minorBidi"/>
              <w:b w:val="0"/>
              <w:bCs w:val="0"/>
              <w:color w:val="auto"/>
              <w:lang w:val="en-GB" w:eastAsia="en-GB"/>
            </w:rPr>
          </w:pPr>
          <w:hyperlink w:anchor="_Toc220507531" w:history="1">
            <w:r w:rsidRPr="00E739F5">
              <w:rPr>
                <w:rStyle w:val="Hyperlink"/>
              </w:rPr>
              <w:t>5.</w:t>
            </w:r>
            <w:r>
              <w:rPr>
                <w:rFonts w:asciiTheme="minorHAnsi" w:hAnsiTheme="minorHAnsi" w:cstheme="minorBidi"/>
                <w:b w:val="0"/>
                <w:bCs w:val="0"/>
                <w:color w:val="auto"/>
                <w:lang w:val="en-GB" w:eastAsia="en-GB"/>
              </w:rPr>
              <w:tab/>
            </w:r>
            <w:r w:rsidRPr="00E739F5">
              <w:rPr>
                <w:rStyle w:val="Hyperlink"/>
              </w:rPr>
              <w:t>CENÁRIOS DO DESENVOLVIMENTO DA FILEIRA DA MANGA NA GUINÉ-BISSAU</w:t>
            </w:r>
            <w:r>
              <w:rPr>
                <w:webHidden/>
              </w:rPr>
              <w:tab/>
            </w:r>
            <w:r>
              <w:rPr>
                <w:webHidden/>
              </w:rPr>
              <w:fldChar w:fldCharType="begin"/>
            </w:r>
            <w:r>
              <w:rPr>
                <w:webHidden/>
              </w:rPr>
              <w:instrText xml:space="preserve"> PAGEREF _Toc220507531 \h </w:instrText>
            </w:r>
            <w:r>
              <w:rPr>
                <w:webHidden/>
              </w:rPr>
            </w:r>
            <w:r>
              <w:rPr>
                <w:webHidden/>
              </w:rPr>
              <w:fldChar w:fldCharType="separate"/>
            </w:r>
            <w:r>
              <w:rPr>
                <w:webHidden/>
              </w:rPr>
              <w:t>52</w:t>
            </w:r>
            <w:r>
              <w:rPr>
                <w:webHidden/>
              </w:rPr>
              <w:fldChar w:fldCharType="end"/>
            </w:r>
          </w:hyperlink>
        </w:p>
        <w:p w14:paraId="2F5B4BE1" w14:textId="13943ED1" w:rsidR="00815270" w:rsidRDefault="00815270">
          <w:pPr>
            <w:pStyle w:val="TOC2"/>
            <w:rPr>
              <w:rFonts w:asciiTheme="minorHAnsi" w:eastAsiaTheme="minorEastAsia" w:hAnsiTheme="minorHAnsi" w:cstheme="minorBidi"/>
              <w:b w:val="0"/>
              <w:bCs w:val="0"/>
              <w:color w:val="auto"/>
              <w:sz w:val="24"/>
              <w:szCs w:val="24"/>
              <w:lang w:val="en-GB" w:eastAsia="en-GB"/>
            </w:rPr>
          </w:pPr>
          <w:hyperlink w:anchor="_Toc220507532" w:history="1">
            <w:r w:rsidRPr="00E739F5">
              <w:rPr>
                <w:rStyle w:val="Hyperlink"/>
              </w:rPr>
              <w:t>5.1.</w:t>
            </w:r>
            <w:r>
              <w:rPr>
                <w:rFonts w:asciiTheme="minorHAnsi" w:eastAsiaTheme="minorEastAsia" w:hAnsiTheme="minorHAnsi" w:cstheme="minorBidi"/>
                <w:b w:val="0"/>
                <w:bCs w:val="0"/>
                <w:color w:val="auto"/>
                <w:sz w:val="24"/>
                <w:szCs w:val="24"/>
                <w:lang w:val="en-GB" w:eastAsia="en-GB"/>
              </w:rPr>
              <w:tab/>
            </w:r>
            <w:r w:rsidRPr="00E739F5">
              <w:rPr>
                <w:rStyle w:val="Hyperlink"/>
              </w:rPr>
              <w:t>Cenário de desenvolvimento via um grande transformador/agregador</w:t>
            </w:r>
            <w:r>
              <w:rPr>
                <w:webHidden/>
              </w:rPr>
              <w:tab/>
            </w:r>
            <w:r>
              <w:rPr>
                <w:webHidden/>
              </w:rPr>
              <w:fldChar w:fldCharType="begin"/>
            </w:r>
            <w:r>
              <w:rPr>
                <w:webHidden/>
              </w:rPr>
              <w:instrText xml:space="preserve"> PAGEREF _Toc220507532 \h </w:instrText>
            </w:r>
            <w:r>
              <w:rPr>
                <w:webHidden/>
              </w:rPr>
            </w:r>
            <w:r>
              <w:rPr>
                <w:webHidden/>
              </w:rPr>
              <w:fldChar w:fldCharType="separate"/>
            </w:r>
            <w:r>
              <w:rPr>
                <w:webHidden/>
              </w:rPr>
              <w:t>52</w:t>
            </w:r>
            <w:r>
              <w:rPr>
                <w:webHidden/>
              </w:rPr>
              <w:fldChar w:fldCharType="end"/>
            </w:r>
          </w:hyperlink>
        </w:p>
        <w:p w14:paraId="5C7AB9F3" w14:textId="14C0CE94" w:rsidR="00815270" w:rsidRDefault="00815270">
          <w:pPr>
            <w:pStyle w:val="TOC3"/>
            <w:tabs>
              <w:tab w:val="left" w:pos="1200"/>
              <w:tab w:val="right" w:leader="dot" w:pos="9016"/>
            </w:tabs>
            <w:rPr>
              <w:rFonts w:asciiTheme="minorHAnsi" w:hAnsiTheme="minorHAnsi"/>
              <w:noProof/>
              <w:sz w:val="24"/>
              <w:lang w:val="en-GB" w:eastAsia="en-GB"/>
            </w:rPr>
          </w:pPr>
          <w:hyperlink w:anchor="_Toc220507533" w:history="1">
            <w:r w:rsidRPr="00E739F5">
              <w:rPr>
                <w:rStyle w:val="Hyperlink"/>
                <w:noProof/>
              </w:rPr>
              <w:t>5.1.1</w:t>
            </w:r>
            <w:r>
              <w:rPr>
                <w:rFonts w:asciiTheme="minorHAnsi" w:hAnsiTheme="minorHAnsi"/>
                <w:noProof/>
                <w:sz w:val="24"/>
                <w:lang w:val="en-GB" w:eastAsia="en-GB"/>
              </w:rPr>
              <w:tab/>
            </w:r>
            <w:r w:rsidRPr="00E739F5">
              <w:rPr>
                <w:rStyle w:val="Hyperlink"/>
                <w:noProof/>
              </w:rPr>
              <w:t>Mais valia estratégica</w:t>
            </w:r>
            <w:r>
              <w:rPr>
                <w:noProof/>
                <w:webHidden/>
              </w:rPr>
              <w:tab/>
            </w:r>
            <w:r>
              <w:rPr>
                <w:noProof/>
                <w:webHidden/>
              </w:rPr>
              <w:fldChar w:fldCharType="begin"/>
            </w:r>
            <w:r>
              <w:rPr>
                <w:noProof/>
                <w:webHidden/>
              </w:rPr>
              <w:instrText xml:space="preserve"> PAGEREF _Toc220507533 \h </w:instrText>
            </w:r>
            <w:r>
              <w:rPr>
                <w:noProof/>
                <w:webHidden/>
              </w:rPr>
            </w:r>
            <w:r>
              <w:rPr>
                <w:noProof/>
                <w:webHidden/>
              </w:rPr>
              <w:fldChar w:fldCharType="separate"/>
            </w:r>
            <w:r>
              <w:rPr>
                <w:noProof/>
                <w:webHidden/>
              </w:rPr>
              <w:t>53</w:t>
            </w:r>
            <w:r>
              <w:rPr>
                <w:noProof/>
                <w:webHidden/>
              </w:rPr>
              <w:fldChar w:fldCharType="end"/>
            </w:r>
          </w:hyperlink>
        </w:p>
        <w:p w14:paraId="6B3C767E" w14:textId="79BC55E6" w:rsidR="00815270" w:rsidRDefault="00815270">
          <w:pPr>
            <w:pStyle w:val="TOC3"/>
            <w:tabs>
              <w:tab w:val="left" w:pos="1200"/>
              <w:tab w:val="right" w:leader="dot" w:pos="9016"/>
            </w:tabs>
            <w:rPr>
              <w:rFonts w:asciiTheme="minorHAnsi" w:hAnsiTheme="minorHAnsi"/>
              <w:noProof/>
              <w:sz w:val="24"/>
              <w:lang w:val="en-GB" w:eastAsia="en-GB"/>
            </w:rPr>
          </w:pPr>
          <w:hyperlink w:anchor="_Toc220507534" w:history="1">
            <w:r w:rsidRPr="00E739F5">
              <w:rPr>
                <w:rStyle w:val="Hyperlink"/>
                <w:noProof/>
              </w:rPr>
              <w:t>5.1.2</w:t>
            </w:r>
            <w:r>
              <w:rPr>
                <w:rFonts w:asciiTheme="minorHAnsi" w:hAnsiTheme="minorHAnsi"/>
                <w:noProof/>
                <w:sz w:val="24"/>
                <w:lang w:val="en-GB" w:eastAsia="en-GB"/>
              </w:rPr>
              <w:tab/>
            </w:r>
            <w:r w:rsidRPr="00E739F5">
              <w:rPr>
                <w:rStyle w:val="Hyperlink"/>
                <w:noProof/>
              </w:rPr>
              <w:t>Investimentos necessários</w:t>
            </w:r>
            <w:r>
              <w:rPr>
                <w:noProof/>
                <w:webHidden/>
              </w:rPr>
              <w:tab/>
            </w:r>
            <w:r>
              <w:rPr>
                <w:noProof/>
                <w:webHidden/>
              </w:rPr>
              <w:fldChar w:fldCharType="begin"/>
            </w:r>
            <w:r>
              <w:rPr>
                <w:noProof/>
                <w:webHidden/>
              </w:rPr>
              <w:instrText xml:space="preserve"> PAGEREF _Toc220507534 \h </w:instrText>
            </w:r>
            <w:r>
              <w:rPr>
                <w:noProof/>
                <w:webHidden/>
              </w:rPr>
            </w:r>
            <w:r>
              <w:rPr>
                <w:noProof/>
                <w:webHidden/>
              </w:rPr>
              <w:fldChar w:fldCharType="separate"/>
            </w:r>
            <w:r>
              <w:rPr>
                <w:noProof/>
                <w:webHidden/>
              </w:rPr>
              <w:t>53</w:t>
            </w:r>
            <w:r>
              <w:rPr>
                <w:noProof/>
                <w:webHidden/>
              </w:rPr>
              <w:fldChar w:fldCharType="end"/>
            </w:r>
          </w:hyperlink>
        </w:p>
        <w:p w14:paraId="099AAA1A" w14:textId="113361EB" w:rsidR="00815270" w:rsidRDefault="00815270">
          <w:pPr>
            <w:pStyle w:val="TOC3"/>
            <w:tabs>
              <w:tab w:val="left" w:pos="1200"/>
              <w:tab w:val="right" w:leader="dot" w:pos="9016"/>
            </w:tabs>
            <w:rPr>
              <w:rFonts w:asciiTheme="minorHAnsi" w:hAnsiTheme="minorHAnsi"/>
              <w:noProof/>
              <w:sz w:val="24"/>
              <w:lang w:val="en-GB" w:eastAsia="en-GB"/>
            </w:rPr>
          </w:pPr>
          <w:hyperlink w:anchor="_Toc220507535" w:history="1">
            <w:r w:rsidRPr="00E739F5">
              <w:rPr>
                <w:rStyle w:val="Hyperlink"/>
                <w:noProof/>
              </w:rPr>
              <w:t>5.1.3</w:t>
            </w:r>
            <w:r>
              <w:rPr>
                <w:rFonts w:asciiTheme="minorHAnsi" w:hAnsiTheme="minorHAnsi"/>
                <w:noProof/>
                <w:sz w:val="24"/>
                <w:lang w:val="en-GB" w:eastAsia="en-GB"/>
              </w:rPr>
              <w:tab/>
            </w:r>
            <w:r w:rsidRPr="00E739F5">
              <w:rPr>
                <w:rStyle w:val="Hyperlink"/>
                <w:noProof/>
              </w:rPr>
              <w:t>Resultados esperados</w:t>
            </w:r>
            <w:r>
              <w:rPr>
                <w:noProof/>
                <w:webHidden/>
              </w:rPr>
              <w:tab/>
            </w:r>
            <w:r>
              <w:rPr>
                <w:noProof/>
                <w:webHidden/>
              </w:rPr>
              <w:fldChar w:fldCharType="begin"/>
            </w:r>
            <w:r>
              <w:rPr>
                <w:noProof/>
                <w:webHidden/>
              </w:rPr>
              <w:instrText xml:space="preserve"> PAGEREF _Toc220507535 \h </w:instrText>
            </w:r>
            <w:r>
              <w:rPr>
                <w:noProof/>
                <w:webHidden/>
              </w:rPr>
            </w:r>
            <w:r>
              <w:rPr>
                <w:noProof/>
                <w:webHidden/>
              </w:rPr>
              <w:fldChar w:fldCharType="separate"/>
            </w:r>
            <w:r>
              <w:rPr>
                <w:noProof/>
                <w:webHidden/>
              </w:rPr>
              <w:t>53</w:t>
            </w:r>
            <w:r>
              <w:rPr>
                <w:noProof/>
                <w:webHidden/>
              </w:rPr>
              <w:fldChar w:fldCharType="end"/>
            </w:r>
          </w:hyperlink>
        </w:p>
        <w:p w14:paraId="0D7C5155" w14:textId="66AD285B" w:rsidR="00815270" w:rsidRDefault="00815270">
          <w:pPr>
            <w:pStyle w:val="TOC3"/>
            <w:tabs>
              <w:tab w:val="left" w:pos="1200"/>
              <w:tab w:val="right" w:leader="dot" w:pos="9016"/>
            </w:tabs>
            <w:rPr>
              <w:rFonts w:asciiTheme="minorHAnsi" w:hAnsiTheme="minorHAnsi"/>
              <w:noProof/>
              <w:sz w:val="24"/>
              <w:lang w:val="en-GB" w:eastAsia="en-GB"/>
            </w:rPr>
          </w:pPr>
          <w:hyperlink w:anchor="_Toc220507536" w:history="1">
            <w:r w:rsidRPr="00E739F5">
              <w:rPr>
                <w:rStyle w:val="Hyperlink"/>
                <w:noProof/>
              </w:rPr>
              <w:t>5.1.4</w:t>
            </w:r>
            <w:r>
              <w:rPr>
                <w:rFonts w:asciiTheme="minorHAnsi" w:hAnsiTheme="minorHAnsi"/>
                <w:noProof/>
                <w:sz w:val="24"/>
                <w:lang w:val="en-GB" w:eastAsia="en-GB"/>
              </w:rPr>
              <w:tab/>
            </w:r>
            <w:r w:rsidRPr="00E739F5">
              <w:rPr>
                <w:rStyle w:val="Hyperlink"/>
                <w:noProof/>
              </w:rPr>
              <w:t>Riscos</w:t>
            </w:r>
            <w:r>
              <w:rPr>
                <w:noProof/>
                <w:webHidden/>
              </w:rPr>
              <w:tab/>
            </w:r>
            <w:r>
              <w:rPr>
                <w:noProof/>
                <w:webHidden/>
              </w:rPr>
              <w:fldChar w:fldCharType="begin"/>
            </w:r>
            <w:r>
              <w:rPr>
                <w:noProof/>
                <w:webHidden/>
              </w:rPr>
              <w:instrText xml:space="preserve"> PAGEREF _Toc220507536 \h </w:instrText>
            </w:r>
            <w:r>
              <w:rPr>
                <w:noProof/>
                <w:webHidden/>
              </w:rPr>
            </w:r>
            <w:r>
              <w:rPr>
                <w:noProof/>
                <w:webHidden/>
              </w:rPr>
              <w:fldChar w:fldCharType="separate"/>
            </w:r>
            <w:r>
              <w:rPr>
                <w:noProof/>
                <w:webHidden/>
              </w:rPr>
              <w:t>53</w:t>
            </w:r>
            <w:r>
              <w:rPr>
                <w:noProof/>
                <w:webHidden/>
              </w:rPr>
              <w:fldChar w:fldCharType="end"/>
            </w:r>
          </w:hyperlink>
        </w:p>
        <w:p w14:paraId="7548F1F5" w14:textId="32A0CFF7" w:rsidR="00815270" w:rsidRDefault="00815270">
          <w:pPr>
            <w:pStyle w:val="TOC2"/>
            <w:rPr>
              <w:rFonts w:asciiTheme="minorHAnsi" w:eastAsiaTheme="minorEastAsia" w:hAnsiTheme="minorHAnsi" w:cstheme="minorBidi"/>
              <w:b w:val="0"/>
              <w:bCs w:val="0"/>
              <w:color w:val="auto"/>
              <w:sz w:val="24"/>
              <w:szCs w:val="24"/>
              <w:lang w:val="en-GB" w:eastAsia="en-GB"/>
            </w:rPr>
          </w:pPr>
          <w:hyperlink w:anchor="_Toc220507537" w:history="1">
            <w:r w:rsidRPr="00E739F5">
              <w:rPr>
                <w:rStyle w:val="Hyperlink"/>
              </w:rPr>
              <w:t>5.2.</w:t>
            </w:r>
            <w:r>
              <w:rPr>
                <w:rFonts w:asciiTheme="minorHAnsi" w:eastAsiaTheme="minorEastAsia" w:hAnsiTheme="minorHAnsi" w:cstheme="minorBidi"/>
                <w:b w:val="0"/>
                <w:bCs w:val="0"/>
                <w:color w:val="auto"/>
                <w:sz w:val="24"/>
                <w:szCs w:val="24"/>
                <w:lang w:val="en-GB" w:eastAsia="en-GB"/>
              </w:rPr>
              <w:tab/>
            </w:r>
            <w:r w:rsidRPr="00E739F5">
              <w:rPr>
                <w:rStyle w:val="Hyperlink"/>
              </w:rPr>
              <w:t>Cenário de exportação da manga fresca através de grandes produtores</w:t>
            </w:r>
            <w:r>
              <w:rPr>
                <w:webHidden/>
              </w:rPr>
              <w:tab/>
            </w:r>
            <w:r>
              <w:rPr>
                <w:webHidden/>
              </w:rPr>
              <w:fldChar w:fldCharType="begin"/>
            </w:r>
            <w:r>
              <w:rPr>
                <w:webHidden/>
              </w:rPr>
              <w:instrText xml:space="preserve"> PAGEREF _Toc220507537 \h </w:instrText>
            </w:r>
            <w:r>
              <w:rPr>
                <w:webHidden/>
              </w:rPr>
            </w:r>
            <w:r>
              <w:rPr>
                <w:webHidden/>
              </w:rPr>
              <w:fldChar w:fldCharType="separate"/>
            </w:r>
            <w:r>
              <w:rPr>
                <w:webHidden/>
              </w:rPr>
              <w:t>54</w:t>
            </w:r>
            <w:r>
              <w:rPr>
                <w:webHidden/>
              </w:rPr>
              <w:fldChar w:fldCharType="end"/>
            </w:r>
          </w:hyperlink>
        </w:p>
        <w:p w14:paraId="0A773A2B" w14:textId="49A2AB0F" w:rsidR="00815270" w:rsidRDefault="00815270">
          <w:pPr>
            <w:pStyle w:val="TOC3"/>
            <w:tabs>
              <w:tab w:val="left" w:pos="1200"/>
              <w:tab w:val="right" w:leader="dot" w:pos="9016"/>
            </w:tabs>
            <w:rPr>
              <w:rFonts w:asciiTheme="minorHAnsi" w:hAnsiTheme="minorHAnsi"/>
              <w:noProof/>
              <w:sz w:val="24"/>
              <w:lang w:val="en-GB" w:eastAsia="en-GB"/>
            </w:rPr>
          </w:pPr>
          <w:hyperlink w:anchor="_Toc220507538" w:history="1">
            <w:r w:rsidRPr="00E739F5">
              <w:rPr>
                <w:rStyle w:val="Hyperlink"/>
                <w:noProof/>
              </w:rPr>
              <w:t>5.2.1</w:t>
            </w:r>
            <w:r>
              <w:rPr>
                <w:rFonts w:asciiTheme="minorHAnsi" w:hAnsiTheme="minorHAnsi"/>
                <w:noProof/>
                <w:sz w:val="24"/>
                <w:lang w:val="en-GB" w:eastAsia="en-GB"/>
              </w:rPr>
              <w:tab/>
            </w:r>
            <w:r w:rsidRPr="00E739F5">
              <w:rPr>
                <w:rStyle w:val="Hyperlink"/>
                <w:noProof/>
              </w:rPr>
              <w:t>Mais-valia estratégica</w:t>
            </w:r>
            <w:r>
              <w:rPr>
                <w:noProof/>
                <w:webHidden/>
              </w:rPr>
              <w:tab/>
            </w:r>
            <w:r>
              <w:rPr>
                <w:noProof/>
                <w:webHidden/>
              </w:rPr>
              <w:fldChar w:fldCharType="begin"/>
            </w:r>
            <w:r>
              <w:rPr>
                <w:noProof/>
                <w:webHidden/>
              </w:rPr>
              <w:instrText xml:space="preserve"> PAGEREF _Toc220507538 \h </w:instrText>
            </w:r>
            <w:r>
              <w:rPr>
                <w:noProof/>
                <w:webHidden/>
              </w:rPr>
            </w:r>
            <w:r>
              <w:rPr>
                <w:noProof/>
                <w:webHidden/>
              </w:rPr>
              <w:fldChar w:fldCharType="separate"/>
            </w:r>
            <w:r>
              <w:rPr>
                <w:noProof/>
                <w:webHidden/>
              </w:rPr>
              <w:t>54</w:t>
            </w:r>
            <w:r>
              <w:rPr>
                <w:noProof/>
                <w:webHidden/>
              </w:rPr>
              <w:fldChar w:fldCharType="end"/>
            </w:r>
          </w:hyperlink>
        </w:p>
        <w:p w14:paraId="1AFF4855" w14:textId="2E26DF31" w:rsidR="00815270" w:rsidRDefault="00815270">
          <w:pPr>
            <w:pStyle w:val="TOC3"/>
            <w:tabs>
              <w:tab w:val="left" w:pos="1200"/>
              <w:tab w:val="right" w:leader="dot" w:pos="9016"/>
            </w:tabs>
            <w:rPr>
              <w:rFonts w:asciiTheme="minorHAnsi" w:hAnsiTheme="minorHAnsi"/>
              <w:noProof/>
              <w:sz w:val="24"/>
              <w:lang w:val="en-GB" w:eastAsia="en-GB"/>
            </w:rPr>
          </w:pPr>
          <w:hyperlink w:anchor="_Toc220507539" w:history="1">
            <w:r w:rsidRPr="00E739F5">
              <w:rPr>
                <w:rStyle w:val="Hyperlink"/>
                <w:noProof/>
              </w:rPr>
              <w:t>5.2.2</w:t>
            </w:r>
            <w:r>
              <w:rPr>
                <w:rFonts w:asciiTheme="minorHAnsi" w:hAnsiTheme="minorHAnsi"/>
                <w:noProof/>
                <w:sz w:val="24"/>
                <w:lang w:val="en-GB" w:eastAsia="en-GB"/>
              </w:rPr>
              <w:tab/>
            </w:r>
            <w:r w:rsidRPr="00E739F5">
              <w:rPr>
                <w:rStyle w:val="Hyperlink"/>
                <w:noProof/>
              </w:rPr>
              <w:t>Investimentos necessários</w:t>
            </w:r>
            <w:r>
              <w:rPr>
                <w:noProof/>
                <w:webHidden/>
              </w:rPr>
              <w:tab/>
            </w:r>
            <w:r>
              <w:rPr>
                <w:noProof/>
                <w:webHidden/>
              </w:rPr>
              <w:fldChar w:fldCharType="begin"/>
            </w:r>
            <w:r>
              <w:rPr>
                <w:noProof/>
                <w:webHidden/>
              </w:rPr>
              <w:instrText xml:space="preserve"> PAGEREF _Toc220507539 \h </w:instrText>
            </w:r>
            <w:r>
              <w:rPr>
                <w:noProof/>
                <w:webHidden/>
              </w:rPr>
            </w:r>
            <w:r>
              <w:rPr>
                <w:noProof/>
                <w:webHidden/>
              </w:rPr>
              <w:fldChar w:fldCharType="separate"/>
            </w:r>
            <w:r>
              <w:rPr>
                <w:noProof/>
                <w:webHidden/>
              </w:rPr>
              <w:t>54</w:t>
            </w:r>
            <w:r>
              <w:rPr>
                <w:noProof/>
                <w:webHidden/>
              </w:rPr>
              <w:fldChar w:fldCharType="end"/>
            </w:r>
          </w:hyperlink>
        </w:p>
        <w:p w14:paraId="4E86AE02" w14:textId="3CBC04DC" w:rsidR="00815270" w:rsidRDefault="00815270">
          <w:pPr>
            <w:pStyle w:val="TOC3"/>
            <w:tabs>
              <w:tab w:val="left" w:pos="1200"/>
              <w:tab w:val="right" w:leader="dot" w:pos="9016"/>
            </w:tabs>
            <w:rPr>
              <w:rFonts w:asciiTheme="minorHAnsi" w:hAnsiTheme="minorHAnsi"/>
              <w:noProof/>
              <w:sz w:val="24"/>
              <w:lang w:val="en-GB" w:eastAsia="en-GB"/>
            </w:rPr>
          </w:pPr>
          <w:hyperlink w:anchor="_Toc220507540" w:history="1">
            <w:r w:rsidRPr="00E739F5">
              <w:rPr>
                <w:rStyle w:val="Hyperlink"/>
                <w:noProof/>
              </w:rPr>
              <w:t>5.2.3</w:t>
            </w:r>
            <w:r>
              <w:rPr>
                <w:rFonts w:asciiTheme="minorHAnsi" w:hAnsiTheme="minorHAnsi"/>
                <w:noProof/>
                <w:sz w:val="24"/>
                <w:lang w:val="en-GB" w:eastAsia="en-GB"/>
              </w:rPr>
              <w:tab/>
            </w:r>
            <w:r w:rsidRPr="00E739F5">
              <w:rPr>
                <w:rStyle w:val="Hyperlink"/>
                <w:noProof/>
              </w:rPr>
              <w:t>Resultados esperados (3-5 anos)</w:t>
            </w:r>
            <w:r>
              <w:rPr>
                <w:noProof/>
                <w:webHidden/>
              </w:rPr>
              <w:tab/>
            </w:r>
            <w:r>
              <w:rPr>
                <w:noProof/>
                <w:webHidden/>
              </w:rPr>
              <w:fldChar w:fldCharType="begin"/>
            </w:r>
            <w:r>
              <w:rPr>
                <w:noProof/>
                <w:webHidden/>
              </w:rPr>
              <w:instrText xml:space="preserve"> PAGEREF _Toc220507540 \h </w:instrText>
            </w:r>
            <w:r>
              <w:rPr>
                <w:noProof/>
                <w:webHidden/>
              </w:rPr>
            </w:r>
            <w:r>
              <w:rPr>
                <w:noProof/>
                <w:webHidden/>
              </w:rPr>
              <w:fldChar w:fldCharType="separate"/>
            </w:r>
            <w:r>
              <w:rPr>
                <w:noProof/>
                <w:webHidden/>
              </w:rPr>
              <w:t>55</w:t>
            </w:r>
            <w:r>
              <w:rPr>
                <w:noProof/>
                <w:webHidden/>
              </w:rPr>
              <w:fldChar w:fldCharType="end"/>
            </w:r>
          </w:hyperlink>
        </w:p>
        <w:p w14:paraId="1FCE675C" w14:textId="444F55A1" w:rsidR="00815270" w:rsidRDefault="00815270">
          <w:pPr>
            <w:pStyle w:val="TOC3"/>
            <w:tabs>
              <w:tab w:val="left" w:pos="1200"/>
              <w:tab w:val="right" w:leader="dot" w:pos="9016"/>
            </w:tabs>
            <w:rPr>
              <w:rFonts w:asciiTheme="minorHAnsi" w:hAnsiTheme="minorHAnsi"/>
              <w:noProof/>
              <w:sz w:val="24"/>
              <w:lang w:val="en-GB" w:eastAsia="en-GB"/>
            </w:rPr>
          </w:pPr>
          <w:hyperlink w:anchor="_Toc220507541" w:history="1">
            <w:r w:rsidRPr="00E739F5">
              <w:rPr>
                <w:rStyle w:val="Hyperlink"/>
                <w:noProof/>
              </w:rPr>
              <w:t>5.2.4</w:t>
            </w:r>
            <w:r>
              <w:rPr>
                <w:rFonts w:asciiTheme="minorHAnsi" w:hAnsiTheme="minorHAnsi"/>
                <w:noProof/>
                <w:sz w:val="24"/>
                <w:lang w:val="en-GB" w:eastAsia="en-GB"/>
              </w:rPr>
              <w:tab/>
            </w:r>
            <w:r w:rsidRPr="00E739F5">
              <w:rPr>
                <w:rStyle w:val="Hyperlink"/>
                <w:noProof/>
              </w:rPr>
              <w:t>Riscos</w:t>
            </w:r>
            <w:r>
              <w:rPr>
                <w:noProof/>
                <w:webHidden/>
              </w:rPr>
              <w:tab/>
            </w:r>
            <w:r>
              <w:rPr>
                <w:noProof/>
                <w:webHidden/>
              </w:rPr>
              <w:fldChar w:fldCharType="begin"/>
            </w:r>
            <w:r>
              <w:rPr>
                <w:noProof/>
                <w:webHidden/>
              </w:rPr>
              <w:instrText xml:space="preserve"> PAGEREF _Toc220507541 \h </w:instrText>
            </w:r>
            <w:r>
              <w:rPr>
                <w:noProof/>
                <w:webHidden/>
              </w:rPr>
            </w:r>
            <w:r>
              <w:rPr>
                <w:noProof/>
                <w:webHidden/>
              </w:rPr>
              <w:fldChar w:fldCharType="separate"/>
            </w:r>
            <w:r>
              <w:rPr>
                <w:noProof/>
                <w:webHidden/>
              </w:rPr>
              <w:t>55</w:t>
            </w:r>
            <w:r>
              <w:rPr>
                <w:noProof/>
                <w:webHidden/>
              </w:rPr>
              <w:fldChar w:fldCharType="end"/>
            </w:r>
          </w:hyperlink>
        </w:p>
        <w:p w14:paraId="4C5FE5B9" w14:textId="12F13FBA" w:rsidR="00815270" w:rsidRDefault="00815270">
          <w:pPr>
            <w:pStyle w:val="TOC2"/>
            <w:rPr>
              <w:rFonts w:asciiTheme="minorHAnsi" w:eastAsiaTheme="minorEastAsia" w:hAnsiTheme="minorHAnsi" w:cstheme="minorBidi"/>
              <w:b w:val="0"/>
              <w:bCs w:val="0"/>
              <w:color w:val="auto"/>
              <w:sz w:val="24"/>
              <w:szCs w:val="24"/>
              <w:lang w:val="en-GB" w:eastAsia="en-GB"/>
            </w:rPr>
          </w:pPr>
          <w:hyperlink w:anchor="_Toc220507542" w:history="1">
            <w:r w:rsidRPr="00E739F5">
              <w:rPr>
                <w:rStyle w:val="Hyperlink"/>
              </w:rPr>
              <w:t>5.3.</w:t>
            </w:r>
            <w:r>
              <w:rPr>
                <w:rFonts w:asciiTheme="minorHAnsi" w:eastAsiaTheme="minorEastAsia" w:hAnsiTheme="minorHAnsi" w:cstheme="minorBidi"/>
                <w:b w:val="0"/>
                <w:bCs w:val="0"/>
                <w:color w:val="auto"/>
                <w:sz w:val="24"/>
                <w:szCs w:val="24"/>
                <w:lang w:val="en-GB" w:eastAsia="en-GB"/>
              </w:rPr>
              <w:tab/>
            </w:r>
            <w:r w:rsidRPr="00E739F5">
              <w:rPr>
                <w:rStyle w:val="Hyperlink"/>
              </w:rPr>
              <w:t>Cenário de organização de pequenos e médios produtores:</w:t>
            </w:r>
            <w:r>
              <w:rPr>
                <w:webHidden/>
              </w:rPr>
              <w:tab/>
            </w:r>
            <w:r>
              <w:rPr>
                <w:webHidden/>
              </w:rPr>
              <w:fldChar w:fldCharType="begin"/>
            </w:r>
            <w:r>
              <w:rPr>
                <w:webHidden/>
              </w:rPr>
              <w:instrText xml:space="preserve"> PAGEREF _Toc220507542 \h </w:instrText>
            </w:r>
            <w:r>
              <w:rPr>
                <w:webHidden/>
              </w:rPr>
            </w:r>
            <w:r>
              <w:rPr>
                <w:webHidden/>
              </w:rPr>
              <w:fldChar w:fldCharType="separate"/>
            </w:r>
            <w:r>
              <w:rPr>
                <w:webHidden/>
              </w:rPr>
              <w:t>55</w:t>
            </w:r>
            <w:r>
              <w:rPr>
                <w:webHidden/>
              </w:rPr>
              <w:fldChar w:fldCharType="end"/>
            </w:r>
          </w:hyperlink>
        </w:p>
        <w:p w14:paraId="15FCD7FB" w14:textId="7AFE76DB" w:rsidR="00815270" w:rsidRDefault="00815270">
          <w:pPr>
            <w:pStyle w:val="TOC3"/>
            <w:tabs>
              <w:tab w:val="left" w:pos="1200"/>
              <w:tab w:val="right" w:leader="dot" w:pos="9016"/>
            </w:tabs>
            <w:rPr>
              <w:rFonts w:asciiTheme="minorHAnsi" w:hAnsiTheme="minorHAnsi"/>
              <w:noProof/>
              <w:sz w:val="24"/>
              <w:lang w:val="en-GB" w:eastAsia="en-GB"/>
            </w:rPr>
          </w:pPr>
          <w:hyperlink w:anchor="_Toc220507543" w:history="1">
            <w:r w:rsidRPr="00E739F5">
              <w:rPr>
                <w:rStyle w:val="Hyperlink"/>
                <w:noProof/>
              </w:rPr>
              <w:t>5.3.1</w:t>
            </w:r>
            <w:r>
              <w:rPr>
                <w:rFonts w:asciiTheme="minorHAnsi" w:hAnsiTheme="minorHAnsi"/>
                <w:noProof/>
                <w:sz w:val="24"/>
                <w:lang w:val="en-GB" w:eastAsia="en-GB"/>
              </w:rPr>
              <w:tab/>
            </w:r>
            <w:r w:rsidRPr="00E739F5">
              <w:rPr>
                <w:rStyle w:val="Hyperlink"/>
                <w:noProof/>
              </w:rPr>
              <w:t>Mais-valia estratégica</w:t>
            </w:r>
            <w:r>
              <w:rPr>
                <w:noProof/>
                <w:webHidden/>
              </w:rPr>
              <w:tab/>
            </w:r>
            <w:r>
              <w:rPr>
                <w:noProof/>
                <w:webHidden/>
              </w:rPr>
              <w:fldChar w:fldCharType="begin"/>
            </w:r>
            <w:r>
              <w:rPr>
                <w:noProof/>
                <w:webHidden/>
              </w:rPr>
              <w:instrText xml:space="preserve"> PAGEREF _Toc220507543 \h </w:instrText>
            </w:r>
            <w:r>
              <w:rPr>
                <w:noProof/>
                <w:webHidden/>
              </w:rPr>
            </w:r>
            <w:r>
              <w:rPr>
                <w:noProof/>
                <w:webHidden/>
              </w:rPr>
              <w:fldChar w:fldCharType="separate"/>
            </w:r>
            <w:r>
              <w:rPr>
                <w:noProof/>
                <w:webHidden/>
              </w:rPr>
              <w:t>56</w:t>
            </w:r>
            <w:r>
              <w:rPr>
                <w:noProof/>
                <w:webHidden/>
              </w:rPr>
              <w:fldChar w:fldCharType="end"/>
            </w:r>
          </w:hyperlink>
        </w:p>
        <w:p w14:paraId="1FF66FA2" w14:textId="3EF77205" w:rsidR="00815270" w:rsidRDefault="00815270">
          <w:pPr>
            <w:pStyle w:val="TOC3"/>
            <w:tabs>
              <w:tab w:val="left" w:pos="1200"/>
              <w:tab w:val="right" w:leader="dot" w:pos="9016"/>
            </w:tabs>
            <w:rPr>
              <w:rFonts w:asciiTheme="minorHAnsi" w:hAnsiTheme="minorHAnsi"/>
              <w:noProof/>
              <w:sz w:val="24"/>
              <w:lang w:val="en-GB" w:eastAsia="en-GB"/>
            </w:rPr>
          </w:pPr>
          <w:hyperlink w:anchor="_Toc220507544" w:history="1">
            <w:r w:rsidRPr="00E739F5">
              <w:rPr>
                <w:rStyle w:val="Hyperlink"/>
                <w:noProof/>
              </w:rPr>
              <w:t>5.3.2</w:t>
            </w:r>
            <w:r>
              <w:rPr>
                <w:rFonts w:asciiTheme="minorHAnsi" w:hAnsiTheme="minorHAnsi"/>
                <w:noProof/>
                <w:sz w:val="24"/>
                <w:lang w:val="en-GB" w:eastAsia="en-GB"/>
              </w:rPr>
              <w:tab/>
            </w:r>
            <w:r w:rsidRPr="00E739F5">
              <w:rPr>
                <w:rStyle w:val="Hyperlink"/>
                <w:noProof/>
              </w:rPr>
              <w:t>Investimentos necessários</w:t>
            </w:r>
            <w:r>
              <w:rPr>
                <w:noProof/>
                <w:webHidden/>
              </w:rPr>
              <w:tab/>
            </w:r>
            <w:r>
              <w:rPr>
                <w:noProof/>
                <w:webHidden/>
              </w:rPr>
              <w:fldChar w:fldCharType="begin"/>
            </w:r>
            <w:r>
              <w:rPr>
                <w:noProof/>
                <w:webHidden/>
              </w:rPr>
              <w:instrText xml:space="preserve"> PAGEREF _Toc220507544 \h </w:instrText>
            </w:r>
            <w:r>
              <w:rPr>
                <w:noProof/>
                <w:webHidden/>
              </w:rPr>
            </w:r>
            <w:r>
              <w:rPr>
                <w:noProof/>
                <w:webHidden/>
              </w:rPr>
              <w:fldChar w:fldCharType="separate"/>
            </w:r>
            <w:r>
              <w:rPr>
                <w:noProof/>
                <w:webHidden/>
              </w:rPr>
              <w:t>56</w:t>
            </w:r>
            <w:r>
              <w:rPr>
                <w:noProof/>
                <w:webHidden/>
              </w:rPr>
              <w:fldChar w:fldCharType="end"/>
            </w:r>
          </w:hyperlink>
        </w:p>
        <w:p w14:paraId="4C255D36" w14:textId="2210EC44" w:rsidR="00815270" w:rsidRDefault="00815270">
          <w:pPr>
            <w:pStyle w:val="TOC3"/>
            <w:tabs>
              <w:tab w:val="left" w:pos="1200"/>
              <w:tab w:val="right" w:leader="dot" w:pos="9016"/>
            </w:tabs>
            <w:rPr>
              <w:rFonts w:asciiTheme="minorHAnsi" w:hAnsiTheme="minorHAnsi"/>
              <w:noProof/>
              <w:sz w:val="24"/>
              <w:lang w:val="en-GB" w:eastAsia="en-GB"/>
            </w:rPr>
          </w:pPr>
          <w:hyperlink w:anchor="_Toc220507545" w:history="1">
            <w:r w:rsidRPr="00E739F5">
              <w:rPr>
                <w:rStyle w:val="Hyperlink"/>
                <w:noProof/>
              </w:rPr>
              <w:t>5.3.3</w:t>
            </w:r>
            <w:r>
              <w:rPr>
                <w:rFonts w:asciiTheme="minorHAnsi" w:hAnsiTheme="minorHAnsi"/>
                <w:noProof/>
                <w:sz w:val="24"/>
                <w:lang w:val="en-GB" w:eastAsia="en-GB"/>
              </w:rPr>
              <w:tab/>
            </w:r>
            <w:r w:rsidRPr="00E739F5">
              <w:rPr>
                <w:rStyle w:val="Hyperlink"/>
                <w:noProof/>
              </w:rPr>
              <w:t>Resultados esperados (3-5 anos)</w:t>
            </w:r>
            <w:r>
              <w:rPr>
                <w:noProof/>
                <w:webHidden/>
              </w:rPr>
              <w:tab/>
            </w:r>
            <w:r>
              <w:rPr>
                <w:noProof/>
                <w:webHidden/>
              </w:rPr>
              <w:fldChar w:fldCharType="begin"/>
            </w:r>
            <w:r>
              <w:rPr>
                <w:noProof/>
                <w:webHidden/>
              </w:rPr>
              <w:instrText xml:space="preserve"> PAGEREF _Toc220507545 \h </w:instrText>
            </w:r>
            <w:r>
              <w:rPr>
                <w:noProof/>
                <w:webHidden/>
              </w:rPr>
            </w:r>
            <w:r>
              <w:rPr>
                <w:noProof/>
                <w:webHidden/>
              </w:rPr>
              <w:fldChar w:fldCharType="separate"/>
            </w:r>
            <w:r>
              <w:rPr>
                <w:noProof/>
                <w:webHidden/>
              </w:rPr>
              <w:t>56</w:t>
            </w:r>
            <w:r>
              <w:rPr>
                <w:noProof/>
                <w:webHidden/>
              </w:rPr>
              <w:fldChar w:fldCharType="end"/>
            </w:r>
          </w:hyperlink>
        </w:p>
        <w:p w14:paraId="5075C5C5" w14:textId="2A996CAF" w:rsidR="00815270" w:rsidRDefault="00815270">
          <w:pPr>
            <w:pStyle w:val="TOC3"/>
            <w:tabs>
              <w:tab w:val="left" w:pos="1200"/>
              <w:tab w:val="right" w:leader="dot" w:pos="9016"/>
            </w:tabs>
            <w:rPr>
              <w:rFonts w:asciiTheme="minorHAnsi" w:hAnsiTheme="minorHAnsi"/>
              <w:noProof/>
              <w:sz w:val="24"/>
              <w:lang w:val="en-GB" w:eastAsia="en-GB"/>
            </w:rPr>
          </w:pPr>
          <w:hyperlink w:anchor="_Toc220507546" w:history="1">
            <w:r w:rsidRPr="00E739F5">
              <w:rPr>
                <w:rStyle w:val="Hyperlink"/>
                <w:noProof/>
              </w:rPr>
              <w:t>5.3.4</w:t>
            </w:r>
            <w:r>
              <w:rPr>
                <w:rFonts w:asciiTheme="minorHAnsi" w:hAnsiTheme="minorHAnsi"/>
                <w:noProof/>
                <w:sz w:val="24"/>
                <w:lang w:val="en-GB" w:eastAsia="en-GB"/>
              </w:rPr>
              <w:tab/>
            </w:r>
            <w:r w:rsidRPr="00E739F5">
              <w:rPr>
                <w:rStyle w:val="Hyperlink"/>
                <w:noProof/>
              </w:rPr>
              <w:t>Riscos</w:t>
            </w:r>
            <w:r>
              <w:rPr>
                <w:noProof/>
                <w:webHidden/>
              </w:rPr>
              <w:tab/>
            </w:r>
            <w:r>
              <w:rPr>
                <w:noProof/>
                <w:webHidden/>
              </w:rPr>
              <w:fldChar w:fldCharType="begin"/>
            </w:r>
            <w:r>
              <w:rPr>
                <w:noProof/>
                <w:webHidden/>
              </w:rPr>
              <w:instrText xml:space="preserve"> PAGEREF _Toc220507546 \h </w:instrText>
            </w:r>
            <w:r>
              <w:rPr>
                <w:noProof/>
                <w:webHidden/>
              </w:rPr>
            </w:r>
            <w:r>
              <w:rPr>
                <w:noProof/>
                <w:webHidden/>
              </w:rPr>
              <w:fldChar w:fldCharType="separate"/>
            </w:r>
            <w:r>
              <w:rPr>
                <w:noProof/>
                <w:webHidden/>
              </w:rPr>
              <w:t>56</w:t>
            </w:r>
            <w:r>
              <w:rPr>
                <w:noProof/>
                <w:webHidden/>
              </w:rPr>
              <w:fldChar w:fldCharType="end"/>
            </w:r>
          </w:hyperlink>
        </w:p>
        <w:p w14:paraId="5130F8A6" w14:textId="0FF0AB94" w:rsidR="00815270" w:rsidRDefault="00815270">
          <w:pPr>
            <w:pStyle w:val="TOC2"/>
            <w:rPr>
              <w:rFonts w:asciiTheme="minorHAnsi" w:eastAsiaTheme="minorEastAsia" w:hAnsiTheme="minorHAnsi" w:cstheme="minorBidi"/>
              <w:b w:val="0"/>
              <w:bCs w:val="0"/>
              <w:color w:val="auto"/>
              <w:sz w:val="24"/>
              <w:szCs w:val="24"/>
              <w:lang w:val="en-GB" w:eastAsia="en-GB"/>
            </w:rPr>
          </w:pPr>
          <w:hyperlink w:anchor="_Toc220507547" w:history="1">
            <w:r w:rsidRPr="00E739F5">
              <w:rPr>
                <w:rStyle w:val="Hyperlink"/>
              </w:rPr>
              <w:t>5.4.</w:t>
            </w:r>
            <w:r>
              <w:rPr>
                <w:rFonts w:asciiTheme="minorHAnsi" w:eastAsiaTheme="minorEastAsia" w:hAnsiTheme="minorHAnsi" w:cstheme="minorBidi"/>
                <w:b w:val="0"/>
                <w:bCs w:val="0"/>
                <w:color w:val="auto"/>
                <w:sz w:val="24"/>
                <w:szCs w:val="24"/>
                <w:lang w:val="en-GB" w:eastAsia="en-GB"/>
              </w:rPr>
              <w:tab/>
            </w:r>
            <w:r w:rsidRPr="00E739F5">
              <w:rPr>
                <w:rStyle w:val="Hyperlink"/>
              </w:rPr>
              <w:t>Cenário de apoio a pequenos e médios transformadores</w:t>
            </w:r>
            <w:r>
              <w:rPr>
                <w:webHidden/>
              </w:rPr>
              <w:tab/>
            </w:r>
            <w:r>
              <w:rPr>
                <w:webHidden/>
              </w:rPr>
              <w:fldChar w:fldCharType="begin"/>
            </w:r>
            <w:r>
              <w:rPr>
                <w:webHidden/>
              </w:rPr>
              <w:instrText xml:space="preserve"> PAGEREF _Toc220507547 \h </w:instrText>
            </w:r>
            <w:r>
              <w:rPr>
                <w:webHidden/>
              </w:rPr>
            </w:r>
            <w:r>
              <w:rPr>
                <w:webHidden/>
              </w:rPr>
              <w:fldChar w:fldCharType="separate"/>
            </w:r>
            <w:r>
              <w:rPr>
                <w:webHidden/>
              </w:rPr>
              <w:t>57</w:t>
            </w:r>
            <w:r>
              <w:rPr>
                <w:webHidden/>
              </w:rPr>
              <w:fldChar w:fldCharType="end"/>
            </w:r>
          </w:hyperlink>
        </w:p>
        <w:p w14:paraId="5EBFC93A" w14:textId="6F0BF1C6" w:rsidR="00815270" w:rsidRDefault="00815270">
          <w:pPr>
            <w:pStyle w:val="TOC3"/>
            <w:tabs>
              <w:tab w:val="left" w:pos="1200"/>
              <w:tab w:val="right" w:leader="dot" w:pos="9016"/>
            </w:tabs>
            <w:rPr>
              <w:rFonts w:asciiTheme="minorHAnsi" w:hAnsiTheme="minorHAnsi"/>
              <w:noProof/>
              <w:sz w:val="24"/>
              <w:lang w:val="en-GB" w:eastAsia="en-GB"/>
            </w:rPr>
          </w:pPr>
          <w:hyperlink w:anchor="_Toc220507548" w:history="1">
            <w:r w:rsidRPr="00E739F5">
              <w:rPr>
                <w:rStyle w:val="Hyperlink"/>
                <w:noProof/>
              </w:rPr>
              <w:t>5.4.1</w:t>
            </w:r>
            <w:r>
              <w:rPr>
                <w:rFonts w:asciiTheme="minorHAnsi" w:hAnsiTheme="minorHAnsi"/>
                <w:noProof/>
                <w:sz w:val="24"/>
                <w:lang w:val="en-GB" w:eastAsia="en-GB"/>
              </w:rPr>
              <w:tab/>
            </w:r>
            <w:r w:rsidRPr="00E739F5">
              <w:rPr>
                <w:rStyle w:val="Hyperlink"/>
                <w:noProof/>
              </w:rPr>
              <w:t>Mais-valia estratégica</w:t>
            </w:r>
            <w:r>
              <w:rPr>
                <w:noProof/>
                <w:webHidden/>
              </w:rPr>
              <w:tab/>
            </w:r>
            <w:r>
              <w:rPr>
                <w:noProof/>
                <w:webHidden/>
              </w:rPr>
              <w:fldChar w:fldCharType="begin"/>
            </w:r>
            <w:r>
              <w:rPr>
                <w:noProof/>
                <w:webHidden/>
              </w:rPr>
              <w:instrText xml:space="preserve"> PAGEREF _Toc220507548 \h </w:instrText>
            </w:r>
            <w:r>
              <w:rPr>
                <w:noProof/>
                <w:webHidden/>
              </w:rPr>
            </w:r>
            <w:r>
              <w:rPr>
                <w:noProof/>
                <w:webHidden/>
              </w:rPr>
              <w:fldChar w:fldCharType="separate"/>
            </w:r>
            <w:r>
              <w:rPr>
                <w:noProof/>
                <w:webHidden/>
              </w:rPr>
              <w:t>57</w:t>
            </w:r>
            <w:r>
              <w:rPr>
                <w:noProof/>
                <w:webHidden/>
              </w:rPr>
              <w:fldChar w:fldCharType="end"/>
            </w:r>
          </w:hyperlink>
        </w:p>
        <w:p w14:paraId="7E979680" w14:textId="1DFD6F65" w:rsidR="00815270" w:rsidRDefault="00815270">
          <w:pPr>
            <w:pStyle w:val="TOC3"/>
            <w:tabs>
              <w:tab w:val="left" w:pos="1200"/>
              <w:tab w:val="right" w:leader="dot" w:pos="9016"/>
            </w:tabs>
            <w:rPr>
              <w:rFonts w:asciiTheme="minorHAnsi" w:hAnsiTheme="minorHAnsi"/>
              <w:noProof/>
              <w:sz w:val="24"/>
              <w:lang w:val="en-GB" w:eastAsia="en-GB"/>
            </w:rPr>
          </w:pPr>
          <w:hyperlink w:anchor="_Toc220507549" w:history="1">
            <w:r w:rsidRPr="00E739F5">
              <w:rPr>
                <w:rStyle w:val="Hyperlink"/>
                <w:noProof/>
              </w:rPr>
              <w:t>5.4.2</w:t>
            </w:r>
            <w:r>
              <w:rPr>
                <w:rFonts w:asciiTheme="minorHAnsi" w:hAnsiTheme="minorHAnsi"/>
                <w:noProof/>
                <w:sz w:val="24"/>
                <w:lang w:val="en-GB" w:eastAsia="en-GB"/>
              </w:rPr>
              <w:tab/>
            </w:r>
            <w:r w:rsidRPr="00E739F5">
              <w:rPr>
                <w:rStyle w:val="Hyperlink"/>
                <w:noProof/>
              </w:rPr>
              <w:t>Investimentos necessários</w:t>
            </w:r>
            <w:r>
              <w:rPr>
                <w:noProof/>
                <w:webHidden/>
              </w:rPr>
              <w:tab/>
            </w:r>
            <w:r>
              <w:rPr>
                <w:noProof/>
                <w:webHidden/>
              </w:rPr>
              <w:fldChar w:fldCharType="begin"/>
            </w:r>
            <w:r>
              <w:rPr>
                <w:noProof/>
                <w:webHidden/>
              </w:rPr>
              <w:instrText xml:space="preserve"> PAGEREF _Toc220507549 \h </w:instrText>
            </w:r>
            <w:r>
              <w:rPr>
                <w:noProof/>
                <w:webHidden/>
              </w:rPr>
            </w:r>
            <w:r>
              <w:rPr>
                <w:noProof/>
                <w:webHidden/>
              </w:rPr>
              <w:fldChar w:fldCharType="separate"/>
            </w:r>
            <w:r>
              <w:rPr>
                <w:noProof/>
                <w:webHidden/>
              </w:rPr>
              <w:t>57</w:t>
            </w:r>
            <w:r>
              <w:rPr>
                <w:noProof/>
                <w:webHidden/>
              </w:rPr>
              <w:fldChar w:fldCharType="end"/>
            </w:r>
          </w:hyperlink>
        </w:p>
        <w:p w14:paraId="1875A3F0" w14:textId="11F0D99C" w:rsidR="00815270" w:rsidRDefault="00815270">
          <w:pPr>
            <w:pStyle w:val="TOC3"/>
            <w:tabs>
              <w:tab w:val="left" w:pos="1200"/>
              <w:tab w:val="right" w:leader="dot" w:pos="9016"/>
            </w:tabs>
            <w:rPr>
              <w:rFonts w:asciiTheme="minorHAnsi" w:hAnsiTheme="minorHAnsi"/>
              <w:noProof/>
              <w:sz w:val="24"/>
              <w:lang w:val="en-GB" w:eastAsia="en-GB"/>
            </w:rPr>
          </w:pPr>
          <w:hyperlink w:anchor="_Toc220507550" w:history="1">
            <w:r w:rsidRPr="00E739F5">
              <w:rPr>
                <w:rStyle w:val="Hyperlink"/>
                <w:noProof/>
              </w:rPr>
              <w:t>5.4.3</w:t>
            </w:r>
            <w:r>
              <w:rPr>
                <w:rFonts w:asciiTheme="minorHAnsi" w:hAnsiTheme="minorHAnsi"/>
                <w:noProof/>
                <w:sz w:val="24"/>
                <w:lang w:val="en-GB" w:eastAsia="en-GB"/>
              </w:rPr>
              <w:tab/>
            </w:r>
            <w:r w:rsidRPr="00E739F5">
              <w:rPr>
                <w:rStyle w:val="Hyperlink"/>
                <w:noProof/>
              </w:rPr>
              <w:t>Resultados esperados (3-5 anos)</w:t>
            </w:r>
            <w:r>
              <w:rPr>
                <w:noProof/>
                <w:webHidden/>
              </w:rPr>
              <w:tab/>
            </w:r>
            <w:r>
              <w:rPr>
                <w:noProof/>
                <w:webHidden/>
              </w:rPr>
              <w:fldChar w:fldCharType="begin"/>
            </w:r>
            <w:r>
              <w:rPr>
                <w:noProof/>
                <w:webHidden/>
              </w:rPr>
              <w:instrText xml:space="preserve"> PAGEREF _Toc220507550 \h </w:instrText>
            </w:r>
            <w:r>
              <w:rPr>
                <w:noProof/>
                <w:webHidden/>
              </w:rPr>
            </w:r>
            <w:r>
              <w:rPr>
                <w:noProof/>
                <w:webHidden/>
              </w:rPr>
              <w:fldChar w:fldCharType="separate"/>
            </w:r>
            <w:r>
              <w:rPr>
                <w:noProof/>
                <w:webHidden/>
              </w:rPr>
              <w:t>58</w:t>
            </w:r>
            <w:r>
              <w:rPr>
                <w:noProof/>
                <w:webHidden/>
              </w:rPr>
              <w:fldChar w:fldCharType="end"/>
            </w:r>
          </w:hyperlink>
        </w:p>
        <w:p w14:paraId="741EF657" w14:textId="20A8BAA4" w:rsidR="00815270" w:rsidRDefault="00815270">
          <w:pPr>
            <w:pStyle w:val="TOC3"/>
            <w:tabs>
              <w:tab w:val="left" w:pos="1200"/>
              <w:tab w:val="right" w:leader="dot" w:pos="9016"/>
            </w:tabs>
            <w:rPr>
              <w:rFonts w:asciiTheme="minorHAnsi" w:hAnsiTheme="minorHAnsi"/>
              <w:noProof/>
              <w:sz w:val="24"/>
              <w:lang w:val="en-GB" w:eastAsia="en-GB"/>
            </w:rPr>
          </w:pPr>
          <w:hyperlink w:anchor="_Toc220507551" w:history="1">
            <w:r w:rsidRPr="00E739F5">
              <w:rPr>
                <w:rStyle w:val="Hyperlink"/>
                <w:noProof/>
              </w:rPr>
              <w:t>5.4.4</w:t>
            </w:r>
            <w:r>
              <w:rPr>
                <w:rFonts w:asciiTheme="minorHAnsi" w:hAnsiTheme="minorHAnsi"/>
                <w:noProof/>
                <w:sz w:val="24"/>
                <w:lang w:val="en-GB" w:eastAsia="en-GB"/>
              </w:rPr>
              <w:tab/>
            </w:r>
            <w:r w:rsidRPr="00E739F5">
              <w:rPr>
                <w:rStyle w:val="Hyperlink"/>
                <w:noProof/>
              </w:rPr>
              <w:t>Riscos</w:t>
            </w:r>
            <w:r>
              <w:rPr>
                <w:noProof/>
                <w:webHidden/>
              </w:rPr>
              <w:tab/>
            </w:r>
            <w:r>
              <w:rPr>
                <w:noProof/>
                <w:webHidden/>
              </w:rPr>
              <w:fldChar w:fldCharType="begin"/>
            </w:r>
            <w:r>
              <w:rPr>
                <w:noProof/>
                <w:webHidden/>
              </w:rPr>
              <w:instrText xml:space="preserve"> PAGEREF _Toc220507551 \h </w:instrText>
            </w:r>
            <w:r>
              <w:rPr>
                <w:noProof/>
                <w:webHidden/>
              </w:rPr>
            </w:r>
            <w:r>
              <w:rPr>
                <w:noProof/>
                <w:webHidden/>
              </w:rPr>
              <w:fldChar w:fldCharType="separate"/>
            </w:r>
            <w:r>
              <w:rPr>
                <w:noProof/>
                <w:webHidden/>
              </w:rPr>
              <w:t>58</w:t>
            </w:r>
            <w:r>
              <w:rPr>
                <w:noProof/>
                <w:webHidden/>
              </w:rPr>
              <w:fldChar w:fldCharType="end"/>
            </w:r>
          </w:hyperlink>
        </w:p>
        <w:p w14:paraId="62DD64BC" w14:textId="7EC6FF09" w:rsidR="00815270" w:rsidRDefault="00815270">
          <w:pPr>
            <w:pStyle w:val="TOC2"/>
            <w:rPr>
              <w:rFonts w:asciiTheme="minorHAnsi" w:eastAsiaTheme="minorEastAsia" w:hAnsiTheme="minorHAnsi" w:cstheme="minorBidi"/>
              <w:b w:val="0"/>
              <w:bCs w:val="0"/>
              <w:color w:val="auto"/>
              <w:sz w:val="24"/>
              <w:szCs w:val="24"/>
              <w:lang w:val="en-GB" w:eastAsia="en-GB"/>
            </w:rPr>
          </w:pPr>
          <w:hyperlink w:anchor="_Toc220507552" w:history="1">
            <w:r w:rsidRPr="00E739F5">
              <w:rPr>
                <w:rStyle w:val="Hyperlink"/>
              </w:rPr>
              <w:t>5.5.</w:t>
            </w:r>
            <w:r>
              <w:rPr>
                <w:rFonts w:asciiTheme="minorHAnsi" w:eastAsiaTheme="minorEastAsia" w:hAnsiTheme="minorHAnsi" w:cstheme="minorBidi"/>
                <w:b w:val="0"/>
                <w:bCs w:val="0"/>
                <w:color w:val="auto"/>
                <w:sz w:val="24"/>
                <w:szCs w:val="24"/>
                <w:lang w:val="en-GB" w:eastAsia="en-GB"/>
              </w:rPr>
              <w:tab/>
            </w:r>
            <w:r w:rsidRPr="00E739F5">
              <w:rPr>
                <w:rStyle w:val="Hyperlink"/>
              </w:rPr>
              <w:t>Quadro comparativo dos Cenários</w:t>
            </w:r>
            <w:r>
              <w:rPr>
                <w:webHidden/>
              </w:rPr>
              <w:tab/>
            </w:r>
            <w:r>
              <w:rPr>
                <w:webHidden/>
              </w:rPr>
              <w:fldChar w:fldCharType="begin"/>
            </w:r>
            <w:r>
              <w:rPr>
                <w:webHidden/>
              </w:rPr>
              <w:instrText xml:space="preserve"> PAGEREF _Toc220507552 \h </w:instrText>
            </w:r>
            <w:r>
              <w:rPr>
                <w:webHidden/>
              </w:rPr>
            </w:r>
            <w:r>
              <w:rPr>
                <w:webHidden/>
              </w:rPr>
              <w:fldChar w:fldCharType="separate"/>
            </w:r>
            <w:r>
              <w:rPr>
                <w:webHidden/>
              </w:rPr>
              <w:t>58</w:t>
            </w:r>
            <w:r>
              <w:rPr>
                <w:webHidden/>
              </w:rPr>
              <w:fldChar w:fldCharType="end"/>
            </w:r>
          </w:hyperlink>
        </w:p>
        <w:p w14:paraId="626E6752" w14:textId="44F5AC53" w:rsidR="00815270" w:rsidRDefault="00815270">
          <w:pPr>
            <w:pStyle w:val="TOC1"/>
            <w:rPr>
              <w:rFonts w:asciiTheme="minorHAnsi" w:hAnsiTheme="minorHAnsi" w:cstheme="minorBidi"/>
              <w:b w:val="0"/>
              <w:bCs w:val="0"/>
              <w:color w:val="auto"/>
              <w:lang w:val="en-GB" w:eastAsia="en-GB"/>
            </w:rPr>
          </w:pPr>
          <w:hyperlink w:anchor="_Toc220507553" w:history="1">
            <w:r w:rsidRPr="00E739F5">
              <w:rPr>
                <w:rStyle w:val="Hyperlink"/>
              </w:rPr>
              <w:t>4.</w:t>
            </w:r>
            <w:r>
              <w:rPr>
                <w:webHidden/>
              </w:rPr>
              <w:tab/>
            </w:r>
            <w:r>
              <w:rPr>
                <w:webHidden/>
              </w:rPr>
              <w:fldChar w:fldCharType="begin"/>
            </w:r>
            <w:r>
              <w:rPr>
                <w:webHidden/>
              </w:rPr>
              <w:instrText xml:space="preserve"> PAGEREF _Toc220507553 \h </w:instrText>
            </w:r>
            <w:r>
              <w:rPr>
                <w:webHidden/>
              </w:rPr>
            </w:r>
            <w:r>
              <w:rPr>
                <w:webHidden/>
              </w:rPr>
              <w:fldChar w:fldCharType="separate"/>
            </w:r>
            <w:r>
              <w:rPr>
                <w:webHidden/>
              </w:rPr>
              <w:t>59</w:t>
            </w:r>
            <w:r>
              <w:rPr>
                <w:webHidden/>
              </w:rPr>
              <w:fldChar w:fldCharType="end"/>
            </w:r>
          </w:hyperlink>
        </w:p>
        <w:p w14:paraId="407EABA0" w14:textId="0BC82214" w:rsidR="00815270" w:rsidRDefault="00815270">
          <w:pPr>
            <w:pStyle w:val="TOC1"/>
            <w:rPr>
              <w:rFonts w:asciiTheme="minorHAnsi" w:hAnsiTheme="minorHAnsi" w:cstheme="minorBidi"/>
              <w:b w:val="0"/>
              <w:bCs w:val="0"/>
              <w:color w:val="auto"/>
              <w:lang w:val="en-GB" w:eastAsia="en-GB"/>
            </w:rPr>
          </w:pPr>
          <w:hyperlink w:anchor="_Toc220507554" w:history="1">
            <w:r w:rsidRPr="00E739F5">
              <w:rPr>
                <w:rStyle w:val="Hyperlink"/>
              </w:rPr>
              <w:t>5.</w:t>
            </w:r>
            <w:r>
              <w:rPr>
                <w:webHidden/>
              </w:rPr>
              <w:tab/>
            </w:r>
            <w:r>
              <w:rPr>
                <w:webHidden/>
              </w:rPr>
              <w:fldChar w:fldCharType="begin"/>
            </w:r>
            <w:r>
              <w:rPr>
                <w:webHidden/>
              </w:rPr>
              <w:instrText xml:space="preserve"> PAGEREF _Toc220507554 \h </w:instrText>
            </w:r>
            <w:r>
              <w:rPr>
                <w:webHidden/>
              </w:rPr>
            </w:r>
            <w:r>
              <w:rPr>
                <w:webHidden/>
              </w:rPr>
              <w:fldChar w:fldCharType="separate"/>
            </w:r>
            <w:r>
              <w:rPr>
                <w:webHidden/>
              </w:rPr>
              <w:t>59</w:t>
            </w:r>
            <w:r>
              <w:rPr>
                <w:webHidden/>
              </w:rPr>
              <w:fldChar w:fldCharType="end"/>
            </w:r>
          </w:hyperlink>
        </w:p>
        <w:p w14:paraId="568AF61C" w14:textId="26B8E1D7" w:rsidR="00815270" w:rsidRDefault="00815270">
          <w:pPr>
            <w:pStyle w:val="TOC1"/>
            <w:rPr>
              <w:rFonts w:asciiTheme="minorHAnsi" w:hAnsiTheme="minorHAnsi" w:cstheme="minorBidi"/>
              <w:b w:val="0"/>
              <w:bCs w:val="0"/>
              <w:color w:val="auto"/>
              <w:lang w:val="en-GB" w:eastAsia="en-GB"/>
            </w:rPr>
          </w:pPr>
          <w:hyperlink w:anchor="_Toc220507555" w:history="1">
            <w:r w:rsidRPr="00E739F5">
              <w:rPr>
                <w:rStyle w:val="Hyperlink"/>
              </w:rPr>
              <w:t>6.</w:t>
            </w:r>
            <w:r>
              <w:rPr>
                <w:webHidden/>
              </w:rPr>
              <w:tab/>
            </w:r>
            <w:r>
              <w:rPr>
                <w:webHidden/>
              </w:rPr>
              <w:fldChar w:fldCharType="begin"/>
            </w:r>
            <w:r>
              <w:rPr>
                <w:webHidden/>
              </w:rPr>
              <w:instrText xml:space="preserve"> PAGEREF _Toc220507555 \h </w:instrText>
            </w:r>
            <w:r>
              <w:rPr>
                <w:webHidden/>
              </w:rPr>
            </w:r>
            <w:r>
              <w:rPr>
                <w:webHidden/>
              </w:rPr>
              <w:fldChar w:fldCharType="separate"/>
            </w:r>
            <w:r>
              <w:rPr>
                <w:webHidden/>
              </w:rPr>
              <w:t>59</w:t>
            </w:r>
            <w:r>
              <w:rPr>
                <w:webHidden/>
              </w:rPr>
              <w:fldChar w:fldCharType="end"/>
            </w:r>
          </w:hyperlink>
        </w:p>
        <w:p w14:paraId="2C1079F9" w14:textId="6BC13519" w:rsidR="00815270" w:rsidRDefault="00815270">
          <w:pPr>
            <w:pStyle w:val="TOC1"/>
            <w:rPr>
              <w:rFonts w:asciiTheme="minorHAnsi" w:hAnsiTheme="minorHAnsi" w:cstheme="minorBidi"/>
              <w:b w:val="0"/>
              <w:bCs w:val="0"/>
              <w:color w:val="auto"/>
              <w:lang w:val="en-GB" w:eastAsia="en-GB"/>
            </w:rPr>
          </w:pPr>
          <w:hyperlink w:anchor="_Toc220507556" w:history="1">
            <w:r w:rsidRPr="00E739F5">
              <w:rPr>
                <w:rStyle w:val="Hyperlink"/>
              </w:rPr>
              <w:t>7.</w:t>
            </w:r>
            <w:r>
              <w:rPr>
                <w:webHidden/>
              </w:rPr>
              <w:tab/>
            </w:r>
            <w:r>
              <w:rPr>
                <w:webHidden/>
              </w:rPr>
              <w:fldChar w:fldCharType="begin"/>
            </w:r>
            <w:r>
              <w:rPr>
                <w:webHidden/>
              </w:rPr>
              <w:instrText xml:space="preserve"> PAGEREF _Toc220507556 \h </w:instrText>
            </w:r>
            <w:r>
              <w:rPr>
                <w:webHidden/>
              </w:rPr>
            </w:r>
            <w:r>
              <w:rPr>
                <w:webHidden/>
              </w:rPr>
              <w:fldChar w:fldCharType="separate"/>
            </w:r>
            <w:r>
              <w:rPr>
                <w:webHidden/>
              </w:rPr>
              <w:t>59</w:t>
            </w:r>
            <w:r>
              <w:rPr>
                <w:webHidden/>
              </w:rPr>
              <w:fldChar w:fldCharType="end"/>
            </w:r>
          </w:hyperlink>
        </w:p>
        <w:p w14:paraId="0F240B38" w14:textId="334FC53D" w:rsidR="00815270" w:rsidRDefault="00815270">
          <w:pPr>
            <w:pStyle w:val="TOC1"/>
            <w:rPr>
              <w:rFonts w:asciiTheme="minorHAnsi" w:hAnsiTheme="minorHAnsi" w:cstheme="minorBidi"/>
              <w:b w:val="0"/>
              <w:bCs w:val="0"/>
              <w:color w:val="auto"/>
              <w:lang w:val="en-GB" w:eastAsia="en-GB"/>
            </w:rPr>
          </w:pPr>
          <w:hyperlink w:anchor="_Toc220507557" w:history="1">
            <w:r w:rsidRPr="00E739F5">
              <w:rPr>
                <w:rStyle w:val="Hyperlink"/>
              </w:rPr>
              <w:t>8.</w:t>
            </w:r>
            <w:r>
              <w:rPr>
                <w:webHidden/>
              </w:rPr>
              <w:tab/>
            </w:r>
            <w:r>
              <w:rPr>
                <w:webHidden/>
              </w:rPr>
              <w:fldChar w:fldCharType="begin"/>
            </w:r>
            <w:r>
              <w:rPr>
                <w:webHidden/>
              </w:rPr>
              <w:instrText xml:space="preserve"> PAGEREF _Toc220507557 \h </w:instrText>
            </w:r>
            <w:r>
              <w:rPr>
                <w:webHidden/>
              </w:rPr>
            </w:r>
            <w:r>
              <w:rPr>
                <w:webHidden/>
              </w:rPr>
              <w:fldChar w:fldCharType="separate"/>
            </w:r>
            <w:r>
              <w:rPr>
                <w:webHidden/>
              </w:rPr>
              <w:t>59</w:t>
            </w:r>
            <w:r>
              <w:rPr>
                <w:webHidden/>
              </w:rPr>
              <w:fldChar w:fldCharType="end"/>
            </w:r>
          </w:hyperlink>
        </w:p>
        <w:p w14:paraId="74CF1AF0" w14:textId="5F663DF2" w:rsidR="00815270" w:rsidRDefault="00815270">
          <w:pPr>
            <w:pStyle w:val="TOC1"/>
            <w:rPr>
              <w:rFonts w:asciiTheme="minorHAnsi" w:hAnsiTheme="minorHAnsi" w:cstheme="minorBidi"/>
              <w:b w:val="0"/>
              <w:bCs w:val="0"/>
              <w:color w:val="auto"/>
              <w:lang w:val="en-GB" w:eastAsia="en-GB"/>
            </w:rPr>
          </w:pPr>
          <w:hyperlink w:anchor="_Toc220507558" w:history="1">
            <w:r w:rsidRPr="00E739F5">
              <w:rPr>
                <w:rStyle w:val="Hyperlink"/>
              </w:rPr>
              <w:t>9.</w:t>
            </w:r>
            <w:r>
              <w:rPr>
                <w:webHidden/>
              </w:rPr>
              <w:tab/>
            </w:r>
            <w:r>
              <w:rPr>
                <w:webHidden/>
              </w:rPr>
              <w:fldChar w:fldCharType="begin"/>
            </w:r>
            <w:r>
              <w:rPr>
                <w:webHidden/>
              </w:rPr>
              <w:instrText xml:space="preserve"> PAGEREF _Toc220507558 \h </w:instrText>
            </w:r>
            <w:r>
              <w:rPr>
                <w:webHidden/>
              </w:rPr>
            </w:r>
            <w:r>
              <w:rPr>
                <w:webHidden/>
              </w:rPr>
              <w:fldChar w:fldCharType="separate"/>
            </w:r>
            <w:r>
              <w:rPr>
                <w:webHidden/>
              </w:rPr>
              <w:t>59</w:t>
            </w:r>
            <w:r>
              <w:rPr>
                <w:webHidden/>
              </w:rPr>
              <w:fldChar w:fldCharType="end"/>
            </w:r>
          </w:hyperlink>
        </w:p>
        <w:p w14:paraId="484960D9" w14:textId="2DEE5125" w:rsidR="00815270" w:rsidRDefault="00815270">
          <w:pPr>
            <w:pStyle w:val="TOC1"/>
            <w:rPr>
              <w:rFonts w:asciiTheme="minorHAnsi" w:hAnsiTheme="minorHAnsi" w:cstheme="minorBidi"/>
              <w:b w:val="0"/>
              <w:bCs w:val="0"/>
              <w:color w:val="auto"/>
              <w:lang w:val="en-GB" w:eastAsia="en-GB"/>
            </w:rPr>
          </w:pPr>
          <w:hyperlink w:anchor="_Toc220507559" w:history="1">
            <w:r w:rsidRPr="00E739F5">
              <w:rPr>
                <w:rStyle w:val="Hyperlink"/>
              </w:rPr>
              <w:t>10.</w:t>
            </w:r>
            <w:r>
              <w:rPr>
                <w:webHidden/>
              </w:rPr>
              <w:tab/>
            </w:r>
            <w:r>
              <w:rPr>
                <w:webHidden/>
              </w:rPr>
              <w:fldChar w:fldCharType="begin"/>
            </w:r>
            <w:r>
              <w:rPr>
                <w:webHidden/>
              </w:rPr>
              <w:instrText xml:space="preserve"> PAGEREF _Toc220507559 \h </w:instrText>
            </w:r>
            <w:r>
              <w:rPr>
                <w:webHidden/>
              </w:rPr>
            </w:r>
            <w:r>
              <w:rPr>
                <w:webHidden/>
              </w:rPr>
              <w:fldChar w:fldCharType="separate"/>
            </w:r>
            <w:r>
              <w:rPr>
                <w:webHidden/>
              </w:rPr>
              <w:t>59</w:t>
            </w:r>
            <w:r>
              <w:rPr>
                <w:webHidden/>
              </w:rPr>
              <w:fldChar w:fldCharType="end"/>
            </w:r>
          </w:hyperlink>
        </w:p>
        <w:p w14:paraId="421541D1" w14:textId="1BDFEF24" w:rsidR="00815270" w:rsidRDefault="00815270">
          <w:pPr>
            <w:pStyle w:val="TOC1"/>
            <w:rPr>
              <w:rFonts w:asciiTheme="minorHAnsi" w:hAnsiTheme="minorHAnsi" w:cstheme="minorBidi"/>
              <w:b w:val="0"/>
              <w:bCs w:val="0"/>
              <w:color w:val="auto"/>
              <w:lang w:val="en-GB" w:eastAsia="en-GB"/>
            </w:rPr>
          </w:pPr>
          <w:hyperlink w:anchor="_Toc220507560" w:history="1">
            <w:r w:rsidRPr="00E739F5">
              <w:rPr>
                <w:rStyle w:val="Hyperlink"/>
              </w:rPr>
              <w:t>11.</w:t>
            </w:r>
            <w:r>
              <w:rPr>
                <w:webHidden/>
              </w:rPr>
              <w:tab/>
            </w:r>
            <w:r>
              <w:rPr>
                <w:webHidden/>
              </w:rPr>
              <w:fldChar w:fldCharType="begin"/>
            </w:r>
            <w:r>
              <w:rPr>
                <w:webHidden/>
              </w:rPr>
              <w:instrText xml:space="preserve"> PAGEREF _Toc220507560 \h </w:instrText>
            </w:r>
            <w:r>
              <w:rPr>
                <w:webHidden/>
              </w:rPr>
            </w:r>
            <w:r>
              <w:rPr>
                <w:webHidden/>
              </w:rPr>
              <w:fldChar w:fldCharType="separate"/>
            </w:r>
            <w:r>
              <w:rPr>
                <w:webHidden/>
              </w:rPr>
              <w:t>59</w:t>
            </w:r>
            <w:r>
              <w:rPr>
                <w:webHidden/>
              </w:rPr>
              <w:fldChar w:fldCharType="end"/>
            </w:r>
          </w:hyperlink>
        </w:p>
        <w:p w14:paraId="448AD8B9" w14:textId="2BB20869" w:rsidR="00815270" w:rsidRDefault="00815270">
          <w:pPr>
            <w:pStyle w:val="TOC1"/>
            <w:rPr>
              <w:rFonts w:asciiTheme="minorHAnsi" w:hAnsiTheme="minorHAnsi" w:cstheme="minorBidi"/>
              <w:b w:val="0"/>
              <w:bCs w:val="0"/>
              <w:color w:val="auto"/>
              <w:lang w:val="en-GB" w:eastAsia="en-GB"/>
            </w:rPr>
          </w:pPr>
          <w:hyperlink w:anchor="_Toc220507561" w:history="1">
            <w:r w:rsidRPr="00E739F5">
              <w:rPr>
                <w:rStyle w:val="Hyperlink"/>
              </w:rPr>
              <w:t>12.</w:t>
            </w:r>
            <w:r>
              <w:rPr>
                <w:webHidden/>
              </w:rPr>
              <w:tab/>
            </w:r>
            <w:r>
              <w:rPr>
                <w:webHidden/>
              </w:rPr>
              <w:fldChar w:fldCharType="begin"/>
            </w:r>
            <w:r>
              <w:rPr>
                <w:webHidden/>
              </w:rPr>
              <w:instrText xml:space="preserve"> PAGEREF _Toc220507561 \h </w:instrText>
            </w:r>
            <w:r>
              <w:rPr>
                <w:webHidden/>
              </w:rPr>
            </w:r>
            <w:r>
              <w:rPr>
                <w:webHidden/>
              </w:rPr>
              <w:fldChar w:fldCharType="separate"/>
            </w:r>
            <w:r>
              <w:rPr>
                <w:webHidden/>
              </w:rPr>
              <w:t>59</w:t>
            </w:r>
            <w:r>
              <w:rPr>
                <w:webHidden/>
              </w:rPr>
              <w:fldChar w:fldCharType="end"/>
            </w:r>
          </w:hyperlink>
        </w:p>
        <w:p w14:paraId="1DA91D55" w14:textId="6507B065" w:rsidR="00815270" w:rsidRDefault="00815270">
          <w:pPr>
            <w:pStyle w:val="TOC1"/>
            <w:rPr>
              <w:rFonts w:asciiTheme="minorHAnsi" w:hAnsiTheme="minorHAnsi" w:cstheme="minorBidi"/>
              <w:b w:val="0"/>
              <w:bCs w:val="0"/>
              <w:color w:val="auto"/>
              <w:lang w:val="en-GB" w:eastAsia="en-GB"/>
            </w:rPr>
          </w:pPr>
          <w:hyperlink w:anchor="_Toc220507562" w:history="1">
            <w:r w:rsidRPr="00E739F5">
              <w:rPr>
                <w:rStyle w:val="Hyperlink"/>
              </w:rPr>
              <w:t>13.</w:t>
            </w:r>
            <w:r>
              <w:rPr>
                <w:rFonts w:asciiTheme="minorHAnsi" w:hAnsiTheme="minorHAnsi" w:cstheme="minorBidi"/>
                <w:b w:val="0"/>
                <w:bCs w:val="0"/>
                <w:color w:val="auto"/>
                <w:lang w:val="en-GB" w:eastAsia="en-GB"/>
              </w:rPr>
              <w:tab/>
            </w:r>
            <w:r w:rsidRPr="00E739F5">
              <w:rPr>
                <w:rStyle w:val="Hyperlink"/>
              </w:rPr>
              <w:t>Referências</w:t>
            </w:r>
            <w:r>
              <w:rPr>
                <w:webHidden/>
              </w:rPr>
              <w:tab/>
            </w:r>
            <w:r>
              <w:rPr>
                <w:webHidden/>
              </w:rPr>
              <w:fldChar w:fldCharType="begin"/>
            </w:r>
            <w:r>
              <w:rPr>
                <w:webHidden/>
              </w:rPr>
              <w:instrText xml:space="preserve"> PAGEREF _Toc220507562 \h </w:instrText>
            </w:r>
            <w:r>
              <w:rPr>
                <w:webHidden/>
              </w:rPr>
            </w:r>
            <w:r>
              <w:rPr>
                <w:webHidden/>
              </w:rPr>
              <w:fldChar w:fldCharType="separate"/>
            </w:r>
            <w:r>
              <w:rPr>
                <w:webHidden/>
              </w:rPr>
              <w:t>60</w:t>
            </w:r>
            <w:r>
              <w:rPr>
                <w:webHidden/>
              </w:rPr>
              <w:fldChar w:fldCharType="end"/>
            </w:r>
          </w:hyperlink>
        </w:p>
        <w:p w14:paraId="7BD6FD79" w14:textId="6F8402D9" w:rsidR="00815270" w:rsidRDefault="00815270">
          <w:pPr>
            <w:pStyle w:val="TOC1"/>
            <w:rPr>
              <w:rFonts w:asciiTheme="minorHAnsi" w:hAnsiTheme="minorHAnsi" w:cstheme="minorBidi"/>
              <w:b w:val="0"/>
              <w:bCs w:val="0"/>
              <w:color w:val="auto"/>
              <w:lang w:val="en-GB" w:eastAsia="en-GB"/>
            </w:rPr>
          </w:pPr>
          <w:hyperlink w:anchor="_Toc220507563" w:history="1">
            <w:r w:rsidRPr="00E739F5">
              <w:rPr>
                <w:rStyle w:val="Hyperlink"/>
              </w:rPr>
              <w:t>14.</w:t>
            </w:r>
            <w:r>
              <w:rPr>
                <w:rFonts w:asciiTheme="minorHAnsi" w:hAnsiTheme="minorHAnsi" w:cstheme="minorBidi"/>
                <w:b w:val="0"/>
                <w:bCs w:val="0"/>
                <w:color w:val="auto"/>
                <w:lang w:val="en-GB" w:eastAsia="en-GB"/>
              </w:rPr>
              <w:tab/>
            </w:r>
            <w:r w:rsidRPr="00E739F5">
              <w:rPr>
                <w:rStyle w:val="Hyperlink"/>
              </w:rPr>
              <w:t>Anexo</w:t>
            </w:r>
            <w:r>
              <w:rPr>
                <w:webHidden/>
              </w:rPr>
              <w:tab/>
            </w:r>
            <w:r>
              <w:rPr>
                <w:webHidden/>
              </w:rPr>
              <w:fldChar w:fldCharType="begin"/>
            </w:r>
            <w:r>
              <w:rPr>
                <w:webHidden/>
              </w:rPr>
              <w:instrText xml:space="preserve"> PAGEREF _Toc220507563 \h </w:instrText>
            </w:r>
            <w:r>
              <w:rPr>
                <w:webHidden/>
              </w:rPr>
            </w:r>
            <w:r>
              <w:rPr>
                <w:webHidden/>
              </w:rPr>
              <w:fldChar w:fldCharType="separate"/>
            </w:r>
            <w:r>
              <w:rPr>
                <w:webHidden/>
              </w:rPr>
              <w:t>62</w:t>
            </w:r>
            <w:r>
              <w:rPr>
                <w:webHidden/>
              </w:rPr>
              <w:fldChar w:fldCharType="end"/>
            </w:r>
          </w:hyperlink>
        </w:p>
        <w:p w14:paraId="04657AFE" w14:textId="01C7029F" w:rsidR="00CB3366" w:rsidRDefault="00C74BF3">
          <w:r>
            <w:fldChar w:fldCharType="end"/>
          </w:r>
        </w:p>
      </w:sdtContent>
    </w:sdt>
    <w:p w14:paraId="488B7784" w14:textId="77777777" w:rsidR="00346258" w:rsidRDefault="00346258" w:rsidP="004E65BE">
      <w:pPr>
        <w:pStyle w:val="TableofFigures"/>
      </w:pPr>
      <w:r>
        <w:br w:type="page"/>
      </w:r>
    </w:p>
    <w:p w14:paraId="2F72E78D" w14:textId="46AB4314" w:rsidR="00C74BF3" w:rsidRPr="00DE1950" w:rsidRDefault="00346258" w:rsidP="00815270">
      <w:pPr>
        <w:pStyle w:val="Subheading"/>
        <w:rPr>
          <w:lang w:val="pt-BR"/>
        </w:rPr>
      </w:pPr>
      <w:bookmarkStart w:id="24" w:name="_Toc220507494"/>
      <w:r w:rsidRPr="00DE1950">
        <w:rPr>
          <w:lang w:val="pt-BR"/>
        </w:rPr>
        <w:lastRenderedPageBreak/>
        <w:t>ÍNDICE DE QUADROS</w:t>
      </w:r>
      <w:bookmarkEnd w:id="24"/>
    </w:p>
    <w:p w14:paraId="2901E887" w14:textId="66AB7D8C" w:rsidR="00E0396E" w:rsidRDefault="00215586">
      <w:pPr>
        <w:pStyle w:val="TableofFigures"/>
        <w:rPr>
          <w:rFonts w:asciiTheme="minorHAnsi" w:hAnsiTheme="minorHAnsi"/>
          <w:noProof/>
          <w:sz w:val="24"/>
        </w:rPr>
      </w:pPr>
      <w:r>
        <w:rPr>
          <w:rFonts w:cs="Calibri"/>
          <w:szCs w:val="20"/>
        </w:rPr>
        <w:fldChar w:fldCharType="begin"/>
      </w:r>
      <w:r>
        <w:rPr>
          <w:rFonts w:cs="Calibri"/>
          <w:szCs w:val="20"/>
        </w:rPr>
        <w:instrText xml:space="preserve"> TOC \c "Quadro" </w:instrText>
      </w:r>
      <w:r>
        <w:rPr>
          <w:rFonts w:cs="Calibri"/>
          <w:szCs w:val="20"/>
        </w:rPr>
        <w:fldChar w:fldCharType="separate"/>
      </w:r>
      <w:r w:rsidR="00E0396E">
        <w:rPr>
          <w:noProof/>
        </w:rPr>
        <w:t>Quadro 2.1- Comparação da evolução cadeia de valor da manga da Guiné-Bissau de 2017 a 2025</w:t>
      </w:r>
      <w:r w:rsidR="00E0396E">
        <w:rPr>
          <w:noProof/>
        </w:rPr>
        <w:tab/>
      </w:r>
      <w:r w:rsidR="00E0396E">
        <w:rPr>
          <w:noProof/>
        </w:rPr>
        <w:fldChar w:fldCharType="begin"/>
      </w:r>
      <w:r w:rsidR="00E0396E">
        <w:rPr>
          <w:noProof/>
        </w:rPr>
        <w:instrText xml:space="preserve"> PAGEREF _Toc211791033 \h </w:instrText>
      </w:r>
      <w:r w:rsidR="00E0396E">
        <w:rPr>
          <w:noProof/>
        </w:rPr>
      </w:r>
      <w:r w:rsidR="00E0396E">
        <w:rPr>
          <w:noProof/>
        </w:rPr>
        <w:fldChar w:fldCharType="separate"/>
      </w:r>
      <w:r w:rsidR="002A2405">
        <w:rPr>
          <w:noProof/>
        </w:rPr>
        <w:t>26</w:t>
      </w:r>
      <w:r w:rsidR="00E0396E">
        <w:rPr>
          <w:noProof/>
        </w:rPr>
        <w:fldChar w:fldCharType="end"/>
      </w:r>
    </w:p>
    <w:p w14:paraId="49425191" w14:textId="777026D8" w:rsidR="00E0396E" w:rsidRDefault="00E0396E">
      <w:pPr>
        <w:pStyle w:val="TableofFigures"/>
        <w:rPr>
          <w:rFonts w:asciiTheme="minorHAnsi" w:hAnsiTheme="minorHAnsi"/>
          <w:noProof/>
          <w:sz w:val="24"/>
        </w:rPr>
      </w:pPr>
      <w:r>
        <w:rPr>
          <w:noProof/>
        </w:rPr>
        <w:t>Quadro 2.2</w:t>
      </w:r>
      <w:r w:rsidRPr="000A5FF8">
        <w:rPr>
          <w:rFonts w:eastAsia="Calibri"/>
          <w:noProof/>
        </w:rPr>
        <w:t xml:space="preserve"> - </w:t>
      </w:r>
      <w:r>
        <w:rPr>
          <w:noProof/>
        </w:rPr>
        <w:t>Constrangimentos da Cadeia de Valor da Manga na Guiné-Bissau</w:t>
      </w:r>
      <w:r>
        <w:rPr>
          <w:noProof/>
        </w:rPr>
        <w:tab/>
      </w:r>
      <w:r>
        <w:rPr>
          <w:noProof/>
        </w:rPr>
        <w:fldChar w:fldCharType="begin"/>
      </w:r>
      <w:r>
        <w:rPr>
          <w:noProof/>
        </w:rPr>
        <w:instrText xml:space="preserve"> PAGEREF _Toc211791034 \h </w:instrText>
      </w:r>
      <w:r>
        <w:rPr>
          <w:noProof/>
        </w:rPr>
      </w:r>
      <w:r>
        <w:rPr>
          <w:noProof/>
        </w:rPr>
        <w:fldChar w:fldCharType="separate"/>
      </w:r>
      <w:r w:rsidR="002A2405">
        <w:rPr>
          <w:noProof/>
        </w:rPr>
        <w:t>27</w:t>
      </w:r>
      <w:r>
        <w:rPr>
          <w:noProof/>
        </w:rPr>
        <w:fldChar w:fldCharType="end"/>
      </w:r>
    </w:p>
    <w:p w14:paraId="10400F4E" w14:textId="1FA3E2FF" w:rsidR="00E0396E" w:rsidRDefault="00E0396E">
      <w:pPr>
        <w:pStyle w:val="TableofFigures"/>
        <w:rPr>
          <w:rFonts w:asciiTheme="minorHAnsi" w:hAnsiTheme="minorHAnsi"/>
          <w:noProof/>
          <w:sz w:val="24"/>
        </w:rPr>
      </w:pPr>
      <w:r>
        <w:rPr>
          <w:noProof/>
        </w:rPr>
        <w:t>Quadro 2.3- Respostas ao questionário sobre a governância da cadeia de valor da manga na Guiné-Bissau</w:t>
      </w:r>
      <w:r>
        <w:rPr>
          <w:noProof/>
        </w:rPr>
        <w:tab/>
      </w:r>
      <w:r>
        <w:rPr>
          <w:noProof/>
        </w:rPr>
        <w:fldChar w:fldCharType="begin"/>
      </w:r>
      <w:r>
        <w:rPr>
          <w:noProof/>
        </w:rPr>
        <w:instrText xml:space="preserve"> PAGEREF _Toc211791035 \h </w:instrText>
      </w:r>
      <w:r>
        <w:rPr>
          <w:noProof/>
        </w:rPr>
      </w:r>
      <w:r>
        <w:rPr>
          <w:noProof/>
        </w:rPr>
        <w:fldChar w:fldCharType="separate"/>
      </w:r>
      <w:r w:rsidR="002A2405">
        <w:rPr>
          <w:noProof/>
        </w:rPr>
        <w:t>29</w:t>
      </w:r>
      <w:r>
        <w:rPr>
          <w:noProof/>
        </w:rPr>
        <w:fldChar w:fldCharType="end"/>
      </w:r>
    </w:p>
    <w:p w14:paraId="0497DED5" w14:textId="7F93358A" w:rsidR="00E0396E" w:rsidRDefault="00E0396E">
      <w:pPr>
        <w:pStyle w:val="TableofFigures"/>
        <w:rPr>
          <w:rFonts w:asciiTheme="minorHAnsi" w:hAnsiTheme="minorHAnsi"/>
          <w:noProof/>
          <w:sz w:val="24"/>
        </w:rPr>
      </w:pPr>
      <w:r>
        <w:rPr>
          <w:noProof/>
        </w:rPr>
        <w:t>Quadro 5.1 - Resumo dos quatro cenários analisados para a Cadeia de Valor da Manga na Guiné-Bissau</w:t>
      </w:r>
      <w:r>
        <w:rPr>
          <w:noProof/>
        </w:rPr>
        <w:tab/>
      </w:r>
      <w:r>
        <w:rPr>
          <w:noProof/>
        </w:rPr>
        <w:fldChar w:fldCharType="begin"/>
      </w:r>
      <w:r>
        <w:rPr>
          <w:noProof/>
        </w:rPr>
        <w:instrText xml:space="preserve"> PAGEREF _Toc211791036 \h </w:instrText>
      </w:r>
      <w:r>
        <w:rPr>
          <w:noProof/>
        </w:rPr>
      </w:r>
      <w:r>
        <w:rPr>
          <w:noProof/>
        </w:rPr>
        <w:fldChar w:fldCharType="separate"/>
      </w:r>
      <w:r w:rsidR="002A2405">
        <w:rPr>
          <w:noProof/>
        </w:rPr>
        <w:t>57</w:t>
      </w:r>
      <w:r>
        <w:rPr>
          <w:noProof/>
        </w:rPr>
        <w:fldChar w:fldCharType="end"/>
      </w:r>
    </w:p>
    <w:p w14:paraId="0BF392CC" w14:textId="514C4D65" w:rsidR="0004591D" w:rsidRDefault="00215586" w:rsidP="003F6B66">
      <w:pPr>
        <w:rPr>
          <w:rFonts w:cs="Calibri"/>
          <w:szCs w:val="20"/>
        </w:rPr>
      </w:pPr>
      <w:r>
        <w:rPr>
          <w:rFonts w:cs="Calibri"/>
          <w:szCs w:val="20"/>
        </w:rPr>
        <w:fldChar w:fldCharType="end"/>
      </w:r>
    </w:p>
    <w:p w14:paraId="294026C6" w14:textId="294659A7" w:rsidR="0004591D" w:rsidRPr="00DE1950" w:rsidRDefault="0004591D" w:rsidP="00815270">
      <w:pPr>
        <w:pStyle w:val="Subheading"/>
        <w:rPr>
          <w:lang w:val="pt-BR"/>
        </w:rPr>
      </w:pPr>
      <w:bookmarkStart w:id="25" w:name="_Toc220507495"/>
      <w:r w:rsidRPr="00DE1950">
        <w:rPr>
          <w:lang w:val="pt-BR"/>
        </w:rPr>
        <w:t>ÍNDICE DE FIGURAS</w:t>
      </w:r>
      <w:bookmarkEnd w:id="25"/>
    </w:p>
    <w:p w14:paraId="0C6FE319" w14:textId="58AED5B2" w:rsidR="004E65BE" w:rsidRPr="00665292" w:rsidRDefault="0004591D" w:rsidP="004E65BE">
      <w:pPr>
        <w:pStyle w:val="TableofFigures"/>
        <w:rPr>
          <w:rFonts w:asciiTheme="minorHAnsi" w:hAnsiTheme="minorHAnsi"/>
          <w:noProof/>
          <w:sz w:val="24"/>
          <w:lang w:val="es-CO" w:eastAsia="es-ES_tradnl"/>
        </w:rPr>
      </w:pPr>
      <w:r>
        <w:rPr>
          <w:rFonts w:cs="Calibri"/>
          <w:szCs w:val="20"/>
        </w:rPr>
        <w:fldChar w:fldCharType="begin"/>
      </w:r>
      <w:r>
        <w:rPr>
          <w:rFonts w:cs="Calibri"/>
          <w:szCs w:val="20"/>
        </w:rPr>
        <w:instrText xml:space="preserve"> TOC \h \z \c "Figura" </w:instrText>
      </w:r>
      <w:r>
        <w:rPr>
          <w:rFonts w:cs="Calibri"/>
          <w:szCs w:val="20"/>
        </w:rPr>
        <w:fldChar w:fldCharType="separate"/>
      </w:r>
      <w:hyperlink w:anchor="_Toc211359230" w:history="1">
        <w:r w:rsidR="004E65BE" w:rsidRPr="00665292">
          <w:rPr>
            <w:rStyle w:val="Hyperlink"/>
            <w:noProof/>
          </w:rPr>
          <w:t>Figura 1.1 - Esquema programático da atualização do estudo VCA4D da manga na Guiné-Bissau</w:t>
        </w:r>
        <w:r w:rsidR="004E65BE" w:rsidRPr="00665292">
          <w:rPr>
            <w:noProof/>
            <w:webHidden/>
          </w:rPr>
          <w:tab/>
        </w:r>
        <w:r w:rsidR="004E65BE" w:rsidRPr="00665292">
          <w:rPr>
            <w:noProof/>
            <w:webHidden/>
          </w:rPr>
          <w:fldChar w:fldCharType="begin"/>
        </w:r>
        <w:r w:rsidR="004E65BE" w:rsidRPr="00665292">
          <w:rPr>
            <w:noProof/>
            <w:webHidden/>
          </w:rPr>
          <w:instrText xml:space="preserve"> PAGEREF _Toc211359230 \h </w:instrText>
        </w:r>
        <w:r w:rsidR="004E65BE" w:rsidRPr="00665292">
          <w:rPr>
            <w:noProof/>
            <w:webHidden/>
          </w:rPr>
        </w:r>
        <w:r w:rsidR="004E65BE" w:rsidRPr="00665292">
          <w:rPr>
            <w:noProof/>
            <w:webHidden/>
          </w:rPr>
          <w:fldChar w:fldCharType="separate"/>
        </w:r>
        <w:r w:rsidR="002A2405">
          <w:rPr>
            <w:noProof/>
            <w:webHidden/>
          </w:rPr>
          <w:t>11</w:t>
        </w:r>
        <w:r w:rsidR="004E65BE" w:rsidRPr="00665292">
          <w:rPr>
            <w:noProof/>
            <w:webHidden/>
          </w:rPr>
          <w:fldChar w:fldCharType="end"/>
        </w:r>
      </w:hyperlink>
    </w:p>
    <w:p w14:paraId="3B67F399" w14:textId="79194CAD" w:rsidR="004E65BE" w:rsidRPr="00665292" w:rsidRDefault="004E65BE" w:rsidP="004E65BE">
      <w:pPr>
        <w:pStyle w:val="TableofFigures"/>
        <w:rPr>
          <w:rFonts w:asciiTheme="minorHAnsi" w:hAnsiTheme="minorHAnsi"/>
          <w:noProof/>
          <w:sz w:val="24"/>
          <w:lang w:val="es-CO" w:eastAsia="es-ES_tradnl"/>
        </w:rPr>
      </w:pPr>
      <w:hyperlink w:anchor="_Toc211359231" w:history="1">
        <w:r w:rsidRPr="00665292">
          <w:rPr>
            <w:rStyle w:val="Hyperlink"/>
            <w:noProof/>
          </w:rPr>
          <w:t>Figura 1.2 - Mapa de Guiné-Bissau, regiões e atores entrevistados</w:t>
        </w:r>
        <w:r w:rsidRPr="00665292">
          <w:rPr>
            <w:noProof/>
            <w:webHidden/>
          </w:rPr>
          <w:tab/>
        </w:r>
        <w:r w:rsidRPr="00665292">
          <w:rPr>
            <w:noProof/>
            <w:webHidden/>
          </w:rPr>
          <w:fldChar w:fldCharType="begin"/>
        </w:r>
        <w:r w:rsidRPr="00665292">
          <w:rPr>
            <w:noProof/>
            <w:webHidden/>
          </w:rPr>
          <w:instrText xml:space="preserve"> PAGEREF _Toc211359231 \h </w:instrText>
        </w:r>
        <w:r w:rsidRPr="00665292">
          <w:rPr>
            <w:noProof/>
            <w:webHidden/>
          </w:rPr>
        </w:r>
        <w:r w:rsidRPr="00665292">
          <w:rPr>
            <w:noProof/>
            <w:webHidden/>
          </w:rPr>
          <w:fldChar w:fldCharType="separate"/>
        </w:r>
        <w:r w:rsidR="002A2405">
          <w:rPr>
            <w:noProof/>
            <w:webHidden/>
          </w:rPr>
          <w:t>12</w:t>
        </w:r>
        <w:r w:rsidRPr="00665292">
          <w:rPr>
            <w:noProof/>
            <w:webHidden/>
          </w:rPr>
          <w:fldChar w:fldCharType="end"/>
        </w:r>
      </w:hyperlink>
    </w:p>
    <w:p w14:paraId="1DF9134B" w14:textId="31BED30F" w:rsidR="004E65BE" w:rsidRPr="00665292" w:rsidRDefault="004E65BE" w:rsidP="004E65BE">
      <w:pPr>
        <w:pStyle w:val="TableofFigures"/>
        <w:rPr>
          <w:rFonts w:asciiTheme="minorHAnsi" w:hAnsiTheme="minorHAnsi"/>
          <w:noProof/>
          <w:sz w:val="24"/>
          <w:lang w:val="es-CO" w:eastAsia="es-ES_tradnl"/>
        </w:rPr>
      </w:pPr>
      <w:hyperlink w:anchor="_Toc211359232" w:history="1">
        <w:r w:rsidRPr="00665292">
          <w:rPr>
            <w:rStyle w:val="Hyperlink"/>
            <w:noProof/>
          </w:rPr>
          <w:t>Figura 2.1 - Estimativas de produção de manga na GB: (A) Produção bruta e líquida, de 2012 a 2024, de acordo com diferentes fontes; (B) Evolução da produção e da área de cultivo, de 2002 a 2025 (elaboração própria)</w:t>
        </w:r>
        <w:r w:rsidRPr="00665292">
          <w:rPr>
            <w:noProof/>
            <w:webHidden/>
          </w:rPr>
          <w:tab/>
        </w:r>
        <w:r w:rsidRPr="00665292">
          <w:rPr>
            <w:noProof/>
            <w:webHidden/>
          </w:rPr>
          <w:fldChar w:fldCharType="begin"/>
        </w:r>
        <w:r w:rsidRPr="00665292">
          <w:rPr>
            <w:noProof/>
            <w:webHidden/>
          </w:rPr>
          <w:instrText xml:space="preserve"> PAGEREF _Toc211359232 \h </w:instrText>
        </w:r>
        <w:r w:rsidRPr="00665292">
          <w:rPr>
            <w:noProof/>
            <w:webHidden/>
          </w:rPr>
        </w:r>
        <w:r w:rsidRPr="00665292">
          <w:rPr>
            <w:noProof/>
            <w:webHidden/>
          </w:rPr>
          <w:fldChar w:fldCharType="separate"/>
        </w:r>
        <w:r w:rsidR="002A2405">
          <w:rPr>
            <w:noProof/>
            <w:webHidden/>
          </w:rPr>
          <w:t>16</w:t>
        </w:r>
        <w:r w:rsidRPr="00665292">
          <w:rPr>
            <w:noProof/>
            <w:webHidden/>
          </w:rPr>
          <w:fldChar w:fldCharType="end"/>
        </w:r>
      </w:hyperlink>
    </w:p>
    <w:p w14:paraId="7765EE7F" w14:textId="09F0538D" w:rsidR="004E65BE" w:rsidRPr="00665292" w:rsidRDefault="004E65BE" w:rsidP="004E65BE">
      <w:pPr>
        <w:pStyle w:val="TableofFigures"/>
        <w:rPr>
          <w:rFonts w:asciiTheme="minorHAnsi" w:hAnsiTheme="minorHAnsi"/>
          <w:noProof/>
          <w:sz w:val="24"/>
          <w:lang w:val="es-CO" w:eastAsia="es-ES_tradnl"/>
        </w:rPr>
      </w:pPr>
      <w:hyperlink w:anchor="_Toc211359233" w:history="1">
        <w:r w:rsidRPr="00665292">
          <w:rPr>
            <w:rStyle w:val="Hyperlink"/>
            <w:noProof/>
          </w:rPr>
          <w:t>Figura 2.2 - Fluxograma da cadeia de valor da manga na Guiné-Bissau</w:t>
        </w:r>
        <w:r w:rsidRPr="00665292">
          <w:rPr>
            <w:noProof/>
            <w:webHidden/>
          </w:rPr>
          <w:tab/>
        </w:r>
        <w:r w:rsidRPr="00665292">
          <w:rPr>
            <w:noProof/>
            <w:webHidden/>
          </w:rPr>
          <w:fldChar w:fldCharType="begin"/>
        </w:r>
        <w:r w:rsidRPr="00665292">
          <w:rPr>
            <w:noProof/>
            <w:webHidden/>
          </w:rPr>
          <w:instrText xml:space="preserve"> PAGEREF _Toc211359233 \h </w:instrText>
        </w:r>
        <w:r w:rsidRPr="00665292">
          <w:rPr>
            <w:noProof/>
            <w:webHidden/>
          </w:rPr>
        </w:r>
        <w:r w:rsidRPr="00665292">
          <w:rPr>
            <w:noProof/>
            <w:webHidden/>
          </w:rPr>
          <w:fldChar w:fldCharType="separate"/>
        </w:r>
        <w:r w:rsidR="002A2405">
          <w:rPr>
            <w:noProof/>
            <w:webHidden/>
          </w:rPr>
          <w:t>20</w:t>
        </w:r>
        <w:r w:rsidRPr="00665292">
          <w:rPr>
            <w:noProof/>
            <w:webHidden/>
          </w:rPr>
          <w:fldChar w:fldCharType="end"/>
        </w:r>
      </w:hyperlink>
    </w:p>
    <w:p w14:paraId="1C7B7E91" w14:textId="24913750" w:rsidR="004E65BE" w:rsidRPr="00665292" w:rsidRDefault="004E65BE" w:rsidP="004E65BE">
      <w:pPr>
        <w:pStyle w:val="TableofFigures"/>
        <w:rPr>
          <w:rFonts w:asciiTheme="minorHAnsi" w:hAnsiTheme="minorHAnsi"/>
          <w:noProof/>
          <w:sz w:val="24"/>
          <w:lang w:val="es-CO" w:eastAsia="es-ES_tradnl"/>
        </w:rPr>
      </w:pPr>
      <w:hyperlink w:anchor="_Toc211359234" w:history="1">
        <w:r w:rsidRPr="00665292">
          <w:rPr>
            <w:rStyle w:val="Hyperlink"/>
            <w:noProof/>
          </w:rPr>
          <w:t>Figura 2.3 -Fluxograma da subcadeia da manga na região de Oio</w:t>
        </w:r>
        <w:r w:rsidRPr="00665292">
          <w:rPr>
            <w:noProof/>
            <w:webHidden/>
          </w:rPr>
          <w:tab/>
        </w:r>
        <w:r w:rsidRPr="00665292">
          <w:rPr>
            <w:noProof/>
            <w:webHidden/>
          </w:rPr>
          <w:fldChar w:fldCharType="begin"/>
        </w:r>
        <w:r w:rsidRPr="00665292">
          <w:rPr>
            <w:noProof/>
            <w:webHidden/>
          </w:rPr>
          <w:instrText xml:space="preserve"> PAGEREF _Toc211359234 \h </w:instrText>
        </w:r>
        <w:r w:rsidRPr="00665292">
          <w:rPr>
            <w:noProof/>
            <w:webHidden/>
          </w:rPr>
        </w:r>
        <w:r w:rsidRPr="00665292">
          <w:rPr>
            <w:noProof/>
            <w:webHidden/>
          </w:rPr>
          <w:fldChar w:fldCharType="separate"/>
        </w:r>
        <w:r w:rsidR="002A2405">
          <w:rPr>
            <w:noProof/>
            <w:webHidden/>
          </w:rPr>
          <w:t>22</w:t>
        </w:r>
        <w:r w:rsidRPr="00665292">
          <w:rPr>
            <w:noProof/>
            <w:webHidden/>
          </w:rPr>
          <w:fldChar w:fldCharType="end"/>
        </w:r>
      </w:hyperlink>
    </w:p>
    <w:p w14:paraId="48B340E4" w14:textId="168D089F" w:rsidR="004E65BE" w:rsidRPr="00665292" w:rsidRDefault="004E65BE" w:rsidP="004E65BE">
      <w:pPr>
        <w:pStyle w:val="TableofFigures"/>
        <w:rPr>
          <w:rFonts w:asciiTheme="minorHAnsi" w:hAnsiTheme="minorHAnsi"/>
          <w:noProof/>
          <w:sz w:val="24"/>
          <w:lang w:val="es-CO" w:eastAsia="es-ES_tradnl"/>
        </w:rPr>
      </w:pPr>
      <w:hyperlink w:anchor="_Toc211359235" w:history="1">
        <w:r w:rsidRPr="00665292">
          <w:rPr>
            <w:rStyle w:val="Hyperlink"/>
            <w:noProof/>
          </w:rPr>
          <w:t>Figura 2.4 - Fluxograma da subcadeia da manga na região de Cacheu</w:t>
        </w:r>
        <w:r w:rsidRPr="00665292">
          <w:rPr>
            <w:noProof/>
            <w:webHidden/>
          </w:rPr>
          <w:tab/>
        </w:r>
        <w:r w:rsidRPr="00665292">
          <w:rPr>
            <w:noProof/>
            <w:webHidden/>
          </w:rPr>
          <w:fldChar w:fldCharType="begin"/>
        </w:r>
        <w:r w:rsidRPr="00665292">
          <w:rPr>
            <w:noProof/>
            <w:webHidden/>
          </w:rPr>
          <w:instrText xml:space="preserve"> PAGEREF _Toc211359235 \h </w:instrText>
        </w:r>
        <w:r w:rsidRPr="00665292">
          <w:rPr>
            <w:noProof/>
            <w:webHidden/>
          </w:rPr>
        </w:r>
        <w:r w:rsidRPr="00665292">
          <w:rPr>
            <w:noProof/>
            <w:webHidden/>
          </w:rPr>
          <w:fldChar w:fldCharType="separate"/>
        </w:r>
        <w:r w:rsidR="002A2405">
          <w:rPr>
            <w:noProof/>
            <w:webHidden/>
          </w:rPr>
          <w:t>23</w:t>
        </w:r>
        <w:r w:rsidRPr="00665292">
          <w:rPr>
            <w:noProof/>
            <w:webHidden/>
          </w:rPr>
          <w:fldChar w:fldCharType="end"/>
        </w:r>
      </w:hyperlink>
    </w:p>
    <w:p w14:paraId="1FCD37DB" w14:textId="2EEB8A20" w:rsidR="004E65BE" w:rsidRPr="00665292" w:rsidRDefault="004E65BE" w:rsidP="004E65BE">
      <w:pPr>
        <w:pStyle w:val="TableofFigures"/>
        <w:rPr>
          <w:rFonts w:asciiTheme="minorHAnsi" w:hAnsiTheme="minorHAnsi"/>
          <w:noProof/>
          <w:sz w:val="24"/>
          <w:lang w:val="es-CO" w:eastAsia="es-ES_tradnl"/>
        </w:rPr>
      </w:pPr>
      <w:hyperlink w:anchor="_Toc211359236" w:history="1">
        <w:r w:rsidRPr="00665292">
          <w:rPr>
            <w:rStyle w:val="Hyperlink"/>
            <w:noProof/>
          </w:rPr>
          <w:t>Figura 2.5 - Fluxograma da subcadeia da manga na região de Bafatá e resto do país</w:t>
        </w:r>
        <w:r w:rsidRPr="00665292">
          <w:rPr>
            <w:noProof/>
            <w:webHidden/>
          </w:rPr>
          <w:tab/>
        </w:r>
        <w:r w:rsidRPr="00665292">
          <w:rPr>
            <w:noProof/>
            <w:webHidden/>
          </w:rPr>
          <w:fldChar w:fldCharType="begin"/>
        </w:r>
        <w:r w:rsidRPr="00665292">
          <w:rPr>
            <w:noProof/>
            <w:webHidden/>
          </w:rPr>
          <w:instrText xml:space="preserve"> PAGEREF _Toc211359236 \h </w:instrText>
        </w:r>
        <w:r w:rsidRPr="00665292">
          <w:rPr>
            <w:noProof/>
            <w:webHidden/>
          </w:rPr>
        </w:r>
        <w:r w:rsidRPr="00665292">
          <w:rPr>
            <w:noProof/>
            <w:webHidden/>
          </w:rPr>
          <w:fldChar w:fldCharType="separate"/>
        </w:r>
        <w:r w:rsidR="002A2405">
          <w:rPr>
            <w:noProof/>
            <w:webHidden/>
          </w:rPr>
          <w:t>25</w:t>
        </w:r>
        <w:r w:rsidRPr="00665292">
          <w:rPr>
            <w:noProof/>
            <w:webHidden/>
          </w:rPr>
          <w:fldChar w:fldCharType="end"/>
        </w:r>
      </w:hyperlink>
    </w:p>
    <w:p w14:paraId="1EE49BE9" w14:textId="4132EDC4" w:rsidR="004E65BE" w:rsidRPr="00665292" w:rsidRDefault="004E65BE" w:rsidP="004E65BE">
      <w:pPr>
        <w:pStyle w:val="TableofFigures"/>
        <w:rPr>
          <w:rStyle w:val="Hyperlink"/>
          <w:noProof/>
        </w:rPr>
      </w:pPr>
      <w:hyperlink w:anchor="_Toc211359237" w:history="1">
        <w:r w:rsidRPr="00665292">
          <w:rPr>
            <w:rStyle w:val="Hyperlink"/>
            <w:noProof/>
          </w:rPr>
          <w:t>Figura 2.6 - Indicadores WGI de (A) Eficácia do Governo e (B) Qualidade Regulatória para a Guiné-Bissau, no período de 1996 a 2023, e sua comparação com outros países da África Ocidental [Fonte: https://www.worldbank.org]</w:t>
        </w:r>
        <w:r w:rsidRPr="00665292">
          <w:rPr>
            <w:noProof/>
            <w:webHidden/>
          </w:rPr>
          <w:tab/>
        </w:r>
        <w:r w:rsidRPr="00665292">
          <w:rPr>
            <w:noProof/>
            <w:webHidden/>
          </w:rPr>
          <w:fldChar w:fldCharType="begin"/>
        </w:r>
        <w:r w:rsidRPr="00665292">
          <w:rPr>
            <w:noProof/>
            <w:webHidden/>
          </w:rPr>
          <w:instrText xml:space="preserve"> PAGEREF _Toc211359237 \h </w:instrText>
        </w:r>
        <w:r w:rsidRPr="00665292">
          <w:rPr>
            <w:noProof/>
            <w:webHidden/>
          </w:rPr>
        </w:r>
        <w:r w:rsidRPr="00665292">
          <w:rPr>
            <w:noProof/>
            <w:webHidden/>
          </w:rPr>
          <w:fldChar w:fldCharType="separate"/>
        </w:r>
        <w:r w:rsidR="002A2405">
          <w:rPr>
            <w:noProof/>
            <w:webHidden/>
          </w:rPr>
          <w:t>30</w:t>
        </w:r>
        <w:r w:rsidRPr="00665292">
          <w:rPr>
            <w:noProof/>
            <w:webHidden/>
          </w:rPr>
          <w:fldChar w:fldCharType="end"/>
        </w:r>
      </w:hyperlink>
    </w:p>
    <w:p w14:paraId="534CD50B" w14:textId="0C9B45D4" w:rsidR="00DA2B8B" w:rsidRPr="00665292" w:rsidRDefault="00DA2B8B" w:rsidP="00DA2B8B">
      <w:pPr>
        <w:rPr>
          <w:rFonts w:eastAsia="Aptos" w:cs="Calibri"/>
          <w:bCs/>
          <w:szCs w:val="20"/>
        </w:rPr>
      </w:pPr>
      <w:r w:rsidRPr="00665292">
        <w:rPr>
          <w:rFonts w:eastAsia="Aptos" w:cs="Calibri"/>
          <w:bCs/>
          <w:szCs w:val="20"/>
        </w:rPr>
        <w:t>Figura 3-2: distribuição do valor agregado da manga</w:t>
      </w:r>
      <w:r w:rsidR="00D535C8" w:rsidRPr="00665292">
        <w:rPr>
          <w:rFonts w:eastAsia="Aptos" w:cs="Calibri"/>
          <w:bCs/>
          <w:szCs w:val="20"/>
        </w:rPr>
        <w:t>.........</w:t>
      </w:r>
      <w:r w:rsidRPr="00665292">
        <w:rPr>
          <w:rFonts w:eastAsia="Aptos" w:cs="Calibri"/>
          <w:bCs/>
          <w:szCs w:val="20"/>
        </w:rPr>
        <w:t xml:space="preserve"> </w:t>
      </w:r>
      <w:r w:rsidR="00B82BFC" w:rsidRPr="00665292">
        <w:rPr>
          <w:rFonts w:eastAsia="Aptos" w:cs="Calibri"/>
          <w:bCs/>
          <w:szCs w:val="20"/>
        </w:rPr>
        <w:t>..........................................</w:t>
      </w:r>
      <w:r w:rsidR="00D535C8" w:rsidRPr="00665292">
        <w:rPr>
          <w:rFonts w:eastAsia="Aptos" w:cs="Calibri"/>
          <w:bCs/>
          <w:szCs w:val="20"/>
        </w:rPr>
        <w:t>.</w:t>
      </w:r>
      <w:r w:rsidR="00B82BFC" w:rsidRPr="00665292">
        <w:rPr>
          <w:rFonts w:eastAsia="Aptos" w:cs="Calibri"/>
          <w:bCs/>
          <w:szCs w:val="20"/>
        </w:rPr>
        <w:t>......................................34</w:t>
      </w:r>
      <w:r w:rsidRPr="00665292">
        <w:rPr>
          <w:rFonts w:eastAsia="Aptos" w:cs="Calibri"/>
          <w:bCs/>
          <w:szCs w:val="20"/>
        </w:rPr>
        <w:t xml:space="preserve">      </w:t>
      </w:r>
    </w:p>
    <w:p w14:paraId="74BEA0E7" w14:textId="2935B631" w:rsidR="00DA2B8B" w:rsidRPr="00665292" w:rsidRDefault="00DA2B8B" w:rsidP="00DA2B8B">
      <w:pPr>
        <w:rPr>
          <w:rFonts w:eastAsia="Aptos" w:cs="Calibri"/>
          <w:bCs/>
          <w:szCs w:val="20"/>
        </w:rPr>
      </w:pPr>
      <w:r w:rsidRPr="00665292">
        <w:rPr>
          <w:rFonts w:eastAsia="Aptos" w:cs="Calibri"/>
          <w:bCs/>
          <w:szCs w:val="20"/>
        </w:rPr>
        <w:t xml:space="preserve"> Figura 3-3</w:t>
      </w:r>
      <w:r w:rsidRPr="00665292">
        <w:rPr>
          <w:rFonts w:cs="Calibri"/>
          <w:bCs/>
          <w:szCs w:val="20"/>
        </w:rPr>
        <w:t xml:space="preserve"> </w:t>
      </w:r>
      <w:r w:rsidRPr="00665292">
        <w:rPr>
          <w:rFonts w:eastAsia="Aptos" w:cs="Calibri"/>
          <w:bCs/>
          <w:szCs w:val="20"/>
        </w:rPr>
        <w:t>distribuição do valor agregado</w:t>
      </w:r>
      <w:r w:rsidR="00B82BFC" w:rsidRPr="00665292">
        <w:rPr>
          <w:rFonts w:eastAsia="Aptos" w:cs="Calibri"/>
          <w:bCs/>
          <w:szCs w:val="20"/>
        </w:rPr>
        <w:t>.............................................................</w:t>
      </w:r>
      <w:r w:rsidR="00D535C8" w:rsidRPr="00665292">
        <w:rPr>
          <w:rFonts w:eastAsia="Aptos" w:cs="Calibri"/>
          <w:bCs/>
          <w:szCs w:val="20"/>
        </w:rPr>
        <w:t>.</w:t>
      </w:r>
      <w:r w:rsidR="00B82BFC" w:rsidRPr="00665292">
        <w:rPr>
          <w:rFonts w:eastAsia="Aptos" w:cs="Calibri"/>
          <w:bCs/>
          <w:szCs w:val="20"/>
        </w:rPr>
        <w:t>..............................................34</w:t>
      </w:r>
    </w:p>
    <w:p w14:paraId="01BA90D5" w14:textId="26D3DF99" w:rsidR="00B82BFC" w:rsidRPr="00665292" w:rsidRDefault="00B82BFC" w:rsidP="00B82BFC">
      <w:pPr>
        <w:rPr>
          <w:rFonts w:cs="Calibri"/>
          <w:bCs/>
          <w:noProof/>
          <w:szCs w:val="20"/>
          <w:lang w:val="pt-BR"/>
        </w:rPr>
      </w:pPr>
      <w:r w:rsidRPr="00665292">
        <w:rPr>
          <w:rFonts w:eastAsiaTheme="majorEastAsia" w:cs="Calibri"/>
          <w:bCs/>
          <w:szCs w:val="20"/>
          <w:lang w:val="pt-BR"/>
        </w:rPr>
        <w:t>Figura 3-4: distribuição de salários entre os actores</w:t>
      </w:r>
      <w:r w:rsidRPr="00665292">
        <w:rPr>
          <w:rFonts w:cs="Calibri"/>
          <w:bCs/>
          <w:noProof/>
          <w:szCs w:val="20"/>
          <w:lang w:val="pt-BR"/>
        </w:rPr>
        <w:t xml:space="preserve"> ………………………………</w:t>
      </w:r>
      <w:r w:rsidR="00D535C8" w:rsidRPr="00665292">
        <w:rPr>
          <w:rFonts w:cs="Calibri"/>
          <w:bCs/>
          <w:noProof/>
          <w:szCs w:val="20"/>
          <w:lang w:val="pt-BR"/>
        </w:rPr>
        <w:t>.</w:t>
      </w:r>
      <w:r w:rsidRPr="00665292">
        <w:rPr>
          <w:rFonts w:cs="Calibri"/>
          <w:bCs/>
          <w:noProof/>
          <w:szCs w:val="20"/>
          <w:lang w:val="pt-BR"/>
        </w:rPr>
        <w:t xml:space="preserve">……………………………………………………….34        </w:t>
      </w:r>
    </w:p>
    <w:p w14:paraId="13A737D6" w14:textId="6D92765E" w:rsidR="00B82BFC" w:rsidRPr="00665292" w:rsidRDefault="00B82BFC" w:rsidP="00B82BFC">
      <w:pPr>
        <w:rPr>
          <w:rFonts w:cs="Calibri"/>
          <w:bCs/>
          <w:noProof/>
          <w:szCs w:val="20"/>
          <w:lang w:val="pt-BR"/>
        </w:rPr>
      </w:pPr>
      <w:r w:rsidRPr="00665292">
        <w:rPr>
          <w:rFonts w:eastAsiaTheme="majorEastAsia" w:cs="Calibri"/>
          <w:bCs/>
          <w:szCs w:val="20"/>
          <w:lang w:val="pt-BR"/>
        </w:rPr>
        <w:t>Figura 3-5: distribuição do lucro operacional líquido entre atores …</w:t>
      </w:r>
      <w:r w:rsidR="00D535C8" w:rsidRPr="00665292">
        <w:rPr>
          <w:rFonts w:eastAsiaTheme="majorEastAsia" w:cs="Calibri"/>
          <w:bCs/>
          <w:szCs w:val="20"/>
          <w:lang w:val="pt-BR"/>
        </w:rPr>
        <w:t>.</w:t>
      </w:r>
      <w:r w:rsidRPr="00665292">
        <w:rPr>
          <w:rFonts w:eastAsiaTheme="majorEastAsia" w:cs="Calibri"/>
          <w:bCs/>
          <w:szCs w:val="20"/>
          <w:lang w:val="pt-BR"/>
        </w:rPr>
        <w:t>……………………………………………………………….34</w:t>
      </w:r>
    </w:p>
    <w:p w14:paraId="0549B765" w14:textId="16E5F8F7" w:rsidR="0081785E" w:rsidRPr="00665292" w:rsidRDefault="0081785E" w:rsidP="0081785E">
      <w:pPr>
        <w:rPr>
          <w:rFonts w:eastAsiaTheme="majorEastAsia" w:cs="Calibri"/>
          <w:bCs/>
          <w:szCs w:val="20"/>
        </w:rPr>
      </w:pPr>
      <w:r w:rsidRPr="00665292">
        <w:rPr>
          <w:rFonts w:eastAsiaTheme="majorEastAsia" w:cs="Calibri"/>
          <w:bCs/>
          <w:szCs w:val="20"/>
        </w:rPr>
        <w:t>Figura 3-6 - cv manga. distribuição do valor agregadopor atores (valores em mcfa 2025). fonte. afa. vc manga. synthetic accounts (agents)</w:t>
      </w:r>
      <w:r w:rsidR="007B3529" w:rsidRPr="00665292">
        <w:rPr>
          <w:rFonts w:eastAsiaTheme="majorEastAsia" w:cs="Calibri"/>
          <w:bCs/>
          <w:szCs w:val="20"/>
        </w:rPr>
        <w:t>............................................................................................................................</w:t>
      </w:r>
      <w:r w:rsidR="00D535C8" w:rsidRPr="00665292">
        <w:rPr>
          <w:rFonts w:eastAsiaTheme="majorEastAsia" w:cs="Calibri"/>
          <w:bCs/>
          <w:szCs w:val="20"/>
        </w:rPr>
        <w:t>..</w:t>
      </w:r>
      <w:r w:rsidR="007B3529" w:rsidRPr="00665292">
        <w:rPr>
          <w:rFonts w:eastAsiaTheme="majorEastAsia" w:cs="Calibri"/>
          <w:bCs/>
          <w:szCs w:val="20"/>
        </w:rPr>
        <w:t>.....37</w:t>
      </w:r>
    </w:p>
    <w:p w14:paraId="5CB68B48" w14:textId="2A5D1A40" w:rsidR="007B3529" w:rsidRPr="00665292" w:rsidRDefault="007B3529" w:rsidP="007B3529">
      <w:pPr>
        <w:rPr>
          <w:rFonts w:eastAsiaTheme="majorEastAsia" w:cs="Calibri"/>
          <w:bCs/>
          <w:szCs w:val="20"/>
        </w:rPr>
      </w:pPr>
      <w:r w:rsidRPr="00665292">
        <w:rPr>
          <w:rFonts w:eastAsiaTheme="majorEastAsia" w:cs="Calibri"/>
          <w:bCs/>
          <w:szCs w:val="20"/>
        </w:rPr>
        <w:t>Figura 3-7 - cv manga. desagregação do valor agregado total. fonte. afa. vc manga. ..................................</w:t>
      </w:r>
      <w:r w:rsidR="00D535C8" w:rsidRPr="00665292">
        <w:rPr>
          <w:rFonts w:eastAsiaTheme="majorEastAsia" w:cs="Calibri"/>
          <w:bCs/>
          <w:szCs w:val="20"/>
        </w:rPr>
        <w:t>..</w:t>
      </w:r>
      <w:r w:rsidRPr="00665292">
        <w:rPr>
          <w:rFonts w:eastAsiaTheme="majorEastAsia" w:cs="Calibri"/>
          <w:bCs/>
          <w:szCs w:val="20"/>
        </w:rPr>
        <w:t>....37</w:t>
      </w:r>
    </w:p>
    <w:p w14:paraId="22C82EF8" w14:textId="7B64A30C" w:rsidR="00DA2B8B" w:rsidRPr="00665292" w:rsidRDefault="00057113" w:rsidP="00057113">
      <w:pPr>
        <w:jc w:val="left"/>
        <w:rPr>
          <w:rFonts w:eastAsiaTheme="majorEastAsia" w:cs="Calibri"/>
          <w:bCs/>
          <w:szCs w:val="20"/>
          <w:lang w:val="es-ES"/>
        </w:rPr>
      </w:pPr>
      <w:r w:rsidRPr="00665292">
        <w:rPr>
          <w:rFonts w:eastAsiaTheme="majorEastAsia" w:cs="Calibri"/>
          <w:bCs/>
          <w:szCs w:val="20"/>
          <w:lang w:val="es-ES"/>
        </w:rPr>
        <w:t>Figura 3-8 – cv manga.  desagregação do valor agregado por regiões ……………………………………………………………38</w:t>
      </w:r>
    </w:p>
    <w:p w14:paraId="433DFAD5" w14:textId="583B1F69" w:rsidR="004E65BE" w:rsidRPr="00665292" w:rsidRDefault="004E65BE" w:rsidP="004E65BE">
      <w:pPr>
        <w:pStyle w:val="TableofFigures"/>
        <w:rPr>
          <w:rFonts w:asciiTheme="minorHAnsi" w:hAnsiTheme="minorHAnsi"/>
          <w:noProof/>
          <w:sz w:val="24"/>
          <w:lang w:val="es-CO" w:eastAsia="es-ES_tradnl"/>
        </w:rPr>
      </w:pPr>
      <w:hyperlink w:anchor="_Toc211359238" w:history="1">
        <w:r w:rsidRPr="00665292">
          <w:rPr>
            <w:rStyle w:val="Hyperlink"/>
            <w:noProof/>
          </w:rPr>
          <w:t>Figura 5.1 - Desenvolvimento da fieira da manga centrado no grande transformador</w:t>
        </w:r>
        <w:r w:rsidRPr="00665292">
          <w:rPr>
            <w:noProof/>
            <w:webHidden/>
          </w:rPr>
          <w:tab/>
        </w:r>
        <w:r w:rsidRPr="00665292">
          <w:rPr>
            <w:noProof/>
            <w:webHidden/>
          </w:rPr>
          <w:fldChar w:fldCharType="begin"/>
        </w:r>
        <w:r w:rsidRPr="00665292">
          <w:rPr>
            <w:noProof/>
            <w:webHidden/>
          </w:rPr>
          <w:instrText xml:space="preserve"> PAGEREF _Toc211359238 \h </w:instrText>
        </w:r>
        <w:r w:rsidRPr="00665292">
          <w:rPr>
            <w:noProof/>
            <w:webHidden/>
          </w:rPr>
        </w:r>
        <w:r w:rsidRPr="00665292">
          <w:rPr>
            <w:noProof/>
            <w:webHidden/>
          </w:rPr>
          <w:fldChar w:fldCharType="separate"/>
        </w:r>
        <w:r w:rsidR="002A2405">
          <w:rPr>
            <w:noProof/>
            <w:webHidden/>
          </w:rPr>
          <w:t>50</w:t>
        </w:r>
        <w:r w:rsidRPr="00665292">
          <w:rPr>
            <w:noProof/>
            <w:webHidden/>
          </w:rPr>
          <w:fldChar w:fldCharType="end"/>
        </w:r>
      </w:hyperlink>
    </w:p>
    <w:p w14:paraId="3BCC9844" w14:textId="44005F2E" w:rsidR="004E65BE" w:rsidRPr="00665292" w:rsidRDefault="004E65BE" w:rsidP="004E65BE">
      <w:pPr>
        <w:pStyle w:val="TableofFigures"/>
        <w:rPr>
          <w:rFonts w:asciiTheme="minorHAnsi" w:hAnsiTheme="minorHAnsi"/>
          <w:noProof/>
          <w:sz w:val="24"/>
          <w:lang w:val="es-CO" w:eastAsia="es-ES_tradnl"/>
        </w:rPr>
      </w:pPr>
      <w:hyperlink w:anchor="_Toc211359239" w:history="1">
        <w:r w:rsidRPr="00665292">
          <w:rPr>
            <w:rStyle w:val="Hyperlink"/>
            <w:noProof/>
          </w:rPr>
          <w:t>Figura 5.2 - Desenvolvimento da fieira da manga centrado no grande produtor</w:t>
        </w:r>
        <w:r w:rsidRPr="00665292">
          <w:rPr>
            <w:noProof/>
            <w:webHidden/>
          </w:rPr>
          <w:tab/>
        </w:r>
        <w:r w:rsidRPr="00665292">
          <w:rPr>
            <w:noProof/>
            <w:webHidden/>
          </w:rPr>
          <w:fldChar w:fldCharType="begin"/>
        </w:r>
        <w:r w:rsidRPr="00665292">
          <w:rPr>
            <w:noProof/>
            <w:webHidden/>
          </w:rPr>
          <w:instrText xml:space="preserve"> PAGEREF _Toc211359239 \h </w:instrText>
        </w:r>
        <w:r w:rsidRPr="00665292">
          <w:rPr>
            <w:noProof/>
            <w:webHidden/>
          </w:rPr>
        </w:r>
        <w:r w:rsidRPr="00665292">
          <w:rPr>
            <w:noProof/>
            <w:webHidden/>
          </w:rPr>
          <w:fldChar w:fldCharType="separate"/>
        </w:r>
        <w:r w:rsidR="002A2405">
          <w:rPr>
            <w:noProof/>
            <w:webHidden/>
          </w:rPr>
          <w:t>52</w:t>
        </w:r>
        <w:r w:rsidRPr="00665292">
          <w:rPr>
            <w:noProof/>
            <w:webHidden/>
          </w:rPr>
          <w:fldChar w:fldCharType="end"/>
        </w:r>
      </w:hyperlink>
    </w:p>
    <w:p w14:paraId="32FA4F35" w14:textId="697FA072" w:rsidR="004E65BE" w:rsidRPr="00665292" w:rsidRDefault="004E65BE" w:rsidP="004E65BE">
      <w:pPr>
        <w:pStyle w:val="TableofFigures"/>
        <w:rPr>
          <w:rFonts w:asciiTheme="minorHAnsi" w:hAnsiTheme="minorHAnsi"/>
          <w:noProof/>
          <w:sz w:val="24"/>
          <w:lang w:val="es-CO" w:eastAsia="es-ES_tradnl"/>
        </w:rPr>
      </w:pPr>
      <w:hyperlink w:anchor="_Toc211359240" w:history="1">
        <w:r w:rsidRPr="00665292">
          <w:rPr>
            <w:rStyle w:val="Hyperlink"/>
            <w:noProof/>
          </w:rPr>
          <w:t>Figura 5.3 - Desenvolvimento da fieira a partir de pequenos e médios produtores</w:t>
        </w:r>
        <w:r w:rsidRPr="00665292">
          <w:rPr>
            <w:noProof/>
            <w:webHidden/>
          </w:rPr>
          <w:tab/>
        </w:r>
        <w:r w:rsidRPr="00665292">
          <w:rPr>
            <w:noProof/>
            <w:webHidden/>
          </w:rPr>
          <w:fldChar w:fldCharType="begin"/>
        </w:r>
        <w:r w:rsidRPr="00665292">
          <w:rPr>
            <w:noProof/>
            <w:webHidden/>
          </w:rPr>
          <w:instrText xml:space="preserve"> PAGEREF _Toc211359240 \h </w:instrText>
        </w:r>
        <w:r w:rsidRPr="00665292">
          <w:rPr>
            <w:noProof/>
            <w:webHidden/>
          </w:rPr>
        </w:r>
        <w:r w:rsidRPr="00665292">
          <w:rPr>
            <w:noProof/>
            <w:webHidden/>
          </w:rPr>
          <w:fldChar w:fldCharType="separate"/>
        </w:r>
        <w:r w:rsidR="002A2405">
          <w:rPr>
            <w:noProof/>
            <w:webHidden/>
          </w:rPr>
          <w:t>53</w:t>
        </w:r>
        <w:r w:rsidRPr="00665292">
          <w:rPr>
            <w:noProof/>
            <w:webHidden/>
          </w:rPr>
          <w:fldChar w:fldCharType="end"/>
        </w:r>
      </w:hyperlink>
    </w:p>
    <w:p w14:paraId="47BD6A50" w14:textId="59039166" w:rsidR="004E65BE" w:rsidRPr="00665292" w:rsidRDefault="004E65BE" w:rsidP="004E65BE">
      <w:pPr>
        <w:pStyle w:val="TableofFigures"/>
        <w:rPr>
          <w:rFonts w:asciiTheme="minorHAnsi" w:hAnsiTheme="minorHAnsi"/>
          <w:noProof/>
          <w:sz w:val="24"/>
          <w:lang w:val="es-CO" w:eastAsia="es-ES_tradnl"/>
        </w:rPr>
      </w:pPr>
      <w:hyperlink w:anchor="_Toc211359241" w:history="1">
        <w:r w:rsidRPr="00665292">
          <w:rPr>
            <w:rStyle w:val="Hyperlink"/>
            <w:noProof/>
          </w:rPr>
          <w:t>Figura 5.4 - Desenvolvimento da fieira a partir de médios transformadores</w:t>
        </w:r>
        <w:r w:rsidRPr="00665292">
          <w:rPr>
            <w:noProof/>
            <w:webHidden/>
          </w:rPr>
          <w:tab/>
        </w:r>
        <w:r w:rsidRPr="00665292">
          <w:rPr>
            <w:noProof/>
            <w:webHidden/>
          </w:rPr>
          <w:fldChar w:fldCharType="begin"/>
        </w:r>
        <w:r w:rsidRPr="00665292">
          <w:rPr>
            <w:noProof/>
            <w:webHidden/>
          </w:rPr>
          <w:instrText xml:space="preserve"> PAGEREF _Toc211359241 \h </w:instrText>
        </w:r>
        <w:r w:rsidRPr="00665292">
          <w:rPr>
            <w:noProof/>
            <w:webHidden/>
          </w:rPr>
        </w:r>
        <w:r w:rsidRPr="00665292">
          <w:rPr>
            <w:noProof/>
            <w:webHidden/>
          </w:rPr>
          <w:fldChar w:fldCharType="separate"/>
        </w:r>
        <w:r w:rsidR="002A2405">
          <w:rPr>
            <w:noProof/>
            <w:webHidden/>
          </w:rPr>
          <w:t>55</w:t>
        </w:r>
        <w:r w:rsidRPr="00665292">
          <w:rPr>
            <w:noProof/>
            <w:webHidden/>
          </w:rPr>
          <w:fldChar w:fldCharType="end"/>
        </w:r>
      </w:hyperlink>
    </w:p>
    <w:p w14:paraId="3F9624A7" w14:textId="48A45288" w:rsidR="0004591D" w:rsidRPr="00D327B4" w:rsidRDefault="0004591D" w:rsidP="003F6B66">
      <w:pPr>
        <w:rPr>
          <w:rFonts w:cs="Calibri"/>
          <w:szCs w:val="20"/>
        </w:rPr>
      </w:pPr>
      <w:r>
        <w:rPr>
          <w:rFonts w:cs="Calibri"/>
          <w:szCs w:val="20"/>
        </w:rPr>
        <w:fldChar w:fldCharType="end"/>
      </w:r>
    </w:p>
    <w:p w14:paraId="3D2C85C2" w14:textId="77777777" w:rsidR="0004591D" w:rsidRDefault="0004591D" w:rsidP="00815270">
      <w:pPr>
        <w:pStyle w:val="Heading1"/>
      </w:pPr>
      <w:r>
        <w:br w:type="page"/>
      </w:r>
    </w:p>
    <w:p w14:paraId="74EDD435" w14:textId="1DE94162" w:rsidR="006E474A" w:rsidRPr="00DE1950" w:rsidRDefault="008D3D04" w:rsidP="00815270">
      <w:pPr>
        <w:pStyle w:val="Subheading"/>
      </w:pPr>
      <w:bookmarkStart w:id="26" w:name="_Toc220507496"/>
      <w:r w:rsidRPr="00DE1950">
        <w:lastRenderedPageBreak/>
        <w:t>ACRÓNIMOS</w:t>
      </w:r>
      <w:bookmarkEnd w:id="26"/>
    </w:p>
    <w:tbl>
      <w:tblPr>
        <w:tblW w:w="9214"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70" w:type="dxa"/>
          <w:right w:w="70" w:type="dxa"/>
        </w:tblCellMar>
        <w:tblLook w:val="04A0" w:firstRow="1" w:lastRow="0" w:firstColumn="1" w:lastColumn="0" w:noHBand="0" w:noVBand="1"/>
      </w:tblPr>
      <w:tblGrid>
        <w:gridCol w:w="1843"/>
        <w:gridCol w:w="7371"/>
      </w:tblGrid>
      <w:tr w:rsidR="005E6542" w:rsidRPr="006266DA" w14:paraId="151BABEB" w14:textId="77777777" w:rsidTr="00832EB8">
        <w:trPr>
          <w:trHeight w:val="300"/>
        </w:trPr>
        <w:tc>
          <w:tcPr>
            <w:tcW w:w="1843" w:type="dxa"/>
            <w:noWrap/>
            <w:vAlign w:val="bottom"/>
            <w:hideMark/>
          </w:tcPr>
          <w:p w14:paraId="5493FDC0" w14:textId="77777777" w:rsidR="005E6542" w:rsidRPr="00DE1950" w:rsidRDefault="005E6542"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50 x 2030 Initiative</w:t>
            </w:r>
          </w:p>
        </w:tc>
        <w:tc>
          <w:tcPr>
            <w:tcW w:w="7371" w:type="dxa"/>
            <w:noWrap/>
            <w:vAlign w:val="bottom"/>
            <w:hideMark/>
          </w:tcPr>
          <w:p w14:paraId="4C7A910E" w14:textId="77777777" w:rsidR="005E6542" w:rsidRPr="006266DA" w:rsidRDefault="005E6542" w:rsidP="007B42FA">
            <w:pPr>
              <w:spacing w:after="0" w:line="240" w:lineRule="auto"/>
              <w:rPr>
                <w:rFonts w:eastAsia="Times New Roman" w:cs="Calibri"/>
                <w:color w:val="000000"/>
                <w:kern w:val="0"/>
                <w:szCs w:val="20"/>
                <w14:ligatures w14:val="none"/>
              </w:rPr>
            </w:pPr>
            <w:r w:rsidRPr="006266DA">
              <w:rPr>
                <w:rFonts w:eastAsia="Times New Roman" w:cs="Calibri"/>
                <w:color w:val="000000"/>
                <w:kern w:val="0"/>
                <w:szCs w:val="20"/>
                <w14:ligatures w14:val="none"/>
              </w:rPr>
              <w:t>Iniciativa 50 até 2030</w:t>
            </w:r>
          </w:p>
        </w:tc>
      </w:tr>
      <w:tr w:rsidR="000047D4" w:rsidRPr="006266DA" w14:paraId="12B74214" w14:textId="77777777" w:rsidTr="00832EB8">
        <w:trPr>
          <w:trHeight w:val="300"/>
        </w:trPr>
        <w:tc>
          <w:tcPr>
            <w:tcW w:w="1843" w:type="dxa"/>
            <w:noWrap/>
            <w:vAlign w:val="bottom"/>
          </w:tcPr>
          <w:p w14:paraId="6E9A9D47" w14:textId="57AABA52" w:rsidR="000047D4" w:rsidRPr="00DE1950" w:rsidRDefault="000047D4"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ACV</w:t>
            </w:r>
          </w:p>
        </w:tc>
        <w:tc>
          <w:tcPr>
            <w:tcW w:w="7371" w:type="dxa"/>
            <w:noWrap/>
            <w:vAlign w:val="bottom"/>
          </w:tcPr>
          <w:p w14:paraId="3C909BD6" w14:textId="3B3DF5A9" w:rsidR="000047D4" w:rsidRPr="006266DA" w:rsidRDefault="000047D4" w:rsidP="007B42FA">
            <w:pPr>
              <w:spacing w:after="0" w:line="240" w:lineRule="auto"/>
              <w:rPr>
                <w:rFonts w:eastAsia="Times New Roman" w:cs="Calibri"/>
                <w:color w:val="000000"/>
                <w:kern w:val="0"/>
                <w:szCs w:val="20"/>
                <w14:ligatures w14:val="none"/>
              </w:rPr>
            </w:pPr>
            <w:r w:rsidRPr="006266DA">
              <w:rPr>
                <w:rFonts w:eastAsia="Times New Roman" w:cs="Calibri"/>
                <w:color w:val="000000"/>
                <w:kern w:val="0"/>
                <w:szCs w:val="20"/>
                <w14:ligatures w14:val="none"/>
              </w:rPr>
              <w:t>Análise de Ciclo de Vida</w:t>
            </w:r>
          </w:p>
        </w:tc>
      </w:tr>
      <w:tr w:rsidR="005E6542" w:rsidRPr="006266DA" w14:paraId="50B1A3AC" w14:textId="77777777" w:rsidTr="00832EB8">
        <w:trPr>
          <w:trHeight w:val="300"/>
        </w:trPr>
        <w:tc>
          <w:tcPr>
            <w:tcW w:w="1843" w:type="dxa"/>
            <w:noWrap/>
            <w:vAlign w:val="bottom"/>
            <w:hideMark/>
          </w:tcPr>
          <w:p w14:paraId="619F0413" w14:textId="77777777" w:rsidR="005E6542" w:rsidRPr="00DE1950" w:rsidRDefault="005E6542"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AFA</w:t>
            </w:r>
          </w:p>
        </w:tc>
        <w:tc>
          <w:tcPr>
            <w:tcW w:w="7371" w:type="dxa"/>
            <w:noWrap/>
            <w:vAlign w:val="bottom"/>
            <w:hideMark/>
          </w:tcPr>
          <w:p w14:paraId="2C6C4577" w14:textId="77777777" w:rsidR="005E6542" w:rsidRPr="006266DA" w:rsidRDefault="005E6542" w:rsidP="007B42FA">
            <w:pPr>
              <w:spacing w:after="0" w:line="240" w:lineRule="auto"/>
              <w:rPr>
                <w:rFonts w:eastAsia="Times New Roman" w:cs="Calibri"/>
                <w:color w:val="000000"/>
                <w:kern w:val="0"/>
                <w:szCs w:val="20"/>
                <w14:ligatures w14:val="none"/>
              </w:rPr>
            </w:pPr>
            <w:r w:rsidRPr="006266DA">
              <w:rPr>
                <w:rFonts w:eastAsia="Times New Roman" w:cs="Calibri"/>
                <w:color w:val="000000"/>
                <w:kern w:val="0"/>
                <w:szCs w:val="20"/>
                <w14:ligatures w14:val="none"/>
              </w:rPr>
              <w:t>Análise das Cadeias Agroalimentares</w:t>
            </w:r>
          </w:p>
        </w:tc>
      </w:tr>
      <w:tr w:rsidR="005E6542" w:rsidRPr="006266DA" w14:paraId="0C8F4F1B" w14:textId="77777777" w:rsidTr="00832EB8">
        <w:trPr>
          <w:trHeight w:val="300"/>
        </w:trPr>
        <w:tc>
          <w:tcPr>
            <w:tcW w:w="1843" w:type="dxa"/>
            <w:noWrap/>
            <w:vAlign w:val="bottom"/>
            <w:hideMark/>
          </w:tcPr>
          <w:p w14:paraId="49E0D53A" w14:textId="77777777" w:rsidR="005E6542" w:rsidRPr="00DE1950" w:rsidRDefault="005E6542"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AFD</w:t>
            </w:r>
          </w:p>
        </w:tc>
        <w:tc>
          <w:tcPr>
            <w:tcW w:w="7371" w:type="dxa"/>
            <w:noWrap/>
            <w:vAlign w:val="bottom"/>
            <w:hideMark/>
          </w:tcPr>
          <w:p w14:paraId="5160E072" w14:textId="77777777" w:rsidR="005E6542" w:rsidRPr="006266DA" w:rsidRDefault="005E6542" w:rsidP="007B42FA">
            <w:pPr>
              <w:spacing w:after="0" w:line="240" w:lineRule="auto"/>
              <w:rPr>
                <w:rFonts w:eastAsia="Times New Roman" w:cs="Calibri"/>
                <w:color w:val="000000"/>
                <w:kern w:val="0"/>
                <w:szCs w:val="20"/>
                <w14:ligatures w14:val="none"/>
              </w:rPr>
            </w:pPr>
            <w:r w:rsidRPr="006266DA">
              <w:rPr>
                <w:rFonts w:eastAsia="Times New Roman" w:cs="Calibri"/>
                <w:color w:val="000000"/>
                <w:kern w:val="0"/>
                <w:szCs w:val="20"/>
                <w14:ligatures w14:val="none"/>
              </w:rPr>
              <w:t>Agência Francesa de Desenvolvimento</w:t>
            </w:r>
          </w:p>
        </w:tc>
      </w:tr>
      <w:tr w:rsidR="005E6542" w:rsidRPr="006266DA" w14:paraId="62DEEF8A" w14:textId="77777777" w:rsidTr="00832EB8">
        <w:trPr>
          <w:trHeight w:val="300"/>
        </w:trPr>
        <w:tc>
          <w:tcPr>
            <w:tcW w:w="1843" w:type="dxa"/>
            <w:noWrap/>
            <w:vAlign w:val="bottom"/>
            <w:hideMark/>
          </w:tcPr>
          <w:p w14:paraId="70DA828B" w14:textId="77777777" w:rsidR="005E6542" w:rsidRPr="00DE1950" w:rsidRDefault="005E6542"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Agri-Footprint</w:t>
            </w:r>
          </w:p>
        </w:tc>
        <w:tc>
          <w:tcPr>
            <w:tcW w:w="7371" w:type="dxa"/>
            <w:noWrap/>
            <w:vAlign w:val="bottom"/>
            <w:hideMark/>
          </w:tcPr>
          <w:p w14:paraId="09CEF022" w14:textId="77777777" w:rsidR="005E6542" w:rsidRPr="006266DA" w:rsidRDefault="005E6542" w:rsidP="007B42FA">
            <w:pPr>
              <w:spacing w:after="0" w:line="240" w:lineRule="auto"/>
              <w:rPr>
                <w:rFonts w:eastAsia="Times New Roman" w:cs="Calibri"/>
                <w:color w:val="000000"/>
                <w:kern w:val="0"/>
                <w:szCs w:val="20"/>
                <w14:ligatures w14:val="none"/>
              </w:rPr>
            </w:pPr>
            <w:r w:rsidRPr="006266DA">
              <w:rPr>
                <w:rFonts w:eastAsia="Times New Roman" w:cs="Calibri"/>
                <w:color w:val="000000"/>
                <w:kern w:val="0"/>
                <w:szCs w:val="20"/>
                <w14:ligatures w14:val="none"/>
              </w:rPr>
              <w:t>Base de Dados Agri-Footprint</w:t>
            </w:r>
          </w:p>
        </w:tc>
      </w:tr>
      <w:tr w:rsidR="005E6542" w:rsidRPr="006266DA" w14:paraId="5C1E657C" w14:textId="77777777" w:rsidTr="00832EB8">
        <w:trPr>
          <w:trHeight w:val="300"/>
        </w:trPr>
        <w:tc>
          <w:tcPr>
            <w:tcW w:w="1843" w:type="dxa"/>
            <w:noWrap/>
            <w:vAlign w:val="bottom"/>
            <w:hideMark/>
          </w:tcPr>
          <w:p w14:paraId="1D985AE6" w14:textId="77777777" w:rsidR="005E6542" w:rsidRPr="00DE1950" w:rsidRDefault="005E6542"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AGRISurvey</w:t>
            </w:r>
          </w:p>
        </w:tc>
        <w:tc>
          <w:tcPr>
            <w:tcW w:w="7371" w:type="dxa"/>
            <w:noWrap/>
            <w:vAlign w:val="bottom"/>
            <w:hideMark/>
          </w:tcPr>
          <w:p w14:paraId="78E3F441" w14:textId="77777777" w:rsidR="005E6542" w:rsidRPr="006266DA" w:rsidRDefault="005E6542" w:rsidP="007B42FA">
            <w:pPr>
              <w:spacing w:after="0" w:line="240" w:lineRule="auto"/>
              <w:rPr>
                <w:rFonts w:eastAsia="Times New Roman" w:cs="Calibri"/>
                <w:color w:val="000000"/>
                <w:kern w:val="0"/>
                <w:szCs w:val="20"/>
                <w14:ligatures w14:val="none"/>
              </w:rPr>
            </w:pPr>
            <w:r w:rsidRPr="006266DA">
              <w:rPr>
                <w:rFonts w:eastAsia="Times New Roman" w:cs="Calibri"/>
                <w:color w:val="000000"/>
                <w:kern w:val="0"/>
                <w:szCs w:val="20"/>
                <w14:ligatures w14:val="none"/>
              </w:rPr>
              <w:t>Inquérito Agrícola Integrado</w:t>
            </w:r>
          </w:p>
        </w:tc>
      </w:tr>
      <w:tr w:rsidR="005E6542" w:rsidRPr="006266DA" w14:paraId="6C0EC69E" w14:textId="77777777" w:rsidTr="00832EB8">
        <w:trPr>
          <w:trHeight w:val="300"/>
        </w:trPr>
        <w:tc>
          <w:tcPr>
            <w:tcW w:w="1843" w:type="dxa"/>
            <w:noWrap/>
            <w:vAlign w:val="bottom"/>
            <w:hideMark/>
          </w:tcPr>
          <w:p w14:paraId="15283A43" w14:textId="77777777" w:rsidR="005E6542" w:rsidRPr="00DE1950" w:rsidRDefault="005E6542"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ANAG</w:t>
            </w:r>
          </w:p>
        </w:tc>
        <w:tc>
          <w:tcPr>
            <w:tcW w:w="7371" w:type="dxa"/>
            <w:noWrap/>
            <w:vAlign w:val="bottom"/>
            <w:hideMark/>
          </w:tcPr>
          <w:p w14:paraId="434FEB9D" w14:textId="77777777" w:rsidR="005E6542" w:rsidRPr="006266DA" w:rsidRDefault="005E6542" w:rsidP="007B42FA">
            <w:pPr>
              <w:spacing w:after="0" w:line="240" w:lineRule="auto"/>
              <w:rPr>
                <w:rFonts w:eastAsia="Times New Roman" w:cs="Calibri"/>
                <w:color w:val="000000"/>
                <w:kern w:val="0"/>
                <w:szCs w:val="20"/>
                <w14:ligatures w14:val="none"/>
              </w:rPr>
            </w:pPr>
            <w:r w:rsidRPr="006266DA">
              <w:rPr>
                <w:rFonts w:eastAsia="Times New Roman" w:cs="Calibri"/>
                <w:color w:val="000000"/>
                <w:kern w:val="0"/>
                <w:szCs w:val="20"/>
                <w14:ligatures w14:val="none"/>
              </w:rPr>
              <w:t>Associação Nacional de Agricultores da Guiné-Bissau</w:t>
            </w:r>
          </w:p>
        </w:tc>
      </w:tr>
      <w:tr w:rsidR="005E6542" w:rsidRPr="006266DA" w14:paraId="46D22D39" w14:textId="77777777" w:rsidTr="00832EB8">
        <w:trPr>
          <w:trHeight w:val="300"/>
        </w:trPr>
        <w:tc>
          <w:tcPr>
            <w:tcW w:w="1843" w:type="dxa"/>
            <w:noWrap/>
            <w:vAlign w:val="bottom"/>
            <w:hideMark/>
          </w:tcPr>
          <w:p w14:paraId="0DE67A69" w14:textId="77777777" w:rsidR="005E6542" w:rsidRPr="00DE1950" w:rsidRDefault="005E6542"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ARAA</w:t>
            </w:r>
          </w:p>
        </w:tc>
        <w:tc>
          <w:tcPr>
            <w:tcW w:w="7371" w:type="dxa"/>
            <w:noWrap/>
            <w:vAlign w:val="bottom"/>
            <w:hideMark/>
          </w:tcPr>
          <w:p w14:paraId="5DF2CDE8" w14:textId="77777777" w:rsidR="005E6542" w:rsidRPr="006266DA" w:rsidRDefault="005E6542" w:rsidP="007B42FA">
            <w:pPr>
              <w:spacing w:after="0" w:line="240" w:lineRule="auto"/>
              <w:rPr>
                <w:rFonts w:eastAsia="Times New Roman" w:cs="Calibri"/>
                <w:color w:val="000000"/>
                <w:kern w:val="0"/>
                <w:szCs w:val="20"/>
                <w14:ligatures w14:val="none"/>
              </w:rPr>
            </w:pPr>
            <w:r w:rsidRPr="006266DA">
              <w:rPr>
                <w:rFonts w:eastAsia="Times New Roman" w:cs="Calibri"/>
                <w:color w:val="000000"/>
                <w:kern w:val="0"/>
                <w:szCs w:val="20"/>
                <w14:ligatures w14:val="none"/>
              </w:rPr>
              <w:t>Agência Regional para a Agricultura e Alimentação</w:t>
            </w:r>
          </w:p>
        </w:tc>
      </w:tr>
      <w:tr w:rsidR="005E6542" w:rsidRPr="006266DA" w14:paraId="29D55306" w14:textId="77777777" w:rsidTr="00832EB8">
        <w:trPr>
          <w:trHeight w:val="300"/>
        </w:trPr>
        <w:tc>
          <w:tcPr>
            <w:tcW w:w="1843" w:type="dxa"/>
            <w:noWrap/>
            <w:vAlign w:val="bottom"/>
            <w:hideMark/>
          </w:tcPr>
          <w:p w14:paraId="081DCBC9" w14:textId="77777777" w:rsidR="005E6542" w:rsidRPr="00DE1950" w:rsidRDefault="005E6542"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CEDEAO / ECOWAS</w:t>
            </w:r>
          </w:p>
        </w:tc>
        <w:tc>
          <w:tcPr>
            <w:tcW w:w="7371" w:type="dxa"/>
            <w:noWrap/>
            <w:vAlign w:val="bottom"/>
            <w:hideMark/>
          </w:tcPr>
          <w:p w14:paraId="7A1F9CF5" w14:textId="77777777" w:rsidR="005E6542" w:rsidRPr="006266DA" w:rsidRDefault="005E6542" w:rsidP="007B42FA">
            <w:pPr>
              <w:spacing w:after="0" w:line="240" w:lineRule="auto"/>
              <w:rPr>
                <w:rFonts w:eastAsia="Times New Roman" w:cs="Calibri"/>
                <w:color w:val="000000"/>
                <w:kern w:val="0"/>
                <w:szCs w:val="20"/>
                <w14:ligatures w14:val="none"/>
              </w:rPr>
            </w:pPr>
            <w:r w:rsidRPr="006266DA">
              <w:rPr>
                <w:rFonts w:eastAsia="Times New Roman" w:cs="Calibri"/>
                <w:color w:val="000000"/>
                <w:kern w:val="0"/>
                <w:szCs w:val="20"/>
                <w14:ligatures w14:val="none"/>
              </w:rPr>
              <w:t>Comunidade Económica dos Estados da África Ocidental</w:t>
            </w:r>
          </w:p>
        </w:tc>
      </w:tr>
      <w:tr w:rsidR="005E6542" w:rsidRPr="006266DA" w14:paraId="436B51E1" w14:textId="77777777" w:rsidTr="00832EB8">
        <w:trPr>
          <w:trHeight w:val="300"/>
        </w:trPr>
        <w:tc>
          <w:tcPr>
            <w:tcW w:w="1843" w:type="dxa"/>
            <w:noWrap/>
            <w:vAlign w:val="bottom"/>
            <w:hideMark/>
          </w:tcPr>
          <w:p w14:paraId="77DED5EF" w14:textId="77777777" w:rsidR="005E6542" w:rsidRPr="00DE1950" w:rsidRDefault="005E6542"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CILSS</w:t>
            </w:r>
          </w:p>
        </w:tc>
        <w:tc>
          <w:tcPr>
            <w:tcW w:w="7371" w:type="dxa"/>
            <w:noWrap/>
            <w:vAlign w:val="bottom"/>
            <w:hideMark/>
          </w:tcPr>
          <w:p w14:paraId="3AC219FA" w14:textId="77777777" w:rsidR="005E6542" w:rsidRPr="006266DA" w:rsidRDefault="005E6542" w:rsidP="007B42FA">
            <w:pPr>
              <w:spacing w:after="0" w:line="240" w:lineRule="auto"/>
              <w:rPr>
                <w:rFonts w:eastAsia="Times New Roman" w:cs="Calibri"/>
                <w:color w:val="000000"/>
                <w:kern w:val="0"/>
                <w:szCs w:val="20"/>
                <w14:ligatures w14:val="none"/>
              </w:rPr>
            </w:pPr>
            <w:r w:rsidRPr="006266DA">
              <w:rPr>
                <w:rFonts w:eastAsia="Times New Roman" w:cs="Calibri"/>
                <w:color w:val="000000"/>
                <w:kern w:val="0"/>
                <w:szCs w:val="20"/>
                <w14:ligatures w14:val="none"/>
              </w:rPr>
              <w:t>Comité Interestadual de Luta contra a Seca no Sahel</w:t>
            </w:r>
          </w:p>
        </w:tc>
      </w:tr>
      <w:tr w:rsidR="005E6542" w:rsidRPr="006266DA" w14:paraId="5E4A8A5E" w14:textId="77777777" w:rsidTr="00832EB8">
        <w:trPr>
          <w:trHeight w:val="300"/>
        </w:trPr>
        <w:tc>
          <w:tcPr>
            <w:tcW w:w="1843" w:type="dxa"/>
            <w:noWrap/>
            <w:vAlign w:val="bottom"/>
            <w:hideMark/>
          </w:tcPr>
          <w:p w14:paraId="0730F836" w14:textId="77777777" w:rsidR="005E6542" w:rsidRPr="00DE1950" w:rsidRDefault="005E6542"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CIRAD</w:t>
            </w:r>
          </w:p>
        </w:tc>
        <w:tc>
          <w:tcPr>
            <w:tcW w:w="7371" w:type="dxa"/>
            <w:noWrap/>
            <w:vAlign w:val="bottom"/>
            <w:hideMark/>
          </w:tcPr>
          <w:p w14:paraId="7CAEF06D" w14:textId="77777777" w:rsidR="005E6542" w:rsidRPr="006266DA" w:rsidRDefault="005E6542" w:rsidP="007B42FA">
            <w:pPr>
              <w:spacing w:after="0" w:line="240" w:lineRule="auto"/>
              <w:rPr>
                <w:rFonts w:eastAsia="Times New Roman" w:cs="Calibri"/>
                <w:color w:val="000000"/>
                <w:kern w:val="0"/>
                <w:szCs w:val="20"/>
                <w14:ligatures w14:val="none"/>
              </w:rPr>
            </w:pPr>
            <w:r w:rsidRPr="006266DA">
              <w:rPr>
                <w:rFonts w:eastAsia="Times New Roman" w:cs="Calibri"/>
                <w:color w:val="000000"/>
                <w:kern w:val="0"/>
                <w:szCs w:val="20"/>
                <w14:ligatures w14:val="none"/>
              </w:rPr>
              <w:t>Centro de Cooperação Internacional em Pesquisa Agronómica para o Desenvolvimento</w:t>
            </w:r>
          </w:p>
        </w:tc>
      </w:tr>
      <w:tr w:rsidR="005E6542" w:rsidRPr="006266DA" w14:paraId="13501D20" w14:textId="77777777" w:rsidTr="00832EB8">
        <w:trPr>
          <w:trHeight w:val="300"/>
        </w:trPr>
        <w:tc>
          <w:tcPr>
            <w:tcW w:w="1843" w:type="dxa"/>
            <w:noWrap/>
            <w:vAlign w:val="bottom"/>
            <w:hideMark/>
          </w:tcPr>
          <w:p w14:paraId="6CAB3341" w14:textId="77777777" w:rsidR="005E6542" w:rsidRPr="00DE1950" w:rsidRDefault="005E6542"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CV</w:t>
            </w:r>
          </w:p>
        </w:tc>
        <w:tc>
          <w:tcPr>
            <w:tcW w:w="7371" w:type="dxa"/>
            <w:noWrap/>
            <w:vAlign w:val="bottom"/>
            <w:hideMark/>
          </w:tcPr>
          <w:p w14:paraId="7EDA2F28" w14:textId="77777777" w:rsidR="005E6542" w:rsidRPr="006266DA" w:rsidRDefault="005E6542" w:rsidP="007B42FA">
            <w:pPr>
              <w:spacing w:after="0" w:line="240" w:lineRule="auto"/>
              <w:rPr>
                <w:rFonts w:eastAsia="Times New Roman" w:cs="Calibri"/>
                <w:color w:val="000000"/>
                <w:kern w:val="0"/>
                <w:szCs w:val="20"/>
                <w14:ligatures w14:val="none"/>
              </w:rPr>
            </w:pPr>
            <w:r w:rsidRPr="006266DA">
              <w:rPr>
                <w:rFonts w:eastAsia="Times New Roman" w:cs="Calibri"/>
                <w:color w:val="000000"/>
                <w:kern w:val="0"/>
                <w:szCs w:val="20"/>
                <w14:ligatures w14:val="none"/>
              </w:rPr>
              <w:t>Cadeia de Valor</w:t>
            </w:r>
          </w:p>
        </w:tc>
      </w:tr>
      <w:tr w:rsidR="005E6542" w:rsidRPr="006266DA" w14:paraId="16227CFC" w14:textId="77777777" w:rsidTr="00832EB8">
        <w:trPr>
          <w:trHeight w:val="300"/>
        </w:trPr>
        <w:tc>
          <w:tcPr>
            <w:tcW w:w="1843" w:type="dxa"/>
            <w:noWrap/>
            <w:vAlign w:val="bottom"/>
            <w:hideMark/>
          </w:tcPr>
          <w:p w14:paraId="037A1764" w14:textId="77777777" w:rsidR="005E6542" w:rsidRPr="00DE1950" w:rsidRDefault="005E6542"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DGAP / DGPV</w:t>
            </w:r>
          </w:p>
        </w:tc>
        <w:tc>
          <w:tcPr>
            <w:tcW w:w="7371" w:type="dxa"/>
            <w:noWrap/>
            <w:vAlign w:val="bottom"/>
            <w:hideMark/>
          </w:tcPr>
          <w:p w14:paraId="7DE004BB" w14:textId="77777777" w:rsidR="005E6542" w:rsidRPr="006266DA" w:rsidRDefault="005E6542" w:rsidP="007B42FA">
            <w:pPr>
              <w:spacing w:after="0" w:line="240" w:lineRule="auto"/>
              <w:rPr>
                <w:rFonts w:eastAsia="Times New Roman" w:cs="Calibri"/>
                <w:color w:val="000000"/>
                <w:kern w:val="0"/>
                <w:szCs w:val="20"/>
                <w14:ligatures w14:val="none"/>
              </w:rPr>
            </w:pPr>
            <w:r w:rsidRPr="006266DA">
              <w:rPr>
                <w:rFonts w:eastAsia="Times New Roman" w:cs="Calibri"/>
                <w:color w:val="000000"/>
                <w:kern w:val="0"/>
                <w:szCs w:val="20"/>
                <w14:ligatures w14:val="none"/>
              </w:rPr>
              <w:t>Direção Geral de Agricultura e Pecuária / Direção Geral de Proteção Vegetal</w:t>
            </w:r>
          </w:p>
        </w:tc>
      </w:tr>
      <w:tr w:rsidR="005E6542" w:rsidRPr="006266DA" w14:paraId="6EB847E1" w14:textId="77777777" w:rsidTr="00832EB8">
        <w:trPr>
          <w:trHeight w:val="300"/>
        </w:trPr>
        <w:tc>
          <w:tcPr>
            <w:tcW w:w="1843" w:type="dxa"/>
            <w:noWrap/>
            <w:vAlign w:val="bottom"/>
            <w:hideMark/>
          </w:tcPr>
          <w:p w14:paraId="44219D8C" w14:textId="77777777" w:rsidR="005E6542" w:rsidRPr="00DE1950" w:rsidRDefault="005E6542"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DUE / EUD</w:t>
            </w:r>
          </w:p>
        </w:tc>
        <w:tc>
          <w:tcPr>
            <w:tcW w:w="7371" w:type="dxa"/>
            <w:noWrap/>
            <w:vAlign w:val="bottom"/>
            <w:hideMark/>
          </w:tcPr>
          <w:p w14:paraId="58A5E112" w14:textId="77777777" w:rsidR="005E6542" w:rsidRPr="006266DA" w:rsidRDefault="005E6542" w:rsidP="007B42FA">
            <w:pPr>
              <w:spacing w:after="0" w:line="240" w:lineRule="auto"/>
              <w:rPr>
                <w:rFonts w:eastAsia="Times New Roman" w:cs="Calibri"/>
                <w:color w:val="000000"/>
                <w:kern w:val="0"/>
                <w:szCs w:val="20"/>
                <w14:ligatures w14:val="none"/>
              </w:rPr>
            </w:pPr>
            <w:r w:rsidRPr="006266DA">
              <w:rPr>
                <w:rFonts w:eastAsia="Times New Roman" w:cs="Calibri"/>
                <w:color w:val="000000"/>
                <w:kern w:val="0"/>
                <w:szCs w:val="20"/>
                <w14:ligatures w14:val="none"/>
              </w:rPr>
              <w:t>Delegação da União Europeia</w:t>
            </w:r>
          </w:p>
        </w:tc>
      </w:tr>
      <w:tr w:rsidR="005E6542" w:rsidRPr="006266DA" w14:paraId="3E1CEE2E" w14:textId="77777777" w:rsidTr="00832EB8">
        <w:trPr>
          <w:trHeight w:val="300"/>
        </w:trPr>
        <w:tc>
          <w:tcPr>
            <w:tcW w:w="1843" w:type="dxa"/>
            <w:noWrap/>
            <w:vAlign w:val="bottom"/>
            <w:hideMark/>
          </w:tcPr>
          <w:p w14:paraId="2EAA627F" w14:textId="77777777" w:rsidR="005E6542" w:rsidRPr="00DE1950" w:rsidRDefault="005E6542"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FAO</w:t>
            </w:r>
          </w:p>
        </w:tc>
        <w:tc>
          <w:tcPr>
            <w:tcW w:w="7371" w:type="dxa"/>
            <w:noWrap/>
            <w:vAlign w:val="bottom"/>
            <w:hideMark/>
          </w:tcPr>
          <w:p w14:paraId="5991815F" w14:textId="77777777" w:rsidR="005E6542" w:rsidRPr="006266DA" w:rsidRDefault="005E6542" w:rsidP="007B42FA">
            <w:pPr>
              <w:spacing w:after="0" w:line="240" w:lineRule="auto"/>
              <w:rPr>
                <w:rFonts w:eastAsia="Times New Roman" w:cs="Calibri"/>
                <w:color w:val="000000"/>
                <w:kern w:val="0"/>
                <w:szCs w:val="20"/>
                <w14:ligatures w14:val="none"/>
              </w:rPr>
            </w:pPr>
            <w:r w:rsidRPr="006266DA">
              <w:rPr>
                <w:rFonts w:eastAsia="Times New Roman" w:cs="Calibri"/>
                <w:color w:val="000000"/>
                <w:kern w:val="0"/>
                <w:szCs w:val="20"/>
                <w14:ligatures w14:val="none"/>
              </w:rPr>
              <w:t>Organização das Nações Unidas para Alimentação e Agricultura</w:t>
            </w:r>
          </w:p>
        </w:tc>
      </w:tr>
      <w:tr w:rsidR="006A7756" w:rsidRPr="006266DA" w14:paraId="650FB8A5" w14:textId="77777777" w:rsidTr="00832EB8">
        <w:trPr>
          <w:trHeight w:val="300"/>
        </w:trPr>
        <w:tc>
          <w:tcPr>
            <w:tcW w:w="1843" w:type="dxa"/>
            <w:noWrap/>
            <w:vAlign w:val="bottom"/>
          </w:tcPr>
          <w:p w14:paraId="2B4478DF" w14:textId="3DB0D046" w:rsidR="006A7756" w:rsidRPr="00DE1950" w:rsidRDefault="006A7756"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GB</w:t>
            </w:r>
          </w:p>
        </w:tc>
        <w:tc>
          <w:tcPr>
            <w:tcW w:w="7371" w:type="dxa"/>
            <w:noWrap/>
            <w:vAlign w:val="bottom"/>
          </w:tcPr>
          <w:p w14:paraId="7CDDD3B5" w14:textId="0B911448" w:rsidR="006A7756" w:rsidRPr="006266DA" w:rsidRDefault="006A7756" w:rsidP="007B42FA">
            <w:pPr>
              <w:spacing w:after="0" w:line="240" w:lineRule="auto"/>
              <w:rPr>
                <w:rFonts w:eastAsia="Times New Roman" w:cs="Calibri"/>
                <w:color w:val="000000"/>
                <w:kern w:val="0"/>
                <w:szCs w:val="20"/>
                <w14:ligatures w14:val="none"/>
              </w:rPr>
            </w:pPr>
            <w:r>
              <w:rPr>
                <w:rFonts w:eastAsia="Times New Roman" w:cs="Calibri"/>
                <w:color w:val="000000"/>
                <w:kern w:val="0"/>
                <w:szCs w:val="20"/>
                <w14:ligatures w14:val="none"/>
              </w:rPr>
              <w:t>Guiné-Bissau</w:t>
            </w:r>
          </w:p>
        </w:tc>
      </w:tr>
      <w:tr w:rsidR="005E6542" w:rsidRPr="006266DA" w14:paraId="1278AE5F" w14:textId="77777777" w:rsidTr="00832EB8">
        <w:trPr>
          <w:trHeight w:val="300"/>
        </w:trPr>
        <w:tc>
          <w:tcPr>
            <w:tcW w:w="1843" w:type="dxa"/>
            <w:noWrap/>
            <w:vAlign w:val="bottom"/>
            <w:hideMark/>
          </w:tcPr>
          <w:p w14:paraId="76EA3E4A" w14:textId="77777777" w:rsidR="005E6542" w:rsidRPr="00DE1950" w:rsidRDefault="005E6542"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IFAD / FIDA</w:t>
            </w:r>
          </w:p>
        </w:tc>
        <w:tc>
          <w:tcPr>
            <w:tcW w:w="7371" w:type="dxa"/>
            <w:noWrap/>
            <w:vAlign w:val="bottom"/>
            <w:hideMark/>
          </w:tcPr>
          <w:p w14:paraId="13648616" w14:textId="77777777" w:rsidR="005E6542" w:rsidRPr="006266DA" w:rsidRDefault="005E6542" w:rsidP="007B42FA">
            <w:pPr>
              <w:spacing w:after="0" w:line="240" w:lineRule="auto"/>
              <w:rPr>
                <w:rFonts w:eastAsia="Times New Roman" w:cs="Calibri"/>
                <w:color w:val="000000"/>
                <w:kern w:val="0"/>
                <w:szCs w:val="20"/>
                <w14:ligatures w14:val="none"/>
              </w:rPr>
            </w:pPr>
            <w:r w:rsidRPr="006266DA">
              <w:rPr>
                <w:rFonts w:eastAsia="Times New Roman" w:cs="Calibri"/>
                <w:color w:val="000000"/>
                <w:kern w:val="0"/>
                <w:szCs w:val="20"/>
                <w14:ligatures w14:val="none"/>
              </w:rPr>
              <w:t>Fundo Internacional de Desenvolvimento Agrícola</w:t>
            </w:r>
          </w:p>
        </w:tc>
      </w:tr>
      <w:tr w:rsidR="002F3A6B" w:rsidRPr="006266DA" w14:paraId="6D34A32F" w14:textId="77777777" w:rsidTr="00832EB8">
        <w:trPr>
          <w:trHeight w:val="300"/>
        </w:trPr>
        <w:tc>
          <w:tcPr>
            <w:tcW w:w="1843" w:type="dxa"/>
            <w:noWrap/>
            <w:vAlign w:val="bottom"/>
          </w:tcPr>
          <w:p w14:paraId="43B98BA6" w14:textId="4408D255" w:rsidR="002F3A6B" w:rsidRPr="00DE1950" w:rsidRDefault="002F3A6B"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IN</w:t>
            </w:r>
            <w:r w:rsidR="00EB4B00" w:rsidRPr="00DE1950">
              <w:rPr>
                <w:rFonts w:eastAsia="Times New Roman" w:cs="Calibri"/>
                <w:b/>
                <w:bCs/>
                <w:i/>
                <w:iCs/>
                <w:color w:val="336666"/>
                <w:kern w:val="0"/>
                <w:szCs w:val="20"/>
                <w14:ligatures w14:val="none"/>
              </w:rPr>
              <w:t>TPA</w:t>
            </w:r>
          </w:p>
        </w:tc>
        <w:tc>
          <w:tcPr>
            <w:tcW w:w="7371" w:type="dxa"/>
            <w:noWrap/>
            <w:vAlign w:val="bottom"/>
          </w:tcPr>
          <w:p w14:paraId="402F2F41" w14:textId="5EC31793" w:rsidR="002F3A6B" w:rsidRPr="006266DA" w:rsidRDefault="00EB4B00" w:rsidP="007B42FA">
            <w:pPr>
              <w:spacing w:after="0" w:line="240" w:lineRule="auto"/>
              <w:rPr>
                <w:rFonts w:eastAsia="Times New Roman" w:cs="Calibri"/>
                <w:color w:val="000000"/>
                <w:kern w:val="0"/>
                <w:szCs w:val="20"/>
                <w14:ligatures w14:val="none"/>
              </w:rPr>
            </w:pPr>
            <w:r>
              <w:rPr>
                <w:rFonts w:eastAsia="Times New Roman" w:cs="Calibri"/>
                <w:color w:val="000000"/>
                <w:kern w:val="0"/>
                <w:szCs w:val="20"/>
                <w14:ligatures w14:val="none"/>
              </w:rPr>
              <w:t>Parceria Internacional</w:t>
            </w:r>
          </w:p>
        </w:tc>
      </w:tr>
      <w:tr w:rsidR="005E6542" w:rsidRPr="006266DA" w14:paraId="3B8A2161" w14:textId="77777777" w:rsidTr="00832EB8">
        <w:trPr>
          <w:trHeight w:val="300"/>
        </w:trPr>
        <w:tc>
          <w:tcPr>
            <w:tcW w:w="1843" w:type="dxa"/>
            <w:noWrap/>
            <w:vAlign w:val="bottom"/>
            <w:hideMark/>
          </w:tcPr>
          <w:p w14:paraId="3AC624B7" w14:textId="77777777" w:rsidR="005E6542" w:rsidRPr="00DE1950" w:rsidRDefault="005E6542"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INSAH</w:t>
            </w:r>
          </w:p>
        </w:tc>
        <w:tc>
          <w:tcPr>
            <w:tcW w:w="7371" w:type="dxa"/>
            <w:noWrap/>
            <w:vAlign w:val="bottom"/>
            <w:hideMark/>
          </w:tcPr>
          <w:p w14:paraId="5E7B4EC7" w14:textId="77777777" w:rsidR="005E6542" w:rsidRPr="006266DA" w:rsidRDefault="005E6542" w:rsidP="007B42FA">
            <w:pPr>
              <w:spacing w:after="0" w:line="240" w:lineRule="auto"/>
              <w:rPr>
                <w:rFonts w:eastAsia="Times New Roman" w:cs="Calibri"/>
                <w:color w:val="000000"/>
                <w:kern w:val="0"/>
                <w:szCs w:val="20"/>
                <w14:ligatures w14:val="none"/>
              </w:rPr>
            </w:pPr>
            <w:r w:rsidRPr="006266DA">
              <w:rPr>
                <w:rFonts w:eastAsia="Times New Roman" w:cs="Calibri"/>
                <w:color w:val="000000"/>
                <w:kern w:val="0"/>
                <w:szCs w:val="20"/>
                <w14:ligatures w14:val="none"/>
              </w:rPr>
              <w:t>Instituto do Sahel</w:t>
            </w:r>
          </w:p>
        </w:tc>
      </w:tr>
      <w:tr w:rsidR="005E6542" w:rsidRPr="006266DA" w14:paraId="0ADE7AD2" w14:textId="77777777" w:rsidTr="00832EB8">
        <w:trPr>
          <w:trHeight w:val="300"/>
        </w:trPr>
        <w:tc>
          <w:tcPr>
            <w:tcW w:w="1843" w:type="dxa"/>
            <w:noWrap/>
            <w:vAlign w:val="bottom"/>
            <w:hideMark/>
          </w:tcPr>
          <w:p w14:paraId="3D2F4E18" w14:textId="77777777" w:rsidR="005E6542" w:rsidRPr="00DE1950" w:rsidRDefault="005E6542"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ONUDI / UNIDO</w:t>
            </w:r>
          </w:p>
        </w:tc>
        <w:tc>
          <w:tcPr>
            <w:tcW w:w="7371" w:type="dxa"/>
            <w:noWrap/>
            <w:vAlign w:val="bottom"/>
            <w:hideMark/>
          </w:tcPr>
          <w:p w14:paraId="5AD3CFF9" w14:textId="77777777" w:rsidR="005E6542" w:rsidRPr="006266DA" w:rsidRDefault="005E6542" w:rsidP="007B42FA">
            <w:pPr>
              <w:spacing w:after="0" w:line="240" w:lineRule="auto"/>
              <w:rPr>
                <w:rFonts w:eastAsia="Times New Roman" w:cs="Calibri"/>
                <w:color w:val="000000"/>
                <w:kern w:val="0"/>
                <w:szCs w:val="20"/>
                <w14:ligatures w14:val="none"/>
              </w:rPr>
            </w:pPr>
            <w:r w:rsidRPr="006266DA">
              <w:rPr>
                <w:rFonts w:eastAsia="Times New Roman" w:cs="Calibri"/>
                <w:color w:val="000000"/>
                <w:kern w:val="0"/>
                <w:szCs w:val="20"/>
                <w14:ligatures w14:val="none"/>
              </w:rPr>
              <w:t>Organização das Nações Unidas para o Desenvolvimento Industrial</w:t>
            </w:r>
          </w:p>
        </w:tc>
      </w:tr>
      <w:tr w:rsidR="005E6542" w:rsidRPr="006266DA" w14:paraId="4E7FDDF9" w14:textId="77777777" w:rsidTr="00832EB8">
        <w:trPr>
          <w:trHeight w:val="300"/>
        </w:trPr>
        <w:tc>
          <w:tcPr>
            <w:tcW w:w="1843" w:type="dxa"/>
            <w:noWrap/>
            <w:vAlign w:val="bottom"/>
            <w:hideMark/>
          </w:tcPr>
          <w:p w14:paraId="141A8B54" w14:textId="77777777" w:rsidR="005E6542" w:rsidRPr="00DE1950" w:rsidRDefault="005E6542"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PNUD / UNDP</w:t>
            </w:r>
          </w:p>
        </w:tc>
        <w:tc>
          <w:tcPr>
            <w:tcW w:w="7371" w:type="dxa"/>
            <w:noWrap/>
            <w:vAlign w:val="bottom"/>
            <w:hideMark/>
          </w:tcPr>
          <w:p w14:paraId="595FE277" w14:textId="77777777" w:rsidR="005E6542" w:rsidRPr="006266DA" w:rsidRDefault="005E6542" w:rsidP="007B42FA">
            <w:pPr>
              <w:spacing w:after="0" w:line="240" w:lineRule="auto"/>
              <w:rPr>
                <w:rFonts w:eastAsia="Times New Roman" w:cs="Calibri"/>
                <w:color w:val="000000"/>
                <w:kern w:val="0"/>
                <w:szCs w:val="20"/>
                <w14:ligatures w14:val="none"/>
              </w:rPr>
            </w:pPr>
            <w:r w:rsidRPr="006266DA">
              <w:rPr>
                <w:rFonts w:eastAsia="Times New Roman" w:cs="Calibri"/>
                <w:color w:val="000000"/>
                <w:kern w:val="0"/>
                <w:szCs w:val="20"/>
                <w14:ligatures w14:val="none"/>
              </w:rPr>
              <w:t>Programa das Nações Unidas para o Desenvolvimento</w:t>
            </w:r>
          </w:p>
        </w:tc>
      </w:tr>
      <w:tr w:rsidR="005E6542" w:rsidRPr="006266DA" w14:paraId="1BA3B619" w14:textId="77777777" w:rsidTr="00832EB8">
        <w:trPr>
          <w:trHeight w:val="300"/>
        </w:trPr>
        <w:tc>
          <w:tcPr>
            <w:tcW w:w="1843" w:type="dxa"/>
            <w:noWrap/>
            <w:vAlign w:val="bottom"/>
            <w:hideMark/>
          </w:tcPr>
          <w:p w14:paraId="35186C58" w14:textId="77777777" w:rsidR="005E6542" w:rsidRPr="00DE1950" w:rsidRDefault="005E6542"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SyRIMAO</w:t>
            </w:r>
          </w:p>
        </w:tc>
        <w:tc>
          <w:tcPr>
            <w:tcW w:w="7371" w:type="dxa"/>
            <w:noWrap/>
            <w:vAlign w:val="bottom"/>
            <w:hideMark/>
          </w:tcPr>
          <w:p w14:paraId="05013D92" w14:textId="77777777" w:rsidR="005E6542" w:rsidRPr="006266DA" w:rsidRDefault="005E6542" w:rsidP="007B42FA">
            <w:pPr>
              <w:spacing w:after="0" w:line="240" w:lineRule="auto"/>
              <w:rPr>
                <w:rFonts w:eastAsia="Times New Roman" w:cs="Calibri"/>
                <w:color w:val="000000"/>
                <w:kern w:val="0"/>
                <w:szCs w:val="20"/>
                <w14:ligatures w14:val="none"/>
              </w:rPr>
            </w:pPr>
            <w:r w:rsidRPr="006266DA">
              <w:rPr>
                <w:rFonts w:eastAsia="Times New Roman" w:cs="Calibri"/>
                <w:color w:val="000000"/>
                <w:kern w:val="0"/>
                <w:szCs w:val="20"/>
                <w14:ligatures w14:val="none"/>
              </w:rPr>
              <w:t>Sistema Regional Inovador de Gestão da Mosca-da-Fruta na África Ocidental</w:t>
            </w:r>
          </w:p>
        </w:tc>
      </w:tr>
      <w:tr w:rsidR="005E6542" w:rsidRPr="006266DA" w14:paraId="69B80B41" w14:textId="77777777" w:rsidTr="00832EB8">
        <w:trPr>
          <w:trHeight w:val="300"/>
        </w:trPr>
        <w:tc>
          <w:tcPr>
            <w:tcW w:w="1843" w:type="dxa"/>
            <w:noWrap/>
            <w:vAlign w:val="bottom"/>
            <w:hideMark/>
          </w:tcPr>
          <w:p w14:paraId="728DAF6D" w14:textId="77777777" w:rsidR="005E6542" w:rsidRPr="00DE1950" w:rsidRDefault="005E6542"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UE</w:t>
            </w:r>
          </w:p>
        </w:tc>
        <w:tc>
          <w:tcPr>
            <w:tcW w:w="7371" w:type="dxa"/>
            <w:noWrap/>
            <w:vAlign w:val="bottom"/>
            <w:hideMark/>
          </w:tcPr>
          <w:p w14:paraId="408FDA57" w14:textId="77777777" w:rsidR="005E6542" w:rsidRPr="006266DA" w:rsidRDefault="005E6542" w:rsidP="007B42FA">
            <w:pPr>
              <w:spacing w:after="0" w:line="240" w:lineRule="auto"/>
              <w:rPr>
                <w:rFonts w:eastAsia="Times New Roman" w:cs="Calibri"/>
                <w:color w:val="000000"/>
                <w:kern w:val="0"/>
                <w:szCs w:val="20"/>
                <w14:ligatures w14:val="none"/>
              </w:rPr>
            </w:pPr>
            <w:r w:rsidRPr="006266DA">
              <w:rPr>
                <w:rFonts w:eastAsia="Times New Roman" w:cs="Calibri"/>
                <w:color w:val="000000"/>
                <w:kern w:val="0"/>
                <w:szCs w:val="20"/>
                <w14:ligatures w14:val="none"/>
              </w:rPr>
              <w:t>União Europeia</w:t>
            </w:r>
          </w:p>
        </w:tc>
      </w:tr>
      <w:tr w:rsidR="005E6542" w:rsidRPr="006266DA" w14:paraId="7BF21B3F" w14:textId="77777777" w:rsidTr="00832EB8">
        <w:trPr>
          <w:trHeight w:val="300"/>
        </w:trPr>
        <w:tc>
          <w:tcPr>
            <w:tcW w:w="1843" w:type="dxa"/>
            <w:noWrap/>
            <w:vAlign w:val="bottom"/>
            <w:hideMark/>
          </w:tcPr>
          <w:p w14:paraId="549499AC" w14:textId="77777777" w:rsidR="005E6542" w:rsidRPr="00DE1950" w:rsidRDefault="005E6542"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UEMOA</w:t>
            </w:r>
          </w:p>
        </w:tc>
        <w:tc>
          <w:tcPr>
            <w:tcW w:w="7371" w:type="dxa"/>
            <w:noWrap/>
            <w:vAlign w:val="bottom"/>
            <w:hideMark/>
          </w:tcPr>
          <w:p w14:paraId="63D84C40" w14:textId="77777777" w:rsidR="005E6542" w:rsidRPr="006266DA" w:rsidRDefault="005E6542" w:rsidP="007B42FA">
            <w:pPr>
              <w:spacing w:after="0" w:line="240" w:lineRule="auto"/>
              <w:rPr>
                <w:rFonts w:eastAsia="Times New Roman" w:cs="Calibri"/>
                <w:color w:val="000000"/>
                <w:kern w:val="0"/>
                <w:szCs w:val="20"/>
                <w14:ligatures w14:val="none"/>
              </w:rPr>
            </w:pPr>
            <w:r w:rsidRPr="006266DA">
              <w:rPr>
                <w:rFonts w:eastAsia="Times New Roman" w:cs="Calibri"/>
                <w:color w:val="000000"/>
                <w:kern w:val="0"/>
                <w:szCs w:val="20"/>
                <w14:ligatures w14:val="none"/>
              </w:rPr>
              <w:t>União Económica e Monetária da África Ocidental</w:t>
            </w:r>
          </w:p>
        </w:tc>
      </w:tr>
      <w:tr w:rsidR="005E6542" w:rsidRPr="002A0E99" w14:paraId="29708B3F" w14:textId="77777777" w:rsidTr="00832EB8">
        <w:trPr>
          <w:trHeight w:val="300"/>
        </w:trPr>
        <w:tc>
          <w:tcPr>
            <w:tcW w:w="1843" w:type="dxa"/>
            <w:noWrap/>
            <w:vAlign w:val="bottom"/>
            <w:hideMark/>
          </w:tcPr>
          <w:p w14:paraId="120C4496" w14:textId="77777777" w:rsidR="005E6542" w:rsidRPr="00DE1950" w:rsidRDefault="005E6542" w:rsidP="00832EB8">
            <w:pPr>
              <w:spacing w:after="0" w:line="240" w:lineRule="auto"/>
              <w:jc w:val="center"/>
              <w:rPr>
                <w:rFonts w:eastAsia="Times New Roman" w:cs="Calibri"/>
                <w:b/>
                <w:bCs/>
                <w:i/>
                <w:iCs/>
                <w:color w:val="336666"/>
                <w:kern w:val="0"/>
                <w:szCs w:val="20"/>
                <w14:ligatures w14:val="none"/>
              </w:rPr>
            </w:pPr>
            <w:r w:rsidRPr="00DE1950">
              <w:rPr>
                <w:rFonts w:eastAsia="Times New Roman" w:cs="Calibri"/>
                <w:b/>
                <w:bCs/>
                <w:i/>
                <w:iCs/>
                <w:color w:val="336666"/>
                <w:kern w:val="0"/>
                <w:szCs w:val="20"/>
                <w14:ligatures w14:val="none"/>
              </w:rPr>
              <w:t>VCA4D</w:t>
            </w:r>
          </w:p>
        </w:tc>
        <w:tc>
          <w:tcPr>
            <w:tcW w:w="7371" w:type="dxa"/>
            <w:noWrap/>
            <w:vAlign w:val="bottom"/>
            <w:hideMark/>
          </w:tcPr>
          <w:p w14:paraId="7BAFFC57" w14:textId="77777777" w:rsidR="005E6542" w:rsidRPr="006266DA" w:rsidRDefault="005E6542" w:rsidP="007B42FA">
            <w:pPr>
              <w:spacing w:after="0" w:line="240" w:lineRule="auto"/>
              <w:rPr>
                <w:rFonts w:eastAsia="Times New Roman" w:cs="Calibri"/>
                <w:color w:val="000000"/>
                <w:kern w:val="0"/>
                <w:szCs w:val="20"/>
                <w:lang w:val="en-US"/>
                <w14:ligatures w14:val="none"/>
              </w:rPr>
            </w:pPr>
            <w:r w:rsidRPr="006266DA">
              <w:rPr>
                <w:rFonts w:eastAsia="Times New Roman" w:cs="Calibri"/>
                <w:color w:val="000000"/>
                <w:kern w:val="0"/>
                <w:szCs w:val="20"/>
                <w:lang w:val="en-US"/>
                <w14:ligatures w14:val="none"/>
              </w:rPr>
              <w:t>Value Chain Analysis for Development</w:t>
            </w:r>
          </w:p>
        </w:tc>
      </w:tr>
    </w:tbl>
    <w:p w14:paraId="517D723A" w14:textId="77777777" w:rsidR="005E6542" w:rsidRPr="006F7AE6" w:rsidRDefault="005E6542" w:rsidP="003F6B66">
      <w:pPr>
        <w:rPr>
          <w:rFonts w:cs="Calibri"/>
          <w:sz w:val="18"/>
          <w:szCs w:val="18"/>
          <w:lang w:val="en-GB"/>
        </w:rPr>
      </w:pPr>
    </w:p>
    <w:p w14:paraId="21D98B8E" w14:textId="77777777" w:rsidR="0058027C" w:rsidRPr="005F79AC" w:rsidRDefault="0058027C" w:rsidP="003F6B66">
      <w:pPr>
        <w:rPr>
          <w:rFonts w:cs="Calibri"/>
          <w:b/>
          <w:bCs/>
          <w:color w:val="156082" w:themeColor="accent1"/>
          <w:szCs w:val="20"/>
          <w:lang w:val="en-US"/>
        </w:rPr>
      </w:pPr>
    </w:p>
    <w:p w14:paraId="6B0D1052" w14:textId="77777777" w:rsidR="0058027C" w:rsidRPr="005F79AC" w:rsidRDefault="0058027C" w:rsidP="003F6B66">
      <w:pPr>
        <w:rPr>
          <w:rFonts w:cs="Calibri"/>
          <w:b/>
          <w:bCs/>
          <w:color w:val="156082" w:themeColor="accent1"/>
          <w:szCs w:val="20"/>
          <w:lang w:val="en-US"/>
        </w:rPr>
      </w:pPr>
    </w:p>
    <w:p w14:paraId="5375979C" w14:textId="77777777" w:rsidR="0058027C" w:rsidRPr="005F79AC" w:rsidRDefault="0058027C" w:rsidP="003F6B66">
      <w:pPr>
        <w:rPr>
          <w:rFonts w:cs="Calibri"/>
          <w:b/>
          <w:bCs/>
          <w:color w:val="156082" w:themeColor="accent1"/>
          <w:szCs w:val="20"/>
          <w:lang w:val="en-US"/>
        </w:rPr>
      </w:pPr>
    </w:p>
    <w:p w14:paraId="5A188439" w14:textId="77777777" w:rsidR="0058027C" w:rsidRPr="005F79AC" w:rsidRDefault="0058027C" w:rsidP="003F6B66">
      <w:pPr>
        <w:rPr>
          <w:rFonts w:cs="Calibri"/>
          <w:b/>
          <w:bCs/>
          <w:color w:val="156082" w:themeColor="accent1"/>
          <w:szCs w:val="20"/>
          <w:lang w:val="en-US"/>
        </w:rPr>
      </w:pPr>
    </w:p>
    <w:p w14:paraId="7549D84D" w14:textId="77777777" w:rsidR="0058027C" w:rsidRPr="005F79AC" w:rsidRDefault="0058027C" w:rsidP="003F6B66">
      <w:pPr>
        <w:rPr>
          <w:rFonts w:cs="Calibri"/>
          <w:b/>
          <w:bCs/>
          <w:color w:val="156082" w:themeColor="accent1"/>
          <w:szCs w:val="20"/>
          <w:lang w:val="en-US"/>
        </w:rPr>
      </w:pPr>
    </w:p>
    <w:p w14:paraId="569C7BC1" w14:textId="77777777" w:rsidR="0058027C" w:rsidRPr="005F79AC" w:rsidRDefault="0058027C" w:rsidP="003F6B66">
      <w:pPr>
        <w:rPr>
          <w:rFonts w:cs="Calibri"/>
          <w:b/>
          <w:bCs/>
          <w:color w:val="156082" w:themeColor="accent1"/>
          <w:szCs w:val="20"/>
          <w:lang w:val="en-US"/>
        </w:rPr>
      </w:pPr>
    </w:p>
    <w:p w14:paraId="7BB18A81" w14:textId="77777777" w:rsidR="0058027C" w:rsidRPr="005F79AC" w:rsidRDefault="0058027C" w:rsidP="003F6B66">
      <w:pPr>
        <w:rPr>
          <w:rFonts w:cs="Calibri"/>
          <w:b/>
          <w:bCs/>
          <w:color w:val="156082" w:themeColor="accent1"/>
          <w:szCs w:val="20"/>
          <w:lang w:val="en-US"/>
        </w:rPr>
      </w:pPr>
    </w:p>
    <w:p w14:paraId="69157FF5" w14:textId="77777777" w:rsidR="0058027C" w:rsidRPr="005F79AC" w:rsidRDefault="0058027C" w:rsidP="003F6B66">
      <w:pPr>
        <w:rPr>
          <w:rFonts w:cs="Calibri"/>
          <w:b/>
          <w:bCs/>
          <w:color w:val="156082" w:themeColor="accent1"/>
          <w:szCs w:val="20"/>
          <w:lang w:val="en-US"/>
        </w:rPr>
      </w:pPr>
    </w:p>
    <w:p w14:paraId="7E599BC7" w14:textId="77777777" w:rsidR="0058027C" w:rsidRPr="005F79AC" w:rsidRDefault="0058027C" w:rsidP="003F6B66">
      <w:pPr>
        <w:rPr>
          <w:rFonts w:cs="Calibri"/>
          <w:b/>
          <w:bCs/>
          <w:color w:val="156082" w:themeColor="accent1"/>
          <w:szCs w:val="20"/>
          <w:lang w:val="en-US"/>
        </w:rPr>
      </w:pPr>
    </w:p>
    <w:p w14:paraId="53D22BD5" w14:textId="77777777" w:rsidR="0058027C" w:rsidRPr="005F79AC" w:rsidRDefault="0058027C" w:rsidP="003F6B66">
      <w:pPr>
        <w:rPr>
          <w:rFonts w:cs="Calibri"/>
          <w:b/>
          <w:bCs/>
          <w:color w:val="156082" w:themeColor="accent1"/>
          <w:szCs w:val="20"/>
          <w:lang w:val="en-US"/>
        </w:rPr>
      </w:pPr>
    </w:p>
    <w:p w14:paraId="112C12C0" w14:textId="77777777" w:rsidR="00B166C9" w:rsidRDefault="00B166C9">
      <w:pPr>
        <w:spacing w:line="278" w:lineRule="auto"/>
        <w:jc w:val="left"/>
        <w:rPr>
          <w:rStyle w:val="Heading1Char"/>
        </w:rPr>
      </w:pPr>
      <w:r>
        <w:rPr>
          <w:rStyle w:val="Heading1Char"/>
          <w:b w:val="0"/>
          <w:bCs w:val="0"/>
        </w:rPr>
        <w:br w:type="page"/>
      </w:r>
    </w:p>
    <w:p w14:paraId="62F2E86B" w14:textId="6B8CBC98" w:rsidR="006E474A" w:rsidRPr="00DE1950" w:rsidRDefault="008D3D04" w:rsidP="00815270">
      <w:pPr>
        <w:pStyle w:val="Subheading"/>
        <w:rPr>
          <w:rStyle w:val="Heading1Char"/>
          <w:b/>
          <w:bCs/>
        </w:rPr>
      </w:pPr>
      <w:bookmarkStart w:id="27" w:name="_Toc220507497"/>
      <w:r w:rsidRPr="00DE1950">
        <w:rPr>
          <w:rStyle w:val="Heading1Char"/>
          <w:b/>
          <w:bCs/>
        </w:rPr>
        <w:lastRenderedPageBreak/>
        <w:t>SUMÁRIO EXECUTIVO</w:t>
      </w:r>
      <w:bookmarkEnd w:id="27"/>
    </w:p>
    <w:p w14:paraId="0093F85A" w14:textId="77777777" w:rsidR="009F584B" w:rsidRPr="00321C6C" w:rsidRDefault="009F584B" w:rsidP="009F584B">
      <w:pPr>
        <w:spacing w:after="180" w:line="274" w:lineRule="auto"/>
        <w:rPr>
          <w:rFonts w:eastAsia="Corbel" w:cs="Calibri"/>
          <w:kern w:val="0"/>
          <w14:ligatures w14:val="none"/>
        </w:rPr>
      </w:pPr>
      <w:r w:rsidRPr="00321C6C">
        <w:rPr>
          <w:rFonts w:eastAsia="Corbel" w:cs="Calibri"/>
          <w:kern w:val="0"/>
          <w14:ligatures w14:val="none"/>
        </w:rPr>
        <w:t>O presente estudo é uma</w:t>
      </w:r>
      <w:r w:rsidRPr="00DE1950">
        <w:rPr>
          <w:rFonts w:eastAsia="Corbel" w:cs="Calibri"/>
          <w:kern w:val="0"/>
          <w14:ligatures w14:val="none"/>
        </w:rPr>
        <w:t xml:space="preserve"> </w:t>
      </w:r>
      <w:r w:rsidRPr="00DE1950">
        <w:rPr>
          <w:rFonts w:eastAsia="Corbel" w:cs="Calibri"/>
          <w:b/>
          <w:kern w:val="0"/>
          <w14:ligatures w14:val="none"/>
        </w:rPr>
        <w:t>Atualização da</w:t>
      </w:r>
      <w:r w:rsidRPr="00DE1950">
        <w:rPr>
          <w:rFonts w:eastAsia="Corbel" w:cs="Calibri"/>
          <w:kern w:val="0"/>
          <w14:ligatures w14:val="none"/>
        </w:rPr>
        <w:t xml:space="preserve"> </w:t>
      </w:r>
      <w:r w:rsidRPr="00DE1950">
        <w:rPr>
          <w:rFonts w:eastAsia="Corbel" w:cs="Calibri"/>
          <w:b/>
          <w:kern w:val="0"/>
          <w14:ligatures w14:val="none"/>
        </w:rPr>
        <w:t>Análise da Cadeia de Valor da Manga na Guiné-Bissau</w:t>
      </w:r>
      <w:r w:rsidRPr="00DE1950">
        <w:rPr>
          <w:rFonts w:eastAsia="Corbel" w:cs="Calibri"/>
          <w:kern w:val="0"/>
          <w14:ligatures w14:val="none"/>
        </w:rPr>
        <w:t xml:space="preserve"> r</w:t>
      </w:r>
      <w:r w:rsidRPr="00321C6C">
        <w:rPr>
          <w:rFonts w:eastAsia="Corbel" w:cs="Calibri"/>
          <w:kern w:val="0"/>
          <w14:ligatures w14:val="none"/>
        </w:rPr>
        <w:t xml:space="preserve">ealizada em 2017, estudo desenvolvido pela </w:t>
      </w:r>
      <w:r w:rsidRPr="00321C6C">
        <w:rPr>
          <w:rFonts w:eastAsia="Corbel" w:cs="Calibri"/>
          <w:i/>
          <w:kern w:val="0"/>
          <w14:ligatures w14:val="none"/>
        </w:rPr>
        <w:t>Agrinatura - European Alliance on Agricultural Knowledge for</w:t>
      </w:r>
      <w:r w:rsidRPr="00321C6C">
        <w:rPr>
          <w:rFonts w:eastAsia="Corbel" w:cs="Calibri"/>
          <w:kern w:val="0"/>
          <w14:ligatures w14:val="none"/>
        </w:rPr>
        <w:t xml:space="preserve"> </w:t>
      </w:r>
      <w:r w:rsidRPr="00321C6C">
        <w:rPr>
          <w:rFonts w:eastAsia="Corbel" w:cs="Calibri"/>
          <w:i/>
          <w:kern w:val="0"/>
          <w14:ligatures w14:val="none"/>
        </w:rPr>
        <w:t>Development</w:t>
      </w:r>
      <w:r w:rsidRPr="00321C6C">
        <w:rPr>
          <w:rFonts w:eastAsia="Corbel" w:cs="Calibri"/>
          <w:kern w:val="0"/>
          <w14:ligatures w14:val="none"/>
        </w:rPr>
        <w:t xml:space="preserve"> a solicitação da </w:t>
      </w:r>
      <w:r w:rsidRPr="00321C6C">
        <w:rPr>
          <w:rFonts w:eastAsia="Corbel" w:cs="Calibri"/>
          <w:i/>
          <w:kern w:val="0"/>
          <w14:ligatures w14:val="none"/>
        </w:rPr>
        <w:t xml:space="preserve">International Partership (INTPA) </w:t>
      </w:r>
      <w:r w:rsidRPr="00321C6C">
        <w:rPr>
          <w:rFonts w:eastAsia="Corbel" w:cs="Calibri"/>
          <w:kern w:val="0"/>
          <w14:ligatures w14:val="none"/>
        </w:rPr>
        <w:t xml:space="preserve">da Comissão Europeia como parte do programa </w:t>
      </w:r>
      <w:r w:rsidRPr="00321C6C">
        <w:rPr>
          <w:rFonts w:eastAsia="Corbel" w:cs="Calibri"/>
          <w:i/>
          <w:kern w:val="0"/>
          <w14:ligatures w14:val="none"/>
        </w:rPr>
        <w:t>Value Chain Analysis for Development</w:t>
      </w:r>
      <w:r w:rsidRPr="00321C6C">
        <w:rPr>
          <w:rFonts w:eastAsia="Corbel" w:cs="Calibri"/>
          <w:kern w:val="0"/>
          <w14:ligatures w14:val="none"/>
        </w:rPr>
        <w:t xml:space="preserve"> (VCA4D). A atualização centra-se em três tipos de análise - funcional, económica e ambiental– e seguiu os princípios metodológicos apresentados na "</w:t>
      </w:r>
      <w:r w:rsidRPr="00321C6C">
        <w:rPr>
          <w:rFonts w:eastAsia="Corbel" w:cs="Calibri"/>
          <w:i/>
          <w:kern w:val="0"/>
          <w14:ligatures w14:val="none"/>
        </w:rPr>
        <w:t>Methodologial Brief - Frame and Tools</w:t>
      </w:r>
      <w:r w:rsidRPr="00321C6C">
        <w:rPr>
          <w:rFonts w:eastAsia="Corbel" w:cs="Calibri"/>
          <w:kern w:val="0"/>
          <w14:ligatures w14:val="none"/>
        </w:rPr>
        <w:t>" editado pela INTPA, tendo tido por base uma missão de trabalho à Guiné Bissau em Junho de 2025.</w:t>
      </w:r>
    </w:p>
    <w:p w14:paraId="47AB33A4" w14:textId="46E06381" w:rsidR="009F584B" w:rsidRPr="00321C6C" w:rsidRDefault="009F584B" w:rsidP="009F584B">
      <w:pPr>
        <w:spacing w:before="240" w:after="60" w:line="274" w:lineRule="auto"/>
        <w:rPr>
          <w:rFonts w:eastAsia="Corbel" w:cs="Calibri"/>
          <w:kern w:val="0"/>
          <w14:ligatures w14:val="none"/>
        </w:rPr>
      </w:pPr>
      <w:bookmarkStart w:id="28" w:name="_Ref504042178"/>
      <w:bookmarkStart w:id="29" w:name="_Toc504144333"/>
      <w:r w:rsidRPr="00321C6C">
        <w:rPr>
          <w:rFonts w:eastAsia="Corbel" w:cs="Calibri"/>
          <w:kern w:val="0"/>
          <w14:ligatures w14:val="none"/>
        </w:rPr>
        <w:t xml:space="preserve">A fileira da manga é relativamente simples no seu desenvolvimento estrutural e no seu aspecto funcional. A </w:t>
      </w:r>
      <w:r w:rsidRPr="00321C6C">
        <w:rPr>
          <w:rFonts w:eastAsia="Corbel" w:cs="Calibri"/>
          <w:b/>
          <w:kern w:val="0"/>
          <w14:ligatures w14:val="none"/>
        </w:rPr>
        <w:t>cadeia de valor da manga</w:t>
      </w:r>
      <w:r w:rsidRPr="00321C6C">
        <w:rPr>
          <w:rFonts w:eastAsia="Corbel" w:cs="Calibri"/>
          <w:kern w:val="0"/>
          <w14:ligatures w14:val="none"/>
        </w:rPr>
        <w:t xml:space="preserve"> refere-se à produção primária de variedades exportáveis ​​e locais e o surgimento de pequenos microprocessadores, especialmente de sumo de manga de manga. Toda a produção é comercializada em fresco, em geral por mulheres (</w:t>
      </w:r>
      <w:r w:rsidRPr="00321C6C">
        <w:rPr>
          <w:rFonts w:eastAsia="Corbel" w:cs="Calibri"/>
          <w:i/>
          <w:kern w:val="0"/>
          <w14:ligatures w14:val="none"/>
        </w:rPr>
        <w:t>bideras</w:t>
      </w:r>
      <w:r w:rsidRPr="00321C6C">
        <w:rPr>
          <w:rFonts w:eastAsia="Corbel" w:cs="Calibri"/>
          <w:kern w:val="0"/>
          <w14:ligatures w14:val="none"/>
        </w:rPr>
        <w:t>), que se ocupam da colheita e transporte, em veículos de passageiros, para mercados locais e para Bissau, a capital e o principal mercado do país. Com base em dados diversos, a produção de manga foi estimada em cerca de 11.750 toneladas líquidas, com perdas de 33%, em 2025. Existem quatro tipos de produtores de manga de acordo com a dimensão: grande produtor (20.5% da produção), mediano produtor (17%), pequeno produtor (25.5%) e produtor familiar (37%). Existem também quatro tipos de intermediários: retalhistas locais, grossistas para o mercado de Bissau, retalhistas em Bissau e exportadores, todos eles intermediários organizados num modelo informal. A maior fracção da produção de manga é comercializada nos mercados locais (25%) e em Bissau (75%). As três regiões mais importantes, no que respeita a produção, são Oio (46%), Cacheu (27%) e Bafatá (11%); e os restantes 16% no resto do país.</w:t>
      </w:r>
    </w:p>
    <w:p w14:paraId="0DE8F519" w14:textId="77777777" w:rsidR="009F584B" w:rsidRPr="00321C6C" w:rsidRDefault="009F584B" w:rsidP="009F584B">
      <w:pPr>
        <w:spacing w:before="240" w:after="60" w:line="240" w:lineRule="auto"/>
        <w:rPr>
          <w:rFonts w:eastAsia="Corbel" w:cs="Calibri"/>
          <w:kern w:val="0"/>
          <w14:ligatures w14:val="none"/>
        </w:rPr>
      </w:pPr>
      <w:r w:rsidRPr="00321C6C">
        <w:rPr>
          <w:rFonts w:eastAsia="Corbel" w:cs="Calibri"/>
          <w:kern w:val="0"/>
          <w14:ligatures w14:val="none"/>
        </w:rPr>
        <w:t>As principais mudanças entre 2017 e 2025 são as seguintes:</w:t>
      </w:r>
    </w:p>
    <w:p w14:paraId="3D0F68D8" w14:textId="77777777" w:rsidR="009F584B" w:rsidRPr="00321C6C" w:rsidRDefault="009F584B" w:rsidP="00E042D7">
      <w:pPr>
        <w:numPr>
          <w:ilvl w:val="0"/>
          <w:numId w:val="49"/>
        </w:numPr>
        <w:spacing w:before="240" w:after="60" w:line="240" w:lineRule="auto"/>
        <w:ind w:left="284" w:hanging="284"/>
        <w:contextualSpacing/>
        <w:rPr>
          <w:rFonts w:eastAsia="Corbel" w:cs="Calibri"/>
          <w:color w:val="000000"/>
          <w:kern w:val="0"/>
          <w14:ligatures w14:val="none"/>
        </w:rPr>
      </w:pPr>
      <w:r w:rsidRPr="00321C6C">
        <w:rPr>
          <w:rFonts w:eastAsia="Corbel" w:cs="Calibri"/>
          <w:color w:val="000000"/>
          <w:kern w:val="0"/>
          <w14:ligatures w14:val="none"/>
        </w:rPr>
        <w:t>Todos os produtores de manga também são produtores de cajú</w:t>
      </w:r>
    </w:p>
    <w:p w14:paraId="1335F91E" w14:textId="77777777" w:rsidR="009F584B" w:rsidRPr="00321C6C" w:rsidRDefault="009F584B" w:rsidP="00E042D7">
      <w:pPr>
        <w:numPr>
          <w:ilvl w:val="0"/>
          <w:numId w:val="49"/>
        </w:numPr>
        <w:spacing w:before="240" w:after="60" w:line="240" w:lineRule="auto"/>
        <w:ind w:left="284" w:hanging="284"/>
        <w:contextualSpacing/>
        <w:rPr>
          <w:rFonts w:eastAsia="Corbel" w:cs="Calibri"/>
          <w:color w:val="000000"/>
          <w:kern w:val="0"/>
          <w14:ligatures w14:val="none"/>
        </w:rPr>
      </w:pPr>
      <w:r w:rsidRPr="00321C6C">
        <w:rPr>
          <w:rFonts w:eastAsia="Corbel" w:cs="Calibri"/>
          <w:color w:val="000000"/>
          <w:kern w:val="0"/>
          <w14:ligatures w14:val="none"/>
        </w:rPr>
        <w:t>Desaparecimento do grande produtor/exportador “Frutas &amp;Legumes”</w:t>
      </w:r>
    </w:p>
    <w:p w14:paraId="18A2B4CA" w14:textId="77777777" w:rsidR="009F584B" w:rsidRPr="00321C6C" w:rsidRDefault="009F584B" w:rsidP="00E042D7">
      <w:pPr>
        <w:numPr>
          <w:ilvl w:val="0"/>
          <w:numId w:val="49"/>
        </w:numPr>
        <w:spacing w:before="240" w:after="60" w:line="240" w:lineRule="auto"/>
        <w:ind w:left="284" w:hanging="284"/>
        <w:contextualSpacing/>
        <w:rPr>
          <w:rFonts w:eastAsia="Corbel" w:cs="Calibri"/>
          <w:color w:val="000000"/>
          <w:kern w:val="0"/>
          <w14:ligatures w14:val="none"/>
        </w:rPr>
      </w:pPr>
      <w:r w:rsidRPr="00321C6C">
        <w:rPr>
          <w:rFonts w:eastAsia="Corbel" w:cs="Calibri"/>
          <w:color w:val="000000"/>
          <w:kern w:val="0"/>
          <w14:ligatures w14:val="none"/>
        </w:rPr>
        <w:t>Aparecimento de pequenos transformadores</w:t>
      </w:r>
    </w:p>
    <w:p w14:paraId="34FE6866" w14:textId="77777777" w:rsidR="009F584B" w:rsidRPr="00321C6C" w:rsidRDefault="009F584B" w:rsidP="00E042D7">
      <w:pPr>
        <w:numPr>
          <w:ilvl w:val="0"/>
          <w:numId w:val="49"/>
        </w:numPr>
        <w:spacing w:before="240" w:after="60" w:line="240" w:lineRule="auto"/>
        <w:ind w:left="284" w:hanging="284"/>
        <w:contextualSpacing/>
        <w:rPr>
          <w:rFonts w:eastAsia="Corbel" w:cs="Calibri"/>
          <w:color w:val="000000"/>
          <w:kern w:val="0"/>
          <w14:ligatures w14:val="none"/>
        </w:rPr>
      </w:pPr>
      <w:r w:rsidRPr="00321C6C">
        <w:rPr>
          <w:rFonts w:eastAsia="Corbel" w:cs="Calibri"/>
          <w:color w:val="000000"/>
          <w:kern w:val="0"/>
          <w14:ligatures w14:val="none"/>
        </w:rPr>
        <w:t>Aparecimento de um grande transformador industrial de frutas (MYA)</w:t>
      </w:r>
    </w:p>
    <w:p w14:paraId="1EF7E1AE" w14:textId="77777777" w:rsidR="009F584B" w:rsidRPr="00321C6C" w:rsidRDefault="009F584B" w:rsidP="00E042D7">
      <w:pPr>
        <w:numPr>
          <w:ilvl w:val="0"/>
          <w:numId w:val="49"/>
        </w:numPr>
        <w:spacing w:before="240" w:after="60" w:line="240" w:lineRule="auto"/>
        <w:ind w:left="284" w:hanging="284"/>
        <w:contextualSpacing/>
        <w:rPr>
          <w:rFonts w:eastAsia="Corbel" w:cs="Calibri"/>
          <w:color w:val="000000"/>
          <w:kern w:val="0"/>
          <w14:ligatures w14:val="none"/>
        </w:rPr>
      </w:pPr>
      <w:r w:rsidRPr="00321C6C">
        <w:rPr>
          <w:rFonts w:eastAsia="Corbel" w:cs="Calibri"/>
          <w:color w:val="000000"/>
          <w:kern w:val="0"/>
          <w14:ligatures w14:val="none"/>
        </w:rPr>
        <w:t>Agudização dos problemas fitossanitários</w:t>
      </w:r>
    </w:p>
    <w:p w14:paraId="269994C6" w14:textId="77777777" w:rsidR="009F584B" w:rsidRPr="00321C6C" w:rsidRDefault="009F584B" w:rsidP="00E042D7">
      <w:pPr>
        <w:numPr>
          <w:ilvl w:val="0"/>
          <w:numId w:val="49"/>
        </w:numPr>
        <w:spacing w:before="240" w:after="60" w:line="240" w:lineRule="auto"/>
        <w:ind w:left="284" w:hanging="284"/>
        <w:contextualSpacing/>
        <w:rPr>
          <w:rFonts w:eastAsia="Corbel" w:cs="Calibri"/>
          <w:color w:val="000000"/>
          <w:kern w:val="0"/>
          <w14:ligatures w14:val="none"/>
        </w:rPr>
      </w:pPr>
      <w:r w:rsidRPr="00321C6C">
        <w:rPr>
          <w:rFonts w:eastAsia="Corbel" w:cs="Calibri"/>
          <w:color w:val="000000"/>
          <w:kern w:val="0"/>
          <w14:ligatures w14:val="none"/>
        </w:rPr>
        <w:t>Substituição das plantações de manga por outras culturas</w:t>
      </w:r>
    </w:p>
    <w:p w14:paraId="6CED2B1F" w14:textId="77777777" w:rsidR="009F584B" w:rsidRPr="00321C6C" w:rsidRDefault="009F584B" w:rsidP="00E042D7">
      <w:pPr>
        <w:numPr>
          <w:ilvl w:val="0"/>
          <w:numId w:val="49"/>
        </w:numPr>
        <w:spacing w:before="240" w:after="60" w:line="240" w:lineRule="auto"/>
        <w:ind w:left="284" w:hanging="284"/>
        <w:contextualSpacing/>
        <w:rPr>
          <w:rFonts w:eastAsia="Corbel" w:cs="Calibri"/>
          <w:color w:val="000000"/>
          <w:kern w:val="0"/>
          <w14:ligatures w14:val="none"/>
        </w:rPr>
      </w:pPr>
      <w:r w:rsidRPr="00321C6C">
        <w:rPr>
          <w:rFonts w:eastAsia="Corbel" w:cs="Calibri"/>
          <w:color w:val="000000"/>
          <w:kern w:val="0"/>
          <w14:ligatures w14:val="none"/>
        </w:rPr>
        <w:t>Governança permanece muito fraca em todas as dimensões</w:t>
      </w:r>
    </w:p>
    <w:p w14:paraId="619C3121" w14:textId="77777777" w:rsidR="009F584B" w:rsidRPr="00321C6C" w:rsidRDefault="009F584B" w:rsidP="009F584B">
      <w:pPr>
        <w:spacing w:before="240" w:after="60" w:line="274" w:lineRule="auto"/>
        <w:rPr>
          <w:rFonts w:eastAsia="Corbel" w:cs="Calibri"/>
          <w:kern w:val="0"/>
          <w14:ligatures w14:val="none"/>
        </w:rPr>
      </w:pPr>
      <w:r w:rsidRPr="00321C6C">
        <w:rPr>
          <w:rFonts w:eastAsia="Corbel" w:cs="Calibri"/>
          <w:kern w:val="0"/>
          <w14:ligatures w14:val="none"/>
        </w:rPr>
        <w:t xml:space="preserve">A </w:t>
      </w:r>
      <w:r w:rsidRPr="00321C6C">
        <w:rPr>
          <w:rFonts w:eastAsia="Corbel" w:cs="Calibri"/>
          <w:b/>
          <w:kern w:val="0"/>
          <w14:ligatures w14:val="none"/>
        </w:rPr>
        <w:t>análise económica</w:t>
      </w:r>
      <w:r w:rsidRPr="00321C6C">
        <w:rPr>
          <w:rFonts w:eastAsia="Corbel" w:cs="Calibri"/>
          <w:kern w:val="0"/>
          <w14:ligatures w14:val="none"/>
        </w:rPr>
        <w:t xml:space="preserve"> da cadeia de valor da manga teve como objetivo responder a duas questões principais: i) a cadeia de valor contribui para um crescimento económico?  e ii) o crescimento económico é inclusivo? </w:t>
      </w:r>
      <w:r w:rsidRPr="00321C6C">
        <w:rPr>
          <w:rFonts w:eastAsia="Corbel" w:cs="Calibri"/>
          <w:kern w:val="0"/>
          <w:sz w:val="2"/>
          <w:szCs w:val="2"/>
          <w14:ligatures w14:val="none"/>
        </w:rPr>
        <w:t>0F</w:t>
      </w:r>
      <w:r w:rsidRPr="00321C6C">
        <w:rPr>
          <w:rFonts w:eastAsia="Corbel" w:cs="Calibri"/>
          <w:kern w:val="0"/>
          <w14:ligatures w14:val="none"/>
        </w:rPr>
        <w:t>. Os principais indicadores económicos em 2017 e 2025 são seguidamente apresentados.</w:t>
      </w:r>
    </w:p>
    <w:p w14:paraId="780757D9" w14:textId="77777777" w:rsidR="009F584B" w:rsidRPr="00321C6C" w:rsidRDefault="009F584B" w:rsidP="009F584B">
      <w:pPr>
        <w:spacing w:before="240" w:after="60" w:line="274" w:lineRule="auto"/>
        <w:rPr>
          <w:rFonts w:eastAsia="Corbel" w:cs="Calibri"/>
          <w:kern w:val="0"/>
          <w:sz w:val="2"/>
          <w14:ligatures w14:val="none"/>
        </w:rPr>
      </w:pPr>
    </w:p>
    <w:bookmarkEnd w:id="28"/>
    <w:p w14:paraId="4CC224D4" w14:textId="77777777" w:rsidR="009F584B" w:rsidRPr="00321C6C" w:rsidRDefault="009F584B" w:rsidP="009F584B">
      <w:pPr>
        <w:spacing w:after="0" w:line="240" w:lineRule="auto"/>
        <w:jc w:val="center"/>
        <w:rPr>
          <w:rFonts w:eastAsia="MS Mincho" w:cs="Calibri"/>
          <w:bCs/>
          <w:i/>
          <w:smallCaps/>
          <w:noProof/>
          <w:color w:val="000000"/>
          <w:spacing w:val="6"/>
          <w:kern w:val="0"/>
          <w:sz w:val="18"/>
          <w:szCs w:val="18"/>
          <w:lang w:bidi="hi-IN"/>
          <w14:ligatures w14:val="none"/>
        </w:rPr>
      </w:pPr>
      <w:r w:rsidRPr="00321C6C">
        <w:rPr>
          <w:rFonts w:eastAsia="MS Mincho" w:cs="Calibri"/>
          <w:bCs/>
          <w:i/>
          <w:smallCaps/>
          <w:noProof/>
          <w:color w:val="000000"/>
          <w:spacing w:val="6"/>
          <w:kern w:val="0"/>
          <w:sz w:val="18"/>
          <w:szCs w:val="18"/>
          <w:lang w:bidi="hi-IN"/>
          <w14:ligatures w14:val="none"/>
        </w:rPr>
        <w:t>Indicadores da análise económica da cadeia de valor da manga 2017</w:t>
      </w:r>
      <w:bookmarkEnd w:id="29"/>
      <w:r w:rsidRPr="00321C6C">
        <w:rPr>
          <w:rFonts w:eastAsia="MS Mincho" w:cs="Calibri"/>
          <w:bCs/>
          <w:i/>
          <w:smallCaps/>
          <w:noProof/>
          <w:color w:val="000000"/>
          <w:spacing w:val="6"/>
          <w:kern w:val="0"/>
          <w:sz w:val="18"/>
          <w:szCs w:val="18"/>
          <w:lang w:bidi="hi-IN"/>
          <w14:ligatures w14:val="none"/>
        </w:rPr>
        <w:t xml:space="preserve"> e 2025</w:t>
      </w:r>
    </w:p>
    <w:tbl>
      <w:tblPr>
        <w:tblStyle w:val="Sombreadoclaro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57"/>
        <w:gridCol w:w="1821"/>
        <w:gridCol w:w="1843"/>
      </w:tblGrid>
      <w:tr w:rsidR="009F584B" w:rsidRPr="00736190" w14:paraId="6ED63CDD" w14:textId="77777777" w:rsidTr="00321C6C">
        <w:trPr>
          <w:cnfStyle w:val="100000000000" w:firstRow="1" w:lastRow="0" w:firstColumn="0" w:lastColumn="0" w:oddVBand="0" w:evenVBand="0" w:oddHBand="0" w:evenHBand="0" w:firstRowFirstColumn="0" w:firstRowLastColumn="0" w:lastRowFirstColumn="0" w:lastRowLastColumn="0"/>
          <w:trHeight w:val="349"/>
          <w:tblHeader/>
          <w:jc w:val="center"/>
        </w:trPr>
        <w:tc>
          <w:tcPr>
            <w:cnfStyle w:val="001000000000" w:firstRow="0" w:lastRow="0" w:firstColumn="1" w:lastColumn="0" w:oddVBand="0" w:evenVBand="0" w:oddHBand="0" w:evenHBand="0" w:firstRowFirstColumn="0" w:firstRowLastColumn="0" w:lastRowFirstColumn="0" w:lastRowLastColumn="0"/>
            <w:tcW w:w="2857" w:type="dxa"/>
            <w:shd w:val="clear" w:color="auto" w:fill="336666"/>
            <w:vAlign w:val="center"/>
          </w:tcPr>
          <w:p w14:paraId="4F0BC2BD" w14:textId="77777777" w:rsidR="009F584B" w:rsidRPr="00736190" w:rsidRDefault="009F584B" w:rsidP="00E1510A">
            <w:pPr>
              <w:spacing w:after="180" w:line="274" w:lineRule="auto"/>
              <w:jc w:val="center"/>
              <w:rPr>
                <w:rFonts w:eastAsia="Corbel" w:cs="Calibri"/>
                <w:color w:val="FFFFFF"/>
                <w:sz w:val="17"/>
                <w:szCs w:val="17"/>
              </w:rPr>
            </w:pPr>
            <w:r w:rsidRPr="00736190">
              <w:rPr>
                <w:rFonts w:eastAsia="Corbel" w:cs="Calibri"/>
                <w:color w:val="FFFFFF"/>
                <w:sz w:val="17"/>
                <w:szCs w:val="17"/>
              </w:rPr>
              <w:t>Item</w:t>
            </w:r>
          </w:p>
        </w:tc>
        <w:tc>
          <w:tcPr>
            <w:tcW w:w="1821" w:type="dxa"/>
            <w:shd w:val="clear" w:color="auto" w:fill="336666"/>
            <w:vAlign w:val="center"/>
          </w:tcPr>
          <w:p w14:paraId="113AB1D1" w14:textId="77777777" w:rsidR="009F584B" w:rsidRPr="00736190" w:rsidRDefault="009F584B" w:rsidP="00E1510A">
            <w:pPr>
              <w:spacing w:after="180" w:line="274" w:lineRule="auto"/>
              <w:jc w:val="center"/>
              <w:cnfStyle w:val="100000000000" w:firstRow="1" w:lastRow="0" w:firstColumn="0" w:lastColumn="0" w:oddVBand="0" w:evenVBand="0" w:oddHBand="0" w:evenHBand="0" w:firstRowFirstColumn="0" w:firstRowLastColumn="0" w:lastRowFirstColumn="0" w:lastRowLastColumn="0"/>
              <w:rPr>
                <w:rFonts w:eastAsia="Corbel" w:cs="Calibri"/>
                <w:color w:val="FFFFFF"/>
                <w:sz w:val="17"/>
                <w:szCs w:val="17"/>
              </w:rPr>
            </w:pPr>
            <w:r w:rsidRPr="00736190">
              <w:rPr>
                <w:rFonts w:eastAsia="Corbel" w:cs="Calibri"/>
                <w:color w:val="FFFFFF"/>
                <w:sz w:val="17"/>
                <w:szCs w:val="17"/>
              </w:rPr>
              <w:t>2017</w:t>
            </w:r>
          </w:p>
        </w:tc>
        <w:tc>
          <w:tcPr>
            <w:tcW w:w="1843" w:type="dxa"/>
            <w:shd w:val="clear" w:color="auto" w:fill="336666"/>
            <w:vAlign w:val="center"/>
          </w:tcPr>
          <w:p w14:paraId="13C45AA6" w14:textId="77777777" w:rsidR="009F584B" w:rsidRPr="00736190" w:rsidRDefault="009F584B" w:rsidP="00E1510A">
            <w:pPr>
              <w:spacing w:after="180" w:line="274" w:lineRule="auto"/>
              <w:jc w:val="center"/>
              <w:cnfStyle w:val="100000000000" w:firstRow="1" w:lastRow="0" w:firstColumn="0" w:lastColumn="0" w:oddVBand="0" w:evenVBand="0" w:oddHBand="0" w:evenHBand="0" w:firstRowFirstColumn="0" w:firstRowLastColumn="0" w:lastRowFirstColumn="0" w:lastRowLastColumn="0"/>
              <w:rPr>
                <w:rFonts w:eastAsia="Corbel" w:cs="Calibri"/>
                <w:color w:val="FFFFFF"/>
                <w:sz w:val="17"/>
                <w:szCs w:val="17"/>
              </w:rPr>
            </w:pPr>
            <w:r w:rsidRPr="00736190">
              <w:rPr>
                <w:rFonts w:eastAsia="Corbel" w:cs="Calibri"/>
                <w:color w:val="FFFFFF"/>
                <w:sz w:val="17"/>
                <w:szCs w:val="17"/>
              </w:rPr>
              <w:t>2025</w:t>
            </w:r>
          </w:p>
        </w:tc>
      </w:tr>
      <w:tr w:rsidR="009F584B" w:rsidRPr="00736190" w14:paraId="09D90BF6" w14:textId="77777777" w:rsidTr="00E1510A">
        <w:trPr>
          <w:trHeight w:val="171"/>
          <w:jc w:val="center"/>
        </w:trPr>
        <w:tc>
          <w:tcPr>
            <w:cnfStyle w:val="001000000000" w:firstRow="0" w:lastRow="0" w:firstColumn="1" w:lastColumn="0" w:oddVBand="0" w:evenVBand="0" w:oddHBand="0" w:evenHBand="0" w:firstRowFirstColumn="0" w:firstRowLastColumn="0" w:lastRowFirstColumn="0" w:lastRowLastColumn="0"/>
            <w:tcW w:w="2857" w:type="dxa"/>
          </w:tcPr>
          <w:p w14:paraId="2BE9CAB8" w14:textId="39EC84E9" w:rsidR="009F584B" w:rsidRPr="00736190" w:rsidRDefault="009F584B" w:rsidP="00E1510A">
            <w:pPr>
              <w:spacing w:after="180" w:line="274" w:lineRule="auto"/>
              <w:ind w:left="29"/>
              <w:rPr>
                <w:rFonts w:eastAsia="Corbel" w:cs="Calibri"/>
                <w:b w:val="0"/>
                <w:bCs w:val="0"/>
                <w:sz w:val="17"/>
                <w:szCs w:val="17"/>
              </w:rPr>
            </w:pPr>
            <w:r w:rsidRPr="00736190">
              <w:rPr>
                <w:rFonts w:eastAsia="Corbel" w:cs="Calibri"/>
                <w:b w:val="0"/>
                <w:bCs w:val="0"/>
                <w:sz w:val="17"/>
                <w:szCs w:val="17"/>
              </w:rPr>
              <w:t xml:space="preserve">Produção </w:t>
            </w:r>
            <w:r w:rsidR="00736190" w:rsidRPr="00736190">
              <w:rPr>
                <w:rFonts w:eastAsia="Corbel" w:cs="Calibri"/>
                <w:b w:val="0"/>
                <w:bCs w:val="0"/>
                <w:sz w:val="17"/>
                <w:szCs w:val="17"/>
              </w:rPr>
              <w:t>líquida</w:t>
            </w:r>
            <w:r w:rsidRPr="00736190">
              <w:rPr>
                <w:rFonts w:eastAsia="Corbel" w:cs="Calibri"/>
                <w:b w:val="0"/>
                <w:bCs w:val="0"/>
                <w:sz w:val="17"/>
                <w:szCs w:val="17"/>
              </w:rPr>
              <w:t xml:space="preserve"> da manga (t)</w:t>
            </w:r>
          </w:p>
        </w:tc>
        <w:tc>
          <w:tcPr>
            <w:tcW w:w="1821" w:type="dxa"/>
          </w:tcPr>
          <w:p w14:paraId="4312C5FE" w14:textId="77777777" w:rsidR="009F584B" w:rsidRPr="00736190" w:rsidRDefault="009F584B" w:rsidP="00E1510A">
            <w:pPr>
              <w:spacing w:after="180" w:line="274" w:lineRule="auto"/>
              <w:jc w:val="right"/>
              <w:cnfStyle w:val="000000000000" w:firstRow="0" w:lastRow="0" w:firstColumn="0" w:lastColumn="0" w:oddVBand="0" w:evenVBand="0" w:oddHBand="0" w:evenHBand="0" w:firstRowFirstColumn="0" w:firstRowLastColumn="0" w:lastRowFirstColumn="0" w:lastRowLastColumn="0"/>
              <w:rPr>
                <w:rFonts w:eastAsia="Corbel" w:cs="Calibri"/>
                <w:sz w:val="17"/>
                <w:szCs w:val="17"/>
              </w:rPr>
            </w:pPr>
            <w:r w:rsidRPr="00736190">
              <w:rPr>
                <w:rFonts w:eastAsia="Corbel" w:cs="Calibri"/>
                <w:sz w:val="17"/>
                <w:szCs w:val="17"/>
              </w:rPr>
              <w:t>9.000</w:t>
            </w:r>
          </w:p>
        </w:tc>
        <w:tc>
          <w:tcPr>
            <w:tcW w:w="1843" w:type="dxa"/>
          </w:tcPr>
          <w:p w14:paraId="4242703F" w14:textId="77777777" w:rsidR="009F584B" w:rsidRPr="00736190" w:rsidRDefault="009F584B" w:rsidP="00E1510A">
            <w:pPr>
              <w:spacing w:after="180" w:line="274" w:lineRule="auto"/>
              <w:jc w:val="right"/>
              <w:cnfStyle w:val="000000000000" w:firstRow="0" w:lastRow="0" w:firstColumn="0" w:lastColumn="0" w:oddVBand="0" w:evenVBand="0" w:oddHBand="0" w:evenHBand="0" w:firstRowFirstColumn="0" w:firstRowLastColumn="0" w:lastRowFirstColumn="0" w:lastRowLastColumn="0"/>
              <w:rPr>
                <w:rFonts w:eastAsia="Corbel" w:cs="Calibri"/>
                <w:sz w:val="17"/>
                <w:szCs w:val="17"/>
              </w:rPr>
            </w:pPr>
            <w:r w:rsidRPr="00736190">
              <w:rPr>
                <w:rFonts w:eastAsia="Corbel" w:cs="Calibri"/>
                <w:sz w:val="17"/>
                <w:szCs w:val="17"/>
              </w:rPr>
              <w:t>11.750</w:t>
            </w:r>
          </w:p>
        </w:tc>
      </w:tr>
      <w:tr w:rsidR="009F584B" w:rsidRPr="00736190" w14:paraId="101B556C" w14:textId="77777777" w:rsidTr="00E1510A">
        <w:trPr>
          <w:trHeight w:val="171"/>
          <w:jc w:val="center"/>
        </w:trPr>
        <w:tc>
          <w:tcPr>
            <w:cnfStyle w:val="001000000000" w:firstRow="0" w:lastRow="0" w:firstColumn="1" w:lastColumn="0" w:oddVBand="0" w:evenVBand="0" w:oddHBand="0" w:evenHBand="0" w:firstRowFirstColumn="0" w:firstRowLastColumn="0" w:lastRowFirstColumn="0" w:lastRowLastColumn="0"/>
            <w:tcW w:w="2857" w:type="dxa"/>
          </w:tcPr>
          <w:p w14:paraId="66ACA57F" w14:textId="77777777" w:rsidR="009F584B" w:rsidRPr="00736190" w:rsidRDefault="009F584B" w:rsidP="00E1510A">
            <w:pPr>
              <w:spacing w:after="180" w:line="274" w:lineRule="auto"/>
              <w:ind w:left="29"/>
              <w:rPr>
                <w:rFonts w:eastAsia="Corbel" w:cs="Calibri"/>
                <w:b w:val="0"/>
                <w:bCs w:val="0"/>
                <w:sz w:val="17"/>
                <w:szCs w:val="17"/>
              </w:rPr>
            </w:pPr>
            <w:r w:rsidRPr="00736190">
              <w:rPr>
                <w:rFonts w:eastAsia="Corbel" w:cs="Calibri"/>
                <w:b w:val="0"/>
                <w:bCs w:val="0"/>
                <w:sz w:val="17"/>
                <w:szCs w:val="17"/>
              </w:rPr>
              <w:t>Valor de produção</w:t>
            </w:r>
          </w:p>
        </w:tc>
        <w:tc>
          <w:tcPr>
            <w:tcW w:w="1821" w:type="dxa"/>
          </w:tcPr>
          <w:p w14:paraId="0855DDC5" w14:textId="77777777" w:rsidR="009F584B" w:rsidRPr="00736190" w:rsidRDefault="009F584B" w:rsidP="00E1510A">
            <w:pPr>
              <w:spacing w:after="180" w:line="274" w:lineRule="auto"/>
              <w:jc w:val="right"/>
              <w:cnfStyle w:val="000000000000" w:firstRow="0" w:lastRow="0" w:firstColumn="0" w:lastColumn="0" w:oddVBand="0" w:evenVBand="0" w:oddHBand="0" w:evenHBand="0" w:firstRowFirstColumn="0" w:firstRowLastColumn="0" w:lastRowFirstColumn="0" w:lastRowLastColumn="0"/>
              <w:rPr>
                <w:rFonts w:eastAsia="Corbel" w:cs="Calibri"/>
                <w:sz w:val="17"/>
                <w:szCs w:val="17"/>
              </w:rPr>
            </w:pPr>
            <w:r w:rsidRPr="00736190">
              <w:rPr>
                <w:rFonts w:eastAsia="Corbel" w:cs="Calibri"/>
                <w:sz w:val="17"/>
                <w:szCs w:val="17"/>
              </w:rPr>
              <w:t>5,6 milhões €</w:t>
            </w:r>
          </w:p>
        </w:tc>
        <w:tc>
          <w:tcPr>
            <w:tcW w:w="1843" w:type="dxa"/>
          </w:tcPr>
          <w:p w14:paraId="61297FDE" w14:textId="77777777" w:rsidR="009F584B" w:rsidRPr="00736190" w:rsidRDefault="009F584B" w:rsidP="00E1510A">
            <w:pPr>
              <w:spacing w:after="180" w:line="274" w:lineRule="auto"/>
              <w:jc w:val="right"/>
              <w:cnfStyle w:val="000000000000" w:firstRow="0" w:lastRow="0" w:firstColumn="0" w:lastColumn="0" w:oddVBand="0" w:evenVBand="0" w:oddHBand="0" w:evenHBand="0" w:firstRowFirstColumn="0" w:firstRowLastColumn="0" w:lastRowFirstColumn="0" w:lastRowLastColumn="0"/>
              <w:rPr>
                <w:rFonts w:eastAsia="Corbel" w:cs="Calibri"/>
                <w:sz w:val="17"/>
                <w:szCs w:val="17"/>
              </w:rPr>
            </w:pPr>
            <w:r w:rsidRPr="00736190">
              <w:rPr>
                <w:rFonts w:eastAsia="Corbel" w:cs="Calibri"/>
                <w:sz w:val="17"/>
                <w:szCs w:val="17"/>
              </w:rPr>
              <w:t xml:space="preserve">8,7 milhões € </w:t>
            </w:r>
          </w:p>
        </w:tc>
      </w:tr>
      <w:tr w:rsidR="009F584B" w:rsidRPr="00736190" w14:paraId="472DD90D" w14:textId="77777777" w:rsidTr="00E1510A">
        <w:trPr>
          <w:trHeight w:val="171"/>
          <w:jc w:val="center"/>
        </w:trPr>
        <w:tc>
          <w:tcPr>
            <w:cnfStyle w:val="001000000000" w:firstRow="0" w:lastRow="0" w:firstColumn="1" w:lastColumn="0" w:oddVBand="0" w:evenVBand="0" w:oddHBand="0" w:evenHBand="0" w:firstRowFirstColumn="0" w:firstRowLastColumn="0" w:lastRowFirstColumn="0" w:lastRowLastColumn="0"/>
            <w:tcW w:w="2857" w:type="dxa"/>
          </w:tcPr>
          <w:p w14:paraId="03A8C7AF" w14:textId="77777777" w:rsidR="009F584B" w:rsidRPr="00736190" w:rsidRDefault="009F584B" w:rsidP="00E1510A">
            <w:pPr>
              <w:spacing w:after="180" w:line="274" w:lineRule="auto"/>
              <w:ind w:left="29"/>
              <w:rPr>
                <w:rFonts w:eastAsia="Corbel" w:cs="Calibri"/>
                <w:b w:val="0"/>
                <w:bCs w:val="0"/>
                <w:sz w:val="17"/>
                <w:szCs w:val="17"/>
              </w:rPr>
            </w:pPr>
            <w:r w:rsidRPr="00736190">
              <w:rPr>
                <w:rFonts w:eastAsia="Corbel" w:cs="Calibri"/>
                <w:b w:val="0"/>
                <w:bCs w:val="0"/>
                <w:sz w:val="17"/>
                <w:szCs w:val="17"/>
              </w:rPr>
              <w:t>Rentabilidade financeira</w:t>
            </w:r>
          </w:p>
        </w:tc>
        <w:tc>
          <w:tcPr>
            <w:tcW w:w="1821" w:type="dxa"/>
          </w:tcPr>
          <w:p w14:paraId="7D0147EE" w14:textId="77777777" w:rsidR="009F584B" w:rsidRPr="00736190" w:rsidRDefault="009F584B" w:rsidP="00E1510A">
            <w:pPr>
              <w:spacing w:after="180" w:line="274" w:lineRule="auto"/>
              <w:jc w:val="right"/>
              <w:cnfStyle w:val="000000000000" w:firstRow="0" w:lastRow="0" w:firstColumn="0" w:lastColumn="0" w:oddVBand="0" w:evenVBand="0" w:oddHBand="0" w:evenHBand="0" w:firstRowFirstColumn="0" w:firstRowLastColumn="0" w:lastRowFirstColumn="0" w:lastRowLastColumn="0"/>
              <w:rPr>
                <w:rFonts w:eastAsia="Corbel" w:cs="Calibri"/>
                <w:sz w:val="17"/>
                <w:szCs w:val="17"/>
              </w:rPr>
            </w:pPr>
            <w:r w:rsidRPr="00736190">
              <w:rPr>
                <w:rFonts w:eastAsia="Corbel" w:cs="Calibri"/>
                <w:sz w:val="17"/>
                <w:szCs w:val="17"/>
              </w:rPr>
              <w:t>8% e 91%*</w:t>
            </w:r>
          </w:p>
        </w:tc>
        <w:tc>
          <w:tcPr>
            <w:tcW w:w="1843" w:type="dxa"/>
          </w:tcPr>
          <w:p w14:paraId="353180FA" w14:textId="77777777" w:rsidR="009F584B" w:rsidRPr="00736190" w:rsidRDefault="009F584B" w:rsidP="00E1510A">
            <w:pPr>
              <w:spacing w:after="180" w:line="274" w:lineRule="auto"/>
              <w:jc w:val="right"/>
              <w:cnfStyle w:val="000000000000" w:firstRow="0" w:lastRow="0" w:firstColumn="0" w:lastColumn="0" w:oddVBand="0" w:evenVBand="0" w:oddHBand="0" w:evenHBand="0" w:firstRowFirstColumn="0" w:firstRowLastColumn="0" w:lastRowFirstColumn="0" w:lastRowLastColumn="0"/>
              <w:rPr>
                <w:rFonts w:eastAsia="Corbel" w:cs="Calibri"/>
                <w:sz w:val="17"/>
                <w:szCs w:val="17"/>
              </w:rPr>
            </w:pPr>
            <w:r w:rsidRPr="00736190">
              <w:rPr>
                <w:rFonts w:eastAsia="Corbel" w:cs="Calibri"/>
                <w:sz w:val="17"/>
                <w:szCs w:val="17"/>
              </w:rPr>
              <w:t>0% e 50%</w:t>
            </w:r>
          </w:p>
        </w:tc>
      </w:tr>
      <w:tr w:rsidR="009F584B" w:rsidRPr="00736190" w14:paraId="53ADE0FF" w14:textId="77777777" w:rsidTr="00E1510A">
        <w:trPr>
          <w:trHeight w:val="287"/>
          <w:jc w:val="center"/>
        </w:trPr>
        <w:tc>
          <w:tcPr>
            <w:cnfStyle w:val="001000000000" w:firstRow="0" w:lastRow="0" w:firstColumn="1" w:lastColumn="0" w:oddVBand="0" w:evenVBand="0" w:oddHBand="0" w:evenHBand="0" w:firstRowFirstColumn="0" w:firstRowLastColumn="0" w:lastRowFirstColumn="0" w:lastRowLastColumn="0"/>
            <w:tcW w:w="2857" w:type="dxa"/>
          </w:tcPr>
          <w:p w14:paraId="44ECA695" w14:textId="77777777" w:rsidR="009F584B" w:rsidRPr="00736190" w:rsidRDefault="009F584B" w:rsidP="00E1510A">
            <w:pPr>
              <w:spacing w:after="180" w:line="274" w:lineRule="auto"/>
              <w:rPr>
                <w:rFonts w:eastAsia="Corbel" w:cs="Calibri"/>
                <w:b w:val="0"/>
                <w:bCs w:val="0"/>
                <w:sz w:val="17"/>
                <w:szCs w:val="17"/>
              </w:rPr>
            </w:pPr>
            <w:r w:rsidRPr="00736190">
              <w:rPr>
                <w:rFonts w:eastAsia="Corbel" w:cs="Calibri"/>
                <w:b w:val="0"/>
                <w:bCs w:val="0"/>
                <w:sz w:val="17"/>
                <w:szCs w:val="17"/>
              </w:rPr>
              <w:t>Contribuição PIB</w:t>
            </w:r>
          </w:p>
        </w:tc>
        <w:tc>
          <w:tcPr>
            <w:tcW w:w="1821" w:type="dxa"/>
          </w:tcPr>
          <w:p w14:paraId="45BF7A52" w14:textId="77777777" w:rsidR="009F584B" w:rsidRPr="00736190" w:rsidRDefault="009F584B" w:rsidP="00E1510A">
            <w:pPr>
              <w:spacing w:after="180" w:line="274" w:lineRule="auto"/>
              <w:jc w:val="right"/>
              <w:cnfStyle w:val="000000000000" w:firstRow="0" w:lastRow="0" w:firstColumn="0" w:lastColumn="0" w:oddVBand="0" w:evenVBand="0" w:oddHBand="0" w:evenHBand="0" w:firstRowFirstColumn="0" w:firstRowLastColumn="0" w:lastRowFirstColumn="0" w:lastRowLastColumn="0"/>
              <w:rPr>
                <w:rFonts w:eastAsia="Corbel" w:cs="Calibri"/>
                <w:sz w:val="17"/>
                <w:szCs w:val="17"/>
              </w:rPr>
            </w:pPr>
            <w:r w:rsidRPr="00736190">
              <w:rPr>
                <w:rFonts w:eastAsia="Corbel" w:cs="Calibri"/>
                <w:sz w:val="17"/>
                <w:szCs w:val="17"/>
              </w:rPr>
              <w:t>0.56%</w:t>
            </w:r>
          </w:p>
        </w:tc>
        <w:tc>
          <w:tcPr>
            <w:tcW w:w="1843" w:type="dxa"/>
          </w:tcPr>
          <w:p w14:paraId="5DC46D9C" w14:textId="77777777" w:rsidR="009F584B" w:rsidRPr="00736190" w:rsidRDefault="009F584B" w:rsidP="00E1510A">
            <w:pPr>
              <w:spacing w:after="180" w:line="274" w:lineRule="auto"/>
              <w:jc w:val="right"/>
              <w:cnfStyle w:val="000000000000" w:firstRow="0" w:lastRow="0" w:firstColumn="0" w:lastColumn="0" w:oddVBand="0" w:evenVBand="0" w:oddHBand="0" w:evenHBand="0" w:firstRowFirstColumn="0" w:firstRowLastColumn="0" w:lastRowFirstColumn="0" w:lastRowLastColumn="0"/>
              <w:rPr>
                <w:rFonts w:eastAsia="Corbel" w:cs="Calibri"/>
                <w:sz w:val="17"/>
                <w:szCs w:val="17"/>
              </w:rPr>
            </w:pPr>
            <w:r w:rsidRPr="00736190">
              <w:rPr>
                <w:rFonts w:eastAsia="Corbel" w:cs="Calibri"/>
                <w:sz w:val="17"/>
                <w:szCs w:val="17"/>
              </w:rPr>
              <w:t>0.4%</w:t>
            </w:r>
          </w:p>
        </w:tc>
      </w:tr>
      <w:tr w:rsidR="009F584B" w:rsidRPr="00736190" w14:paraId="044F2012" w14:textId="77777777" w:rsidTr="00E1510A">
        <w:trPr>
          <w:jc w:val="center"/>
        </w:trPr>
        <w:tc>
          <w:tcPr>
            <w:cnfStyle w:val="001000000000" w:firstRow="0" w:lastRow="0" w:firstColumn="1" w:lastColumn="0" w:oddVBand="0" w:evenVBand="0" w:oddHBand="0" w:evenHBand="0" w:firstRowFirstColumn="0" w:firstRowLastColumn="0" w:lastRowFirstColumn="0" w:lastRowLastColumn="0"/>
            <w:tcW w:w="2857" w:type="dxa"/>
          </w:tcPr>
          <w:p w14:paraId="509D82FB" w14:textId="77777777" w:rsidR="009F584B" w:rsidRPr="00736190" w:rsidRDefault="009F584B" w:rsidP="00E1510A">
            <w:pPr>
              <w:spacing w:after="180" w:line="274" w:lineRule="auto"/>
              <w:rPr>
                <w:rFonts w:eastAsia="Corbel" w:cs="Calibri"/>
                <w:b w:val="0"/>
                <w:bCs w:val="0"/>
                <w:sz w:val="17"/>
                <w:szCs w:val="17"/>
              </w:rPr>
            </w:pPr>
            <w:r w:rsidRPr="00736190">
              <w:rPr>
                <w:rFonts w:eastAsia="Corbel" w:cs="Calibri"/>
                <w:b w:val="0"/>
                <w:bCs w:val="0"/>
                <w:sz w:val="17"/>
                <w:szCs w:val="17"/>
              </w:rPr>
              <w:t>Contribuição PIB agrícola</w:t>
            </w:r>
          </w:p>
        </w:tc>
        <w:tc>
          <w:tcPr>
            <w:tcW w:w="1821" w:type="dxa"/>
          </w:tcPr>
          <w:p w14:paraId="45B6CA0C" w14:textId="77777777" w:rsidR="009F584B" w:rsidRPr="00736190" w:rsidRDefault="009F584B" w:rsidP="00E1510A">
            <w:pPr>
              <w:spacing w:after="180" w:line="274" w:lineRule="auto"/>
              <w:jc w:val="right"/>
              <w:cnfStyle w:val="000000000000" w:firstRow="0" w:lastRow="0" w:firstColumn="0" w:lastColumn="0" w:oddVBand="0" w:evenVBand="0" w:oddHBand="0" w:evenHBand="0" w:firstRowFirstColumn="0" w:firstRowLastColumn="0" w:lastRowFirstColumn="0" w:lastRowLastColumn="0"/>
              <w:rPr>
                <w:rFonts w:eastAsia="Corbel" w:cs="Calibri"/>
                <w:sz w:val="17"/>
                <w:szCs w:val="17"/>
              </w:rPr>
            </w:pPr>
            <w:r w:rsidRPr="00736190">
              <w:rPr>
                <w:rFonts w:eastAsia="Corbel" w:cs="Calibri"/>
                <w:sz w:val="17"/>
                <w:szCs w:val="17"/>
              </w:rPr>
              <w:t>0.83%</w:t>
            </w:r>
          </w:p>
        </w:tc>
        <w:tc>
          <w:tcPr>
            <w:tcW w:w="1843" w:type="dxa"/>
          </w:tcPr>
          <w:p w14:paraId="107219A9" w14:textId="77777777" w:rsidR="009F584B" w:rsidRPr="00736190" w:rsidRDefault="009F584B" w:rsidP="00E1510A">
            <w:pPr>
              <w:spacing w:after="180" w:line="274" w:lineRule="auto"/>
              <w:jc w:val="right"/>
              <w:cnfStyle w:val="000000000000" w:firstRow="0" w:lastRow="0" w:firstColumn="0" w:lastColumn="0" w:oddVBand="0" w:evenVBand="0" w:oddHBand="0" w:evenHBand="0" w:firstRowFirstColumn="0" w:firstRowLastColumn="0" w:lastRowFirstColumn="0" w:lastRowLastColumn="0"/>
              <w:rPr>
                <w:rFonts w:eastAsia="Corbel" w:cs="Calibri"/>
                <w:sz w:val="17"/>
                <w:szCs w:val="17"/>
              </w:rPr>
            </w:pPr>
            <w:r w:rsidRPr="00736190">
              <w:rPr>
                <w:rFonts w:eastAsia="Corbel" w:cs="Calibri"/>
                <w:sz w:val="17"/>
                <w:szCs w:val="17"/>
              </w:rPr>
              <w:t>1.2%</w:t>
            </w:r>
          </w:p>
        </w:tc>
      </w:tr>
      <w:tr w:rsidR="009F584B" w:rsidRPr="00736190" w14:paraId="3FAFE56C" w14:textId="77777777" w:rsidTr="00E1510A">
        <w:trPr>
          <w:jc w:val="center"/>
        </w:trPr>
        <w:tc>
          <w:tcPr>
            <w:cnfStyle w:val="001000000000" w:firstRow="0" w:lastRow="0" w:firstColumn="1" w:lastColumn="0" w:oddVBand="0" w:evenVBand="0" w:oddHBand="0" w:evenHBand="0" w:firstRowFirstColumn="0" w:firstRowLastColumn="0" w:lastRowFirstColumn="0" w:lastRowLastColumn="0"/>
            <w:tcW w:w="2857" w:type="dxa"/>
          </w:tcPr>
          <w:p w14:paraId="6A8E0470" w14:textId="77777777" w:rsidR="009F584B" w:rsidRPr="00736190" w:rsidRDefault="009F584B" w:rsidP="00E1510A">
            <w:pPr>
              <w:spacing w:after="180" w:line="274" w:lineRule="auto"/>
              <w:rPr>
                <w:rFonts w:eastAsia="Corbel" w:cs="Calibri"/>
                <w:b w:val="0"/>
                <w:bCs w:val="0"/>
                <w:sz w:val="17"/>
                <w:szCs w:val="17"/>
              </w:rPr>
            </w:pPr>
            <w:r w:rsidRPr="00736190">
              <w:rPr>
                <w:rFonts w:eastAsia="Corbel" w:cs="Calibri"/>
                <w:b w:val="0"/>
                <w:bCs w:val="0"/>
                <w:sz w:val="17"/>
                <w:szCs w:val="17"/>
              </w:rPr>
              <w:t>Contribuição finanças públicas</w:t>
            </w:r>
          </w:p>
        </w:tc>
        <w:tc>
          <w:tcPr>
            <w:tcW w:w="1821" w:type="dxa"/>
          </w:tcPr>
          <w:p w14:paraId="654D3BD7" w14:textId="77777777" w:rsidR="009F584B" w:rsidRPr="00736190" w:rsidRDefault="009F584B" w:rsidP="00E1510A">
            <w:pPr>
              <w:spacing w:after="180" w:line="274" w:lineRule="auto"/>
              <w:jc w:val="right"/>
              <w:cnfStyle w:val="000000000000" w:firstRow="0" w:lastRow="0" w:firstColumn="0" w:lastColumn="0" w:oddVBand="0" w:evenVBand="0" w:oddHBand="0" w:evenHBand="0" w:firstRowFirstColumn="0" w:firstRowLastColumn="0" w:lastRowFirstColumn="0" w:lastRowLastColumn="0"/>
              <w:rPr>
                <w:rFonts w:eastAsia="Corbel" w:cs="Calibri"/>
                <w:sz w:val="17"/>
                <w:szCs w:val="17"/>
              </w:rPr>
            </w:pPr>
            <w:r w:rsidRPr="00736190">
              <w:rPr>
                <w:rFonts w:eastAsia="Corbel" w:cs="Calibri"/>
                <w:sz w:val="17"/>
                <w:szCs w:val="17"/>
              </w:rPr>
              <w:t>2.7% do VA</w:t>
            </w:r>
          </w:p>
        </w:tc>
        <w:tc>
          <w:tcPr>
            <w:tcW w:w="1843" w:type="dxa"/>
          </w:tcPr>
          <w:p w14:paraId="5EFD8A4F" w14:textId="77777777" w:rsidR="009F584B" w:rsidRPr="00736190" w:rsidRDefault="009F584B" w:rsidP="00E1510A">
            <w:pPr>
              <w:spacing w:after="180" w:line="274" w:lineRule="auto"/>
              <w:jc w:val="right"/>
              <w:cnfStyle w:val="000000000000" w:firstRow="0" w:lastRow="0" w:firstColumn="0" w:lastColumn="0" w:oddVBand="0" w:evenVBand="0" w:oddHBand="0" w:evenHBand="0" w:firstRowFirstColumn="0" w:firstRowLastColumn="0" w:lastRowFirstColumn="0" w:lastRowLastColumn="0"/>
              <w:rPr>
                <w:rFonts w:eastAsia="Corbel" w:cs="Calibri"/>
                <w:sz w:val="17"/>
                <w:szCs w:val="17"/>
              </w:rPr>
            </w:pPr>
            <w:r w:rsidRPr="00736190">
              <w:rPr>
                <w:rFonts w:eastAsia="Corbel" w:cs="Calibri"/>
                <w:sz w:val="17"/>
                <w:szCs w:val="17"/>
              </w:rPr>
              <w:t>6% do VA</w:t>
            </w:r>
          </w:p>
        </w:tc>
      </w:tr>
      <w:tr w:rsidR="009F584B" w:rsidRPr="00736190" w14:paraId="6928B859" w14:textId="77777777" w:rsidTr="00E1510A">
        <w:trPr>
          <w:jc w:val="center"/>
        </w:trPr>
        <w:tc>
          <w:tcPr>
            <w:cnfStyle w:val="001000000000" w:firstRow="0" w:lastRow="0" w:firstColumn="1" w:lastColumn="0" w:oddVBand="0" w:evenVBand="0" w:oddHBand="0" w:evenHBand="0" w:firstRowFirstColumn="0" w:firstRowLastColumn="0" w:lastRowFirstColumn="0" w:lastRowLastColumn="0"/>
            <w:tcW w:w="2857" w:type="dxa"/>
          </w:tcPr>
          <w:p w14:paraId="5A012937" w14:textId="77777777" w:rsidR="009F584B" w:rsidRPr="00736190" w:rsidRDefault="009F584B" w:rsidP="00E1510A">
            <w:pPr>
              <w:spacing w:after="180" w:line="274" w:lineRule="auto"/>
              <w:rPr>
                <w:rFonts w:eastAsia="Corbel" w:cs="Calibri"/>
                <w:b w:val="0"/>
                <w:bCs w:val="0"/>
                <w:sz w:val="17"/>
                <w:szCs w:val="17"/>
              </w:rPr>
            </w:pPr>
            <w:r w:rsidRPr="00736190">
              <w:rPr>
                <w:rFonts w:eastAsia="Corbel" w:cs="Calibri"/>
                <w:b w:val="0"/>
                <w:bCs w:val="0"/>
                <w:sz w:val="17"/>
                <w:szCs w:val="17"/>
              </w:rPr>
              <w:t>Contribuição a balança comercial</w:t>
            </w:r>
          </w:p>
        </w:tc>
        <w:tc>
          <w:tcPr>
            <w:tcW w:w="1821" w:type="dxa"/>
          </w:tcPr>
          <w:p w14:paraId="7996F9AB" w14:textId="77777777" w:rsidR="009F584B" w:rsidRPr="00736190" w:rsidRDefault="009F584B" w:rsidP="00E1510A">
            <w:pPr>
              <w:spacing w:after="180" w:line="274" w:lineRule="auto"/>
              <w:jc w:val="right"/>
              <w:cnfStyle w:val="000000000000" w:firstRow="0" w:lastRow="0" w:firstColumn="0" w:lastColumn="0" w:oddVBand="0" w:evenVBand="0" w:oddHBand="0" w:evenHBand="0" w:firstRowFirstColumn="0" w:firstRowLastColumn="0" w:lastRowFirstColumn="0" w:lastRowLastColumn="0"/>
              <w:rPr>
                <w:rFonts w:eastAsia="Corbel" w:cs="Calibri"/>
                <w:sz w:val="17"/>
                <w:szCs w:val="17"/>
              </w:rPr>
            </w:pPr>
            <w:r w:rsidRPr="00736190">
              <w:rPr>
                <w:rFonts w:eastAsia="Corbel" w:cs="Calibri"/>
                <w:sz w:val="17"/>
                <w:szCs w:val="17"/>
              </w:rPr>
              <w:t xml:space="preserve">-115.3 milhões CFA </w:t>
            </w:r>
          </w:p>
        </w:tc>
        <w:tc>
          <w:tcPr>
            <w:tcW w:w="1843" w:type="dxa"/>
          </w:tcPr>
          <w:p w14:paraId="2FF51B65" w14:textId="77777777" w:rsidR="009F584B" w:rsidRPr="00736190" w:rsidRDefault="009F584B" w:rsidP="00E1510A">
            <w:pPr>
              <w:spacing w:after="180" w:line="274" w:lineRule="auto"/>
              <w:jc w:val="right"/>
              <w:cnfStyle w:val="000000000000" w:firstRow="0" w:lastRow="0" w:firstColumn="0" w:lastColumn="0" w:oddVBand="0" w:evenVBand="0" w:oddHBand="0" w:evenHBand="0" w:firstRowFirstColumn="0" w:firstRowLastColumn="0" w:lastRowFirstColumn="0" w:lastRowLastColumn="0"/>
              <w:rPr>
                <w:rFonts w:eastAsia="Corbel" w:cs="Calibri"/>
                <w:sz w:val="17"/>
                <w:szCs w:val="17"/>
              </w:rPr>
            </w:pPr>
            <w:bookmarkStart w:id="30" w:name="_Hlk211063988"/>
            <w:r w:rsidRPr="00736190">
              <w:rPr>
                <w:rFonts w:eastAsia="Corbel" w:cs="Calibri"/>
                <w:sz w:val="17"/>
                <w:szCs w:val="17"/>
              </w:rPr>
              <w:t>-132,5 milhões CFA</w:t>
            </w:r>
            <w:bookmarkEnd w:id="30"/>
          </w:p>
        </w:tc>
      </w:tr>
      <w:tr w:rsidR="009F584B" w:rsidRPr="00736190" w14:paraId="38AED244" w14:textId="77777777" w:rsidTr="00E1510A">
        <w:trPr>
          <w:jc w:val="center"/>
        </w:trPr>
        <w:tc>
          <w:tcPr>
            <w:cnfStyle w:val="001000000000" w:firstRow="0" w:lastRow="0" w:firstColumn="1" w:lastColumn="0" w:oddVBand="0" w:evenVBand="0" w:oddHBand="0" w:evenHBand="0" w:firstRowFirstColumn="0" w:firstRowLastColumn="0" w:lastRowFirstColumn="0" w:lastRowLastColumn="0"/>
            <w:tcW w:w="2857" w:type="dxa"/>
          </w:tcPr>
          <w:p w14:paraId="5A35132F" w14:textId="77777777" w:rsidR="009F584B" w:rsidRPr="00736190" w:rsidRDefault="009F584B" w:rsidP="00E1510A">
            <w:pPr>
              <w:spacing w:after="180" w:line="274" w:lineRule="auto"/>
              <w:rPr>
                <w:rFonts w:eastAsia="Corbel" w:cs="Calibri"/>
                <w:b w:val="0"/>
                <w:bCs w:val="0"/>
                <w:sz w:val="17"/>
                <w:szCs w:val="17"/>
              </w:rPr>
            </w:pPr>
            <w:r w:rsidRPr="00736190">
              <w:rPr>
                <w:rFonts w:eastAsia="Corbel" w:cs="Calibri"/>
                <w:b w:val="0"/>
                <w:bCs w:val="0"/>
                <w:sz w:val="17"/>
                <w:szCs w:val="17"/>
              </w:rPr>
              <w:t>Valor agregado</w:t>
            </w:r>
          </w:p>
        </w:tc>
        <w:tc>
          <w:tcPr>
            <w:tcW w:w="1821" w:type="dxa"/>
          </w:tcPr>
          <w:p w14:paraId="412DDEA5" w14:textId="77777777" w:rsidR="009F584B" w:rsidRPr="00736190" w:rsidRDefault="009F584B" w:rsidP="00E1510A">
            <w:pPr>
              <w:spacing w:after="180" w:line="274" w:lineRule="auto"/>
              <w:jc w:val="right"/>
              <w:cnfStyle w:val="000000000000" w:firstRow="0" w:lastRow="0" w:firstColumn="0" w:lastColumn="0" w:oddVBand="0" w:evenVBand="0" w:oddHBand="0" w:evenHBand="0" w:firstRowFirstColumn="0" w:firstRowLastColumn="0" w:lastRowFirstColumn="0" w:lastRowLastColumn="0"/>
              <w:rPr>
                <w:rFonts w:eastAsia="Corbel" w:cs="Calibri"/>
                <w:sz w:val="17"/>
                <w:szCs w:val="17"/>
              </w:rPr>
            </w:pPr>
            <w:r w:rsidRPr="00736190">
              <w:rPr>
                <w:rFonts w:eastAsia="Corbel" w:cs="Calibri"/>
                <w:sz w:val="17"/>
                <w:szCs w:val="17"/>
              </w:rPr>
              <w:t>Concentrado</w:t>
            </w:r>
          </w:p>
        </w:tc>
        <w:tc>
          <w:tcPr>
            <w:tcW w:w="1843" w:type="dxa"/>
          </w:tcPr>
          <w:p w14:paraId="17C3415A" w14:textId="77777777" w:rsidR="009F584B" w:rsidRPr="00736190" w:rsidRDefault="009F584B" w:rsidP="00E1510A">
            <w:pPr>
              <w:spacing w:after="180" w:line="274" w:lineRule="auto"/>
              <w:jc w:val="right"/>
              <w:cnfStyle w:val="000000000000" w:firstRow="0" w:lastRow="0" w:firstColumn="0" w:lastColumn="0" w:oddVBand="0" w:evenVBand="0" w:oddHBand="0" w:evenHBand="0" w:firstRowFirstColumn="0" w:firstRowLastColumn="0" w:lastRowFirstColumn="0" w:lastRowLastColumn="0"/>
              <w:rPr>
                <w:rFonts w:eastAsia="Corbel" w:cs="Calibri"/>
                <w:sz w:val="17"/>
                <w:szCs w:val="17"/>
              </w:rPr>
            </w:pPr>
            <w:r w:rsidRPr="00736190">
              <w:rPr>
                <w:rFonts w:eastAsia="Corbel" w:cs="Calibri"/>
                <w:sz w:val="17"/>
                <w:szCs w:val="17"/>
              </w:rPr>
              <w:t>Concentrado</w:t>
            </w:r>
          </w:p>
        </w:tc>
      </w:tr>
      <w:tr w:rsidR="009F584B" w:rsidRPr="00736190" w14:paraId="59CFB8B6" w14:textId="77777777" w:rsidTr="00E1510A">
        <w:trPr>
          <w:jc w:val="center"/>
        </w:trPr>
        <w:tc>
          <w:tcPr>
            <w:cnfStyle w:val="001000000000" w:firstRow="0" w:lastRow="0" w:firstColumn="1" w:lastColumn="0" w:oddVBand="0" w:evenVBand="0" w:oddHBand="0" w:evenHBand="0" w:firstRowFirstColumn="0" w:firstRowLastColumn="0" w:lastRowFirstColumn="0" w:lastRowLastColumn="0"/>
            <w:tcW w:w="2857" w:type="dxa"/>
          </w:tcPr>
          <w:p w14:paraId="25C559DD" w14:textId="77777777" w:rsidR="009F584B" w:rsidRPr="00736190" w:rsidRDefault="009F584B" w:rsidP="00E1510A">
            <w:pPr>
              <w:spacing w:after="180" w:line="274" w:lineRule="auto"/>
              <w:rPr>
                <w:rFonts w:eastAsia="Corbel" w:cs="Calibri"/>
                <w:b w:val="0"/>
                <w:bCs w:val="0"/>
                <w:sz w:val="17"/>
                <w:szCs w:val="17"/>
              </w:rPr>
            </w:pPr>
            <w:r w:rsidRPr="00736190">
              <w:rPr>
                <w:rFonts w:eastAsia="Corbel" w:cs="Calibri"/>
                <w:b w:val="0"/>
                <w:bCs w:val="0"/>
                <w:sz w:val="17"/>
                <w:szCs w:val="17"/>
              </w:rPr>
              <w:t>Impacte da governança</w:t>
            </w:r>
          </w:p>
        </w:tc>
        <w:tc>
          <w:tcPr>
            <w:tcW w:w="1821" w:type="dxa"/>
          </w:tcPr>
          <w:p w14:paraId="1F1540FD" w14:textId="77777777" w:rsidR="009F584B" w:rsidRPr="00736190" w:rsidRDefault="009F584B" w:rsidP="00E1510A">
            <w:pPr>
              <w:spacing w:after="180" w:line="274" w:lineRule="auto"/>
              <w:jc w:val="right"/>
              <w:cnfStyle w:val="000000000000" w:firstRow="0" w:lastRow="0" w:firstColumn="0" w:lastColumn="0" w:oddVBand="0" w:evenVBand="0" w:oddHBand="0" w:evenHBand="0" w:firstRowFirstColumn="0" w:firstRowLastColumn="0" w:lastRowFirstColumn="0" w:lastRowLastColumn="0"/>
              <w:rPr>
                <w:rFonts w:eastAsia="Corbel" w:cs="Calibri"/>
                <w:sz w:val="17"/>
                <w:szCs w:val="17"/>
              </w:rPr>
            </w:pPr>
            <w:r w:rsidRPr="00736190">
              <w:rPr>
                <w:rFonts w:eastAsia="Corbel" w:cs="Calibri"/>
                <w:sz w:val="17"/>
                <w:szCs w:val="17"/>
              </w:rPr>
              <w:t>0</w:t>
            </w:r>
          </w:p>
        </w:tc>
        <w:tc>
          <w:tcPr>
            <w:tcW w:w="1843" w:type="dxa"/>
          </w:tcPr>
          <w:p w14:paraId="0D6AEB40" w14:textId="77777777" w:rsidR="009F584B" w:rsidRPr="00736190" w:rsidRDefault="009F584B" w:rsidP="00E1510A">
            <w:pPr>
              <w:spacing w:after="180" w:line="274" w:lineRule="auto"/>
              <w:jc w:val="right"/>
              <w:cnfStyle w:val="000000000000" w:firstRow="0" w:lastRow="0" w:firstColumn="0" w:lastColumn="0" w:oddVBand="0" w:evenVBand="0" w:oddHBand="0" w:evenHBand="0" w:firstRowFirstColumn="0" w:firstRowLastColumn="0" w:lastRowFirstColumn="0" w:lastRowLastColumn="0"/>
              <w:rPr>
                <w:rFonts w:eastAsia="Corbel" w:cs="Calibri"/>
                <w:sz w:val="17"/>
                <w:szCs w:val="17"/>
              </w:rPr>
            </w:pPr>
            <w:r w:rsidRPr="00736190">
              <w:rPr>
                <w:rFonts w:eastAsia="Corbel" w:cs="Calibri"/>
                <w:sz w:val="17"/>
                <w:szCs w:val="17"/>
              </w:rPr>
              <w:t>0</w:t>
            </w:r>
          </w:p>
        </w:tc>
      </w:tr>
      <w:tr w:rsidR="009F584B" w:rsidRPr="00736190" w14:paraId="320FF75A" w14:textId="77777777" w:rsidTr="00E1510A">
        <w:trPr>
          <w:jc w:val="center"/>
        </w:trPr>
        <w:tc>
          <w:tcPr>
            <w:cnfStyle w:val="001000000000" w:firstRow="0" w:lastRow="0" w:firstColumn="1" w:lastColumn="0" w:oddVBand="0" w:evenVBand="0" w:oddHBand="0" w:evenHBand="0" w:firstRowFirstColumn="0" w:firstRowLastColumn="0" w:lastRowFirstColumn="0" w:lastRowLastColumn="0"/>
            <w:tcW w:w="2857" w:type="dxa"/>
          </w:tcPr>
          <w:p w14:paraId="10EDFC61" w14:textId="77777777" w:rsidR="009F584B" w:rsidRPr="00736190" w:rsidRDefault="009F584B" w:rsidP="00E1510A">
            <w:pPr>
              <w:spacing w:after="180" w:line="274" w:lineRule="auto"/>
              <w:rPr>
                <w:rFonts w:eastAsia="Corbel" w:cs="Calibri"/>
                <w:b w:val="0"/>
                <w:bCs w:val="0"/>
                <w:sz w:val="17"/>
                <w:szCs w:val="17"/>
              </w:rPr>
            </w:pPr>
            <w:r w:rsidRPr="00736190">
              <w:rPr>
                <w:rFonts w:eastAsia="Corbel" w:cs="Calibri"/>
                <w:b w:val="0"/>
                <w:bCs w:val="0"/>
                <w:sz w:val="17"/>
                <w:szCs w:val="17"/>
              </w:rPr>
              <w:lastRenderedPageBreak/>
              <w:t>Impacte no emprego</w:t>
            </w:r>
          </w:p>
        </w:tc>
        <w:tc>
          <w:tcPr>
            <w:tcW w:w="1821" w:type="dxa"/>
          </w:tcPr>
          <w:p w14:paraId="14F7DC0C" w14:textId="77777777" w:rsidR="009F584B" w:rsidRPr="00736190" w:rsidRDefault="009F584B" w:rsidP="00E1510A">
            <w:pPr>
              <w:spacing w:after="180" w:line="274" w:lineRule="auto"/>
              <w:jc w:val="right"/>
              <w:cnfStyle w:val="000000000000" w:firstRow="0" w:lastRow="0" w:firstColumn="0" w:lastColumn="0" w:oddVBand="0" w:evenVBand="0" w:oddHBand="0" w:evenHBand="0" w:firstRowFirstColumn="0" w:firstRowLastColumn="0" w:lastRowFirstColumn="0" w:lastRowLastColumn="0"/>
              <w:rPr>
                <w:rFonts w:eastAsia="Corbel" w:cs="Calibri"/>
                <w:sz w:val="17"/>
                <w:szCs w:val="17"/>
              </w:rPr>
            </w:pPr>
            <w:r w:rsidRPr="00736190">
              <w:rPr>
                <w:rFonts w:eastAsia="Corbel" w:cs="Calibri"/>
                <w:sz w:val="17"/>
                <w:szCs w:val="17"/>
              </w:rPr>
              <w:t>770 empregos</w:t>
            </w:r>
          </w:p>
        </w:tc>
        <w:tc>
          <w:tcPr>
            <w:tcW w:w="1843" w:type="dxa"/>
          </w:tcPr>
          <w:p w14:paraId="03C184CA" w14:textId="77777777" w:rsidR="009F584B" w:rsidRPr="00736190" w:rsidRDefault="009F584B" w:rsidP="00E1510A">
            <w:pPr>
              <w:spacing w:after="180" w:line="274" w:lineRule="auto"/>
              <w:jc w:val="right"/>
              <w:cnfStyle w:val="000000000000" w:firstRow="0" w:lastRow="0" w:firstColumn="0" w:lastColumn="0" w:oddVBand="0" w:evenVBand="0" w:oddHBand="0" w:evenHBand="0" w:firstRowFirstColumn="0" w:firstRowLastColumn="0" w:lastRowFirstColumn="0" w:lastRowLastColumn="0"/>
              <w:rPr>
                <w:rFonts w:eastAsia="Corbel" w:cs="Calibri"/>
                <w:sz w:val="17"/>
                <w:szCs w:val="17"/>
              </w:rPr>
            </w:pPr>
            <w:r w:rsidRPr="00736190">
              <w:rPr>
                <w:rFonts w:eastAsia="Corbel" w:cs="Calibri"/>
                <w:sz w:val="17"/>
                <w:szCs w:val="17"/>
              </w:rPr>
              <w:t>1.347 empregos</w:t>
            </w:r>
          </w:p>
        </w:tc>
      </w:tr>
    </w:tbl>
    <w:p w14:paraId="2990F37D" w14:textId="77777777" w:rsidR="009F584B" w:rsidRPr="00321C6C" w:rsidRDefault="009F584B" w:rsidP="009F584B">
      <w:pPr>
        <w:spacing w:after="180" w:line="240" w:lineRule="auto"/>
        <w:ind w:left="720" w:hanging="288"/>
        <w:contextualSpacing/>
        <w:jc w:val="center"/>
        <w:rPr>
          <w:rFonts w:eastAsia="Corbel" w:cs="Calibri"/>
          <w:color w:val="000000"/>
          <w:kern w:val="0"/>
          <w:sz w:val="16"/>
          <w14:ligatures w14:val="none"/>
        </w:rPr>
      </w:pPr>
      <w:r w:rsidRPr="00321C6C">
        <w:rPr>
          <w:rFonts w:eastAsia="Corbel" w:cs="Calibri"/>
          <w:color w:val="000000"/>
          <w:kern w:val="0"/>
          <w:sz w:val="16"/>
          <w14:ligatures w14:val="none"/>
        </w:rPr>
        <w:t>*Minima e máxima de acordo com os actores</w:t>
      </w:r>
    </w:p>
    <w:p w14:paraId="18989849" w14:textId="757EBE12" w:rsidR="009F584B" w:rsidRPr="00321C6C" w:rsidRDefault="00321C6C" w:rsidP="009F584B">
      <w:pPr>
        <w:spacing w:after="180" w:line="274" w:lineRule="auto"/>
        <w:rPr>
          <w:rFonts w:eastAsia="Corbel" w:cs="Calibri"/>
          <w:kern w:val="0"/>
          <w14:ligatures w14:val="none"/>
        </w:rPr>
      </w:pPr>
      <w:r>
        <w:rPr>
          <w:rFonts w:eastAsia="Corbel" w:cs="Calibri"/>
          <w:kern w:val="0"/>
          <w14:ligatures w14:val="none"/>
        </w:rPr>
        <w:br/>
      </w:r>
      <w:r w:rsidR="009F584B" w:rsidRPr="00321C6C">
        <w:rPr>
          <w:rFonts w:eastAsia="Corbel" w:cs="Calibri"/>
          <w:kern w:val="0"/>
          <w14:ligatures w14:val="none"/>
        </w:rPr>
        <w:t>Em geral, a cadeia de valor é financeiramente sustentável para todos os actores. No entanto, a contribuição para o crescimento económico é marginal, sendo de 0.56% em 2017 e 0.4% en 2025. A contribuição para o PIB agrícola também é marginal, representando 0.83% em 2017 e 1.2% em 2025. O peso nas finanças públicas é nulo</w:t>
      </w:r>
      <w:r w:rsidR="009F584B" w:rsidRPr="00321C6C">
        <w:rPr>
          <w:rFonts w:cs="Calibri"/>
        </w:rPr>
        <w:t xml:space="preserve"> </w:t>
      </w:r>
      <w:r w:rsidR="009F584B" w:rsidRPr="00321C6C">
        <w:rPr>
          <w:rFonts w:eastAsia="Corbel" w:cs="Calibri"/>
          <w:kern w:val="0"/>
          <w14:ligatures w14:val="none"/>
        </w:rPr>
        <w:t>devido à natureza informal da cadeia. A contribuição para</w:t>
      </w:r>
      <w:r w:rsidR="009F584B" w:rsidRPr="00321C6C">
        <w:rPr>
          <w:rFonts w:cs="Calibri"/>
        </w:rPr>
        <w:t xml:space="preserve"> </w:t>
      </w:r>
      <w:r w:rsidR="009F584B" w:rsidRPr="00321C6C">
        <w:rPr>
          <w:rFonts w:eastAsia="Corbel" w:cs="Calibri"/>
          <w:kern w:val="0"/>
          <w14:ligatures w14:val="none"/>
        </w:rPr>
        <w:t>a balança comercial está deficitária em -115.3 milhões CFA em 2017 e -132,5 milhões CFA em 2025</w:t>
      </w:r>
      <w:r w:rsidR="009F584B" w:rsidRPr="00321C6C">
        <w:rPr>
          <w:rFonts w:eastAsia="Corbel" w:cs="Calibri"/>
          <w:sz w:val="17"/>
          <w:szCs w:val="17"/>
        </w:rPr>
        <w:t xml:space="preserve"> </w:t>
      </w:r>
      <w:r w:rsidR="009F584B" w:rsidRPr="00321C6C">
        <w:rPr>
          <w:rFonts w:eastAsia="Corbel" w:cs="Calibri"/>
          <w:kern w:val="0"/>
          <w14:ligatures w14:val="none"/>
        </w:rPr>
        <w:t>. Estas fileiras não são competitivas internacionalmente porque os preços praticados internamente estão acima do preço internacional. Os atores que mais contribuem para a criação de valor agregado (VA) são os comerciantes em Bissau com 50% (grossistas, 39% e retalhistas, 21%). Os restantes 50% são contribuídos pelos produtores</w:t>
      </w:r>
      <w:r w:rsidR="009F584B" w:rsidRPr="00321C6C">
        <w:rPr>
          <w:rFonts w:cs="Calibri"/>
        </w:rPr>
        <w:t xml:space="preserve"> </w:t>
      </w:r>
      <w:r w:rsidR="009F584B" w:rsidRPr="00321C6C">
        <w:rPr>
          <w:rFonts w:eastAsia="Corbel" w:cs="Calibri"/>
          <w:kern w:val="0"/>
          <w14:ligatures w14:val="none"/>
        </w:rPr>
        <w:t>O valor agregado anual da CV é de CFA 4,524 bilhões em 2025(€ 7 milhões), representando 80% do valor da produção de manga. É composto por 78% de lucros, 13% de salários, 6% de impostos e 3% de depreciação. A governação é inoperante. O impacte da fileira no emprego é muito baixo (770 empregos e</w:t>
      </w:r>
      <w:r w:rsidR="00736190">
        <w:rPr>
          <w:rFonts w:eastAsia="Corbel" w:cs="Calibri"/>
          <w:kern w:val="0"/>
          <w14:ligatures w14:val="none"/>
        </w:rPr>
        <w:t>m</w:t>
      </w:r>
      <w:r w:rsidR="009F584B" w:rsidRPr="00321C6C">
        <w:rPr>
          <w:rFonts w:eastAsia="Corbel" w:cs="Calibri"/>
          <w:kern w:val="0"/>
          <w14:ligatures w14:val="none"/>
        </w:rPr>
        <w:t xml:space="preserve"> 2017 e 1.347 em 2025), sendo a maioria dos salários pagos em espécie e emprego familiar. De acordo com estes indicadores,</w:t>
      </w:r>
      <w:r w:rsidR="00736190">
        <w:rPr>
          <w:rFonts w:eastAsia="Corbel" w:cs="Calibri"/>
          <w:kern w:val="0"/>
          <w14:ligatures w14:val="none"/>
        </w:rPr>
        <w:t xml:space="preserve"> </w:t>
      </w:r>
      <w:r w:rsidR="009F584B" w:rsidRPr="00321C6C">
        <w:rPr>
          <w:rFonts w:eastAsia="Corbel" w:cs="Calibri"/>
          <w:kern w:val="0"/>
          <w14:ligatures w14:val="none"/>
        </w:rPr>
        <w:t xml:space="preserve">a cadeia de valor contribu </w:t>
      </w:r>
      <w:r w:rsidR="00C94D78">
        <w:rPr>
          <w:rFonts w:eastAsia="Corbel" w:cs="Calibri"/>
          <w:kern w:val="0"/>
          <w14:ligatures w14:val="none"/>
        </w:rPr>
        <w:t>i</w:t>
      </w:r>
      <w:r w:rsidR="009F584B" w:rsidRPr="00321C6C">
        <w:rPr>
          <w:rFonts w:eastAsia="Corbel" w:cs="Calibri"/>
          <w:kern w:val="0"/>
          <w14:ligatures w14:val="none"/>
        </w:rPr>
        <w:t>apenas marginalmente para o crescimento económico. Neste quadro,</w:t>
      </w:r>
      <w:r w:rsidR="009F584B" w:rsidRPr="00321C6C">
        <w:rPr>
          <w:rFonts w:eastAsia="Corbel" w:cs="Calibri"/>
          <w:color w:val="212121"/>
          <w:kern w:val="0"/>
          <w14:ligatures w14:val="none"/>
        </w:rPr>
        <w:t xml:space="preserve"> a cadeia de valor poderão ser mais inclusiva se forem implementadas políticas que reforcem o apoio aos trabalhadores, que promovam o desenvolvimento e bem-estar humano, que contribuam para reduzir a pobreza e a desigualdade. Essas políticas poderão contribuir para que a governação da cadeia de valor seja mais estruturada e formal e, consequentemente, proporcione um crescimento mais inclusivo.</w:t>
      </w:r>
    </w:p>
    <w:p w14:paraId="3116F9F8" w14:textId="77777777" w:rsidR="009F584B" w:rsidRPr="00321C6C" w:rsidRDefault="009F584B" w:rsidP="009F584B">
      <w:pPr>
        <w:spacing w:before="240" w:after="180" w:line="274" w:lineRule="auto"/>
        <w:rPr>
          <w:rFonts w:eastAsia="Corbel" w:cs="Calibri"/>
          <w:kern w:val="0"/>
          <w:szCs w:val="20"/>
          <w14:ligatures w14:val="none"/>
        </w:rPr>
      </w:pPr>
      <w:r w:rsidRPr="00321C6C">
        <w:rPr>
          <w:rFonts w:eastAsia="Corbel" w:cs="Calibri"/>
          <w:kern w:val="0"/>
          <w14:ligatures w14:val="none"/>
        </w:rPr>
        <w:t xml:space="preserve">Não foi realizada uma atualização da </w:t>
      </w:r>
      <w:r w:rsidRPr="00321C6C">
        <w:rPr>
          <w:rFonts w:eastAsia="Corbel" w:cs="Calibri"/>
          <w:b/>
          <w:bCs/>
          <w:kern w:val="0"/>
          <w14:ligatures w14:val="none"/>
        </w:rPr>
        <w:t>análise social</w:t>
      </w:r>
      <w:r w:rsidRPr="00321C6C">
        <w:rPr>
          <w:rFonts w:eastAsia="Corbel" w:cs="Calibri"/>
          <w:kern w:val="0"/>
          <w14:ligatures w14:val="none"/>
        </w:rPr>
        <w:t xml:space="preserve"> porque as condições sociais não mudaram substancialmente, conforme verificado pelos peritos na missão de campo.</w:t>
      </w:r>
    </w:p>
    <w:p w14:paraId="59806394" w14:textId="6E98904C" w:rsidR="009F584B" w:rsidRPr="00321C6C" w:rsidRDefault="009F584B" w:rsidP="009F584B">
      <w:pPr>
        <w:spacing w:after="180" w:line="274" w:lineRule="auto"/>
        <w:rPr>
          <w:rFonts w:eastAsia="Corbel" w:cs="Calibri"/>
          <w:kern w:val="0"/>
          <w14:ligatures w14:val="none"/>
        </w:rPr>
      </w:pPr>
      <w:r w:rsidRPr="00321C6C">
        <w:rPr>
          <w:rFonts w:eastAsia="Corbel" w:cs="Calibri"/>
          <w:kern w:val="0"/>
          <w14:ligatures w14:val="none"/>
        </w:rPr>
        <w:t xml:space="preserve">A </w:t>
      </w:r>
      <w:r w:rsidRPr="00321C6C">
        <w:rPr>
          <w:rFonts w:eastAsia="Corbel" w:cs="Calibri"/>
          <w:b/>
          <w:kern w:val="0"/>
          <w14:ligatures w14:val="none"/>
        </w:rPr>
        <w:t>análise da sustentabilidade ambiental</w:t>
      </w:r>
      <w:r w:rsidR="00C94D78">
        <w:rPr>
          <w:rFonts w:eastAsia="Corbel" w:cs="Calibri"/>
          <w:kern w:val="0"/>
          <w14:ligatures w14:val="none"/>
        </w:rPr>
        <w:t xml:space="preserve"> foi</w:t>
      </w:r>
      <w:r w:rsidRPr="00321C6C">
        <w:rPr>
          <w:rFonts w:eastAsia="Corbel" w:cs="Calibri"/>
          <w:kern w:val="0"/>
          <w14:ligatures w14:val="none"/>
        </w:rPr>
        <w:t xml:space="preserve"> desenvolvida seguindo uma metodologia de Análise do Ciclo de Vida (ACV). Nesse sentido, o estudo de ACV avaliou os impactes ambientais em três categorias especificas, a saúde humana, a qualidade dos ecossistemas e o esgotamento dos recursos naturais. </w:t>
      </w:r>
    </w:p>
    <w:p w14:paraId="2D78FF5B" w14:textId="4A41D752" w:rsidR="009F584B" w:rsidRPr="00321C6C" w:rsidRDefault="009F584B" w:rsidP="009F584B">
      <w:pPr>
        <w:spacing w:after="180" w:line="274" w:lineRule="auto"/>
        <w:rPr>
          <w:rFonts w:eastAsia="Corbel" w:cs="Calibri"/>
          <w:kern w:val="0"/>
          <w:szCs w:val="20"/>
          <w14:ligatures w14:val="none"/>
        </w:rPr>
      </w:pPr>
      <w:r w:rsidRPr="00321C6C">
        <w:rPr>
          <w:rFonts w:eastAsia="Corbel" w:cs="Calibri"/>
          <w:bCs/>
          <w:kern w:val="0"/>
          <w:szCs w:val="20"/>
          <w14:ligatures w14:val="none"/>
        </w:rPr>
        <w:t>Em termos conclusivos</w:t>
      </w:r>
      <w:r w:rsidRPr="00321C6C">
        <w:rPr>
          <w:rFonts w:eastAsia="Corbel" w:cs="Calibri"/>
          <w:kern w:val="0"/>
          <w:szCs w:val="20"/>
          <w14:ligatures w14:val="none"/>
        </w:rPr>
        <w:t>, considera-se que a fileira da manga possu</w:t>
      </w:r>
      <w:r w:rsidR="00140666">
        <w:rPr>
          <w:rFonts w:eastAsia="Corbel" w:cs="Calibri"/>
          <w:kern w:val="0"/>
          <w:szCs w:val="20"/>
          <w14:ligatures w14:val="none"/>
        </w:rPr>
        <w:t>i</w:t>
      </w:r>
      <w:r w:rsidRPr="00321C6C">
        <w:rPr>
          <w:rFonts w:eastAsia="Corbel" w:cs="Calibri"/>
          <w:kern w:val="0"/>
          <w:szCs w:val="20"/>
          <w14:ligatures w14:val="none"/>
        </w:rPr>
        <w:t xml:space="preserve"> um significativo potencial no que se refere ao aumento da produção e das exportações, com criação de valor econômico e social e respeitando a </w:t>
      </w:r>
      <w:r w:rsidR="00936995" w:rsidRPr="00321C6C">
        <w:rPr>
          <w:rFonts w:eastAsia="Corbel" w:cs="Calibri"/>
          <w:kern w:val="0"/>
          <w:szCs w:val="20"/>
          <w14:ligatures w14:val="none"/>
        </w:rPr>
        <w:t>proteção</w:t>
      </w:r>
      <w:r w:rsidRPr="00321C6C">
        <w:rPr>
          <w:rFonts w:eastAsia="Corbel" w:cs="Calibri"/>
          <w:kern w:val="0"/>
          <w:szCs w:val="20"/>
          <w14:ligatures w14:val="none"/>
        </w:rPr>
        <w:t xml:space="preserve"> ambiental. Assim, para o desenvolvimento desta fileira entende-se formular</w:t>
      </w:r>
      <w:r w:rsidR="00140666">
        <w:rPr>
          <w:rFonts w:eastAsia="Corbel" w:cs="Calibri"/>
          <w:kern w:val="0"/>
          <w:szCs w:val="20"/>
          <w14:ligatures w14:val="none"/>
        </w:rPr>
        <w:t xml:space="preserve"> </w:t>
      </w:r>
      <w:r w:rsidRPr="00321C6C">
        <w:rPr>
          <w:rFonts w:eastAsia="Corbel" w:cs="Calibri"/>
          <w:kern w:val="0"/>
          <w:szCs w:val="20"/>
          <w14:ligatures w14:val="none"/>
        </w:rPr>
        <w:t xml:space="preserve">os seguintes </w:t>
      </w:r>
      <w:r w:rsidRPr="00321C6C">
        <w:rPr>
          <w:rFonts w:eastAsia="Corbel" w:cs="Calibri"/>
          <w:b/>
          <w:bCs/>
          <w:kern w:val="0"/>
          <w:szCs w:val="20"/>
          <w14:ligatures w14:val="none"/>
        </w:rPr>
        <w:t>cenários de desenvolvimento para os próximos anos</w:t>
      </w:r>
      <w:r w:rsidRPr="00321C6C">
        <w:rPr>
          <w:rFonts w:eastAsia="Corbel" w:cs="Calibri"/>
          <w:kern w:val="0"/>
          <w:szCs w:val="20"/>
          <w14:ligatures w14:val="none"/>
        </w:rPr>
        <w:t>:</w:t>
      </w:r>
    </w:p>
    <w:p w14:paraId="3E7A9177" w14:textId="77777777" w:rsidR="009E25B0" w:rsidRPr="00235EDA" w:rsidRDefault="009E25B0" w:rsidP="00936995">
      <w:pPr>
        <w:suppressAutoHyphens/>
        <w:spacing w:after="0" w:line="276" w:lineRule="auto"/>
        <w:rPr>
          <w:rFonts w:eastAsia="Corbel" w:cs="Calibri"/>
          <w:kern w:val="0"/>
          <w:szCs w:val="20"/>
          <w14:ligatures w14:val="none"/>
        </w:rPr>
      </w:pPr>
      <w:r w:rsidRPr="00235EDA">
        <w:rPr>
          <w:rFonts w:eastAsia="Corbel" w:cs="Calibri"/>
          <w:kern w:val="0"/>
          <w:szCs w:val="20"/>
          <w14:ligatures w14:val="none"/>
        </w:rPr>
        <w:t>O estudo propõe quatro cenários para orientar políticas e investimentos</w:t>
      </w:r>
      <w:r w:rsidRPr="00936995">
        <w:rPr>
          <w:rFonts w:eastAsia="Corbel" w:cs="Calibri"/>
          <w:kern w:val="0"/>
          <w:szCs w:val="20"/>
          <w14:ligatures w14:val="none"/>
        </w:rPr>
        <w:t xml:space="preserve"> com vista a desenvolver o setor da manga na Guiné-Bissau</w:t>
      </w:r>
      <w:r w:rsidRPr="00235EDA">
        <w:rPr>
          <w:rFonts w:eastAsia="Corbel" w:cs="Calibri"/>
          <w:kern w:val="0"/>
          <w:szCs w:val="20"/>
          <w14:ligatures w14:val="none"/>
        </w:rPr>
        <w:t xml:space="preserve">: (1) </w:t>
      </w:r>
      <w:r w:rsidRPr="00936995">
        <w:rPr>
          <w:rFonts w:eastAsia="Corbel" w:cs="Calibri"/>
          <w:kern w:val="0"/>
          <w:szCs w:val="20"/>
          <w14:ligatures w14:val="none"/>
        </w:rPr>
        <w:t>âncora num</w:t>
      </w:r>
      <w:r w:rsidRPr="00235EDA">
        <w:rPr>
          <w:rFonts w:eastAsia="Corbel" w:cs="Calibri"/>
          <w:kern w:val="0"/>
          <w:szCs w:val="20"/>
          <w14:ligatures w14:val="none"/>
        </w:rPr>
        <w:t xml:space="preserve"> grande transformador</w:t>
      </w:r>
      <w:r w:rsidRPr="00936995">
        <w:rPr>
          <w:rFonts w:eastAsia="Corbel" w:cs="Calibri"/>
          <w:kern w:val="0"/>
          <w:szCs w:val="20"/>
          <w14:ligatures w14:val="none"/>
        </w:rPr>
        <w:t xml:space="preserve"> </w:t>
      </w:r>
      <w:r w:rsidRPr="00235EDA">
        <w:rPr>
          <w:rFonts w:eastAsia="Corbel" w:cs="Calibri"/>
          <w:kern w:val="0"/>
          <w:szCs w:val="20"/>
          <w14:ligatures w14:val="none"/>
        </w:rPr>
        <w:t xml:space="preserve">industrial </w:t>
      </w:r>
      <w:r w:rsidRPr="00936995">
        <w:rPr>
          <w:rFonts w:eastAsia="Corbel" w:cs="Calibri"/>
          <w:kern w:val="0"/>
          <w:szCs w:val="20"/>
          <w14:ligatures w14:val="none"/>
        </w:rPr>
        <w:t xml:space="preserve">para polpa e concentrado para exportação </w:t>
      </w:r>
      <w:r w:rsidRPr="00235EDA">
        <w:rPr>
          <w:rFonts w:eastAsia="Corbel" w:cs="Calibri"/>
          <w:kern w:val="0"/>
          <w:szCs w:val="20"/>
          <w14:ligatures w14:val="none"/>
        </w:rPr>
        <w:t>(empresa MYA), (2) fortalecimento de grandes produtores de manga fresca</w:t>
      </w:r>
      <w:r w:rsidRPr="00936995">
        <w:rPr>
          <w:rFonts w:eastAsia="Corbel" w:cs="Calibri"/>
          <w:kern w:val="0"/>
          <w:szCs w:val="20"/>
          <w14:ligatures w14:val="none"/>
        </w:rPr>
        <w:t xml:space="preserve"> para exportação</w:t>
      </w:r>
      <w:r w:rsidRPr="00235EDA">
        <w:rPr>
          <w:rFonts w:eastAsia="Corbel" w:cs="Calibri"/>
          <w:kern w:val="0"/>
          <w:szCs w:val="20"/>
          <w14:ligatures w14:val="none"/>
        </w:rPr>
        <w:t>, (3) organização de pequenos e médios produtores e (4) apoio a pequenas e médias unidades de transformação</w:t>
      </w:r>
      <w:r w:rsidRPr="00936995">
        <w:rPr>
          <w:rFonts w:eastAsia="Corbel" w:cs="Calibri"/>
          <w:kern w:val="0"/>
          <w:szCs w:val="20"/>
          <w14:ligatures w14:val="none"/>
        </w:rPr>
        <w:t xml:space="preserve"> local</w:t>
      </w:r>
      <w:r w:rsidRPr="00235EDA">
        <w:rPr>
          <w:rFonts w:eastAsia="Corbel" w:cs="Calibri"/>
          <w:kern w:val="0"/>
          <w:szCs w:val="20"/>
          <w14:ligatures w14:val="none"/>
        </w:rPr>
        <w:t>. Cada cenário considera as dimensões produtiva, logística, económica, social e ambiental, com um horizonte de implementação de três a cinco anos.</w:t>
      </w:r>
    </w:p>
    <w:p w14:paraId="3DCB4C76" w14:textId="7529C27F" w:rsidR="009E25B0" w:rsidRPr="00936995" w:rsidRDefault="009E25B0" w:rsidP="00936995">
      <w:pPr>
        <w:spacing w:line="276" w:lineRule="auto"/>
        <w:rPr>
          <w:rFonts w:eastAsia="Corbel" w:cs="Calibri"/>
          <w:kern w:val="0"/>
          <w:szCs w:val="20"/>
          <w14:ligatures w14:val="none"/>
        </w:rPr>
      </w:pPr>
      <w:r w:rsidRPr="00936995">
        <w:rPr>
          <w:rFonts w:eastAsia="Corbel" w:cs="Calibri"/>
          <w:kern w:val="0"/>
          <w:szCs w:val="20"/>
          <w14:ligatures w14:val="none"/>
        </w:rPr>
        <w:br/>
      </w:r>
      <w:r w:rsidRPr="00235EDA">
        <w:rPr>
          <w:rFonts w:eastAsia="Corbel" w:cs="Calibri"/>
          <w:kern w:val="0"/>
          <w:szCs w:val="20"/>
          <w14:ligatures w14:val="none"/>
        </w:rPr>
        <w:t>O primeiro cenário, visa consolidar a MYA como âncora da fileira, ampliando a capacidade fabril e integrando produtores por contratos estáveis</w:t>
      </w:r>
      <w:r w:rsidRPr="00936995">
        <w:rPr>
          <w:rFonts w:eastAsia="Corbel" w:cs="Calibri"/>
          <w:kern w:val="0"/>
          <w:szCs w:val="20"/>
          <w14:ligatures w14:val="none"/>
        </w:rPr>
        <w:t xml:space="preserve"> e preço justo mediante respeito dum caderno de encargo</w:t>
      </w:r>
      <w:r w:rsidRPr="00235EDA">
        <w:rPr>
          <w:rFonts w:eastAsia="Corbel" w:cs="Calibri"/>
          <w:kern w:val="0"/>
          <w:szCs w:val="20"/>
          <w14:ligatures w14:val="none"/>
        </w:rPr>
        <w:t xml:space="preserve">. A abordagem garante escala, qualidade e regularidade de abastecimento, </w:t>
      </w:r>
      <w:r w:rsidRPr="00936995">
        <w:rPr>
          <w:rFonts w:eastAsia="Corbel" w:cs="Calibri"/>
          <w:kern w:val="0"/>
          <w:szCs w:val="20"/>
          <w14:ligatures w14:val="none"/>
        </w:rPr>
        <w:t>com possibilidade de volume de negócio</w:t>
      </w:r>
      <w:r w:rsidRPr="00235EDA">
        <w:rPr>
          <w:rFonts w:eastAsia="Corbel" w:cs="Calibri"/>
          <w:kern w:val="0"/>
          <w:szCs w:val="20"/>
          <w14:ligatures w14:val="none"/>
        </w:rPr>
        <w:t xml:space="preserve"> anua</w:t>
      </w:r>
      <w:r w:rsidRPr="00936995">
        <w:rPr>
          <w:rFonts w:eastAsia="Corbel" w:cs="Calibri"/>
          <w:kern w:val="0"/>
          <w:szCs w:val="20"/>
          <w14:ligatures w14:val="none"/>
        </w:rPr>
        <w:t>l</w:t>
      </w:r>
      <w:r w:rsidRPr="00235EDA">
        <w:rPr>
          <w:rFonts w:eastAsia="Corbel" w:cs="Calibri"/>
          <w:kern w:val="0"/>
          <w:szCs w:val="20"/>
          <w14:ligatures w14:val="none"/>
        </w:rPr>
        <w:t xml:space="preserve"> </w:t>
      </w:r>
      <w:r w:rsidRPr="00936995">
        <w:rPr>
          <w:rFonts w:eastAsia="Corbel" w:cs="Calibri"/>
          <w:kern w:val="0"/>
          <w:szCs w:val="20"/>
          <w14:ligatures w14:val="none"/>
        </w:rPr>
        <w:t xml:space="preserve">entre </w:t>
      </w:r>
      <w:r w:rsidRPr="00235EDA">
        <w:rPr>
          <w:rFonts w:eastAsia="Corbel" w:cs="Calibri"/>
          <w:kern w:val="0"/>
          <w:szCs w:val="20"/>
          <w14:ligatures w14:val="none"/>
        </w:rPr>
        <w:t>8</w:t>
      </w:r>
      <w:r w:rsidRPr="00936995">
        <w:rPr>
          <w:rFonts w:eastAsia="Corbel" w:cs="Calibri"/>
          <w:kern w:val="0"/>
          <w:szCs w:val="20"/>
          <w14:ligatures w14:val="none"/>
        </w:rPr>
        <w:t xml:space="preserve"> a </w:t>
      </w:r>
      <w:r w:rsidRPr="00235EDA">
        <w:rPr>
          <w:rFonts w:eastAsia="Corbel" w:cs="Calibri"/>
          <w:kern w:val="0"/>
          <w:szCs w:val="20"/>
          <w14:ligatures w14:val="none"/>
        </w:rPr>
        <w:t xml:space="preserve">12 milhões de euros e reduzir significativamente as perdas pós-colheita. O segundo cenário </w:t>
      </w:r>
      <w:r w:rsidRPr="00936995">
        <w:rPr>
          <w:rFonts w:eastAsia="Corbel" w:cs="Calibri"/>
          <w:kern w:val="0"/>
          <w:szCs w:val="20"/>
          <w14:ligatures w14:val="none"/>
        </w:rPr>
        <w:t>centra-se</w:t>
      </w:r>
      <w:r w:rsidRPr="00235EDA">
        <w:rPr>
          <w:rFonts w:eastAsia="Corbel" w:cs="Calibri"/>
          <w:kern w:val="0"/>
          <w:szCs w:val="20"/>
          <w14:ligatures w14:val="none"/>
        </w:rPr>
        <w:t xml:space="preserve"> em grandes produtores para exportação em fresco, com pomares </w:t>
      </w:r>
      <w:r w:rsidRPr="00936995">
        <w:rPr>
          <w:rFonts w:eastAsia="Corbel" w:cs="Calibri"/>
          <w:kern w:val="0"/>
          <w:szCs w:val="20"/>
          <w14:ligatures w14:val="none"/>
        </w:rPr>
        <w:t>modernos</w:t>
      </w:r>
      <w:r w:rsidRPr="00235EDA">
        <w:rPr>
          <w:rFonts w:eastAsia="Corbel" w:cs="Calibri"/>
          <w:kern w:val="0"/>
          <w:szCs w:val="20"/>
          <w14:ligatures w14:val="none"/>
        </w:rPr>
        <w:t xml:space="preserve"> e certificados. Este modelo poderia gerar 10–15 milhões de euros anuais em exportações e projetar a Guiné-Bissau como fornecedor confiável de manga de qualidade. Ambos os modelos, embora de impacto rápido e elevado retorno económico, apresentam riscos associados ao alto capital inicial</w:t>
      </w:r>
      <w:r w:rsidRPr="00936995">
        <w:rPr>
          <w:rFonts w:eastAsia="Corbel" w:cs="Calibri"/>
          <w:kern w:val="0"/>
          <w:szCs w:val="20"/>
          <w14:ligatures w14:val="none"/>
        </w:rPr>
        <w:t xml:space="preserve"> e </w:t>
      </w:r>
      <w:r w:rsidRPr="00235EDA">
        <w:rPr>
          <w:rFonts w:eastAsia="Corbel" w:cs="Calibri"/>
          <w:kern w:val="0"/>
          <w:szCs w:val="20"/>
          <w14:ligatures w14:val="none"/>
        </w:rPr>
        <w:t>dependência de poucos atores.</w:t>
      </w:r>
    </w:p>
    <w:p w14:paraId="4C720DB4" w14:textId="77777777" w:rsidR="009E25B0" w:rsidRPr="00235EDA" w:rsidRDefault="009E25B0" w:rsidP="00936995">
      <w:pPr>
        <w:suppressAutoHyphens/>
        <w:spacing w:after="0" w:line="276" w:lineRule="auto"/>
        <w:rPr>
          <w:rFonts w:eastAsia="Corbel" w:cs="Calibri"/>
          <w:kern w:val="0"/>
          <w:szCs w:val="20"/>
          <w14:ligatures w14:val="none"/>
        </w:rPr>
      </w:pPr>
      <w:r w:rsidRPr="00235EDA">
        <w:rPr>
          <w:rFonts w:eastAsia="Corbel" w:cs="Calibri"/>
          <w:kern w:val="0"/>
          <w:szCs w:val="20"/>
          <w14:ligatures w14:val="none"/>
        </w:rPr>
        <w:lastRenderedPageBreak/>
        <w:t xml:space="preserve">Os dois últimos cenários propõem abordagens mais inclusivas e sustentáveis. O modelo baseado em pequenos e médios produtores aposta na </w:t>
      </w:r>
      <w:r w:rsidRPr="00936995">
        <w:rPr>
          <w:rFonts w:eastAsia="Corbel" w:cs="Calibri"/>
          <w:kern w:val="0"/>
          <w:szCs w:val="20"/>
          <w14:ligatures w14:val="none"/>
        </w:rPr>
        <w:t>melhoria de práticas e</w:t>
      </w:r>
      <w:r w:rsidRPr="00235EDA">
        <w:rPr>
          <w:rFonts w:eastAsia="Corbel" w:cs="Calibri"/>
          <w:kern w:val="0"/>
          <w:szCs w:val="20"/>
          <w14:ligatures w14:val="none"/>
        </w:rPr>
        <w:t xml:space="preserve"> de pomares familiares, </w:t>
      </w:r>
      <w:r w:rsidRPr="00936995">
        <w:rPr>
          <w:rFonts w:eastAsia="Corbel" w:cs="Calibri"/>
          <w:kern w:val="0"/>
          <w:szCs w:val="20"/>
          <w14:ligatures w14:val="none"/>
        </w:rPr>
        <w:t xml:space="preserve">com investimento em </w:t>
      </w:r>
      <w:r w:rsidRPr="00235EDA">
        <w:rPr>
          <w:rFonts w:eastAsia="Corbel" w:cs="Calibri"/>
          <w:kern w:val="0"/>
          <w:szCs w:val="20"/>
          <w14:ligatures w14:val="none"/>
        </w:rPr>
        <w:t xml:space="preserve">centros comunitários de recolha e certificações coletivas, </w:t>
      </w:r>
      <w:r w:rsidRPr="00936995">
        <w:rPr>
          <w:rFonts w:eastAsia="Corbel" w:cs="Calibri"/>
          <w:kern w:val="0"/>
          <w:szCs w:val="20"/>
          <w14:ligatures w14:val="none"/>
        </w:rPr>
        <w:t>podendo</w:t>
      </w:r>
      <w:r w:rsidRPr="00235EDA">
        <w:rPr>
          <w:rFonts w:eastAsia="Corbel" w:cs="Calibri"/>
          <w:kern w:val="0"/>
          <w:szCs w:val="20"/>
          <w14:ligatures w14:val="none"/>
        </w:rPr>
        <w:t xml:space="preserve"> gerar </w:t>
      </w:r>
      <w:r w:rsidRPr="00936995">
        <w:rPr>
          <w:rFonts w:eastAsia="Corbel" w:cs="Calibri"/>
          <w:kern w:val="0"/>
          <w:szCs w:val="20"/>
          <w14:ligatures w14:val="none"/>
        </w:rPr>
        <w:t xml:space="preserve"> entre </w:t>
      </w:r>
      <w:r w:rsidRPr="00235EDA">
        <w:rPr>
          <w:rFonts w:eastAsia="Corbel" w:cs="Calibri"/>
          <w:kern w:val="0"/>
          <w:szCs w:val="20"/>
          <w14:ligatures w14:val="none"/>
        </w:rPr>
        <w:t>4–6 milhões de euros anuais e fortalecer a resiliência rural. Já o cenário de pequenos e médios transformadores promove o valor agregado local, com 30 a 50 PME processando 3–5 mil toneladas de manga por ano, criando empregos e reduzindo o desperdício alimentar. Ambos requerem forte apoio institucional e financeiro, mas oferecem maior inclusão social, impacto territorial equilibrado e dinamização de economias locais. No conjunto, os quatro cenários são complementares e delineiam um caminho estratégico integrado para transformar a fileira da manga num vetor de crescimento</w:t>
      </w:r>
      <w:r w:rsidRPr="00936995">
        <w:rPr>
          <w:rFonts w:eastAsia="Corbel" w:cs="Calibri"/>
          <w:kern w:val="0"/>
          <w:szCs w:val="20"/>
          <w14:ligatures w14:val="none"/>
        </w:rPr>
        <w:t>, concretizando assim a visão de diversificação assumida em vários instrumentos políticos.</w:t>
      </w:r>
    </w:p>
    <w:p w14:paraId="15DB65E6" w14:textId="4D9FC077" w:rsidR="00A740AB" w:rsidRPr="00936995" w:rsidRDefault="00A740AB" w:rsidP="00936995">
      <w:pPr>
        <w:spacing w:line="276" w:lineRule="auto"/>
        <w:rPr>
          <w:rFonts w:eastAsia="Corbel" w:cs="Calibri"/>
          <w:kern w:val="0"/>
          <w:szCs w:val="20"/>
          <w14:ligatures w14:val="none"/>
        </w:rPr>
      </w:pPr>
    </w:p>
    <w:p w14:paraId="04A7760B" w14:textId="219E40B9" w:rsidR="00A740AB" w:rsidRDefault="00A740AB" w:rsidP="00A740AB">
      <w:pPr>
        <w:rPr>
          <w:lang w:eastAsia="en-US"/>
        </w:rPr>
      </w:pPr>
    </w:p>
    <w:p w14:paraId="4F25CBC7" w14:textId="0132208F" w:rsidR="00A740AB" w:rsidRDefault="00A740AB" w:rsidP="00A740AB">
      <w:pPr>
        <w:rPr>
          <w:lang w:eastAsia="en-US"/>
        </w:rPr>
      </w:pPr>
      <w:r>
        <w:rPr>
          <w:lang w:eastAsia="en-US"/>
        </w:rPr>
        <w:br w:type="page"/>
      </w:r>
    </w:p>
    <w:p w14:paraId="1BCB31C2" w14:textId="61B2DAFA" w:rsidR="006E474A" w:rsidRPr="00553172" w:rsidRDefault="008D3D04" w:rsidP="00815270">
      <w:pPr>
        <w:pStyle w:val="Heading1"/>
        <w:numPr>
          <w:ilvl w:val="1"/>
          <w:numId w:val="2"/>
        </w:numPr>
      </w:pPr>
      <w:bookmarkStart w:id="31" w:name="_Toc220507498"/>
      <w:r w:rsidRPr="00553172">
        <w:lastRenderedPageBreak/>
        <w:t>INTRODUÇÃO, OBJECTIVOS E METODOLOGIA GERAL</w:t>
      </w:r>
      <w:bookmarkEnd w:id="31"/>
    </w:p>
    <w:p w14:paraId="53FE5B34" w14:textId="1CF5157B" w:rsidR="006E474A" w:rsidRPr="0038380A" w:rsidRDefault="008D3D04" w:rsidP="0038380A">
      <w:pPr>
        <w:rPr>
          <w:rFonts w:cs="Calibri"/>
          <w:szCs w:val="20"/>
        </w:rPr>
      </w:pPr>
      <w:r w:rsidRPr="0038380A">
        <w:rPr>
          <w:rFonts w:cs="Calibri"/>
          <w:szCs w:val="20"/>
        </w:rPr>
        <w:t>O presente relatório corresponde à atualização da Análise da Cadeia de Valor da Manga na Guiné-Bissau, realizada originalmente em 2017-2018 (</w:t>
      </w:r>
      <w:r w:rsidR="00DE1950">
        <w:fldChar w:fldCharType="begin"/>
      </w:r>
      <w:r w:rsidR="00DE1950">
        <w:instrText>HYPERLINK "https://capacity4dev.europa.eu/library/vca4d-guinea-bissau-mango-and-lime-full-report_en"</w:instrText>
      </w:r>
      <w:r w:rsidR="00DE1950">
        <w:fldChar w:fldCharType="separate"/>
      </w:r>
      <w:r w:rsidR="00DE1950" w:rsidRPr="00393FCC">
        <w:rPr>
          <w:rStyle w:val="Hyperlink"/>
          <w:rFonts w:cs="Calibri"/>
          <w:szCs w:val="20"/>
        </w:rPr>
        <w:t>https://capacity4dev.europa.eu/library/vca4d-guinea-bissau-mango-and-lime-full-report_en</w:t>
      </w:r>
      <w:r w:rsidR="00DE1950">
        <w:fldChar w:fldCharType="end"/>
      </w:r>
      <w:r w:rsidRPr="0038380A">
        <w:rPr>
          <w:rFonts w:cs="Calibri"/>
          <w:szCs w:val="20"/>
        </w:rPr>
        <w:t>) no âmbito da iniciativa Value Chain Analysis for Development (VCA4D), promovida pela Direção-Geral das Parcerias Internacionais da Comissão Europeia e implementada em parceria com a rede Agrinatura.</w:t>
      </w:r>
    </w:p>
    <w:p w14:paraId="1BBB5AA9" w14:textId="652A0E38" w:rsidR="006E474A" w:rsidRPr="0038380A" w:rsidRDefault="008D3D04" w:rsidP="0038380A">
      <w:pPr>
        <w:rPr>
          <w:rFonts w:cs="Calibri"/>
          <w:szCs w:val="20"/>
        </w:rPr>
      </w:pPr>
      <w:r w:rsidRPr="0038380A">
        <w:rPr>
          <w:rFonts w:cs="Calibri"/>
          <w:szCs w:val="20"/>
        </w:rPr>
        <w:t>A atualização foi solicitada pela Delegação da União Europeia na Guiné-Bissau, com o objetivo de apoiar decisões estratégicas de investimento no setor agrícola, no contexto da prioridade política expressa pelas autoridades nacionais de diversificar a economia e valorizar produtos agrícolas com potencial de exportação, geração de emprego e inclusão produtiva.</w:t>
      </w:r>
      <w:r w:rsidRPr="0038380A">
        <w:rPr>
          <w:rFonts w:cs="Calibri"/>
          <w:szCs w:val="20"/>
          <w:vertAlign w:val="superscript"/>
        </w:rPr>
        <w:footnoteReference w:id="1"/>
      </w:r>
    </w:p>
    <w:p w14:paraId="2F30F240" w14:textId="16150B07" w:rsidR="006E474A" w:rsidRPr="0038380A" w:rsidRDefault="008D3D04" w:rsidP="0038380A">
      <w:pPr>
        <w:rPr>
          <w:rFonts w:cs="Calibri"/>
          <w:szCs w:val="20"/>
        </w:rPr>
      </w:pPr>
      <w:r w:rsidRPr="0038380A">
        <w:rPr>
          <w:rFonts w:cs="Calibri"/>
          <w:szCs w:val="20"/>
        </w:rPr>
        <w:t>Como as condições sociais na agricultura do país não mudaram nos últimos anos, a DUE considerou que o foco da atualização da cadeia de valor da manga na Guiné-Bissau deveria estar nas mudanças no nível funcional, na atualização dos indicadores econômicos e em uma análise ambiental focada nos impactos no nível agroflorestal.</w:t>
      </w:r>
    </w:p>
    <w:p w14:paraId="753AF101" w14:textId="3B05E1BC" w:rsidR="006E474A" w:rsidRDefault="008D3D04" w:rsidP="0038380A">
      <w:pPr>
        <w:rPr>
          <w:rFonts w:cs="Calibri"/>
          <w:szCs w:val="20"/>
        </w:rPr>
      </w:pPr>
      <w:r w:rsidRPr="0038380A">
        <w:rPr>
          <w:rFonts w:cs="Calibri"/>
          <w:szCs w:val="20"/>
        </w:rPr>
        <w:t>A metodologia utilizada neste estudo pode ser resumida no seguinte esquema.</w:t>
      </w:r>
    </w:p>
    <w:tbl>
      <w:tblPr>
        <w:tblW w:w="0" w:type="auto"/>
        <w:jc w:val="center"/>
        <w:tblBorders>
          <w:top w:val="single" w:sz="12" w:space="0" w:color="auto"/>
          <w:left w:val="single" w:sz="12" w:space="0" w:color="auto"/>
          <w:bottom w:val="single" w:sz="12" w:space="0" w:color="auto"/>
          <w:right w:val="single" w:sz="12" w:space="0" w:color="auto"/>
        </w:tblBorders>
        <w:tblCellMar>
          <w:left w:w="10" w:type="dxa"/>
          <w:right w:w="10" w:type="dxa"/>
        </w:tblCellMar>
        <w:tblLook w:val="04A0" w:firstRow="1" w:lastRow="0" w:firstColumn="1" w:lastColumn="0" w:noHBand="0" w:noVBand="1"/>
      </w:tblPr>
      <w:tblGrid>
        <w:gridCol w:w="7083"/>
      </w:tblGrid>
      <w:tr w:rsidR="00CD241D" w:rsidRPr="0038380A" w14:paraId="4B44FA6F" w14:textId="77777777" w:rsidTr="00F163B1">
        <w:trPr>
          <w:trHeight w:val="1049"/>
          <w:jc w:val="center"/>
        </w:trPr>
        <w:tc>
          <w:tcPr>
            <w:tcW w:w="7083" w:type="dxa"/>
          </w:tcPr>
          <w:p w14:paraId="16BCB8F4" w14:textId="77777777" w:rsidR="00F163B1" w:rsidRDefault="00F163B1" w:rsidP="00F163B1">
            <w:pPr>
              <w:pStyle w:val="ListParagraph"/>
              <w:ind w:left="1440"/>
              <w:rPr>
                <w:rFonts w:cs="Calibri"/>
                <w:szCs w:val="20"/>
              </w:rPr>
            </w:pPr>
          </w:p>
          <w:p w14:paraId="6A7542E2" w14:textId="7ECCED68" w:rsidR="00F163B1" w:rsidRDefault="008D3D04" w:rsidP="00E042D7">
            <w:pPr>
              <w:pStyle w:val="ListParagraph"/>
              <w:numPr>
                <w:ilvl w:val="0"/>
                <w:numId w:val="47"/>
              </w:numPr>
              <w:rPr>
                <w:rFonts w:cs="Calibri"/>
                <w:szCs w:val="20"/>
              </w:rPr>
            </w:pPr>
            <w:r w:rsidRPr="00F163B1">
              <w:rPr>
                <w:rFonts w:cs="Calibri"/>
                <w:szCs w:val="20"/>
              </w:rPr>
              <w:t xml:space="preserve">Análise funcional, institucional e de governança </w:t>
            </w:r>
          </w:p>
          <w:p w14:paraId="3D86D521" w14:textId="77777777" w:rsidR="00F163B1" w:rsidRDefault="008D3D04" w:rsidP="00E042D7">
            <w:pPr>
              <w:pStyle w:val="ListParagraph"/>
              <w:numPr>
                <w:ilvl w:val="0"/>
                <w:numId w:val="47"/>
              </w:numPr>
              <w:rPr>
                <w:rFonts w:cs="Calibri"/>
                <w:szCs w:val="20"/>
              </w:rPr>
            </w:pPr>
            <w:r w:rsidRPr="00F163B1">
              <w:rPr>
                <w:rFonts w:cs="Calibri"/>
                <w:szCs w:val="20"/>
              </w:rPr>
              <w:t xml:space="preserve">Contribuição para o crescimento econômico e criação de empregos </w:t>
            </w:r>
          </w:p>
          <w:p w14:paraId="56F52EDC" w14:textId="77777777" w:rsidR="00F163B1" w:rsidRDefault="008D3D04" w:rsidP="00E042D7">
            <w:pPr>
              <w:pStyle w:val="ListParagraph"/>
              <w:numPr>
                <w:ilvl w:val="0"/>
                <w:numId w:val="47"/>
              </w:numPr>
              <w:rPr>
                <w:rFonts w:cs="Calibri"/>
                <w:szCs w:val="20"/>
              </w:rPr>
            </w:pPr>
            <w:r w:rsidRPr="00F163B1">
              <w:rPr>
                <w:rFonts w:cs="Calibri"/>
                <w:szCs w:val="20"/>
              </w:rPr>
              <w:t>Sustentabilidade ambiental e agroflorestal</w:t>
            </w:r>
          </w:p>
          <w:p w14:paraId="1DDD3B9F" w14:textId="48B80719" w:rsidR="006E474A" w:rsidRPr="00F163B1" w:rsidRDefault="008D3D04" w:rsidP="00E042D7">
            <w:pPr>
              <w:pStyle w:val="ListParagraph"/>
              <w:numPr>
                <w:ilvl w:val="0"/>
                <w:numId w:val="47"/>
              </w:numPr>
              <w:rPr>
                <w:rFonts w:cs="Calibri"/>
                <w:szCs w:val="20"/>
              </w:rPr>
            </w:pPr>
            <w:r w:rsidRPr="00F163B1">
              <w:rPr>
                <w:rFonts w:cs="Calibri"/>
                <w:szCs w:val="20"/>
              </w:rPr>
              <w:t>Cenários de desenvolvimento da cadeia</w:t>
            </w:r>
          </w:p>
        </w:tc>
      </w:tr>
    </w:tbl>
    <w:p w14:paraId="775D5C3F" w14:textId="77777777" w:rsidR="0038380A" w:rsidRDefault="0038380A" w:rsidP="0038380A">
      <w:pPr>
        <w:rPr>
          <w:rFonts w:cs="Calibri"/>
          <w:szCs w:val="20"/>
        </w:rPr>
      </w:pPr>
    </w:p>
    <w:p w14:paraId="7554D26F" w14:textId="13E94734" w:rsidR="006E474A" w:rsidRPr="0038380A" w:rsidRDefault="008D3D04" w:rsidP="0038380A">
      <w:pPr>
        <w:rPr>
          <w:rFonts w:cs="Calibri"/>
          <w:szCs w:val="20"/>
        </w:rPr>
      </w:pPr>
      <w:r w:rsidRPr="0038380A">
        <w:rPr>
          <w:rFonts w:cs="Calibri"/>
          <w:szCs w:val="20"/>
        </w:rPr>
        <w:t>A cadeia de valor da manga se beneficiou de projetos de cooperação internacional nos últimos anos.</w:t>
      </w:r>
    </w:p>
    <w:p w14:paraId="2CFA4F3C" w14:textId="6860FC9F" w:rsidR="006E474A" w:rsidRPr="0038380A" w:rsidRDefault="008D3D04" w:rsidP="0038380A">
      <w:pPr>
        <w:rPr>
          <w:rFonts w:cs="Calibri"/>
          <w:szCs w:val="20"/>
        </w:rPr>
      </w:pPr>
      <w:r w:rsidRPr="0038380A">
        <w:rPr>
          <w:rFonts w:cs="Calibri"/>
          <w:szCs w:val="20"/>
        </w:rPr>
        <w:t>Resumo de projetos dos últimos anos: Wacom, UE- Unido, mosca-das-frutas (Midana)</w:t>
      </w:r>
    </w:p>
    <w:p w14:paraId="3EB0B4B6" w14:textId="77777777" w:rsidR="00903505" w:rsidRPr="0038380A" w:rsidRDefault="00903505" w:rsidP="0038380A">
      <w:pPr>
        <w:spacing w:line="276" w:lineRule="auto"/>
        <w:rPr>
          <w:rFonts w:cs="Calibri"/>
          <w:szCs w:val="20"/>
        </w:rPr>
      </w:pPr>
      <w:r w:rsidRPr="0038380A">
        <w:rPr>
          <w:rFonts w:cs="Calibri"/>
          <w:szCs w:val="20"/>
        </w:rPr>
        <w:t xml:space="preserve">Em linha com a importância atribuída à fileira, a manga recebeu poucos investimentos nos últimos anos, destacando-se apenas o WACOMP-Guiné-Bissau e o SyRIMAO. </w:t>
      </w:r>
    </w:p>
    <w:p w14:paraId="1C116CCE" w14:textId="40E87A2C" w:rsidR="00903505" w:rsidRPr="0038380A" w:rsidRDefault="00903505" w:rsidP="0038380A">
      <w:pPr>
        <w:spacing w:line="276" w:lineRule="auto"/>
        <w:rPr>
          <w:rFonts w:cs="Calibri"/>
          <w:szCs w:val="20"/>
        </w:rPr>
      </w:pPr>
      <w:r w:rsidRPr="0038380A">
        <w:rPr>
          <w:rFonts w:cs="Calibri"/>
          <w:szCs w:val="20"/>
        </w:rPr>
        <w:t>O WACOMP, financiado pela União Europeia e implementado pela ONUDI, com cerca de 4 milhões de euros (2020-2025), teve como objetivo reforçar a competitividade da cadeia da manga através de melhores práticas agrícolas, organização de produtores, conformidade com normas de qualidade e apoio à exportação. Apesar de metas ambiciosas face ao orçamento e ao tempo de execução — e também da dispersão das atividades, que limitou impactos concentrados —, o programa distribuiu equipamentos, realizou formações, apoiou viveiros, elaborou o Plano Nacional de Marketing da Manga e conseguiu inscrever a manga como produto estratégico na agenda nacional.</w:t>
      </w:r>
    </w:p>
    <w:p w14:paraId="6FCE3905" w14:textId="77777777" w:rsidR="00903505" w:rsidRPr="0038380A" w:rsidRDefault="00903505" w:rsidP="0038380A">
      <w:pPr>
        <w:spacing w:line="276" w:lineRule="auto"/>
        <w:rPr>
          <w:rFonts w:cs="Calibri"/>
          <w:szCs w:val="20"/>
        </w:rPr>
      </w:pPr>
      <w:r w:rsidRPr="0038380A">
        <w:rPr>
          <w:rFonts w:cs="Calibri"/>
          <w:szCs w:val="20"/>
        </w:rPr>
        <w:t>Já o SyRIMAO (2019-2023), também financiado pela União Europeia, contou com cerca de 15 milhões de euros para toda a região da CEDEAO e foi executado pela ARAA/CEDEAO em parceria com o CILSS/INSAH. Na Guiné-Bissau, teve como instituição parceira a Direção Geral de Agricultura e Pecuária, através da Direção Geral de Proteção Vegetal (DGAP/DGPV) do Ministério da Agricultura e Desenvolvimento Rural, responsável pela implementação local das ações de vigilância e manejo integrado da mosca-da-fruta. O projeto criou uma rede regional de monitorização e controlo sustentável da praga, reforçando as capacidades técnicas e institucionais nacionais — condição essencial para manter a qualidade da manga e apoiar a sua exportação.</w:t>
      </w:r>
    </w:p>
    <w:p w14:paraId="62500EDB" w14:textId="246658B4" w:rsidR="006E474A" w:rsidRPr="0038380A" w:rsidRDefault="008D3D04" w:rsidP="0038380A">
      <w:pPr>
        <w:rPr>
          <w:rFonts w:cs="Calibri"/>
          <w:szCs w:val="20"/>
        </w:rPr>
      </w:pPr>
      <w:r w:rsidRPr="0038380A">
        <w:rPr>
          <w:rFonts w:cs="Calibri"/>
          <w:szCs w:val="20"/>
        </w:rPr>
        <w:lastRenderedPageBreak/>
        <w:t>O estudo de 2018 foi realizado para avaliar a sustentabilidade econômica, social e ambiental do CV no âmbito do VCA4D. A análise confirmou a viabilidade econômica da cadeia de valor e identificou um conjunto de áreas prioritárias para a melhoria do desempenho do CV, particularmente relacionadas à fraca governança.</w:t>
      </w:r>
    </w:p>
    <w:p w14:paraId="3456DA33" w14:textId="2BD34AED" w:rsidR="006E474A" w:rsidRPr="0038380A" w:rsidRDefault="008D3D04" w:rsidP="0038380A">
      <w:pPr>
        <w:rPr>
          <w:rFonts w:cs="Calibri"/>
          <w:szCs w:val="20"/>
        </w:rPr>
      </w:pPr>
      <w:r w:rsidRPr="0038380A">
        <w:rPr>
          <w:rFonts w:cs="Calibri"/>
          <w:szCs w:val="20"/>
        </w:rPr>
        <w:t>No entanto, embora o estudo VCA4D de 2018 sirva como base para avaliar potenciais mudanças no desempenho e no impacto do CV Mango, este "estudo de atualização" concentra-se nas áreas onde ocorreram mudanças desde 2018. Assim, para responder às preocupações da EUD, propõe-se integrar no estudo de atualização VCA4D os cenários potenciais de desenvolvimento propostos para o CV manga nos próximos anos.</w:t>
      </w:r>
    </w:p>
    <w:p w14:paraId="02FDACEC" w14:textId="111697C8" w:rsidR="006E474A" w:rsidRPr="0038380A" w:rsidRDefault="008D3D04" w:rsidP="0038380A">
      <w:pPr>
        <w:rPr>
          <w:rFonts w:cs="Calibri"/>
          <w:szCs w:val="20"/>
        </w:rPr>
      </w:pPr>
      <w:r w:rsidRPr="0038380A">
        <w:rPr>
          <w:rFonts w:cs="Calibri"/>
          <w:szCs w:val="20"/>
        </w:rPr>
        <w:t xml:space="preserve">Consequentemente, o </w:t>
      </w:r>
      <w:r w:rsidR="00F70065" w:rsidRPr="0038380A">
        <w:rPr>
          <w:rFonts w:cs="Calibri"/>
          <w:szCs w:val="20"/>
        </w:rPr>
        <w:t>quadro</w:t>
      </w:r>
      <w:r w:rsidRPr="0038380A">
        <w:rPr>
          <w:rFonts w:cs="Calibri"/>
          <w:szCs w:val="20"/>
        </w:rPr>
        <w:t xml:space="preserve"> metodológico proposto para a realização do estudo de atualização é o mesmo do estudo anterior (ver esquema acima), mas concentra-se em alguns pontos específicos, incluindo as seguintes fases:</w:t>
      </w:r>
    </w:p>
    <w:p w14:paraId="58DF9DC5" w14:textId="41CABD64" w:rsidR="006E474A" w:rsidRPr="0038380A" w:rsidRDefault="008D3D04" w:rsidP="001741F6">
      <w:pPr>
        <w:numPr>
          <w:ilvl w:val="0"/>
          <w:numId w:val="2"/>
        </w:numPr>
        <w:ind w:left="426" w:hanging="284"/>
        <w:rPr>
          <w:rFonts w:cs="Calibri"/>
          <w:szCs w:val="20"/>
        </w:rPr>
      </w:pPr>
      <w:r w:rsidRPr="0038380A">
        <w:rPr>
          <w:rFonts w:cs="Calibri"/>
          <w:szCs w:val="20"/>
        </w:rPr>
        <w:t>Revisão da análise funcional do VCA4D para registrar quaisquer mudanças significativas na estrutura do CV, como novos atores, mudanças nas práticas de produção e processamento em qualquer estágio (inovação técnica) ou mudanças na governança do CV.</w:t>
      </w:r>
    </w:p>
    <w:p w14:paraId="15B465B7" w14:textId="20E1B3AE" w:rsidR="006E474A" w:rsidRPr="0038380A" w:rsidRDefault="008D3D04" w:rsidP="001741F6">
      <w:pPr>
        <w:numPr>
          <w:ilvl w:val="0"/>
          <w:numId w:val="2"/>
        </w:numPr>
        <w:ind w:left="426" w:hanging="284"/>
        <w:rPr>
          <w:rFonts w:cs="Calibri"/>
          <w:szCs w:val="20"/>
        </w:rPr>
      </w:pPr>
      <w:r w:rsidRPr="0038380A">
        <w:rPr>
          <w:rFonts w:cs="Calibri"/>
          <w:szCs w:val="20"/>
        </w:rPr>
        <w:t>Revisão da análise econômica para verificar o desempenho dos principais indicadores em 2025, a viabilidade econômica do CV, seu potencial de exportação e as restrições que o impedem de ace</w:t>
      </w:r>
      <w:r w:rsidR="00C81F23" w:rsidRPr="0038380A">
        <w:rPr>
          <w:rFonts w:cs="Calibri"/>
          <w:szCs w:val="20"/>
        </w:rPr>
        <w:t>de</w:t>
      </w:r>
      <w:r w:rsidRPr="0038380A">
        <w:rPr>
          <w:rFonts w:cs="Calibri"/>
          <w:szCs w:val="20"/>
        </w:rPr>
        <w:t>r os mercados europeus.</w:t>
      </w:r>
    </w:p>
    <w:p w14:paraId="2203C85E" w14:textId="7D278BA5" w:rsidR="006E474A" w:rsidRPr="0038380A" w:rsidRDefault="008D3D04" w:rsidP="001741F6">
      <w:pPr>
        <w:numPr>
          <w:ilvl w:val="0"/>
          <w:numId w:val="2"/>
        </w:numPr>
        <w:ind w:left="426" w:hanging="284"/>
        <w:rPr>
          <w:rFonts w:cs="Calibri"/>
          <w:szCs w:val="20"/>
        </w:rPr>
      </w:pPr>
      <w:r w:rsidRPr="0038380A">
        <w:rPr>
          <w:rFonts w:cs="Calibri"/>
          <w:szCs w:val="20"/>
        </w:rPr>
        <w:t xml:space="preserve">Revisão da análise ambiental, </w:t>
      </w:r>
      <w:r w:rsidR="00F70065" w:rsidRPr="0038380A">
        <w:rPr>
          <w:rFonts w:cs="Calibri"/>
          <w:szCs w:val="20"/>
        </w:rPr>
        <w:t xml:space="preserve">para estabelecer as possíveis mudanças </w:t>
      </w:r>
      <w:r w:rsidR="00C81F23" w:rsidRPr="0038380A">
        <w:rPr>
          <w:rFonts w:cs="Calibri"/>
          <w:szCs w:val="20"/>
        </w:rPr>
        <w:t>relativamente</w:t>
      </w:r>
      <w:r w:rsidR="00F70065" w:rsidRPr="0038380A">
        <w:rPr>
          <w:rFonts w:cs="Calibri"/>
          <w:szCs w:val="20"/>
        </w:rPr>
        <w:t xml:space="preserve"> ao estudo de 2017</w:t>
      </w:r>
      <w:r w:rsidRPr="0038380A">
        <w:rPr>
          <w:rFonts w:cs="Calibri"/>
          <w:szCs w:val="20"/>
        </w:rPr>
        <w:t>.</w:t>
      </w:r>
    </w:p>
    <w:p w14:paraId="0DAFCA21" w14:textId="77777777" w:rsidR="0038380A" w:rsidRDefault="0038380A" w:rsidP="0038380A">
      <w:pPr>
        <w:spacing w:line="240" w:lineRule="auto"/>
        <w:rPr>
          <w:rFonts w:cs="Calibri"/>
          <w:szCs w:val="20"/>
        </w:rPr>
      </w:pPr>
    </w:p>
    <w:p w14:paraId="76327926" w14:textId="6855AF92" w:rsidR="006E474A" w:rsidRPr="0038380A" w:rsidRDefault="008D3D04" w:rsidP="0038380A">
      <w:pPr>
        <w:spacing w:line="240" w:lineRule="auto"/>
        <w:rPr>
          <w:rFonts w:cs="Calibri"/>
          <w:szCs w:val="20"/>
        </w:rPr>
      </w:pPr>
      <w:r w:rsidRPr="0038380A">
        <w:rPr>
          <w:rFonts w:cs="Calibri"/>
          <w:szCs w:val="20"/>
        </w:rPr>
        <w:t>O estudo sobre a cadeia de valor da manga desenvolveu-se segundo o esquema apresentado na</w:t>
      </w:r>
      <w:r w:rsidR="00AD663F" w:rsidRPr="0038380A">
        <w:rPr>
          <w:rFonts w:cs="Calibri"/>
          <w:szCs w:val="20"/>
        </w:rPr>
        <w:t xml:space="preserve"> </w:t>
      </w:r>
      <w:r w:rsidR="00AD663F" w:rsidRPr="0038380A">
        <w:rPr>
          <w:rFonts w:cs="Calibri"/>
          <w:szCs w:val="20"/>
        </w:rPr>
        <w:fldChar w:fldCharType="begin"/>
      </w:r>
      <w:r w:rsidR="00AD663F" w:rsidRPr="0038380A">
        <w:rPr>
          <w:rFonts w:cs="Calibri"/>
          <w:szCs w:val="20"/>
        </w:rPr>
        <w:instrText xml:space="preserve"> REF _Ref210730790 \h  \* MERGEFORMAT </w:instrText>
      </w:r>
      <w:r w:rsidR="00AD663F" w:rsidRPr="0038380A">
        <w:rPr>
          <w:rFonts w:cs="Calibri"/>
          <w:szCs w:val="20"/>
        </w:rPr>
      </w:r>
      <w:r w:rsidR="00AD663F" w:rsidRPr="0038380A">
        <w:rPr>
          <w:rFonts w:cs="Calibri"/>
          <w:szCs w:val="20"/>
        </w:rPr>
        <w:fldChar w:fldCharType="separate"/>
      </w:r>
      <w:r w:rsidR="002A2405" w:rsidRPr="002A2405">
        <w:rPr>
          <w:rFonts w:cs="Calibri"/>
          <w:szCs w:val="20"/>
        </w:rPr>
        <w:t>Figura</w:t>
      </w:r>
      <w:r w:rsidR="002A2405" w:rsidRPr="002A2405">
        <w:rPr>
          <w:rFonts w:cs="Calibri"/>
          <w:noProof/>
          <w:szCs w:val="20"/>
        </w:rPr>
        <w:t xml:space="preserve"> </w:t>
      </w:r>
      <w:r w:rsidR="002A2405">
        <w:rPr>
          <w:noProof/>
        </w:rPr>
        <w:t>0</w:t>
      </w:r>
      <w:r w:rsidR="002A2405" w:rsidRPr="0038380A">
        <w:t>.</w:t>
      </w:r>
      <w:r w:rsidR="002A2405">
        <w:rPr>
          <w:noProof/>
        </w:rPr>
        <w:t>1</w:t>
      </w:r>
      <w:r w:rsidR="00AD663F" w:rsidRPr="0038380A">
        <w:rPr>
          <w:rFonts w:cs="Calibri"/>
          <w:szCs w:val="20"/>
        </w:rPr>
        <w:fldChar w:fldCharType="end"/>
      </w:r>
      <w:r w:rsidRPr="0038380A">
        <w:rPr>
          <w:rFonts w:cs="Calibri"/>
          <w:szCs w:val="20"/>
        </w:rPr>
        <w:t>.</w:t>
      </w:r>
    </w:p>
    <w:p w14:paraId="7171BF46" w14:textId="366A716A" w:rsidR="009E4C27" w:rsidRDefault="009E4C27" w:rsidP="0038380A">
      <w:pPr>
        <w:rPr>
          <w:rFonts w:cs="Calibri"/>
          <w:szCs w:val="20"/>
        </w:rPr>
      </w:pPr>
      <w:r w:rsidRPr="00485573">
        <w:rPr>
          <w:rFonts w:ascii="Open Sans" w:hAnsi="Open Sans" w:cs="Open Sans"/>
          <w:noProof/>
          <w:szCs w:val="20"/>
        </w:rPr>
        <mc:AlternateContent>
          <mc:Choice Requires="wpg">
            <w:drawing>
              <wp:anchor distT="0" distB="0" distL="114300" distR="114300" simplePos="0" relativeHeight="251659264" behindDoc="0" locked="0" layoutInCell="1" allowOverlap="1" wp14:anchorId="24DE9C7B" wp14:editId="7574DDEC">
                <wp:simplePos x="0" y="0"/>
                <wp:positionH relativeFrom="column">
                  <wp:posOffset>1125643</wp:posOffset>
                </wp:positionH>
                <wp:positionV relativeFrom="paragraph">
                  <wp:posOffset>177800</wp:posOffset>
                </wp:positionV>
                <wp:extent cx="3620798" cy="3714750"/>
                <wp:effectExtent l="0" t="12700" r="11430" b="19050"/>
                <wp:wrapNone/>
                <wp:docPr id="13" name="Grupo 12">
                  <a:extLst xmlns:a="http://schemas.openxmlformats.org/drawingml/2006/main">
                    <a:ext uri="{FF2B5EF4-FFF2-40B4-BE49-F238E27FC236}">
                      <a16:creationId xmlns:a16="http://schemas.microsoft.com/office/drawing/2014/main" id="{CF3019FD-DCC1-8E51-382A-CAB119BE0183}"/>
                    </a:ext>
                  </a:extLst>
                </wp:docPr>
                <wp:cNvGraphicFramePr/>
                <a:graphic xmlns:a="http://schemas.openxmlformats.org/drawingml/2006/main">
                  <a:graphicData uri="http://schemas.microsoft.com/office/word/2010/wordprocessingGroup">
                    <wpg:wgp>
                      <wpg:cNvGrpSpPr/>
                      <wpg:grpSpPr>
                        <a:xfrm>
                          <a:off x="0" y="0"/>
                          <a:ext cx="3620798" cy="3714750"/>
                          <a:chOff x="0" y="0"/>
                          <a:chExt cx="3620798" cy="3714750"/>
                        </a:xfrm>
                      </wpg:grpSpPr>
                      <wps:wsp>
                        <wps:cNvPr id="775581264" name="Elipse 775581264">
                          <a:extLst>
                            <a:ext uri="{FF2B5EF4-FFF2-40B4-BE49-F238E27FC236}">
                              <a16:creationId xmlns:a16="http://schemas.microsoft.com/office/drawing/2014/main" id="{0C4EC012-F501-1E85-9D25-97906B0A2822}"/>
                            </a:ext>
                          </a:extLst>
                        </wps:cNvPr>
                        <wps:cNvSpPr/>
                        <wps:spPr>
                          <a:xfrm>
                            <a:off x="1091445" y="0"/>
                            <a:ext cx="1168085" cy="1181100"/>
                          </a:xfrm>
                          <a:prstGeom prst="ellipse">
                            <a:avLst/>
                          </a:prstGeom>
                          <a:solidFill>
                            <a:schemeClr val="tx2">
                              <a:lumMod val="20000"/>
                              <a:lumOff val="80000"/>
                            </a:schemeClr>
                          </a:solid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38040B" w14:textId="77777777" w:rsidR="009E4C27" w:rsidRPr="00485573" w:rsidRDefault="009E4C27" w:rsidP="009E4C27">
                              <w:pPr>
                                <w:jc w:val="center"/>
                                <w:rPr>
                                  <w:rFonts w:ascii="Open Sans" w:hAnsi="Open Sans" w:cs="Open Sans"/>
                                  <w:color w:val="000000" w:themeColor="text1"/>
                                  <w:kern w:val="24"/>
                                  <w:sz w:val="14"/>
                                  <w:szCs w:val="14"/>
                                  <w:lang w:val="pt-BR"/>
                                </w:rPr>
                              </w:pPr>
                              <w:r w:rsidRPr="00485573">
                                <w:rPr>
                                  <w:rFonts w:ascii="Open Sans" w:hAnsi="Open Sans" w:cs="Open Sans"/>
                                  <w:color w:val="000000" w:themeColor="text1"/>
                                  <w:kern w:val="24"/>
                                  <w:sz w:val="14"/>
                                  <w:szCs w:val="14"/>
                                  <w:lang w:val="pt-BR"/>
                                </w:rPr>
                                <w:t xml:space="preserve">Reunião com PMU-Agrinatura, INTPA e DUE:   </w:t>
                              </w:r>
                              <w:r w:rsidRPr="00485573">
                                <w:rPr>
                                  <w:rFonts w:ascii="Open Sans" w:hAnsi="Open Sans" w:cs="Open Sans"/>
                                  <w:b/>
                                  <w:bCs/>
                                  <w:color w:val="501549" w:themeColor="accent5" w:themeShade="80"/>
                                  <w:kern w:val="24"/>
                                  <w:sz w:val="14"/>
                                  <w:szCs w:val="14"/>
                                  <w:lang w:val="pt-BR"/>
                                </w:rPr>
                                <w:t>junho de 2025</w:t>
                              </w:r>
                            </w:p>
                          </w:txbxContent>
                        </wps:txbx>
                        <wps:bodyPr rtlCol="0" anchor="ctr"/>
                      </wps:wsp>
                      <wps:wsp>
                        <wps:cNvPr id="903296795" name="Elipse 903296795">
                          <a:extLst>
                            <a:ext uri="{FF2B5EF4-FFF2-40B4-BE49-F238E27FC236}">
                              <a16:creationId xmlns:a16="http://schemas.microsoft.com/office/drawing/2014/main" id="{B091A128-D7DC-C0A0-F736-400108A1EAD8}"/>
                            </a:ext>
                          </a:extLst>
                        </wps:cNvPr>
                        <wps:cNvSpPr/>
                        <wps:spPr>
                          <a:xfrm>
                            <a:off x="2452713" y="910590"/>
                            <a:ext cx="1168085" cy="1235496"/>
                          </a:xfrm>
                          <a:prstGeom prst="ellipse">
                            <a:avLst/>
                          </a:prstGeom>
                          <a:solidFill>
                            <a:schemeClr val="accent6">
                              <a:lumMod val="20000"/>
                              <a:lumOff val="80000"/>
                            </a:schemeClr>
                          </a:solidFill>
                          <a:ln>
                            <a:solidFill>
                              <a:schemeClr val="accent6"/>
                            </a:solidFill>
                          </a:ln>
                        </wps:spPr>
                        <wps:style>
                          <a:lnRef idx="2">
                            <a:schemeClr val="accent6">
                              <a:shade val="15000"/>
                            </a:schemeClr>
                          </a:lnRef>
                          <a:fillRef idx="1">
                            <a:schemeClr val="accent6"/>
                          </a:fillRef>
                          <a:effectRef idx="0">
                            <a:schemeClr val="accent6"/>
                          </a:effectRef>
                          <a:fontRef idx="minor">
                            <a:schemeClr val="lt1"/>
                          </a:fontRef>
                        </wps:style>
                        <wps:txbx>
                          <w:txbxContent>
                            <w:p w14:paraId="1193C8F0" w14:textId="77777777" w:rsidR="009E4C27" w:rsidRPr="00485573" w:rsidRDefault="009E4C27" w:rsidP="009E4C27">
                              <w:pPr>
                                <w:jc w:val="center"/>
                                <w:rPr>
                                  <w:rFonts w:ascii="Open Sans" w:hAnsi="Open Sans" w:cs="Open Sans"/>
                                  <w:color w:val="000000" w:themeColor="text1"/>
                                  <w:kern w:val="24"/>
                                  <w:sz w:val="14"/>
                                  <w:szCs w:val="14"/>
                                  <w:lang w:val="pt-BR"/>
                                </w:rPr>
                              </w:pPr>
                              <w:r w:rsidRPr="00485573">
                                <w:rPr>
                                  <w:rFonts w:ascii="Open Sans" w:hAnsi="Open Sans" w:cs="Open Sans"/>
                                  <w:color w:val="000000" w:themeColor="text1"/>
                                  <w:kern w:val="24"/>
                                  <w:sz w:val="14"/>
                                  <w:szCs w:val="14"/>
                                  <w:lang w:val="pt-BR"/>
                                </w:rPr>
                                <w:t xml:space="preserve">Missão no terreno Reunião das partes interessadas </w:t>
                              </w:r>
                              <w:r w:rsidRPr="00485573">
                                <w:rPr>
                                  <w:rFonts w:ascii="Open Sans" w:hAnsi="Open Sans" w:cs="Open Sans"/>
                                  <w:b/>
                                  <w:bCs/>
                                  <w:color w:val="501549" w:themeColor="accent5" w:themeShade="80"/>
                                  <w:kern w:val="24"/>
                                  <w:sz w:val="14"/>
                                  <w:szCs w:val="14"/>
                                  <w:lang w:val="pt-BR"/>
                                </w:rPr>
                                <w:t>junho de 2025</w:t>
                              </w:r>
                            </w:p>
                          </w:txbxContent>
                        </wps:txbx>
                        <wps:bodyPr rtlCol="0" anchor="ctr"/>
                      </wps:wsp>
                      <wps:wsp>
                        <wps:cNvPr id="1247725179" name="Elipse 1247725179">
                          <a:extLst>
                            <a:ext uri="{FF2B5EF4-FFF2-40B4-BE49-F238E27FC236}">
                              <a16:creationId xmlns:a16="http://schemas.microsoft.com/office/drawing/2014/main" id="{A302CAA6-3EA5-B5AC-EB39-8BD7642A7425}"/>
                            </a:ext>
                          </a:extLst>
                        </wps:cNvPr>
                        <wps:cNvSpPr/>
                        <wps:spPr>
                          <a:xfrm>
                            <a:off x="0" y="844550"/>
                            <a:ext cx="1168085" cy="1181100"/>
                          </a:xfrm>
                          <a:prstGeom prst="ellipse">
                            <a:avLst/>
                          </a:prstGeom>
                          <a:solidFill>
                            <a:schemeClr val="tx2">
                              <a:lumMod val="25000"/>
                              <a:lumOff val="75000"/>
                            </a:schemeClr>
                          </a:solidFill>
                          <a:ln/>
                        </wps:spPr>
                        <wps:style>
                          <a:lnRef idx="1">
                            <a:schemeClr val="accent4"/>
                          </a:lnRef>
                          <a:fillRef idx="2">
                            <a:schemeClr val="accent4"/>
                          </a:fillRef>
                          <a:effectRef idx="1">
                            <a:schemeClr val="accent4"/>
                          </a:effectRef>
                          <a:fontRef idx="minor">
                            <a:schemeClr val="dk1"/>
                          </a:fontRef>
                        </wps:style>
                        <wps:txbx>
                          <w:txbxContent>
                            <w:p w14:paraId="56B43EED" w14:textId="77777777" w:rsidR="009E4C27" w:rsidRPr="00485573" w:rsidRDefault="009E4C27" w:rsidP="009E4C27">
                              <w:pPr>
                                <w:jc w:val="center"/>
                                <w:rPr>
                                  <w:rFonts w:ascii="Open Sans" w:hAnsi="Open Sans" w:cs="Open Sans"/>
                                  <w:color w:val="000000" w:themeColor="text1"/>
                                  <w:kern w:val="24"/>
                                  <w:sz w:val="16"/>
                                  <w:szCs w:val="16"/>
                                  <w:lang w:val="pt-BR"/>
                                </w:rPr>
                              </w:pPr>
                              <w:r w:rsidRPr="00485573">
                                <w:rPr>
                                  <w:rFonts w:ascii="Open Sans" w:hAnsi="Open Sans" w:cs="Open Sans"/>
                                  <w:color w:val="000000" w:themeColor="text1"/>
                                  <w:kern w:val="24"/>
                                  <w:sz w:val="16"/>
                                  <w:szCs w:val="16"/>
                                  <w:lang w:val="pt-BR"/>
                                </w:rPr>
                                <w:t xml:space="preserve">Relatório final </w:t>
                              </w:r>
                              <w:r w:rsidRPr="00485573">
                                <w:rPr>
                                  <w:rFonts w:ascii="Open Sans" w:hAnsi="Open Sans" w:cs="Open Sans"/>
                                  <w:b/>
                                  <w:bCs/>
                                  <w:color w:val="501549" w:themeColor="accent5" w:themeShade="80"/>
                                  <w:kern w:val="24"/>
                                  <w:sz w:val="16"/>
                                  <w:szCs w:val="16"/>
                                  <w:lang w:val="pt-BR"/>
                                </w:rPr>
                                <w:t>novembro de 2025</w:t>
                              </w:r>
                            </w:p>
                          </w:txbxContent>
                        </wps:txbx>
                        <wps:bodyPr rtlCol="0" anchor="ctr"/>
                      </wps:wsp>
                      <wps:wsp>
                        <wps:cNvPr id="177309723" name="Elipse 177309723">
                          <a:extLst>
                            <a:ext uri="{FF2B5EF4-FFF2-40B4-BE49-F238E27FC236}">
                              <a16:creationId xmlns:a16="http://schemas.microsoft.com/office/drawing/2014/main" id="{26C53120-0944-1B68-27DC-018CCBD2D8B2}"/>
                            </a:ext>
                          </a:extLst>
                        </wps:cNvPr>
                        <wps:cNvSpPr/>
                        <wps:spPr>
                          <a:xfrm>
                            <a:off x="280561" y="2533650"/>
                            <a:ext cx="1168085" cy="1181100"/>
                          </a:xfrm>
                          <a:prstGeom prst="ellipse">
                            <a:avLst/>
                          </a:prstGeom>
                          <a:ln/>
                        </wps:spPr>
                        <wps:style>
                          <a:lnRef idx="1">
                            <a:schemeClr val="accent5"/>
                          </a:lnRef>
                          <a:fillRef idx="2">
                            <a:schemeClr val="accent5"/>
                          </a:fillRef>
                          <a:effectRef idx="1">
                            <a:schemeClr val="accent5"/>
                          </a:effectRef>
                          <a:fontRef idx="minor">
                            <a:schemeClr val="dk1"/>
                          </a:fontRef>
                        </wps:style>
                        <wps:txbx>
                          <w:txbxContent>
                            <w:p w14:paraId="12902C34" w14:textId="77777777" w:rsidR="009E4C27" w:rsidRPr="00485573" w:rsidRDefault="009E4C27" w:rsidP="009E4C27">
                              <w:pPr>
                                <w:jc w:val="center"/>
                                <w:rPr>
                                  <w:rFonts w:ascii="Open Sans" w:hAnsi="Open Sans" w:cs="Open Sans"/>
                                  <w:color w:val="000000" w:themeColor="text1"/>
                                  <w:kern w:val="24"/>
                                  <w:sz w:val="16"/>
                                  <w:szCs w:val="16"/>
                                  <w:lang w:val="pt-BR"/>
                                </w:rPr>
                              </w:pPr>
                              <w:r w:rsidRPr="00485573">
                                <w:rPr>
                                  <w:rFonts w:ascii="Open Sans" w:hAnsi="Open Sans" w:cs="Open Sans"/>
                                  <w:color w:val="000000" w:themeColor="text1"/>
                                  <w:kern w:val="24"/>
                                  <w:sz w:val="16"/>
                                  <w:szCs w:val="16"/>
                                  <w:lang w:val="pt-BR"/>
                                </w:rPr>
                                <w:t>Projeto de relatório</w:t>
                              </w:r>
                            </w:p>
                            <w:p w14:paraId="3FFC93B1" w14:textId="77777777" w:rsidR="009E4C27" w:rsidRPr="00485573" w:rsidRDefault="009E4C27" w:rsidP="009E4C27">
                              <w:pPr>
                                <w:jc w:val="center"/>
                                <w:rPr>
                                  <w:rFonts w:ascii="Open Sans" w:hAnsi="Open Sans" w:cs="Open Sans"/>
                                  <w:b/>
                                  <w:bCs/>
                                  <w:color w:val="501549" w:themeColor="accent5" w:themeShade="80"/>
                                  <w:kern w:val="24"/>
                                  <w:sz w:val="16"/>
                                  <w:szCs w:val="16"/>
                                  <w:lang w:val="pt-BR"/>
                                </w:rPr>
                              </w:pPr>
                              <w:r w:rsidRPr="00485573">
                                <w:rPr>
                                  <w:rFonts w:ascii="Open Sans" w:hAnsi="Open Sans" w:cs="Open Sans"/>
                                  <w:b/>
                                  <w:bCs/>
                                  <w:color w:val="501549" w:themeColor="accent5" w:themeShade="80"/>
                                  <w:kern w:val="24"/>
                                  <w:sz w:val="16"/>
                                  <w:szCs w:val="16"/>
                                  <w:lang w:val="pt-BR"/>
                                </w:rPr>
                                <w:t>Setembro de 2025</w:t>
                              </w:r>
                            </w:p>
                          </w:txbxContent>
                        </wps:txbx>
                        <wps:bodyPr rtlCol="0" anchor="ctr"/>
                      </wps:wsp>
                      <wps:wsp>
                        <wps:cNvPr id="135099331" name="Elipse 135099331">
                          <a:extLst>
                            <a:ext uri="{FF2B5EF4-FFF2-40B4-BE49-F238E27FC236}">
                              <a16:creationId xmlns:a16="http://schemas.microsoft.com/office/drawing/2014/main" id="{644A2EAC-B254-CC9F-B697-471E55FCE865}"/>
                            </a:ext>
                          </a:extLst>
                        </wps:cNvPr>
                        <wps:cNvSpPr/>
                        <wps:spPr>
                          <a:xfrm>
                            <a:off x="1902331" y="2533650"/>
                            <a:ext cx="1168085" cy="1181100"/>
                          </a:xfrm>
                          <a:prstGeom prst="ellipse">
                            <a:avLst/>
                          </a:prstGeom>
                          <a:solidFill>
                            <a:schemeClr val="accent2">
                              <a:lumMod val="20000"/>
                              <a:lumOff val="80000"/>
                            </a:schemeClr>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81D5B9" w14:textId="77777777" w:rsidR="009E4C27" w:rsidRPr="00485573" w:rsidRDefault="009E4C27" w:rsidP="009E4C27">
                              <w:pPr>
                                <w:jc w:val="center"/>
                                <w:rPr>
                                  <w:rFonts w:ascii="Open Sans" w:hAnsi="Open Sans" w:cs="Open Sans"/>
                                  <w:color w:val="000000" w:themeColor="text1"/>
                                  <w:kern w:val="24"/>
                                  <w:sz w:val="15"/>
                                  <w:szCs w:val="15"/>
                                  <w:lang w:val="pt-BR"/>
                                </w:rPr>
                              </w:pPr>
                              <w:r w:rsidRPr="00485573">
                                <w:rPr>
                                  <w:rFonts w:ascii="Open Sans" w:hAnsi="Open Sans" w:cs="Open Sans"/>
                                  <w:color w:val="000000" w:themeColor="text1"/>
                                  <w:kern w:val="24"/>
                                  <w:sz w:val="15"/>
                                  <w:szCs w:val="15"/>
                                  <w:lang w:val="pt-BR"/>
                                </w:rPr>
                                <w:t xml:space="preserve">Análise e validação das informações </w:t>
                              </w:r>
                              <w:r w:rsidRPr="00485573">
                                <w:rPr>
                                  <w:rFonts w:ascii="Open Sans" w:hAnsi="Open Sans" w:cs="Open Sans"/>
                                  <w:b/>
                                  <w:bCs/>
                                  <w:color w:val="501549" w:themeColor="accent5" w:themeShade="80"/>
                                  <w:kern w:val="24"/>
                                  <w:sz w:val="15"/>
                                  <w:szCs w:val="15"/>
                                  <w:lang w:val="pt-BR"/>
                                </w:rPr>
                                <w:t>Julho-Agosto de 2025</w:t>
                              </w:r>
                            </w:p>
                          </w:txbxContent>
                        </wps:txbx>
                        <wps:bodyPr rtlCol="0" anchor="ctr"/>
                      </wps:wsp>
                      <wps:wsp>
                        <wps:cNvPr id="974714731" name="Flecha derecha 974714731">
                          <a:extLst>
                            <a:ext uri="{FF2B5EF4-FFF2-40B4-BE49-F238E27FC236}">
                              <a16:creationId xmlns:a16="http://schemas.microsoft.com/office/drawing/2014/main" id="{B8465CEC-F97D-0202-88D5-C4A9B8934451}"/>
                            </a:ext>
                          </a:extLst>
                        </wps:cNvPr>
                        <wps:cNvSpPr/>
                        <wps:spPr>
                          <a:xfrm rot="2426851">
                            <a:off x="2256205" y="838618"/>
                            <a:ext cx="321085" cy="256252"/>
                          </a:xfrm>
                          <a:prstGeom prst="rightArrow">
                            <a:avLst/>
                          </a:prstGeom>
                        </wps:spPr>
                        <wps:style>
                          <a:lnRef idx="2">
                            <a:schemeClr val="accent3">
                              <a:shade val="15000"/>
                            </a:schemeClr>
                          </a:lnRef>
                          <a:fillRef idx="1">
                            <a:schemeClr val="accent3"/>
                          </a:fillRef>
                          <a:effectRef idx="0">
                            <a:schemeClr val="accent3"/>
                          </a:effectRef>
                          <a:fontRef idx="minor">
                            <a:schemeClr val="lt1"/>
                          </a:fontRef>
                        </wps:style>
                        <wps:bodyPr rtlCol="0" anchor="ctr"/>
                      </wps:wsp>
                      <wps:wsp>
                        <wps:cNvPr id="571078636" name="Flecha derecha 571078636">
                          <a:extLst>
                            <a:ext uri="{FF2B5EF4-FFF2-40B4-BE49-F238E27FC236}">
                              <a16:creationId xmlns:a16="http://schemas.microsoft.com/office/drawing/2014/main" id="{B7A89C95-1452-F2A9-09C7-3A2EB7B9D2DD}"/>
                            </a:ext>
                          </a:extLst>
                        </wps:cNvPr>
                        <wps:cNvSpPr/>
                        <wps:spPr>
                          <a:xfrm rot="7002694">
                            <a:off x="2622414" y="2218959"/>
                            <a:ext cx="321085" cy="256252"/>
                          </a:xfrm>
                          <a:prstGeom prst="rightArrow">
                            <a:avLst/>
                          </a:prstGeom>
                        </wps:spPr>
                        <wps:style>
                          <a:lnRef idx="2">
                            <a:schemeClr val="accent3">
                              <a:shade val="15000"/>
                            </a:schemeClr>
                          </a:lnRef>
                          <a:fillRef idx="1">
                            <a:schemeClr val="accent3"/>
                          </a:fillRef>
                          <a:effectRef idx="0">
                            <a:schemeClr val="accent3"/>
                          </a:effectRef>
                          <a:fontRef idx="minor">
                            <a:schemeClr val="lt1"/>
                          </a:fontRef>
                        </wps:style>
                        <wps:bodyPr rtlCol="0" anchor="ctr"/>
                      </wps:wsp>
                      <wps:wsp>
                        <wps:cNvPr id="1742236903" name="Flecha derecha 1742236903">
                          <a:extLst>
                            <a:ext uri="{FF2B5EF4-FFF2-40B4-BE49-F238E27FC236}">
                              <a16:creationId xmlns:a16="http://schemas.microsoft.com/office/drawing/2014/main" id="{BA23E18D-7B1F-D9F6-1E05-9E0BBB6CB857}"/>
                            </a:ext>
                          </a:extLst>
                        </wps:cNvPr>
                        <wps:cNvSpPr/>
                        <wps:spPr>
                          <a:xfrm rot="10800000">
                            <a:off x="1514946" y="3070663"/>
                            <a:ext cx="321085" cy="256252"/>
                          </a:xfrm>
                          <a:prstGeom prst="rightArrow">
                            <a:avLst/>
                          </a:prstGeom>
                        </wps:spPr>
                        <wps:style>
                          <a:lnRef idx="2">
                            <a:schemeClr val="accent3">
                              <a:shade val="15000"/>
                            </a:schemeClr>
                          </a:lnRef>
                          <a:fillRef idx="1">
                            <a:schemeClr val="accent3"/>
                          </a:fillRef>
                          <a:effectRef idx="0">
                            <a:schemeClr val="accent3"/>
                          </a:effectRef>
                          <a:fontRef idx="minor">
                            <a:schemeClr val="lt1"/>
                          </a:fontRef>
                        </wps:style>
                        <wps:bodyPr rtlCol="0" anchor="ctr"/>
                      </wps:wsp>
                      <wps:wsp>
                        <wps:cNvPr id="640905857" name="Flecha derecha 640905857">
                          <a:extLst>
                            <a:ext uri="{FF2B5EF4-FFF2-40B4-BE49-F238E27FC236}">
                              <a16:creationId xmlns:a16="http://schemas.microsoft.com/office/drawing/2014/main" id="{69A15E71-F192-A590-37F1-0B6C5FBBB1F0}"/>
                            </a:ext>
                          </a:extLst>
                        </wps:cNvPr>
                        <wps:cNvSpPr/>
                        <wps:spPr>
                          <a:xfrm rot="15070014">
                            <a:off x="573725" y="2142437"/>
                            <a:ext cx="321085" cy="256252"/>
                          </a:xfrm>
                          <a:prstGeom prst="rightArrow">
                            <a:avLst/>
                          </a:prstGeom>
                        </wps:spPr>
                        <wps:style>
                          <a:lnRef idx="2">
                            <a:schemeClr val="accent3">
                              <a:shade val="15000"/>
                            </a:schemeClr>
                          </a:lnRef>
                          <a:fillRef idx="1">
                            <a:schemeClr val="accent3"/>
                          </a:fillRef>
                          <a:effectRef idx="0">
                            <a:schemeClr val="accent3"/>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4DE9C7B" id="Grupo 12" o:spid="_x0000_s1026" style="position:absolute;left:0;text-align:left;margin-left:88.65pt;margin-top:14pt;width:285.1pt;height:292.5pt;z-index:251659264;mso-width-relative:margin;mso-height-relative:margin" coordsize="36207,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">
                <v:oval id="Elipse 775581264" o:spid="_x0000_s1027" style="position:absolute;left:10914;width:11681;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" fillcolor="#b7d4ef [671]" strokecolor="#0e2841 [3215]" strokeweight="1.5pt">
                  <v:stroke joinstyle="miter"/>
                  <v:textbox>
                    <w:txbxContent>
                      <w:p w14:paraId="2338040B" w14:textId="77777777" w:rsidR="009E4C27" w:rsidRPr="00485573" w:rsidRDefault="009E4C27" w:rsidP="009E4C27">
                        <w:pPr>
                          <w:jc w:val="center"/>
                          <w:rPr>
                            <w:rFonts w:ascii="Open Sans" w:hAnsi="Open Sans" w:cs="Open Sans"/>
                            <w:color w:val="000000" w:themeColor="text1"/>
                            <w:kern w:val="24"/>
                            <w:sz w:val="14"/>
                            <w:szCs w:val="14"/>
                            <w:lang w:val="pt-BR"/>
                          </w:rPr>
                        </w:pPr>
                        <w:r w:rsidRPr="00485573">
                          <w:rPr>
                            <w:rFonts w:ascii="Open Sans" w:hAnsi="Open Sans" w:cs="Open Sans"/>
                            <w:color w:val="000000" w:themeColor="text1"/>
                            <w:kern w:val="24"/>
                            <w:sz w:val="14"/>
                            <w:szCs w:val="14"/>
                            <w:lang w:val="pt-BR"/>
                          </w:rPr>
                          <w:t xml:space="preserve">Reunião com PMU-Agrinatura, INTPA e DUE:   </w:t>
                        </w:r>
                        <w:r w:rsidRPr="00485573">
                          <w:rPr>
                            <w:rFonts w:ascii="Open Sans" w:hAnsi="Open Sans" w:cs="Open Sans"/>
                            <w:b/>
                            <w:bCs/>
                            <w:color w:val="501549" w:themeColor="accent5" w:themeShade="80"/>
                            <w:kern w:val="24"/>
                            <w:sz w:val="14"/>
                            <w:szCs w:val="14"/>
                            <w:lang w:val="pt-BR"/>
                          </w:rPr>
                          <w:t>junho de 2025</w:t>
                        </w:r>
                      </w:p>
                    </w:txbxContent>
                  </v:textbox>
                </v:oval>
                <v:oval id="Elipse 903296795" o:spid="_x0000_s1028" style="position:absolute;left:24527;top:9105;width:11680;height:1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" fillcolor="#d9f2d0 [665]" strokecolor="#4ea72e [3209]" strokeweight="1.5pt">
                  <v:stroke joinstyle="miter"/>
                  <v:textbox>
                    <w:txbxContent>
                      <w:p w14:paraId="1193C8F0" w14:textId="77777777" w:rsidR="009E4C27" w:rsidRPr="00485573" w:rsidRDefault="009E4C27" w:rsidP="009E4C27">
                        <w:pPr>
                          <w:jc w:val="center"/>
                          <w:rPr>
                            <w:rFonts w:ascii="Open Sans" w:hAnsi="Open Sans" w:cs="Open Sans"/>
                            <w:color w:val="000000" w:themeColor="text1"/>
                            <w:kern w:val="24"/>
                            <w:sz w:val="14"/>
                            <w:szCs w:val="14"/>
                            <w:lang w:val="pt-BR"/>
                          </w:rPr>
                        </w:pPr>
                        <w:r w:rsidRPr="00485573">
                          <w:rPr>
                            <w:rFonts w:ascii="Open Sans" w:hAnsi="Open Sans" w:cs="Open Sans"/>
                            <w:color w:val="000000" w:themeColor="text1"/>
                            <w:kern w:val="24"/>
                            <w:sz w:val="14"/>
                            <w:szCs w:val="14"/>
                            <w:lang w:val="pt-BR"/>
                          </w:rPr>
                          <w:t xml:space="preserve">Missão no terreno Reunião das partes interessadas </w:t>
                        </w:r>
                        <w:r w:rsidRPr="00485573">
                          <w:rPr>
                            <w:rFonts w:ascii="Open Sans" w:hAnsi="Open Sans" w:cs="Open Sans"/>
                            <w:b/>
                            <w:bCs/>
                            <w:color w:val="501549" w:themeColor="accent5" w:themeShade="80"/>
                            <w:kern w:val="24"/>
                            <w:sz w:val="14"/>
                            <w:szCs w:val="14"/>
                            <w:lang w:val="pt-BR"/>
                          </w:rPr>
                          <w:t>junho de 2025</w:t>
                        </w:r>
                      </w:p>
                    </w:txbxContent>
                  </v:textbox>
                </v:oval>
                <v:oval id="Elipse 1247725179" o:spid="_x0000_s1029" style="position:absolute;top:8445;width:11680;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" fillcolor="#a7caec [831]" strokecolor="#0f9ed5 [3207]" strokeweight="1pt">
                  <v:stroke joinstyle="miter"/>
                  <v:textbox>
                    <w:txbxContent>
                      <w:p w14:paraId="56B43EED" w14:textId="77777777" w:rsidR="009E4C27" w:rsidRPr="00485573" w:rsidRDefault="009E4C27" w:rsidP="009E4C27">
                        <w:pPr>
                          <w:jc w:val="center"/>
                          <w:rPr>
                            <w:rFonts w:ascii="Open Sans" w:hAnsi="Open Sans" w:cs="Open Sans"/>
                            <w:color w:val="000000" w:themeColor="text1"/>
                            <w:kern w:val="24"/>
                            <w:sz w:val="16"/>
                            <w:szCs w:val="16"/>
                            <w:lang w:val="pt-BR"/>
                          </w:rPr>
                        </w:pPr>
                        <w:r w:rsidRPr="00485573">
                          <w:rPr>
                            <w:rFonts w:ascii="Open Sans" w:hAnsi="Open Sans" w:cs="Open Sans"/>
                            <w:color w:val="000000" w:themeColor="text1"/>
                            <w:kern w:val="24"/>
                            <w:sz w:val="16"/>
                            <w:szCs w:val="16"/>
                            <w:lang w:val="pt-BR"/>
                          </w:rPr>
                          <w:t xml:space="preserve">Relatório final </w:t>
                        </w:r>
                        <w:r w:rsidRPr="00485573">
                          <w:rPr>
                            <w:rFonts w:ascii="Open Sans" w:hAnsi="Open Sans" w:cs="Open Sans"/>
                            <w:b/>
                            <w:bCs/>
                            <w:color w:val="501549" w:themeColor="accent5" w:themeShade="80"/>
                            <w:kern w:val="24"/>
                            <w:sz w:val="16"/>
                            <w:szCs w:val="16"/>
                            <w:lang w:val="pt-BR"/>
                          </w:rPr>
                          <w:t>novembro de 2025</w:t>
                        </w:r>
                      </w:p>
                    </w:txbxContent>
                  </v:textbox>
                </v:oval>
                <v:oval id="Elipse 177309723" o:spid="_x0000_s1030" style="position:absolute;left:2805;top:25336;width:11681;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" fillcolor="#d35dc6 [2168]" strokecolor="#a02b93 [3208]" strokeweight="1pt">
                  <v:fill color2="#ca3bba [2616]" rotate="t" colors="0 #d09fc8;.5 #c692be;1 #c17eb6" focus="100%" type="gradient">
                    <o:fill v:ext="view" type="gradientUnscaled"/>
                  </v:fill>
                  <v:stroke joinstyle="miter"/>
                  <v:textbox>
                    <w:txbxContent>
                      <w:p w14:paraId="12902C34" w14:textId="77777777" w:rsidR="009E4C27" w:rsidRPr="00485573" w:rsidRDefault="009E4C27" w:rsidP="009E4C27">
                        <w:pPr>
                          <w:jc w:val="center"/>
                          <w:rPr>
                            <w:rFonts w:ascii="Open Sans" w:hAnsi="Open Sans" w:cs="Open Sans"/>
                            <w:color w:val="000000" w:themeColor="text1"/>
                            <w:kern w:val="24"/>
                            <w:sz w:val="16"/>
                            <w:szCs w:val="16"/>
                            <w:lang w:val="pt-BR"/>
                          </w:rPr>
                        </w:pPr>
                        <w:r w:rsidRPr="00485573">
                          <w:rPr>
                            <w:rFonts w:ascii="Open Sans" w:hAnsi="Open Sans" w:cs="Open Sans"/>
                            <w:color w:val="000000" w:themeColor="text1"/>
                            <w:kern w:val="24"/>
                            <w:sz w:val="16"/>
                            <w:szCs w:val="16"/>
                            <w:lang w:val="pt-BR"/>
                          </w:rPr>
                          <w:t>Projeto de relatório</w:t>
                        </w:r>
                      </w:p>
                      <w:p w14:paraId="3FFC93B1" w14:textId="77777777" w:rsidR="009E4C27" w:rsidRPr="00485573" w:rsidRDefault="009E4C27" w:rsidP="009E4C27">
                        <w:pPr>
                          <w:jc w:val="center"/>
                          <w:rPr>
                            <w:rFonts w:ascii="Open Sans" w:hAnsi="Open Sans" w:cs="Open Sans"/>
                            <w:b/>
                            <w:bCs/>
                            <w:color w:val="501549" w:themeColor="accent5" w:themeShade="80"/>
                            <w:kern w:val="24"/>
                            <w:sz w:val="16"/>
                            <w:szCs w:val="16"/>
                            <w:lang w:val="pt-BR"/>
                          </w:rPr>
                        </w:pPr>
                        <w:r w:rsidRPr="00485573">
                          <w:rPr>
                            <w:rFonts w:ascii="Open Sans" w:hAnsi="Open Sans" w:cs="Open Sans"/>
                            <w:b/>
                            <w:bCs/>
                            <w:color w:val="501549" w:themeColor="accent5" w:themeShade="80"/>
                            <w:kern w:val="24"/>
                            <w:sz w:val="16"/>
                            <w:szCs w:val="16"/>
                            <w:lang w:val="pt-BR"/>
                          </w:rPr>
                          <w:t>Setembro de 2025</w:t>
                        </w:r>
                      </w:p>
                    </w:txbxContent>
                  </v:textbox>
                </v:oval>
                <v:oval id="Elipse 135099331" o:spid="_x0000_s1031" style="position:absolute;left:19023;top:25336;width:11681;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" fillcolor="#fae2d5 [661]" strokecolor="#e97132 [3205]" strokeweight="1.5pt">
                  <v:stroke joinstyle="miter"/>
                  <v:textbox>
                    <w:txbxContent>
                      <w:p w14:paraId="3481D5B9" w14:textId="77777777" w:rsidR="009E4C27" w:rsidRPr="00485573" w:rsidRDefault="009E4C27" w:rsidP="009E4C27">
                        <w:pPr>
                          <w:jc w:val="center"/>
                          <w:rPr>
                            <w:rFonts w:ascii="Open Sans" w:hAnsi="Open Sans" w:cs="Open Sans"/>
                            <w:color w:val="000000" w:themeColor="text1"/>
                            <w:kern w:val="24"/>
                            <w:sz w:val="15"/>
                            <w:szCs w:val="15"/>
                            <w:lang w:val="pt-BR"/>
                          </w:rPr>
                        </w:pPr>
                        <w:r w:rsidRPr="00485573">
                          <w:rPr>
                            <w:rFonts w:ascii="Open Sans" w:hAnsi="Open Sans" w:cs="Open Sans"/>
                            <w:color w:val="000000" w:themeColor="text1"/>
                            <w:kern w:val="24"/>
                            <w:sz w:val="15"/>
                            <w:szCs w:val="15"/>
                            <w:lang w:val="pt-BR"/>
                          </w:rPr>
                          <w:t xml:space="preserve">Análise e validação das informações </w:t>
                        </w:r>
                        <w:r w:rsidRPr="00485573">
                          <w:rPr>
                            <w:rFonts w:ascii="Open Sans" w:hAnsi="Open Sans" w:cs="Open Sans"/>
                            <w:b/>
                            <w:bCs/>
                            <w:color w:val="501549" w:themeColor="accent5" w:themeShade="80"/>
                            <w:kern w:val="24"/>
                            <w:sz w:val="15"/>
                            <w:szCs w:val="15"/>
                            <w:lang w:val="pt-BR"/>
                          </w:rPr>
                          <w:t>Julho-Agosto de 2025</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74714731" o:spid="_x0000_s1032" type="#_x0000_t13" style="position:absolute;left:22562;top:8386;width:3210;height:2562;rotation:26507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" adj="12981" fillcolor="#196b24 [3206]" strokecolor="#030f05 [486]" strokeweight="1.5pt"/>
                <v:shape id="Flecha derecha 571078636" o:spid="_x0000_s1033" type="#_x0000_t13" style="position:absolute;left:26223;top:22190;width:3211;height:2562;rotation:76488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" adj="12981" fillcolor="#196b24 [3206]" strokecolor="#030f05 [486]" strokeweight="1.5pt"/>
                <v:shape id="Flecha derecha 1742236903" o:spid="_x0000_s1034" type="#_x0000_t13" style="position:absolute;left:15149;top:30706;width:3211;height:256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" adj="12981" fillcolor="#196b24 [3206]" strokecolor="#030f05 [486]" strokeweight="1.5pt"/>
                <v:shape id="Flecha derecha 640905857" o:spid="_x0000_s1035" type="#_x0000_t13" style="position:absolute;left:5736;top:21425;width:3211;height:2562;rotation:-71324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" adj="12981" fillcolor="#196b24 [3206]" strokecolor="#030f05 [486]" strokeweight="1.5pt"/>
              </v:group>
            </w:pict>
          </mc:Fallback>
        </mc:AlternateContent>
      </w:r>
    </w:p>
    <w:p w14:paraId="7C9BD7E0" w14:textId="50B99CFD" w:rsidR="009E4C27" w:rsidRDefault="009E4C27" w:rsidP="0038380A">
      <w:pPr>
        <w:rPr>
          <w:rFonts w:cs="Calibri"/>
          <w:szCs w:val="20"/>
        </w:rPr>
      </w:pPr>
    </w:p>
    <w:p w14:paraId="2E82BFC8" w14:textId="4A5E7272" w:rsidR="009E4C27" w:rsidRDefault="009E4C27" w:rsidP="0038380A">
      <w:pPr>
        <w:rPr>
          <w:rFonts w:cs="Calibri"/>
          <w:szCs w:val="20"/>
        </w:rPr>
      </w:pPr>
    </w:p>
    <w:p w14:paraId="5CC54884" w14:textId="02B9374A" w:rsidR="009E4C27" w:rsidRDefault="009E4C27" w:rsidP="0038380A">
      <w:pPr>
        <w:rPr>
          <w:rFonts w:cs="Calibri"/>
          <w:szCs w:val="20"/>
        </w:rPr>
      </w:pPr>
    </w:p>
    <w:p w14:paraId="6BD91E83" w14:textId="1351710B" w:rsidR="006E474A" w:rsidRDefault="006E474A" w:rsidP="0038380A">
      <w:pPr>
        <w:rPr>
          <w:rFonts w:cs="Calibri"/>
          <w:szCs w:val="20"/>
        </w:rPr>
      </w:pPr>
    </w:p>
    <w:p w14:paraId="5275BAEA" w14:textId="77777777" w:rsidR="009E4C27" w:rsidRDefault="009E4C27" w:rsidP="0038380A">
      <w:pPr>
        <w:rPr>
          <w:rFonts w:cs="Calibri"/>
          <w:szCs w:val="20"/>
        </w:rPr>
      </w:pPr>
    </w:p>
    <w:p w14:paraId="088DEE2A" w14:textId="77777777" w:rsidR="009E4C27" w:rsidRDefault="009E4C27" w:rsidP="0038380A">
      <w:pPr>
        <w:rPr>
          <w:rFonts w:cs="Calibri"/>
          <w:szCs w:val="20"/>
        </w:rPr>
      </w:pPr>
    </w:p>
    <w:p w14:paraId="330E6B0F" w14:textId="77777777" w:rsidR="009E4C27" w:rsidRDefault="009E4C27" w:rsidP="0038380A">
      <w:pPr>
        <w:rPr>
          <w:rFonts w:cs="Calibri"/>
          <w:szCs w:val="20"/>
        </w:rPr>
      </w:pPr>
    </w:p>
    <w:p w14:paraId="6DF08B63" w14:textId="77777777" w:rsidR="009E4C27" w:rsidRDefault="009E4C27" w:rsidP="0038380A">
      <w:pPr>
        <w:rPr>
          <w:rFonts w:cs="Calibri"/>
          <w:szCs w:val="20"/>
        </w:rPr>
      </w:pPr>
    </w:p>
    <w:p w14:paraId="2B160D16" w14:textId="77777777" w:rsidR="009E4C27" w:rsidRDefault="009E4C27" w:rsidP="0038380A">
      <w:pPr>
        <w:rPr>
          <w:rFonts w:cs="Calibri"/>
          <w:szCs w:val="20"/>
        </w:rPr>
      </w:pPr>
    </w:p>
    <w:p w14:paraId="52427B16" w14:textId="77777777" w:rsidR="009E4C27" w:rsidRDefault="009E4C27" w:rsidP="0038380A">
      <w:pPr>
        <w:rPr>
          <w:rFonts w:cs="Calibri"/>
          <w:szCs w:val="20"/>
        </w:rPr>
      </w:pPr>
    </w:p>
    <w:p w14:paraId="634B7543" w14:textId="77777777" w:rsidR="009E4C27" w:rsidRDefault="009E4C27" w:rsidP="0038380A">
      <w:pPr>
        <w:rPr>
          <w:rFonts w:cs="Calibri"/>
          <w:szCs w:val="20"/>
        </w:rPr>
      </w:pPr>
    </w:p>
    <w:p w14:paraId="09AC8D80" w14:textId="77777777" w:rsidR="009E4C27" w:rsidRDefault="009E4C27" w:rsidP="0038380A">
      <w:pPr>
        <w:rPr>
          <w:rFonts w:cs="Calibri"/>
          <w:szCs w:val="20"/>
        </w:rPr>
      </w:pPr>
    </w:p>
    <w:p w14:paraId="4FB741EB" w14:textId="77777777" w:rsidR="009E4C27" w:rsidRDefault="009E4C27" w:rsidP="0038380A">
      <w:pPr>
        <w:rPr>
          <w:rFonts w:cs="Calibri"/>
          <w:szCs w:val="20"/>
        </w:rPr>
      </w:pPr>
    </w:p>
    <w:p w14:paraId="58CB26A1" w14:textId="77777777" w:rsidR="009E4C27" w:rsidRPr="0038380A" w:rsidRDefault="009E4C27" w:rsidP="0038380A">
      <w:pPr>
        <w:rPr>
          <w:rFonts w:cs="Calibri"/>
          <w:szCs w:val="20"/>
        </w:rPr>
      </w:pPr>
    </w:p>
    <w:p w14:paraId="23C1BF96" w14:textId="73AA630E" w:rsidR="006E474A" w:rsidRPr="0038380A" w:rsidRDefault="00E34338" w:rsidP="007D3A26">
      <w:pPr>
        <w:pStyle w:val="Caption"/>
      </w:pPr>
      <w:bookmarkStart w:id="32" w:name="_Ref210730790"/>
      <w:bookmarkStart w:id="33" w:name="_Toc211359230"/>
      <w:r>
        <w:t xml:space="preserve">                </w:t>
      </w:r>
      <w:r w:rsidR="003736AB" w:rsidRPr="0038380A">
        <w:t xml:space="preserve">Figura </w:t>
      </w:r>
      <w:fldSimple w:instr=" STYLEREF 1 \s ">
        <w:r w:rsidR="002A2405">
          <w:rPr>
            <w:noProof/>
          </w:rPr>
          <w:t>0</w:t>
        </w:r>
      </w:fldSimple>
      <w:r w:rsidR="00C05C88" w:rsidRPr="0038380A">
        <w:t>.</w:t>
      </w:r>
      <w:fldSimple w:instr=" SEQ Figura \* ARABIC \s 1 ">
        <w:r w:rsidR="002A2405">
          <w:rPr>
            <w:noProof/>
          </w:rPr>
          <w:t>1</w:t>
        </w:r>
      </w:fldSimple>
      <w:bookmarkEnd w:id="32"/>
      <w:r w:rsidR="003736AB" w:rsidRPr="0038380A">
        <w:t xml:space="preserve"> - </w:t>
      </w:r>
      <w:r w:rsidR="008D3D04" w:rsidRPr="0038380A">
        <w:t>Esquema programático da atualização do estudo VCA4D da manga na Guiné-Bissau</w:t>
      </w:r>
      <w:bookmarkEnd w:id="33"/>
    </w:p>
    <w:p w14:paraId="3A5C744E" w14:textId="77777777" w:rsidR="003736AB" w:rsidRPr="0038380A" w:rsidRDefault="003736AB" w:rsidP="0038380A">
      <w:pPr>
        <w:rPr>
          <w:rFonts w:cs="Calibri"/>
          <w:szCs w:val="20"/>
        </w:rPr>
      </w:pPr>
    </w:p>
    <w:p w14:paraId="04BCA207" w14:textId="55F1DA9C" w:rsidR="006E474A" w:rsidRPr="0038380A" w:rsidRDefault="008D3D04" w:rsidP="0038380A">
      <w:pPr>
        <w:rPr>
          <w:rFonts w:cs="Calibri"/>
          <w:szCs w:val="20"/>
        </w:rPr>
      </w:pPr>
      <w:r w:rsidRPr="0038380A">
        <w:rPr>
          <w:rFonts w:cs="Calibri"/>
          <w:szCs w:val="20"/>
        </w:rPr>
        <w:lastRenderedPageBreak/>
        <w:t>O trabalho teve por base uma missão entre 8 a 19 de junho de 2025 pelos quatro (4) peritos afetos à equipa de consultores. Uma segunda missão foi realizada pelos peritos nacionais nos dias 27 e 28 de junho de 2025 com a finalidade de completar as informações.</w:t>
      </w:r>
    </w:p>
    <w:p w14:paraId="7D13FAB4" w14:textId="77777777" w:rsidR="006E474A" w:rsidRPr="0038380A" w:rsidRDefault="008D3D04" w:rsidP="0038380A">
      <w:pPr>
        <w:rPr>
          <w:rFonts w:cs="Calibri"/>
          <w:szCs w:val="20"/>
        </w:rPr>
      </w:pPr>
      <w:r w:rsidRPr="0038380A">
        <w:rPr>
          <w:rFonts w:cs="Calibri"/>
          <w:szCs w:val="20"/>
        </w:rPr>
        <w:t>A missão começou com reuniões de peritos para validar um plano de trabalho previamente definido pelos peritos nacionais e definir a estratégia de abordagem das partes interessadas. No início da missão, foi realizada uma sessão de esclarecimento com o DUE em Bissau, durante a qual foram discutidos três tópicos: 1) os resultados do estudo VCA4D sobre manga de 2017-2018; 2) os objetivos da atualização do estudo até 2025; e 3) o plano de trabalho para a missão de terreno (Anexo 1).</w:t>
      </w:r>
    </w:p>
    <w:p w14:paraId="0285CFB8" w14:textId="0668BD2B" w:rsidR="006E474A" w:rsidRPr="0038380A" w:rsidRDefault="008D3D04" w:rsidP="0038380A">
      <w:pPr>
        <w:rPr>
          <w:rFonts w:cs="Calibri"/>
          <w:szCs w:val="20"/>
        </w:rPr>
      </w:pPr>
      <w:r w:rsidRPr="0038380A">
        <w:rPr>
          <w:rFonts w:cs="Calibri"/>
          <w:szCs w:val="20"/>
        </w:rPr>
        <w:t>As reuniões com instituições e associações foram realizadas em Bissau entre 11 e 13 de junho. A partir de 14 de junho, as visitas de campo foram realizadas nas três principais regiões produtoras de manga: Oio, Cacheu e Bafatá (</w:t>
      </w:r>
      <w:r w:rsidR="00AD663F" w:rsidRPr="0038380A">
        <w:rPr>
          <w:rFonts w:cs="Calibri"/>
          <w:szCs w:val="20"/>
        </w:rPr>
        <w:fldChar w:fldCharType="begin"/>
      </w:r>
      <w:r w:rsidR="00AD663F" w:rsidRPr="0038380A">
        <w:rPr>
          <w:rFonts w:cs="Calibri"/>
          <w:szCs w:val="20"/>
        </w:rPr>
        <w:instrText xml:space="preserve"> REF _Ref210730903 \h </w:instrText>
      </w:r>
      <w:r w:rsidR="0038380A" w:rsidRPr="0038380A">
        <w:rPr>
          <w:rFonts w:cs="Calibri"/>
          <w:szCs w:val="20"/>
        </w:rPr>
        <w:instrText xml:space="preserve"> \* MERGEFORMAT </w:instrText>
      </w:r>
      <w:r w:rsidR="00AD663F" w:rsidRPr="0038380A">
        <w:rPr>
          <w:rFonts w:cs="Calibri"/>
          <w:szCs w:val="20"/>
        </w:rPr>
      </w:r>
      <w:r w:rsidR="00AD663F" w:rsidRPr="0038380A">
        <w:rPr>
          <w:rFonts w:cs="Calibri"/>
          <w:szCs w:val="20"/>
        </w:rPr>
        <w:fldChar w:fldCharType="separate"/>
      </w:r>
      <w:r w:rsidR="002A2405" w:rsidRPr="002A2405">
        <w:rPr>
          <w:rFonts w:cs="Calibri"/>
          <w:szCs w:val="20"/>
        </w:rPr>
        <w:t>Figura</w:t>
      </w:r>
      <w:r w:rsidR="002A2405" w:rsidRPr="002A2405">
        <w:rPr>
          <w:rFonts w:cs="Calibri"/>
          <w:noProof/>
          <w:szCs w:val="20"/>
        </w:rPr>
        <w:t xml:space="preserve"> </w:t>
      </w:r>
      <w:r w:rsidR="002A2405">
        <w:rPr>
          <w:noProof/>
        </w:rPr>
        <w:t>0</w:t>
      </w:r>
      <w:r w:rsidR="002A2405" w:rsidRPr="0038380A">
        <w:t>.</w:t>
      </w:r>
      <w:r w:rsidR="002A2405">
        <w:rPr>
          <w:noProof/>
        </w:rPr>
        <w:t>2</w:t>
      </w:r>
      <w:r w:rsidR="00AD663F" w:rsidRPr="0038380A">
        <w:rPr>
          <w:rFonts w:cs="Calibri"/>
          <w:szCs w:val="20"/>
        </w:rPr>
        <w:fldChar w:fldCharType="end"/>
      </w:r>
      <w:r w:rsidRPr="0038380A">
        <w:rPr>
          <w:rFonts w:cs="Calibri"/>
          <w:szCs w:val="20"/>
        </w:rPr>
        <w:t xml:space="preserve">), onde foram efetuadas reuniões com os atores e instituições locais, especialmente produtores e transformadores. No total, foram inquiridos 42 (quarenta e dois) intervenientes, conforme a lista (Anexo 2). </w:t>
      </w:r>
    </w:p>
    <w:p w14:paraId="627E70ED" w14:textId="74A6C674" w:rsidR="006E474A" w:rsidRPr="0038380A" w:rsidRDefault="004C5ADC" w:rsidP="002245F8">
      <w:pPr>
        <w:jc w:val="center"/>
        <w:rPr>
          <w:rFonts w:cs="Calibri"/>
          <w:szCs w:val="20"/>
        </w:rPr>
      </w:pPr>
      <w:r w:rsidRPr="0060496A">
        <w:rPr>
          <w:rFonts w:ascii="Open Sans" w:hAnsi="Open Sans" w:cs="Open Sans"/>
          <w:noProof/>
          <w:szCs w:val="20"/>
        </w:rPr>
        <w:drawing>
          <wp:inline distT="0" distB="0" distL="0" distR="0" wp14:anchorId="5DF5A58A" wp14:editId="33DC7FA4">
            <wp:extent cx="5320938" cy="2775854"/>
            <wp:effectExtent l="19050" t="19050" r="13335" b="24765"/>
            <wp:docPr id="1488145744" name="Picture 15">
              <a:extLst xmlns:a="http://schemas.openxmlformats.org/drawingml/2006/main">
                <a:ext uri="{FF2B5EF4-FFF2-40B4-BE49-F238E27FC236}">
                  <a16:creationId xmlns:a16="http://schemas.microsoft.com/office/drawing/2014/main" id="{5D999DD2-655B-4E11-9B05-A030DBB209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5D999DD2-655B-4E11-9B05-A030DBB2097D}"/>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a:xfrm>
                      <a:off x="0" y="0"/>
                      <a:ext cx="5345298" cy="2788562"/>
                    </a:xfrm>
                    <a:prstGeom prst="rect">
                      <a:avLst/>
                    </a:prstGeom>
                    <a:ln>
                      <a:solidFill>
                        <a:srgbClr val="002060"/>
                      </a:solidFill>
                    </a:ln>
                  </pic:spPr>
                </pic:pic>
              </a:graphicData>
            </a:graphic>
          </wp:inline>
        </w:drawing>
      </w:r>
    </w:p>
    <w:p w14:paraId="79CB4D3C" w14:textId="2CCFF337" w:rsidR="00CB1A0D" w:rsidRPr="00733C53" w:rsidRDefault="00E34338" w:rsidP="007D3A26">
      <w:pPr>
        <w:pStyle w:val="Caption"/>
      </w:pPr>
      <w:bookmarkStart w:id="34" w:name="_Ref210730903"/>
      <w:bookmarkStart w:id="35" w:name="_Toc211359231"/>
      <w:r>
        <w:t xml:space="preserve">                                    </w:t>
      </w:r>
      <w:r w:rsidR="00CB1A0D" w:rsidRPr="0038380A">
        <w:t xml:space="preserve">Figura </w:t>
      </w:r>
      <w:fldSimple w:instr=" STYLEREF 1 \s ">
        <w:r w:rsidR="002A2405">
          <w:rPr>
            <w:noProof/>
          </w:rPr>
          <w:t>0</w:t>
        </w:r>
      </w:fldSimple>
      <w:r w:rsidR="00C05C88" w:rsidRPr="0038380A">
        <w:t>.</w:t>
      </w:r>
      <w:fldSimple w:instr=" SEQ Figura \* ARABIC \s 1 ">
        <w:r w:rsidR="002A2405">
          <w:rPr>
            <w:noProof/>
          </w:rPr>
          <w:t>2</w:t>
        </w:r>
      </w:fldSimple>
      <w:bookmarkEnd w:id="34"/>
      <w:r w:rsidR="008D3D04" w:rsidRPr="0038380A">
        <w:t xml:space="preserve"> - Mapa de Guiné-Bissau, regiões e atores entrevistados</w:t>
      </w:r>
      <w:bookmarkEnd w:id="35"/>
    </w:p>
    <w:p w14:paraId="6A131B81" w14:textId="7F79AC13" w:rsidR="006E474A" w:rsidRPr="0038380A" w:rsidRDefault="008D3D04" w:rsidP="0038380A">
      <w:pPr>
        <w:rPr>
          <w:rFonts w:cs="Calibri"/>
          <w:szCs w:val="20"/>
        </w:rPr>
      </w:pPr>
      <w:r w:rsidRPr="0038380A">
        <w:rPr>
          <w:rFonts w:cs="Calibri"/>
          <w:szCs w:val="20"/>
        </w:rPr>
        <w:t>No terreno, os principais desafios enfrentados pela equipa de peritos foram a coleta de dados sobre os custos de produção junto aos intervenientes e a validação de estatísticas consensuais. Nenhum dos atores consultados dispunha de sistemas contábeis formais que permitissem estimativas precisas dos custos envolvidos, o que dificultou a quantificação rigorosa das despesas na cadeia de valor. Além disso, constatou-se a ausência de dados estatísticos padronizados e amplamente aceites pelos diferentes atores, o que limitou a possibilidade de análises comparativas e consensuais sobre a dimensão e o desempenho do setor.</w:t>
      </w:r>
    </w:p>
    <w:p w14:paraId="7A130BC9" w14:textId="77777777" w:rsidR="006E474A" w:rsidRPr="0038380A" w:rsidRDefault="008D3D04" w:rsidP="0038380A">
      <w:pPr>
        <w:rPr>
          <w:rFonts w:cs="Calibri"/>
          <w:szCs w:val="20"/>
        </w:rPr>
      </w:pPr>
      <w:r w:rsidRPr="0038380A">
        <w:rPr>
          <w:rFonts w:cs="Calibri"/>
          <w:szCs w:val="20"/>
        </w:rPr>
        <w:t>Destaca-se a recetividade muito positiva dos interlocutores, acompanhada de uma clara vontade de contribuir para o sucesso do estudo. Esta atitude colaborativa, transversal a todos os atores, facilitou a recolha de informações pertinentes, tanto quantitativas como qualitativas.</w:t>
      </w:r>
    </w:p>
    <w:p w14:paraId="5580699F" w14:textId="115FAE62" w:rsidR="006E474A" w:rsidRPr="0038380A" w:rsidRDefault="008D3D04" w:rsidP="0038380A">
      <w:pPr>
        <w:rPr>
          <w:rFonts w:cs="Calibri"/>
          <w:szCs w:val="20"/>
        </w:rPr>
      </w:pPr>
      <w:r w:rsidRPr="0038380A">
        <w:rPr>
          <w:rFonts w:cs="Calibri"/>
          <w:szCs w:val="20"/>
        </w:rPr>
        <w:t>As principais conclusões preliminares dessas análises foram apresentadas e discutidas durante a sessão de restituição técnica realizada a 19 de julho de 2025, na presença de representantes da Delegação da União Europeia na Guiné-Bissau e de um representante da Expertise France, organização identificada como entidade responsável pela execução do próximo programa de apoio ao setor de frutas tropicais no país.</w:t>
      </w:r>
    </w:p>
    <w:p w14:paraId="45A4ABBE" w14:textId="15250674" w:rsidR="006E474A" w:rsidRPr="0038380A" w:rsidRDefault="008D3D04" w:rsidP="0038380A">
      <w:pPr>
        <w:rPr>
          <w:rFonts w:cs="Calibri"/>
          <w:szCs w:val="20"/>
        </w:rPr>
      </w:pPr>
      <w:r w:rsidRPr="0038380A">
        <w:rPr>
          <w:rFonts w:cs="Calibri"/>
          <w:szCs w:val="20"/>
        </w:rPr>
        <w:t xml:space="preserve">Em termos de metodologia geral, a caracterização da fileira da manga na Guiné-Bissau teve por base um modelo de análise funcional desde a produção até à colocação no mercado. A componente económica da produção agrícola assentou na metodologia AFA (Analyse des filière agro-alimentaires, CIRAD, 2017). A componente ambiental seguiu uma Análise de Ciclo de Vida </w:t>
      </w:r>
      <w:r w:rsidR="004A0E8D" w:rsidRPr="0038380A">
        <w:rPr>
          <w:rFonts w:cs="Calibri"/>
          <w:szCs w:val="20"/>
        </w:rPr>
        <w:t xml:space="preserve">(ACV) </w:t>
      </w:r>
      <w:r w:rsidRPr="0038380A">
        <w:rPr>
          <w:rFonts w:cs="Calibri"/>
          <w:szCs w:val="20"/>
        </w:rPr>
        <w:t xml:space="preserve">que assentou na plataforma SimaPRO e na base de dados </w:t>
      </w:r>
      <w:r w:rsidR="004A0E8D" w:rsidRPr="0038380A">
        <w:rPr>
          <w:rFonts w:cs="Calibri"/>
          <w:szCs w:val="20"/>
        </w:rPr>
        <w:t>ecoinvent</w:t>
      </w:r>
      <w:r w:rsidRPr="0038380A">
        <w:rPr>
          <w:rFonts w:cs="Calibri"/>
          <w:szCs w:val="20"/>
        </w:rPr>
        <w:t xml:space="preserve">, com adaptações à realidade local. </w:t>
      </w:r>
    </w:p>
    <w:p w14:paraId="6FB47CFF" w14:textId="01FEBF6E" w:rsidR="006E474A" w:rsidRPr="0038380A" w:rsidRDefault="008D3D04" w:rsidP="0038380A">
      <w:pPr>
        <w:rPr>
          <w:rFonts w:cs="Calibri"/>
          <w:szCs w:val="20"/>
        </w:rPr>
      </w:pPr>
      <w:r w:rsidRPr="0038380A">
        <w:rPr>
          <w:rFonts w:cs="Calibri"/>
          <w:szCs w:val="20"/>
        </w:rPr>
        <w:lastRenderedPageBreak/>
        <w:t xml:space="preserve">Estas componentes metodológicas especificas estão descritas, em detalhe, no início dos capítulos respetivos e seguiram a Metodologial Brief – Frame and Tools, editada no âmbito do programa VCA4D em Junho de 2022 (versão 2). As fontes de informação utilizadas para a realização do presente estudo foram de </w:t>
      </w:r>
      <w:r w:rsidR="00DE1950" w:rsidRPr="0038380A">
        <w:rPr>
          <w:rFonts w:cs="Calibri"/>
          <w:szCs w:val="20"/>
        </w:rPr>
        <w:t>diverso</w:t>
      </w:r>
      <w:r w:rsidRPr="0038380A">
        <w:rPr>
          <w:rFonts w:cs="Calibri"/>
          <w:szCs w:val="20"/>
        </w:rPr>
        <w:t xml:space="preserve"> tipo. A recolha de informação primária foi </w:t>
      </w:r>
      <w:r w:rsidR="00DE1950" w:rsidRPr="0038380A">
        <w:rPr>
          <w:rFonts w:cs="Calibri"/>
          <w:szCs w:val="20"/>
        </w:rPr>
        <w:t>efetuada</w:t>
      </w:r>
      <w:r w:rsidRPr="0038380A">
        <w:rPr>
          <w:rFonts w:cs="Calibri"/>
          <w:szCs w:val="20"/>
        </w:rPr>
        <w:t xml:space="preserve"> junto de representantes do governo, produtores, associações e organizações não-governamentais, assim como da sociedade civil, incluindo diversas reuniões com stakeholders. </w:t>
      </w:r>
    </w:p>
    <w:p w14:paraId="327D81DC" w14:textId="13BC8182" w:rsidR="006E474A" w:rsidRPr="0038380A" w:rsidRDefault="008D3D04" w:rsidP="0038380A">
      <w:pPr>
        <w:rPr>
          <w:rFonts w:cs="Calibri"/>
          <w:szCs w:val="20"/>
        </w:rPr>
      </w:pPr>
      <w:r w:rsidRPr="0038380A">
        <w:rPr>
          <w:rFonts w:cs="Calibri"/>
          <w:szCs w:val="20"/>
        </w:rPr>
        <w:t xml:space="preserve">A consulta de literatura foi </w:t>
      </w:r>
      <w:r w:rsidR="00DE1950" w:rsidRPr="0038380A">
        <w:rPr>
          <w:rFonts w:cs="Calibri"/>
          <w:szCs w:val="20"/>
        </w:rPr>
        <w:t>efetuada</w:t>
      </w:r>
      <w:r w:rsidRPr="0038380A">
        <w:rPr>
          <w:rFonts w:cs="Calibri"/>
          <w:szCs w:val="20"/>
        </w:rPr>
        <w:t xml:space="preserve"> recorrendo a trabalhos contratados por instituições da Guiné-Bissau e por organizações internacionais (eg.: Banco Mundial, Banco Africano para o Desenvolvimento, PNUD, FAO), assim como a diversas revistas da especialidade e bases de dados internacionais (e.g.: Scopus, Web of Knowledge). Uma característica das informações do CV é a falta de estatísticas e estudos recentes. </w:t>
      </w:r>
    </w:p>
    <w:p w14:paraId="524BEFA4" w14:textId="787F2844" w:rsidR="006E474A" w:rsidRPr="0038380A" w:rsidRDefault="008D3D04" w:rsidP="0038380A">
      <w:pPr>
        <w:rPr>
          <w:rFonts w:cs="Calibri"/>
          <w:szCs w:val="20"/>
        </w:rPr>
      </w:pPr>
      <w:r w:rsidRPr="0038380A">
        <w:rPr>
          <w:rFonts w:cs="Calibri"/>
          <w:szCs w:val="20"/>
        </w:rPr>
        <w:t xml:space="preserve">O ano de 2025 foi usado como base para este estudo </w:t>
      </w:r>
      <w:r w:rsidR="00733C53" w:rsidRPr="0038380A">
        <w:rPr>
          <w:rFonts w:cs="Calibri"/>
          <w:szCs w:val="20"/>
        </w:rPr>
        <w:t>porque,</w:t>
      </w:r>
      <w:r w:rsidRPr="0038380A">
        <w:rPr>
          <w:rFonts w:cs="Calibri"/>
          <w:szCs w:val="20"/>
        </w:rPr>
        <w:t xml:space="preserve"> a colheita de 2025 já havia terminado no momento deste estudo</w:t>
      </w:r>
      <w:r w:rsidR="00F70065" w:rsidRPr="0038380A">
        <w:rPr>
          <w:rFonts w:cs="Calibri"/>
          <w:szCs w:val="20"/>
        </w:rPr>
        <w:t>.</w:t>
      </w:r>
    </w:p>
    <w:p w14:paraId="23DE41BB" w14:textId="25028FAB" w:rsidR="006E474A" w:rsidRPr="0038380A" w:rsidRDefault="008D3D04" w:rsidP="0038380A">
      <w:pPr>
        <w:rPr>
          <w:rFonts w:cs="Calibri"/>
          <w:szCs w:val="20"/>
        </w:rPr>
      </w:pPr>
      <w:r w:rsidRPr="0038380A">
        <w:rPr>
          <w:rFonts w:cs="Calibri"/>
          <w:szCs w:val="20"/>
        </w:rPr>
        <w:t>Nenhuma informação disponibilizada foi sujeita a qualquer pedido especial de confidencialidade, conquanto tenha sido efetuado um esforço para manter o anonimato das fontes, sempre que daí não adviesse qualquer inconveniente.</w:t>
      </w:r>
    </w:p>
    <w:p w14:paraId="24FED24D" w14:textId="53E45D7A" w:rsidR="005F0992" w:rsidRPr="00956BCD" w:rsidRDefault="008D3D04" w:rsidP="003F6B66">
      <w:pPr>
        <w:rPr>
          <w:rFonts w:cs="Calibri"/>
          <w:szCs w:val="20"/>
        </w:rPr>
      </w:pPr>
      <w:r w:rsidRPr="0038380A">
        <w:rPr>
          <w:rFonts w:cs="Calibri"/>
          <w:szCs w:val="20"/>
        </w:rPr>
        <w:t xml:space="preserve">O presente Relatório organiza-se num único volume e em capítulos próprios de acordo com as componentes do trabalho (análises funcional, económica e ambiental), incluindo um sumário executivo; finaliza com um capítulo de avaliação de riscos e um capítulo de </w:t>
      </w:r>
      <w:r w:rsidR="003F6B66" w:rsidRPr="0038380A">
        <w:rPr>
          <w:rFonts w:cs="Calibri"/>
          <w:szCs w:val="20"/>
        </w:rPr>
        <w:t>conclusões, recomendações</w:t>
      </w:r>
      <w:r w:rsidRPr="0038380A">
        <w:rPr>
          <w:rFonts w:cs="Calibri"/>
          <w:szCs w:val="20"/>
        </w:rPr>
        <w:t xml:space="preserve"> e cenários de desenvolvimento de CV para os próximos anos. O Anexo contém um importante conjunto de informação de base associada a cada uma das componentes do presente estudo.</w:t>
      </w:r>
    </w:p>
    <w:p w14:paraId="24BBE41D" w14:textId="77777777" w:rsidR="00B166C9" w:rsidRDefault="00B166C9">
      <w:pPr>
        <w:spacing w:line="278" w:lineRule="auto"/>
        <w:jc w:val="left"/>
        <w:rPr>
          <w:rFonts w:eastAsiaTheme="majorEastAsia" w:cs="Calibri"/>
          <w:b/>
          <w:bCs/>
          <w:color w:val="336666"/>
          <w:kern w:val="0"/>
          <w:sz w:val="28"/>
          <w:szCs w:val="28"/>
          <w:lang w:eastAsia="en-US"/>
          <w14:ligatures w14:val="none"/>
        </w:rPr>
      </w:pPr>
      <w:r>
        <w:br w:type="page"/>
      </w:r>
    </w:p>
    <w:p w14:paraId="41632FBB" w14:textId="0B3E0870" w:rsidR="00B166C9" w:rsidRDefault="00B166C9" w:rsidP="00815270">
      <w:pPr>
        <w:pStyle w:val="Heading1"/>
        <w:numPr>
          <w:ilvl w:val="0"/>
          <w:numId w:val="68"/>
        </w:numPr>
      </w:pPr>
      <w:bookmarkStart w:id="36" w:name="_Toc220507499"/>
      <w:r w:rsidRPr="006F7AE6">
        <w:lastRenderedPageBreak/>
        <w:t>ANÁLIS</w:t>
      </w:r>
      <w:r w:rsidRPr="003C091E">
        <w:t>E</w:t>
      </w:r>
      <w:r w:rsidRPr="006F7AE6">
        <w:t xml:space="preserve"> FUNCIONAL</w:t>
      </w:r>
      <w:bookmarkEnd w:id="36"/>
    </w:p>
    <w:p w14:paraId="4E3AE198" w14:textId="26F94C99" w:rsidR="00815270" w:rsidRDefault="00815270" w:rsidP="00815270">
      <w:pPr>
        <w:pStyle w:val="ListParagraph"/>
        <w:numPr>
          <w:ilvl w:val="0"/>
          <w:numId w:val="73"/>
        </w:numPr>
      </w:pPr>
      <w:bookmarkStart w:id="37" w:name="_Toc220507500"/>
      <w:r w:rsidRPr="00815270">
        <w:t>Comparacao das caracteristicas funcionais 2017 vs 2025</w:t>
      </w:r>
    </w:p>
    <w:p w14:paraId="1314A887" w14:textId="77777777" w:rsidR="00815270" w:rsidRPr="00815270" w:rsidRDefault="00815270" w:rsidP="00815270">
      <w:pPr>
        <w:pStyle w:val="ListParagraph"/>
        <w:numPr>
          <w:ilvl w:val="0"/>
          <w:numId w:val="73"/>
        </w:numPr>
      </w:pPr>
    </w:p>
    <w:bookmarkEnd w:id="37"/>
    <w:p w14:paraId="3188818D" w14:textId="6F22B3F1" w:rsidR="006E474A" w:rsidRPr="006F7AE6" w:rsidRDefault="008D3D04" w:rsidP="006266DA">
      <w:r w:rsidRPr="006F7AE6">
        <w:t>Com base no estudo VCA4D realizado em 2017</w:t>
      </w:r>
      <w:r w:rsidR="005D268F" w:rsidRPr="006F7AE6">
        <w:t xml:space="preserve"> </w:t>
      </w:r>
      <w:r w:rsidRPr="006F7AE6">
        <w:t>e nas notas da missão de terreno desta atualização (2025), as mudanças</w:t>
      </w:r>
      <w:r w:rsidR="005D268F" w:rsidRPr="006F7AE6">
        <w:t xml:space="preserve"> verificadas</w:t>
      </w:r>
      <w:r w:rsidRPr="006F7AE6">
        <w:t xml:space="preserve"> na cadeia de valor </w:t>
      </w:r>
      <w:r w:rsidR="005D268F" w:rsidRPr="006F7AE6">
        <w:t xml:space="preserve">da manga na Guiné-Bissau não foram significativas nos últimos oito anos e </w:t>
      </w:r>
      <w:r w:rsidRPr="006F7AE6">
        <w:t xml:space="preserve">são apresentadas </w:t>
      </w:r>
      <w:r w:rsidR="00346258">
        <w:t>seguidamente</w:t>
      </w:r>
      <w:r w:rsidR="005D268F" w:rsidRPr="006F7AE6">
        <w:t xml:space="preserve"> os aspetos mais relevantes</w:t>
      </w:r>
      <w:r w:rsidR="00346258">
        <w:t>.</w:t>
      </w:r>
    </w:p>
    <w:p w14:paraId="7D147DA6" w14:textId="5E10ABCA" w:rsidR="00760ECE" w:rsidRPr="00DE1950" w:rsidRDefault="008D3D04" w:rsidP="00DE1950">
      <w:pPr>
        <w:pStyle w:val="Heading3"/>
      </w:pPr>
      <w:bookmarkStart w:id="38" w:name="_Toc210806718"/>
      <w:bookmarkStart w:id="39" w:name="_Toc210807090"/>
      <w:bookmarkStart w:id="40" w:name="_Toc210807219"/>
      <w:bookmarkStart w:id="41" w:name="_Toc210807795"/>
      <w:bookmarkStart w:id="42" w:name="_Toc210808759"/>
      <w:bookmarkStart w:id="43" w:name="_Toc210809076"/>
      <w:bookmarkStart w:id="44" w:name="_Toc204704305"/>
      <w:bookmarkStart w:id="45" w:name="_Toc220507501"/>
      <w:bookmarkEnd w:id="38"/>
      <w:bookmarkEnd w:id="39"/>
      <w:bookmarkEnd w:id="40"/>
      <w:bookmarkEnd w:id="41"/>
      <w:bookmarkEnd w:id="42"/>
      <w:bookmarkEnd w:id="43"/>
      <w:r w:rsidRPr="00DE1950">
        <w:t xml:space="preserve">Aspetos referentes à </w:t>
      </w:r>
      <w:r w:rsidR="00FE0162" w:rsidRPr="00DE1950">
        <w:t>cadeia de valor da manga</w:t>
      </w:r>
      <w:bookmarkEnd w:id="44"/>
      <w:bookmarkEnd w:id="45"/>
    </w:p>
    <w:p w14:paraId="552B38B3" w14:textId="7513363B" w:rsidR="00CC7169" w:rsidRPr="006F7AE6" w:rsidRDefault="00760ECE" w:rsidP="00B97265">
      <w:pPr>
        <w:spacing w:after="0"/>
        <w:rPr>
          <w:b/>
          <w:bCs/>
        </w:rPr>
      </w:pPr>
      <w:r w:rsidRPr="006F7AE6">
        <w:rPr>
          <w:b/>
          <w:bCs/>
        </w:rPr>
        <w:t xml:space="preserve">Os </w:t>
      </w:r>
      <w:r w:rsidR="00CC7169" w:rsidRPr="006F7AE6">
        <w:rPr>
          <w:b/>
          <w:bCs/>
        </w:rPr>
        <w:t>Produtos associados à cadeia de valor</w:t>
      </w:r>
    </w:p>
    <w:p w14:paraId="3F9CFD6C" w14:textId="44A1B49F" w:rsidR="00760ECE" w:rsidRDefault="00CC7169" w:rsidP="00CB72B5">
      <w:pPr>
        <w:contextualSpacing/>
      </w:pPr>
      <w:r w:rsidRPr="006F7AE6">
        <w:t>As polpas e os concentrados, são os novos produtos associados à cadeia de valor da manga, alem da manga fresca, e resultam de algumas iniciativas do aproveitamento industrial da manga fresca, leva</w:t>
      </w:r>
      <w:r w:rsidR="00760ECE" w:rsidRPr="006F7AE6">
        <w:t xml:space="preserve">da a cabo nas trés principais regiões de produção. Estão ainda numa escala de </w:t>
      </w:r>
      <w:r w:rsidR="00481240" w:rsidRPr="006F7AE6">
        <w:t>microprocessamento</w:t>
      </w:r>
      <w:r w:rsidR="00760ECE" w:rsidRPr="006F7AE6">
        <w:t>.</w:t>
      </w:r>
    </w:p>
    <w:p w14:paraId="7598F1C2" w14:textId="77777777" w:rsidR="00EC1F0D" w:rsidRDefault="00EC1F0D" w:rsidP="00B97265">
      <w:pPr>
        <w:spacing w:after="0"/>
      </w:pPr>
    </w:p>
    <w:p w14:paraId="6674F4B8" w14:textId="7A8FB17D" w:rsidR="006E474A" w:rsidRPr="006F7AE6" w:rsidRDefault="008D3D04" w:rsidP="00B97265">
      <w:pPr>
        <w:spacing w:after="0"/>
        <w:rPr>
          <w:b/>
          <w:bCs/>
        </w:rPr>
      </w:pPr>
      <w:r w:rsidRPr="006F7AE6">
        <w:rPr>
          <w:b/>
          <w:bCs/>
        </w:rPr>
        <w:t>A tipologia dos produtores</w:t>
      </w:r>
    </w:p>
    <w:p w14:paraId="1AC85513" w14:textId="669A7AD7" w:rsidR="00366EAB" w:rsidRDefault="00BB770D" w:rsidP="00A740AB">
      <w:pPr>
        <w:rPr>
          <w:rFonts w:cs="Calibri"/>
          <w:szCs w:val="20"/>
        </w:rPr>
      </w:pPr>
      <w:r w:rsidRPr="006F7AE6">
        <w:rPr>
          <w:rFonts w:cs="Calibri"/>
          <w:szCs w:val="20"/>
        </w:rPr>
        <w:t>O perfil</w:t>
      </w:r>
      <w:r w:rsidR="00366EAB" w:rsidRPr="006F7AE6">
        <w:rPr>
          <w:rFonts w:cs="Calibri"/>
          <w:szCs w:val="20"/>
        </w:rPr>
        <w:t xml:space="preserve"> de produtores de manga na Guiné-Bissau entre 2017 e 2025 permaneceu basicamente inalterada, confirmando um setor ainda centrado em modelos familiares e de pequena escala. Contudo, houve uma leve evolução: alguns produtores que antes se classificavam como “pequenos” conseguiram melhorar suas práticas e aquisição de recursos, </w:t>
      </w:r>
      <w:r w:rsidR="00366EAB" w:rsidRPr="0076328B">
        <w:rPr>
          <w:rFonts w:cs="Calibri"/>
          <w:szCs w:val="20"/>
        </w:rPr>
        <w:t>passando a ocupar uma nova categoria intermediária. Atualmente podem ser considerados quatro tipos de produtores, com distinto porte e características</w:t>
      </w:r>
      <w:r w:rsidR="00366EAB" w:rsidRPr="006F7AE6">
        <w:rPr>
          <w:rFonts w:cs="Calibri"/>
          <w:szCs w:val="20"/>
        </w:rPr>
        <w:t>:</w:t>
      </w:r>
    </w:p>
    <w:p w14:paraId="6ED97AA5" w14:textId="2DCD9ADA" w:rsidR="00760ECE" w:rsidRPr="006F7AE6" w:rsidRDefault="004E2C33" w:rsidP="006F7AE6">
      <w:pPr>
        <w:ind w:firstLine="624"/>
        <w:rPr>
          <w:rFonts w:cs="Calibri"/>
          <w:szCs w:val="20"/>
        </w:rPr>
      </w:pPr>
      <w:r w:rsidRPr="006F7AE6">
        <w:rPr>
          <w:rFonts w:cs="Calibri"/>
          <w:b/>
          <w:bCs/>
          <w:szCs w:val="20"/>
        </w:rPr>
        <w:t>P</w:t>
      </w:r>
      <w:r w:rsidR="005F0992" w:rsidRPr="006F7AE6">
        <w:rPr>
          <w:rFonts w:cs="Calibri"/>
          <w:b/>
          <w:bCs/>
          <w:szCs w:val="20"/>
        </w:rPr>
        <w:t>rodutores familiares</w:t>
      </w:r>
      <w:r w:rsidR="005F0992" w:rsidRPr="006F7AE6">
        <w:rPr>
          <w:rFonts w:cs="Calibri"/>
          <w:szCs w:val="20"/>
        </w:rPr>
        <w:t xml:space="preserve"> continuam a formar a maioria. </w:t>
      </w:r>
    </w:p>
    <w:p w14:paraId="16341F31" w14:textId="5B33A224" w:rsidR="00204815" w:rsidRPr="006F7AE6" w:rsidRDefault="00760ECE" w:rsidP="001741F6">
      <w:pPr>
        <w:pStyle w:val="ListParagraph"/>
        <w:numPr>
          <w:ilvl w:val="0"/>
          <w:numId w:val="13"/>
        </w:numPr>
        <w:ind w:left="1134" w:hanging="198"/>
      </w:pPr>
      <w:r w:rsidRPr="006F7AE6">
        <w:t>O</w:t>
      </w:r>
      <w:r w:rsidR="005F0992" w:rsidRPr="006F7AE6">
        <w:t>cupam</w:t>
      </w:r>
      <w:r w:rsidRPr="006F7AE6">
        <w:t xml:space="preserve"> proprie</w:t>
      </w:r>
      <w:r w:rsidR="00317281" w:rsidRPr="006F7AE6">
        <w:t>da</w:t>
      </w:r>
      <w:r w:rsidRPr="006F7AE6">
        <w:t>des</w:t>
      </w:r>
      <w:r w:rsidR="00204815" w:rsidRPr="006F7AE6">
        <w:t xml:space="preserve"> </w:t>
      </w:r>
      <w:r w:rsidRPr="006F7AE6">
        <w:t xml:space="preserve">com menos de </w:t>
      </w:r>
      <w:r w:rsidR="00D664ED" w:rsidRPr="00D664ED">
        <w:t>três</w:t>
      </w:r>
      <w:r w:rsidRPr="006F7AE6">
        <w:t xml:space="preserve"> hectare</w:t>
      </w:r>
      <w:r w:rsidR="00204815" w:rsidRPr="006F7AE6">
        <w:t>s</w:t>
      </w:r>
      <w:r w:rsidR="00C55FF9" w:rsidRPr="006F7AE6">
        <w:t xml:space="preserve"> </w:t>
      </w:r>
      <w:r w:rsidR="00317281" w:rsidRPr="006F7AE6">
        <w:t>de</w:t>
      </w:r>
      <w:r w:rsidR="00C55FF9" w:rsidRPr="006F7AE6">
        <w:t xml:space="preserve"> cultivos diversificado</w:t>
      </w:r>
      <w:r w:rsidR="00317281" w:rsidRPr="006F7AE6">
        <w:t>;</w:t>
      </w:r>
    </w:p>
    <w:p w14:paraId="4AE0E6F2" w14:textId="76A87254" w:rsidR="00204815" w:rsidRPr="0072363D" w:rsidRDefault="009D26DC" w:rsidP="001741F6">
      <w:pPr>
        <w:pStyle w:val="ListParagraph"/>
        <w:numPr>
          <w:ilvl w:val="1"/>
          <w:numId w:val="4"/>
        </w:numPr>
        <w:ind w:left="1134" w:hanging="198"/>
        <w:jc w:val="left"/>
        <w:rPr>
          <w:rFonts w:cs="Calibri"/>
          <w:szCs w:val="20"/>
        </w:rPr>
      </w:pPr>
      <w:r w:rsidRPr="006F7AE6">
        <w:rPr>
          <w:rFonts w:cs="Calibri"/>
          <w:szCs w:val="20"/>
        </w:rPr>
        <w:t>Área</w:t>
      </w:r>
      <w:r w:rsidR="005F0992" w:rsidRPr="0072363D">
        <w:rPr>
          <w:rFonts w:cs="Calibri"/>
          <w:szCs w:val="20"/>
        </w:rPr>
        <w:t xml:space="preserve"> </w:t>
      </w:r>
      <w:r w:rsidR="00317281" w:rsidRPr="006F7AE6">
        <w:rPr>
          <w:rFonts w:cs="Calibri"/>
          <w:szCs w:val="20"/>
        </w:rPr>
        <w:t>de p</w:t>
      </w:r>
      <w:r w:rsidR="00760ECE" w:rsidRPr="0072363D">
        <w:rPr>
          <w:rFonts w:cs="Calibri"/>
          <w:szCs w:val="20"/>
        </w:rPr>
        <w:t xml:space="preserve">rodução da manga </w:t>
      </w:r>
      <w:r w:rsidR="005F0992" w:rsidRPr="0072363D">
        <w:rPr>
          <w:rFonts w:cs="Calibri"/>
          <w:szCs w:val="20"/>
        </w:rPr>
        <w:t>inferior a 1 hectare</w:t>
      </w:r>
      <w:r w:rsidR="00317281" w:rsidRPr="006F7AE6">
        <w:rPr>
          <w:rFonts w:cs="Calibri"/>
          <w:szCs w:val="20"/>
        </w:rPr>
        <w:t xml:space="preserve"> (±</w:t>
      </w:r>
      <w:r w:rsidR="005F0992" w:rsidRPr="0072363D">
        <w:rPr>
          <w:rFonts w:cs="Calibri"/>
          <w:szCs w:val="20"/>
        </w:rPr>
        <w:t>20 árvores</w:t>
      </w:r>
      <w:r w:rsidR="00317281" w:rsidRPr="006F7AE6">
        <w:rPr>
          <w:rFonts w:cs="Calibri"/>
          <w:szCs w:val="20"/>
        </w:rPr>
        <w:t xml:space="preserve">) </w:t>
      </w:r>
      <w:r w:rsidR="00204815" w:rsidRPr="0072363D">
        <w:rPr>
          <w:rFonts w:cs="Calibri"/>
          <w:szCs w:val="20"/>
        </w:rPr>
        <w:t>como uma cultura secundária</w:t>
      </w:r>
      <w:r w:rsidR="00317281" w:rsidRPr="006F7AE6">
        <w:rPr>
          <w:rFonts w:cs="Calibri"/>
          <w:szCs w:val="20"/>
        </w:rPr>
        <w:t>,</w:t>
      </w:r>
      <w:r w:rsidR="00204815" w:rsidRPr="0072363D">
        <w:rPr>
          <w:rFonts w:cs="Calibri"/>
          <w:szCs w:val="20"/>
        </w:rPr>
        <w:t xml:space="preserve"> </w:t>
      </w:r>
      <w:r w:rsidR="00317281" w:rsidRPr="006F7AE6">
        <w:rPr>
          <w:rFonts w:cs="Calibri"/>
          <w:szCs w:val="20"/>
        </w:rPr>
        <w:t xml:space="preserve">e </w:t>
      </w:r>
      <w:r w:rsidR="005F0992" w:rsidRPr="0072363D">
        <w:rPr>
          <w:rFonts w:cs="Calibri"/>
          <w:szCs w:val="20"/>
        </w:rPr>
        <w:t>com predomínio de variedades locais</w:t>
      </w:r>
      <w:r w:rsidR="00317281" w:rsidRPr="006F7AE6">
        <w:rPr>
          <w:rFonts w:cs="Calibri"/>
          <w:szCs w:val="20"/>
        </w:rPr>
        <w:t>;</w:t>
      </w:r>
    </w:p>
    <w:p w14:paraId="4888D557" w14:textId="1E70400D" w:rsidR="00317281" w:rsidRPr="0072363D" w:rsidRDefault="00317281" w:rsidP="001741F6">
      <w:pPr>
        <w:pStyle w:val="ListParagraph"/>
        <w:numPr>
          <w:ilvl w:val="1"/>
          <w:numId w:val="4"/>
        </w:numPr>
        <w:ind w:left="1134" w:hanging="198"/>
        <w:rPr>
          <w:rFonts w:cs="Calibri"/>
          <w:szCs w:val="20"/>
        </w:rPr>
      </w:pPr>
      <w:r w:rsidRPr="006F7AE6">
        <w:rPr>
          <w:rFonts w:cs="Calibri"/>
          <w:szCs w:val="20"/>
        </w:rPr>
        <w:t xml:space="preserve">Produção </w:t>
      </w:r>
      <w:r w:rsidR="005F0992" w:rsidRPr="0072363D">
        <w:rPr>
          <w:rFonts w:cs="Calibri"/>
          <w:szCs w:val="20"/>
        </w:rPr>
        <w:t>destinada</w:t>
      </w:r>
      <w:r w:rsidRPr="006F7AE6">
        <w:rPr>
          <w:rFonts w:cs="Calibri"/>
          <w:szCs w:val="20"/>
        </w:rPr>
        <w:t xml:space="preserve"> essencialmente ao</w:t>
      </w:r>
      <w:r w:rsidR="005F0992" w:rsidRPr="0072363D">
        <w:rPr>
          <w:rFonts w:cs="Calibri"/>
          <w:szCs w:val="20"/>
        </w:rPr>
        <w:t xml:space="preserve"> autoconsumo e </w:t>
      </w:r>
      <w:r w:rsidRPr="006F7AE6">
        <w:rPr>
          <w:rFonts w:cs="Calibri"/>
          <w:szCs w:val="20"/>
        </w:rPr>
        <w:t xml:space="preserve">alguma </w:t>
      </w:r>
      <w:r w:rsidR="005F0992" w:rsidRPr="0072363D">
        <w:rPr>
          <w:rFonts w:cs="Calibri"/>
          <w:szCs w:val="20"/>
        </w:rPr>
        <w:t>venda local</w:t>
      </w:r>
    </w:p>
    <w:p w14:paraId="0C4DC30F" w14:textId="28CB091E" w:rsidR="00317281" w:rsidRPr="0072363D" w:rsidRDefault="00317281" w:rsidP="001741F6">
      <w:pPr>
        <w:pStyle w:val="ListParagraph"/>
        <w:numPr>
          <w:ilvl w:val="1"/>
          <w:numId w:val="4"/>
        </w:numPr>
        <w:ind w:left="1134" w:hanging="198"/>
        <w:rPr>
          <w:rFonts w:cs="Calibri"/>
          <w:szCs w:val="20"/>
        </w:rPr>
      </w:pPr>
      <w:r w:rsidRPr="006F7AE6">
        <w:rPr>
          <w:rFonts w:cs="Calibri"/>
          <w:szCs w:val="20"/>
        </w:rPr>
        <w:t>T</w:t>
      </w:r>
      <w:r w:rsidR="005F0992" w:rsidRPr="0072363D">
        <w:rPr>
          <w:rFonts w:cs="Calibri"/>
          <w:szCs w:val="20"/>
        </w:rPr>
        <w:t>êm baixo nível de escolaridade</w:t>
      </w:r>
      <w:r w:rsidRPr="006F7AE6">
        <w:rPr>
          <w:rFonts w:cs="Calibri"/>
          <w:szCs w:val="20"/>
        </w:rPr>
        <w:t>;</w:t>
      </w:r>
      <w:r w:rsidR="005F0992" w:rsidRPr="0072363D">
        <w:rPr>
          <w:rFonts w:cs="Calibri"/>
          <w:szCs w:val="20"/>
        </w:rPr>
        <w:t xml:space="preserve"> </w:t>
      </w:r>
    </w:p>
    <w:p w14:paraId="71A2BF0D" w14:textId="25702609" w:rsidR="00317281" w:rsidRPr="0072363D" w:rsidRDefault="00317281" w:rsidP="001741F6">
      <w:pPr>
        <w:pStyle w:val="ListParagraph"/>
        <w:numPr>
          <w:ilvl w:val="1"/>
          <w:numId w:val="4"/>
        </w:numPr>
        <w:ind w:left="1134" w:hanging="198"/>
        <w:rPr>
          <w:rFonts w:cs="Calibri"/>
          <w:szCs w:val="20"/>
        </w:rPr>
      </w:pPr>
      <w:r w:rsidRPr="006F7AE6">
        <w:rPr>
          <w:rFonts w:cs="Calibri"/>
          <w:szCs w:val="20"/>
        </w:rPr>
        <w:t>P</w:t>
      </w:r>
      <w:r w:rsidR="005F0992" w:rsidRPr="0072363D">
        <w:rPr>
          <w:rFonts w:cs="Calibri"/>
          <w:szCs w:val="20"/>
        </w:rPr>
        <w:t>raticamente nenhuma capacidade de investimento</w:t>
      </w:r>
      <w:r w:rsidRPr="006F7AE6">
        <w:rPr>
          <w:rFonts w:cs="Calibri"/>
          <w:szCs w:val="20"/>
        </w:rPr>
        <w:t>;</w:t>
      </w:r>
      <w:r w:rsidR="005F0992" w:rsidRPr="0072363D">
        <w:rPr>
          <w:rFonts w:cs="Calibri"/>
          <w:szCs w:val="20"/>
        </w:rPr>
        <w:t xml:space="preserve"> </w:t>
      </w:r>
    </w:p>
    <w:p w14:paraId="32DE7D50" w14:textId="05A68BC3" w:rsidR="006C04D6" w:rsidRPr="00526A6E" w:rsidRDefault="00317281" w:rsidP="001741F6">
      <w:pPr>
        <w:pStyle w:val="ListParagraph"/>
        <w:numPr>
          <w:ilvl w:val="1"/>
          <w:numId w:val="4"/>
        </w:numPr>
        <w:ind w:left="1134" w:hanging="198"/>
        <w:rPr>
          <w:rFonts w:cs="Calibri"/>
          <w:szCs w:val="20"/>
        </w:rPr>
      </w:pPr>
      <w:r w:rsidRPr="006F7AE6">
        <w:rPr>
          <w:rFonts w:cs="Calibri"/>
          <w:szCs w:val="20"/>
        </w:rPr>
        <w:t>M</w:t>
      </w:r>
      <w:r w:rsidR="005F0992" w:rsidRPr="0072363D">
        <w:rPr>
          <w:rFonts w:cs="Calibri"/>
          <w:szCs w:val="20"/>
        </w:rPr>
        <w:t>ais vulneráveis às perdas provocadas por pragas, doenças e variações climáticas.</w:t>
      </w:r>
    </w:p>
    <w:p w14:paraId="73845F67" w14:textId="12E3DDDA" w:rsidR="00317281" w:rsidRPr="006F7AE6" w:rsidRDefault="004E2C33" w:rsidP="006F7AE6">
      <w:pPr>
        <w:ind w:firstLine="624"/>
        <w:rPr>
          <w:rFonts w:cs="Calibri"/>
          <w:szCs w:val="20"/>
        </w:rPr>
      </w:pPr>
      <w:r w:rsidRPr="006F7AE6">
        <w:rPr>
          <w:rFonts w:cs="Calibri"/>
          <w:b/>
          <w:bCs/>
          <w:szCs w:val="20"/>
        </w:rPr>
        <w:t>P</w:t>
      </w:r>
      <w:r w:rsidR="005F0992" w:rsidRPr="006F7AE6">
        <w:rPr>
          <w:rFonts w:cs="Calibri"/>
          <w:b/>
          <w:bCs/>
          <w:szCs w:val="20"/>
        </w:rPr>
        <w:t>equenos produtores</w:t>
      </w:r>
    </w:p>
    <w:p w14:paraId="3FA13EDF" w14:textId="08F8D38E" w:rsidR="00317281" w:rsidRPr="006F7AE6" w:rsidRDefault="00481240" w:rsidP="001741F6">
      <w:pPr>
        <w:pStyle w:val="ListParagraph"/>
        <w:numPr>
          <w:ilvl w:val="0"/>
          <w:numId w:val="3"/>
        </w:numPr>
        <w:ind w:left="1134" w:hanging="198"/>
        <w:rPr>
          <w:rFonts w:cs="Calibri"/>
          <w:szCs w:val="20"/>
        </w:rPr>
      </w:pPr>
      <w:r w:rsidRPr="006F7AE6">
        <w:rPr>
          <w:rFonts w:cs="Calibri"/>
          <w:szCs w:val="20"/>
        </w:rPr>
        <w:t>P</w:t>
      </w:r>
      <w:r w:rsidR="005F0992" w:rsidRPr="0072363D">
        <w:rPr>
          <w:rFonts w:cs="Calibri"/>
          <w:szCs w:val="20"/>
        </w:rPr>
        <w:t>ropriedades de até 10 hectares</w:t>
      </w:r>
      <w:r w:rsidR="004E2C33" w:rsidRPr="006F7AE6">
        <w:rPr>
          <w:rFonts w:cs="Calibri"/>
          <w:szCs w:val="20"/>
        </w:rPr>
        <w:t xml:space="preserve">, </w:t>
      </w:r>
      <w:r w:rsidR="005F0992" w:rsidRPr="0072363D">
        <w:rPr>
          <w:rFonts w:cs="Calibri"/>
          <w:szCs w:val="20"/>
        </w:rPr>
        <w:t>frequentemente dominadas por caju</w:t>
      </w:r>
      <w:r w:rsidR="00317281" w:rsidRPr="006F7AE6">
        <w:rPr>
          <w:rFonts w:cs="Calibri"/>
          <w:szCs w:val="20"/>
        </w:rPr>
        <w:t>;</w:t>
      </w:r>
    </w:p>
    <w:p w14:paraId="6EE4EABF" w14:textId="6E4AD16E" w:rsidR="00317281" w:rsidRPr="006F7AE6" w:rsidRDefault="009D26DC" w:rsidP="001741F6">
      <w:pPr>
        <w:pStyle w:val="ListParagraph"/>
        <w:numPr>
          <w:ilvl w:val="0"/>
          <w:numId w:val="3"/>
        </w:numPr>
        <w:ind w:left="1134" w:hanging="198"/>
        <w:rPr>
          <w:rFonts w:cs="Calibri"/>
          <w:szCs w:val="20"/>
        </w:rPr>
      </w:pPr>
      <w:r w:rsidRPr="006F7AE6">
        <w:rPr>
          <w:rFonts w:cs="Calibri"/>
          <w:szCs w:val="20"/>
        </w:rPr>
        <w:t>Área</w:t>
      </w:r>
      <w:r w:rsidR="00317281" w:rsidRPr="006F7AE6">
        <w:rPr>
          <w:rFonts w:cs="Calibri"/>
          <w:szCs w:val="20"/>
        </w:rPr>
        <w:t xml:space="preserve"> produção da manga com</w:t>
      </w:r>
      <w:r w:rsidR="005F0992" w:rsidRPr="0072363D">
        <w:rPr>
          <w:rFonts w:cs="Calibri"/>
          <w:szCs w:val="20"/>
        </w:rPr>
        <w:t xml:space="preserve"> menos de </w:t>
      </w:r>
      <w:r w:rsidR="00317281" w:rsidRPr="0072363D">
        <w:rPr>
          <w:rFonts w:cs="Calibri"/>
          <w:szCs w:val="20"/>
        </w:rPr>
        <w:t>3</w:t>
      </w:r>
      <w:r w:rsidR="005F0992" w:rsidRPr="0072363D">
        <w:rPr>
          <w:rFonts w:cs="Calibri"/>
          <w:szCs w:val="20"/>
        </w:rPr>
        <w:t xml:space="preserve"> hectare</w:t>
      </w:r>
      <w:r w:rsidR="004E2C33" w:rsidRPr="006F7AE6">
        <w:rPr>
          <w:rFonts w:cs="Calibri"/>
          <w:szCs w:val="20"/>
        </w:rPr>
        <w:t>s;</w:t>
      </w:r>
    </w:p>
    <w:p w14:paraId="714E01BA" w14:textId="6927F4A3" w:rsidR="00317281" w:rsidRPr="006F7AE6" w:rsidRDefault="00317281" w:rsidP="001741F6">
      <w:pPr>
        <w:pStyle w:val="ListParagraph"/>
        <w:numPr>
          <w:ilvl w:val="0"/>
          <w:numId w:val="3"/>
        </w:numPr>
        <w:ind w:left="1134" w:hanging="198"/>
        <w:rPr>
          <w:rFonts w:cs="Calibri"/>
          <w:szCs w:val="20"/>
        </w:rPr>
      </w:pPr>
      <w:r w:rsidRPr="0072363D">
        <w:rPr>
          <w:rFonts w:cs="Calibri"/>
          <w:szCs w:val="20"/>
        </w:rPr>
        <w:t>C</w:t>
      </w:r>
      <w:r w:rsidR="005F0992" w:rsidRPr="0072363D">
        <w:rPr>
          <w:rFonts w:cs="Calibri"/>
          <w:szCs w:val="20"/>
        </w:rPr>
        <w:t xml:space="preserve">ultivam principalmente variedades </w:t>
      </w:r>
      <w:r w:rsidR="00481240" w:rsidRPr="006F7AE6">
        <w:rPr>
          <w:rFonts w:cs="Calibri"/>
          <w:szCs w:val="20"/>
        </w:rPr>
        <w:t>locais,</w:t>
      </w:r>
      <w:r w:rsidRPr="0072363D">
        <w:rPr>
          <w:rFonts w:cs="Calibri"/>
          <w:szCs w:val="20"/>
        </w:rPr>
        <w:t xml:space="preserve"> mas </w:t>
      </w:r>
      <w:r w:rsidR="005F0992" w:rsidRPr="0072363D">
        <w:rPr>
          <w:rFonts w:cs="Calibri"/>
          <w:szCs w:val="20"/>
        </w:rPr>
        <w:t>com alguma presença de variedades melhoradas</w:t>
      </w:r>
      <w:r w:rsidR="004E2C33" w:rsidRPr="006F7AE6">
        <w:rPr>
          <w:rFonts w:cs="Calibri"/>
          <w:szCs w:val="20"/>
        </w:rPr>
        <w:t>;</w:t>
      </w:r>
    </w:p>
    <w:p w14:paraId="74618532" w14:textId="1FFD7454" w:rsidR="00317281" w:rsidRPr="006F7AE6" w:rsidRDefault="004E2C33" w:rsidP="001741F6">
      <w:pPr>
        <w:pStyle w:val="ListParagraph"/>
        <w:numPr>
          <w:ilvl w:val="0"/>
          <w:numId w:val="3"/>
        </w:numPr>
        <w:ind w:left="1134" w:hanging="198"/>
        <w:rPr>
          <w:rFonts w:cs="Calibri"/>
          <w:szCs w:val="20"/>
        </w:rPr>
      </w:pPr>
      <w:r w:rsidRPr="006F7AE6">
        <w:rPr>
          <w:rFonts w:cs="Calibri"/>
          <w:szCs w:val="20"/>
        </w:rPr>
        <w:t>L</w:t>
      </w:r>
      <w:r w:rsidR="00481240" w:rsidRPr="006F7AE6">
        <w:rPr>
          <w:rFonts w:cs="Calibri"/>
          <w:szCs w:val="20"/>
        </w:rPr>
        <w:t>i</w:t>
      </w:r>
      <w:r w:rsidR="005F0992" w:rsidRPr="0072363D">
        <w:rPr>
          <w:rFonts w:cs="Calibri"/>
          <w:szCs w:val="20"/>
        </w:rPr>
        <w:t>mitações marcantes de acesso a tecnologia, crédito e assistência técnic</w:t>
      </w:r>
      <w:r w:rsidR="00317281" w:rsidRPr="006F7AE6">
        <w:rPr>
          <w:rFonts w:cs="Calibri"/>
          <w:szCs w:val="20"/>
        </w:rPr>
        <w:t>o</w:t>
      </w:r>
      <w:r w:rsidRPr="006F7AE6">
        <w:rPr>
          <w:rFonts w:cs="Calibri"/>
          <w:szCs w:val="20"/>
        </w:rPr>
        <w:t>;</w:t>
      </w:r>
    </w:p>
    <w:p w14:paraId="6D3140FF" w14:textId="73B72073" w:rsidR="00481240" w:rsidRPr="006C04D6" w:rsidRDefault="00317281" w:rsidP="001741F6">
      <w:pPr>
        <w:pStyle w:val="ListParagraph"/>
        <w:numPr>
          <w:ilvl w:val="0"/>
          <w:numId w:val="3"/>
        </w:numPr>
        <w:ind w:left="1134" w:hanging="198"/>
        <w:rPr>
          <w:rFonts w:cs="Calibri"/>
          <w:szCs w:val="20"/>
        </w:rPr>
      </w:pPr>
      <w:r w:rsidRPr="0072363D">
        <w:rPr>
          <w:rFonts w:cs="Calibri"/>
          <w:szCs w:val="20"/>
        </w:rPr>
        <w:t>P</w:t>
      </w:r>
      <w:r w:rsidR="005F0992" w:rsidRPr="0072363D">
        <w:rPr>
          <w:rFonts w:cs="Calibri"/>
          <w:szCs w:val="20"/>
        </w:rPr>
        <w:t>otencial produtivo e comercial</w:t>
      </w:r>
      <w:r w:rsidRPr="0072363D">
        <w:rPr>
          <w:rFonts w:cs="Calibri"/>
          <w:szCs w:val="20"/>
        </w:rPr>
        <w:t xml:space="preserve"> muito limitado</w:t>
      </w:r>
      <w:r w:rsidR="005F0992" w:rsidRPr="0072363D">
        <w:rPr>
          <w:rFonts w:cs="Calibri"/>
          <w:szCs w:val="20"/>
        </w:rPr>
        <w:t>.</w:t>
      </w:r>
    </w:p>
    <w:p w14:paraId="1506A24A" w14:textId="05147E34" w:rsidR="004E2C33" w:rsidRPr="006F7AE6" w:rsidRDefault="004E2C33" w:rsidP="006F7AE6">
      <w:pPr>
        <w:ind w:firstLine="624"/>
        <w:rPr>
          <w:rFonts w:cs="Calibri"/>
          <w:szCs w:val="20"/>
        </w:rPr>
      </w:pPr>
      <w:r w:rsidRPr="006F7AE6">
        <w:rPr>
          <w:rFonts w:cs="Calibri"/>
          <w:b/>
          <w:bCs/>
          <w:szCs w:val="20"/>
        </w:rPr>
        <w:t>P</w:t>
      </w:r>
      <w:r w:rsidR="005F0992" w:rsidRPr="006F7AE6">
        <w:rPr>
          <w:rFonts w:cs="Calibri"/>
          <w:b/>
          <w:bCs/>
          <w:szCs w:val="20"/>
        </w:rPr>
        <w:t>rodutores medianos</w:t>
      </w:r>
    </w:p>
    <w:p w14:paraId="56DA6A78" w14:textId="2589562C" w:rsidR="00481240" w:rsidRPr="006F7AE6" w:rsidRDefault="00481240" w:rsidP="001741F6">
      <w:pPr>
        <w:pStyle w:val="ListParagraph"/>
        <w:numPr>
          <w:ilvl w:val="0"/>
          <w:numId w:val="5"/>
        </w:numPr>
        <w:ind w:left="1275" w:hanging="198"/>
        <w:rPr>
          <w:rFonts w:cs="Calibri"/>
          <w:szCs w:val="20"/>
        </w:rPr>
      </w:pPr>
      <w:r w:rsidRPr="006F7AE6">
        <w:rPr>
          <w:rFonts w:cs="Calibri"/>
          <w:szCs w:val="20"/>
        </w:rPr>
        <w:t>P</w:t>
      </w:r>
      <w:r w:rsidR="004E2C33" w:rsidRPr="0072363D">
        <w:rPr>
          <w:rFonts w:cs="Calibri"/>
          <w:szCs w:val="20"/>
        </w:rPr>
        <w:t xml:space="preserve">ropriedades com área variável entre </w:t>
      </w:r>
      <w:r w:rsidR="005F0992" w:rsidRPr="0072363D">
        <w:rPr>
          <w:rFonts w:cs="Calibri"/>
          <w:szCs w:val="20"/>
        </w:rPr>
        <w:t>10</w:t>
      </w:r>
      <w:r w:rsidR="004E2C33" w:rsidRPr="0072363D">
        <w:rPr>
          <w:rFonts w:cs="Calibri"/>
          <w:szCs w:val="20"/>
        </w:rPr>
        <w:t xml:space="preserve"> a </w:t>
      </w:r>
      <w:r w:rsidR="005F0992" w:rsidRPr="0072363D">
        <w:rPr>
          <w:rFonts w:cs="Calibri"/>
          <w:szCs w:val="20"/>
        </w:rPr>
        <w:t>50 hectares, diversificam mais suas atividade</w:t>
      </w:r>
      <w:r w:rsidR="004E2C33" w:rsidRPr="0072363D">
        <w:rPr>
          <w:rFonts w:cs="Calibri"/>
          <w:szCs w:val="20"/>
        </w:rPr>
        <w:t>s</w:t>
      </w:r>
    </w:p>
    <w:p w14:paraId="1FFD1C76" w14:textId="1BC16E6E" w:rsidR="00481240" w:rsidRPr="006F7AE6" w:rsidRDefault="006F4305" w:rsidP="001741F6">
      <w:pPr>
        <w:pStyle w:val="ListParagraph"/>
        <w:numPr>
          <w:ilvl w:val="0"/>
          <w:numId w:val="5"/>
        </w:numPr>
        <w:ind w:left="1275" w:hanging="198"/>
        <w:rPr>
          <w:rFonts w:cs="Calibri"/>
          <w:szCs w:val="20"/>
        </w:rPr>
      </w:pPr>
      <w:r w:rsidRPr="006F7AE6">
        <w:rPr>
          <w:rFonts w:cs="Calibri"/>
          <w:szCs w:val="20"/>
        </w:rPr>
        <w:t>Área alocada à produção de manga é na ordem dos</w:t>
      </w:r>
      <w:r w:rsidR="005F0992" w:rsidRPr="0072363D">
        <w:rPr>
          <w:rFonts w:cs="Calibri"/>
          <w:szCs w:val="20"/>
        </w:rPr>
        <w:t xml:space="preserve"> </w:t>
      </w:r>
      <w:r w:rsidR="00366EAB" w:rsidRPr="006F7AE6">
        <w:rPr>
          <w:rFonts w:cs="Calibri"/>
          <w:szCs w:val="20"/>
        </w:rPr>
        <w:t>5</w:t>
      </w:r>
      <w:r w:rsidR="005F0992" w:rsidRPr="0072363D">
        <w:rPr>
          <w:rFonts w:cs="Calibri"/>
          <w:szCs w:val="20"/>
        </w:rPr>
        <w:t xml:space="preserve"> hectares para mango</w:t>
      </w:r>
      <w:r w:rsidR="00366EAB" w:rsidRPr="006F7AE6">
        <w:rPr>
          <w:rFonts w:cs="Calibri"/>
          <w:szCs w:val="20"/>
        </w:rPr>
        <w:t>,</w:t>
      </w:r>
      <w:r w:rsidRPr="006F7AE6">
        <w:rPr>
          <w:rFonts w:cs="Calibri"/>
          <w:szCs w:val="20"/>
        </w:rPr>
        <w:t xml:space="preserve"> </w:t>
      </w:r>
      <w:r w:rsidR="00366EAB" w:rsidRPr="006F7AE6">
        <w:rPr>
          <w:rFonts w:cs="Calibri"/>
          <w:szCs w:val="20"/>
        </w:rPr>
        <w:t xml:space="preserve">no entanto alguns </w:t>
      </w:r>
      <w:r w:rsidRPr="006F7AE6">
        <w:rPr>
          <w:rFonts w:cs="Calibri"/>
          <w:szCs w:val="20"/>
        </w:rPr>
        <w:t>possuem</w:t>
      </w:r>
      <w:r w:rsidR="00366EAB" w:rsidRPr="006F7AE6">
        <w:rPr>
          <w:rFonts w:cs="Calibri"/>
          <w:szCs w:val="20"/>
        </w:rPr>
        <w:t xml:space="preserve"> maior área alocada</w:t>
      </w:r>
      <w:r w:rsidRPr="006F7AE6">
        <w:rPr>
          <w:rFonts w:cs="Calibri"/>
          <w:szCs w:val="20"/>
        </w:rPr>
        <w:t xml:space="preserve"> (7 a 8 há)</w:t>
      </w:r>
      <w:r w:rsidR="00481240" w:rsidRPr="006F7AE6">
        <w:rPr>
          <w:rFonts w:cs="Calibri"/>
          <w:szCs w:val="20"/>
        </w:rPr>
        <w:t>;</w:t>
      </w:r>
    </w:p>
    <w:p w14:paraId="3BEF8A85" w14:textId="66B627E8" w:rsidR="00481240" w:rsidRPr="006F7AE6" w:rsidRDefault="00481240" w:rsidP="001741F6">
      <w:pPr>
        <w:pStyle w:val="ListParagraph"/>
        <w:numPr>
          <w:ilvl w:val="0"/>
          <w:numId w:val="5"/>
        </w:numPr>
        <w:ind w:left="1275" w:hanging="198"/>
        <w:rPr>
          <w:rFonts w:cs="Calibri"/>
          <w:szCs w:val="20"/>
        </w:rPr>
      </w:pPr>
      <w:r w:rsidRPr="006F7AE6">
        <w:rPr>
          <w:rFonts w:cs="Calibri"/>
          <w:szCs w:val="20"/>
        </w:rPr>
        <w:t>C</w:t>
      </w:r>
      <w:r w:rsidR="005F0992" w:rsidRPr="0072363D">
        <w:rPr>
          <w:rFonts w:cs="Calibri"/>
          <w:szCs w:val="20"/>
        </w:rPr>
        <w:t>ultivam tanto variedades locais como exportáveis</w:t>
      </w:r>
      <w:r w:rsidR="006F4305" w:rsidRPr="006F7AE6">
        <w:rPr>
          <w:rFonts w:cs="Calibri"/>
          <w:szCs w:val="20"/>
        </w:rPr>
        <w:t xml:space="preserve">, mas as </w:t>
      </w:r>
      <w:r w:rsidR="009D26DC" w:rsidRPr="006F7AE6">
        <w:rPr>
          <w:rFonts w:cs="Calibri"/>
          <w:szCs w:val="20"/>
        </w:rPr>
        <w:t>últimas</w:t>
      </w:r>
      <w:r w:rsidR="006F4305" w:rsidRPr="006F7AE6">
        <w:rPr>
          <w:rFonts w:cs="Calibri"/>
          <w:szCs w:val="20"/>
        </w:rPr>
        <w:t xml:space="preserve"> ganham destaque;</w:t>
      </w:r>
    </w:p>
    <w:p w14:paraId="6C152A60" w14:textId="04DA720F" w:rsidR="00366EAB" w:rsidRPr="006F7AE6" w:rsidRDefault="006F4305" w:rsidP="001741F6">
      <w:pPr>
        <w:pStyle w:val="ListParagraph"/>
        <w:numPr>
          <w:ilvl w:val="0"/>
          <w:numId w:val="5"/>
        </w:numPr>
        <w:ind w:left="1275" w:hanging="198"/>
        <w:rPr>
          <w:rFonts w:cs="Calibri"/>
          <w:szCs w:val="20"/>
        </w:rPr>
      </w:pPr>
      <w:r w:rsidRPr="006F7AE6">
        <w:rPr>
          <w:rFonts w:cs="Calibri"/>
          <w:szCs w:val="20"/>
        </w:rPr>
        <w:t>C</w:t>
      </w:r>
      <w:r w:rsidR="00366EAB" w:rsidRPr="006F7AE6">
        <w:rPr>
          <w:rFonts w:cs="Calibri"/>
          <w:szCs w:val="20"/>
        </w:rPr>
        <w:t>onseguiram melhorar suas práticas e</w:t>
      </w:r>
      <w:r w:rsidRPr="006F7AE6">
        <w:rPr>
          <w:rFonts w:cs="Calibri"/>
          <w:szCs w:val="20"/>
        </w:rPr>
        <w:t xml:space="preserve"> </w:t>
      </w:r>
      <w:r w:rsidR="00366EAB" w:rsidRPr="006F7AE6">
        <w:rPr>
          <w:rFonts w:cs="Calibri"/>
          <w:szCs w:val="20"/>
        </w:rPr>
        <w:t xml:space="preserve">o seu </w:t>
      </w:r>
      <w:r w:rsidR="005F0992" w:rsidRPr="0072363D">
        <w:rPr>
          <w:rFonts w:cs="Calibri"/>
          <w:szCs w:val="20"/>
        </w:rPr>
        <w:t xml:space="preserve">potencial de escalonamento, </w:t>
      </w:r>
      <w:r w:rsidR="00481240" w:rsidRPr="006F7AE6">
        <w:rPr>
          <w:rFonts w:cs="Calibri"/>
          <w:szCs w:val="20"/>
        </w:rPr>
        <w:t xml:space="preserve">mas o </w:t>
      </w:r>
      <w:r w:rsidR="005F0992" w:rsidRPr="0072363D">
        <w:rPr>
          <w:rFonts w:cs="Calibri"/>
          <w:szCs w:val="20"/>
        </w:rPr>
        <w:t>impacto agregado na fileira ainda é limitado</w:t>
      </w:r>
      <w:r w:rsidRPr="006F7AE6">
        <w:rPr>
          <w:rFonts w:cs="Calibri"/>
          <w:szCs w:val="20"/>
        </w:rPr>
        <w:t>;</w:t>
      </w:r>
    </w:p>
    <w:p w14:paraId="288B6712" w14:textId="5EB5C8CB" w:rsidR="00481240" w:rsidRPr="006F7AE6" w:rsidRDefault="006F4305" w:rsidP="001741F6">
      <w:pPr>
        <w:pStyle w:val="ListParagraph"/>
        <w:numPr>
          <w:ilvl w:val="0"/>
          <w:numId w:val="5"/>
        </w:numPr>
        <w:ind w:left="1275" w:hanging="198"/>
        <w:rPr>
          <w:rFonts w:cs="Calibri"/>
          <w:szCs w:val="20"/>
        </w:rPr>
      </w:pPr>
      <w:r w:rsidRPr="006F7AE6">
        <w:rPr>
          <w:rFonts w:cs="Calibri"/>
          <w:szCs w:val="20"/>
        </w:rPr>
        <w:t xml:space="preserve">Possuem ligeira capacidade de aquisição de recursos, mas </w:t>
      </w:r>
      <w:r w:rsidR="00366EAB" w:rsidRPr="006F7AE6">
        <w:rPr>
          <w:rFonts w:cs="Calibri"/>
          <w:szCs w:val="20"/>
        </w:rPr>
        <w:t>ainda</w:t>
      </w:r>
      <w:r w:rsidR="005F0992" w:rsidRPr="0072363D">
        <w:rPr>
          <w:rFonts w:cs="Calibri"/>
          <w:szCs w:val="20"/>
        </w:rPr>
        <w:t xml:space="preserve"> restrições de </w:t>
      </w:r>
      <w:r w:rsidR="00481240" w:rsidRPr="006F7AE6">
        <w:rPr>
          <w:rFonts w:cs="Calibri"/>
          <w:szCs w:val="20"/>
        </w:rPr>
        <w:t>acesso à</w:t>
      </w:r>
      <w:r w:rsidR="005F0992" w:rsidRPr="0072363D">
        <w:rPr>
          <w:rFonts w:cs="Calibri"/>
          <w:szCs w:val="20"/>
        </w:rPr>
        <w:t xml:space="preserve"> tecnologia </w:t>
      </w:r>
      <w:r w:rsidR="00481240" w:rsidRPr="006F7AE6">
        <w:rPr>
          <w:rFonts w:cs="Calibri"/>
          <w:szCs w:val="20"/>
        </w:rPr>
        <w:t xml:space="preserve">capital </w:t>
      </w:r>
      <w:r w:rsidR="005F0992" w:rsidRPr="0072363D">
        <w:rPr>
          <w:rFonts w:cs="Calibri"/>
          <w:szCs w:val="20"/>
        </w:rPr>
        <w:t xml:space="preserve">e </w:t>
      </w:r>
      <w:r w:rsidR="00481240" w:rsidRPr="006F7AE6">
        <w:rPr>
          <w:rFonts w:cs="Calibri"/>
          <w:szCs w:val="20"/>
        </w:rPr>
        <w:t>assistência técnica</w:t>
      </w:r>
      <w:r w:rsidRPr="006F7AE6">
        <w:rPr>
          <w:rFonts w:cs="Calibri"/>
          <w:szCs w:val="20"/>
        </w:rPr>
        <w:t>;</w:t>
      </w:r>
    </w:p>
    <w:p w14:paraId="671A3664" w14:textId="51F96152" w:rsidR="006F4305" w:rsidRPr="006C04D6" w:rsidRDefault="00481240" w:rsidP="001741F6">
      <w:pPr>
        <w:pStyle w:val="ListParagraph"/>
        <w:numPr>
          <w:ilvl w:val="0"/>
          <w:numId w:val="5"/>
        </w:numPr>
        <w:ind w:left="1275" w:hanging="198"/>
        <w:rPr>
          <w:rFonts w:cs="Calibri"/>
          <w:szCs w:val="20"/>
        </w:rPr>
      </w:pPr>
      <w:r w:rsidRPr="006F7AE6">
        <w:rPr>
          <w:rFonts w:cs="Calibri"/>
          <w:szCs w:val="20"/>
        </w:rPr>
        <w:t xml:space="preserve">Potencial </w:t>
      </w:r>
      <w:r w:rsidR="00366EAB" w:rsidRPr="006F7AE6">
        <w:rPr>
          <w:rFonts w:cs="Calibri"/>
          <w:szCs w:val="20"/>
        </w:rPr>
        <w:t xml:space="preserve">produtivo e </w:t>
      </w:r>
      <w:r w:rsidRPr="006F7AE6">
        <w:rPr>
          <w:rFonts w:cs="Calibri"/>
          <w:szCs w:val="20"/>
        </w:rPr>
        <w:t xml:space="preserve">comercial </w:t>
      </w:r>
      <w:r w:rsidR="00366EAB" w:rsidRPr="006F7AE6">
        <w:rPr>
          <w:rFonts w:cs="Calibri"/>
          <w:szCs w:val="20"/>
        </w:rPr>
        <w:t xml:space="preserve">é </w:t>
      </w:r>
      <w:r w:rsidRPr="006F7AE6">
        <w:rPr>
          <w:rFonts w:cs="Calibri"/>
          <w:szCs w:val="20"/>
        </w:rPr>
        <w:t>significativo</w:t>
      </w:r>
      <w:r w:rsidR="00366EAB" w:rsidRPr="006F7AE6">
        <w:rPr>
          <w:rFonts w:cs="Calibri"/>
          <w:szCs w:val="20"/>
        </w:rPr>
        <w:t xml:space="preserve">, embora </w:t>
      </w:r>
      <w:r w:rsidR="006F4305" w:rsidRPr="006F7AE6">
        <w:rPr>
          <w:rFonts w:cs="Calibri"/>
          <w:szCs w:val="20"/>
        </w:rPr>
        <w:t>ainda</w:t>
      </w:r>
      <w:r w:rsidR="00366EAB" w:rsidRPr="006F7AE6">
        <w:rPr>
          <w:rFonts w:cs="Calibri"/>
          <w:szCs w:val="20"/>
        </w:rPr>
        <w:t xml:space="preserve"> limita</w:t>
      </w:r>
      <w:r w:rsidR="006F4305" w:rsidRPr="006F7AE6">
        <w:rPr>
          <w:rFonts w:cs="Calibri"/>
          <w:szCs w:val="20"/>
        </w:rPr>
        <w:t>do</w:t>
      </w:r>
      <w:r w:rsidR="00366EAB" w:rsidRPr="006F7AE6">
        <w:rPr>
          <w:rFonts w:cs="Calibri"/>
          <w:szCs w:val="20"/>
        </w:rPr>
        <w:t xml:space="preserve"> </w:t>
      </w:r>
    </w:p>
    <w:p w14:paraId="2D289C0A" w14:textId="4B6AF379" w:rsidR="00481240" w:rsidRPr="0072363D" w:rsidRDefault="00481240" w:rsidP="00F66522">
      <w:pPr>
        <w:ind w:firstLine="624"/>
        <w:rPr>
          <w:rFonts w:cs="Calibri"/>
          <w:szCs w:val="20"/>
        </w:rPr>
      </w:pPr>
      <w:r w:rsidRPr="0072363D">
        <w:rPr>
          <w:rFonts w:cs="Calibri"/>
          <w:b/>
          <w:bCs/>
          <w:szCs w:val="20"/>
        </w:rPr>
        <w:t>G</w:t>
      </w:r>
      <w:r w:rsidR="005F0992" w:rsidRPr="0072363D">
        <w:rPr>
          <w:rFonts w:cs="Calibri"/>
          <w:b/>
          <w:bCs/>
          <w:szCs w:val="20"/>
        </w:rPr>
        <w:t>randes produtores</w:t>
      </w:r>
      <w:r w:rsidR="005F0992" w:rsidRPr="0072363D">
        <w:rPr>
          <w:rFonts w:cs="Calibri"/>
          <w:szCs w:val="20"/>
        </w:rPr>
        <w:t xml:space="preserve">, </w:t>
      </w:r>
      <w:r w:rsidR="006F4305" w:rsidRPr="0072363D">
        <w:rPr>
          <w:rFonts w:cs="Calibri"/>
          <w:szCs w:val="20"/>
        </w:rPr>
        <w:t>são ainda muito poucos. Identificaram-se apenas dois ou três na região de Oio</w:t>
      </w:r>
      <w:r w:rsidR="006F4305" w:rsidRPr="006F7AE6">
        <w:rPr>
          <w:rFonts w:cs="Calibri"/>
          <w:szCs w:val="20"/>
        </w:rPr>
        <w:t>.</w:t>
      </w:r>
    </w:p>
    <w:p w14:paraId="2AD0E74E" w14:textId="77777777" w:rsidR="009D26DC" w:rsidRPr="006F7AE6" w:rsidRDefault="006F4305" w:rsidP="001741F6">
      <w:pPr>
        <w:pStyle w:val="ListParagraph"/>
        <w:numPr>
          <w:ilvl w:val="0"/>
          <w:numId w:val="7"/>
        </w:numPr>
        <w:ind w:left="1134" w:hanging="198"/>
        <w:rPr>
          <w:rFonts w:cs="Calibri"/>
          <w:szCs w:val="20"/>
        </w:rPr>
      </w:pPr>
      <w:r w:rsidRPr="0072363D">
        <w:rPr>
          <w:rFonts w:cs="Calibri"/>
          <w:szCs w:val="20"/>
        </w:rPr>
        <w:lastRenderedPageBreak/>
        <w:t>Propriedades com área superior a 100 hectares 10, diversificam as suas atividades</w:t>
      </w:r>
    </w:p>
    <w:p w14:paraId="08387CFE" w14:textId="05F926E9" w:rsidR="00481240" w:rsidRPr="0072363D" w:rsidRDefault="006F4305" w:rsidP="001741F6">
      <w:pPr>
        <w:pStyle w:val="ListParagraph"/>
        <w:numPr>
          <w:ilvl w:val="0"/>
          <w:numId w:val="7"/>
        </w:numPr>
        <w:ind w:left="1134" w:hanging="198"/>
        <w:rPr>
          <w:rFonts w:cs="Calibri"/>
          <w:szCs w:val="20"/>
        </w:rPr>
      </w:pPr>
      <w:r w:rsidRPr="0072363D">
        <w:rPr>
          <w:rFonts w:cs="Calibri"/>
          <w:szCs w:val="20"/>
        </w:rPr>
        <w:t xml:space="preserve">A área alocada à manga é superior a </w:t>
      </w:r>
      <w:r w:rsidR="005F0992" w:rsidRPr="0072363D">
        <w:rPr>
          <w:rFonts w:cs="Calibri"/>
          <w:szCs w:val="20"/>
        </w:rPr>
        <w:t>50 hectares</w:t>
      </w:r>
      <w:r w:rsidR="009D26DC" w:rsidRPr="006F7AE6">
        <w:rPr>
          <w:rFonts w:cs="Calibri"/>
          <w:szCs w:val="20"/>
        </w:rPr>
        <w:t>, tendo sido identificado um caso com mais de 100 hectares</w:t>
      </w:r>
      <w:r w:rsidR="005F0992" w:rsidRPr="0072363D">
        <w:rPr>
          <w:rFonts w:cs="Calibri"/>
          <w:szCs w:val="20"/>
        </w:rPr>
        <w:t xml:space="preserve"> </w:t>
      </w:r>
    </w:p>
    <w:p w14:paraId="765FD4BC" w14:textId="045DFCC8" w:rsidR="00481240" w:rsidRPr="006F7AE6" w:rsidRDefault="00481240" w:rsidP="001741F6">
      <w:pPr>
        <w:pStyle w:val="ListParagraph"/>
        <w:numPr>
          <w:ilvl w:val="0"/>
          <w:numId w:val="6"/>
        </w:numPr>
        <w:ind w:left="1134" w:hanging="198"/>
        <w:rPr>
          <w:rFonts w:cs="Calibri"/>
          <w:szCs w:val="20"/>
        </w:rPr>
      </w:pPr>
      <w:r w:rsidRPr="0072363D">
        <w:rPr>
          <w:rFonts w:cs="Calibri"/>
          <w:szCs w:val="20"/>
        </w:rPr>
        <w:t>C</w:t>
      </w:r>
      <w:r w:rsidR="005F0992" w:rsidRPr="0072363D">
        <w:rPr>
          <w:rFonts w:cs="Calibri"/>
          <w:szCs w:val="20"/>
        </w:rPr>
        <w:t>oncentram-se no cultivo d</w:t>
      </w:r>
      <w:r w:rsidR="009D26DC" w:rsidRPr="006F7AE6">
        <w:rPr>
          <w:rFonts w:cs="Calibri"/>
          <w:szCs w:val="20"/>
        </w:rPr>
        <w:t>e</w:t>
      </w:r>
      <w:r w:rsidR="005F0992" w:rsidRPr="0072363D">
        <w:rPr>
          <w:rFonts w:cs="Calibri"/>
          <w:szCs w:val="20"/>
        </w:rPr>
        <w:t xml:space="preserve"> variedades</w:t>
      </w:r>
      <w:r w:rsidRPr="006F7AE6">
        <w:rPr>
          <w:rFonts w:cs="Calibri"/>
          <w:szCs w:val="20"/>
        </w:rPr>
        <w:t xml:space="preserve"> exportáveis</w:t>
      </w:r>
      <w:r w:rsidR="005F0992" w:rsidRPr="0072363D">
        <w:rPr>
          <w:rFonts w:cs="Calibri"/>
          <w:szCs w:val="20"/>
        </w:rPr>
        <w:t xml:space="preserve"> (como Kent, Keitt e Palmer)</w:t>
      </w:r>
    </w:p>
    <w:p w14:paraId="5A95714E" w14:textId="0D3E50DA" w:rsidR="00481240" w:rsidRPr="006F7AE6" w:rsidRDefault="00481240" w:rsidP="001741F6">
      <w:pPr>
        <w:pStyle w:val="ListParagraph"/>
        <w:numPr>
          <w:ilvl w:val="0"/>
          <w:numId w:val="6"/>
        </w:numPr>
        <w:ind w:left="1134" w:hanging="198"/>
        <w:rPr>
          <w:rFonts w:cs="Calibri"/>
          <w:szCs w:val="20"/>
        </w:rPr>
      </w:pPr>
      <w:r w:rsidRPr="006F7AE6">
        <w:rPr>
          <w:rFonts w:cs="Calibri"/>
          <w:szCs w:val="20"/>
        </w:rPr>
        <w:t>V</w:t>
      </w:r>
      <w:r w:rsidR="005F0992" w:rsidRPr="0072363D">
        <w:rPr>
          <w:rFonts w:cs="Calibri"/>
          <w:szCs w:val="20"/>
        </w:rPr>
        <w:t>isa</w:t>
      </w:r>
      <w:r w:rsidRPr="006F7AE6">
        <w:rPr>
          <w:rFonts w:cs="Calibri"/>
          <w:szCs w:val="20"/>
        </w:rPr>
        <w:t>m</w:t>
      </w:r>
      <w:r w:rsidR="005F0992" w:rsidRPr="0072363D">
        <w:rPr>
          <w:rFonts w:cs="Calibri"/>
          <w:szCs w:val="20"/>
        </w:rPr>
        <w:t xml:space="preserve"> mercados exigentes e agentes estruturados de comercialização, inclusive com vistas à exportação</w:t>
      </w:r>
    </w:p>
    <w:p w14:paraId="1A2A6C1B" w14:textId="2AB07E2F" w:rsidR="00481240" w:rsidRPr="006F7AE6" w:rsidRDefault="005F0992" w:rsidP="001741F6">
      <w:pPr>
        <w:pStyle w:val="ListParagraph"/>
        <w:numPr>
          <w:ilvl w:val="0"/>
          <w:numId w:val="6"/>
        </w:numPr>
        <w:ind w:left="1134" w:hanging="198"/>
        <w:rPr>
          <w:rFonts w:cs="Calibri"/>
          <w:szCs w:val="20"/>
        </w:rPr>
      </w:pPr>
      <w:r w:rsidRPr="0072363D">
        <w:rPr>
          <w:rFonts w:cs="Calibri"/>
          <w:szCs w:val="20"/>
        </w:rPr>
        <w:t>Demonstram maior capacidade de organização, acesso a recursos</w:t>
      </w:r>
    </w:p>
    <w:p w14:paraId="03A92C49" w14:textId="56667FB6" w:rsidR="006E474A" w:rsidRPr="006C04D6" w:rsidRDefault="00775718" w:rsidP="001741F6">
      <w:pPr>
        <w:pStyle w:val="ListParagraph"/>
        <w:numPr>
          <w:ilvl w:val="0"/>
          <w:numId w:val="6"/>
        </w:numPr>
        <w:ind w:left="1134" w:hanging="198"/>
        <w:rPr>
          <w:rFonts w:cs="Calibri"/>
          <w:szCs w:val="20"/>
        </w:rPr>
      </w:pPr>
      <w:r w:rsidRPr="006F7AE6">
        <w:rPr>
          <w:rFonts w:cs="Calibri"/>
          <w:szCs w:val="20"/>
        </w:rPr>
        <w:t xml:space="preserve">Capacidade </w:t>
      </w:r>
      <w:r w:rsidR="00481240" w:rsidRPr="006F7AE6">
        <w:rPr>
          <w:rFonts w:cs="Calibri"/>
          <w:szCs w:val="20"/>
        </w:rPr>
        <w:t xml:space="preserve">de </w:t>
      </w:r>
      <w:r w:rsidR="005F0992" w:rsidRPr="0072363D">
        <w:rPr>
          <w:rFonts w:cs="Calibri"/>
          <w:szCs w:val="20"/>
        </w:rPr>
        <w:t>articulação em canais mais estruturados da cadeia</w:t>
      </w:r>
      <w:r w:rsidR="00481240" w:rsidRPr="006F7AE6">
        <w:rPr>
          <w:rFonts w:cs="Calibri"/>
          <w:szCs w:val="20"/>
        </w:rPr>
        <w:t xml:space="preserve"> de valor da manga</w:t>
      </w:r>
      <w:r w:rsidRPr="006F7AE6">
        <w:rPr>
          <w:rFonts w:cs="Calibri"/>
          <w:szCs w:val="20"/>
        </w:rPr>
        <w:t xml:space="preserve">, e de inserção no mercado formal </w:t>
      </w:r>
    </w:p>
    <w:p w14:paraId="21CD0CAE" w14:textId="475D0044" w:rsidR="004326DA" w:rsidRPr="00F66522" w:rsidRDefault="004326DA" w:rsidP="006F7AE6">
      <w:pPr>
        <w:rPr>
          <w:b/>
          <w:bCs/>
        </w:rPr>
      </w:pPr>
      <w:r w:rsidRPr="00F66522">
        <w:rPr>
          <w:b/>
          <w:bCs/>
        </w:rPr>
        <w:t>Reconfiguração dos Atores: Desaparecimento do Grande Produtor/Exportador</w:t>
      </w:r>
    </w:p>
    <w:p w14:paraId="1BA9C46E" w14:textId="220B351F" w:rsidR="006E474A" w:rsidRPr="00F163CE" w:rsidRDefault="004326DA" w:rsidP="00DC2F5F">
      <w:r w:rsidRPr="006F7AE6">
        <w:t>Um dos factos mais relevantes desde 2018 é a descontinuidade da empresa Frutas &amp; Legumes, anteriormente um dos poucos exemplos de produtor comercial integrado com capacidade técnica, logística e de exportação certificada (Kent, Keitt, Palmer). Com a mudança de proprietários, a empresa deixou de operar com a mesma ambição, interrompendo investimentos em qualidade e exportação. Apesar de conservar mais de 100 hectares de variedades melhoradas em produção, perdeu a estrutura funcional e o papel estratégico que a caracterizavam como ator estruturante da fileira.</w:t>
      </w:r>
    </w:p>
    <w:p w14:paraId="5AE179FD" w14:textId="77777777" w:rsidR="006E474A" w:rsidRPr="006F7AE6" w:rsidRDefault="008D3D04" w:rsidP="006F7AE6">
      <w:pPr>
        <w:rPr>
          <w:b/>
          <w:bCs/>
        </w:rPr>
      </w:pPr>
      <w:r w:rsidRPr="006F7AE6">
        <w:rPr>
          <w:b/>
          <w:bCs/>
        </w:rPr>
        <w:t>Surgimento de pequenos transformadores</w:t>
      </w:r>
    </w:p>
    <w:p w14:paraId="208FD0E7" w14:textId="2301B46A" w:rsidR="006E474A" w:rsidRDefault="008D3D04" w:rsidP="00F66522">
      <w:r w:rsidRPr="006F7AE6">
        <w:t>Registou-se o surgimento e a expansão de iniciativas de pequena transformação da manga, sobretudo protagonizadas por grupos de mulheres organizadas em associações ou coletivos informais. Esta transformação, ainda de escala artesanal e limitada, concentra-se na produção de compotas, manga seca e outros derivados para o consumo local e venda em feiras urbanas. Apesar de operarem com equipamentos rudimentares e enfrentarem dificuldades no acesso a embalagens e canais estruturados de comercialização, essas iniciativas representam uma via promissora de valorização da produção local, geração de rendimento e diversificação da cadeia. No entanto, carecem de apoio técnico, financiamento e inserção em estratégias mais amplas de desenvolvimento agroindustrial que possam transformar essas experiências isoladas em núcleos sustentáveis de economia rural.</w:t>
      </w:r>
    </w:p>
    <w:p w14:paraId="4AA700A4" w14:textId="77777777" w:rsidR="00526A6E" w:rsidRPr="00F163CE" w:rsidRDefault="00526A6E" w:rsidP="00F66522"/>
    <w:p w14:paraId="484DF9D2" w14:textId="77777777" w:rsidR="006E474A" w:rsidRPr="006F7AE6" w:rsidRDefault="008D3D04" w:rsidP="006F7AE6">
      <w:pPr>
        <w:rPr>
          <w:b/>
          <w:bCs/>
        </w:rPr>
      </w:pPr>
      <w:r w:rsidRPr="006F7AE6">
        <w:rPr>
          <w:b/>
          <w:bCs/>
        </w:rPr>
        <w:t>Surgimento de um potencial grande transformador de frutas</w:t>
      </w:r>
    </w:p>
    <w:p w14:paraId="1A0DFE06" w14:textId="76D28853" w:rsidR="00DC2F5F" w:rsidRPr="006F7AE6" w:rsidRDefault="008D3D04" w:rsidP="00F66522">
      <w:r w:rsidRPr="006F7AE6">
        <w:t xml:space="preserve">A empresa agroindustrial MYA foi identificada como um novo ator com potencial para dinamizar a transformação e comercialização da manga na Guiné-Bissau. A empresa foi criada inicialmente com foco na produção e exportação de polpa e concentrado de maracujá. Recebeu uma concessão de 10.000 hectares, dos quais cerca de 250 já estão cultivados. Com investimentos significativos em infraestrutura, armazéns, logística e uma moderna unidade de processamento ainda em fase de montagem, a MYA demonstrou interesse em incorporar a manga como matéria-prima futura para transformação industrial. A intenção é adquirir num futuro próximo (2026-20279 manga de produtores de diferentes regiões do país para produzir polpa destinada ao mercado europeu, </w:t>
      </w:r>
      <w:r w:rsidR="00EA3226" w:rsidRPr="006F7AE6">
        <w:t>criando assim uma</w:t>
      </w:r>
      <w:r w:rsidRPr="006F7AE6">
        <w:t xml:space="preserve"> oportunidade de escoamento para a produção local.</w:t>
      </w:r>
    </w:p>
    <w:p w14:paraId="0F30B690" w14:textId="77777777" w:rsidR="006E474A" w:rsidRPr="006F7AE6" w:rsidRDefault="008D3D04" w:rsidP="00F66522">
      <w:r w:rsidRPr="006F7AE6">
        <w:t xml:space="preserve">Apesar de ainda não estar operacional na transformação da manga, a entrada da MYA representa uma mudança potencial na estrutura da cadeia de valor, ao introduzir um agente com capacidade técnica e logística para criar uma ligação entre os produtores e mercados de maior valor agregado. Contudo, essa ambição permanece em fase embrionária, já que a unidade fabril necessita de adaptações para processar a manga – cerca de 20% dos equipamentos ainda estão por instalar. </w:t>
      </w:r>
      <w:bookmarkStart w:id="46" w:name="_Toc204704306"/>
    </w:p>
    <w:p w14:paraId="458E1751" w14:textId="23E3E1E2" w:rsidR="006E474A" w:rsidRPr="006F7AE6" w:rsidRDefault="008D3D04" w:rsidP="00DE1950">
      <w:pPr>
        <w:pStyle w:val="Heading3"/>
      </w:pPr>
      <w:bookmarkStart w:id="47" w:name="_Toc220507502"/>
      <w:r w:rsidRPr="006F7AE6">
        <w:t>Aspetos referentes à produção de manga</w:t>
      </w:r>
      <w:bookmarkEnd w:id="46"/>
      <w:bookmarkEnd w:id="47"/>
    </w:p>
    <w:p w14:paraId="14A6125E" w14:textId="77777777" w:rsidR="00E827CE" w:rsidRPr="006F7AE6" w:rsidRDefault="008D3D04" w:rsidP="006F7AE6">
      <w:pPr>
        <w:rPr>
          <w:b/>
          <w:bCs/>
        </w:rPr>
      </w:pPr>
      <w:r w:rsidRPr="006F7AE6">
        <w:rPr>
          <w:b/>
          <w:bCs/>
        </w:rPr>
        <w:t>Valorização da variedade local “manga da faca” (variedade Colaço)</w:t>
      </w:r>
    </w:p>
    <w:p w14:paraId="7F7F7B2D" w14:textId="05C4D8E2" w:rsidR="0010043B" w:rsidRPr="000C4DAF" w:rsidRDefault="008D3D04" w:rsidP="00294423">
      <w:r w:rsidRPr="006F7AE6">
        <w:t>A variedade local conhecida como manga da faca (ou Colass</w:t>
      </w:r>
      <w:r w:rsidR="0010043B" w:rsidRPr="006F7AE6">
        <w:t>o</w:t>
      </w:r>
      <w:r w:rsidRPr="006F7AE6">
        <w:t xml:space="preserve">) tem ganho crescente valorização nos mercados nacionais da Guiné-Bissau entre 2018 e 2025, sobretudo pelo seu sabor doce, textura fibrosa e elevado teor de </w:t>
      </w:r>
      <w:r w:rsidRPr="006F7AE6">
        <w:lastRenderedPageBreak/>
        <w:t xml:space="preserve">sumo, características amplamente apreciadas pelos consumidores. Produzida principalmente por pequenos produtores familiares e vendida em mercados informais e feiras </w:t>
      </w:r>
      <w:r w:rsidRPr="0076328B">
        <w:t>locais (lumos</w:t>
      </w:r>
      <w:r w:rsidRPr="0076328B">
        <w:rPr>
          <w:vertAlign w:val="superscript"/>
        </w:rPr>
        <w:footnoteReference w:id="2"/>
      </w:r>
      <w:r w:rsidRPr="0076328B">
        <w:t>), essa</w:t>
      </w:r>
      <w:r w:rsidRPr="006F7AE6">
        <w:t xml:space="preserve"> variedade domina a oferta nas primeiras fases da campanha </w:t>
      </w:r>
      <w:r w:rsidR="00A6019B" w:rsidRPr="006F7AE6">
        <w:t xml:space="preserve">(dois meses aproximadamente) </w:t>
      </w:r>
      <w:r w:rsidRPr="006F7AE6">
        <w:t>e atinge picos de valorização em meados do mês de maio. O seu valor comercial tem superado o das variedades exportáveis (Kent, Keitt, Palmer), cuja suscetibilidade à mosca-da-fruta tem reduzido a atratividade junto aos produtores</w:t>
      </w:r>
      <w:r w:rsidR="00710FB7" w:rsidRPr="006F7AE6">
        <w:t>.</w:t>
      </w:r>
      <w:r w:rsidR="00A6019B" w:rsidRPr="006F7AE6">
        <w:t xml:space="preserve"> Contudo, </w:t>
      </w:r>
      <w:r w:rsidR="00672A2F" w:rsidRPr="006F7AE6">
        <w:t>com o final da sua campanha,</w:t>
      </w:r>
      <w:r w:rsidR="00A6019B" w:rsidRPr="006F7AE6">
        <w:t xml:space="preserve"> favorece o preço </w:t>
      </w:r>
      <w:r w:rsidR="00672A2F" w:rsidRPr="006F7AE6">
        <w:t>d</w:t>
      </w:r>
      <w:r w:rsidR="00A6019B" w:rsidRPr="006F7AE6">
        <w:t>as variedades melhoradas nos primeiros meses</w:t>
      </w:r>
      <w:r w:rsidR="00672A2F" w:rsidRPr="006F7AE6">
        <w:t>, pois embora mais baixos tendem a valorizar-</w:t>
      </w:r>
      <w:r w:rsidR="00EA3226" w:rsidRPr="006F7AE6">
        <w:t>se e</w:t>
      </w:r>
      <w:r w:rsidR="00A6019B" w:rsidRPr="006F7AE6">
        <w:t xml:space="preserve"> mante</w:t>
      </w:r>
      <w:r w:rsidR="00672A2F" w:rsidRPr="006F7AE6">
        <w:t>rem</w:t>
      </w:r>
      <w:r w:rsidR="00A6019B" w:rsidRPr="006F7AE6">
        <w:t xml:space="preserve">-se </w:t>
      </w:r>
      <w:r w:rsidR="00672A2F" w:rsidRPr="006F7AE6">
        <w:t>estáveis até ao final</w:t>
      </w:r>
    </w:p>
    <w:p w14:paraId="170B7E22" w14:textId="3B13BE7C" w:rsidR="006E474A" w:rsidRPr="006F7AE6" w:rsidRDefault="008D3D04" w:rsidP="006F7AE6">
      <w:pPr>
        <w:rPr>
          <w:b/>
          <w:bCs/>
        </w:rPr>
      </w:pPr>
      <w:r w:rsidRPr="006F7AE6">
        <w:rPr>
          <w:b/>
          <w:bCs/>
        </w:rPr>
        <w:t>Agudização dos problemas fitossanitários</w:t>
      </w:r>
    </w:p>
    <w:p w14:paraId="6F97E647" w14:textId="77777777" w:rsidR="00E525F1" w:rsidRPr="0076328B" w:rsidRDefault="00E525F1" w:rsidP="006F7AE6">
      <w:r w:rsidRPr="006F7AE6">
        <w:t xml:space="preserve">Os problemas fitossanitários na cultura da manga na Guiné-Bissau pioraram substancialmente desde 2017. Os ataques da </w:t>
      </w:r>
      <w:r w:rsidRPr="0076328B">
        <w:t>mosca-da-fruta (</w:t>
      </w:r>
      <w:r w:rsidRPr="0076328B">
        <w:rPr>
          <w:i/>
          <w:iCs/>
        </w:rPr>
        <w:t>Bactrocera dorsalis</w:t>
      </w:r>
      <w:r w:rsidRPr="0076328B">
        <w:t>) intensificaram-se, tornando-se a praga dominante que compromete produção e qualidade dos frutos em praticamente todas as regiões. A falta de um sistema nacional de vigilância fitossanitária eficaz, aliada à limitada capacidade técnica dos produtores e à escassez de insumos apropriados, favoreceu a disseminação da praga.</w:t>
      </w:r>
    </w:p>
    <w:p w14:paraId="5226B425" w14:textId="6854E8DD" w:rsidR="00E525F1" w:rsidRPr="006F7AE6" w:rsidRDefault="00E525F1" w:rsidP="006F7AE6">
      <w:r w:rsidRPr="0076328B">
        <w:t>Os métodos de controle empregados permanecem artesanais e ineficazes, uso improvisado de armadilhas e de produtos fitossanitários, sem resolver o problema e com impactos negativos sobre a qualidade final. Além disso, doenças como antracnose e ataques fúngicos</w:t>
      </w:r>
      <w:r w:rsidRPr="006F7AE6">
        <w:t xml:space="preserve"> estão cada vez mais presentes e também afetam a produtividade.</w:t>
      </w:r>
    </w:p>
    <w:p w14:paraId="4720EABE" w14:textId="219190E6" w:rsidR="006E474A" w:rsidRPr="006F7AE6" w:rsidRDefault="00E525F1" w:rsidP="006F7AE6">
      <w:r w:rsidRPr="006F7AE6">
        <w:t>A ausência de campanhas de sensibilização e a descontinuidade de projetos de apoio ao controle fitossanitários (ex: SIRIMAO), bem como a falta de acesso aos produtos fitossanitários, impediram avanços na produção. Os efeitos são mais severos para pequenos produtores e cultivadores de variedades melhoradas, que relatam perdas que variam entre 50 % e 90 % em algumas situações.</w:t>
      </w:r>
    </w:p>
    <w:p w14:paraId="54DA4DAB" w14:textId="77777777" w:rsidR="006E474A" w:rsidRPr="006F7AE6" w:rsidRDefault="008D3D04" w:rsidP="006F7AE6">
      <w:pPr>
        <w:rPr>
          <w:b/>
          <w:bCs/>
        </w:rPr>
      </w:pPr>
      <w:r w:rsidRPr="006F7AE6">
        <w:rPr>
          <w:b/>
          <w:bCs/>
        </w:rPr>
        <w:t>Substituição das plantações de manga por outras culturas</w:t>
      </w:r>
    </w:p>
    <w:p w14:paraId="6D63A1E3" w14:textId="77777777" w:rsidR="006E474A" w:rsidRPr="006F7AE6" w:rsidRDefault="008D3D04" w:rsidP="006F7AE6">
      <w:r w:rsidRPr="006F7AE6">
        <w:t>Segundo relatos, está em curso um movimento crescente de substituição de pomares de manga por outras culturas, particularmente nas regiões de Oio e Cacheu, com destaque para o eixo Farim/São Domingos. Os produtores justificam que essa substituição tem sido motivada por diversos fatores, entre eles o aumento das perdas causadas por pragas como a mosca-da-fruta, a fraca valorização da manga em certas épocas e a falta de apoio técnico e institucional para a manutenção dos pomares. Culturas como o caju, a lima, a goiaba e até hortícolas têm sido preferidas por exigirem menos cuidados técnicos, apresentarem melhor rentabilidade ou maior facilidade de escoamento.</w:t>
      </w:r>
    </w:p>
    <w:p w14:paraId="62CFD3CC" w14:textId="6870872B" w:rsidR="009C64D5" w:rsidRPr="00D375BD" w:rsidRDefault="008D3D04" w:rsidP="009C64D5">
      <w:pPr>
        <w:rPr>
          <w:b/>
          <w:bCs/>
        </w:rPr>
      </w:pPr>
      <w:r w:rsidRPr="006F7AE6">
        <w:t xml:space="preserve">Essa tendência é particularmente evidente entre os produtores medianos e familiares, que enfrentam dificuldades para investir na recuperação de pomares antigos ou combater os problemas fitossanitários. Além disso, a ausência de um mercado estruturado para a manga, aliado à incerteza quanto à comercialização, reforça a escolha por culturas mais previsíveis. Em alguns casos, árvores de manga com mais de 20 anos foram cortadas </w:t>
      </w:r>
      <w:r w:rsidRPr="0076328B">
        <w:t>e substituídas por novos cultivos ou simplesmente abandonadas.</w:t>
      </w:r>
      <w:r w:rsidRPr="006F7AE6">
        <w:rPr>
          <w:b/>
          <w:bCs/>
        </w:rPr>
        <w:t xml:space="preserve"> </w:t>
      </w:r>
    </w:p>
    <w:p w14:paraId="188D5ECE" w14:textId="27211807" w:rsidR="006E474A" w:rsidRPr="006F7AE6" w:rsidRDefault="008D3D04" w:rsidP="00815270">
      <w:pPr>
        <w:pStyle w:val="Heading2"/>
      </w:pPr>
      <w:bookmarkStart w:id="48" w:name="_Toc220507503"/>
      <w:r w:rsidRPr="006F7AE6">
        <w:t>Processos, produtos e funções</w:t>
      </w:r>
      <w:bookmarkEnd w:id="48"/>
    </w:p>
    <w:p w14:paraId="75C472CC" w14:textId="3C44A616" w:rsidR="00343345" w:rsidRPr="006F7AE6" w:rsidRDefault="008D3D04" w:rsidP="00E042D7">
      <w:pPr>
        <w:pStyle w:val="Heading3"/>
        <w:numPr>
          <w:ilvl w:val="2"/>
          <w:numId w:val="34"/>
        </w:numPr>
      </w:pPr>
      <w:bookmarkStart w:id="49" w:name="_Toc204704312"/>
      <w:bookmarkStart w:id="50" w:name="_Toc220507504"/>
      <w:r w:rsidRPr="006F7AE6">
        <w:t>Produção nacional</w:t>
      </w:r>
      <w:bookmarkEnd w:id="49"/>
      <w:r w:rsidRPr="006F7AE6">
        <w:t xml:space="preserve"> da manga</w:t>
      </w:r>
      <w:bookmarkEnd w:id="50"/>
    </w:p>
    <w:p w14:paraId="05A9CDFD" w14:textId="3FFE5EA1" w:rsidR="00367D6F" w:rsidRPr="006F7AE6" w:rsidRDefault="00CA0C57" w:rsidP="009C64D5">
      <w:r w:rsidRPr="006F7AE6">
        <w:t xml:space="preserve">O presente estudo incide sobre a manga fresca, com destaque para a </w:t>
      </w:r>
      <w:r w:rsidR="00873F5F" w:rsidRPr="006F7AE6">
        <w:t xml:space="preserve">actualização do estudo anterior de </w:t>
      </w:r>
      <w:r w:rsidRPr="006F7AE6">
        <w:t xml:space="preserve">análise da cadeia de valor </w:t>
      </w:r>
      <w:r w:rsidR="00873F5F" w:rsidRPr="006F7AE6">
        <w:t xml:space="preserve">da manga </w:t>
      </w:r>
      <w:r w:rsidRPr="006F7AE6">
        <w:t>na Guiné-Bissau. Diferentemente do levantamento realizado em 201</w:t>
      </w:r>
      <w:r w:rsidR="00873F5F" w:rsidRPr="006F7AE6">
        <w:t>7</w:t>
      </w:r>
      <w:r w:rsidRPr="006F7AE6">
        <w:t xml:space="preserve">, esta abordagem mantém o foco nas variedades de exportação para o mercado europeu (Kent, Keitt, Palmer e Tommy), mas integra igualmente as variedades locais destinadas ao consumo interno e à transformação agroindustrial. Entre estas, destaca-se a manga de faca (Colasso), que nos últimos anos tem ganho expressiva valorização no </w:t>
      </w:r>
      <w:r w:rsidRPr="006F7AE6">
        <w:lastRenderedPageBreak/>
        <w:t>mercado nacional, fruto da preferência pelo seu sabor e pela maior resistência ao ataque da mosca da fruta, além de ser uma variedade precoce.</w:t>
      </w:r>
    </w:p>
    <w:p w14:paraId="51A6A83F" w14:textId="11FA77EE" w:rsidR="001F413C" w:rsidRPr="006F7AE6" w:rsidRDefault="00AD2815" w:rsidP="009C64D5">
      <w:pPr>
        <w:rPr>
          <w:b/>
          <w:bCs/>
        </w:rPr>
      </w:pPr>
      <w:r w:rsidRPr="006F7AE6">
        <w:rPr>
          <w:b/>
          <w:bCs/>
        </w:rPr>
        <w:t xml:space="preserve">Tendências recentes </w:t>
      </w:r>
      <w:r w:rsidR="00DD058B" w:rsidRPr="006F7AE6">
        <w:rPr>
          <w:b/>
          <w:bCs/>
        </w:rPr>
        <w:t>da Produção</w:t>
      </w:r>
    </w:p>
    <w:p w14:paraId="4B8E7587" w14:textId="754BC8F9" w:rsidR="00901834" w:rsidRPr="006F7AE6" w:rsidRDefault="00901834" w:rsidP="009C64D5">
      <w:pPr>
        <w:rPr>
          <w:szCs w:val="20"/>
        </w:rPr>
      </w:pPr>
      <w:r w:rsidRPr="006F7AE6">
        <w:t>A análise da produção nacional de manga na Guiné-Bissau, a partir dos dados apresentados n</w:t>
      </w:r>
      <w:r w:rsidR="005A17C2">
        <w:t>a</w:t>
      </w:r>
      <w:r w:rsidRPr="006F7AE6">
        <w:t xml:space="preserve"> </w:t>
      </w:r>
      <w:r w:rsidR="005A17C2">
        <w:fldChar w:fldCharType="begin"/>
      </w:r>
      <w:r w:rsidR="005A17C2">
        <w:instrText xml:space="preserve"> REF _Ref210749564 \h </w:instrText>
      </w:r>
      <w:r w:rsidR="009C64D5">
        <w:instrText xml:space="preserve"> \* MERGEFORMAT </w:instrText>
      </w:r>
      <w:r w:rsidR="005A17C2">
        <w:fldChar w:fldCharType="separate"/>
      </w:r>
      <w:r w:rsidR="002A2405">
        <w:t xml:space="preserve">Figura </w:t>
      </w:r>
      <w:r w:rsidR="002A2405">
        <w:rPr>
          <w:noProof/>
        </w:rPr>
        <w:t>2.1</w:t>
      </w:r>
      <w:r w:rsidR="005A17C2">
        <w:fldChar w:fldCharType="end"/>
      </w:r>
      <w:r w:rsidR="005A17C2">
        <w:t xml:space="preserve"> (A e B)</w:t>
      </w:r>
      <w:r w:rsidRPr="006F7AE6">
        <w:t>, evidencia</w:t>
      </w:r>
      <w:r w:rsidRPr="006F7AE6">
        <w:rPr>
          <w:b/>
          <w:bCs/>
          <w:szCs w:val="20"/>
        </w:rPr>
        <w:t xml:space="preserve"> </w:t>
      </w:r>
      <w:r w:rsidRPr="0076328B">
        <w:rPr>
          <w:szCs w:val="20"/>
        </w:rPr>
        <w:t>fortes discrepâncias entre as diferentes fontes estatísticas.</w:t>
      </w:r>
      <w:r w:rsidRPr="006F7AE6">
        <w:rPr>
          <w:szCs w:val="20"/>
        </w:rPr>
        <w:t xml:space="preserve"> Enquanto dados do FAOSTAT, INE e Report Linker indicam níveis reduzidos de produção (até 20.000 toneladas), estimativas de UN News e consultores nacionais apontam valores intermédios (cerca de 30.000 toneladas), e o Ministério da Economia projeta números significativamente mais elevados (65.000 toneladas em 2024). Esta diversidade confirma a ausência de um sistema harmonizado e fiável de estatísticas agrícolas.</w:t>
      </w:r>
    </w:p>
    <w:p w14:paraId="19B63345" w14:textId="3183EC4A" w:rsidR="00DD058B" w:rsidRPr="006F7AE6" w:rsidRDefault="00DD058B" w:rsidP="00DC2F5F">
      <w:pPr>
        <w:pStyle w:val="p1"/>
        <w:spacing w:before="0" w:beforeAutospacing="0" w:after="160" w:afterAutospacing="0"/>
        <w:contextualSpacing/>
        <w:rPr>
          <w:rFonts w:ascii="Calibri" w:hAnsi="Calibri" w:cs="Calibri"/>
          <w:szCs w:val="20"/>
        </w:rPr>
      </w:pPr>
    </w:p>
    <w:p w14:paraId="3046CBD0" w14:textId="00052CAF" w:rsidR="00901834" w:rsidRPr="006F7AE6" w:rsidRDefault="00BC76CA" w:rsidP="00901834">
      <w:pPr>
        <w:pStyle w:val="p1"/>
        <w:spacing w:before="0" w:beforeAutospacing="0" w:after="0" w:afterAutospacing="0"/>
        <w:rPr>
          <w:rFonts w:ascii="Calibri" w:eastAsiaTheme="minorEastAsia" w:hAnsi="Calibri" w:cs="Calibri"/>
          <w:b/>
          <w:bCs/>
          <w:kern w:val="2"/>
          <w:szCs w:val="20"/>
          <w14:ligatures w14:val="standardContextual"/>
        </w:rPr>
      </w:pPr>
      <w:r>
        <w:rPr>
          <w:rFonts w:ascii="Calibri" w:eastAsiaTheme="minorEastAsia" w:hAnsi="Calibri" w:cs="Calibri"/>
          <w:noProof/>
          <w:kern w:val="2"/>
          <w:sz w:val="15"/>
          <w:szCs w:val="15"/>
          <w:lang w:val="en-GB"/>
          <w14:ligatures w14:val="standardContextual"/>
        </w:rPr>
        <w:drawing>
          <wp:inline distT="0" distB="0" distL="0" distR="0" wp14:anchorId="1D85E3E7" wp14:editId="3D444B2F">
            <wp:extent cx="5724525" cy="1771650"/>
            <wp:effectExtent l="0" t="0" r="9525" b="0"/>
            <wp:docPr id="19533617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1771650"/>
                    </a:xfrm>
                    <a:prstGeom prst="rect">
                      <a:avLst/>
                    </a:prstGeom>
                    <a:noFill/>
                    <a:ln>
                      <a:noFill/>
                    </a:ln>
                  </pic:spPr>
                </pic:pic>
              </a:graphicData>
            </a:graphic>
          </wp:inline>
        </w:drawing>
      </w:r>
    </w:p>
    <w:p w14:paraId="343D4B50" w14:textId="30C5597F" w:rsidR="00D10CAB" w:rsidRPr="006A38FC" w:rsidRDefault="00EF296E" w:rsidP="007D3A26">
      <w:pPr>
        <w:pStyle w:val="Caption"/>
        <w:rPr>
          <w:rFonts w:cstheme="minorBidi"/>
        </w:rPr>
      </w:pPr>
      <w:bookmarkStart w:id="51" w:name="_Ref210749564"/>
      <w:bookmarkStart w:id="52" w:name="_Toc211359232"/>
      <w:r>
        <w:t xml:space="preserve">Figura </w:t>
      </w:r>
      <w:fldSimple w:instr=" STYLEREF 1 \s ">
        <w:r w:rsidR="002A2405">
          <w:rPr>
            <w:noProof/>
          </w:rPr>
          <w:t>2</w:t>
        </w:r>
      </w:fldSimple>
      <w:r w:rsidR="00C05C88">
        <w:t>.</w:t>
      </w:r>
      <w:fldSimple w:instr=" SEQ Figura \* ARABIC \s 1 ">
        <w:r w:rsidR="002A2405">
          <w:rPr>
            <w:noProof/>
          </w:rPr>
          <w:t>1</w:t>
        </w:r>
      </w:fldSimple>
      <w:bookmarkEnd w:id="51"/>
      <w:r>
        <w:t xml:space="preserve"> - </w:t>
      </w:r>
      <w:r w:rsidRPr="00EF296E">
        <w:t>Estimativas de produção de manga</w:t>
      </w:r>
      <w:r>
        <w:t xml:space="preserve"> na GB: (A)</w:t>
      </w:r>
      <w:r w:rsidRPr="00EF296E">
        <w:t xml:space="preserve"> </w:t>
      </w:r>
      <w:r>
        <w:t xml:space="preserve">Produção </w:t>
      </w:r>
      <w:r w:rsidRPr="00EF296E">
        <w:t>bruta e líquida</w:t>
      </w:r>
      <w:r>
        <w:t>, de 2012 a 2024, de acordo com</w:t>
      </w:r>
      <w:r w:rsidRPr="00EF296E">
        <w:t xml:space="preserve"> diferentes </w:t>
      </w:r>
      <w:r>
        <w:t>fontes; (B) Evolução da produção e da área de cultivo, de 2002 a 2025 (elaboração própria)</w:t>
      </w:r>
      <w:bookmarkEnd w:id="52"/>
    </w:p>
    <w:p w14:paraId="3DC243C1" w14:textId="77777777" w:rsidR="005B5138" w:rsidRDefault="005B5138" w:rsidP="00DC2F5F">
      <w:pPr>
        <w:contextualSpacing/>
      </w:pPr>
    </w:p>
    <w:p w14:paraId="6956D12F" w14:textId="511F6DC0" w:rsidR="00874309" w:rsidRPr="006F7AE6" w:rsidRDefault="00874309" w:rsidP="009C64D5">
      <w:pPr>
        <w:rPr>
          <w:rFonts w:eastAsia="Times New Roman"/>
          <w:kern w:val="0"/>
          <w14:ligatures w14:val="none"/>
        </w:rPr>
      </w:pPr>
      <w:r w:rsidRPr="006F7AE6">
        <w:t>Não obstante que os gráficos possam sugerir estabilidade, ou mesmo crescimento, na produção nacional e nas áreas cultivadas. No entanto, a perceção dos produtores entrevistados nas três regiões de estudo aponta em sentido contrário: a produção de manga destinada à exportação tem vindo a diminuir de forma significativa. Essa queda está sobretudo associada à intensificação dos ataques da mosca-da-fruta, à falta de assistência técnica e à crescente reconversão de pomares para outras culturas</w:t>
      </w:r>
    </w:p>
    <w:p w14:paraId="7EED0779" w14:textId="34968F15" w:rsidR="00874309" w:rsidRPr="006F7AE6" w:rsidRDefault="00874309" w:rsidP="009C64D5">
      <w:r w:rsidRPr="006F7AE6">
        <w:t xml:space="preserve">Esta situação foi particularmente evidenciada na região Norte, no eixo Ingoré–São Domingos, </w:t>
      </w:r>
      <w:r w:rsidR="007C22AF" w:rsidRPr="006F7AE6">
        <w:t>onde os</w:t>
      </w:r>
      <w:r w:rsidRPr="006F7AE6">
        <w:t xml:space="preserve"> entrevistados reportaram </w:t>
      </w:r>
      <w:r w:rsidR="0089144E" w:rsidRPr="006F7AE6">
        <w:t>vários</w:t>
      </w:r>
      <w:r w:rsidRPr="006F7AE6">
        <w:t xml:space="preserve"> casos de reconversão agrícola. A perceção predominante entre os produtores é de que as áreas já convertidas para cajueiro, lima e outras culturas superam largamente as novas plantações de manga de variedades voltadas para a exportação</w:t>
      </w:r>
    </w:p>
    <w:p w14:paraId="4F323562" w14:textId="0EFBDF11" w:rsidR="00874309" w:rsidRPr="007C22AF" w:rsidRDefault="00B45E08" w:rsidP="009C64D5">
      <w:pPr>
        <w:rPr>
          <w:szCs w:val="20"/>
        </w:rPr>
      </w:pPr>
      <w:r w:rsidRPr="007C22AF">
        <w:t>Verifica-se um contraste entre as estimativas formais e os relatos de campo, destacando uma tendência de estagnação das áreas de cultivo e de redução efetiva da produtividade e da produção exportável, em comparação com os níveis registados antes de 2015</w:t>
      </w:r>
      <w:r w:rsidR="005B5138" w:rsidRPr="007C22AF">
        <w:t>.</w:t>
      </w:r>
    </w:p>
    <w:p w14:paraId="55228092" w14:textId="41E24711" w:rsidR="00B45E08" w:rsidRPr="006F7AE6" w:rsidRDefault="00AD2815" w:rsidP="009C64D5">
      <w:pPr>
        <w:rPr>
          <w:b/>
          <w:bCs/>
        </w:rPr>
      </w:pPr>
      <w:r w:rsidRPr="006F7AE6">
        <w:rPr>
          <w:rFonts w:eastAsia="Times New Roman"/>
          <w:b/>
          <w:bCs/>
        </w:rPr>
        <w:t xml:space="preserve">Produção </w:t>
      </w:r>
      <w:r w:rsidR="00873F5F" w:rsidRPr="006F7AE6">
        <w:rPr>
          <w:rFonts w:eastAsia="Times New Roman"/>
          <w:b/>
          <w:bCs/>
        </w:rPr>
        <w:t xml:space="preserve">nacional </w:t>
      </w:r>
    </w:p>
    <w:p w14:paraId="4F42CCE9" w14:textId="5A13F265" w:rsidR="00B45E08" w:rsidRPr="007C22AF" w:rsidRDefault="00B45E08" w:rsidP="006F7AE6">
      <w:r w:rsidRPr="005F79AC">
        <w:t xml:space="preserve">O Ministério da Agricultura, em parceria com organismos internacionais, prepara para 2026 um novo inquérito agrícola nacional no quadro da iniciativa “50 x 2030” (Banco Mundial, FAO, IFAD). Paralelamente, o programa </w:t>
      </w:r>
      <w:r w:rsidRPr="006F7AE6">
        <w:t>AGRISurvey (2024-2028)</w:t>
      </w:r>
      <w:r w:rsidRPr="005F79AC">
        <w:t xml:space="preserve"> já apoia a realização de inquéritos anuais e o reforço do sistema nacional de estatísticas agrícolas. Apesar destes esforços, persistem</w:t>
      </w:r>
      <w:r w:rsidRPr="007C22AF">
        <w:t xml:space="preserve"> grandes lacunas de informação sobre a produção de manga</w:t>
      </w:r>
      <w:r w:rsidR="0089144E" w:rsidRPr="007C22AF">
        <w:t>.</w:t>
      </w:r>
      <w:r w:rsidRPr="007C22AF">
        <w:t xml:space="preserve"> </w:t>
      </w:r>
      <w:r w:rsidR="0089144E" w:rsidRPr="007C22AF">
        <w:t>N</w:t>
      </w:r>
      <w:r w:rsidRPr="007C22AF">
        <w:t>ão existem dados recentes sobre produtores, áreas cultivadas, variedades, volumes ou preços. As informações disponíveis são desatualizadas, datando em grande parte dos anos 1990, sendo que o último recenseamento agrícola nacional remonta a 1986.</w:t>
      </w:r>
    </w:p>
    <w:p w14:paraId="54B94E89" w14:textId="25DF8B87" w:rsidR="00B45E08" w:rsidRPr="007C22AF" w:rsidRDefault="00B45E08" w:rsidP="006F7AE6">
      <w:r w:rsidRPr="007C22AF">
        <w:t>Face à ausência de estatísticas robustas, a análise atual assenta em estimativas validadas por especialistas, complementadas por dados fragmentados</w:t>
      </w:r>
      <w:r w:rsidR="0089144E" w:rsidRPr="007C22AF">
        <w:t xml:space="preserve"> de diversas fontes</w:t>
      </w:r>
      <w:r w:rsidRPr="007C22AF">
        <w:t>. Para o ano de referência de 2025, foram estabelecidos os seguintes valores:</w:t>
      </w:r>
    </w:p>
    <w:p w14:paraId="6406B3C9" w14:textId="77777777" w:rsidR="00B45E08" w:rsidRPr="005F79AC" w:rsidRDefault="00B45E08" w:rsidP="001741F6">
      <w:pPr>
        <w:pStyle w:val="p1"/>
        <w:numPr>
          <w:ilvl w:val="0"/>
          <w:numId w:val="14"/>
        </w:numPr>
        <w:spacing w:before="0" w:beforeAutospacing="0" w:afterLines="80" w:after="192" w:afterAutospacing="0" w:line="259" w:lineRule="auto"/>
        <w:ind w:left="822" w:hanging="198"/>
        <w:contextualSpacing/>
        <w:rPr>
          <w:rFonts w:ascii="Calibri" w:hAnsi="Calibri" w:cs="Calibri"/>
          <w:szCs w:val="20"/>
        </w:rPr>
      </w:pPr>
      <w:r w:rsidRPr="005F79AC">
        <w:rPr>
          <w:rFonts w:ascii="Calibri" w:hAnsi="Calibri" w:cs="Calibri"/>
          <w:b/>
          <w:bCs/>
          <w:szCs w:val="20"/>
        </w:rPr>
        <w:lastRenderedPageBreak/>
        <w:t>Produção Nacional Bruta:</w:t>
      </w:r>
      <w:r w:rsidRPr="005F79AC">
        <w:rPr>
          <w:rFonts w:ascii="Calibri" w:hAnsi="Calibri" w:cs="Calibri"/>
          <w:szCs w:val="20"/>
        </w:rPr>
        <w:t xml:space="preserve"> 17.500 toneladas</w:t>
      </w:r>
    </w:p>
    <w:p w14:paraId="702C13F0" w14:textId="77777777" w:rsidR="00B45E08" w:rsidRPr="005F79AC" w:rsidRDefault="00B45E08" w:rsidP="001741F6">
      <w:pPr>
        <w:pStyle w:val="p1"/>
        <w:numPr>
          <w:ilvl w:val="0"/>
          <w:numId w:val="14"/>
        </w:numPr>
        <w:spacing w:before="0" w:beforeAutospacing="0" w:afterLines="80" w:after="192" w:afterAutospacing="0" w:line="259" w:lineRule="auto"/>
        <w:ind w:left="822" w:hanging="198"/>
        <w:contextualSpacing/>
        <w:rPr>
          <w:rFonts w:ascii="Calibri" w:hAnsi="Calibri" w:cs="Calibri"/>
          <w:szCs w:val="20"/>
        </w:rPr>
      </w:pPr>
      <w:r w:rsidRPr="005F79AC">
        <w:rPr>
          <w:rFonts w:ascii="Calibri" w:hAnsi="Calibri" w:cs="Calibri"/>
          <w:b/>
          <w:bCs/>
          <w:szCs w:val="20"/>
        </w:rPr>
        <w:t>Produção Nacional Líquida:</w:t>
      </w:r>
      <w:r w:rsidRPr="005F79AC">
        <w:rPr>
          <w:rFonts w:ascii="Calibri" w:hAnsi="Calibri" w:cs="Calibri"/>
          <w:szCs w:val="20"/>
        </w:rPr>
        <w:t xml:space="preserve"> 11.750 toneladas</w:t>
      </w:r>
    </w:p>
    <w:p w14:paraId="0720B74F" w14:textId="00C647DA" w:rsidR="00B45E08" w:rsidRPr="005F79AC" w:rsidRDefault="00B45E08" w:rsidP="001741F6">
      <w:pPr>
        <w:pStyle w:val="p1"/>
        <w:numPr>
          <w:ilvl w:val="0"/>
          <w:numId w:val="14"/>
        </w:numPr>
        <w:spacing w:before="0" w:beforeAutospacing="0" w:afterLines="80" w:after="192" w:afterAutospacing="0" w:line="259" w:lineRule="auto"/>
        <w:ind w:left="822" w:hanging="198"/>
        <w:contextualSpacing/>
        <w:rPr>
          <w:rFonts w:ascii="Calibri" w:hAnsi="Calibri" w:cs="Calibri"/>
          <w:szCs w:val="20"/>
        </w:rPr>
      </w:pPr>
      <w:r w:rsidRPr="005F79AC">
        <w:rPr>
          <w:rFonts w:ascii="Calibri" w:hAnsi="Calibri" w:cs="Calibri"/>
          <w:b/>
          <w:bCs/>
          <w:szCs w:val="20"/>
        </w:rPr>
        <w:t xml:space="preserve">Perdas Totais </w:t>
      </w:r>
      <w:r w:rsidRPr="004F0615">
        <w:rPr>
          <w:rFonts w:ascii="Calibri" w:hAnsi="Calibri" w:cs="Calibri"/>
          <w:szCs w:val="20"/>
        </w:rPr>
        <w:t>(mosca da fruta e outros fatores)</w:t>
      </w:r>
      <w:r w:rsidRPr="005F79AC">
        <w:rPr>
          <w:rFonts w:ascii="Calibri" w:hAnsi="Calibri" w:cs="Calibri"/>
          <w:b/>
          <w:bCs/>
          <w:szCs w:val="20"/>
        </w:rPr>
        <w:t>:</w:t>
      </w:r>
      <w:r w:rsidRPr="005F79AC">
        <w:rPr>
          <w:rFonts w:ascii="Calibri" w:hAnsi="Calibri" w:cs="Calibri"/>
          <w:szCs w:val="20"/>
        </w:rPr>
        <w:t xml:space="preserve"> superiores a 33%</w:t>
      </w:r>
    </w:p>
    <w:p w14:paraId="44A74D92" w14:textId="6FA938C2" w:rsidR="00367D6F" w:rsidRPr="007C22AF" w:rsidRDefault="00B45E08" w:rsidP="00367D6F">
      <w:r w:rsidRPr="005F79AC">
        <w:t>Estes pressupostos permitem contextualizar os resultados apresentados nos gráficos</w:t>
      </w:r>
      <w:r w:rsidR="00BB770D" w:rsidRPr="005F79AC">
        <w:t xml:space="preserve"> e constitui a base de cálculos para a analise económica do estudo.</w:t>
      </w:r>
    </w:p>
    <w:p w14:paraId="0F21C17A" w14:textId="77777777" w:rsidR="0010043B" w:rsidRPr="006F7AE6" w:rsidRDefault="00037AAC" w:rsidP="006F7AE6">
      <w:pPr>
        <w:rPr>
          <w:b/>
          <w:bCs/>
        </w:rPr>
      </w:pPr>
      <w:r w:rsidRPr="006F7AE6">
        <w:rPr>
          <w:b/>
          <w:bCs/>
        </w:rPr>
        <w:t>Distribuição geográfica da produção</w:t>
      </w:r>
    </w:p>
    <w:p w14:paraId="64938A49" w14:textId="49F36369" w:rsidR="00367D6F" w:rsidRPr="007C22AF" w:rsidRDefault="00037AAC" w:rsidP="00FC4E37">
      <w:r w:rsidRPr="006F7AE6">
        <w:t xml:space="preserve">Embora a mangueira seja cultivada em praticamente todo o território nacional, a produção apresenta </w:t>
      </w:r>
      <w:r w:rsidRPr="007C22AF">
        <w:t xml:space="preserve">maior concentração em três regiões-chave: Cacheu, Oio e Bafatá. </w:t>
      </w:r>
      <w:r w:rsidRPr="006F7AE6">
        <w:t>Estas zonas destacam-se tanto pela extensão dos pomares como pela tradição agrícola local e condições edafoclimáticas favoráveis à cultura da manga.</w:t>
      </w:r>
    </w:p>
    <w:p w14:paraId="2AFE786B" w14:textId="77777777" w:rsidR="00037AAC" w:rsidRPr="006F7AE6" w:rsidRDefault="00037AAC" w:rsidP="006F7AE6">
      <w:pPr>
        <w:rPr>
          <w:b/>
          <w:bCs/>
        </w:rPr>
      </w:pPr>
      <w:r w:rsidRPr="006F7AE6">
        <w:rPr>
          <w:b/>
          <w:bCs/>
        </w:rPr>
        <w:t>Perfil dos produtores</w:t>
      </w:r>
    </w:p>
    <w:p w14:paraId="02F7627E" w14:textId="1939936E" w:rsidR="005B5138" w:rsidRPr="006F7AE6" w:rsidRDefault="00BB770D" w:rsidP="005B5138">
      <w:r w:rsidRPr="006F7AE6">
        <w:t>Para este estudo o perfil dos produtores a considerar sera: - grande, médio, pequeno e familiar. Enquanto os grandes e médios investem em variedades de exportação e práticas mais intensivas, os pequenos e familiares focam-se no consumo interno, com baixa capacidade de inovação e acesso limitado aos mercados internacionais.</w:t>
      </w:r>
    </w:p>
    <w:p w14:paraId="777DC3BB" w14:textId="77777777" w:rsidR="005F0992" w:rsidRPr="006F7AE6" w:rsidRDefault="00F936F4" w:rsidP="006F7AE6">
      <w:pPr>
        <w:rPr>
          <w:b/>
          <w:bCs/>
        </w:rPr>
      </w:pPr>
      <w:r w:rsidRPr="006F7AE6">
        <w:rPr>
          <w:b/>
          <w:bCs/>
        </w:rPr>
        <w:t>Cadeia de Valor e Práticas Técnicas</w:t>
      </w:r>
    </w:p>
    <w:p w14:paraId="732D03C3" w14:textId="0EA48837" w:rsidR="005F0992" w:rsidRPr="007C22AF" w:rsidRDefault="00F936F4" w:rsidP="005B5138">
      <w:r w:rsidRPr="007C22AF">
        <w:t>As etapas da cadeia de valor da manga na Guiné-Bissau abrangem produção, colheita, transporte, comercialização e transformação.</w:t>
      </w:r>
    </w:p>
    <w:p w14:paraId="0C0554C9" w14:textId="77777777" w:rsidR="00BD678D" w:rsidRPr="006F7AE6" w:rsidRDefault="00F936F4" w:rsidP="00DD4B32">
      <w:r w:rsidRPr="006F7AE6">
        <w:t>No que se refere à produção agrícola, os processos técnicos e as práticas adotadas permanecem praticamente inalterados desde o último estudo. A gestão dos pomares é marcada por limitações estruturais e técnicas, centrando-se quase exclusivamente em duas tarefas: limpeza e colheita, realizadas de forma manual. O trabalho depende sobretudo da mão de obra familiar, com recurso pontual a trabalhadores sazonais, contratados por produtores médios e grandes.</w:t>
      </w:r>
    </w:p>
    <w:p w14:paraId="54F097F2" w14:textId="69D520F5" w:rsidR="000E0E62" w:rsidRDefault="00F936F4" w:rsidP="00367D6F">
      <w:pPr>
        <w:rPr>
          <w:rFonts w:eastAsiaTheme="majorEastAsia"/>
          <w:lang w:eastAsia="en-US"/>
        </w:rPr>
      </w:pPr>
      <w:r w:rsidRPr="006F7AE6">
        <w:rPr>
          <w:rFonts w:eastAsiaTheme="majorEastAsia"/>
          <w:lang w:eastAsia="en-US"/>
        </w:rPr>
        <w:t>A colheita não segue um planeamento estruturado, sendo muitas vezes feita de forma improvisada. Para acelerar o amadurecimento e prolongar a conservação, é ainda comum a utilização de carbureto de cálcio, substância considerada perigosa para a saúde humana e para o meio ambiente.</w:t>
      </w:r>
    </w:p>
    <w:p w14:paraId="705B3883" w14:textId="77777777" w:rsidR="00526A6E" w:rsidRPr="006F7AE6" w:rsidRDefault="00526A6E" w:rsidP="00367D6F"/>
    <w:p w14:paraId="733D9A70" w14:textId="09D61DF7" w:rsidR="006072D0" w:rsidRPr="006F7AE6" w:rsidRDefault="00F936F4" w:rsidP="006F7AE6">
      <w:pPr>
        <w:rPr>
          <w:b/>
          <w:bCs/>
        </w:rPr>
      </w:pPr>
      <w:r w:rsidRPr="006F7AE6">
        <w:rPr>
          <w:rFonts w:eastAsia="Times New Roman"/>
          <w:b/>
          <w:bCs/>
        </w:rPr>
        <w:t>Fitossanidade e Principais Desafios</w:t>
      </w:r>
    </w:p>
    <w:p w14:paraId="2D536886" w14:textId="305E3796" w:rsidR="000E0E62" w:rsidRPr="00315C08" w:rsidRDefault="00F936F4" w:rsidP="006F7AE6">
      <w:r w:rsidRPr="006F7AE6">
        <w:t>No campo fitossanitário, a situação tem-se agravado desde 201</w:t>
      </w:r>
      <w:r w:rsidR="006072D0" w:rsidRPr="006F7AE6">
        <w:t>7</w:t>
      </w:r>
      <w:r w:rsidRPr="006F7AE6">
        <w:t xml:space="preserve">. </w:t>
      </w:r>
      <w:r w:rsidR="006072D0" w:rsidRPr="006F7AE6">
        <w:t>As práticas de controlo continuam frágeis e pouco estruturadas, dependendo quase exclusivamente de intervenções ocasionais de projetos externos. Predominam métodos artesanais de eficácia limitada, com uso esporádico de armadilhas e alguns produtos químicos. O Malatrap é pontualmente utilizado, mas cresce a recomendação técnica para a adoção de alternativas mais seguras e sustentáveis, como o Spinosad ou a Azadirachtina, que apresentam menor risco para a saúde humana, para a biodiversidade e para o meio ambiente.</w:t>
      </w:r>
    </w:p>
    <w:p w14:paraId="1694DB07" w14:textId="40ACC73D" w:rsidR="005C5265" w:rsidRPr="006F7AE6" w:rsidRDefault="005C5265" w:rsidP="00DD4B32">
      <w:pPr>
        <w:rPr>
          <w:b/>
          <w:bCs/>
        </w:rPr>
      </w:pPr>
      <w:r w:rsidRPr="006F7AE6">
        <w:rPr>
          <w:b/>
          <w:bCs/>
        </w:rPr>
        <w:t>Logística e Infraestruturas</w:t>
      </w:r>
    </w:p>
    <w:p w14:paraId="031A9674" w14:textId="3B8F696A" w:rsidR="005C5265" w:rsidRPr="00315C08" w:rsidRDefault="005C5265" w:rsidP="00367D6F">
      <w:r w:rsidRPr="006F7AE6">
        <w:t xml:space="preserve">A cadeia de valor da manga depende fortemente da </w:t>
      </w:r>
      <w:r w:rsidRPr="00315C08">
        <w:t>qualidade das vias de comunicação. O estado das estradas nas três regiões estudadas — especialmente em Oio — agravou-se em relação à situação registada no estudo de 2018, dificultando ainda mais o escoamento da produção.</w:t>
      </w:r>
    </w:p>
    <w:p w14:paraId="655836E2" w14:textId="77777777" w:rsidR="005C5265" w:rsidRPr="00315C08" w:rsidRDefault="005C5265" w:rsidP="00367D6F">
      <w:r w:rsidRPr="00315C08">
        <w:t>As estradas encontram-se, em geral, em más condições e os sistemas de transporte são informais e precários. O transporte da manga para os mercados é feito sobretudo em veículos de passageiros adaptados, dada a inexistência de frotas e meios logísticos adequados ao transporte de carga agrícola.</w:t>
      </w:r>
    </w:p>
    <w:p w14:paraId="4E3A84F4" w14:textId="29875481" w:rsidR="005C5265" w:rsidRPr="006F7AE6" w:rsidRDefault="005C5265" w:rsidP="00367D6F">
      <w:r w:rsidRPr="00315C08">
        <w:t>Além disso, observa-se a ausência de infraestruturas essenciais de conservação, como câmaras frigoríficas e armazéns apropriados, o que compromete a qualidade do produto e aumenta significativamente as perdas pós-colheita. O transporte inadequado é frequentemente apontado como um dos principais fatores de impacto ambiental e de ineficiência dentro da cadeia de valor.</w:t>
      </w:r>
    </w:p>
    <w:p w14:paraId="360B5783" w14:textId="77777777" w:rsidR="005C5265" w:rsidRPr="006F7AE6" w:rsidRDefault="005C5265" w:rsidP="006F7AE6">
      <w:pPr>
        <w:rPr>
          <w:b/>
          <w:bCs/>
        </w:rPr>
      </w:pPr>
      <w:r w:rsidRPr="006F7AE6">
        <w:rPr>
          <w:b/>
          <w:bCs/>
        </w:rPr>
        <w:lastRenderedPageBreak/>
        <w:t>Transformação Agroindustrial</w:t>
      </w:r>
    </w:p>
    <w:p w14:paraId="7EB3129D" w14:textId="77777777" w:rsidR="005C5265" w:rsidRPr="006F7AE6" w:rsidRDefault="005C5265" w:rsidP="00367D6F">
      <w:r w:rsidRPr="00315C08">
        <w:t>Uma evolução recente no setor da manga na Guiné-Bissau é o surgimento da transformação agroindustrial, antes inexistente. Esta atividade é realizada principalmente por organizações de mulheres e algumas microempresas locais, que utilizam sobretudo variedades locais para a produção de sumos e compotas</w:t>
      </w:r>
      <w:r w:rsidRPr="006F7AE6">
        <w:t>.</w:t>
      </w:r>
    </w:p>
    <w:p w14:paraId="6AA7149E" w14:textId="15294F44" w:rsidR="006E474A" w:rsidRPr="00315C08" w:rsidRDefault="005C5265" w:rsidP="00367D6F">
      <w:r w:rsidRPr="00315C08">
        <w:t>No entanto, a transformação ainda se encontra em fase inicial e experimental, caracterizada por volumes reduzidos e forte limitação técnica. A carência de conhecimento sobre estrutura de custos, estratégias de mercado e canais de distribuição constitui um entrave importante, restringindo o potencial de crescimento e a sustentabilidade destas iniciativas.</w:t>
      </w:r>
    </w:p>
    <w:p w14:paraId="68A7DA30" w14:textId="0227D4CF" w:rsidR="006E474A" w:rsidRPr="006F7AE6" w:rsidRDefault="008D3D04" w:rsidP="00E042D7">
      <w:pPr>
        <w:pStyle w:val="Heading3"/>
        <w:numPr>
          <w:ilvl w:val="2"/>
          <w:numId w:val="34"/>
        </w:numPr>
      </w:pPr>
      <w:bookmarkStart w:id="53" w:name="_Toc204704313"/>
      <w:bookmarkStart w:id="54" w:name="_Toc220507505"/>
      <w:r w:rsidRPr="006F7AE6">
        <w:t>Comercialização</w:t>
      </w:r>
      <w:bookmarkEnd w:id="53"/>
      <w:bookmarkEnd w:id="54"/>
    </w:p>
    <w:p w14:paraId="1B07FB3A" w14:textId="23917578" w:rsidR="00222F4C" w:rsidRPr="00DD4B32" w:rsidRDefault="00902EC2" w:rsidP="00DD4B32">
      <w:pPr>
        <w:rPr>
          <w:b/>
          <w:bCs/>
        </w:rPr>
      </w:pPr>
      <w:r w:rsidRPr="006F7AE6">
        <w:rPr>
          <w:b/>
          <w:bCs/>
        </w:rPr>
        <w:t>Estrutura de Comercialização da Manga na Guiné-Bissau</w:t>
      </w:r>
    </w:p>
    <w:p w14:paraId="4CBBFE08" w14:textId="5FF37CCF" w:rsidR="00902EC2" w:rsidRPr="00315C08" w:rsidRDefault="00902EC2" w:rsidP="006F7AE6">
      <w:r w:rsidRPr="00315C08">
        <w:t>A comercialização da manga permanece inalterada em relação ao estudo anterior (2017), mantendo-se fortemente dependente de circuitos informais. A produção destina-se a três canais principais:</w:t>
      </w:r>
    </w:p>
    <w:p w14:paraId="630D57EA" w14:textId="77777777" w:rsidR="00902EC2" w:rsidRPr="006F7AE6" w:rsidRDefault="00902EC2" w:rsidP="00E042D7">
      <w:pPr>
        <w:numPr>
          <w:ilvl w:val="0"/>
          <w:numId w:val="50"/>
        </w:numPr>
        <w:contextualSpacing/>
        <w:rPr>
          <w:rFonts w:cs="Calibri"/>
          <w:szCs w:val="20"/>
        </w:rPr>
      </w:pPr>
      <w:r w:rsidRPr="006F7AE6">
        <w:rPr>
          <w:rFonts w:cs="Calibri"/>
          <w:b/>
          <w:bCs/>
          <w:szCs w:val="20"/>
        </w:rPr>
        <w:t>Autoconsumo</w:t>
      </w:r>
      <w:r w:rsidRPr="006F7AE6">
        <w:rPr>
          <w:rFonts w:cs="Calibri"/>
          <w:szCs w:val="20"/>
        </w:rPr>
        <w:t>: sobretudo em explorações familiares;</w:t>
      </w:r>
    </w:p>
    <w:p w14:paraId="11F29223" w14:textId="77777777" w:rsidR="00902EC2" w:rsidRPr="006F7AE6" w:rsidRDefault="00902EC2" w:rsidP="00E042D7">
      <w:pPr>
        <w:numPr>
          <w:ilvl w:val="0"/>
          <w:numId w:val="50"/>
        </w:numPr>
        <w:contextualSpacing/>
        <w:rPr>
          <w:rFonts w:cs="Calibri"/>
          <w:szCs w:val="20"/>
        </w:rPr>
      </w:pPr>
      <w:r w:rsidRPr="006F7AE6">
        <w:rPr>
          <w:rFonts w:cs="Calibri"/>
          <w:b/>
          <w:bCs/>
          <w:szCs w:val="20"/>
        </w:rPr>
        <w:t>Mercado interno em fresco</w:t>
      </w:r>
      <w:r w:rsidRPr="006F7AE6">
        <w:rPr>
          <w:rFonts w:cs="Calibri"/>
          <w:szCs w:val="20"/>
        </w:rPr>
        <w:t>: principal destino, através de mercados locais (lumos), feiras rurais e Bissau;</w:t>
      </w:r>
    </w:p>
    <w:p w14:paraId="3913AF52" w14:textId="43BF8120" w:rsidR="00902EC2" w:rsidRDefault="00902EC2" w:rsidP="00E042D7">
      <w:pPr>
        <w:numPr>
          <w:ilvl w:val="0"/>
          <w:numId w:val="50"/>
        </w:numPr>
        <w:contextualSpacing/>
        <w:rPr>
          <w:rFonts w:cs="Calibri"/>
          <w:szCs w:val="20"/>
        </w:rPr>
      </w:pPr>
      <w:r w:rsidRPr="006F7AE6">
        <w:rPr>
          <w:rFonts w:cs="Calibri"/>
          <w:b/>
          <w:bCs/>
          <w:szCs w:val="20"/>
        </w:rPr>
        <w:t>Microtransformação e exportação informal residual</w:t>
      </w:r>
      <w:r w:rsidRPr="006F7AE6">
        <w:rPr>
          <w:rFonts w:cs="Calibri"/>
          <w:szCs w:val="20"/>
        </w:rPr>
        <w:t>: em quantidades reduzidas.</w:t>
      </w:r>
    </w:p>
    <w:p w14:paraId="5F8838F5" w14:textId="77777777" w:rsidR="00315C08" w:rsidRPr="00315C08" w:rsidRDefault="00315C08" w:rsidP="00315C08">
      <w:pPr>
        <w:ind w:left="822"/>
        <w:contextualSpacing/>
        <w:rPr>
          <w:rFonts w:cs="Calibri"/>
          <w:szCs w:val="20"/>
        </w:rPr>
      </w:pPr>
    </w:p>
    <w:p w14:paraId="4339C218" w14:textId="1B505E09" w:rsidR="00902EC2" w:rsidRPr="006F7AE6" w:rsidRDefault="00902EC2" w:rsidP="006F7AE6">
      <w:pPr>
        <w:rPr>
          <w:b/>
          <w:bCs/>
        </w:rPr>
      </w:pPr>
      <w:r w:rsidRPr="006F7AE6">
        <w:rPr>
          <w:b/>
          <w:bCs/>
        </w:rPr>
        <w:t>Principais Atores da Fileira</w:t>
      </w:r>
    </w:p>
    <w:p w14:paraId="19D7DC60" w14:textId="77777777" w:rsidR="00902EC2" w:rsidRPr="006F7AE6" w:rsidRDefault="00902EC2" w:rsidP="00E042D7">
      <w:pPr>
        <w:numPr>
          <w:ilvl w:val="0"/>
          <w:numId w:val="51"/>
        </w:numPr>
        <w:contextualSpacing/>
        <w:rPr>
          <w:rFonts w:cs="Calibri"/>
          <w:szCs w:val="20"/>
        </w:rPr>
      </w:pPr>
      <w:r w:rsidRPr="006F7AE6">
        <w:rPr>
          <w:rFonts w:cs="Calibri"/>
          <w:b/>
          <w:bCs/>
          <w:szCs w:val="20"/>
        </w:rPr>
        <w:t>Produtores</w:t>
      </w:r>
      <w:r w:rsidRPr="006F7AE6">
        <w:rPr>
          <w:rFonts w:cs="Calibri"/>
          <w:szCs w:val="20"/>
        </w:rPr>
        <w:t>: vendem parte da produção diretamente, garantindo liquidez imediata.</w:t>
      </w:r>
    </w:p>
    <w:p w14:paraId="092E178F" w14:textId="77777777" w:rsidR="00902EC2" w:rsidRPr="006F7AE6" w:rsidRDefault="00902EC2" w:rsidP="00E042D7">
      <w:pPr>
        <w:numPr>
          <w:ilvl w:val="0"/>
          <w:numId w:val="51"/>
        </w:numPr>
        <w:contextualSpacing/>
        <w:rPr>
          <w:rFonts w:cs="Calibri"/>
          <w:szCs w:val="20"/>
        </w:rPr>
      </w:pPr>
      <w:r w:rsidRPr="006F7AE6">
        <w:rPr>
          <w:rFonts w:cs="Calibri"/>
          <w:b/>
          <w:bCs/>
          <w:szCs w:val="20"/>
        </w:rPr>
        <w:t>Bideiras</w:t>
      </w:r>
      <w:r w:rsidRPr="006F7AE6">
        <w:rPr>
          <w:rFonts w:cs="Calibri"/>
          <w:szCs w:val="20"/>
        </w:rPr>
        <w:t>: mulheres que atuam como grossistas (compra direta nos pomares) e retalhistas (revenda nos mercados).</w:t>
      </w:r>
    </w:p>
    <w:p w14:paraId="484A83C5" w14:textId="77777777" w:rsidR="00902EC2" w:rsidRPr="006F7AE6" w:rsidRDefault="00902EC2" w:rsidP="00E042D7">
      <w:pPr>
        <w:numPr>
          <w:ilvl w:val="0"/>
          <w:numId w:val="51"/>
        </w:numPr>
        <w:contextualSpacing/>
        <w:rPr>
          <w:rFonts w:cs="Calibri"/>
          <w:szCs w:val="20"/>
        </w:rPr>
      </w:pPr>
      <w:r w:rsidRPr="006F7AE6">
        <w:rPr>
          <w:rFonts w:cs="Calibri"/>
          <w:b/>
          <w:bCs/>
          <w:szCs w:val="20"/>
        </w:rPr>
        <w:t>Transportadores</w:t>
      </w:r>
      <w:r w:rsidRPr="006F7AE6">
        <w:rPr>
          <w:rFonts w:cs="Calibri"/>
          <w:szCs w:val="20"/>
        </w:rPr>
        <w:t>: responsáveis pelo escoamento, recorrendo a transportes públicos precários (táxis, triciclos, motorizadas e carrinhas de mão).</w:t>
      </w:r>
    </w:p>
    <w:p w14:paraId="469D9B05" w14:textId="08F3FCDE" w:rsidR="00315C08" w:rsidRPr="00526A6E" w:rsidRDefault="00902EC2" w:rsidP="00E042D7">
      <w:pPr>
        <w:numPr>
          <w:ilvl w:val="0"/>
          <w:numId w:val="51"/>
        </w:numPr>
        <w:contextualSpacing/>
        <w:rPr>
          <w:rFonts w:cs="Calibri"/>
          <w:szCs w:val="20"/>
        </w:rPr>
      </w:pPr>
      <w:r w:rsidRPr="006F7AE6">
        <w:rPr>
          <w:rFonts w:cs="Calibri"/>
          <w:b/>
          <w:bCs/>
          <w:szCs w:val="20"/>
        </w:rPr>
        <w:t>Microtransformadores</w:t>
      </w:r>
      <w:r w:rsidRPr="006F7AE6">
        <w:rPr>
          <w:rFonts w:cs="Calibri"/>
          <w:szCs w:val="20"/>
        </w:rPr>
        <w:t>: sobretudo mulheres, em associações ou de forma individual, que compram manga fresca nos mercados ou aos produtores para transformar artesanalmente em sumos, polpas, compotas e outros derivados, destinados ao consumo local.</w:t>
      </w:r>
    </w:p>
    <w:p w14:paraId="5DE485AC" w14:textId="098EFAEA" w:rsidR="00902EC2" w:rsidRPr="006F7AE6" w:rsidRDefault="00902EC2" w:rsidP="00DD4B32">
      <w:pPr>
        <w:rPr>
          <w:b/>
          <w:bCs/>
        </w:rPr>
      </w:pPr>
      <w:r w:rsidRPr="006F7AE6">
        <w:rPr>
          <w:b/>
          <w:bCs/>
        </w:rPr>
        <w:t>Tipos de Mercados</w:t>
      </w:r>
    </w:p>
    <w:p w14:paraId="623338A3" w14:textId="77777777" w:rsidR="00902EC2" w:rsidRPr="006F7AE6" w:rsidRDefault="00902EC2" w:rsidP="006F7AE6">
      <w:pPr>
        <w:ind w:left="624"/>
        <w:contextualSpacing/>
        <w:rPr>
          <w:rFonts w:cs="Calibri"/>
          <w:szCs w:val="20"/>
        </w:rPr>
      </w:pPr>
      <w:r w:rsidRPr="006F7AE6">
        <w:rPr>
          <w:rFonts w:cs="Calibri"/>
          <w:b/>
          <w:bCs/>
          <w:szCs w:val="20"/>
        </w:rPr>
        <w:t>Mercados Locais (Lumos)</w:t>
      </w:r>
    </w:p>
    <w:p w14:paraId="62109E3A" w14:textId="77777777" w:rsidR="00902EC2" w:rsidRPr="006F7AE6" w:rsidRDefault="00902EC2" w:rsidP="00E042D7">
      <w:pPr>
        <w:numPr>
          <w:ilvl w:val="0"/>
          <w:numId w:val="52"/>
        </w:numPr>
        <w:contextualSpacing/>
        <w:rPr>
          <w:rFonts w:cs="Calibri"/>
          <w:szCs w:val="20"/>
        </w:rPr>
      </w:pPr>
      <w:r w:rsidRPr="006F7AE6">
        <w:rPr>
          <w:rFonts w:cs="Calibri"/>
          <w:szCs w:val="20"/>
        </w:rPr>
        <w:t>Principais espaços de comercialização nas regiões produtoras de Cacheu, Oio e Bafatá.</w:t>
      </w:r>
    </w:p>
    <w:p w14:paraId="32930F2E" w14:textId="77777777" w:rsidR="00902EC2" w:rsidRPr="006F7AE6" w:rsidRDefault="00902EC2" w:rsidP="00E042D7">
      <w:pPr>
        <w:numPr>
          <w:ilvl w:val="0"/>
          <w:numId w:val="52"/>
        </w:numPr>
        <w:contextualSpacing/>
        <w:rPr>
          <w:rFonts w:cs="Calibri"/>
          <w:szCs w:val="20"/>
        </w:rPr>
      </w:pPr>
      <w:r w:rsidRPr="006F7AE6">
        <w:rPr>
          <w:rFonts w:cs="Calibri"/>
          <w:szCs w:val="20"/>
        </w:rPr>
        <w:t>Produtores vendem diretamente ou por meio de bideiras.</w:t>
      </w:r>
    </w:p>
    <w:p w14:paraId="79BEFA5C" w14:textId="35C2F9C2" w:rsidR="00222F4C" w:rsidRDefault="00902EC2" w:rsidP="00E042D7">
      <w:pPr>
        <w:numPr>
          <w:ilvl w:val="0"/>
          <w:numId w:val="52"/>
        </w:numPr>
        <w:contextualSpacing/>
        <w:rPr>
          <w:rFonts w:cs="Calibri"/>
          <w:szCs w:val="20"/>
        </w:rPr>
      </w:pPr>
      <w:r w:rsidRPr="006F7AE6">
        <w:rPr>
          <w:rFonts w:cs="Calibri"/>
          <w:szCs w:val="20"/>
        </w:rPr>
        <w:t>Forte dinâmica comunitária, mas ausência de padronização e registo estatístico.</w:t>
      </w:r>
    </w:p>
    <w:p w14:paraId="1F29CA6A" w14:textId="77777777" w:rsidR="00315C08" w:rsidRPr="00315C08" w:rsidRDefault="00315C08" w:rsidP="00315C08">
      <w:pPr>
        <w:ind w:left="1134"/>
        <w:contextualSpacing/>
        <w:rPr>
          <w:rFonts w:cs="Calibri"/>
          <w:szCs w:val="20"/>
        </w:rPr>
      </w:pPr>
    </w:p>
    <w:p w14:paraId="4FBB8A11" w14:textId="007DEB78" w:rsidR="00902EC2" w:rsidRPr="006F7AE6" w:rsidRDefault="00902EC2" w:rsidP="006F7AE6">
      <w:pPr>
        <w:ind w:left="624"/>
        <w:contextualSpacing/>
        <w:rPr>
          <w:rFonts w:cs="Calibri"/>
          <w:szCs w:val="20"/>
        </w:rPr>
      </w:pPr>
      <w:r w:rsidRPr="006F7AE6">
        <w:rPr>
          <w:rFonts w:cs="Calibri"/>
          <w:b/>
          <w:bCs/>
          <w:szCs w:val="20"/>
        </w:rPr>
        <w:t>Mercado de Bissau</w:t>
      </w:r>
    </w:p>
    <w:p w14:paraId="68AC9CFE" w14:textId="77777777" w:rsidR="00902EC2" w:rsidRPr="006F7AE6" w:rsidRDefault="00902EC2" w:rsidP="00E042D7">
      <w:pPr>
        <w:numPr>
          <w:ilvl w:val="0"/>
          <w:numId w:val="53"/>
        </w:numPr>
        <w:contextualSpacing/>
        <w:rPr>
          <w:rFonts w:cs="Calibri"/>
          <w:szCs w:val="20"/>
        </w:rPr>
      </w:pPr>
      <w:r w:rsidRPr="006F7AE6">
        <w:rPr>
          <w:rFonts w:cs="Calibri"/>
          <w:szCs w:val="20"/>
        </w:rPr>
        <w:t>Principal centro de consumo e redistribuição.</w:t>
      </w:r>
    </w:p>
    <w:p w14:paraId="410FAEEA" w14:textId="77777777" w:rsidR="00902EC2" w:rsidRPr="006F7AE6" w:rsidRDefault="00902EC2" w:rsidP="00E042D7">
      <w:pPr>
        <w:numPr>
          <w:ilvl w:val="0"/>
          <w:numId w:val="53"/>
        </w:numPr>
        <w:contextualSpacing/>
        <w:rPr>
          <w:rFonts w:cs="Calibri"/>
          <w:szCs w:val="20"/>
        </w:rPr>
      </w:pPr>
      <w:r w:rsidRPr="006F7AE6">
        <w:rPr>
          <w:rFonts w:cs="Calibri"/>
          <w:szCs w:val="20"/>
        </w:rPr>
        <w:t>Abastecido sobretudo por revendedoras grossistas que transportam do interior.</w:t>
      </w:r>
    </w:p>
    <w:p w14:paraId="11B61D67" w14:textId="77777777" w:rsidR="00902EC2" w:rsidRPr="006F7AE6" w:rsidRDefault="00902EC2" w:rsidP="00E042D7">
      <w:pPr>
        <w:numPr>
          <w:ilvl w:val="0"/>
          <w:numId w:val="53"/>
        </w:numPr>
        <w:contextualSpacing/>
        <w:rPr>
          <w:rFonts w:cs="Calibri"/>
          <w:szCs w:val="20"/>
        </w:rPr>
      </w:pPr>
      <w:r w:rsidRPr="006F7AE6">
        <w:rPr>
          <w:rFonts w:cs="Calibri"/>
          <w:szCs w:val="20"/>
        </w:rPr>
        <w:t>Comercialização em grande escala (revenda) e a retalho, com destaque para o Mercado do Bandim.</w:t>
      </w:r>
    </w:p>
    <w:p w14:paraId="1292BC75" w14:textId="77777777" w:rsidR="00902EC2" w:rsidRPr="006F7AE6" w:rsidRDefault="00902EC2" w:rsidP="00E042D7">
      <w:pPr>
        <w:numPr>
          <w:ilvl w:val="0"/>
          <w:numId w:val="53"/>
        </w:numPr>
        <w:contextualSpacing/>
        <w:rPr>
          <w:rFonts w:cs="Calibri"/>
          <w:szCs w:val="20"/>
        </w:rPr>
      </w:pPr>
      <w:r w:rsidRPr="006F7AE6">
        <w:rPr>
          <w:rFonts w:cs="Calibri"/>
          <w:szCs w:val="20"/>
        </w:rPr>
        <w:t>Forte predominância da informalidade e baixa padronização da oferta.</w:t>
      </w:r>
    </w:p>
    <w:p w14:paraId="763549AD" w14:textId="77777777" w:rsidR="00222F4C" w:rsidRPr="005F79AC" w:rsidRDefault="00222F4C" w:rsidP="007204F2"/>
    <w:p w14:paraId="1F89FE83" w14:textId="329AC2F0" w:rsidR="00902EC2" w:rsidRPr="006F7AE6" w:rsidRDefault="00902EC2" w:rsidP="006F7AE6">
      <w:pPr>
        <w:rPr>
          <w:b/>
          <w:bCs/>
        </w:rPr>
      </w:pPr>
      <w:r w:rsidRPr="006F7AE6">
        <w:rPr>
          <w:b/>
          <w:bCs/>
        </w:rPr>
        <w:t>Exportação Informal</w:t>
      </w:r>
    </w:p>
    <w:p w14:paraId="6D35B433" w14:textId="77777777" w:rsidR="00902EC2" w:rsidRPr="006F7AE6" w:rsidRDefault="00902EC2" w:rsidP="006F7AE6">
      <w:r w:rsidRPr="006F7AE6">
        <w:t>Apesar do potencial exportador, a exportação para o Senegal reduziu-se significativamente nos últimos anos. As operações atuais apresentam:</w:t>
      </w:r>
    </w:p>
    <w:p w14:paraId="404F0655" w14:textId="77777777" w:rsidR="00902EC2" w:rsidRPr="006F7AE6" w:rsidRDefault="00902EC2" w:rsidP="00E042D7">
      <w:pPr>
        <w:numPr>
          <w:ilvl w:val="0"/>
          <w:numId w:val="54"/>
        </w:numPr>
        <w:contextualSpacing/>
        <w:rPr>
          <w:rFonts w:cs="Calibri"/>
          <w:szCs w:val="20"/>
        </w:rPr>
      </w:pPr>
      <w:r w:rsidRPr="006F7AE6">
        <w:rPr>
          <w:rFonts w:cs="Calibri"/>
          <w:szCs w:val="20"/>
        </w:rPr>
        <w:t>Transporte em camiões de grande porte através das fronteiras do norte;</w:t>
      </w:r>
    </w:p>
    <w:p w14:paraId="32B2C3D2" w14:textId="22208D87" w:rsidR="00902EC2" w:rsidRPr="006F7AE6" w:rsidRDefault="00902EC2" w:rsidP="00E042D7">
      <w:pPr>
        <w:numPr>
          <w:ilvl w:val="0"/>
          <w:numId w:val="54"/>
        </w:numPr>
        <w:contextualSpacing/>
        <w:rPr>
          <w:rFonts w:cs="Calibri"/>
          <w:szCs w:val="20"/>
        </w:rPr>
      </w:pPr>
      <w:r w:rsidRPr="006F7AE6">
        <w:rPr>
          <w:rFonts w:cs="Calibri"/>
          <w:szCs w:val="20"/>
        </w:rPr>
        <w:t xml:space="preserve">Volumes não contabilizados oficialmente, </w:t>
      </w:r>
      <w:r w:rsidR="000B289F" w:rsidRPr="006F7AE6">
        <w:rPr>
          <w:rFonts w:cs="Calibri"/>
          <w:szCs w:val="20"/>
        </w:rPr>
        <w:t>organizados</w:t>
      </w:r>
      <w:r w:rsidRPr="006F7AE6">
        <w:rPr>
          <w:rFonts w:cs="Calibri"/>
          <w:szCs w:val="20"/>
        </w:rPr>
        <w:t xml:space="preserve"> </w:t>
      </w:r>
      <w:r w:rsidR="000B289F" w:rsidRPr="006F7AE6">
        <w:rPr>
          <w:rFonts w:cs="Calibri"/>
          <w:szCs w:val="20"/>
        </w:rPr>
        <w:t>por</w:t>
      </w:r>
      <w:r w:rsidRPr="006F7AE6">
        <w:rPr>
          <w:rFonts w:cs="Calibri"/>
          <w:szCs w:val="20"/>
        </w:rPr>
        <w:t xml:space="preserve"> grandes </w:t>
      </w:r>
      <w:r w:rsidR="00037998" w:rsidRPr="006F7AE6">
        <w:rPr>
          <w:rFonts w:cs="Calibri"/>
          <w:szCs w:val="20"/>
        </w:rPr>
        <w:t>produtores e</w:t>
      </w:r>
      <w:r w:rsidR="000B289F" w:rsidRPr="006F7AE6">
        <w:rPr>
          <w:rFonts w:cs="Calibri"/>
          <w:szCs w:val="20"/>
        </w:rPr>
        <w:t xml:space="preserve"> </w:t>
      </w:r>
      <w:r w:rsidRPr="006F7AE6">
        <w:rPr>
          <w:rFonts w:cs="Calibri"/>
          <w:szCs w:val="20"/>
        </w:rPr>
        <w:t>intermediários;</w:t>
      </w:r>
    </w:p>
    <w:p w14:paraId="0F0F1A12" w14:textId="77777777" w:rsidR="00902EC2" w:rsidRPr="006F7AE6" w:rsidRDefault="00902EC2" w:rsidP="00E042D7">
      <w:pPr>
        <w:numPr>
          <w:ilvl w:val="0"/>
          <w:numId w:val="54"/>
        </w:numPr>
        <w:contextualSpacing/>
        <w:rPr>
          <w:rFonts w:cs="Calibri"/>
          <w:szCs w:val="20"/>
        </w:rPr>
      </w:pPr>
      <w:r w:rsidRPr="006F7AE6">
        <w:rPr>
          <w:rFonts w:cs="Calibri"/>
          <w:szCs w:val="20"/>
        </w:rPr>
        <w:t>Barreiras alfandegárias crescentes, ausência de certificações fitossanitárias e inexistência de infraestruturas de frio;</w:t>
      </w:r>
    </w:p>
    <w:p w14:paraId="7165D01F" w14:textId="01720C78" w:rsidR="007204F2" w:rsidRPr="00EC4101" w:rsidRDefault="00902EC2" w:rsidP="00E042D7">
      <w:pPr>
        <w:numPr>
          <w:ilvl w:val="0"/>
          <w:numId w:val="54"/>
        </w:numPr>
        <w:contextualSpacing/>
        <w:rPr>
          <w:rFonts w:cs="Calibri"/>
          <w:szCs w:val="20"/>
        </w:rPr>
      </w:pPr>
      <w:r w:rsidRPr="006F7AE6">
        <w:rPr>
          <w:rFonts w:cs="Calibri"/>
          <w:szCs w:val="20"/>
        </w:rPr>
        <w:lastRenderedPageBreak/>
        <w:t>Inexistência de sistemas de rastreabilidade e de acordos formais de comércio transfronteiriço para o setor hortofrutícola.</w:t>
      </w:r>
    </w:p>
    <w:p w14:paraId="2C665660" w14:textId="77777777" w:rsidR="006E474A" w:rsidRPr="006F7AE6" w:rsidRDefault="006E474A" w:rsidP="006F7AE6">
      <w:pPr>
        <w:spacing w:after="0" w:line="240" w:lineRule="auto"/>
        <w:rPr>
          <w:rFonts w:cs="Calibri"/>
          <w:sz w:val="6"/>
          <w:szCs w:val="6"/>
        </w:rPr>
      </w:pPr>
    </w:p>
    <w:p w14:paraId="6D0C70D2" w14:textId="7C27B02F" w:rsidR="006E474A" w:rsidRPr="006F7AE6" w:rsidRDefault="008D3D04" w:rsidP="00E042D7">
      <w:pPr>
        <w:pStyle w:val="Heading3"/>
        <w:numPr>
          <w:ilvl w:val="2"/>
          <w:numId w:val="34"/>
        </w:numPr>
      </w:pPr>
      <w:bookmarkStart w:id="55" w:name="_Toc204704314"/>
      <w:bookmarkStart w:id="56" w:name="_Toc220507506"/>
      <w:r w:rsidRPr="006F7AE6">
        <w:t>Transformação agroindustrial</w:t>
      </w:r>
      <w:bookmarkEnd w:id="55"/>
      <w:bookmarkEnd w:id="56"/>
      <w:r w:rsidRPr="006F7AE6">
        <w:t xml:space="preserve"> </w:t>
      </w:r>
    </w:p>
    <w:p w14:paraId="691941F8" w14:textId="77777777" w:rsidR="00BD678D" w:rsidRPr="006F7AE6" w:rsidRDefault="0034568C" w:rsidP="006F7AE6">
      <w:pPr>
        <w:rPr>
          <w:b/>
          <w:bCs/>
        </w:rPr>
      </w:pPr>
      <w:r w:rsidRPr="006F7AE6">
        <w:rPr>
          <w:b/>
          <w:bCs/>
        </w:rPr>
        <w:t>Transformação da Manga na Guiné-Bissau</w:t>
      </w:r>
    </w:p>
    <w:p w14:paraId="614483A7" w14:textId="441B5F06" w:rsidR="0034568C" w:rsidRPr="008153C1" w:rsidRDefault="0034568C" w:rsidP="006F7AE6">
      <w:r w:rsidRPr="008153C1">
        <w:t xml:space="preserve">A transformação da manga permanece incipiente e de pequena escala, conduzida sobretudo por grupos de mulheres organizadas informalmente e por algumas organizações da sociedade civil (ex.: AMÃE, DAMAIA e APRODEL). Os produtos resultantes incluem principalmente sumo de manga, seguido de polpa, licor, compotas (com baixa aceitação), bolo seco artesanal (100–150 kg/ano), </w:t>
      </w:r>
      <w:r w:rsidRPr="008153C1">
        <w:rPr>
          <w:i/>
          <w:iCs/>
        </w:rPr>
        <w:t>chips</w:t>
      </w:r>
      <w:r w:rsidRPr="008153C1">
        <w:t>, saladas e experiências recentes com chocolate aromatizado com manga.</w:t>
      </w:r>
    </w:p>
    <w:p w14:paraId="1C7B9328" w14:textId="77777777" w:rsidR="0034568C" w:rsidRPr="008153C1" w:rsidRDefault="0034568C" w:rsidP="00FB384D">
      <w:r w:rsidRPr="008153C1">
        <w:t>A maioria das atividades ocorre em contextos domésticos ou semi-artesanais, com limitações em escala e qualidade. Não existem linhas de produção contínuas nem certificação sanitária mínima, restringindo o acesso a mercados formais e à exportação.</w:t>
      </w:r>
    </w:p>
    <w:p w14:paraId="6EAEE02B" w14:textId="644E931C" w:rsidR="00E36527" w:rsidRDefault="0034568C" w:rsidP="00E36527">
      <w:r w:rsidRPr="008153C1">
        <w:t>No aprovisionamento, as transformadoras adquirem manga sobretudo em Bissau, comprando a bideiras (revendedoras), dado que carecem de fundo de maneio para se deslocarem até às zonas produtoras. Em algumas ocasiões, recorrem a compras coletivas (groupage), mas esta prática tem sido pouco eficaz, devido à falta de seleção adequada e à logística deficiente, gerando perdas médias de 20–30% da matéria-prima. Entre as variedades utilizadas, destaca-se a manga Serra-Leoa, preferida pelo preço mais acessível.</w:t>
      </w:r>
    </w:p>
    <w:p w14:paraId="706BFCA1" w14:textId="77777777" w:rsidR="002A0E99" w:rsidRDefault="002A0E99" w:rsidP="00E36527">
      <w:pPr>
        <w:rPr>
          <w:b/>
          <w:bCs/>
        </w:rPr>
      </w:pPr>
    </w:p>
    <w:p w14:paraId="7F2F8C55" w14:textId="5AAE6BD7" w:rsidR="0034568C" w:rsidRPr="006F7AE6" w:rsidRDefault="0034568C" w:rsidP="00E36527">
      <w:r w:rsidRPr="006F7AE6">
        <w:rPr>
          <w:b/>
          <w:bCs/>
        </w:rPr>
        <w:t>Perspetivas e Desafios</w:t>
      </w:r>
    </w:p>
    <w:p w14:paraId="5E27890C" w14:textId="77777777" w:rsidR="0034568C" w:rsidRPr="006F7AE6" w:rsidRDefault="0034568C" w:rsidP="006F7AE6">
      <w:r w:rsidRPr="008153C1">
        <w:t>O setor apresenta perspetivas promissoras, mas requer</w:t>
      </w:r>
      <w:r w:rsidRPr="006F7AE6">
        <w:t>:</w:t>
      </w:r>
    </w:p>
    <w:p w14:paraId="1881365B" w14:textId="77777777" w:rsidR="007F522C" w:rsidRPr="008153C1" w:rsidRDefault="0034568C" w:rsidP="00E042D7">
      <w:pPr>
        <w:pStyle w:val="ListParagraph"/>
        <w:numPr>
          <w:ilvl w:val="0"/>
          <w:numId w:val="21"/>
        </w:numPr>
        <w:ind w:left="822" w:hanging="198"/>
      </w:pPr>
      <w:r w:rsidRPr="008153C1">
        <w:t>Profissionalização dos grupos de mulheres transformadoras, com apoio técnico, acesso a equipamentos e fundo de maneio.</w:t>
      </w:r>
    </w:p>
    <w:p w14:paraId="29CEF247" w14:textId="77777777" w:rsidR="007F522C" w:rsidRPr="008153C1" w:rsidRDefault="0034568C" w:rsidP="00E042D7">
      <w:pPr>
        <w:pStyle w:val="ListParagraph"/>
        <w:numPr>
          <w:ilvl w:val="0"/>
          <w:numId w:val="21"/>
        </w:numPr>
        <w:ind w:left="822" w:hanging="198"/>
      </w:pPr>
      <w:r w:rsidRPr="008153C1">
        <w:rPr>
          <w:rFonts w:cs="Calibri"/>
          <w:szCs w:val="20"/>
        </w:rPr>
        <w:t>Criação de unidades móveis de transformação junto às zonas produtoras, reduzindo perdas pós-colheita e dinamizando a economia local.</w:t>
      </w:r>
    </w:p>
    <w:p w14:paraId="050885DF" w14:textId="77777777" w:rsidR="007F522C" w:rsidRPr="008153C1" w:rsidRDefault="0034568C" w:rsidP="00E042D7">
      <w:pPr>
        <w:pStyle w:val="ListParagraph"/>
        <w:numPr>
          <w:ilvl w:val="0"/>
          <w:numId w:val="21"/>
        </w:numPr>
        <w:ind w:left="822" w:hanging="198"/>
      </w:pPr>
      <w:r w:rsidRPr="008153C1">
        <w:rPr>
          <w:rFonts w:cs="Calibri"/>
          <w:szCs w:val="20"/>
        </w:rPr>
        <w:t>Aproveitamento de oportunidades como a adaptação da unidade fabril da empresa MYA para processamento de manga, mediante parcerias estruturadas com produtores locais.</w:t>
      </w:r>
    </w:p>
    <w:p w14:paraId="0B380329" w14:textId="11EB2574" w:rsidR="0034568C" w:rsidRPr="008153C1" w:rsidRDefault="0034568C" w:rsidP="00E042D7">
      <w:pPr>
        <w:pStyle w:val="ListParagraph"/>
        <w:numPr>
          <w:ilvl w:val="0"/>
          <w:numId w:val="21"/>
        </w:numPr>
        <w:ind w:left="822" w:hanging="198"/>
      </w:pPr>
      <w:r w:rsidRPr="008153C1">
        <w:rPr>
          <w:rFonts w:cs="Calibri"/>
          <w:szCs w:val="20"/>
        </w:rPr>
        <w:t>Exploração de nichos de mercado voltados a produtos naturais e biológicos (sumos sem aditivos, manga seca), com potencial de inserção nos mercados urbanos, regionais e internacionais.</w:t>
      </w:r>
    </w:p>
    <w:p w14:paraId="7D668427" w14:textId="4D00CC98" w:rsidR="006E474A" w:rsidRPr="004B6B4A" w:rsidRDefault="008D3D04" w:rsidP="00815270">
      <w:pPr>
        <w:pStyle w:val="Heading2"/>
        <w:rPr>
          <w:rFonts w:eastAsia="Times New Roman" w:cs="Calibri"/>
          <w:szCs w:val="20"/>
        </w:rPr>
      </w:pPr>
      <w:bookmarkStart w:id="57" w:name="_Toc220507507"/>
      <w:r w:rsidRPr="004B6B4A">
        <w:rPr>
          <w:rFonts w:eastAsia="Times New Roman"/>
        </w:rPr>
        <w:t>Estrutura da C</w:t>
      </w:r>
      <w:r w:rsidR="005F1DBA" w:rsidRPr="004B6B4A">
        <w:rPr>
          <w:rFonts w:eastAsia="Times New Roman"/>
        </w:rPr>
        <w:t xml:space="preserve">adeia de </w:t>
      </w:r>
      <w:r w:rsidR="00392230" w:rsidRPr="004B6B4A">
        <w:rPr>
          <w:rFonts w:eastAsia="Times New Roman"/>
        </w:rPr>
        <w:t>Valor e</w:t>
      </w:r>
      <w:r w:rsidRPr="004B6B4A">
        <w:rPr>
          <w:rFonts w:eastAsia="Times New Roman"/>
        </w:rPr>
        <w:t xml:space="preserve"> </w:t>
      </w:r>
      <w:r w:rsidR="005F1DBA" w:rsidRPr="004B6B4A">
        <w:rPr>
          <w:rFonts w:eastAsia="Times New Roman"/>
        </w:rPr>
        <w:t xml:space="preserve">das </w:t>
      </w:r>
      <w:r w:rsidRPr="004B6B4A">
        <w:rPr>
          <w:rFonts w:eastAsia="Times New Roman"/>
        </w:rPr>
        <w:t>subcadeias</w:t>
      </w:r>
      <w:r w:rsidR="005F1DBA" w:rsidRPr="004B6B4A">
        <w:rPr>
          <w:rFonts w:eastAsia="Times New Roman"/>
        </w:rPr>
        <w:t xml:space="preserve"> regionais</w:t>
      </w:r>
      <w:bookmarkEnd w:id="57"/>
    </w:p>
    <w:p w14:paraId="18D3AB96" w14:textId="75EB3072" w:rsidR="00CE673A" w:rsidRPr="005F79AC" w:rsidRDefault="00CE673A" w:rsidP="00B05958">
      <w:r w:rsidRPr="005F79AC">
        <w:t>O fluxograma apresentado na</w:t>
      </w:r>
      <w:r w:rsidR="00396373">
        <w:t xml:space="preserve"> </w:t>
      </w:r>
      <w:r w:rsidR="00396373">
        <w:fldChar w:fldCharType="begin"/>
      </w:r>
      <w:r w:rsidR="00396373">
        <w:instrText xml:space="preserve"> REF _Ref210749472 \h </w:instrText>
      </w:r>
      <w:r w:rsidR="00396373">
        <w:fldChar w:fldCharType="separate"/>
      </w:r>
      <w:r w:rsidR="002A2405" w:rsidRPr="00B554D7">
        <w:t xml:space="preserve">Figura </w:t>
      </w:r>
      <w:r w:rsidR="002A2405">
        <w:rPr>
          <w:noProof/>
        </w:rPr>
        <w:t>2</w:t>
      </w:r>
      <w:r w:rsidR="002A2405">
        <w:t>.</w:t>
      </w:r>
      <w:r w:rsidR="002A2405">
        <w:rPr>
          <w:noProof/>
        </w:rPr>
        <w:t>2</w:t>
      </w:r>
      <w:r w:rsidR="00396373">
        <w:fldChar w:fldCharType="end"/>
      </w:r>
      <w:r w:rsidRPr="005F79AC">
        <w:t xml:space="preserve"> sintetiza a cadeia de valor da manga na Guiné-Bissau, destacando as três principais regiões produtoras: Oio, Cacheu e Bafatá/Restante país. Em Oio predominam grandes e médios produtores, responsáveis pelas variedades exportáveis e por uma pequena fração destinada à exportação informal para o Senegal. Cacheu é marcada sobretudo por pequenos e familiares, que produzem variedades locais para os </w:t>
      </w:r>
      <w:r w:rsidRPr="005F79AC">
        <w:rPr>
          <w:i/>
          <w:iCs/>
        </w:rPr>
        <w:t>lumos</w:t>
      </w:r>
      <w:r w:rsidRPr="005F79AC">
        <w:t xml:space="preserve"> e para Bissau. Em Bafatá e no restante do país predominam os produtores familiares, cuja produção é </w:t>
      </w:r>
      <w:r w:rsidRPr="00EE22B2">
        <w:t>maioritariamente para autoconsumo e mercados locais. No conjunto, a produção bruta nacional é estimada em 17.500 toneladas, ainda fortemente condicionada por perdas pós-colheita e pragas</w:t>
      </w:r>
      <w:r w:rsidRPr="005F79AC">
        <w:t>.</w:t>
      </w:r>
    </w:p>
    <w:p w14:paraId="5196A2C0" w14:textId="3E033B93" w:rsidR="000B289F" w:rsidRPr="006F7AE6" w:rsidRDefault="000B289F" w:rsidP="00CB72B5">
      <w:pPr>
        <w:rPr>
          <w:rFonts w:cs="Calibri"/>
          <w:szCs w:val="20"/>
        </w:rPr>
      </w:pPr>
    </w:p>
    <w:p w14:paraId="046458EC" w14:textId="58F4CF84" w:rsidR="000210BF" w:rsidRPr="006F7AE6" w:rsidRDefault="002A0E99" w:rsidP="00EE22B2">
      <w:pPr>
        <w:jc w:val="center"/>
        <w:rPr>
          <w:rFonts w:eastAsia="Calibri" w:cs="Calibri"/>
          <w:szCs w:val="20"/>
        </w:rPr>
      </w:pPr>
      <w:r>
        <w:rPr>
          <w:rFonts w:cs="Calibri"/>
          <w:noProof/>
          <w:szCs w:val="20"/>
        </w:rPr>
        <w:lastRenderedPageBreak/>
        <w:drawing>
          <wp:inline distT="0" distB="0" distL="0" distR="0" wp14:anchorId="34B8281E" wp14:editId="2C29C199">
            <wp:extent cx="5400675" cy="3038475"/>
            <wp:effectExtent l="0" t="0" r="9525" b="9525"/>
            <wp:docPr id="2530171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14:paraId="1E9EEBC8" w14:textId="5392D0AA" w:rsidR="00396373" w:rsidRPr="00B554D7" w:rsidRDefault="00E34338" w:rsidP="007D3A26">
      <w:pPr>
        <w:pStyle w:val="Caption"/>
      </w:pPr>
      <w:bookmarkStart w:id="58" w:name="_Ref210749472"/>
      <w:bookmarkStart w:id="59" w:name="_Toc211359233"/>
      <w:r>
        <w:t xml:space="preserve">                               </w:t>
      </w:r>
      <w:r w:rsidR="00396373" w:rsidRPr="00B554D7">
        <w:t xml:space="preserve">Figura </w:t>
      </w:r>
      <w:fldSimple w:instr=" STYLEREF 1 \s ">
        <w:r w:rsidR="002A2405">
          <w:rPr>
            <w:noProof/>
          </w:rPr>
          <w:t>2</w:t>
        </w:r>
      </w:fldSimple>
      <w:r w:rsidR="00C05C88">
        <w:t>.</w:t>
      </w:r>
      <w:fldSimple w:instr=" SEQ Figura \* ARABIC \s 1 ">
        <w:r w:rsidR="002A2405">
          <w:rPr>
            <w:noProof/>
          </w:rPr>
          <w:t>2</w:t>
        </w:r>
      </w:fldSimple>
      <w:bookmarkEnd w:id="58"/>
      <w:r w:rsidR="00396373" w:rsidRPr="00B554D7">
        <w:t xml:space="preserve"> - Fluxograma da cadeia de valor da manga na Guiné-Bissau</w:t>
      </w:r>
      <w:bookmarkEnd w:id="59"/>
    </w:p>
    <w:p w14:paraId="2E70AA7E" w14:textId="326C2934" w:rsidR="006E474A" w:rsidRPr="006F7AE6" w:rsidRDefault="00137AFF" w:rsidP="006F7AE6">
      <w:pPr>
        <w:rPr>
          <w:rFonts w:eastAsia="Calibri"/>
          <w:b/>
          <w:bCs/>
        </w:rPr>
      </w:pPr>
      <w:r w:rsidRPr="006F7AE6">
        <w:rPr>
          <w:rFonts w:eastAsia="Calibri"/>
          <w:b/>
          <w:bCs/>
        </w:rPr>
        <w:t>D</w:t>
      </w:r>
      <w:r w:rsidR="004204EB" w:rsidRPr="006F7AE6">
        <w:rPr>
          <w:rFonts w:eastAsia="Calibri"/>
          <w:b/>
          <w:bCs/>
        </w:rPr>
        <w:t>istribuição das quantidades produzidas por região e tipologia de produtor</w:t>
      </w:r>
    </w:p>
    <w:p w14:paraId="4BC99E75" w14:textId="3A7C688C" w:rsidR="00893DA7" w:rsidRPr="006F7AE6" w:rsidRDefault="00893DA7" w:rsidP="00A015AB">
      <w:pPr>
        <w:ind w:left="624"/>
        <w:rPr>
          <w:b/>
          <w:bCs/>
        </w:rPr>
      </w:pPr>
      <w:r w:rsidRPr="006F7AE6">
        <w:rPr>
          <w:b/>
          <w:bCs/>
        </w:rPr>
        <w:t>Distribuição geográfica</w:t>
      </w:r>
    </w:p>
    <w:p w14:paraId="10D0C0C7" w14:textId="77777777" w:rsidR="00893DA7" w:rsidRPr="006F7AE6" w:rsidRDefault="00893DA7" w:rsidP="00E042D7">
      <w:pPr>
        <w:pStyle w:val="ListParagraph"/>
        <w:numPr>
          <w:ilvl w:val="0"/>
          <w:numId w:val="15"/>
        </w:numPr>
        <w:spacing w:after="0"/>
        <w:ind w:left="1134" w:hanging="198"/>
        <w:rPr>
          <w:rFonts w:cs="Calibri"/>
          <w:szCs w:val="20"/>
        </w:rPr>
      </w:pPr>
      <w:r w:rsidRPr="006F7AE6">
        <w:rPr>
          <w:rFonts w:cs="Calibri"/>
          <w:b/>
          <w:bCs/>
          <w:szCs w:val="20"/>
        </w:rPr>
        <w:t>Oio</w:t>
      </w:r>
      <w:r w:rsidRPr="006F7AE6">
        <w:rPr>
          <w:rFonts w:cs="Calibri"/>
          <w:szCs w:val="20"/>
        </w:rPr>
        <w:t xml:space="preserve"> concentra 46% da produção, sobretudo de variedades exportáveis.</w:t>
      </w:r>
    </w:p>
    <w:p w14:paraId="338056B4" w14:textId="77777777" w:rsidR="00893DA7" w:rsidRPr="006F7AE6" w:rsidRDefault="00893DA7" w:rsidP="00E042D7">
      <w:pPr>
        <w:pStyle w:val="ListParagraph"/>
        <w:numPr>
          <w:ilvl w:val="0"/>
          <w:numId w:val="15"/>
        </w:numPr>
        <w:spacing w:after="0"/>
        <w:ind w:left="1134" w:hanging="198"/>
        <w:rPr>
          <w:rFonts w:cs="Calibri"/>
          <w:szCs w:val="20"/>
        </w:rPr>
      </w:pPr>
      <w:r w:rsidRPr="006F7AE6">
        <w:rPr>
          <w:rFonts w:cs="Calibri"/>
          <w:b/>
          <w:bCs/>
          <w:szCs w:val="20"/>
        </w:rPr>
        <w:t>Cacheu</w:t>
      </w:r>
      <w:r w:rsidRPr="006F7AE6">
        <w:rPr>
          <w:rFonts w:cs="Calibri"/>
          <w:szCs w:val="20"/>
        </w:rPr>
        <w:t xml:space="preserve"> contribui com 27%, com equilíbrio entre variedades locais e de exportação.</w:t>
      </w:r>
    </w:p>
    <w:p w14:paraId="23F012FD" w14:textId="6F3D75B8" w:rsidR="003D7175" w:rsidRPr="00EE22B2" w:rsidRDefault="00893DA7" w:rsidP="00E042D7">
      <w:pPr>
        <w:pStyle w:val="ListParagraph"/>
        <w:numPr>
          <w:ilvl w:val="0"/>
          <w:numId w:val="15"/>
        </w:numPr>
        <w:spacing w:after="100"/>
        <w:ind w:left="1134" w:hanging="198"/>
        <w:rPr>
          <w:rFonts w:cs="Calibri"/>
          <w:szCs w:val="20"/>
        </w:rPr>
      </w:pPr>
      <w:r w:rsidRPr="006F7AE6">
        <w:rPr>
          <w:rFonts w:cs="Calibri"/>
          <w:b/>
          <w:bCs/>
          <w:szCs w:val="20"/>
        </w:rPr>
        <w:t>Bafatá e restante país</w:t>
      </w:r>
      <w:r w:rsidRPr="006F7AE6">
        <w:rPr>
          <w:rFonts w:cs="Calibri"/>
          <w:szCs w:val="20"/>
        </w:rPr>
        <w:t xml:space="preserve"> somam 27%, principalmente com variedades locais.</w:t>
      </w:r>
    </w:p>
    <w:p w14:paraId="7CEDEBF9" w14:textId="77777777" w:rsidR="002A0E99" w:rsidRDefault="002A0E99" w:rsidP="006F7AE6">
      <w:pPr>
        <w:ind w:firstLine="624"/>
        <w:rPr>
          <w:b/>
          <w:bCs/>
        </w:rPr>
      </w:pPr>
    </w:p>
    <w:p w14:paraId="34EE4E46" w14:textId="79C7B168" w:rsidR="00893DA7" w:rsidRPr="003D7175" w:rsidRDefault="00CE673A" w:rsidP="006F7AE6">
      <w:pPr>
        <w:ind w:firstLine="624"/>
        <w:rPr>
          <w:b/>
          <w:bCs/>
        </w:rPr>
      </w:pPr>
      <w:r w:rsidRPr="006F7AE6">
        <w:rPr>
          <w:b/>
          <w:bCs/>
        </w:rPr>
        <w:t>Contribuições dos</w:t>
      </w:r>
      <w:r w:rsidR="00893DA7" w:rsidRPr="003D7175">
        <w:rPr>
          <w:b/>
          <w:bCs/>
        </w:rPr>
        <w:t xml:space="preserve"> produtores</w:t>
      </w:r>
      <w:r w:rsidRPr="006F7AE6">
        <w:rPr>
          <w:b/>
          <w:bCs/>
        </w:rPr>
        <w:t xml:space="preserve"> de cada região</w:t>
      </w:r>
    </w:p>
    <w:p w14:paraId="353DA8ED" w14:textId="77777777" w:rsidR="00893DA7" w:rsidRPr="006F7AE6" w:rsidRDefault="00893DA7" w:rsidP="00E042D7">
      <w:pPr>
        <w:pStyle w:val="ListParagraph"/>
        <w:numPr>
          <w:ilvl w:val="0"/>
          <w:numId w:val="16"/>
        </w:numPr>
        <w:ind w:left="1134" w:hanging="198"/>
        <w:rPr>
          <w:rFonts w:cs="Calibri"/>
          <w:szCs w:val="20"/>
        </w:rPr>
      </w:pPr>
      <w:r w:rsidRPr="006F7AE6">
        <w:rPr>
          <w:rFonts w:cs="Calibri"/>
          <w:b/>
          <w:bCs/>
          <w:szCs w:val="20"/>
        </w:rPr>
        <w:t>Oio</w:t>
      </w:r>
      <w:r w:rsidRPr="006F7AE6">
        <w:rPr>
          <w:rFonts w:cs="Calibri"/>
          <w:szCs w:val="20"/>
        </w:rPr>
        <w:t>: predominam grandes produtores (45%), seguidos de médios (28%), pequenos (17%) e familiares (10%).</w:t>
      </w:r>
    </w:p>
    <w:p w14:paraId="1986493E" w14:textId="77777777" w:rsidR="00893DA7" w:rsidRPr="006F7AE6" w:rsidRDefault="00893DA7" w:rsidP="00E042D7">
      <w:pPr>
        <w:pStyle w:val="ListParagraph"/>
        <w:numPr>
          <w:ilvl w:val="0"/>
          <w:numId w:val="16"/>
        </w:numPr>
        <w:ind w:left="1134" w:hanging="198"/>
        <w:rPr>
          <w:rFonts w:cs="Calibri"/>
          <w:szCs w:val="20"/>
        </w:rPr>
      </w:pPr>
      <w:r w:rsidRPr="006F7AE6">
        <w:rPr>
          <w:rFonts w:cs="Calibri"/>
          <w:b/>
          <w:bCs/>
          <w:szCs w:val="20"/>
        </w:rPr>
        <w:t>Cacheu</w:t>
      </w:r>
      <w:r w:rsidRPr="006F7AE6">
        <w:rPr>
          <w:rFonts w:cs="Calibri"/>
          <w:szCs w:val="20"/>
        </w:rPr>
        <w:t>: ausência de grandes produtores; predominância de familiares (50%), seguidos de pequenos (35%) e médios (15%).</w:t>
      </w:r>
    </w:p>
    <w:p w14:paraId="73E111DB" w14:textId="3694CDD8" w:rsidR="00B44922" w:rsidRDefault="00893DA7" w:rsidP="00E042D7">
      <w:pPr>
        <w:pStyle w:val="ListParagraph"/>
        <w:numPr>
          <w:ilvl w:val="0"/>
          <w:numId w:val="16"/>
        </w:numPr>
        <w:ind w:left="1134" w:hanging="198"/>
        <w:rPr>
          <w:rFonts w:cs="Calibri"/>
          <w:szCs w:val="20"/>
        </w:rPr>
      </w:pPr>
      <w:r w:rsidRPr="006F7AE6">
        <w:rPr>
          <w:rFonts w:cs="Calibri"/>
          <w:b/>
          <w:bCs/>
          <w:szCs w:val="20"/>
        </w:rPr>
        <w:t>Bafatá/restante país</w:t>
      </w:r>
      <w:r w:rsidRPr="006F7AE6">
        <w:rPr>
          <w:rFonts w:cs="Calibri"/>
          <w:szCs w:val="20"/>
        </w:rPr>
        <w:t>: apenas pequenos (30%) e familiares (70%).</w:t>
      </w:r>
    </w:p>
    <w:p w14:paraId="2B14BBA1" w14:textId="7BA819D0" w:rsidR="00893DA7" w:rsidRPr="006F7AE6" w:rsidRDefault="00893DA7" w:rsidP="00A015AB">
      <w:pPr>
        <w:ind w:firstLine="624"/>
        <w:rPr>
          <w:b/>
          <w:bCs/>
        </w:rPr>
      </w:pPr>
      <w:r w:rsidRPr="006F7AE6">
        <w:rPr>
          <w:b/>
          <w:bCs/>
        </w:rPr>
        <w:t>Variedades cultivadas</w:t>
      </w:r>
    </w:p>
    <w:p w14:paraId="19C67B07" w14:textId="3FDAB69A" w:rsidR="00893DA7" w:rsidRPr="006F7AE6" w:rsidRDefault="00EB6917" w:rsidP="00EE22B2">
      <w:pPr>
        <w:ind w:left="936"/>
      </w:pPr>
      <w:r w:rsidRPr="006F7AE6">
        <w:t>A produção combina variedades locais, predominantes entre pequenos e familiares, e melhoradas (Keitt, Kent, Tommy, Palmer), cultivadas sobretudo por grandes produtores. A manga de faca (Colasso) destaca-se pelo valor no mercado nacional, mas mantém baixa difusão e produtividade, sem padrão para exportação internacional.</w:t>
      </w:r>
    </w:p>
    <w:p w14:paraId="6E6A8186" w14:textId="4FA4017F" w:rsidR="00893DA7" w:rsidRPr="006F7AE6" w:rsidRDefault="00893DA7" w:rsidP="00A015AB">
      <w:pPr>
        <w:ind w:firstLine="624"/>
      </w:pPr>
      <w:r w:rsidRPr="006F7AE6">
        <w:rPr>
          <w:b/>
          <w:bCs/>
        </w:rPr>
        <w:t>Transformação</w:t>
      </w:r>
    </w:p>
    <w:p w14:paraId="6F0793DE" w14:textId="4E595857" w:rsidR="00893DA7" w:rsidRPr="006F7AE6" w:rsidRDefault="00EB6917" w:rsidP="00244A36">
      <w:pPr>
        <w:ind w:left="936"/>
      </w:pPr>
      <w:r w:rsidRPr="006F7AE6">
        <w:t>Desde 2017 surgiu um novo ator na cadeia — o micro</w:t>
      </w:r>
      <w:r w:rsidR="007B27F4" w:rsidRPr="005F79AC">
        <w:t>-</w:t>
      </w:r>
      <w:r w:rsidRPr="006F7AE6">
        <w:t>transformador, sobretudo associações e microempresas de mulheres, que utilizam variedades locais compradas a pequenos e médios produtores. A atividade permanece incipiente, com foco quase exclusivo na produção de sumo (≈90%) e pequena diversificação para outros derivados (≈10%).</w:t>
      </w:r>
    </w:p>
    <w:p w14:paraId="10C090A8" w14:textId="0C10B31E" w:rsidR="00893DA7" w:rsidRPr="006F7AE6" w:rsidRDefault="00893DA7" w:rsidP="00A015AB">
      <w:pPr>
        <w:ind w:firstLine="624"/>
      </w:pPr>
      <w:r w:rsidRPr="006F7AE6">
        <w:rPr>
          <w:b/>
          <w:bCs/>
        </w:rPr>
        <w:t>Comercialização</w:t>
      </w:r>
    </w:p>
    <w:p w14:paraId="467A2AD0" w14:textId="77777777" w:rsidR="00893DA7" w:rsidRPr="006F7AE6" w:rsidRDefault="00893DA7" w:rsidP="00A015AB">
      <w:pPr>
        <w:ind w:left="936"/>
        <w:contextualSpacing/>
      </w:pPr>
      <w:r w:rsidRPr="006F7AE6">
        <w:t>Dois atores centrais mantêm-se:</w:t>
      </w:r>
    </w:p>
    <w:p w14:paraId="57C946BA" w14:textId="77777777" w:rsidR="00893DA7" w:rsidRPr="006F7AE6" w:rsidRDefault="00893DA7" w:rsidP="00E042D7">
      <w:pPr>
        <w:pStyle w:val="ListParagraph"/>
        <w:numPr>
          <w:ilvl w:val="0"/>
          <w:numId w:val="17"/>
        </w:numPr>
        <w:ind w:left="1134" w:hanging="198"/>
        <w:rPr>
          <w:rFonts w:cs="Calibri"/>
          <w:szCs w:val="20"/>
        </w:rPr>
      </w:pPr>
      <w:r w:rsidRPr="006F7AE6">
        <w:rPr>
          <w:rFonts w:cs="Calibri"/>
          <w:b/>
          <w:bCs/>
          <w:szCs w:val="20"/>
        </w:rPr>
        <w:t>Grossista de Bissau</w:t>
      </w:r>
      <w:r w:rsidRPr="006F7AE6">
        <w:rPr>
          <w:rFonts w:cs="Calibri"/>
          <w:szCs w:val="20"/>
        </w:rPr>
        <w:t>, que compra a grandes e médios produtores e revende em Bissau.</w:t>
      </w:r>
    </w:p>
    <w:p w14:paraId="27BA0FE2" w14:textId="302C6AAB" w:rsidR="009257BA" w:rsidRPr="006F7AE6" w:rsidRDefault="00893DA7" w:rsidP="00E042D7">
      <w:pPr>
        <w:pStyle w:val="ListParagraph"/>
        <w:numPr>
          <w:ilvl w:val="0"/>
          <w:numId w:val="17"/>
        </w:numPr>
        <w:ind w:left="1134" w:hanging="198"/>
        <w:rPr>
          <w:rFonts w:cs="Calibri"/>
          <w:szCs w:val="20"/>
        </w:rPr>
      </w:pPr>
      <w:r w:rsidRPr="006F7AE6">
        <w:rPr>
          <w:rFonts w:cs="Calibri"/>
          <w:b/>
          <w:bCs/>
          <w:szCs w:val="20"/>
        </w:rPr>
        <w:lastRenderedPageBreak/>
        <w:t>Retalhistas</w:t>
      </w:r>
      <w:r w:rsidRPr="006F7AE6">
        <w:rPr>
          <w:rFonts w:cs="Calibri"/>
          <w:szCs w:val="20"/>
        </w:rPr>
        <w:t>, abastecidos junto de médios e pequenos produtores, vendendo em mercados locais e residências.</w:t>
      </w:r>
    </w:p>
    <w:p w14:paraId="541A7877" w14:textId="1D9F6E47" w:rsidR="00893DA7" w:rsidRPr="00244A36" w:rsidRDefault="009257BA" w:rsidP="00E042D7">
      <w:pPr>
        <w:pStyle w:val="ListParagraph"/>
        <w:numPr>
          <w:ilvl w:val="0"/>
          <w:numId w:val="17"/>
        </w:numPr>
        <w:ind w:left="1134" w:hanging="198"/>
        <w:rPr>
          <w:rFonts w:cs="Calibri"/>
          <w:szCs w:val="20"/>
        </w:rPr>
      </w:pPr>
      <w:r w:rsidRPr="006F7AE6">
        <w:rPr>
          <w:rFonts w:cs="Calibri"/>
          <w:b/>
          <w:bCs/>
          <w:szCs w:val="20"/>
        </w:rPr>
        <w:t>Lu</w:t>
      </w:r>
      <w:r w:rsidR="00893DA7" w:rsidRPr="0072363D">
        <w:rPr>
          <w:rFonts w:cs="Calibri"/>
          <w:b/>
          <w:bCs/>
          <w:szCs w:val="20"/>
        </w:rPr>
        <w:t>mo</w:t>
      </w:r>
      <w:r w:rsidRPr="005F79AC">
        <w:rPr>
          <w:rFonts w:cs="Calibri"/>
          <w:b/>
          <w:bCs/>
          <w:szCs w:val="20"/>
        </w:rPr>
        <w:t>s,</w:t>
      </w:r>
      <w:r w:rsidR="00893DA7" w:rsidRPr="0072363D">
        <w:rPr>
          <w:rFonts w:cs="Calibri"/>
          <w:szCs w:val="20"/>
        </w:rPr>
        <w:t xml:space="preserve"> continua</w:t>
      </w:r>
      <w:r w:rsidRPr="005F79AC">
        <w:rPr>
          <w:rFonts w:cs="Calibri"/>
          <w:szCs w:val="20"/>
        </w:rPr>
        <w:t>m</w:t>
      </w:r>
      <w:r w:rsidR="00893DA7" w:rsidRPr="0072363D">
        <w:rPr>
          <w:rFonts w:cs="Calibri"/>
          <w:szCs w:val="20"/>
        </w:rPr>
        <w:t xml:space="preserve"> a ser o principal espaço de venda para todos, exceto para grandes produtores, que vendem diretamente em Bissau e, ocasionalmente, exportam para o Senegal.</w:t>
      </w:r>
    </w:p>
    <w:p w14:paraId="168C5934" w14:textId="56C1B9F7" w:rsidR="00893DA7" w:rsidRPr="006F7AE6" w:rsidRDefault="00893DA7" w:rsidP="00A015AB">
      <w:pPr>
        <w:ind w:firstLine="624"/>
        <w:contextualSpacing/>
      </w:pPr>
      <w:r w:rsidRPr="006F7AE6">
        <w:rPr>
          <w:b/>
          <w:bCs/>
        </w:rPr>
        <w:t>Logística</w:t>
      </w:r>
    </w:p>
    <w:p w14:paraId="69F203AA" w14:textId="77777777" w:rsidR="009257BA" w:rsidRPr="00244A36" w:rsidRDefault="009257BA" w:rsidP="00E042D7">
      <w:pPr>
        <w:pStyle w:val="ListParagraph"/>
        <w:numPr>
          <w:ilvl w:val="0"/>
          <w:numId w:val="18"/>
        </w:numPr>
        <w:tabs>
          <w:tab w:val="clear" w:pos="720"/>
        </w:tabs>
        <w:ind w:left="1134" w:hanging="198"/>
        <w:rPr>
          <w:rFonts w:cs="Calibri"/>
          <w:szCs w:val="20"/>
        </w:rPr>
      </w:pPr>
      <w:r w:rsidRPr="00244A36">
        <w:rPr>
          <w:rFonts w:cs="Calibri"/>
          <w:szCs w:val="20"/>
        </w:rPr>
        <w:t>Transporte interno feito sobretudo em meios públicos de passageiros (táxis, carrinhas, triciclos), sem condições adequadas para conservar a fruta.</w:t>
      </w:r>
    </w:p>
    <w:p w14:paraId="0483844D" w14:textId="77777777" w:rsidR="009257BA" w:rsidRPr="00244A36" w:rsidRDefault="009257BA" w:rsidP="00E042D7">
      <w:pPr>
        <w:pStyle w:val="ListParagraph"/>
        <w:numPr>
          <w:ilvl w:val="0"/>
          <w:numId w:val="18"/>
        </w:numPr>
        <w:tabs>
          <w:tab w:val="clear" w:pos="720"/>
        </w:tabs>
        <w:ind w:left="1134" w:hanging="198"/>
        <w:rPr>
          <w:rFonts w:cs="Calibri"/>
          <w:szCs w:val="20"/>
        </w:rPr>
      </w:pPr>
      <w:r w:rsidRPr="00244A36">
        <w:rPr>
          <w:rFonts w:cs="Calibri"/>
          <w:szCs w:val="20"/>
        </w:rPr>
        <w:t>Para a exportação informal ao Senegal, utilizam-se camiões de carga de 25–30 toneladas.</w:t>
      </w:r>
    </w:p>
    <w:p w14:paraId="68C7E01A" w14:textId="07857106" w:rsidR="001701CA" w:rsidRPr="00AD4C67" w:rsidRDefault="009257BA" w:rsidP="00E042D7">
      <w:pPr>
        <w:pStyle w:val="ListParagraph"/>
        <w:numPr>
          <w:ilvl w:val="0"/>
          <w:numId w:val="18"/>
        </w:numPr>
        <w:tabs>
          <w:tab w:val="clear" w:pos="720"/>
        </w:tabs>
        <w:ind w:left="1134" w:hanging="198"/>
        <w:rPr>
          <w:rFonts w:cs="Calibri"/>
          <w:szCs w:val="20"/>
        </w:rPr>
      </w:pPr>
      <w:r w:rsidRPr="00244A36">
        <w:rPr>
          <w:rFonts w:cs="Calibri"/>
          <w:szCs w:val="20"/>
        </w:rPr>
        <w:t xml:space="preserve">O acondicionamento é rudimentar, recorrendo a sacos de arroz de 50 </w:t>
      </w:r>
      <w:r w:rsidR="00244A36" w:rsidRPr="00244A36">
        <w:rPr>
          <w:rFonts w:cs="Calibri"/>
          <w:szCs w:val="20"/>
        </w:rPr>
        <w:t>kg</w:t>
      </w:r>
      <w:r w:rsidRPr="00244A36">
        <w:rPr>
          <w:rFonts w:cs="Calibri"/>
          <w:szCs w:val="20"/>
        </w:rPr>
        <w:t xml:space="preserve"> e Bacias plásticas de 25 kg, geralmente envoltas em panos.</w:t>
      </w:r>
    </w:p>
    <w:p w14:paraId="09650547" w14:textId="43722978" w:rsidR="003D7175" w:rsidRPr="00AD4C67" w:rsidRDefault="001701CA" w:rsidP="003D7175">
      <w:pPr>
        <w:rPr>
          <w:rFonts w:cs="Calibri"/>
          <w:szCs w:val="20"/>
        </w:rPr>
      </w:pPr>
      <w:r w:rsidRPr="00AD4C67">
        <w:t xml:space="preserve">No quadro da atualização da cadeia de valor da manga na Guiné-Bissau (2025), e recorrendo à metodologia </w:t>
      </w:r>
      <w:r w:rsidRPr="00AD4C67">
        <w:rPr>
          <w:rStyle w:val="s1"/>
          <w:rFonts w:cs="Calibri"/>
          <w:szCs w:val="20"/>
        </w:rPr>
        <w:t>VCA4D</w:t>
      </w:r>
      <w:r w:rsidRPr="00AD4C67">
        <w:t xml:space="preserve">, foram identificadas </w:t>
      </w:r>
      <w:r w:rsidRPr="00AD4C67">
        <w:rPr>
          <w:rStyle w:val="s1"/>
          <w:rFonts w:cs="Calibri"/>
          <w:szCs w:val="20"/>
        </w:rPr>
        <w:t>três subcadeias principais</w:t>
      </w:r>
      <w:r w:rsidRPr="00AD4C67">
        <w:t xml:space="preserve">, correspondentes às regiões de maior relevância produtiva: </w:t>
      </w:r>
      <w:r w:rsidRPr="00AD4C67">
        <w:rPr>
          <w:rStyle w:val="s1"/>
          <w:rFonts w:cs="Calibri"/>
          <w:szCs w:val="20"/>
        </w:rPr>
        <w:t>Oio, Cacheu e Bafatá/Restante País</w:t>
      </w:r>
      <w:r w:rsidRPr="00AD4C67">
        <w:t xml:space="preserve">. Estas subcadeias traduzem diferentes formas de produção, escoamento e transformação da manga, permitindo analisar de forma comparativa os seus </w:t>
      </w:r>
      <w:r w:rsidRPr="00AD4C67">
        <w:rPr>
          <w:rStyle w:val="s1"/>
          <w:rFonts w:cs="Calibri"/>
          <w:szCs w:val="20"/>
        </w:rPr>
        <w:t>desempenhos económicos, sociais e ambientais</w:t>
      </w:r>
      <w:r w:rsidR="003D7175" w:rsidRPr="00AD4C67">
        <w:rPr>
          <w:rStyle w:val="s1"/>
          <w:rFonts w:cs="Calibri"/>
          <w:szCs w:val="20"/>
        </w:rPr>
        <w:t>.</w:t>
      </w:r>
    </w:p>
    <w:p w14:paraId="741D450E" w14:textId="62D9B080" w:rsidR="00D146BA" w:rsidRPr="006F7AE6" w:rsidRDefault="008D3D04" w:rsidP="00E042D7">
      <w:pPr>
        <w:pStyle w:val="Heading3"/>
        <w:numPr>
          <w:ilvl w:val="2"/>
          <w:numId w:val="35"/>
        </w:numPr>
      </w:pPr>
      <w:bookmarkStart w:id="60" w:name="_Toc210806732"/>
      <w:bookmarkStart w:id="61" w:name="_Toc210807104"/>
      <w:bookmarkStart w:id="62" w:name="_Toc210807233"/>
      <w:bookmarkStart w:id="63" w:name="_Toc210807809"/>
      <w:bookmarkStart w:id="64" w:name="_Toc210808768"/>
      <w:bookmarkStart w:id="65" w:name="_Toc210809085"/>
      <w:bookmarkStart w:id="66" w:name="_Toc210806733"/>
      <w:bookmarkStart w:id="67" w:name="_Toc210807105"/>
      <w:bookmarkStart w:id="68" w:name="_Toc210807234"/>
      <w:bookmarkStart w:id="69" w:name="_Toc210807810"/>
      <w:bookmarkStart w:id="70" w:name="_Toc210808769"/>
      <w:bookmarkStart w:id="71" w:name="_Toc210809086"/>
      <w:bookmarkStart w:id="72" w:name="_Toc204704308"/>
      <w:bookmarkStart w:id="73" w:name="_Toc220507508"/>
      <w:bookmarkEnd w:id="60"/>
      <w:bookmarkEnd w:id="61"/>
      <w:bookmarkEnd w:id="62"/>
      <w:bookmarkEnd w:id="63"/>
      <w:bookmarkEnd w:id="64"/>
      <w:bookmarkEnd w:id="65"/>
      <w:bookmarkEnd w:id="66"/>
      <w:bookmarkEnd w:id="67"/>
      <w:bookmarkEnd w:id="68"/>
      <w:bookmarkEnd w:id="69"/>
      <w:bookmarkEnd w:id="70"/>
      <w:bookmarkEnd w:id="71"/>
      <w:r w:rsidRPr="006F7AE6">
        <w:t xml:space="preserve">Subcadeia da Manga </w:t>
      </w:r>
      <w:r w:rsidR="003E5F93" w:rsidRPr="006F7AE6">
        <w:t>da Região de Oio</w:t>
      </w:r>
      <w:bookmarkEnd w:id="72"/>
      <w:bookmarkEnd w:id="73"/>
    </w:p>
    <w:p w14:paraId="25C93165" w14:textId="05784379" w:rsidR="00FC5A3E" w:rsidRPr="00AD4C67" w:rsidRDefault="000326CF" w:rsidP="00A34CF0">
      <w:r w:rsidRPr="002253CE">
        <w:t xml:space="preserve">O fluxograma da </w:t>
      </w:r>
      <w:r w:rsidR="003D7175" w:rsidRPr="002253CE">
        <w:fldChar w:fldCharType="begin"/>
      </w:r>
      <w:r w:rsidR="003D7175" w:rsidRPr="002253CE">
        <w:instrText xml:space="preserve"> REF _Ref210750355 \h  \* MERGEFORMAT </w:instrText>
      </w:r>
      <w:r w:rsidR="003D7175" w:rsidRPr="002253CE">
        <w:fldChar w:fldCharType="separate"/>
      </w:r>
      <w:r w:rsidR="002A2405">
        <w:t>Figura</w:t>
      </w:r>
      <w:r w:rsidR="002A2405">
        <w:rPr>
          <w:noProof/>
        </w:rPr>
        <w:t xml:space="preserve"> 2</w:t>
      </w:r>
      <w:r w:rsidR="002A2405">
        <w:t>.</w:t>
      </w:r>
      <w:r w:rsidR="002A2405">
        <w:rPr>
          <w:noProof/>
        </w:rPr>
        <w:t>3</w:t>
      </w:r>
      <w:r w:rsidR="003D7175" w:rsidRPr="002253CE">
        <w:fldChar w:fldCharType="end"/>
      </w:r>
      <w:r w:rsidRPr="002253CE">
        <w:t>.</w:t>
      </w:r>
      <w:r w:rsidRPr="00AD4C67">
        <w:t>, apresenta uma síntese gráfica da subcadeia da</w:t>
      </w:r>
      <w:r w:rsidR="002E53A5" w:rsidRPr="00AD4C67">
        <w:t xml:space="preserve"> manga</w:t>
      </w:r>
      <w:r w:rsidRPr="00AD4C67">
        <w:t xml:space="preserve"> </w:t>
      </w:r>
      <w:r w:rsidR="002E53A5" w:rsidRPr="00AD4C67">
        <w:t xml:space="preserve">da </w:t>
      </w:r>
      <w:r w:rsidRPr="00AD4C67">
        <w:t xml:space="preserve">região de Oio. </w:t>
      </w:r>
      <w:r w:rsidR="00FC5A3E" w:rsidRPr="00AD4C67">
        <w:t xml:space="preserve">A região </w:t>
      </w:r>
      <w:r w:rsidRPr="00AD4C67">
        <w:t>se</w:t>
      </w:r>
      <w:r w:rsidR="00FC5A3E" w:rsidRPr="00AD4C67">
        <w:t xml:space="preserve"> destaca-se como a principal área produtora de manga do país, desempenhando um papel estratégico tanto no abastecimento do mercado interno como no potencial de exportação.</w:t>
      </w:r>
    </w:p>
    <w:p w14:paraId="5B00D321" w14:textId="77777777" w:rsidR="000210BF" w:rsidRPr="006F7AE6" w:rsidRDefault="000210BF" w:rsidP="00A34CF0"/>
    <w:p w14:paraId="69A7AC1D" w14:textId="5179BFDF" w:rsidR="00392230" w:rsidRPr="006F7AE6" w:rsidRDefault="002A0E99" w:rsidP="00DE1653">
      <w:pPr>
        <w:jc w:val="center"/>
      </w:pPr>
      <w:r>
        <w:rPr>
          <w:rFonts w:eastAsia="Times New Roman" w:cs="Calibri"/>
          <w:noProof/>
          <w:szCs w:val="20"/>
        </w:rPr>
        <w:drawing>
          <wp:inline distT="0" distB="0" distL="0" distR="0" wp14:anchorId="034A3C97" wp14:editId="0AC20D02">
            <wp:extent cx="5257800" cy="3038475"/>
            <wp:effectExtent l="0" t="0" r="0" b="9525"/>
            <wp:docPr id="9475442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7800" cy="3038475"/>
                    </a:xfrm>
                    <a:prstGeom prst="rect">
                      <a:avLst/>
                    </a:prstGeom>
                    <a:noFill/>
                    <a:ln>
                      <a:noFill/>
                    </a:ln>
                  </pic:spPr>
                </pic:pic>
              </a:graphicData>
            </a:graphic>
          </wp:inline>
        </w:drawing>
      </w:r>
    </w:p>
    <w:p w14:paraId="3F4CB544" w14:textId="4AB3B5D9" w:rsidR="003D7175" w:rsidRDefault="00A57680" w:rsidP="007D3A26">
      <w:pPr>
        <w:pStyle w:val="Caption"/>
      </w:pPr>
      <w:bookmarkStart w:id="74" w:name="_Ref210750355"/>
      <w:bookmarkStart w:id="75" w:name="_Toc211359234"/>
      <w:r>
        <w:t xml:space="preserve">                                     </w:t>
      </w:r>
      <w:r w:rsidR="003D7175">
        <w:t xml:space="preserve">Figura </w:t>
      </w:r>
      <w:fldSimple w:instr=" STYLEREF 1 \s ">
        <w:r w:rsidR="002A2405">
          <w:rPr>
            <w:noProof/>
          </w:rPr>
          <w:t>2</w:t>
        </w:r>
      </w:fldSimple>
      <w:r w:rsidR="00C05C88">
        <w:t>.</w:t>
      </w:r>
      <w:fldSimple w:instr=" SEQ Figura \* ARABIC \s 1 ">
        <w:r w:rsidR="002A2405">
          <w:rPr>
            <w:noProof/>
          </w:rPr>
          <w:t>3</w:t>
        </w:r>
      </w:fldSimple>
      <w:bookmarkEnd w:id="74"/>
      <w:r w:rsidR="003D7175">
        <w:t xml:space="preserve"> -</w:t>
      </w:r>
      <w:r w:rsidR="003D7175" w:rsidRPr="003D7175">
        <w:t>Fluxograma da subcadeia da manga na região de Oio</w:t>
      </w:r>
      <w:bookmarkEnd w:id="75"/>
      <w:r w:rsidR="003D7175">
        <w:t xml:space="preserve"> </w:t>
      </w:r>
    </w:p>
    <w:p w14:paraId="0B01C5C9" w14:textId="140FDAE1" w:rsidR="000210BF" w:rsidRPr="006F7AE6" w:rsidRDefault="000210BF" w:rsidP="00DE1653">
      <w:r w:rsidRPr="006F7AE6">
        <w:t xml:space="preserve">A análise da cadeia de valor </w:t>
      </w:r>
      <w:r w:rsidR="00FB306D" w:rsidRPr="006F7AE6">
        <w:t xml:space="preserve">da manga na região de Oio </w:t>
      </w:r>
      <w:r w:rsidRPr="006F7AE6">
        <w:t>revela as seguintes características:</w:t>
      </w:r>
    </w:p>
    <w:p w14:paraId="7B49671E" w14:textId="77777777" w:rsidR="000210BF" w:rsidRPr="006F7AE6" w:rsidRDefault="000210BF" w:rsidP="00DE1653">
      <w:pPr>
        <w:ind w:left="624"/>
        <w:rPr>
          <w:rFonts w:eastAsia="Times New Roman"/>
          <w:b/>
          <w:bCs/>
        </w:rPr>
      </w:pPr>
      <w:r w:rsidRPr="006F7AE6">
        <w:rPr>
          <w:rFonts w:eastAsia="Times New Roman"/>
          <w:b/>
          <w:bCs/>
        </w:rPr>
        <w:t>Perfis de produtores diversificados</w:t>
      </w:r>
    </w:p>
    <w:p w14:paraId="26E3D4C2" w14:textId="356881A4" w:rsidR="00FB3169" w:rsidRPr="006F7AE6" w:rsidRDefault="000210BF" w:rsidP="00DE1653">
      <w:pPr>
        <w:ind w:left="936"/>
        <w:rPr>
          <w:rFonts w:eastAsia="Times New Roman"/>
        </w:rPr>
      </w:pPr>
      <w:r w:rsidRPr="006F7AE6">
        <w:rPr>
          <w:rFonts w:eastAsia="Times New Roman"/>
        </w:rPr>
        <w:t>Estão presentes quatro tipos de produtores: grandes, médios, pequenos e familiares. Os grandes produtores têm maior peso, respondendo por cerca de 45% da produção, seguidos pelos médios (28%), pequenos (17%) e familiares (10%).</w:t>
      </w:r>
    </w:p>
    <w:p w14:paraId="5C386420" w14:textId="77777777" w:rsidR="000210BF" w:rsidRPr="006F7AE6" w:rsidRDefault="000210BF" w:rsidP="00DE1653">
      <w:pPr>
        <w:ind w:left="624"/>
        <w:rPr>
          <w:rFonts w:eastAsia="Times New Roman"/>
          <w:b/>
          <w:bCs/>
        </w:rPr>
      </w:pPr>
      <w:r w:rsidRPr="006F7AE6">
        <w:rPr>
          <w:rFonts w:eastAsia="Times New Roman"/>
          <w:b/>
          <w:bCs/>
        </w:rPr>
        <w:lastRenderedPageBreak/>
        <w:t>Especialização em variedades melhoradas</w:t>
      </w:r>
    </w:p>
    <w:p w14:paraId="4E57397E" w14:textId="0542403B" w:rsidR="007B27F4" w:rsidRPr="00DE1653" w:rsidRDefault="000210BF" w:rsidP="00DE1653">
      <w:pPr>
        <w:ind w:left="936"/>
        <w:rPr>
          <w:rFonts w:eastAsia="Times New Roman" w:cs="Calibri"/>
          <w:szCs w:val="20"/>
        </w:rPr>
      </w:pPr>
      <w:r w:rsidRPr="006F7AE6">
        <w:rPr>
          <w:rFonts w:eastAsia="Times New Roman" w:cs="Calibri"/>
          <w:szCs w:val="20"/>
        </w:rPr>
        <w:t>A região concentra as maiores áreas de produção de variedades exportáveis (Kent, Keitt, Palmer, Tommy), mantendo ainda pequenas áreas de variedades locais, incluindo a manga de faca (Colasso), valorizada no mercado nacional.</w:t>
      </w:r>
    </w:p>
    <w:p w14:paraId="39EB84AE" w14:textId="77777777" w:rsidR="000210BF" w:rsidRPr="006F7AE6" w:rsidRDefault="000210BF" w:rsidP="00DE1653">
      <w:pPr>
        <w:ind w:left="624"/>
        <w:rPr>
          <w:rFonts w:eastAsia="Times New Roman"/>
          <w:b/>
          <w:bCs/>
        </w:rPr>
      </w:pPr>
      <w:r w:rsidRPr="006F7AE6">
        <w:rPr>
          <w:rFonts w:eastAsia="Times New Roman"/>
          <w:b/>
          <w:bCs/>
        </w:rPr>
        <w:t>Produção com potencial exportador</w:t>
      </w:r>
    </w:p>
    <w:p w14:paraId="14AF14F4" w14:textId="59A6CE21" w:rsidR="00FB3169" w:rsidRPr="00DE1653" w:rsidRDefault="000210BF" w:rsidP="00DE1653">
      <w:pPr>
        <w:ind w:left="936"/>
        <w:rPr>
          <w:rFonts w:eastAsia="Times New Roman" w:cs="Calibri"/>
          <w:szCs w:val="20"/>
        </w:rPr>
      </w:pPr>
      <w:r w:rsidRPr="006F7AE6">
        <w:rPr>
          <w:rFonts w:eastAsia="Times New Roman" w:cs="Calibri"/>
          <w:szCs w:val="20"/>
        </w:rPr>
        <w:t>Apesar dos constrangimentos técnicos e fitossanitários, Oio continua a ser a região com maior potencial de exportação formal para mercados europeus, mais exigentes em padrões de qualidade. Atualmente, parte da produção é exportada de forma informal para o Senegal (cerca de 0,5%), em quantidades reduzidas e menos frequentes que em 2018.</w:t>
      </w:r>
    </w:p>
    <w:p w14:paraId="30652F3B" w14:textId="77777777" w:rsidR="000210BF" w:rsidRPr="006F7AE6" w:rsidRDefault="000210BF" w:rsidP="00DE1653">
      <w:pPr>
        <w:spacing w:after="0" w:line="240" w:lineRule="auto"/>
        <w:ind w:left="709"/>
        <w:rPr>
          <w:rFonts w:eastAsia="Times New Roman" w:cs="Calibri"/>
          <w:color w:val="2F5496"/>
          <w:sz w:val="4"/>
          <w:szCs w:val="4"/>
        </w:rPr>
      </w:pPr>
    </w:p>
    <w:p w14:paraId="5F0DE227" w14:textId="528C516A" w:rsidR="000210BF" w:rsidRPr="006F7AE6" w:rsidRDefault="00307AF2" w:rsidP="00DE1653">
      <w:pPr>
        <w:ind w:left="624"/>
        <w:rPr>
          <w:b/>
          <w:bCs/>
        </w:rPr>
      </w:pPr>
      <w:r w:rsidRPr="006F7AE6">
        <w:rPr>
          <w:b/>
          <w:bCs/>
        </w:rPr>
        <w:t>R</w:t>
      </w:r>
      <w:r w:rsidR="000210BF" w:rsidRPr="006F7AE6">
        <w:rPr>
          <w:b/>
          <w:bCs/>
        </w:rPr>
        <w:t xml:space="preserve">egião </w:t>
      </w:r>
      <w:r w:rsidRPr="006F7AE6">
        <w:rPr>
          <w:b/>
          <w:bCs/>
        </w:rPr>
        <w:t xml:space="preserve">mais importante </w:t>
      </w:r>
      <w:r w:rsidR="000326CF" w:rsidRPr="006F7AE6">
        <w:rPr>
          <w:b/>
          <w:bCs/>
        </w:rPr>
        <w:t>para o</w:t>
      </w:r>
      <w:r w:rsidR="000210BF" w:rsidRPr="006F7AE6">
        <w:rPr>
          <w:b/>
          <w:bCs/>
        </w:rPr>
        <w:t xml:space="preserve"> abastecimento d</w:t>
      </w:r>
      <w:r w:rsidR="000326CF" w:rsidRPr="006F7AE6">
        <w:rPr>
          <w:b/>
          <w:bCs/>
        </w:rPr>
        <w:t>os mercados</w:t>
      </w:r>
    </w:p>
    <w:p w14:paraId="4038C5B8" w14:textId="6F3EB8C1" w:rsidR="00FB3169" w:rsidRPr="00DE1653" w:rsidRDefault="000210BF" w:rsidP="00DE1653">
      <w:pPr>
        <w:ind w:left="936"/>
        <w:rPr>
          <w:rFonts w:cs="Calibri"/>
          <w:szCs w:val="20"/>
        </w:rPr>
      </w:pPr>
      <w:r w:rsidRPr="006F7AE6">
        <w:rPr>
          <w:rFonts w:cs="Calibri"/>
          <w:szCs w:val="20"/>
        </w:rPr>
        <w:t xml:space="preserve">Oio é a principal fornecedora dos mercados de </w:t>
      </w:r>
      <w:r w:rsidRPr="006F7AE6">
        <w:rPr>
          <w:rFonts w:cs="Calibri"/>
          <w:b/>
          <w:bCs/>
          <w:szCs w:val="20"/>
        </w:rPr>
        <w:t>Bissau</w:t>
      </w:r>
      <w:r w:rsidRPr="006F7AE6">
        <w:rPr>
          <w:rFonts w:cs="Calibri"/>
          <w:szCs w:val="20"/>
        </w:rPr>
        <w:t xml:space="preserve">, onde grossistas e retalhistas asseguram o escoamento da manga. Uma proporção menor chega aos mercados regionais e aos </w:t>
      </w:r>
      <w:r w:rsidRPr="006F7AE6">
        <w:rPr>
          <w:rFonts w:cs="Calibri"/>
          <w:b/>
          <w:bCs/>
          <w:szCs w:val="20"/>
        </w:rPr>
        <w:t>lumos</w:t>
      </w:r>
      <w:r w:rsidRPr="006F7AE6">
        <w:rPr>
          <w:rFonts w:cs="Calibri"/>
          <w:szCs w:val="20"/>
        </w:rPr>
        <w:t>, espaços de comercialização semanais de forte importância local.</w:t>
      </w:r>
    </w:p>
    <w:p w14:paraId="396B5EB9" w14:textId="77777777" w:rsidR="000210BF" w:rsidRPr="006F7AE6" w:rsidRDefault="000210BF" w:rsidP="00DE1653">
      <w:pPr>
        <w:ind w:left="624"/>
        <w:rPr>
          <w:b/>
          <w:bCs/>
        </w:rPr>
      </w:pPr>
      <w:r w:rsidRPr="006F7AE6">
        <w:rPr>
          <w:b/>
          <w:bCs/>
        </w:rPr>
        <w:t>Papel central das bideiras grossistas</w:t>
      </w:r>
    </w:p>
    <w:p w14:paraId="41E6BBEB" w14:textId="5442AC1D" w:rsidR="00FB3169" w:rsidRDefault="000210BF" w:rsidP="00DE1653">
      <w:pPr>
        <w:ind w:left="936"/>
        <w:rPr>
          <w:rFonts w:cs="Calibri"/>
          <w:szCs w:val="20"/>
        </w:rPr>
      </w:pPr>
      <w:r w:rsidRPr="006F7AE6">
        <w:rPr>
          <w:rFonts w:cs="Calibri"/>
          <w:szCs w:val="20"/>
        </w:rPr>
        <w:t xml:space="preserve">As </w:t>
      </w:r>
      <w:r w:rsidRPr="006F7AE6">
        <w:rPr>
          <w:rFonts w:cs="Calibri"/>
          <w:i/>
          <w:iCs/>
          <w:szCs w:val="20"/>
        </w:rPr>
        <w:t>bideiras</w:t>
      </w:r>
      <w:r w:rsidRPr="006F7AE6">
        <w:rPr>
          <w:rFonts w:cs="Calibri"/>
          <w:szCs w:val="20"/>
        </w:rPr>
        <w:t xml:space="preserve"> compram diretamente nos pomares de médios e pequenos produtores, muitas vezes pagando parte do produto (cerca de </w:t>
      </w:r>
      <w:r w:rsidRPr="006F7AE6">
        <w:rPr>
          <w:rFonts w:cs="Calibri"/>
          <w:b/>
          <w:bCs/>
          <w:szCs w:val="20"/>
        </w:rPr>
        <w:t>17%</w:t>
      </w:r>
      <w:r w:rsidRPr="006F7AE6">
        <w:rPr>
          <w:rFonts w:cs="Calibri"/>
          <w:szCs w:val="20"/>
        </w:rPr>
        <w:t>) com o trabalho de colheita. Este mecanismo mantém-se como um pilar da cadeia, assegurando dinamismo no comércio local.</w:t>
      </w:r>
    </w:p>
    <w:p w14:paraId="7A50D307" w14:textId="77777777" w:rsidR="000210BF" w:rsidRPr="006F7AE6" w:rsidRDefault="000210BF" w:rsidP="00DE1653">
      <w:pPr>
        <w:ind w:left="624"/>
        <w:rPr>
          <w:b/>
          <w:bCs/>
        </w:rPr>
      </w:pPr>
      <w:r w:rsidRPr="006F7AE6">
        <w:rPr>
          <w:b/>
          <w:bCs/>
        </w:rPr>
        <w:t>Baixo valor agregado e transformação incipiente</w:t>
      </w:r>
    </w:p>
    <w:p w14:paraId="2B1AF9CD" w14:textId="165427B1" w:rsidR="00FB3169" w:rsidRPr="00DE1653" w:rsidRDefault="000210BF" w:rsidP="00DE1653">
      <w:pPr>
        <w:ind w:left="936"/>
        <w:rPr>
          <w:rFonts w:cs="Calibri"/>
          <w:szCs w:val="20"/>
        </w:rPr>
      </w:pPr>
      <w:r w:rsidRPr="00DE1653">
        <w:rPr>
          <w:rFonts w:cs="Calibri"/>
          <w:szCs w:val="20"/>
        </w:rPr>
        <w:t>O setor apresenta pouco valor agregado, com a transformação ainda limitada e realizada sobretudo por microtransformadores (associações ou microempresas lideradas por mulheres). Estes dedicam-se principalmente à produção de sumo de manga (90%), utilizando variedades locais adquiridas de pequenos e médios produtores.</w:t>
      </w:r>
    </w:p>
    <w:p w14:paraId="273738E9" w14:textId="77777777" w:rsidR="000210BF" w:rsidRPr="006F7AE6" w:rsidRDefault="000210BF" w:rsidP="00DE1653">
      <w:pPr>
        <w:ind w:left="624"/>
        <w:rPr>
          <w:b/>
          <w:bCs/>
        </w:rPr>
      </w:pPr>
      <w:r w:rsidRPr="006F7AE6">
        <w:rPr>
          <w:b/>
          <w:bCs/>
        </w:rPr>
        <w:t>Relevância social e ambiental</w:t>
      </w:r>
    </w:p>
    <w:p w14:paraId="39F52E32" w14:textId="35836FA4" w:rsidR="00FB3169" w:rsidRPr="00DE1653" w:rsidRDefault="000210BF" w:rsidP="00DE1653">
      <w:pPr>
        <w:ind w:left="936"/>
        <w:rPr>
          <w:rFonts w:cs="Calibri"/>
          <w:szCs w:val="20"/>
        </w:rPr>
      </w:pPr>
      <w:r w:rsidRPr="00DE1653">
        <w:rPr>
          <w:rFonts w:cs="Calibri"/>
          <w:szCs w:val="20"/>
        </w:rPr>
        <w:t>A cadeia de valor apresenta forte inclusão social, com elevada participação feminina no comércio e na transformação, bem como baixa dependência de insumos externos. Este aspeto torna-a relevante para análises sociais (emprego feminino e juventude) e ambientais (produção extensiva e pouco intensiva em químicos).</w:t>
      </w:r>
    </w:p>
    <w:p w14:paraId="6A338DEF" w14:textId="0DADB2B8" w:rsidR="000210BF" w:rsidRPr="00EC4101" w:rsidRDefault="000210BF" w:rsidP="00DE1653">
      <w:r w:rsidRPr="006F7AE6">
        <w:t xml:space="preserve">Oio constitui a região mais estruturante para a cadeia da manga na Guiné-Bissau. De um lado, apresenta elevada produção, forte peso nas variedades melhoradas e potencial de exportação formal. De outro, a cadeia permanece marcada por </w:t>
      </w:r>
      <w:r w:rsidRPr="003D64C2">
        <w:t>informalidade, pouca transformação e déficits logísticos, mas revela grande importância social e ambiental, pelo papel das mulheres e pela produção extensiva</w:t>
      </w:r>
    </w:p>
    <w:p w14:paraId="4F480DBB" w14:textId="1EC8483C" w:rsidR="006E474A" w:rsidRPr="006F7AE6" w:rsidRDefault="008D3D04" w:rsidP="00E042D7">
      <w:pPr>
        <w:pStyle w:val="Heading3"/>
        <w:numPr>
          <w:ilvl w:val="2"/>
          <w:numId w:val="35"/>
        </w:numPr>
      </w:pPr>
      <w:bookmarkStart w:id="76" w:name="_Toc204704309"/>
      <w:bookmarkStart w:id="77" w:name="_Toc220507509"/>
      <w:r w:rsidRPr="006F7AE6">
        <w:t>Subcadeia da Manga d</w:t>
      </w:r>
      <w:r w:rsidR="00575536" w:rsidRPr="006F7AE6">
        <w:t>a região de Cacheu</w:t>
      </w:r>
      <w:bookmarkEnd w:id="76"/>
      <w:bookmarkEnd w:id="77"/>
    </w:p>
    <w:p w14:paraId="546A5E92" w14:textId="165D25C0" w:rsidR="002E53A5" w:rsidRPr="003D64C2" w:rsidRDefault="002E53A5" w:rsidP="006F7AE6">
      <w:pPr>
        <w:rPr>
          <w:rFonts w:eastAsia="Times New Roman"/>
        </w:rPr>
      </w:pPr>
      <w:r w:rsidRPr="003D64C2">
        <w:rPr>
          <w:rFonts w:eastAsia="Times New Roman"/>
        </w:rPr>
        <w:t>A subcadeia da manga da região de Cacheu</w:t>
      </w:r>
      <w:r w:rsidRPr="003D64C2">
        <w:rPr>
          <w:rFonts w:eastAsia="Times New Roman"/>
          <w:i/>
          <w:iCs/>
        </w:rPr>
        <w:t xml:space="preserve">, apresentada </w:t>
      </w:r>
      <w:r w:rsidRPr="00C845E7">
        <w:rPr>
          <w:rFonts w:eastAsia="Times New Roman"/>
          <w:i/>
          <w:iCs/>
        </w:rPr>
        <w:t xml:space="preserve">na </w:t>
      </w:r>
      <w:r w:rsidR="00B554D7" w:rsidRPr="00C845E7">
        <w:rPr>
          <w:rFonts w:eastAsia="Times New Roman"/>
          <w:i/>
          <w:iCs/>
        </w:rPr>
        <w:fldChar w:fldCharType="begin"/>
      </w:r>
      <w:r w:rsidR="00B554D7" w:rsidRPr="00C845E7">
        <w:rPr>
          <w:rFonts w:eastAsia="Times New Roman"/>
          <w:i/>
          <w:iCs/>
        </w:rPr>
        <w:instrText xml:space="preserve"> REF _Ref210751651 \h </w:instrText>
      </w:r>
      <w:r w:rsidR="003D64C2" w:rsidRPr="00C845E7">
        <w:rPr>
          <w:rFonts w:eastAsia="Times New Roman"/>
          <w:i/>
          <w:iCs/>
        </w:rPr>
        <w:instrText xml:space="preserve"> \* MERGEFORMAT </w:instrText>
      </w:r>
      <w:r w:rsidR="00B554D7" w:rsidRPr="00C845E7">
        <w:rPr>
          <w:rFonts w:eastAsia="Times New Roman"/>
          <w:i/>
          <w:iCs/>
        </w:rPr>
      </w:r>
      <w:r w:rsidR="00B554D7" w:rsidRPr="00C845E7">
        <w:rPr>
          <w:rFonts w:eastAsia="Times New Roman"/>
          <w:i/>
          <w:iCs/>
        </w:rPr>
        <w:fldChar w:fldCharType="separate"/>
      </w:r>
      <w:r w:rsidR="002A2405" w:rsidRPr="00AD6252">
        <w:t>Figura</w:t>
      </w:r>
      <w:r w:rsidR="002A2405" w:rsidRPr="00AD6252">
        <w:rPr>
          <w:noProof/>
        </w:rPr>
        <w:t xml:space="preserve"> </w:t>
      </w:r>
      <w:r w:rsidR="002A2405">
        <w:rPr>
          <w:noProof/>
        </w:rPr>
        <w:t>2</w:t>
      </w:r>
      <w:r w:rsidR="002A2405">
        <w:t>.</w:t>
      </w:r>
      <w:r w:rsidR="002A2405">
        <w:rPr>
          <w:noProof/>
        </w:rPr>
        <w:t>4</w:t>
      </w:r>
      <w:r w:rsidR="00B554D7" w:rsidRPr="00C845E7">
        <w:rPr>
          <w:rFonts w:eastAsia="Times New Roman"/>
          <w:i/>
          <w:iCs/>
        </w:rPr>
        <w:fldChar w:fldCharType="end"/>
      </w:r>
      <w:r w:rsidRPr="003D64C2">
        <w:rPr>
          <w:rFonts w:eastAsia="Times New Roman"/>
          <w:i/>
          <w:iCs/>
        </w:rPr>
        <w:t>,</w:t>
      </w:r>
      <w:r w:rsidRPr="003D64C2">
        <w:rPr>
          <w:rFonts w:eastAsia="Times New Roman"/>
        </w:rPr>
        <w:t xml:space="preserve"> representa cerca de 27% da produção nacional líquida (3.173 toneladas em 2025), com predominância de variedades locais, embora ainda exista uma proporção relevante de variedades de exportação (Kent e Keitt). A estrutura produtiva é marcada pela forte presença de produtores familiares (50%) e pequenos produtores (35%), complementados por uma fração de produtores medianos (15%).</w:t>
      </w:r>
    </w:p>
    <w:p w14:paraId="2A4A4B41" w14:textId="5EDF8AD2" w:rsidR="00776555" w:rsidRPr="006F7AE6" w:rsidRDefault="002A0E99" w:rsidP="00D72D8B">
      <w:pPr>
        <w:contextualSpacing/>
        <w:jc w:val="center"/>
      </w:pPr>
      <w:r>
        <w:rPr>
          <w:rFonts w:eastAsia="Times New Roman"/>
          <w:noProof/>
        </w:rPr>
        <w:lastRenderedPageBreak/>
        <w:drawing>
          <wp:inline distT="0" distB="0" distL="0" distR="0" wp14:anchorId="3FF50CDD" wp14:editId="30704A4F">
            <wp:extent cx="5133975" cy="2886075"/>
            <wp:effectExtent l="0" t="0" r="9525" b="9525"/>
            <wp:docPr id="20594232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33975" cy="2886075"/>
                    </a:xfrm>
                    <a:prstGeom prst="rect">
                      <a:avLst/>
                    </a:prstGeom>
                    <a:noFill/>
                    <a:ln>
                      <a:noFill/>
                    </a:ln>
                  </pic:spPr>
                </pic:pic>
              </a:graphicData>
            </a:graphic>
          </wp:inline>
        </w:drawing>
      </w:r>
    </w:p>
    <w:p w14:paraId="2ED9B145" w14:textId="615DEEDF" w:rsidR="004D697B" w:rsidRPr="00AD6252" w:rsidRDefault="00A57680" w:rsidP="007D3A26">
      <w:pPr>
        <w:pStyle w:val="Caption"/>
      </w:pPr>
      <w:bookmarkStart w:id="78" w:name="_Ref210751651"/>
      <w:bookmarkStart w:id="79" w:name="_Toc211359235"/>
      <w:r>
        <w:t xml:space="preserve">                                    </w:t>
      </w:r>
      <w:r w:rsidR="004D697B" w:rsidRPr="00AD6252">
        <w:t xml:space="preserve">Figura </w:t>
      </w:r>
      <w:fldSimple w:instr=" STYLEREF 1 \s ">
        <w:r w:rsidR="002A2405">
          <w:rPr>
            <w:noProof/>
          </w:rPr>
          <w:t>2</w:t>
        </w:r>
      </w:fldSimple>
      <w:r w:rsidR="00C05C88">
        <w:t>.</w:t>
      </w:r>
      <w:fldSimple w:instr=" SEQ Figura \* ARABIC \s 1 ">
        <w:r w:rsidR="002A2405">
          <w:rPr>
            <w:noProof/>
          </w:rPr>
          <w:t>4</w:t>
        </w:r>
      </w:fldSimple>
      <w:bookmarkEnd w:id="78"/>
      <w:r w:rsidR="004D697B" w:rsidRPr="00AD6252">
        <w:t xml:space="preserve"> - Fluxograma da subcadeia da manga na região de Cacheu</w:t>
      </w:r>
      <w:bookmarkEnd w:id="79"/>
    </w:p>
    <w:p w14:paraId="6AB667AB" w14:textId="1772F852" w:rsidR="003212EA" w:rsidRPr="006F7AE6" w:rsidRDefault="003212EA" w:rsidP="00E6736E">
      <w:pPr>
        <w:rPr>
          <w:rFonts w:eastAsia="Times New Roman"/>
        </w:rPr>
      </w:pPr>
      <w:r w:rsidRPr="006F7AE6">
        <w:rPr>
          <w:rFonts w:eastAsia="Times New Roman"/>
        </w:rPr>
        <w:t>A sub-cadeia da região de Cacheu distingue-se por:</w:t>
      </w:r>
    </w:p>
    <w:p w14:paraId="41C48CE4" w14:textId="3412E4AF" w:rsidR="00BB71AF" w:rsidRPr="006F7AE6" w:rsidRDefault="00BB71AF" w:rsidP="006F7AE6">
      <w:pPr>
        <w:ind w:left="624"/>
        <w:rPr>
          <w:b/>
          <w:bCs/>
        </w:rPr>
      </w:pPr>
      <w:r w:rsidRPr="006F7AE6">
        <w:rPr>
          <w:b/>
          <w:bCs/>
        </w:rPr>
        <w:t>Estrutura dos produtores</w:t>
      </w:r>
    </w:p>
    <w:p w14:paraId="3600EE09" w14:textId="0C25CDB9" w:rsidR="00222F4C" w:rsidRPr="00D72D8B" w:rsidRDefault="00BB71AF" w:rsidP="00D72D8B">
      <w:pPr>
        <w:ind w:left="936"/>
      </w:pPr>
      <w:r w:rsidRPr="00D72D8B">
        <w:t xml:space="preserve">Três perfis compõem a fileira: médios produtores, pequenos produtores e produtores familiares, com predominância clara dos últimos dois grupos. A agricultura familiar assegura metade da produção, refletindo o </w:t>
      </w:r>
      <w:r w:rsidR="00FC5A3E" w:rsidRPr="00D72D8B">
        <w:t>carácter</w:t>
      </w:r>
      <w:r w:rsidRPr="00D72D8B">
        <w:t xml:space="preserve"> inclusivo, mas de baixa escala.</w:t>
      </w:r>
    </w:p>
    <w:p w14:paraId="3C18828F" w14:textId="77777777" w:rsidR="00FA54E0" w:rsidRDefault="00FA54E0" w:rsidP="006F7AE6">
      <w:pPr>
        <w:ind w:left="624"/>
        <w:rPr>
          <w:b/>
          <w:bCs/>
        </w:rPr>
      </w:pPr>
    </w:p>
    <w:p w14:paraId="53A2E592" w14:textId="77777777" w:rsidR="00FA54E0" w:rsidRDefault="00FA54E0" w:rsidP="006F7AE6">
      <w:pPr>
        <w:ind w:left="624"/>
        <w:rPr>
          <w:b/>
          <w:bCs/>
        </w:rPr>
      </w:pPr>
    </w:p>
    <w:p w14:paraId="0B2FE27E" w14:textId="77777777" w:rsidR="002A0E99" w:rsidRDefault="002A0E99" w:rsidP="006F7AE6">
      <w:pPr>
        <w:ind w:left="624"/>
        <w:rPr>
          <w:b/>
          <w:bCs/>
        </w:rPr>
      </w:pPr>
    </w:p>
    <w:p w14:paraId="3FFB8F42" w14:textId="13558A2F" w:rsidR="00BB71AF" w:rsidRPr="006F7AE6" w:rsidRDefault="00BB71AF" w:rsidP="006F7AE6">
      <w:pPr>
        <w:ind w:left="624"/>
        <w:rPr>
          <w:b/>
          <w:bCs/>
        </w:rPr>
      </w:pPr>
      <w:r w:rsidRPr="006F7AE6">
        <w:rPr>
          <w:b/>
          <w:bCs/>
        </w:rPr>
        <w:t>Variedades cultivadas</w:t>
      </w:r>
    </w:p>
    <w:p w14:paraId="0DC17E58" w14:textId="08AB6A84" w:rsidR="00222F4C" w:rsidRPr="006F7AE6" w:rsidRDefault="00BB71AF" w:rsidP="00D72D8B">
      <w:pPr>
        <w:ind w:left="936"/>
      </w:pPr>
      <w:r w:rsidRPr="00D72D8B">
        <w:t xml:space="preserve">A produção é maioritariamente de variedades locais (Serra-Leoa, Faca e outras), que dominam o mercado interno. Contudo, os produtores médios ainda mantêm </w:t>
      </w:r>
      <w:r w:rsidR="002E53A5" w:rsidRPr="00D72D8B">
        <w:t xml:space="preserve">áreas relevantes de </w:t>
      </w:r>
      <w:r w:rsidRPr="00D72D8B">
        <w:t>pomares de variedades melhoradas (Kent e Keith)</w:t>
      </w:r>
      <w:r w:rsidR="002E53A5" w:rsidRPr="00D72D8B">
        <w:t xml:space="preserve">, não obstante ao desejo </w:t>
      </w:r>
      <w:r w:rsidRPr="00D72D8B">
        <w:t>crescente de substituição destes pomares por culturas alternativas ou variedades locais.</w:t>
      </w:r>
    </w:p>
    <w:p w14:paraId="108D2A8B" w14:textId="2F506D55" w:rsidR="00BB71AF" w:rsidRPr="006F7AE6" w:rsidRDefault="00BB71AF" w:rsidP="006F7AE6">
      <w:pPr>
        <w:ind w:left="624"/>
        <w:rPr>
          <w:b/>
          <w:bCs/>
        </w:rPr>
      </w:pPr>
      <w:r w:rsidRPr="006F7AE6">
        <w:rPr>
          <w:b/>
          <w:bCs/>
        </w:rPr>
        <w:t>Destino da produção</w:t>
      </w:r>
    </w:p>
    <w:p w14:paraId="71978E5C" w14:textId="3321FE08" w:rsidR="00205834" w:rsidRPr="006F7AE6" w:rsidRDefault="00BB71AF" w:rsidP="00D72D8B">
      <w:pPr>
        <w:ind w:left="936"/>
      </w:pPr>
      <w:r w:rsidRPr="006F7AE6">
        <w:t>O comércio é orientado sobretudo para os lumos da região, complementado por vendas nos mercados de Bissau. Apesar de no passado haver fluxos para o Senegal, não há registos recentes de exportação formal; admite-se apenas algum comércio informal em pequena escala através das fronteiras locais.</w:t>
      </w:r>
    </w:p>
    <w:p w14:paraId="6F8CA03A" w14:textId="4099B9E5" w:rsidR="00BB71AF" w:rsidRPr="006F7AE6" w:rsidRDefault="00BB71AF" w:rsidP="006F7AE6">
      <w:pPr>
        <w:ind w:left="624"/>
        <w:rPr>
          <w:b/>
          <w:bCs/>
        </w:rPr>
      </w:pPr>
      <w:r w:rsidRPr="006F7AE6">
        <w:rPr>
          <w:b/>
          <w:bCs/>
        </w:rPr>
        <w:t>Papel das bideiras</w:t>
      </w:r>
    </w:p>
    <w:p w14:paraId="09F5DDE9" w14:textId="3A1B3599" w:rsidR="00205834" w:rsidRPr="00D72D8B" w:rsidRDefault="00BB71AF" w:rsidP="00D72D8B">
      <w:pPr>
        <w:ind w:left="936"/>
      </w:pPr>
      <w:r w:rsidRPr="00D72D8B">
        <w:t>As bideiras dominam a distribuição (95%), abastecendo tanto mercados regionais como Bissau. Funcionam como principal elo entre produtores e consumidores, assumindo um papel essencial no escoamento da produção.</w:t>
      </w:r>
    </w:p>
    <w:p w14:paraId="420178C2" w14:textId="4B79C3F2" w:rsidR="00BB71AF" w:rsidRPr="006F7AE6" w:rsidRDefault="00BB71AF" w:rsidP="006F7AE6">
      <w:pPr>
        <w:ind w:left="624"/>
        <w:rPr>
          <w:b/>
          <w:bCs/>
        </w:rPr>
      </w:pPr>
      <w:r w:rsidRPr="006F7AE6">
        <w:rPr>
          <w:b/>
          <w:bCs/>
        </w:rPr>
        <w:t>Processamento</w:t>
      </w:r>
    </w:p>
    <w:p w14:paraId="0D7F3FD1" w14:textId="40E40D5E" w:rsidR="009A5F11" w:rsidRPr="00D72D8B" w:rsidRDefault="00BB71AF" w:rsidP="00D72D8B">
      <w:pPr>
        <w:ind w:left="936"/>
      </w:pPr>
      <w:r w:rsidRPr="00D72D8B">
        <w:lastRenderedPageBreak/>
        <w:t>O processamento é incipiente, assegurado por micro</w:t>
      </w:r>
      <w:r w:rsidR="009735E3" w:rsidRPr="00D72D8B">
        <w:t>-</w:t>
      </w:r>
      <w:r w:rsidRPr="00D72D8B">
        <w:t>transformadores (2–5% da manga disponível), sobretudo grupos de mulheres organizadas ou associações locais. O volume transformado é reduzido e voltado para sumos e produtos derivados, limitando o valor agregado.</w:t>
      </w:r>
    </w:p>
    <w:p w14:paraId="5AE9B1E6" w14:textId="6ADB124C" w:rsidR="00BB71AF" w:rsidRPr="006F7AE6" w:rsidRDefault="00BB71AF" w:rsidP="006F7AE6">
      <w:pPr>
        <w:ind w:left="624"/>
        <w:rPr>
          <w:b/>
          <w:bCs/>
        </w:rPr>
      </w:pPr>
      <w:r w:rsidRPr="006F7AE6">
        <w:rPr>
          <w:b/>
          <w:bCs/>
        </w:rPr>
        <w:t>Limitações estruturais e logísticas</w:t>
      </w:r>
    </w:p>
    <w:p w14:paraId="5724C332" w14:textId="53AE6BD5" w:rsidR="009A5F11" w:rsidRPr="006F7AE6" w:rsidRDefault="00BB71AF" w:rsidP="00D72D8B">
      <w:pPr>
        <w:ind w:left="936"/>
      </w:pPr>
      <w:r w:rsidRPr="00D72D8B">
        <w:t>A cadeia depende de transportes informais, muitas vezes veículos de passageiros, sem sistemas adequados de conservação ou armazenamento. Esta limitação aumenta as perdas pós-colheita e restringe a competitividade da fileira.</w:t>
      </w:r>
    </w:p>
    <w:p w14:paraId="708DFC51" w14:textId="5A04A8D5" w:rsidR="00BB71AF" w:rsidRPr="006F7AE6" w:rsidRDefault="00BB71AF" w:rsidP="006F7AE6">
      <w:pPr>
        <w:ind w:left="624"/>
        <w:rPr>
          <w:b/>
          <w:bCs/>
        </w:rPr>
      </w:pPr>
      <w:r w:rsidRPr="006F7AE6">
        <w:rPr>
          <w:b/>
          <w:bCs/>
        </w:rPr>
        <w:t>Relevância estratégica</w:t>
      </w:r>
    </w:p>
    <w:p w14:paraId="068CBA1C" w14:textId="218475C4" w:rsidR="009A5F11" w:rsidRPr="006F7AE6" w:rsidRDefault="00BB71AF" w:rsidP="00D72D8B">
      <w:pPr>
        <w:ind w:left="936"/>
      </w:pPr>
      <w:r w:rsidRPr="00D72D8B">
        <w:t>Apesar da baixa expressão exportadora atual, Cacheu mantém potencial para abastecer mercados sub-regionais (Senegal) e, em menor escala, mercados formais europeus, se houver investimentos em qualidade e certificação. A região é também relevante para análises de produtividade, custos de produção e perdas por pragas (mosca-da-fruta), por refletir bem os desafios enfrentados pelos pequenos produtores.</w:t>
      </w:r>
    </w:p>
    <w:p w14:paraId="166BFE8A" w14:textId="5BADF351" w:rsidR="009A5F11" w:rsidRPr="00D72D8B" w:rsidRDefault="006416A2" w:rsidP="009A5F11">
      <w:r w:rsidRPr="00D72D8B">
        <w:t>Apesar da baixa expressão exportadora atual, Cacheu mantém potencial para abastecer mercados sub-regionais (Senegal) e, em menor escala, mercados formais europeus, se houver investimentos em qualidade e certificação. A região é também relevante para análises de produtividade, custos de produção e perdas por pragas (mosca-da-fruta), por refletir bem os desafios enfrentados pelos pequenos produtores.</w:t>
      </w:r>
    </w:p>
    <w:p w14:paraId="784F10CF" w14:textId="7F3BC2C5" w:rsidR="006E474A" w:rsidRPr="006F7AE6" w:rsidRDefault="008D3D04" w:rsidP="00E042D7">
      <w:pPr>
        <w:pStyle w:val="Heading3"/>
        <w:numPr>
          <w:ilvl w:val="2"/>
          <w:numId w:val="35"/>
        </w:numPr>
      </w:pPr>
      <w:bookmarkStart w:id="80" w:name="_Toc204704310"/>
      <w:bookmarkStart w:id="81" w:name="_Toc220507510"/>
      <w:r w:rsidRPr="006F7AE6">
        <w:t xml:space="preserve">Subcadeia da </w:t>
      </w:r>
      <w:r w:rsidR="00B903AE" w:rsidRPr="006F7AE6">
        <w:t>região de Bafatá e resto do país</w:t>
      </w:r>
      <w:bookmarkEnd w:id="80"/>
      <w:bookmarkEnd w:id="81"/>
    </w:p>
    <w:p w14:paraId="22D0A81D" w14:textId="28B1C4EA" w:rsidR="002D7FF7" w:rsidRPr="006F7AE6" w:rsidRDefault="002501B3" w:rsidP="006F7AE6">
      <w:pPr>
        <w:rPr>
          <w:rFonts w:eastAsia="Times New Roman"/>
        </w:rPr>
      </w:pPr>
      <w:r w:rsidRPr="006F7AE6">
        <w:rPr>
          <w:rFonts w:eastAsia="Times New Roman"/>
        </w:rPr>
        <w:t>A subcadeia de Bafatá/Restante do país</w:t>
      </w:r>
      <w:r w:rsidR="009B5F4E">
        <w:rPr>
          <w:rFonts w:eastAsia="Times New Roman"/>
        </w:rPr>
        <w:t xml:space="preserve">, representada na </w:t>
      </w:r>
      <w:r w:rsidR="009B5F4E">
        <w:rPr>
          <w:rFonts w:eastAsia="Times New Roman"/>
        </w:rPr>
        <w:fldChar w:fldCharType="begin"/>
      </w:r>
      <w:r w:rsidR="009B5F4E">
        <w:rPr>
          <w:rFonts w:eastAsia="Times New Roman"/>
        </w:rPr>
        <w:instrText xml:space="preserve"> REF _Ref210762007 \h </w:instrText>
      </w:r>
      <w:r w:rsidR="009B5F4E">
        <w:rPr>
          <w:rFonts w:eastAsia="Times New Roman"/>
        </w:rPr>
      </w:r>
      <w:r w:rsidR="009B5F4E">
        <w:rPr>
          <w:rFonts w:eastAsia="Times New Roman"/>
        </w:rPr>
        <w:fldChar w:fldCharType="separate"/>
      </w:r>
      <w:r w:rsidR="002A2405">
        <w:t xml:space="preserve">Figura </w:t>
      </w:r>
      <w:r w:rsidR="002A2405">
        <w:rPr>
          <w:noProof/>
        </w:rPr>
        <w:t>2</w:t>
      </w:r>
      <w:r w:rsidR="002A2405">
        <w:t>.</w:t>
      </w:r>
      <w:r w:rsidR="002A2405">
        <w:rPr>
          <w:noProof/>
        </w:rPr>
        <w:t>5</w:t>
      </w:r>
      <w:r w:rsidR="009B5F4E">
        <w:rPr>
          <w:rFonts w:eastAsia="Times New Roman"/>
        </w:rPr>
        <w:fldChar w:fldCharType="end"/>
      </w:r>
      <w:r w:rsidR="009B5F4E">
        <w:rPr>
          <w:rFonts w:eastAsia="Times New Roman"/>
        </w:rPr>
        <w:t>,</w:t>
      </w:r>
      <w:r w:rsidRPr="006F7AE6">
        <w:rPr>
          <w:rFonts w:eastAsia="Times New Roman"/>
        </w:rPr>
        <w:t xml:space="preserve"> apresenta-se mais simples e tradicional, marcada por uma lógica de subsistência. É dominada por produtores familiares e pequenos, centrada na produção de variedades locais e orientada sobretudo para o autoconsumo e para os mercados regionais, com destaque para os lumos, que assumem forte relevância social e económica nestas zonas.</w:t>
      </w:r>
    </w:p>
    <w:p w14:paraId="53B6BAEE" w14:textId="77777777" w:rsidR="002501B3" w:rsidRPr="006F7AE6" w:rsidRDefault="002501B3" w:rsidP="006F7AE6">
      <w:pPr>
        <w:pStyle w:val="ListParagraph"/>
        <w:keepNext/>
        <w:keepLines/>
        <w:spacing w:before="160" w:after="80" w:line="276" w:lineRule="auto"/>
        <w:ind w:left="851"/>
        <w:outlineLvl w:val="1"/>
        <w:rPr>
          <w:rFonts w:eastAsia="Times New Roman" w:cs="Calibri"/>
          <w:szCs w:val="20"/>
        </w:rPr>
      </w:pPr>
    </w:p>
    <w:p w14:paraId="504814FB" w14:textId="23AC59AC" w:rsidR="00204ACB" w:rsidRPr="006F7AE6" w:rsidRDefault="002A0E99" w:rsidP="00D72D8B">
      <w:pPr>
        <w:jc w:val="center"/>
        <w:rPr>
          <w:rFonts w:eastAsia="Times New Roman"/>
        </w:rPr>
      </w:pPr>
      <w:r>
        <w:rPr>
          <w:rFonts w:eastAsia="Times New Roman"/>
          <w:noProof/>
        </w:rPr>
        <w:drawing>
          <wp:inline distT="0" distB="0" distL="0" distR="0" wp14:anchorId="17068F89" wp14:editId="0724A3CB">
            <wp:extent cx="5400675" cy="3038475"/>
            <wp:effectExtent l="0" t="0" r="9525" b="9525"/>
            <wp:docPr id="12819203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14:paraId="56EFE3A6" w14:textId="583278EF" w:rsidR="00523B57" w:rsidRDefault="00A57680" w:rsidP="007D3A26">
      <w:pPr>
        <w:pStyle w:val="Caption"/>
      </w:pPr>
      <w:bookmarkStart w:id="82" w:name="_Ref210762007"/>
      <w:bookmarkStart w:id="83" w:name="_Toc211359236"/>
      <w:r>
        <w:t xml:space="preserve">                      </w:t>
      </w:r>
      <w:r w:rsidR="009B5F4E">
        <w:t xml:space="preserve">Figura </w:t>
      </w:r>
      <w:fldSimple w:instr=" STYLEREF 1 \s ">
        <w:r w:rsidR="002A2405">
          <w:rPr>
            <w:noProof/>
          </w:rPr>
          <w:t>2</w:t>
        </w:r>
      </w:fldSimple>
      <w:r w:rsidR="00C05C88">
        <w:t>.</w:t>
      </w:r>
      <w:fldSimple w:instr=" SEQ Figura \* ARABIC \s 1 ">
        <w:r w:rsidR="002A2405">
          <w:rPr>
            <w:noProof/>
          </w:rPr>
          <w:t>5</w:t>
        </w:r>
      </w:fldSimple>
      <w:bookmarkEnd w:id="82"/>
      <w:r w:rsidR="009B5F4E">
        <w:t xml:space="preserve"> -</w:t>
      </w:r>
      <w:r w:rsidR="00FF4D0C" w:rsidRPr="009B5F4E">
        <w:t xml:space="preserve"> </w:t>
      </w:r>
      <w:r w:rsidR="009B5F4E" w:rsidRPr="009B5F4E">
        <w:t>Fluxograma da subcadeia da manga na região de Bafatá e resto do país</w:t>
      </w:r>
      <w:bookmarkEnd w:id="83"/>
    </w:p>
    <w:p w14:paraId="6614B9F9" w14:textId="77777777" w:rsidR="00523B57" w:rsidRPr="006F7AE6" w:rsidRDefault="00523B57" w:rsidP="00D70693">
      <w:r w:rsidRPr="006F7AE6">
        <w:t>Principais características da subcadeia de Bafatá/Restante do País</w:t>
      </w:r>
    </w:p>
    <w:p w14:paraId="442F76AC" w14:textId="77777777" w:rsidR="00523B57" w:rsidRPr="006F7AE6" w:rsidRDefault="00523B57" w:rsidP="00D72D8B">
      <w:pPr>
        <w:ind w:left="624"/>
        <w:rPr>
          <w:rFonts w:cs="Calibri"/>
          <w:szCs w:val="20"/>
        </w:rPr>
      </w:pPr>
      <w:r w:rsidRPr="006F7AE6">
        <w:rPr>
          <w:rFonts w:cs="Calibri"/>
          <w:b/>
          <w:bCs/>
          <w:szCs w:val="20"/>
        </w:rPr>
        <w:t>Perfil dos Produtores</w:t>
      </w:r>
    </w:p>
    <w:p w14:paraId="6BE88FEE" w14:textId="77777777" w:rsidR="00523B57" w:rsidRPr="006F7AE6" w:rsidRDefault="00523B57" w:rsidP="001741F6">
      <w:pPr>
        <w:numPr>
          <w:ilvl w:val="1"/>
          <w:numId w:val="8"/>
        </w:numPr>
        <w:ind w:left="1134" w:hanging="198"/>
        <w:contextualSpacing/>
        <w:rPr>
          <w:rFonts w:cs="Calibri"/>
          <w:szCs w:val="20"/>
        </w:rPr>
      </w:pPr>
      <w:r w:rsidRPr="006F7AE6">
        <w:rPr>
          <w:rFonts w:cs="Calibri"/>
          <w:szCs w:val="20"/>
        </w:rPr>
        <w:lastRenderedPageBreak/>
        <w:t>Apenas dois tipos: pequenos (30%) e familiares (70%).</w:t>
      </w:r>
    </w:p>
    <w:p w14:paraId="53E6896F" w14:textId="7AAB3FB3" w:rsidR="00523B57" w:rsidRDefault="00523B57" w:rsidP="001741F6">
      <w:pPr>
        <w:numPr>
          <w:ilvl w:val="1"/>
          <w:numId w:val="8"/>
        </w:numPr>
        <w:ind w:left="1134" w:hanging="198"/>
        <w:contextualSpacing/>
        <w:rPr>
          <w:rFonts w:cs="Calibri"/>
          <w:szCs w:val="20"/>
        </w:rPr>
      </w:pPr>
      <w:r w:rsidRPr="006F7AE6">
        <w:rPr>
          <w:rFonts w:cs="Calibri"/>
          <w:szCs w:val="20"/>
        </w:rPr>
        <w:t>Ausência de grandes e médios produtores, diferentemente de outras regiões.</w:t>
      </w:r>
    </w:p>
    <w:p w14:paraId="16B7A752" w14:textId="77777777" w:rsidR="00A923F5" w:rsidRPr="006F7AE6" w:rsidRDefault="00A923F5" w:rsidP="00D72D8B">
      <w:pPr>
        <w:ind w:left="1134" w:hanging="198"/>
        <w:contextualSpacing/>
        <w:rPr>
          <w:rFonts w:cs="Calibri"/>
          <w:szCs w:val="20"/>
        </w:rPr>
      </w:pPr>
    </w:p>
    <w:p w14:paraId="4E33376C" w14:textId="77777777" w:rsidR="00523B57" w:rsidRPr="006F7AE6" w:rsidRDefault="00523B57" w:rsidP="00D72D8B">
      <w:pPr>
        <w:ind w:left="624"/>
        <w:rPr>
          <w:rFonts w:cs="Calibri"/>
          <w:szCs w:val="20"/>
        </w:rPr>
      </w:pPr>
      <w:r w:rsidRPr="006F7AE6">
        <w:rPr>
          <w:rFonts w:cs="Calibri"/>
          <w:b/>
          <w:bCs/>
          <w:szCs w:val="20"/>
        </w:rPr>
        <w:t>Variedades Produzidas</w:t>
      </w:r>
    </w:p>
    <w:p w14:paraId="1DE20ABF" w14:textId="77777777" w:rsidR="00523B57" w:rsidRPr="006F7AE6" w:rsidRDefault="00523B57" w:rsidP="001741F6">
      <w:pPr>
        <w:numPr>
          <w:ilvl w:val="1"/>
          <w:numId w:val="9"/>
        </w:numPr>
        <w:ind w:left="1134" w:hanging="198"/>
        <w:contextualSpacing/>
        <w:rPr>
          <w:rFonts w:cs="Calibri"/>
          <w:szCs w:val="20"/>
        </w:rPr>
      </w:pPr>
      <w:r w:rsidRPr="006F7AE6">
        <w:rPr>
          <w:rFonts w:cs="Calibri"/>
          <w:szCs w:val="20"/>
        </w:rPr>
        <w:t>Predomínio quase exclusivo de variedades locais (Serra-Leoa, Faca/Colasso e outras).</w:t>
      </w:r>
    </w:p>
    <w:p w14:paraId="717A32DC" w14:textId="409EEFC3" w:rsidR="00A923F5" w:rsidRDefault="00523B57" w:rsidP="001741F6">
      <w:pPr>
        <w:numPr>
          <w:ilvl w:val="1"/>
          <w:numId w:val="9"/>
        </w:numPr>
        <w:ind w:left="1134" w:hanging="198"/>
        <w:contextualSpacing/>
        <w:rPr>
          <w:rFonts w:cs="Calibri"/>
          <w:szCs w:val="20"/>
        </w:rPr>
      </w:pPr>
      <w:r w:rsidRPr="006F7AE6">
        <w:rPr>
          <w:rFonts w:cs="Calibri"/>
          <w:szCs w:val="20"/>
        </w:rPr>
        <w:t>Variedades melhoradas praticamente inexistentes.</w:t>
      </w:r>
    </w:p>
    <w:p w14:paraId="1D242CB4" w14:textId="77777777" w:rsidR="00D72D8B" w:rsidRPr="00D72D8B" w:rsidRDefault="00D72D8B" w:rsidP="00D72D8B">
      <w:pPr>
        <w:ind w:left="1134"/>
        <w:contextualSpacing/>
        <w:rPr>
          <w:rFonts w:cs="Calibri"/>
          <w:szCs w:val="20"/>
        </w:rPr>
      </w:pPr>
    </w:p>
    <w:p w14:paraId="68F3970F" w14:textId="77777777" w:rsidR="00523B57" w:rsidRPr="006F7AE6" w:rsidRDefault="00523B57" w:rsidP="00D72D8B">
      <w:pPr>
        <w:ind w:left="624"/>
        <w:rPr>
          <w:rFonts w:cs="Calibri"/>
          <w:szCs w:val="20"/>
        </w:rPr>
      </w:pPr>
      <w:r w:rsidRPr="006F7AE6">
        <w:rPr>
          <w:rFonts w:cs="Calibri"/>
          <w:b/>
          <w:bCs/>
          <w:szCs w:val="20"/>
        </w:rPr>
        <w:t>Processamento</w:t>
      </w:r>
    </w:p>
    <w:p w14:paraId="63F70A04" w14:textId="74F60828" w:rsidR="00523B57" w:rsidRPr="006F7AE6" w:rsidRDefault="00523B57" w:rsidP="001741F6">
      <w:pPr>
        <w:numPr>
          <w:ilvl w:val="1"/>
          <w:numId w:val="10"/>
        </w:numPr>
        <w:ind w:left="1134" w:hanging="198"/>
        <w:contextualSpacing/>
        <w:rPr>
          <w:rFonts w:cs="Calibri"/>
          <w:szCs w:val="20"/>
        </w:rPr>
      </w:pPr>
      <w:r w:rsidRPr="006F7AE6">
        <w:rPr>
          <w:rFonts w:cs="Calibri"/>
          <w:szCs w:val="20"/>
        </w:rPr>
        <w:t>Muito incipiente, restrito a micro</w:t>
      </w:r>
      <w:r w:rsidR="009735E3" w:rsidRPr="005F79AC">
        <w:rPr>
          <w:rFonts w:cs="Calibri"/>
          <w:szCs w:val="20"/>
        </w:rPr>
        <w:t>-</w:t>
      </w:r>
      <w:r w:rsidRPr="006F7AE6">
        <w:rPr>
          <w:rFonts w:cs="Calibri"/>
          <w:szCs w:val="20"/>
        </w:rPr>
        <w:t>transformadores e grupos comunitários.</w:t>
      </w:r>
    </w:p>
    <w:p w14:paraId="1748270E" w14:textId="59CB012E" w:rsidR="00523B57" w:rsidRDefault="00523B57" w:rsidP="001741F6">
      <w:pPr>
        <w:numPr>
          <w:ilvl w:val="1"/>
          <w:numId w:val="10"/>
        </w:numPr>
        <w:ind w:left="1134" w:hanging="198"/>
        <w:contextualSpacing/>
        <w:rPr>
          <w:rFonts w:cs="Calibri"/>
          <w:szCs w:val="20"/>
        </w:rPr>
      </w:pPr>
      <w:r w:rsidRPr="006F7AE6">
        <w:rPr>
          <w:rFonts w:cs="Calibri"/>
          <w:szCs w:val="20"/>
        </w:rPr>
        <w:t>Produção artesanal em pequena escala (sumos e polpas).</w:t>
      </w:r>
    </w:p>
    <w:p w14:paraId="5BF92271" w14:textId="77777777" w:rsidR="00A923F5" w:rsidRPr="006F7AE6" w:rsidRDefault="00A923F5" w:rsidP="00D72D8B">
      <w:pPr>
        <w:contextualSpacing/>
        <w:rPr>
          <w:rFonts w:cs="Calibri"/>
          <w:szCs w:val="20"/>
        </w:rPr>
      </w:pPr>
    </w:p>
    <w:p w14:paraId="460EF145" w14:textId="77777777" w:rsidR="00523B57" w:rsidRPr="006F7AE6" w:rsidRDefault="00523B57" w:rsidP="00D72D8B">
      <w:pPr>
        <w:ind w:left="624"/>
        <w:rPr>
          <w:rFonts w:cs="Calibri"/>
          <w:szCs w:val="20"/>
        </w:rPr>
      </w:pPr>
      <w:r w:rsidRPr="006F7AE6">
        <w:rPr>
          <w:rFonts w:cs="Calibri"/>
          <w:b/>
          <w:bCs/>
          <w:szCs w:val="20"/>
        </w:rPr>
        <w:t>Circuitos de Comercialização</w:t>
      </w:r>
    </w:p>
    <w:p w14:paraId="464AABD9" w14:textId="77777777" w:rsidR="00523B57" w:rsidRPr="006F7AE6" w:rsidRDefault="00523B57" w:rsidP="001741F6">
      <w:pPr>
        <w:numPr>
          <w:ilvl w:val="1"/>
          <w:numId w:val="11"/>
        </w:numPr>
        <w:ind w:left="1134" w:hanging="198"/>
        <w:contextualSpacing/>
        <w:rPr>
          <w:rFonts w:cs="Calibri"/>
          <w:szCs w:val="20"/>
        </w:rPr>
      </w:pPr>
      <w:r w:rsidRPr="006F7AE6">
        <w:rPr>
          <w:rFonts w:cs="Calibri"/>
          <w:szCs w:val="20"/>
        </w:rPr>
        <w:t xml:space="preserve">75% escoado por </w:t>
      </w:r>
      <w:r w:rsidRPr="006F7AE6">
        <w:rPr>
          <w:rFonts w:cs="Calibri"/>
          <w:i/>
          <w:iCs/>
          <w:szCs w:val="20"/>
        </w:rPr>
        <w:t xml:space="preserve">bideiras </w:t>
      </w:r>
      <w:r w:rsidRPr="006F7AE6">
        <w:rPr>
          <w:rFonts w:cs="Calibri"/>
          <w:szCs w:val="20"/>
        </w:rPr>
        <w:t>e retalhistas.</w:t>
      </w:r>
    </w:p>
    <w:p w14:paraId="39AF7E1F" w14:textId="12E9515D" w:rsidR="00523B57" w:rsidRDefault="00523B57" w:rsidP="001741F6">
      <w:pPr>
        <w:numPr>
          <w:ilvl w:val="1"/>
          <w:numId w:val="11"/>
        </w:numPr>
        <w:ind w:left="1134" w:hanging="198"/>
        <w:contextualSpacing/>
        <w:rPr>
          <w:rFonts w:cs="Calibri"/>
          <w:szCs w:val="20"/>
        </w:rPr>
      </w:pPr>
      <w:r w:rsidRPr="006F7AE6">
        <w:rPr>
          <w:rFonts w:cs="Calibri"/>
          <w:szCs w:val="20"/>
        </w:rPr>
        <w:t xml:space="preserve">Forte orientação para </w:t>
      </w:r>
      <w:r w:rsidRPr="006F7AE6">
        <w:rPr>
          <w:rFonts w:cs="Calibri"/>
          <w:i/>
          <w:iCs/>
          <w:szCs w:val="20"/>
        </w:rPr>
        <w:t>lumos</w:t>
      </w:r>
      <w:r w:rsidRPr="006F7AE6">
        <w:rPr>
          <w:rFonts w:cs="Calibri"/>
          <w:szCs w:val="20"/>
        </w:rPr>
        <w:t xml:space="preserve"> locais e mercados regionais, sem presença em Bissau.</w:t>
      </w:r>
    </w:p>
    <w:p w14:paraId="1BE32A30" w14:textId="77777777" w:rsidR="00A923F5" w:rsidRPr="006F7AE6" w:rsidRDefault="00A923F5" w:rsidP="00D72D8B">
      <w:pPr>
        <w:contextualSpacing/>
        <w:rPr>
          <w:rFonts w:cs="Calibri"/>
          <w:szCs w:val="20"/>
        </w:rPr>
      </w:pPr>
    </w:p>
    <w:p w14:paraId="1C864062" w14:textId="77777777" w:rsidR="00523B57" w:rsidRPr="006F7AE6" w:rsidRDefault="00523B57" w:rsidP="00D72D8B">
      <w:pPr>
        <w:ind w:left="624"/>
        <w:rPr>
          <w:rFonts w:cs="Calibri"/>
          <w:szCs w:val="20"/>
        </w:rPr>
      </w:pPr>
      <w:r w:rsidRPr="006F7AE6">
        <w:rPr>
          <w:rFonts w:cs="Calibri"/>
          <w:b/>
          <w:bCs/>
          <w:szCs w:val="20"/>
        </w:rPr>
        <w:t>Inserção Externa e Função Socioeconómica</w:t>
      </w:r>
    </w:p>
    <w:p w14:paraId="6560B043" w14:textId="77777777" w:rsidR="00523B57" w:rsidRPr="006F7AE6" w:rsidRDefault="00523B57" w:rsidP="001741F6">
      <w:pPr>
        <w:numPr>
          <w:ilvl w:val="1"/>
          <w:numId w:val="12"/>
        </w:numPr>
        <w:ind w:left="1134" w:hanging="198"/>
        <w:contextualSpacing/>
        <w:rPr>
          <w:rFonts w:cs="Calibri"/>
          <w:szCs w:val="20"/>
        </w:rPr>
      </w:pPr>
      <w:r w:rsidRPr="006F7AE6">
        <w:rPr>
          <w:rFonts w:cs="Calibri"/>
          <w:szCs w:val="20"/>
        </w:rPr>
        <w:t>Exportação inexistente, cadeia voltada para consumo interno.</w:t>
      </w:r>
    </w:p>
    <w:p w14:paraId="4956F12D" w14:textId="77777777" w:rsidR="00523B57" w:rsidRPr="006F7AE6" w:rsidRDefault="00523B57" w:rsidP="001741F6">
      <w:pPr>
        <w:numPr>
          <w:ilvl w:val="1"/>
          <w:numId w:val="12"/>
        </w:numPr>
        <w:ind w:left="1134" w:hanging="198"/>
        <w:contextualSpacing/>
        <w:rPr>
          <w:rFonts w:cs="Calibri"/>
          <w:szCs w:val="20"/>
        </w:rPr>
      </w:pPr>
      <w:r w:rsidRPr="006F7AE6">
        <w:rPr>
          <w:rFonts w:cs="Calibri"/>
          <w:szCs w:val="20"/>
        </w:rPr>
        <w:t>Elevada importância social e de subsistência, com forte participação das mulheres.</w:t>
      </w:r>
    </w:p>
    <w:p w14:paraId="2FCBF168" w14:textId="63309FC9" w:rsidR="006416A2" w:rsidRPr="006F7AE6" w:rsidRDefault="006416A2" w:rsidP="006F7AE6"/>
    <w:p w14:paraId="229EC1A7" w14:textId="3B5C464A" w:rsidR="006E474A" w:rsidRPr="00EC4101" w:rsidRDefault="00F025CE" w:rsidP="00EC4101">
      <w:pPr>
        <w:rPr>
          <w:rFonts w:eastAsia="Calibri"/>
        </w:rPr>
      </w:pPr>
      <w:r w:rsidRPr="006F7AE6">
        <w:rPr>
          <w:rFonts w:eastAsia="Calibri"/>
        </w:rPr>
        <w:t>A cadeia de valor da manga em Bafatá e no resto do país, embora restrita em escala, exportação e transformação, revela grande importância para a resiliência comunitária, a conservação das variedades tradicionais e o empoderamento feminino, assumindo um papel central no sustento rural e na segurança alimentar.</w:t>
      </w:r>
    </w:p>
    <w:p w14:paraId="0A72EC9A" w14:textId="41017F66" w:rsidR="00422675" w:rsidRPr="007A7858" w:rsidRDefault="00F025CE" w:rsidP="00E042D7">
      <w:pPr>
        <w:pStyle w:val="Heading3"/>
        <w:numPr>
          <w:ilvl w:val="2"/>
          <w:numId w:val="35"/>
        </w:numPr>
      </w:pPr>
      <w:bookmarkStart w:id="84" w:name="_Toc220507511"/>
      <w:r w:rsidRPr="006F7AE6">
        <w:t>Evolução da Cadeia de Valor da Manga na Guiné-Bissau de 2017 a 2025</w:t>
      </w:r>
      <w:bookmarkEnd w:id="84"/>
    </w:p>
    <w:p w14:paraId="6D824960" w14:textId="2569C811" w:rsidR="00405579" w:rsidRPr="005F79AC" w:rsidRDefault="004647D5" w:rsidP="00F11896">
      <w:pPr>
        <w:tabs>
          <w:tab w:val="left" w:pos="6237"/>
        </w:tabs>
        <w:rPr>
          <w:rFonts w:eastAsia="Calibri"/>
        </w:rPr>
      </w:pPr>
      <w:r>
        <w:rPr>
          <w:rFonts w:eastAsia="Calibri"/>
        </w:rPr>
        <w:t xml:space="preserve">O </w:t>
      </w:r>
      <w:r w:rsidR="00F11896">
        <w:rPr>
          <w:rFonts w:eastAsia="Calibri"/>
        </w:rPr>
        <w:fldChar w:fldCharType="begin"/>
      </w:r>
      <w:r w:rsidR="00F11896">
        <w:rPr>
          <w:rFonts w:eastAsia="Calibri"/>
        </w:rPr>
        <w:instrText xml:space="preserve"> REF _Ref210768395 \h </w:instrText>
      </w:r>
      <w:r w:rsidR="00F11896">
        <w:rPr>
          <w:rFonts w:eastAsia="Calibri"/>
        </w:rPr>
      </w:r>
      <w:r w:rsidR="00F11896">
        <w:rPr>
          <w:rFonts w:eastAsia="Calibri"/>
        </w:rPr>
        <w:fldChar w:fldCharType="separate"/>
      </w:r>
      <w:r w:rsidR="002A2405">
        <w:t xml:space="preserve">        </w:t>
      </w:r>
      <w:r w:rsidR="002A2405" w:rsidRPr="00654781">
        <w:t xml:space="preserve">Quadro </w:t>
      </w:r>
      <w:r w:rsidR="002A2405">
        <w:rPr>
          <w:noProof/>
        </w:rPr>
        <w:t>2</w:t>
      </w:r>
      <w:r w:rsidR="002A2405" w:rsidRPr="00654781">
        <w:t>.</w:t>
      </w:r>
      <w:r w:rsidR="002A2405">
        <w:rPr>
          <w:noProof/>
        </w:rPr>
        <w:t>1</w:t>
      </w:r>
      <w:r w:rsidR="00F11896">
        <w:rPr>
          <w:rFonts w:eastAsia="Calibri"/>
        </w:rPr>
        <w:fldChar w:fldCharType="end"/>
      </w:r>
      <w:r w:rsidR="00405579" w:rsidRPr="005F79AC">
        <w:rPr>
          <w:rFonts w:eastAsia="Calibri"/>
        </w:rPr>
        <w:t xml:space="preserve"> compara a cadeia de valor da manga em 2017 e 2025, mostrando que esta se mantém praticamente inalterada, ainda dominada por circuitos informais e sem progressos relevantes em termos de infraestrutura ou exportação formal. A única novidade é o surgimento de micro</w:t>
      </w:r>
      <w:r w:rsidR="009735E3" w:rsidRPr="005F79AC">
        <w:rPr>
          <w:rFonts w:eastAsia="Calibri"/>
        </w:rPr>
        <w:t>-</w:t>
      </w:r>
      <w:r w:rsidR="00405579" w:rsidRPr="005F79AC">
        <w:rPr>
          <w:rFonts w:eastAsia="Calibri"/>
        </w:rPr>
        <w:t>transformadores, sobretudo mulheres em iniciativas artesanais, cujo impacto permanece limitado. De forma geral, o setor revela sinais de estagnação, com fragilidades persistentes nos planos técnico, logístico e fitossanitário.</w:t>
      </w:r>
    </w:p>
    <w:p w14:paraId="22D6AAA1" w14:textId="1C5B42CD" w:rsidR="00491CB7" w:rsidRPr="006F7AE6" w:rsidRDefault="00491CB7" w:rsidP="006F7AE6">
      <w:pPr>
        <w:spacing w:after="0"/>
        <w:rPr>
          <w:rFonts w:eastAsia="Times New Roman" w:cs="Calibri"/>
          <w:b/>
          <w:bCs/>
          <w:color w:val="0B769F" w:themeColor="accent4" w:themeShade="BF"/>
          <w:szCs w:val="20"/>
        </w:rPr>
      </w:pPr>
    </w:p>
    <w:tbl>
      <w:tblPr>
        <w:tblW w:w="9072"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A0" w:firstRow="1" w:lastRow="0" w:firstColumn="1" w:lastColumn="0" w:noHBand="0" w:noVBand="1"/>
      </w:tblPr>
      <w:tblGrid>
        <w:gridCol w:w="1990"/>
        <w:gridCol w:w="2263"/>
        <w:gridCol w:w="2410"/>
        <w:gridCol w:w="2409"/>
      </w:tblGrid>
      <w:tr w:rsidR="0066211A" w:rsidRPr="005F79AC" w14:paraId="26E74716" w14:textId="77777777" w:rsidTr="00FA54E0">
        <w:trPr>
          <w:trHeight w:val="379"/>
        </w:trPr>
        <w:tc>
          <w:tcPr>
            <w:tcW w:w="1990" w:type="dxa"/>
            <w:shd w:val="clear" w:color="auto" w:fill="336666"/>
            <w:tcMar>
              <w:top w:w="15" w:type="dxa"/>
              <w:left w:w="108" w:type="dxa"/>
              <w:bottom w:w="0" w:type="dxa"/>
              <w:right w:w="108" w:type="dxa"/>
            </w:tcMar>
            <w:vAlign w:val="center"/>
            <w:hideMark/>
          </w:tcPr>
          <w:p w14:paraId="6BB7ED03" w14:textId="77777777" w:rsidR="00422675" w:rsidRPr="002550D5" w:rsidRDefault="00422675" w:rsidP="002550D5">
            <w:pPr>
              <w:spacing w:after="0" w:line="276" w:lineRule="auto"/>
              <w:jc w:val="center"/>
              <w:rPr>
                <w:rFonts w:eastAsia="Times New Roman" w:cs="Calibri"/>
                <w:kern w:val="0"/>
                <w:szCs w:val="20"/>
                <w14:ligatures w14:val="none"/>
              </w:rPr>
            </w:pPr>
            <w:r w:rsidRPr="002550D5">
              <w:rPr>
                <w:rFonts w:eastAsia="Times New Roman" w:cs="Calibri"/>
                <w:b/>
                <w:bCs/>
                <w:color w:val="FFFFFF"/>
                <w:kern w:val="0"/>
                <w:szCs w:val="20"/>
                <w14:ligatures w14:val="none"/>
              </w:rPr>
              <w:t>Dimensão</w:t>
            </w:r>
          </w:p>
        </w:tc>
        <w:tc>
          <w:tcPr>
            <w:tcW w:w="2263" w:type="dxa"/>
            <w:shd w:val="clear" w:color="auto" w:fill="336666"/>
            <w:tcMar>
              <w:top w:w="15" w:type="dxa"/>
              <w:left w:w="108" w:type="dxa"/>
              <w:bottom w:w="0" w:type="dxa"/>
              <w:right w:w="108" w:type="dxa"/>
            </w:tcMar>
            <w:vAlign w:val="center"/>
            <w:hideMark/>
          </w:tcPr>
          <w:p w14:paraId="0A0C84F4" w14:textId="77777777" w:rsidR="00422675" w:rsidRPr="002550D5" w:rsidRDefault="00422675" w:rsidP="002550D5">
            <w:pPr>
              <w:spacing w:after="0" w:line="276" w:lineRule="auto"/>
              <w:jc w:val="center"/>
              <w:rPr>
                <w:rFonts w:eastAsia="Times New Roman" w:cs="Calibri"/>
                <w:kern w:val="0"/>
                <w:szCs w:val="20"/>
                <w14:ligatures w14:val="none"/>
              </w:rPr>
            </w:pPr>
            <w:r w:rsidRPr="002550D5">
              <w:rPr>
                <w:rFonts w:eastAsia="Times New Roman" w:cs="Calibri"/>
                <w:b/>
                <w:bCs/>
                <w:color w:val="FFFFFF"/>
                <w:kern w:val="0"/>
                <w:szCs w:val="20"/>
                <w14:ligatures w14:val="none"/>
              </w:rPr>
              <w:t>Situação em 2017</w:t>
            </w:r>
          </w:p>
        </w:tc>
        <w:tc>
          <w:tcPr>
            <w:tcW w:w="2410" w:type="dxa"/>
            <w:shd w:val="clear" w:color="auto" w:fill="336666"/>
            <w:tcMar>
              <w:top w:w="15" w:type="dxa"/>
              <w:left w:w="108" w:type="dxa"/>
              <w:bottom w:w="0" w:type="dxa"/>
              <w:right w:w="108" w:type="dxa"/>
            </w:tcMar>
            <w:vAlign w:val="center"/>
            <w:hideMark/>
          </w:tcPr>
          <w:p w14:paraId="1D5537AB" w14:textId="77777777" w:rsidR="00422675" w:rsidRPr="002550D5" w:rsidRDefault="00422675" w:rsidP="002550D5">
            <w:pPr>
              <w:spacing w:after="0" w:line="276" w:lineRule="auto"/>
              <w:jc w:val="center"/>
              <w:rPr>
                <w:rFonts w:eastAsia="Times New Roman" w:cs="Calibri"/>
                <w:kern w:val="0"/>
                <w:szCs w:val="20"/>
                <w14:ligatures w14:val="none"/>
              </w:rPr>
            </w:pPr>
            <w:r w:rsidRPr="002550D5">
              <w:rPr>
                <w:rFonts w:eastAsia="Times New Roman" w:cs="Calibri"/>
                <w:b/>
                <w:bCs/>
                <w:color w:val="FFFFFF"/>
                <w:kern w:val="0"/>
                <w:szCs w:val="20"/>
                <w14:ligatures w14:val="none"/>
              </w:rPr>
              <w:t>Situação em 2025</w:t>
            </w:r>
          </w:p>
        </w:tc>
        <w:tc>
          <w:tcPr>
            <w:tcW w:w="2409" w:type="dxa"/>
            <w:shd w:val="clear" w:color="auto" w:fill="336666"/>
            <w:tcMar>
              <w:top w:w="15" w:type="dxa"/>
              <w:left w:w="108" w:type="dxa"/>
              <w:bottom w:w="0" w:type="dxa"/>
              <w:right w:w="108" w:type="dxa"/>
            </w:tcMar>
            <w:vAlign w:val="center"/>
            <w:hideMark/>
          </w:tcPr>
          <w:p w14:paraId="69456958" w14:textId="77777777" w:rsidR="00422675" w:rsidRPr="002550D5" w:rsidRDefault="00422675" w:rsidP="002550D5">
            <w:pPr>
              <w:spacing w:after="0" w:line="276" w:lineRule="auto"/>
              <w:jc w:val="center"/>
              <w:rPr>
                <w:rFonts w:eastAsia="Times New Roman" w:cs="Calibri"/>
                <w:kern w:val="0"/>
                <w:szCs w:val="20"/>
                <w14:ligatures w14:val="none"/>
              </w:rPr>
            </w:pPr>
            <w:r w:rsidRPr="002550D5">
              <w:rPr>
                <w:rFonts w:eastAsia="Times New Roman" w:cs="Calibri"/>
                <w:b/>
                <w:bCs/>
                <w:color w:val="FFFFFF"/>
                <w:kern w:val="0"/>
                <w:szCs w:val="20"/>
                <w14:ligatures w14:val="none"/>
              </w:rPr>
              <w:t>Evolução</w:t>
            </w:r>
          </w:p>
        </w:tc>
      </w:tr>
      <w:tr w:rsidR="0066211A" w:rsidRPr="005F79AC" w14:paraId="28E0FC54" w14:textId="77777777" w:rsidTr="002550D5">
        <w:trPr>
          <w:trHeight w:val="583"/>
        </w:trPr>
        <w:tc>
          <w:tcPr>
            <w:tcW w:w="1990" w:type="dxa"/>
            <w:shd w:val="clear" w:color="auto" w:fill="FFFFFF" w:themeFill="background1"/>
            <w:tcMar>
              <w:top w:w="15" w:type="dxa"/>
              <w:left w:w="108" w:type="dxa"/>
              <w:bottom w:w="0" w:type="dxa"/>
              <w:right w:w="108" w:type="dxa"/>
            </w:tcMar>
            <w:vAlign w:val="center"/>
            <w:hideMark/>
          </w:tcPr>
          <w:p w14:paraId="119EE2F9" w14:textId="77777777" w:rsidR="00422675" w:rsidRPr="002550D5" w:rsidRDefault="00422675" w:rsidP="002550D5">
            <w:pPr>
              <w:spacing w:after="0" w:line="276" w:lineRule="auto"/>
              <w:jc w:val="center"/>
              <w:rPr>
                <w:rFonts w:eastAsia="Times New Roman" w:cs="Calibri"/>
                <w:color w:val="000000" w:themeColor="text1"/>
                <w:kern w:val="0"/>
                <w:sz w:val="18"/>
                <w:szCs w:val="18"/>
                <w14:ligatures w14:val="none"/>
              </w:rPr>
            </w:pPr>
            <w:r w:rsidRPr="002550D5">
              <w:rPr>
                <w:rFonts w:eastAsia="Times New Roman" w:cs="Calibri"/>
                <w:b/>
                <w:bCs/>
                <w:color w:val="000000" w:themeColor="text1"/>
                <w:kern w:val="0"/>
                <w:sz w:val="18"/>
                <w:szCs w:val="18"/>
                <w14:ligatures w14:val="none"/>
              </w:rPr>
              <w:t>Perfis de Produtores</w:t>
            </w:r>
          </w:p>
        </w:tc>
        <w:tc>
          <w:tcPr>
            <w:tcW w:w="2263" w:type="dxa"/>
            <w:shd w:val="clear" w:color="auto" w:fill="FFFFFF" w:themeFill="background1"/>
            <w:tcMar>
              <w:top w:w="15" w:type="dxa"/>
              <w:left w:w="108" w:type="dxa"/>
              <w:bottom w:w="0" w:type="dxa"/>
              <w:right w:w="108" w:type="dxa"/>
            </w:tcMar>
            <w:vAlign w:val="center"/>
            <w:hideMark/>
          </w:tcPr>
          <w:p w14:paraId="177624FB" w14:textId="77777777" w:rsidR="00422675" w:rsidRPr="006F7AE6" w:rsidRDefault="00422675" w:rsidP="002550D5">
            <w:pPr>
              <w:spacing w:after="0" w:line="276" w:lineRule="auto"/>
              <w:jc w:val="center"/>
              <w:rPr>
                <w:rFonts w:eastAsia="Times New Roman" w:cs="Calibri"/>
                <w:kern w:val="0"/>
                <w:sz w:val="18"/>
                <w:szCs w:val="18"/>
                <w14:ligatures w14:val="none"/>
              </w:rPr>
            </w:pPr>
            <w:r w:rsidRPr="006F7AE6">
              <w:rPr>
                <w:rFonts w:eastAsia="Times New Roman" w:cs="Calibri"/>
                <w:color w:val="000000"/>
                <w:kern w:val="0"/>
                <w:sz w:val="18"/>
                <w:szCs w:val="18"/>
                <w14:ligatures w14:val="none"/>
              </w:rPr>
              <w:t>3 perfis: grandes, pequenos e familiares.</w:t>
            </w:r>
          </w:p>
        </w:tc>
        <w:tc>
          <w:tcPr>
            <w:tcW w:w="2410" w:type="dxa"/>
            <w:shd w:val="clear" w:color="auto" w:fill="FFFFFF" w:themeFill="background1"/>
            <w:tcMar>
              <w:top w:w="15" w:type="dxa"/>
              <w:left w:w="108" w:type="dxa"/>
              <w:bottom w:w="0" w:type="dxa"/>
              <w:right w:w="108" w:type="dxa"/>
            </w:tcMar>
            <w:vAlign w:val="center"/>
            <w:hideMark/>
          </w:tcPr>
          <w:p w14:paraId="2A755F57" w14:textId="77777777" w:rsidR="00422675" w:rsidRPr="006F7AE6" w:rsidRDefault="00422675" w:rsidP="002550D5">
            <w:pPr>
              <w:spacing w:after="0" w:line="276" w:lineRule="auto"/>
              <w:jc w:val="center"/>
              <w:rPr>
                <w:rFonts w:eastAsia="Times New Roman" w:cs="Calibri"/>
                <w:kern w:val="0"/>
                <w:sz w:val="18"/>
                <w:szCs w:val="18"/>
                <w14:ligatures w14:val="none"/>
              </w:rPr>
            </w:pPr>
            <w:r w:rsidRPr="006F7AE6">
              <w:rPr>
                <w:rFonts w:eastAsia="Times New Roman" w:cs="Calibri"/>
                <w:color w:val="000000"/>
                <w:kern w:val="0"/>
                <w:sz w:val="18"/>
                <w:szCs w:val="18"/>
                <w14:ligatures w14:val="none"/>
              </w:rPr>
              <w:t>4 perfis: grandes, médios, pequenos e familiares.</w:t>
            </w:r>
          </w:p>
        </w:tc>
        <w:tc>
          <w:tcPr>
            <w:tcW w:w="2409" w:type="dxa"/>
            <w:shd w:val="clear" w:color="auto" w:fill="FFFFFF" w:themeFill="background1"/>
            <w:tcMar>
              <w:top w:w="15" w:type="dxa"/>
              <w:left w:w="108" w:type="dxa"/>
              <w:bottom w:w="0" w:type="dxa"/>
              <w:right w:w="108" w:type="dxa"/>
            </w:tcMar>
            <w:vAlign w:val="center"/>
            <w:hideMark/>
          </w:tcPr>
          <w:p w14:paraId="73D7623F" w14:textId="77777777" w:rsidR="00422675" w:rsidRPr="006F7AE6" w:rsidRDefault="00422675" w:rsidP="002550D5">
            <w:pPr>
              <w:spacing w:after="0" w:line="276" w:lineRule="auto"/>
              <w:jc w:val="center"/>
              <w:rPr>
                <w:rFonts w:eastAsia="Times New Roman" w:cs="Calibri"/>
                <w:kern w:val="0"/>
                <w:sz w:val="18"/>
                <w:szCs w:val="18"/>
                <w14:ligatures w14:val="none"/>
              </w:rPr>
            </w:pPr>
            <w:r w:rsidRPr="006F7AE6">
              <w:rPr>
                <w:rFonts w:eastAsia="Times New Roman" w:cs="Calibri"/>
                <w:color w:val="000000"/>
                <w:kern w:val="0"/>
                <w:sz w:val="18"/>
                <w:szCs w:val="18"/>
                <w14:ligatures w14:val="none"/>
              </w:rPr>
              <w:t>Pequena diferenciação na tipologia, mas sem impacto estrutural.</w:t>
            </w:r>
          </w:p>
        </w:tc>
      </w:tr>
      <w:tr w:rsidR="0066211A" w:rsidRPr="005F79AC" w14:paraId="23CB809A" w14:textId="77777777" w:rsidTr="002550D5">
        <w:trPr>
          <w:trHeight w:val="1052"/>
        </w:trPr>
        <w:tc>
          <w:tcPr>
            <w:tcW w:w="1990" w:type="dxa"/>
            <w:shd w:val="clear" w:color="auto" w:fill="FFFFFF" w:themeFill="background1"/>
            <w:tcMar>
              <w:top w:w="15" w:type="dxa"/>
              <w:left w:w="108" w:type="dxa"/>
              <w:bottom w:w="0" w:type="dxa"/>
              <w:right w:w="108" w:type="dxa"/>
            </w:tcMar>
            <w:vAlign w:val="center"/>
            <w:hideMark/>
          </w:tcPr>
          <w:p w14:paraId="5A3CFC81" w14:textId="77777777" w:rsidR="00422675" w:rsidRPr="002550D5" w:rsidRDefault="00422675" w:rsidP="002550D5">
            <w:pPr>
              <w:spacing w:after="0" w:line="276" w:lineRule="auto"/>
              <w:jc w:val="center"/>
              <w:rPr>
                <w:rFonts w:eastAsia="Times New Roman" w:cs="Calibri"/>
                <w:color w:val="000000" w:themeColor="text1"/>
                <w:kern w:val="0"/>
                <w:sz w:val="18"/>
                <w:szCs w:val="18"/>
                <w14:ligatures w14:val="none"/>
              </w:rPr>
            </w:pPr>
            <w:r w:rsidRPr="002550D5">
              <w:rPr>
                <w:rFonts w:eastAsia="Times New Roman" w:cs="Calibri"/>
                <w:b/>
                <w:bCs/>
                <w:color w:val="000000" w:themeColor="text1"/>
                <w:kern w:val="0"/>
                <w:sz w:val="18"/>
                <w:szCs w:val="18"/>
                <w14:ligatures w14:val="none"/>
              </w:rPr>
              <w:t>Processamento</w:t>
            </w:r>
          </w:p>
        </w:tc>
        <w:tc>
          <w:tcPr>
            <w:tcW w:w="2263" w:type="dxa"/>
            <w:shd w:val="clear" w:color="auto" w:fill="FFFFFF" w:themeFill="background1"/>
            <w:tcMar>
              <w:top w:w="15" w:type="dxa"/>
              <w:left w:w="108" w:type="dxa"/>
              <w:bottom w:w="0" w:type="dxa"/>
              <w:right w:w="108" w:type="dxa"/>
            </w:tcMar>
            <w:vAlign w:val="center"/>
            <w:hideMark/>
          </w:tcPr>
          <w:p w14:paraId="70AFC078" w14:textId="77777777" w:rsidR="00422675" w:rsidRPr="006F7AE6" w:rsidRDefault="00422675" w:rsidP="002550D5">
            <w:pPr>
              <w:spacing w:after="0" w:line="276" w:lineRule="auto"/>
              <w:jc w:val="center"/>
              <w:rPr>
                <w:rFonts w:eastAsia="Times New Roman" w:cs="Calibri"/>
                <w:kern w:val="0"/>
                <w:sz w:val="18"/>
                <w:szCs w:val="18"/>
                <w14:ligatures w14:val="none"/>
              </w:rPr>
            </w:pPr>
            <w:r w:rsidRPr="006F7AE6">
              <w:rPr>
                <w:rFonts w:eastAsia="Times New Roman" w:cs="Calibri"/>
                <w:color w:val="000000"/>
                <w:kern w:val="0"/>
                <w:sz w:val="18"/>
                <w:szCs w:val="18"/>
                <w14:ligatures w14:val="none"/>
              </w:rPr>
              <w:t>Quase inexistente; apenas referência a embalamento comercial.</w:t>
            </w:r>
          </w:p>
        </w:tc>
        <w:tc>
          <w:tcPr>
            <w:tcW w:w="2410" w:type="dxa"/>
            <w:shd w:val="clear" w:color="auto" w:fill="FFFFFF" w:themeFill="background1"/>
            <w:tcMar>
              <w:top w:w="15" w:type="dxa"/>
              <w:left w:w="108" w:type="dxa"/>
              <w:bottom w:w="0" w:type="dxa"/>
              <w:right w:w="108" w:type="dxa"/>
            </w:tcMar>
            <w:vAlign w:val="center"/>
            <w:hideMark/>
          </w:tcPr>
          <w:p w14:paraId="2177B31B" w14:textId="77777777" w:rsidR="00422675" w:rsidRPr="006F7AE6" w:rsidRDefault="00422675" w:rsidP="002550D5">
            <w:pPr>
              <w:spacing w:after="0" w:line="276" w:lineRule="auto"/>
              <w:jc w:val="center"/>
              <w:rPr>
                <w:rFonts w:eastAsia="Times New Roman" w:cs="Calibri"/>
                <w:kern w:val="0"/>
                <w:sz w:val="18"/>
                <w:szCs w:val="18"/>
                <w14:ligatures w14:val="none"/>
              </w:rPr>
            </w:pPr>
            <w:r w:rsidRPr="006F7AE6">
              <w:rPr>
                <w:rFonts w:eastAsia="Times New Roman" w:cs="Calibri"/>
                <w:color w:val="000000"/>
                <w:kern w:val="0"/>
                <w:sz w:val="18"/>
                <w:szCs w:val="18"/>
                <w14:ligatures w14:val="none"/>
              </w:rPr>
              <w:t>Surgimento de microtransformadores (sobretudo mulheres), produzindo sumos, polpas e compotas em escala artesanal.</w:t>
            </w:r>
          </w:p>
        </w:tc>
        <w:tc>
          <w:tcPr>
            <w:tcW w:w="2409" w:type="dxa"/>
            <w:shd w:val="clear" w:color="auto" w:fill="FFFFFF" w:themeFill="background1"/>
            <w:tcMar>
              <w:top w:w="15" w:type="dxa"/>
              <w:left w:w="108" w:type="dxa"/>
              <w:bottom w:w="0" w:type="dxa"/>
              <w:right w:w="108" w:type="dxa"/>
            </w:tcMar>
            <w:vAlign w:val="center"/>
            <w:hideMark/>
          </w:tcPr>
          <w:p w14:paraId="081EE1DD" w14:textId="77777777" w:rsidR="00422675" w:rsidRPr="006F7AE6" w:rsidRDefault="00422675" w:rsidP="002550D5">
            <w:pPr>
              <w:spacing w:after="0" w:line="276" w:lineRule="auto"/>
              <w:jc w:val="center"/>
              <w:rPr>
                <w:rFonts w:eastAsia="Times New Roman" w:cs="Calibri"/>
                <w:kern w:val="0"/>
                <w:sz w:val="18"/>
                <w:szCs w:val="18"/>
                <w14:ligatures w14:val="none"/>
              </w:rPr>
            </w:pPr>
            <w:r w:rsidRPr="006F7AE6">
              <w:rPr>
                <w:rFonts w:eastAsia="Times New Roman" w:cs="Calibri"/>
                <w:color w:val="000000"/>
                <w:kern w:val="0"/>
                <w:sz w:val="18"/>
                <w:szCs w:val="18"/>
                <w14:ligatures w14:val="none"/>
              </w:rPr>
              <w:t>Novo ator, mas em escala reduzida e incipiente.</w:t>
            </w:r>
          </w:p>
        </w:tc>
      </w:tr>
      <w:tr w:rsidR="0066211A" w:rsidRPr="005F79AC" w14:paraId="15B0EE38" w14:textId="77777777" w:rsidTr="002550D5">
        <w:trPr>
          <w:trHeight w:val="846"/>
        </w:trPr>
        <w:tc>
          <w:tcPr>
            <w:tcW w:w="1990" w:type="dxa"/>
            <w:shd w:val="clear" w:color="auto" w:fill="FFFFFF" w:themeFill="background1"/>
            <w:tcMar>
              <w:top w:w="15" w:type="dxa"/>
              <w:left w:w="108" w:type="dxa"/>
              <w:bottom w:w="0" w:type="dxa"/>
              <w:right w:w="108" w:type="dxa"/>
            </w:tcMar>
            <w:vAlign w:val="center"/>
            <w:hideMark/>
          </w:tcPr>
          <w:p w14:paraId="511158F4" w14:textId="77777777" w:rsidR="00422675" w:rsidRPr="002550D5" w:rsidRDefault="00422675" w:rsidP="002550D5">
            <w:pPr>
              <w:spacing w:after="0" w:line="276" w:lineRule="auto"/>
              <w:jc w:val="center"/>
              <w:rPr>
                <w:rFonts w:eastAsia="Times New Roman" w:cs="Calibri"/>
                <w:color w:val="000000" w:themeColor="text1"/>
                <w:kern w:val="0"/>
                <w:sz w:val="18"/>
                <w:szCs w:val="18"/>
                <w14:ligatures w14:val="none"/>
              </w:rPr>
            </w:pPr>
            <w:r w:rsidRPr="002550D5">
              <w:rPr>
                <w:rFonts w:eastAsia="Times New Roman" w:cs="Calibri"/>
                <w:b/>
                <w:bCs/>
                <w:color w:val="000000" w:themeColor="text1"/>
                <w:kern w:val="0"/>
                <w:sz w:val="18"/>
                <w:szCs w:val="18"/>
                <w14:ligatures w14:val="none"/>
              </w:rPr>
              <w:t>Comercialização</w:t>
            </w:r>
          </w:p>
        </w:tc>
        <w:tc>
          <w:tcPr>
            <w:tcW w:w="2263" w:type="dxa"/>
            <w:shd w:val="clear" w:color="auto" w:fill="FFFFFF" w:themeFill="background1"/>
            <w:tcMar>
              <w:top w:w="15" w:type="dxa"/>
              <w:left w:w="108" w:type="dxa"/>
              <w:bottom w:w="0" w:type="dxa"/>
              <w:right w:w="108" w:type="dxa"/>
            </w:tcMar>
            <w:vAlign w:val="center"/>
            <w:hideMark/>
          </w:tcPr>
          <w:p w14:paraId="218E6DA5" w14:textId="77777777" w:rsidR="00422675" w:rsidRPr="006F7AE6" w:rsidRDefault="00422675" w:rsidP="002550D5">
            <w:pPr>
              <w:spacing w:after="0" w:line="276" w:lineRule="auto"/>
              <w:jc w:val="center"/>
              <w:rPr>
                <w:rFonts w:eastAsia="Times New Roman" w:cs="Calibri"/>
                <w:kern w:val="0"/>
                <w:sz w:val="18"/>
                <w:szCs w:val="18"/>
                <w14:ligatures w14:val="none"/>
              </w:rPr>
            </w:pPr>
            <w:r w:rsidRPr="006F7AE6">
              <w:rPr>
                <w:rFonts w:eastAsia="Times New Roman" w:cs="Calibri"/>
                <w:color w:val="000000"/>
                <w:kern w:val="0"/>
                <w:sz w:val="18"/>
                <w:szCs w:val="18"/>
                <w14:ligatures w14:val="none"/>
              </w:rPr>
              <w:t>Forte dependência dos circuitos informais; mercados locais, lumos e Bissau. Papel central das bideiras.</w:t>
            </w:r>
          </w:p>
        </w:tc>
        <w:tc>
          <w:tcPr>
            <w:tcW w:w="2410" w:type="dxa"/>
            <w:shd w:val="clear" w:color="auto" w:fill="FFFFFF" w:themeFill="background1"/>
            <w:tcMar>
              <w:top w:w="15" w:type="dxa"/>
              <w:left w:w="108" w:type="dxa"/>
              <w:bottom w:w="0" w:type="dxa"/>
              <w:right w:w="108" w:type="dxa"/>
            </w:tcMar>
            <w:vAlign w:val="center"/>
            <w:hideMark/>
          </w:tcPr>
          <w:p w14:paraId="70112715" w14:textId="77777777" w:rsidR="00422675" w:rsidRPr="006F7AE6" w:rsidRDefault="00422675" w:rsidP="002550D5">
            <w:pPr>
              <w:spacing w:after="0" w:line="276" w:lineRule="auto"/>
              <w:jc w:val="center"/>
              <w:rPr>
                <w:rFonts w:eastAsia="Times New Roman" w:cs="Calibri"/>
                <w:kern w:val="0"/>
                <w:sz w:val="18"/>
                <w:szCs w:val="18"/>
                <w14:ligatures w14:val="none"/>
              </w:rPr>
            </w:pPr>
            <w:r w:rsidRPr="006F7AE6">
              <w:rPr>
                <w:rFonts w:eastAsia="Times New Roman" w:cs="Calibri"/>
                <w:color w:val="000000"/>
                <w:kern w:val="0"/>
                <w:sz w:val="18"/>
                <w:szCs w:val="18"/>
                <w14:ligatures w14:val="none"/>
              </w:rPr>
              <w:t>Estrutura permanece igual: lumos e mercados informais dominam; Bissau como principal destino.</w:t>
            </w:r>
          </w:p>
        </w:tc>
        <w:tc>
          <w:tcPr>
            <w:tcW w:w="2409" w:type="dxa"/>
            <w:shd w:val="clear" w:color="auto" w:fill="FFFFFF" w:themeFill="background1"/>
            <w:tcMar>
              <w:top w:w="15" w:type="dxa"/>
              <w:left w:w="108" w:type="dxa"/>
              <w:bottom w:w="0" w:type="dxa"/>
              <w:right w:w="108" w:type="dxa"/>
            </w:tcMar>
            <w:vAlign w:val="center"/>
            <w:hideMark/>
          </w:tcPr>
          <w:p w14:paraId="5D155028" w14:textId="77777777" w:rsidR="00422675" w:rsidRPr="006F7AE6" w:rsidRDefault="00422675" w:rsidP="002550D5">
            <w:pPr>
              <w:spacing w:after="0" w:line="276" w:lineRule="auto"/>
              <w:jc w:val="center"/>
              <w:rPr>
                <w:rFonts w:eastAsia="Times New Roman" w:cs="Calibri"/>
                <w:kern w:val="0"/>
                <w:sz w:val="18"/>
                <w:szCs w:val="18"/>
                <w14:ligatures w14:val="none"/>
              </w:rPr>
            </w:pPr>
            <w:r w:rsidRPr="006F7AE6">
              <w:rPr>
                <w:rFonts w:eastAsia="Times New Roman" w:cs="Calibri"/>
                <w:color w:val="000000"/>
                <w:kern w:val="0"/>
                <w:sz w:val="18"/>
                <w:szCs w:val="18"/>
                <w14:ligatures w14:val="none"/>
              </w:rPr>
              <w:t>Sem evolução significativa.</w:t>
            </w:r>
          </w:p>
        </w:tc>
      </w:tr>
      <w:tr w:rsidR="0066211A" w:rsidRPr="005F79AC" w14:paraId="7B833BBA" w14:textId="77777777" w:rsidTr="002550D5">
        <w:trPr>
          <w:trHeight w:val="1052"/>
        </w:trPr>
        <w:tc>
          <w:tcPr>
            <w:tcW w:w="1990" w:type="dxa"/>
            <w:shd w:val="clear" w:color="auto" w:fill="FFFFFF" w:themeFill="background1"/>
            <w:tcMar>
              <w:top w:w="15" w:type="dxa"/>
              <w:left w:w="108" w:type="dxa"/>
              <w:bottom w:w="0" w:type="dxa"/>
              <w:right w:w="108" w:type="dxa"/>
            </w:tcMar>
            <w:vAlign w:val="center"/>
            <w:hideMark/>
          </w:tcPr>
          <w:p w14:paraId="3FAF8C19" w14:textId="77777777" w:rsidR="00422675" w:rsidRPr="002550D5" w:rsidRDefault="00422675" w:rsidP="002550D5">
            <w:pPr>
              <w:spacing w:after="0" w:line="276" w:lineRule="auto"/>
              <w:jc w:val="center"/>
              <w:rPr>
                <w:rFonts w:eastAsia="Times New Roman" w:cs="Calibri"/>
                <w:color w:val="000000" w:themeColor="text1"/>
                <w:kern w:val="0"/>
                <w:sz w:val="18"/>
                <w:szCs w:val="18"/>
                <w14:ligatures w14:val="none"/>
              </w:rPr>
            </w:pPr>
            <w:r w:rsidRPr="002550D5">
              <w:rPr>
                <w:rFonts w:eastAsia="Times New Roman" w:cs="Calibri"/>
                <w:b/>
                <w:bCs/>
                <w:color w:val="000000" w:themeColor="text1"/>
                <w:kern w:val="0"/>
                <w:sz w:val="18"/>
                <w:szCs w:val="18"/>
                <w14:ligatures w14:val="none"/>
              </w:rPr>
              <w:lastRenderedPageBreak/>
              <w:t>Exportação</w:t>
            </w:r>
          </w:p>
        </w:tc>
        <w:tc>
          <w:tcPr>
            <w:tcW w:w="2263" w:type="dxa"/>
            <w:shd w:val="clear" w:color="auto" w:fill="FFFFFF" w:themeFill="background1"/>
            <w:tcMar>
              <w:top w:w="15" w:type="dxa"/>
              <w:left w:w="108" w:type="dxa"/>
              <w:bottom w:w="0" w:type="dxa"/>
              <w:right w:w="108" w:type="dxa"/>
            </w:tcMar>
            <w:vAlign w:val="center"/>
            <w:hideMark/>
          </w:tcPr>
          <w:p w14:paraId="4C9E65EF" w14:textId="77777777" w:rsidR="00422675" w:rsidRPr="006F7AE6" w:rsidRDefault="00422675" w:rsidP="002550D5">
            <w:pPr>
              <w:spacing w:after="0" w:line="276" w:lineRule="auto"/>
              <w:jc w:val="center"/>
              <w:rPr>
                <w:rFonts w:eastAsia="Times New Roman" w:cs="Calibri"/>
                <w:kern w:val="0"/>
                <w:sz w:val="18"/>
                <w:szCs w:val="18"/>
                <w14:ligatures w14:val="none"/>
              </w:rPr>
            </w:pPr>
            <w:r w:rsidRPr="006F7AE6">
              <w:rPr>
                <w:rFonts w:eastAsia="Times New Roman" w:cs="Calibri"/>
                <w:color w:val="000000"/>
                <w:kern w:val="0"/>
                <w:sz w:val="18"/>
                <w:szCs w:val="18"/>
                <w14:ligatures w14:val="none"/>
              </w:rPr>
              <w:t>Exportação informal para o Senegal. Potencial identificado para exportação formal.</w:t>
            </w:r>
          </w:p>
        </w:tc>
        <w:tc>
          <w:tcPr>
            <w:tcW w:w="2410" w:type="dxa"/>
            <w:shd w:val="clear" w:color="auto" w:fill="FFFFFF" w:themeFill="background1"/>
            <w:tcMar>
              <w:top w:w="15" w:type="dxa"/>
              <w:left w:w="108" w:type="dxa"/>
              <w:bottom w:w="0" w:type="dxa"/>
              <w:right w:w="108" w:type="dxa"/>
            </w:tcMar>
            <w:vAlign w:val="center"/>
            <w:hideMark/>
          </w:tcPr>
          <w:p w14:paraId="73B96D45" w14:textId="77777777" w:rsidR="00422675" w:rsidRPr="006F7AE6" w:rsidRDefault="00422675" w:rsidP="002550D5">
            <w:pPr>
              <w:spacing w:after="0" w:line="276" w:lineRule="auto"/>
              <w:jc w:val="center"/>
              <w:rPr>
                <w:rFonts w:eastAsia="Times New Roman" w:cs="Calibri"/>
                <w:kern w:val="0"/>
                <w:sz w:val="18"/>
                <w:szCs w:val="18"/>
                <w14:ligatures w14:val="none"/>
              </w:rPr>
            </w:pPr>
            <w:r w:rsidRPr="006F7AE6">
              <w:rPr>
                <w:rFonts w:eastAsia="Times New Roman" w:cs="Calibri"/>
                <w:color w:val="000000"/>
                <w:kern w:val="0"/>
                <w:sz w:val="18"/>
                <w:szCs w:val="18"/>
                <w14:ligatures w14:val="none"/>
              </w:rPr>
              <w:t>Exportação formal não concretizada; exportação informal diminuiu devido a barreiras e ausência de certificações.</w:t>
            </w:r>
          </w:p>
        </w:tc>
        <w:tc>
          <w:tcPr>
            <w:tcW w:w="2409" w:type="dxa"/>
            <w:shd w:val="clear" w:color="auto" w:fill="FFFFFF" w:themeFill="background1"/>
            <w:tcMar>
              <w:top w:w="15" w:type="dxa"/>
              <w:left w:w="108" w:type="dxa"/>
              <w:bottom w:w="0" w:type="dxa"/>
              <w:right w:w="108" w:type="dxa"/>
            </w:tcMar>
            <w:vAlign w:val="center"/>
            <w:hideMark/>
          </w:tcPr>
          <w:p w14:paraId="2BA1DC0A" w14:textId="77777777" w:rsidR="00422675" w:rsidRPr="006F7AE6" w:rsidRDefault="00422675" w:rsidP="002550D5">
            <w:pPr>
              <w:spacing w:after="0" w:line="276" w:lineRule="auto"/>
              <w:jc w:val="center"/>
              <w:rPr>
                <w:rFonts w:eastAsia="Times New Roman" w:cs="Calibri"/>
                <w:kern w:val="0"/>
                <w:sz w:val="18"/>
                <w:szCs w:val="18"/>
                <w14:ligatures w14:val="none"/>
              </w:rPr>
            </w:pPr>
            <w:r w:rsidRPr="006F7AE6">
              <w:rPr>
                <w:rFonts w:eastAsia="Times New Roman" w:cs="Calibri"/>
                <w:color w:val="000000"/>
                <w:kern w:val="0"/>
                <w:sz w:val="18"/>
                <w:szCs w:val="18"/>
                <w14:ligatures w14:val="none"/>
              </w:rPr>
              <w:t>Recuo no potencial exportador.</w:t>
            </w:r>
          </w:p>
        </w:tc>
      </w:tr>
      <w:tr w:rsidR="0066211A" w:rsidRPr="005F79AC" w14:paraId="388171F3" w14:textId="77777777" w:rsidTr="002550D5">
        <w:trPr>
          <w:trHeight w:val="818"/>
        </w:trPr>
        <w:tc>
          <w:tcPr>
            <w:tcW w:w="1990" w:type="dxa"/>
            <w:shd w:val="clear" w:color="auto" w:fill="FFFFFF" w:themeFill="background1"/>
            <w:tcMar>
              <w:top w:w="15" w:type="dxa"/>
              <w:left w:w="108" w:type="dxa"/>
              <w:bottom w:w="0" w:type="dxa"/>
              <w:right w:w="108" w:type="dxa"/>
            </w:tcMar>
            <w:vAlign w:val="center"/>
            <w:hideMark/>
          </w:tcPr>
          <w:p w14:paraId="74975570" w14:textId="77777777" w:rsidR="00422675" w:rsidRPr="002550D5" w:rsidRDefault="00422675" w:rsidP="002550D5">
            <w:pPr>
              <w:spacing w:after="0" w:line="276" w:lineRule="auto"/>
              <w:jc w:val="center"/>
              <w:rPr>
                <w:rFonts w:eastAsia="Times New Roman" w:cs="Calibri"/>
                <w:color w:val="000000" w:themeColor="text1"/>
                <w:kern w:val="0"/>
                <w:sz w:val="18"/>
                <w:szCs w:val="18"/>
                <w14:ligatures w14:val="none"/>
              </w:rPr>
            </w:pPr>
            <w:r w:rsidRPr="002550D5">
              <w:rPr>
                <w:rFonts w:eastAsia="Times New Roman" w:cs="Calibri"/>
                <w:b/>
                <w:bCs/>
                <w:color w:val="000000" w:themeColor="text1"/>
                <w:kern w:val="0"/>
                <w:sz w:val="18"/>
                <w:szCs w:val="18"/>
                <w14:ligatures w14:val="none"/>
              </w:rPr>
              <w:t>Infraestrutura/Logística</w:t>
            </w:r>
          </w:p>
        </w:tc>
        <w:tc>
          <w:tcPr>
            <w:tcW w:w="2263" w:type="dxa"/>
            <w:shd w:val="clear" w:color="auto" w:fill="FFFFFF" w:themeFill="background1"/>
            <w:tcMar>
              <w:top w:w="15" w:type="dxa"/>
              <w:left w:w="108" w:type="dxa"/>
              <w:bottom w:w="0" w:type="dxa"/>
              <w:right w:w="108" w:type="dxa"/>
            </w:tcMar>
            <w:vAlign w:val="center"/>
            <w:hideMark/>
          </w:tcPr>
          <w:p w14:paraId="6CB5A817" w14:textId="77777777" w:rsidR="00422675" w:rsidRPr="006F7AE6" w:rsidRDefault="00422675" w:rsidP="002550D5">
            <w:pPr>
              <w:spacing w:after="0" w:line="276" w:lineRule="auto"/>
              <w:jc w:val="center"/>
              <w:rPr>
                <w:rFonts w:eastAsia="Times New Roman" w:cs="Calibri"/>
                <w:kern w:val="0"/>
                <w:sz w:val="18"/>
                <w:szCs w:val="18"/>
                <w14:ligatures w14:val="none"/>
              </w:rPr>
            </w:pPr>
            <w:r w:rsidRPr="006F7AE6">
              <w:rPr>
                <w:rFonts w:eastAsia="Times New Roman" w:cs="Calibri"/>
                <w:color w:val="000000"/>
                <w:kern w:val="0"/>
                <w:sz w:val="18"/>
                <w:szCs w:val="18"/>
                <w14:ligatures w14:val="none"/>
              </w:rPr>
              <w:t>Estradas precárias, transporte público de passageiros, ausência de frio e armazenamento.</w:t>
            </w:r>
          </w:p>
        </w:tc>
        <w:tc>
          <w:tcPr>
            <w:tcW w:w="2410" w:type="dxa"/>
            <w:shd w:val="clear" w:color="auto" w:fill="FFFFFF" w:themeFill="background1"/>
            <w:tcMar>
              <w:top w:w="15" w:type="dxa"/>
              <w:left w:w="108" w:type="dxa"/>
              <w:bottom w:w="0" w:type="dxa"/>
              <w:right w:w="108" w:type="dxa"/>
            </w:tcMar>
            <w:vAlign w:val="center"/>
            <w:hideMark/>
          </w:tcPr>
          <w:p w14:paraId="0FFE64AF" w14:textId="77777777" w:rsidR="00422675" w:rsidRPr="006F7AE6" w:rsidRDefault="00422675" w:rsidP="002550D5">
            <w:pPr>
              <w:spacing w:after="0" w:line="276" w:lineRule="auto"/>
              <w:jc w:val="center"/>
              <w:rPr>
                <w:rFonts w:eastAsia="Times New Roman" w:cs="Calibri"/>
                <w:kern w:val="0"/>
                <w:sz w:val="18"/>
                <w:szCs w:val="18"/>
                <w14:ligatures w14:val="none"/>
              </w:rPr>
            </w:pPr>
            <w:r w:rsidRPr="006F7AE6">
              <w:rPr>
                <w:rFonts w:eastAsia="Times New Roman" w:cs="Calibri"/>
                <w:color w:val="000000"/>
                <w:kern w:val="0"/>
                <w:sz w:val="18"/>
                <w:szCs w:val="18"/>
                <w14:ligatures w14:val="none"/>
              </w:rPr>
              <w:t>Situação inalterada: transporte rudimentar e ausência de cadeia de frio e armazéns.</w:t>
            </w:r>
          </w:p>
        </w:tc>
        <w:tc>
          <w:tcPr>
            <w:tcW w:w="2409" w:type="dxa"/>
            <w:shd w:val="clear" w:color="auto" w:fill="FFFFFF" w:themeFill="background1"/>
            <w:tcMar>
              <w:top w:w="15" w:type="dxa"/>
              <w:left w:w="108" w:type="dxa"/>
              <w:bottom w:w="0" w:type="dxa"/>
              <w:right w:w="108" w:type="dxa"/>
            </w:tcMar>
            <w:vAlign w:val="center"/>
            <w:hideMark/>
          </w:tcPr>
          <w:p w14:paraId="2D693776" w14:textId="77777777" w:rsidR="00422675" w:rsidRPr="006F7AE6" w:rsidRDefault="00422675" w:rsidP="002550D5">
            <w:pPr>
              <w:spacing w:after="0" w:line="276" w:lineRule="auto"/>
              <w:jc w:val="center"/>
              <w:rPr>
                <w:rFonts w:eastAsia="Times New Roman" w:cs="Calibri"/>
                <w:kern w:val="0"/>
                <w:sz w:val="18"/>
                <w:szCs w:val="18"/>
                <w14:ligatures w14:val="none"/>
              </w:rPr>
            </w:pPr>
            <w:r w:rsidRPr="006F7AE6">
              <w:rPr>
                <w:rFonts w:eastAsia="Times New Roman" w:cs="Calibri"/>
                <w:color w:val="000000"/>
                <w:kern w:val="0"/>
                <w:sz w:val="18"/>
                <w:szCs w:val="18"/>
                <w14:ligatures w14:val="none"/>
              </w:rPr>
              <w:t>Estagnação.</w:t>
            </w:r>
          </w:p>
        </w:tc>
      </w:tr>
      <w:tr w:rsidR="0066211A" w:rsidRPr="005F79AC" w14:paraId="3D55DEBF" w14:textId="77777777" w:rsidTr="002550D5">
        <w:trPr>
          <w:trHeight w:val="846"/>
        </w:trPr>
        <w:tc>
          <w:tcPr>
            <w:tcW w:w="1990" w:type="dxa"/>
            <w:shd w:val="clear" w:color="auto" w:fill="FFFFFF" w:themeFill="background1"/>
            <w:tcMar>
              <w:top w:w="15" w:type="dxa"/>
              <w:left w:w="108" w:type="dxa"/>
              <w:bottom w:w="0" w:type="dxa"/>
              <w:right w:w="108" w:type="dxa"/>
            </w:tcMar>
            <w:vAlign w:val="center"/>
            <w:hideMark/>
          </w:tcPr>
          <w:p w14:paraId="58FD4713" w14:textId="77777777" w:rsidR="00422675" w:rsidRPr="002550D5" w:rsidRDefault="00422675" w:rsidP="002550D5">
            <w:pPr>
              <w:spacing w:after="0" w:line="276" w:lineRule="auto"/>
              <w:jc w:val="center"/>
              <w:rPr>
                <w:rFonts w:eastAsia="Times New Roman" w:cs="Calibri"/>
                <w:color w:val="000000" w:themeColor="text1"/>
                <w:kern w:val="0"/>
                <w:sz w:val="18"/>
                <w:szCs w:val="18"/>
                <w14:ligatures w14:val="none"/>
              </w:rPr>
            </w:pPr>
            <w:r w:rsidRPr="002550D5">
              <w:rPr>
                <w:rFonts w:eastAsia="Times New Roman" w:cs="Calibri"/>
                <w:b/>
                <w:bCs/>
                <w:color w:val="000000" w:themeColor="text1"/>
                <w:kern w:val="0"/>
                <w:sz w:val="18"/>
                <w:szCs w:val="18"/>
                <w14:ligatures w14:val="none"/>
              </w:rPr>
              <w:t>Formalização da Cadeia</w:t>
            </w:r>
          </w:p>
        </w:tc>
        <w:tc>
          <w:tcPr>
            <w:tcW w:w="2263" w:type="dxa"/>
            <w:shd w:val="clear" w:color="auto" w:fill="FFFFFF" w:themeFill="background1"/>
            <w:tcMar>
              <w:top w:w="15" w:type="dxa"/>
              <w:left w:w="108" w:type="dxa"/>
              <w:bottom w:w="0" w:type="dxa"/>
              <w:right w:w="108" w:type="dxa"/>
            </w:tcMar>
            <w:vAlign w:val="center"/>
            <w:hideMark/>
          </w:tcPr>
          <w:p w14:paraId="079C8EE7" w14:textId="77777777" w:rsidR="00422675" w:rsidRPr="006F7AE6" w:rsidRDefault="00422675" w:rsidP="002550D5">
            <w:pPr>
              <w:spacing w:after="0" w:line="276" w:lineRule="auto"/>
              <w:jc w:val="center"/>
              <w:rPr>
                <w:rFonts w:eastAsia="Times New Roman" w:cs="Calibri"/>
                <w:kern w:val="0"/>
                <w:sz w:val="18"/>
                <w:szCs w:val="18"/>
                <w14:ligatures w14:val="none"/>
              </w:rPr>
            </w:pPr>
            <w:r w:rsidRPr="006F7AE6">
              <w:rPr>
                <w:rFonts w:eastAsia="Times New Roman" w:cs="Calibri"/>
                <w:color w:val="000000"/>
                <w:kern w:val="0"/>
                <w:sz w:val="18"/>
                <w:szCs w:val="18"/>
                <w14:ligatures w14:val="none"/>
              </w:rPr>
              <w:t>Estrutura informal dominante; ausência de regulação e certificação.</w:t>
            </w:r>
          </w:p>
        </w:tc>
        <w:tc>
          <w:tcPr>
            <w:tcW w:w="2410" w:type="dxa"/>
            <w:shd w:val="clear" w:color="auto" w:fill="FFFFFF" w:themeFill="background1"/>
            <w:tcMar>
              <w:top w:w="15" w:type="dxa"/>
              <w:left w:w="108" w:type="dxa"/>
              <w:bottom w:w="0" w:type="dxa"/>
              <w:right w:w="108" w:type="dxa"/>
            </w:tcMar>
            <w:vAlign w:val="center"/>
            <w:hideMark/>
          </w:tcPr>
          <w:p w14:paraId="1C22F615" w14:textId="77777777" w:rsidR="00422675" w:rsidRPr="006F7AE6" w:rsidRDefault="00422675" w:rsidP="002550D5">
            <w:pPr>
              <w:spacing w:after="0" w:line="276" w:lineRule="auto"/>
              <w:jc w:val="center"/>
              <w:rPr>
                <w:rFonts w:eastAsia="Times New Roman" w:cs="Calibri"/>
                <w:kern w:val="0"/>
                <w:sz w:val="18"/>
                <w:szCs w:val="18"/>
                <w14:ligatures w14:val="none"/>
              </w:rPr>
            </w:pPr>
            <w:r w:rsidRPr="006F7AE6">
              <w:rPr>
                <w:rFonts w:eastAsia="Times New Roman" w:cs="Calibri"/>
                <w:color w:val="000000"/>
                <w:kern w:val="0"/>
                <w:sz w:val="18"/>
                <w:szCs w:val="18"/>
                <w14:ligatures w14:val="none"/>
              </w:rPr>
              <w:t>Mantém-se a informalidade; sem mecanismos de rastreabilidade ou padronização.</w:t>
            </w:r>
          </w:p>
        </w:tc>
        <w:tc>
          <w:tcPr>
            <w:tcW w:w="2409" w:type="dxa"/>
            <w:shd w:val="clear" w:color="auto" w:fill="FFFFFF" w:themeFill="background1"/>
            <w:tcMar>
              <w:top w:w="15" w:type="dxa"/>
              <w:left w:w="108" w:type="dxa"/>
              <w:bottom w:w="0" w:type="dxa"/>
              <w:right w:w="108" w:type="dxa"/>
            </w:tcMar>
            <w:vAlign w:val="center"/>
            <w:hideMark/>
          </w:tcPr>
          <w:p w14:paraId="04474605" w14:textId="77777777" w:rsidR="00422675" w:rsidRPr="006F7AE6" w:rsidRDefault="00422675" w:rsidP="002550D5">
            <w:pPr>
              <w:spacing w:after="0" w:line="276" w:lineRule="auto"/>
              <w:jc w:val="center"/>
              <w:rPr>
                <w:rFonts w:eastAsia="Times New Roman" w:cs="Calibri"/>
                <w:kern w:val="0"/>
                <w:sz w:val="18"/>
                <w:szCs w:val="18"/>
                <w14:ligatures w14:val="none"/>
              </w:rPr>
            </w:pPr>
            <w:r w:rsidRPr="006F7AE6">
              <w:rPr>
                <w:rFonts w:eastAsia="Times New Roman" w:cs="Calibri"/>
                <w:color w:val="000000"/>
                <w:kern w:val="0"/>
                <w:sz w:val="18"/>
                <w:szCs w:val="18"/>
                <w14:ligatures w14:val="none"/>
              </w:rPr>
              <w:t>Sem mudanças.</w:t>
            </w:r>
          </w:p>
        </w:tc>
      </w:tr>
    </w:tbl>
    <w:p w14:paraId="265AE6CA" w14:textId="59355954" w:rsidR="00FB306D" w:rsidRPr="00654781" w:rsidRDefault="00214CE9" w:rsidP="007D3A26">
      <w:pPr>
        <w:pStyle w:val="Caption"/>
        <w:rPr>
          <w:rFonts w:eastAsia="Calibri"/>
        </w:rPr>
      </w:pPr>
      <w:bookmarkStart w:id="85" w:name="_Ref210768395"/>
      <w:r>
        <w:t xml:space="preserve">        </w:t>
      </w:r>
      <w:bookmarkStart w:id="86" w:name="_Toc211791033"/>
      <w:r w:rsidR="00DF5C88" w:rsidRPr="00654781">
        <w:t xml:space="preserve">Quadro </w:t>
      </w:r>
      <w:fldSimple w:instr=" STYLEREF 1 \s ">
        <w:r w:rsidR="002A2405">
          <w:rPr>
            <w:noProof/>
          </w:rPr>
          <w:t>2</w:t>
        </w:r>
      </w:fldSimple>
      <w:r w:rsidR="003F6476" w:rsidRPr="00654781">
        <w:t>.</w:t>
      </w:r>
      <w:fldSimple w:instr=" SEQ Quadro \* ARABIC \s 1 ">
        <w:r w:rsidR="002A2405">
          <w:rPr>
            <w:noProof/>
          </w:rPr>
          <w:t>1</w:t>
        </w:r>
      </w:fldSimple>
      <w:bookmarkEnd w:id="85"/>
      <w:r w:rsidR="004647D5" w:rsidRPr="00654781">
        <w:t>- C</w:t>
      </w:r>
      <w:r w:rsidR="00405579" w:rsidRPr="00654781">
        <w:t>ompara</w:t>
      </w:r>
      <w:r w:rsidR="0066211A" w:rsidRPr="00654781">
        <w:t xml:space="preserve">ção </w:t>
      </w:r>
      <w:r w:rsidR="00405579" w:rsidRPr="00654781">
        <w:t xml:space="preserve">da evolução cadeia de valor da </w:t>
      </w:r>
      <w:r w:rsidR="00102D05" w:rsidRPr="00654781">
        <w:t>manga da</w:t>
      </w:r>
      <w:r w:rsidR="00405579" w:rsidRPr="00654781">
        <w:t xml:space="preserve"> Guiné-Bissau de 2017 </w:t>
      </w:r>
      <w:r w:rsidR="0066211A" w:rsidRPr="00654781">
        <w:t>a</w:t>
      </w:r>
      <w:r w:rsidR="00405579" w:rsidRPr="00654781">
        <w:t xml:space="preserve"> 2025</w:t>
      </w:r>
      <w:bookmarkEnd w:id="86"/>
    </w:p>
    <w:p w14:paraId="62B87709" w14:textId="7EB83C54" w:rsidR="00C962E9" w:rsidRPr="006F7AE6" w:rsidRDefault="0066211A" w:rsidP="00E042D7">
      <w:pPr>
        <w:pStyle w:val="Heading3"/>
        <w:numPr>
          <w:ilvl w:val="2"/>
          <w:numId w:val="35"/>
        </w:numPr>
      </w:pPr>
      <w:bookmarkStart w:id="87" w:name="_Toc220507512"/>
      <w:r w:rsidRPr="005F79AC">
        <w:t>Principais c</w:t>
      </w:r>
      <w:r w:rsidR="00C962E9" w:rsidRPr="006F7AE6">
        <w:t xml:space="preserve">onstrangimentos </w:t>
      </w:r>
      <w:r w:rsidRPr="005F79AC">
        <w:t>da</w:t>
      </w:r>
      <w:r w:rsidR="00C962E9" w:rsidRPr="006F7AE6">
        <w:t xml:space="preserve"> Cadeia de Valor da Manga na Guiné-Bissau</w:t>
      </w:r>
      <w:bookmarkEnd w:id="87"/>
    </w:p>
    <w:p w14:paraId="184F3A59" w14:textId="77777777" w:rsidR="000D207D" w:rsidRPr="00102D05" w:rsidRDefault="00C962E9" w:rsidP="00436CE0">
      <w:pPr>
        <w:rPr>
          <w:rFonts w:eastAsia="Times New Roman"/>
        </w:rPr>
      </w:pPr>
      <w:r w:rsidRPr="00102D05">
        <w:rPr>
          <w:rFonts w:eastAsia="Times New Roman"/>
        </w:rPr>
        <w:t xml:space="preserve">A cadeia de valor da manga na Guiné-Bissau </w:t>
      </w:r>
      <w:r w:rsidR="00495E07" w:rsidRPr="00102D05">
        <w:rPr>
          <w:rFonts w:eastAsia="Times New Roman"/>
        </w:rPr>
        <w:t xml:space="preserve">continua a </w:t>
      </w:r>
      <w:r w:rsidRPr="00102D05">
        <w:rPr>
          <w:rFonts w:eastAsia="Times New Roman"/>
        </w:rPr>
        <w:t>enfrenta</w:t>
      </w:r>
      <w:r w:rsidR="00495E07" w:rsidRPr="00102D05">
        <w:rPr>
          <w:rFonts w:eastAsia="Times New Roman"/>
        </w:rPr>
        <w:t>r</w:t>
      </w:r>
      <w:r w:rsidRPr="00102D05">
        <w:rPr>
          <w:rFonts w:eastAsia="Times New Roman"/>
        </w:rPr>
        <w:t xml:space="preserve"> limitações estruturais significativas, que comprometem a sua competitividade, reduzem a capacidade de gerar valor agregado e aumentam as perdas ao longo do processo produtivo e comercial.</w:t>
      </w:r>
    </w:p>
    <w:p w14:paraId="077B70CA" w14:textId="3070472F" w:rsidR="00C962E9" w:rsidRPr="006F7AE6" w:rsidRDefault="000D207D" w:rsidP="006F7AE6">
      <w:pPr>
        <w:rPr>
          <w:rFonts w:eastAsia="Times New Roman"/>
        </w:rPr>
      </w:pPr>
      <w:r w:rsidRPr="005F79AC">
        <w:rPr>
          <w:rFonts w:eastAsia="Times New Roman"/>
        </w:rPr>
        <w:t>No</w:t>
      </w:r>
      <w:r w:rsidR="002E37E3">
        <w:rPr>
          <w:rFonts w:eastAsia="Times New Roman"/>
        </w:rPr>
        <w:t xml:space="preserve"> </w:t>
      </w:r>
      <w:r w:rsidR="002E37E3">
        <w:rPr>
          <w:rFonts w:eastAsia="Times New Roman"/>
        </w:rPr>
        <w:fldChar w:fldCharType="begin"/>
      </w:r>
      <w:r w:rsidR="002E37E3">
        <w:rPr>
          <w:rFonts w:eastAsia="Times New Roman"/>
        </w:rPr>
        <w:instrText xml:space="preserve"> REF _Ref210761752 \h </w:instrText>
      </w:r>
      <w:r w:rsidR="002E37E3">
        <w:rPr>
          <w:rFonts w:eastAsia="Times New Roman"/>
        </w:rPr>
      </w:r>
      <w:r w:rsidR="002E37E3">
        <w:rPr>
          <w:rFonts w:eastAsia="Times New Roman"/>
        </w:rPr>
        <w:fldChar w:fldCharType="separate"/>
      </w:r>
      <w:r w:rsidR="002A2405">
        <w:t xml:space="preserve">Quadro </w:t>
      </w:r>
      <w:r w:rsidR="002A2405">
        <w:rPr>
          <w:noProof/>
        </w:rPr>
        <w:t>2</w:t>
      </w:r>
      <w:r w:rsidR="002A2405">
        <w:t>.</w:t>
      </w:r>
      <w:r w:rsidR="002A2405">
        <w:rPr>
          <w:noProof/>
        </w:rPr>
        <w:t>2</w:t>
      </w:r>
      <w:r w:rsidR="002E37E3">
        <w:rPr>
          <w:rFonts w:eastAsia="Times New Roman"/>
        </w:rPr>
        <w:fldChar w:fldCharType="end"/>
      </w:r>
      <w:r w:rsidR="0066211A" w:rsidRPr="005F79AC">
        <w:rPr>
          <w:rFonts w:eastAsia="Times New Roman"/>
        </w:rPr>
        <w:t xml:space="preserve"> </w:t>
      </w:r>
      <w:r w:rsidR="002E37E3">
        <w:rPr>
          <w:rFonts w:eastAsia="Times New Roman"/>
        </w:rPr>
        <w:t>são</w:t>
      </w:r>
      <w:r w:rsidR="0066211A" w:rsidRPr="005F79AC">
        <w:rPr>
          <w:rFonts w:eastAsia="Times New Roman"/>
        </w:rPr>
        <w:t xml:space="preserve"> identifica</w:t>
      </w:r>
      <w:r w:rsidRPr="005F79AC">
        <w:rPr>
          <w:rFonts w:eastAsia="Times New Roman"/>
        </w:rPr>
        <w:t>dos</w:t>
      </w:r>
      <w:r w:rsidR="0066211A" w:rsidRPr="005F79AC">
        <w:rPr>
          <w:rFonts w:eastAsia="Times New Roman"/>
        </w:rPr>
        <w:t xml:space="preserve"> os principais constrangimento</w:t>
      </w:r>
      <w:r w:rsidR="006B0B0D" w:rsidRPr="005F79AC">
        <w:rPr>
          <w:rFonts w:eastAsia="Times New Roman"/>
        </w:rPr>
        <w:t>s</w:t>
      </w:r>
      <w:r w:rsidRPr="005F79AC">
        <w:rPr>
          <w:rFonts w:eastAsia="Times New Roman"/>
        </w:rPr>
        <w:t xml:space="preserve"> ao desenvolvimento da cadeia de valor da manga na Guiné-Bissau</w:t>
      </w:r>
      <w:r w:rsidR="006B0B0D" w:rsidRPr="005F79AC">
        <w:rPr>
          <w:rFonts w:eastAsia="Times New Roman"/>
        </w:rPr>
        <w:t xml:space="preserve">, </w:t>
      </w:r>
      <w:r w:rsidRPr="005F79AC">
        <w:rPr>
          <w:rFonts w:eastAsia="Times New Roman"/>
        </w:rPr>
        <w:t>e</w:t>
      </w:r>
      <w:r w:rsidR="002E37E3">
        <w:rPr>
          <w:rFonts w:eastAsia="Times New Roman"/>
        </w:rPr>
        <w:t xml:space="preserve"> são</w:t>
      </w:r>
      <w:r w:rsidRPr="005F79AC">
        <w:rPr>
          <w:rFonts w:eastAsia="Times New Roman"/>
        </w:rPr>
        <w:t xml:space="preserve"> prop</w:t>
      </w:r>
      <w:r w:rsidR="002E37E3">
        <w:rPr>
          <w:rFonts w:eastAsia="Times New Roman"/>
        </w:rPr>
        <w:t>ostas</w:t>
      </w:r>
      <w:r w:rsidRPr="005F79AC">
        <w:rPr>
          <w:rFonts w:eastAsia="Times New Roman"/>
        </w:rPr>
        <w:t xml:space="preserve"> algumas medidas de mitigação.</w:t>
      </w:r>
    </w:p>
    <w:p w14:paraId="0156BF9F" w14:textId="77777777" w:rsidR="000210BF" w:rsidRPr="006F7AE6" w:rsidRDefault="000210BF" w:rsidP="000210BF">
      <w:pPr>
        <w:keepNext/>
        <w:keepLines/>
        <w:spacing w:after="0" w:line="240" w:lineRule="auto"/>
        <w:outlineLvl w:val="1"/>
        <w:rPr>
          <w:rFonts w:cs="Calibri"/>
          <w:b/>
          <w:bCs/>
          <w:color w:val="0E0E0E"/>
          <w:kern w:val="0"/>
          <w:szCs w:val="20"/>
        </w:rPr>
      </w:pPr>
    </w:p>
    <w:p w14:paraId="6459E7EE" w14:textId="63844E2C" w:rsidR="006E474A" w:rsidRPr="006F7AE6" w:rsidRDefault="002A0E99" w:rsidP="00895BC1">
      <w:pPr>
        <w:spacing w:after="0" w:line="240" w:lineRule="auto"/>
        <w:rPr>
          <w:rFonts w:eastAsia="Times New Roman" w:cs="Calibri"/>
          <w:szCs w:val="20"/>
        </w:rPr>
      </w:pPr>
      <w:r>
        <w:rPr>
          <w:rFonts w:eastAsia="Times New Roman" w:cs="Calibri"/>
          <w:noProof/>
          <w:szCs w:val="20"/>
        </w:rPr>
        <w:drawing>
          <wp:inline distT="0" distB="0" distL="0" distR="0" wp14:anchorId="0CD4C434" wp14:editId="14783B36">
            <wp:extent cx="5724525" cy="3086100"/>
            <wp:effectExtent l="0" t="0" r="9525" b="0"/>
            <wp:docPr id="6903212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3086100"/>
                    </a:xfrm>
                    <a:prstGeom prst="rect">
                      <a:avLst/>
                    </a:prstGeom>
                    <a:noFill/>
                    <a:ln>
                      <a:noFill/>
                    </a:ln>
                  </pic:spPr>
                </pic:pic>
              </a:graphicData>
            </a:graphic>
          </wp:inline>
        </w:drawing>
      </w:r>
    </w:p>
    <w:p w14:paraId="33586120" w14:textId="1B2B2DBF" w:rsidR="002E37E3" w:rsidRPr="00EC4101" w:rsidRDefault="00214CE9" w:rsidP="007D3A26">
      <w:pPr>
        <w:pStyle w:val="Caption"/>
      </w:pPr>
      <w:bookmarkStart w:id="88" w:name="_Ref210761752"/>
      <w:r>
        <w:t xml:space="preserve">                     </w:t>
      </w:r>
      <w:bookmarkStart w:id="89" w:name="_Toc211791034"/>
      <w:r w:rsidR="002E37E3">
        <w:t xml:space="preserve">Quadro </w:t>
      </w:r>
      <w:fldSimple w:instr=" STYLEREF 1 \s ">
        <w:r w:rsidR="002A2405">
          <w:rPr>
            <w:noProof/>
          </w:rPr>
          <w:t>2</w:t>
        </w:r>
      </w:fldSimple>
      <w:r w:rsidR="003F6476">
        <w:t>.</w:t>
      </w:r>
      <w:fldSimple w:instr=" SEQ Quadro \* ARABIC \s 1 ">
        <w:r w:rsidR="002A2405">
          <w:rPr>
            <w:noProof/>
          </w:rPr>
          <w:t>2</w:t>
        </w:r>
      </w:fldSimple>
      <w:bookmarkEnd w:id="88"/>
      <w:r w:rsidR="002E37E3">
        <w:rPr>
          <w:rFonts w:eastAsia="Calibri"/>
        </w:rPr>
        <w:t xml:space="preserve"> - </w:t>
      </w:r>
      <w:r w:rsidR="002E37E3" w:rsidRPr="0066211A">
        <w:t>Constrangimentos da Cadeia de Valor da Manga na</w:t>
      </w:r>
      <w:r w:rsidR="002E37E3">
        <w:t xml:space="preserve"> Guiné-Bissau</w:t>
      </w:r>
      <w:bookmarkEnd w:id="89"/>
    </w:p>
    <w:p w14:paraId="5680C943" w14:textId="0A7C4B02" w:rsidR="006E474A" w:rsidRPr="004B6B4A" w:rsidRDefault="008D3D04" w:rsidP="00815270">
      <w:pPr>
        <w:pStyle w:val="Heading2"/>
        <w:rPr>
          <w:rFonts w:eastAsia="Times New Roman"/>
        </w:rPr>
      </w:pPr>
      <w:bookmarkStart w:id="90" w:name="_Toc220507513"/>
      <w:r w:rsidRPr="004B6B4A">
        <w:rPr>
          <w:rFonts w:eastAsia="Times New Roman"/>
        </w:rPr>
        <w:t>Atualização da organização e governança d</w:t>
      </w:r>
      <w:r w:rsidR="009668F3" w:rsidRPr="004B6B4A">
        <w:rPr>
          <w:rFonts w:eastAsia="Times New Roman"/>
        </w:rPr>
        <w:t>a</w:t>
      </w:r>
      <w:r w:rsidRPr="004B6B4A">
        <w:rPr>
          <w:rFonts w:eastAsia="Times New Roman"/>
        </w:rPr>
        <w:t xml:space="preserve"> C</w:t>
      </w:r>
      <w:r w:rsidR="00E8331B" w:rsidRPr="004B6B4A">
        <w:rPr>
          <w:rFonts w:eastAsia="Times New Roman"/>
        </w:rPr>
        <w:t xml:space="preserve">adeia de </w:t>
      </w:r>
      <w:r w:rsidRPr="004B6B4A">
        <w:rPr>
          <w:rFonts w:eastAsia="Times New Roman"/>
        </w:rPr>
        <w:t>V</w:t>
      </w:r>
      <w:r w:rsidR="00E8331B" w:rsidRPr="004B6B4A">
        <w:rPr>
          <w:rFonts w:eastAsia="Times New Roman"/>
        </w:rPr>
        <w:t>alor da Manga</w:t>
      </w:r>
      <w:bookmarkEnd w:id="90"/>
    </w:p>
    <w:p w14:paraId="347C663D" w14:textId="1F39D2FC" w:rsidR="00014F76" w:rsidRDefault="00014F76" w:rsidP="00B25E7A">
      <w:pPr>
        <w:rPr>
          <w:szCs w:val="20"/>
        </w:rPr>
      </w:pPr>
      <w:r>
        <w:rPr>
          <w:szCs w:val="20"/>
        </w:rPr>
        <w:t>A importância da análise da governância</w:t>
      </w:r>
      <w:r w:rsidRPr="00106BA8">
        <w:rPr>
          <w:szCs w:val="20"/>
        </w:rPr>
        <w:t xml:space="preserve"> </w:t>
      </w:r>
      <w:r>
        <w:rPr>
          <w:szCs w:val="20"/>
        </w:rPr>
        <w:t>d</w:t>
      </w:r>
      <w:r w:rsidRPr="00106BA8">
        <w:rPr>
          <w:szCs w:val="20"/>
        </w:rPr>
        <w:t xml:space="preserve">as cadeias de valor agrícolas </w:t>
      </w:r>
      <w:r>
        <w:rPr>
          <w:szCs w:val="20"/>
        </w:rPr>
        <w:t>advém do facto da sua estru</w:t>
      </w:r>
      <w:r w:rsidR="009668F3">
        <w:rPr>
          <w:szCs w:val="20"/>
        </w:rPr>
        <w:t>tu</w:t>
      </w:r>
      <w:r>
        <w:rPr>
          <w:szCs w:val="20"/>
        </w:rPr>
        <w:t>ra e do seu processo influenciarem significativamente</w:t>
      </w:r>
      <w:r w:rsidRPr="00106BA8">
        <w:rPr>
          <w:szCs w:val="20"/>
        </w:rPr>
        <w:t xml:space="preserve"> </w:t>
      </w:r>
      <w:r>
        <w:rPr>
          <w:szCs w:val="20"/>
        </w:rPr>
        <w:t xml:space="preserve">a </w:t>
      </w:r>
      <w:r w:rsidRPr="00106BA8">
        <w:rPr>
          <w:szCs w:val="20"/>
        </w:rPr>
        <w:t>sustentabilidade e desenvolvimento socio</w:t>
      </w:r>
      <w:r>
        <w:rPr>
          <w:szCs w:val="20"/>
        </w:rPr>
        <w:t>-</w:t>
      </w:r>
      <w:r w:rsidRPr="00106BA8">
        <w:rPr>
          <w:szCs w:val="20"/>
        </w:rPr>
        <w:t>económico</w:t>
      </w:r>
      <w:r>
        <w:rPr>
          <w:szCs w:val="20"/>
        </w:rPr>
        <w:t xml:space="preserve">, bem como </w:t>
      </w:r>
      <w:r w:rsidRPr="00106BA8">
        <w:rPr>
          <w:szCs w:val="20"/>
        </w:rPr>
        <w:t xml:space="preserve">a </w:t>
      </w:r>
      <w:r w:rsidRPr="00106BA8">
        <w:rPr>
          <w:szCs w:val="20"/>
        </w:rPr>
        <w:lastRenderedPageBreak/>
        <w:t>segurança alimentar, em contextos globais e locais</w:t>
      </w:r>
      <w:r w:rsidR="0049151F">
        <w:rPr>
          <w:rStyle w:val="FootnoteReference"/>
          <w:szCs w:val="20"/>
        </w:rPr>
        <w:footnoteReference w:id="3"/>
      </w:r>
      <w:r w:rsidRPr="00106BA8">
        <w:rPr>
          <w:szCs w:val="20"/>
        </w:rPr>
        <w:t>. No entanto, desafios como</w:t>
      </w:r>
      <w:r>
        <w:rPr>
          <w:szCs w:val="20"/>
        </w:rPr>
        <w:t xml:space="preserve"> </w:t>
      </w:r>
      <w:r w:rsidRPr="00106BA8">
        <w:rPr>
          <w:szCs w:val="20"/>
        </w:rPr>
        <w:t>a assimetria de informação, os custos de transação e os desequilíbrios de poder persistem, afetando a distribuição de valor</w:t>
      </w:r>
      <w:r>
        <w:rPr>
          <w:szCs w:val="20"/>
        </w:rPr>
        <w:t xml:space="preserve"> </w:t>
      </w:r>
      <w:r w:rsidRPr="00106BA8">
        <w:rPr>
          <w:szCs w:val="20"/>
        </w:rPr>
        <w:t>e os resultados de sustentabilidade</w:t>
      </w:r>
      <w:r w:rsidR="00C4639E">
        <w:rPr>
          <w:rStyle w:val="FootnoteReference"/>
          <w:szCs w:val="20"/>
        </w:rPr>
        <w:footnoteReference w:id="4"/>
      </w:r>
      <w:r w:rsidRPr="00106BA8">
        <w:rPr>
          <w:szCs w:val="20"/>
        </w:rPr>
        <w:t>.</w:t>
      </w:r>
      <w:r>
        <w:rPr>
          <w:szCs w:val="20"/>
        </w:rPr>
        <w:t xml:space="preserve">  </w:t>
      </w:r>
    </w:p>
    <w:p w14:paraId="236AFEF7" w14:textId="2F7CC8A7" w:rsidR="00014F76" w:rsidRDefault="00014F76" w:rsidP="00B25E7A">
      <w:pPr>
        <w:rPr>
          <w:szCs w:val="20"/>
        </w:rPr>
      </w:pPr>
      <w:r>
        <w:rPr>
          <w:szCs w:val="20"/>
        </w:rPr>
        <w:t>Várias</w:t>
      </w:r>
      <w:r w:rsidRPr="00106BA8">
        <w:rPr>
          <w:szCs w:val="20"/>
        </w:rPr>
        <w:t xml:space="preserve"> estruturas de governança influenciam a coordenação, a confiança e as oportunidades de melhoria</w:t>
      </w:r>
      <w:r>
        <w:rPr>
          <w:szCs w:val="20"/>
        </w:rPr>
        <w:t xml:space="preserve"> </w:t>
      </w:r>
      <w:r w:rsidRPr="00106BA8">
        <w:rPr>
          <w:szCs w:val="20"/>
        </w:rPr>
        <w:t>para pequenos agricultores e outros atores em cadeias de valor agrícolas</w:t>
      </w:r>
      <w:r w:rsidR="00BA42ED">
        <w:rPr>
          <w:rStyle w:val="FootnoteReference"/>
          <w:szCs w:val="20"/>
        </w:rPr>
        <w:footnoteReference w:id="5"/>
      </w:r>
      <w:r w:rsidRPr="00106BA8">
        <w:rPr>
          <w:szCs w:val="20"/>
        </w:rPr>
        <w:t xml:space="preserve">.  </w:t>
      </w:r>
      <w:r>
        <w:rPr>
          <w:szCs w:val="20"/>
        </w:rPr>
        <w:t>Aspetos como</w:t>
      </w:r>
      <w:r w:rsidRPr="00106BA8">
        <w:rPr>
          <w:szCs w:val="20"/>
        </w:rPr>
        <w:t xml:space="preserve"> </w:t>
      </w:r>
      <w:r>
        <w:rPr>
          <w:szCs w:val="20"/>
        </w:rPr>
        <w:t>a</w:t>
      </w:r>
      <w:r w:rsidRPr="00106BA8">
        <w:rPr>
          <w:szCs w:val="20"/>
        </w:rPr>
        <w:t xml:space="preserve"> coordenação formal e os acordos contratuais </w:t>
      </w:r>
      <w:r>
        <w:rPr>
          <w:szCs w:val="20"/>
        </w:rPr>
        <w:t>têm sido referidos como contributos importantes para o</w:t>
      </w:r>
      <w:r w:rsidRPr="00106BA8">
        <w:rPr>
          <w:szCs w:val="20"/>
        </w:rPr>
        <w:t xml:space="preserve"> aumento da produtividade</w:t>
      </w:r>
      <w:r>
        <w:rPr>
          <w:szCs w:val="20"/>
        </w:rPr>
        <w:t xml:space="preserve"> </w:t>
      </w:r>
      <w:r w:rsidRPr="00106BA8">
        <w:rPr>
          <w:szCs w:val="20"/>
        </w:rPr>
        <w:t>e da sustentabilidade social</w:t>
      </w:r>
      <w:r w:rsidR="00E61AC0">
        <w:rPr>
          <w:rStyle w:val="FootnoteReference"/>
          <w:szCs w:val="20"/>
        </w:rPr>
        <w:footnoteReference w:id="6"/>
      </w:r>
      <w:r w:rsidRPr="00106BA8">
        <w:rPr>
          <w:szCs w:val="20"/>
        </w:rPr>
        <w:t xml:space="preserve">, </w:t>
      </w:r>
      <w:r>
        <w:rPr>
          <w:szCs w:val="20"/>
        </w:rPr>
        <w:t xml:space="preserve">enquanto que </w:t>
      </w:r>
      <w:r w:rsidRPr="00106BA8">
        <w:rPr>
          <w:szCs w:val="20"/>
        </w:rPr>
        <w:t>a</w:t>
      </w:r>
      <w:r>
        <w:rPr>
          <w:szCs w:val="20"/>
        </w:rPr>
        <w:t xml:space="preserve"> </w:t>
      </w:r>
      <w:r w:rsidRPr="00106BA8">
        <w:rPr>
          <w:szCs w:val="20"/>
        </w:rPr>
        <w:t xml:space="preserve">persistência de desigualdades e </w:t>
      </w:r>
      <w:r>
        <w:rPr>
          <w:szCs w:val="20"/>
        </w:rPr>
        <w:t xml:space="preserve">de </w:t>
      </w:r>
      <w:r w:rsidRPr="00106BA8">
        <w:rPr>
          <w:szCs w:val="20"/>
        </w:rPr>
        <w:t xml:space="preserve">práticas </w:t>
      </w:r>
      <w:r>
        <w:rPr>
          <w:szCs w:val="20"/>
        </w:rPr>
        <w:t>diferenciadas</w:t>
      </w:r>
      <w:r w:rsidRPr="00106BA8">
        <w:rPr>
          <w:szCs w:val="20"/>
        </w:rPr>
        <w:t xml:space="preserve"> nos quadros de governação </w:t>
      </w:r>
      <w:r>
        <w:rPr>
          <w:szCs w:val="20"/>
        </w:rPr>
        <w:t>são identificadas como entraves a esse mesmo desenvolvimento</w:t>
      </w:r>
      <w:r w:rsidR="001854AA">
        <w:rPr>
          <w:rStyle w:val="FootnoteReference"/>
          <w:szCs w:val="20"/>
        </w:rPr>
        <w:footnoteReference w:id="7"/>
      </w:r>
      <w:r>
        <w:rPr>
          <w:szCs w:val="20"/>
        </w:rPr>
        <w:t>.</w:t>
      </w:r>
    </w:p>
    <w:p w14:paraId="5AC4042C" w14:textId="77777777" w:rsidR="00014F76" w:rsidRPr="001B0104" w:rsidRDefault="00014F76" w:rsidP="00B25E7A">
      <w:pPr>
        <w:rPr>
          <w:szCs w:val="20"/>
        </w:rPr>
      </w:pPr>
      <w:r w:rsidRPr="00102D05">
        <w:rPr>
          <w:szCs w:val="20"/>
        </w:rPr>
        <w:t>A metodologia</w:t>
      </w:r>
      <w:r w:rsidRPr="001B0104">
        <w:rPr>
          <w:szCs w:val="20"/>
        </w:rPr>
        <w:t xml:space="preserve"> </w:t>
      </w:r>
      <w:r>
        <w:rPr>
          <w:szCs w:val="20"/>
        </w:rPr>
        <w:t xml:space="preserve">seguida na análise da governância da cadeia de valor da manga na Guiné-Bissau tem por base a abordagem da </w:t>
      </w:r>
      <w:r w:rsidRPr="001B0104">
        <w:rPr>
          <w:szCs w:val="20"/>
        </w:rPr>
        <w:t>VCA4D</w:t>
      </w:r>
      <w:r>
        <w:rPr>
          <w:szCs w:val="20"/>
        </w:rPr>
        <w:t xml:space="preserve"> </w:t>
      </w:r>
      <w:r w:rsidRPr="00D03A05">
        <w:rPr>
          <w:szCs w:val="20"/>
        </w:rPr>
        <w:t xml:space="preserve">(Saldarriaga et </w:t>
      </w:r>
      <w:r w:rsidRPr="00D03A05">
        <w:rPr>
          <w:i/>
          <w:iCs/>
          <w:szCs w:val="20"/>
        </w:rPr>
        <w:t>al.</w:t>
      </w:r>
      <w:r w:rsidRPr="00D03A05">
        <w:rPr>
          <w:szCs w:val="20"/>
        </w:rPr>
        <w:t>, 2023)</w:t>
      </w:r>
      <w:r w:rsidRPr="001B0104">
        <w:rPr>
          <w:szCs w:val="20"/>
        </w:rPr>
        <w:t xml:space="preserve"> </w:t>
      </w:r>
      <w:r>
        <w:rPr>
          <w:szCs w:val="20"/>
        </w:rPr>
        <w:t xml:space="preserve">que </w:t>
      </w:r>
      <w:r w:rsidRPr="001B0104">
        <w:rPr>
          <w:szCs w:val="20"/>
        </w:rPr>
        <w:t xml:space="preserve">estabelece </w:t>
      </w:r>
      <w:r>
        <w:rPr>
          <w:szCs w:val="20"/>
        </w:rPr>
        <w:t>três conjuntos de</w:t>
      </w:r>
      <w:r w:rsidRPr="001B0104">
        <w:rPr>
          <w:szCs w:val="20"/>
        </w:rPr>
        <w:t xml:space="preserve"> aspetos para compreender as </w:t>
      </w:r>
      <w:r>
        <w:rPr>
          <w:szCs w:val="20"/>
        </w:rPr>
        <w:t>a estrutura e o processo de</w:t>
      </w:r>
      <w:r w:rsidRPr="001B0104">
        <w:rPr>
          <w:szCs w:val="20"/>
        </w:rPr>
        <w:t xml:space="preserve"> govern</w:t>
      </w:r>
      <w:r>
        <w:rPr>
          <w:szCs w:val="20"/>
        </w:rPr>
        <w:t>ância</w:t>
      </w:r>
      <w:r w:rsidRPr="001B0104">
        <w:rPr>
          <w:szCs w:val="20"/>
        </w:rPr>
        <w:t xml:space="preserve"> à escala </w:t>
      </w:r>
      <w:r>
        <w:rPr>
          <w:szCs w:val="20"/>
        </w:rPr>
        <w:t>do país produtor, a saber</w:t>
      </w:r>
      <w:r w:rsidRPr="001B0104">
        <w:rPr>
          <w:szCs w:val="20"/>
        </w:rPr>
        <w:t>:</w:t>
      </w:r>
    </w:p>
    <w:p w14:paraId="5E792AC2" w14:textId="257A0054" w:rsidR="00014F76" w:rsidRDefault="00014F76" w:rsidP="00E042D7">
      <w:pPr>
        <w:pStyle w:val="ListParagraph"/>
        <w:numPr>
          <w:ilvl w:val="0"/>
          <w:numId w:val="19"/>
        </w:numPr>
        <w:spacing w:after="0"/>
      </w:pPr>
      <w:r w:rsidRPr="001B0104">
        <w:t>Estratégias das partes interessadas e apoio aos serviços: dependência dos agentes em relação às atividades da CV: económica, acesso a insumos...; importância do(s) produto(s) da CV entre as culturas dos agricultores; tomada de decisões interna; contexto regulamentar (licenças, autorizações, condições de utilização...); certificação e definição de normas, prestação de serviços públicos e infraestruturas; formação profissional; diálogo público-privado</w:t>
      </w:r>
      <w:r>
        <w:t>;</w:t>
      </w:r>
    </w:p>
    <w:p w14:paraId="2B8A7C72" w14:textId="05B1B254" w:rsidR="00014F76" w:rsidRPr="001B0104" w:rsidRDefault="00014F76" w:rsidP="00E042D7">
      <w:pPr>
        <w:pStyle w:val="ListParagraph"/>
        <w:numPr>
          <w:ilvl w:val="0"/>
          <w:numId w:val="19"/>
        </w:numPr>
        <w:spacing w:after="0"/>
      </w:pPr>
      <w:r w:rsidRPr="001B0104">
        <w:t>Coordenação horizontal entre os atores: agentes envolvidos na CV, com a sua especialização e diferenciação em termos de dimensão; associações de atores (função, número, volume de fluxos, relações internas e concorrência); condições de entrada («barreiras»); organização e gestão de funções e serviços estratégicos (água, mão de obra, existências...). Coordenação vertical: contexto regulamentar (licenças, autorizações, condições de utilização...); certificação e definição de normas; prestação de serviços públicos e infraestruturas; formação profissional; diálogo público-privado</w:t>
      </w:r>
      <w:r>
        <w:t>;</w:t>
      </w:r>
    </w:p>
    <w:p w14:paraId="1B3AB87F" w14:textId="77777777" w:rsidR="00014F76" w:rsidRPr="00237BC6" w:rsidRDefault="00014F76" w:rsidP="00E042D7">
      <w:pPr>
        <w:pStyle w:val="ListParagraph"/>
        <w:numPr>
          <w:ilvl w:val="0"/>
          <w:numId w:val="19"/>
        </w:numPr>
        <w:spacing w:after="0"/>
      </w:pPr>
      <w:r w:rsidRPr="001B0104">
        <w:t>Quadro político: fiscal (impostos, subsídios...); financeiro (crédito...); comercial (liberalização, tarifas...); territorial (descentralização...).</w:t>
      </w:r>
    </w:p>
    <w:p w14:paraId="6A35A3B8" w14:textId="77777777" w:rsidR="00014F76" w:rsidRDefault="00014F76" w:rsidP="00B25E7A">
      <w:pPr>
        <w:rPr>
          <w:szCs w:val="20"/>
        </w:rPr>
      </w:pPr>
    </w:p>
    <w:p w14:paraId="36C49749" w14:textId="05FE0E6A" w:rsidR="00014F76" w:rsidRPr="00BF7579" w:rsidRDefault="00014F76" w:rsidP="00B25E7A">
      <w:pPr>
        <w:rPr>
          <w:szCs w:val="20"/>
        </w:rPr>
      </w:pPr>
      <w:r w:rsidRPr="00BF7579">
        <w:rPr>
          <w:szCs w:val="20"/>
        </w:rPr>
        <w:t xml:space="preserve">Para a análise da governância da cadeia de valor da manga na Guiné-Bissau foi construído um questionário abarcando quatro dimensões da governância: (1) Suporte político e administrativo; (2) Coordenação entre atores; (3) Redes de comercialização e distribuição; (4) Acesso a serviços por parte de produtores e transformadores. Este questionário contem um total de 24 afirmações, a serem classificadas segundo uma escala Likert de 7 níveis. O questionário foi distribuído a peritos locais na cadeia de valor da manga, tendo sido registadas 2 respostas. O questionário e os resultados obtidos, </w:t>
      </w:r>
      <w:r w:rsidR="00D03A05" w:rsidRPr="00BF7579">
        <w:rPr>
          <w:szCs w:val="20"/>
        </w:rPr>
        <w:t xml:space="preserve">expressos </w:t>
      </w:r>
      <w:r w:rsidRPr="00BF7579">
        <w:rPr>
          <w:szCs w:val="20"/>
        </w:rPr>
        <w:t xml:space="preserve">sob forma percentual, constam do </w:t>
      </w:r>
      <w:r w:rsidR="00EA2F3C" w:rsidRPr="00C845E7">
        <w:rPr>
          <w:szCs w:val="20"/>
        </w:rPr>
        <w:fldChar w:fldCharType="begin"/>
      </w:r>
      <w:r w:rsidR="00EA2F3C" w:rsidRPr="00C845E7">
        <w:rPr>
          <w:szCs w:val="20"/>
        </w:rPr>
        <w:instrText xml:space="preserve"> REF _Ref210768640 \h </w:instrText>
      </w:r>
      <w:r w:rsidR="00B25E7A" w:rsidRPr="00C845E7">
        <w:rPr>
          <w:szCs w:val="20"/>
        </w:rPr>
        <w:instrText xml:space="preserve"> \* MERGEFORMAT </w:instrText>
      </w:r>
      <w:r w:rsidR="00EA2F3C" w:rsidRPr="00C845E7">
        <w:rPr>
          <w:szCs w:val="20"/>
        </w:rPr>
      </w:r>
      <w:r w:rsidR="00EA2F3C" w:rsidRPr="00C845E7">
        <w:rPr>
          <w:szCs w:val="20"/>
        </w:rPr>
        <w:fldChar w:fldCharType="separate"/>
      </w:r>
      <w:r w:rsidR="002A2405">
        <w:t xml:space="preserve">                                                                         Quadro</w:t>
      </w:r>
      <w:r w:rsidR="002A2405">
        <w:rPr>
          <w:noProof/>
        </w:rPr>
        <w:t xml:space="preserve"> 2</w:t>
      </w:r>
      <w:r w:rsidR="002A2405">
        <w:t>.</w:t>
      </w:r>
      <w:r w:rsidR="002A2405">
        <w:rPr>
          <w:noProof/>
        </w:rPr>
        <w:t>3</w:t>
      </w:r>
      <w:r w:rsidR="00EA2F3C" w:rsidRPr="00C845E7">
        <w:rPr>
          <w:szCs w:val="20"/>
        </w:rPr>
        <w:fldChar w:fldCharType="end"/>
      </w:r>
      <w:r w:rsidRPr="00C845E7">
        <w:rPr>
          <w:szCs w:val="20"/>
        </w:rPr>
        <w:t>.</w:t>
      </w:r>
    </w:p>
    <w:p w14:paraId="2EEC995F" w14:textId="15775276" w:rsidR="00014F76" w:rsidRDefault="00014F76" w:rsidP="00B25E7A">
      <w:pPr>
        <w:rPr>
          <w:szCs w:val="20"/>
        </w:rPr>
      </w:pPr>
      <w:r>
        <w:rPr>
          <w:szCs w:val="20"/>
        </w:rPr>
        <w:t xml:space="preserve">Em todas as quatro dimensões, foram encontrados níveis fracos a muito fracos de governância, à exceção do acesso, por parte dos atores-chave, a serviços de telecomunicações (telefone/telemóvel e internet), onde os inqueridos consideraram existir uma situação mais favorável. </w:t>
      </w:r>
      <w:r w:rsidR="00D03A05">
        <w:rPr>
          <w:szCs w:val="20"/>
        </w:rPr>
        <w:t>Com base nestes resultados,</w:t>
      </w:r>
      <w:r>
        <w:rPr>
          <w:szCs w:val="20"/>
        </w:rPr>
        <w:t xml:space="preserve"> de uma forma geral, pode considerar-se que a </w:t>
      </w:r>
      <w:r w:rsidRPr="005D0FA9">
        <w:rPr>
          <w:szCs w:val="20"/>
        </w:rPr>
        <w:t>cadeia de valor da manga na Guiné-Bissau é caracterizada por uma muito fraca governância.</w:t>
      </w:r>
    </w:p>
    <w:p w14:paraId="23591F9B" w14:textId="77777777" w:rsidR="00014F76" w:rsidRDefault="00014F76" w:rsidP="00014F76">
      <w:pPr>
        <w:rPr>
          <w:szCs w:val="20"/>
        </w:rPr>
      </w:pPr>
    </w:p>
    <w:p w14:paraId="187ECA26" w14:textId="77777777" w:rsidR="00014F76" w:rsidRPr="00EA2F3C" w:rsidRDefault="00014F76" w:rsidP="007D3A26">
      <w:pPr>
        <w:pStyle w:val="Caption"/>
        <w:sectPr w:rsidR="00014F76" w:rsidRPr="00EA2F3C" w:rsidSect="00DE1950">
          <w:type w:val="continuous"/>
          <w:pgSz w:w="11906" w:h="16838"/>
          <w:pgMar w:top="1440" w:right="1440" w:bottom="1440" w:left="1440" w:header="709" w:footer="709" w:gutter="0"/>
          <w:cols w:space="708"/>
          <w:docGrid w:linePitch="360"/>
        </w:sectPr>
      </w:pPr>
      <w:bookmarkStart w:id="91" w:name="_Ref209958933"/>
    </w:p>
    <w:tbl>
      <w:tblPr>
        <w:tblW w:w="15036" w:type="dxa"/>
        <w:jc w:val="center"/>
        <w:tblLayout w:type="fixed"/>
        <w:tblLook w:val="04A0" w:firstRow="1" w:lastRow="0" w:firstColumn="1" w:lastColumn="0" w:noHBand="0" w:noVBand="1"/>
      </w:tblPr>
      <w:tblGrid>
        <w:gridCol w:w="1371"/>
        <w:gridCol w:w="6917"/>
        <w:gridCol w:w="964"/>
        <w:gridCol w:w="964"/>
        <w:gridCol w:w="699"/>
        <w:gridCol w:w="1229"/>
        <w:gridCol w:w="964"/>
        <w:gridCol w:w="964"/>
        <w:gridCol w:w="964"/>
      </w:tblGrid>
      <w:tr w:rsidR="00815AF8" w:rsidRPr="008825E8" w14:paraId="425B75AC" w14:textId="77777777" w:rsidTr="00FA54E0">
        <w:trPr>
          <w:trHeight w:val="552"/>
          <w:jc w:val="center"/>
        </w:trPr>
        <w:tc>
          <w:tcPr>
            <w:tcW w:w="1371" w:type="dxa"/>
            <w:tcBorders>
              <w:top w:val="nil"/>
              <w:left w:val="nil"/>
              <w:bottom w:val="nil"/>
              <w:right w:val="nil"/>
            </w:tcBorders>
            <w:vAlign w:val="bottom"/>
            <w:hideMark/>
          </w:tcPr>
          <w:bookmarkEnd w:id="91"/>
          <w:p w14:paraId="5FDD9769"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lastRenderedPageBreak/>
              <w:t>Área de governância</w:t>
            </w:r>
          </w:p>
        </w:tc>
        <w:tc>
          <w:tcPr>
            <w:tcW w:w="6917" w:type="dxa"/>
            <w:tcBorders>
              <w:top w:val="nil"/>
              <w:left w:val="nil"/>
              <w:bottom w:val="single" w:sz="4" w:space="0" w:color="auto"/>
              <w:right w:val="nil"/>
            </w:tcBorders>
            <w:noWrap/>
            <w:vAlign w:val="bottom"/>
            <w:hideMark/>
          </w:tcPr>
          <w:p w14:paraId="530686F0" w14:textId="77777777" w:rsidR="007D5792" w:rsidRPr="00237BC6" w:rsidRDefault="007D5792" w:rsidP="00EF7773">
            <w:pPr>
              <w:spacing w:after="0" w:line="240" w:lineRule="auto"/>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Questões</w:t>
            </w:r>
          </w:p>
        </w:tc>
        <w:tc>
          <w:tcPr>
            <w:tcW w:w="964" w:type="dxa"/>
            <w:tcBorders>
              <w:top w:val="nil"/>
              <w:left w:val="nil"/>
              <w:bottom w:val="single" w:sz="4" w:space="0" w:color="auto"/>
              <w:right w:val="nil"/>
            </w:tcBorders>
            <w:shd w:val="clear" w:color="000000" w:fill="FF0000"/>
            <w:vAlign w:val="bottom"/>
            <w:hideMark/>
          </w:tcPr>
          <w:p w14:paraId="3C737F54" w14:textId="345A9918" w:rsidR="007D5792" w:rsidRPr="00237BC6" w:rsidRDefault="007D5792" w:rsidP="00EF7773">
            <w:pPr>
              <w:spacing w:after="0" w:line="240" w:lineRule="auto"/>
              <w:jc w:val="center"/>
              <w:rPr>
                <w:rFonts w:eastAsia="Times New Roman" w:cstheme="minorHAnsi"/>
                <w:b/>
                <w:bCs/>
                <w:color w:val="FFFFFF"/>
                <w:sz w:val="18"/>
                <w:szCs w:val="18"/>
                <w:lang w:eastAsia="en-GB"/>
              </w:rPr>
            </w:pPr>
            <w:r w:rsidRPr="00237BC6">
              <w:rPr>
                <w:rFonts w:eastAsia="Times New Roman" w:cstheme="minorHAnsi"/>
                <w:b/>
                <w:bCs/>
                <w:color w:val="FFFFFF"/>
                <w:sz w:val="18"/>
                <w:szCs w:val="18"/>
                <w:lang w:eastAsia="en-GB"/>
              </w:rPr>
              <w:t>Discordo total</w:t>
            </w:r>
          </w:p>
        </w:tc>
        <w:tc>
          <w:tcPr>
            <w:tcW w:w="964" w:type="dxa"/>
            <w:tcBorders>
              <w:top w:val="nil"/>
              <w:left w:val="nil"/>
              <w:bottom w:val="single" w:sz="4" w:space="0" w:color="auto"/>
              <w:right w:val="nil"/>
            </w:tcBorders>
            <w:shd w:val="clear" w:color="000000" w:fill="FFC000"/>
            <w:vAlign w:val="bottom"/>
            <w:hideMark/>
          </w:tcPr>
          <w:p w14:paraId="35E880B3"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Discordo</w:t>
            </w:r>
          </w:p>
        </w:tc>
        <w:tc>
          <w:tcPr>
            <w:tcW w:w="699" w:type="dxa"/>
            <w:tcBorders>
              <w:top w:val="nil"/>
              <w:left w:val="nil"/>
              <w:bottom w:val="single" w:sz="4" w:space="0" w:color="auto"/>
              <w:right w:val="nil"/>
            </w:tcBorders>
            <w:shd w:val="clear" w:color="000000" w:fill="FFFF00"/>
            <w:vAlign w:val="bottom"/>
            <w:hideMark/>
          </w:tcPr>
          <w:p w14:paraId="339E1BEF"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Discordo um pouco</w:t>
            </w:r>
          </w:p>
        </w:tc>
        <w:tc>
          <w:tcPr>
            <w:tcW w:w="1229" w:type="dxa"/>
            <w:tcBorders>
              <w:top w:val="nil"/>
              <w:left w:val="nil"/>
              <w:bottom w:val="single" w:sz="4" w:space="0" w:color="auto"/>
              <w:right w:val="nil"/>
            </w:tcBorders>
            <w:shd w:val="clear" w:color="000000" w:fill="BFBFBF"/>
            <w:vAlign w:val="bottom"/>
            <w:hideMark/>
          </w:tcPr>
          <w:p w14:paraId="53A26F8C" w14:textId="38A5ED2E"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Não oncordo nem discordo</w:t>
            </w:r>
          </w:p>
        </w:tc>
        <w:tc>
          <w:tcPr>
            <w:tcW w:w="964" w:type="dxa"/>
            <w:tcBorders>
              <w:top w:val="nil"/>
              <w:left w:val="nil"/>
              <w:bottom w:val="single" w:sz="4" w:space="0" w:color="auto"/>
              <w:right w:val="nil"/>
            </w:tcBorders>
            <w:shd w:val="clear" w:color="000000" w:fill="BDD7EE"/>
            <w:vAlign w:val="bottom"/>
            <w:hideMark/>
          </w:tcPr>
          <w:p w14:paraId="199E31E4"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Concordo um pouco</w:t>
            </w:r>
          </w:p>
        </w:tc>
        <w:tc>
          <w:tcPr>
            <w:tcW w:w="964" w:type="dxa"/>
            <w:tcBorders>
              <w:top w:val="nil"/>
              <w:left w:val="nil"/>
              <w:bottom w:val="single" w:sz="4" w:space="0" w:color="auto"/>
              <w:right w:val="nil"/>
            </w:tcBorders>
            <w:shd w:val="clear" w:color="000000" w:fill="92D050"/>
            <w:vAlign w:val="bottom"/>
            <w:hideMark/>
          </w:tcPr>
          <w:p w14:paraId="64ECBE1C"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Concordo</w:t>
            </w:r>
          </w:p>
        </w:tc>
        <w:tc>
          <w:tcPr>
            <w:tcW w:w="964" w:type="dxa"/>
            <w:tcBorders>
              <w:top w:val="nil"/>
              <w:left w:val="nil"/>
              <w:bottom w:val="single" w:sz="4" w:space="0" w:color="auto"/>
              <w:right w:val="nil"/>
            </w:tcBorders>
            <w:shd w:val="clear" w:color="000000" w:fill="00B050"/>
            <w:vAlign w:val="bottom"/>
            <w:hideMark/>
          </w:tcPr>
          <w:p w14:paraId="6946208B"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r w:rsidRPr="00237BC6">
              <w:rPr>
                <w:rFonts w:eastAsia="Times New Roman" w:cstheme="minorHAnsi"/>
                <w:b/>
                <w:bCs/>
                <w:color w:val="FFFFFF"/>
                <w:sz w:val="18"/>
                <w:szCs w:val="18"/>
                <w:lang w:eastAsia="en-GB"/>
              </w:rPr>
              <w:t>Concordo totalmente</w:t>
            </w:r>
          </w:p>
        </w:tc>
      </w:tr>
      <w:tr w:rsidR="00815AF8" w:rsidRPr="008825E8" w14:paraId="5A137B8C" w14:textId="77777777" w:rsidTr="00FA54E0">
        <w:trPr>
          <w:trHeight w:val="276"/>
          <w:jc w:val="center"/>
        </w:trPr>
        <w:tc>
          <w:tcPr>
            <w:tcW w:w="1371" w:type="dxa"/>
            <w:vMerge w:val="restart"/>
            <w:tcBorders>
              <w:top w:val="nil"/>
              <w:left w:val="nil"/>
              <w:bottom w:val="single" w:sz="4" w:space="0" w:color="000000"/>
              <w:right w:val="nil"/>
            </w:tcBorders>
            <w:hideMark/>
          </w:tcPr>
          <w:p w14:paraId="1EEBB4FF" w14:textId="3A85D7CF" w:rsidR="007D5792" w:rsidRPr="00237BC6" w:rsidRDefault="007D5792" w:rsidP="00EF7773">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 xml:space="preserve">I. </w:t>
            </w:r>
            <w:r w:rsidRPr="00237BC6">
              <w:rPr>
                <w:rFonts w:eastAsia="Times New Roman" w:cstheme="minorHAnsi"/>
                <w:color w:val="000000"/>
                <w:sz w:val="18"/>
                <w:szCs w:val="18"/>
                <w:lang w:eastAsia="en-GB"/>
              </w:rPr>
              <w:t>Suporte político e administrativo</w:t>
            </w:r>
          </w:p>
        </w:tc>
        <w:tc>
          <w:tcPr>
            <w:tcW w:w="6917" w:type="dxa"/>
            <w:tcBorders>
              <w:top w:val="nil"/>
              <w:left w:val="nil"/>
              <w:bottom w:val="nil"/>
              <w:right w:val="nil"/>
            </w:tcBorders>
            <w:noWrap/>
            <w:vAlign w:val="bottom"/>
            <w:hideMark/>
          </w:tcPr>
          <w:p w14:paraId="538B6DBB" w14:textId="77777777"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 xml:space="preserve">No geral, pode-se considerar que os atores da CV da manga na GNB têm acesso a crédito </w:t>
            </w:r>
          </w:p>
        </w:tc>
        <w:tc>
          <w:tcPr>
            <w:tcW w:w="964" w:type="dxa"/>
            <w:tcBorders>
              <w:top w:val="nil"/>
              <w:left w:val="nil"/>
              <w:bottom w:val="nil"/>
              <w:right w:val="nil"/>
            </w:tcBorders>
            <w:shd w:val="clear" w:color="000000" w:fill="FF0000"/>
            <w:noWrap/>
            <w:vAlign w:val="bottom"/>
            <w:hideMark/>
          </w:tcPr>
          <w:p w14:paraId="26FD89A2"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r w:rsidRPr="00237BC6">
              <w:rPr>
                <w:rFonts w:eastAsia="Times New Roman" w:cstheme="minorHAnsi"/>
                <w:b/>
                <w:bCs/>
                <w:color w:val="FFFFFF"/>
                <w:sz w:val="18"/>
                <w:szCs w:val="18"/>
                <w:lang w:eastAsia="en-GB"/>
              </w:rPr>
              <w:t>100%</w:t>
            </w:r>
          </w:p>
        </w:tc>
        <w:tc>
          <w:tcPr>
            <w:tcW w:w="964" w:type="dxa"/>
            <w:tcBorders>
              <w:top w:val="nil"/>
              <w:left w:val="nil"/>
              <w:bottom w:val="nil"/>
              <w:right w:val="nil"/>
            </w:tcBorders>
            <w:noWrap/>
            <w:vAlign w:val="bottom"/>
            <w:hideMark/>
          </w:tcPr>
          <w:p w14:paraId="6795D880"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p>
        </w:tc>
        <w:tc>
          <w:tcPr>
            <w:tcW w:w="699" w:type="dxa"/>
            <w:tcBorders>
              <w:top w:val="nil"/>
              <w:left w:val="nil"/>
              <w:bottom w:val="nil"/>
              <w:right w:val="nil"/>
            </w:tcBorders>
            <w:noWrap/>
            <w:vAlign w:val="bottom"/>
            <w:hideMark/>
          </w:tcPr>
          <w:p w14:paraId="7A9F9FBB"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1229" w:type="dxa"/>
            <w:tcBorders>
              <w:top w:val="nil"/>
              <w:left w:val="nil"/>
              <w:bottom w:val="nil"/>
              <w:right w:val="nil"/>
            </w:tcBorders>
            <w:noWrap/>
            <w:vAlign w:val="bottom"/>
            <w:hideMark/>
          </w:tcPr>
          <w:p w14:paraId="58BFC517"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4FF8DC72"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192DDA22"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0F16003A" w14:textId="77777777" w:rsidR="007D5792" w:rsidRPr="00237BC6" w:rsidRDefault="007D5792" w:rsidP="00EF7773">
            <w:pPr>
              <w:spacing w:after="0" w:line="240" w:lineRule="auto"/>
              <w:jc w:val="center"/>
              <w:rPr>
                <w:rFonts w:eastAsia="Times New Roman" w:cstheme="minorHAnsi"/>
                <w:sz w:val="18"/>
                <w:szCs w:val="18"/>
                <w:lang w:eastAsia="en-GB"/>
              </w:rPr>
            </w:pPr>
          </w:p>
        </w:tc>
      </w:tr>
      <w:tr w:rsidR="00815AF8" w:rsidRPr="008825E8" w14:paraId="2A1017C5" w14:textId="77777777" w:rsidTr="00FA54E0">
        <w:trPr>
          <w:trHeight w:val="276"/>
          <w:jc w:val="center"/>
        </w:trPr>
        <w:tc>
          <w:tcPr>
            <w:tcW w:w="1371" w:type="dxa"/>
            <w:vMerge/>
            <w:tcBorders>
              <w:top w:val="nil"/>
              <w:left w:val="nil"/>
              <w:bottom w:val="single" w:sz="4" w:space="0" w:color="000000"/>
              <w:right w:val="nil"/>
            </w:tcBorders>
            <w:vAlign w:val="center"/>
            <w:hideMark/>
          </w:tcPr>
          <w:p w14:paraId="5F2ED73A"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6917" w:type="dxa"/>
            <w:tcBorders>
              <w:top w:val="nil"/>
              <w:left w:val="nil"/>
              <w:bottom w:val="nil"/>
              <w:right w:val="nil"/>
            </w:tcBorders>
            <w:noWrap/>
            <w:vAlign w:val="bottom"/>
            <w:hideMark/>
          </w:tcPr>
          <w:p w14:paraId="2303C096" w14:textId="77777777"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No geral, pode-se considerar que os atores da CV da manga na GNB têm acesso a esquemas de certificação dos seus produtos</w:t>
            </w:r>
          </w:p>
        </w:tc>
        <w:tc>
          <w:tcPr>
            <w:tcW w:w="964" w:type="dxa"/>
            <w:tcBorders>
              <w:top w:val="nil"/>
              <w:left w:val="nil"/>
              <w:bottom w:val="nil"/>
              <w:right w:val="nil"/>
            </w:tcBorders>
            <w:shd w:val="clear" w:color="000000" w:fill="FF0000"/>
            <w:noWrap/>
            <w:vAlign w:val="bottom"/>
            <w:hideMark/>
          </w:tcPr>
          <w:p w14:paraId="61FFFF46"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r w:rsidRPr="00237BC6">
              <w:rPr>
                <w:rFonts w:eastAsia="Times New Roman" w:cstheme="minorHAnsi"/>
                <w:b/>
                <w:bCs/>
                <w:color w:val="FFFFFF"/>
                <w:sz w:val="18"/>
                <w:szCs w:val="18"/>
                <w:lang w:eastAsia="en-GB"/>
              </w:rPr>
              <w:t>100%</w:t>
            </w:r>
          </w:p>
        </w:tc>
        <w:tc>
          <w:tcPr>
            <w:tcW w:w="964" w:type="dxa"/>
            <w:tcBorders>
              <w:top w:val="nil"/>
              <w:left w:val="nil"/>
              <w:bottom w:val="nil"/>
              <w:right w:val="nil"/>
            </w:tcBorders>
            <w:noWrap/>
            <w:vAlign w:val="bottom"/>
            <w:hideMark/>
          </w:tcPr>
          <w:p w14:paraId="34F116E4"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p>
        </w:tc>
        <w:tc>
          <w:tcPr>
            <w:tcW w:w="699" w:type="dxa"/>
            <w:tcBorders>
              <w:top w:val="nil"/>
              <w:left w:val="nil"/>
              <w:bottom w:val="nil"/>
              <w:right w:val="nil"/>
            </w:tcBorders>
            <w:noWrap/>
            <w:vAlign w:val="bottom"/>
            <w:hideMark/>
          </w:tcPr>
          <w:p w14:paraId="20080957"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1229" w:type="dxa"/>
            <w:tcBorders>
              <w:top w:val="nil"/>
              <w:left w:val="nil"/>
              <w:bottom w:val="nil"/>
              <w:right w:val="nil"/>
            </w:tcBorders>
            <w:noWrap/>
            <w:vAlign w:val="bottom"/>
            <w:hideMark/>
          </w:tcPr>
          <w:p w14:paraId="6F5B0048"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1126B468"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14E3C324"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00C1E8E4" w14:textId="77777777" w:rsidR="007D5792" w:rsidRPr="00237BC6" w:rsidRDefault="007D5792" w:rsidP="00EF7773">
            <w:pPr>
              <w:spacing w:after="0" w:line="240" w:lineRule="auto"/>
              <w:jc w:val="center"/>
              <w:rPr>
                <w:rFonts w:eastAsia="Times New Roman" w:cstheme="minorHAnsi"/>
                <w:sz w:val="18"/>
                <w:szCs w:val="18"/>
                <w:lang w:eastAsia="en-GB"/>
              </w:rPr>
            </w:pPr>
          </w:p>
        </w:tc>
      </w:tr>
      <w:tr w:rsidR="00815AF8" w:rsidRPr="008825E8" w14:paraId="39B5D119" w14:textId="77777777" w:rsidTr="00FA54E0">
        <w:trPr>
          <w:trHeight w:val="276"/>
          <w:jc w:val="center"/>
        </w:trPr>
        <w:tc>
          <w:tcPr>
            <w:tcW w:w="1371" w:type="dxa"/>
            <w:vMerge/>
            <w:tcBorders>
              <w:top w:val="nil"/>
              <w:left w:val="nil"/>
              <w:bottom w:val="single" w:sz="4" w:space="0" w:color="000000"/>
              <w:right w:val="nil"/>
            </w:tcBorders>
            <w:vAlign w:val="center"/>
            <w:hideMark/>
          </w:tcPr>
          <w:p w14:paraId="51A002D4"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6917" w:type="dxa"/>
            <w:tcBorders>
              <w:top w:val="nil"/>
              <w:left w:val="nil"/>
              <w:bottom w:val="nil"/>
              <w:right w:val="nil"/>
            </w:tcBorders>
            <w:noWrap/>
            <w:vAlign w:val="bottom"/>
            <w:hideMark/>
          </w:tcPr>
          <w:p w14:paraId="02995FFA" w14:textId="77777777"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No geral, pode-se considerar que os atores da CV da manga na GNB têm apoio à exportação</w:t>
            </w:r>
          </w:p>
        </w:tc>
        <w:tc>
          <w:tcPr>
            <w:tcW w:w="964" w:type="dxa"/>
            <w:tcBorders>
              <w:top w:val="nil"/>
              <w:left w:val="nil"/>
              <w:bottom w:val="nil"/>
              <w:right w:val="nil"/>
            </w:tcBorders>
            <w:shd w:val="clear" w:color="000000" w:fill="FF0000"/>
            <w:noWrap/>
            <w:vAlign w:val="bottom"/>
            <w:hideMark/>
          </w:tcPr>
          <w:p w14:paraId="5103AEF2"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r w:rsidRPr="00237BC6">
              <w:rPr>
                <w:rFonts w:eastAsia="Times New Roman" w:cstheme="minorHAnsi"/>
                <w:b/>
                <w:bCs/>
                <w:color w:val="FFFFFF"/>
                <w:sz w:val="18"/>
                <w:szCs w:val="18"/>
                <w:lang w:eastAsia="en-GB"/>
              </w:rPr>
              <w:t>50%</w:t>
            </w:r>
          </w:p>
        </w:tc>
        <w:tc>
          <w:tcPr>
            <w:tcW w:w="964" w:type="dxa"/>
            <w:tcBorders>
              <w:top w:val="nil"/>
              <w:left w:val="nil"/>
              <w:bottom w:val="nil"/>
              <w:right w:val="nil"/>
            </w:tcBorders>
            <w:shd w:val="clear" w:color="000000" w:fill="FFC000"/>
            <w:noWrap/>
            <w:vAlign w:val="bottom"/>
            <w:hideMark/>
          </w:tcPr>
          <w:p w14:paraId="155B4B71"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50%</w:t>
            </w:r>
          </w:p>
        </w:tc>
        <w:tc>
          <w:tcPr>
            <w:tcW w:w="699" w:type="dxa"/>
            <w:tcBorders>
              <w:top w:val="nil"/>
              <w:left w:val="nil"/>
              <w:bottom w:val="nil"/>
              <w:right w:val="nil"/>
            </w:tcBorders>
            <w:noWrap/>
            <w:vAlign w:val="bottom"/>
            <w:hideMark/>
          </w:tcPr>
          <w:p w14:paraId="6A69EA24"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p>
        </w:tc>
        <w:tc>
          <w:tcPr>
            <w:tcW w:w="1229" w:type="dxa"/>
            <w:tcBorders>
              <w:top w:val="nil"/>
              <w:left w:val="nil"/>
              <w:bottom w:val="nil"/>
              <w:right w:val="nil"/>
            </w:tcBorders>
            <w:noWrap/>
            <w:vAlign w:val="bottom"/>
            <w:hideMark/>
          </w:tcPr>
          <w:p w14:paraId="7C485AD7"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7ED1DC4B"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53FD228E"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31237E6C" w14:textId="77777777" w:rsidR="007D5792" w:rsidRPr="00237BC6" w:rsidRDefault="007D5792" w:rsidP="00EF7773">
            <w:pPr>
              <w:spacing w:after="0" w:line="240" w:lineRule="auto"/>
              <w:jc w:val="center"/>
              <w:rPr>
                <w:rFonts w:eastAsia="Times New Roman" w:cstheme="minorHAnsi"/>
                <w:sz w:val="18"/>
                <w:szCs w:val="18"/>
                <w:lang w:eastAsia="en-GB"/>
              </w:rPr>
            </w:pPr>
          </w:p>
        </w:tc>
      </w:tr>
      <w:tr w:rsidR="00815AF8" w:rsidRPr="008825E8" w14:paraId="50C62D88" w14:textId="77777777" w:rsidTr="00FA54E0">
        <w:trPr>
          <w:trHeight w:val="276"/>
          <w:jc w:val="center"/>
        </w:trPr>
        <w:tc>
          <w:tcPr>
            <w:tcW w:w="1371" w:type="dxa"/>
            <w:vMerge/>
            <w:tcBorders>
              <w:top w:val="nil"/>
              <w:left w:val="nil"/>
              <w:bottom w:val="single" w:sz="4" w:space="0" w:color="000000"/>
              <w:right w:val="nil"/>
            </w:tcBorders>
            <w:vAlign w:val="center"/>
            <w:hideMark/>
          </w:tcPr>
          <w:p w14:paraId="5F0F54D7"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6917" w:type="dxa"/>
            <w:tcBorders>
              <w:top w:val="nil"/>
              <w:left w:val="nil"/>
              <w:bottom w:val="nil"/>
              <w:right w:val="nil"/>
            </w:tcBorders>
            <w:noWrap/>
            <w:vAlign w:val="bottom"/>
            <w:hideMark/>
          </w:tcPr>
          <w:p w14:paraId="6A369472" w14:textId="6FCAED87"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 xml:space="preserve">No geral, pode-se considerar que existem </w:t>
            </w:r>
            <w:r w:rsidR="000E5A65" w:rsidRPr="00237BC6">
              <w:rPr>
                <w:rFonts w:eastAsia="Times New Roman" w:cstheme="minorHAnsi"/>
                <w:color w:val="000000"/>
                <w:sz w:val="18"/>
                <w:szCs w:val="18"/>
                <w:lang w:eastAsia="en-GB"/>
              </w:rPr>
              <w:t>políticas</w:t>
            </w:r>
            <w:r w:rsidRPr="00237BC6">
              <w:rPr>
                <w:rFonts w:eastAsia="Times New Roman" w:cstheme="minorHAnsi"/>
                <w:color w:val="000000"/>
                <w:sz w:val="18"/>
                <w:szCs w:val="18"/>
                <w:lang w:eastAsia="en-GB"/>
              </w:rPr>
              <w:t xml:space="preserve"> públicas para gestão de pomares de manga, eficazes, eficientes e continuadas</w:t>
            </w:r>
          </w:p>
        </w:tc>
        <w:tc>
          <w:tcPr>
            <w:tcW w:w="964" w:type="dxa"/>
            <w:tcBorders>
              <w:top w:val="nil"/>
              <w:left w:val="nil"/>
              <w:bottom w:val="nil"/>
              <w:right w:val="nil"/>
            </w:tcBorders>
            <w:shd w:val="clear" w:color="000000" w:fill="FF0000"/>
            <w:noWrap/>
            <w:vAlign w:val="bottom"/>
            <w:hideMark/>
          </w:tcPr>
          <w:p w14:paraId="4AE9B92C"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r w:rsidRPr="00237BC6">
              <w:rPr>
                <w:rFonts w:eastAsia="Times New Roman" w:cstheme="minorHAnsi"/>
                <w:b/>
                <w:bCs/>
                <w:color w:val="FFFFFF"/>
                <w:sz w:val="18"/>
                <w:szCs w:val="18"/>
                <w:lang w:eastAsia="en-GB"/>
              </w:rPr>
              <w:t>100%</w:t>
            </w:r>
          </w:p>
        </w:tc>
        <w:tc>
          <w:tcPr>
            <w:tcW w:w="964" w:type="dxa"/>
            <w:tcBorders>
              <w:top w:val="nil"/>
              <w:left w:val="nil"/>
              <w:bottom w:val="nil"/>
              <w:right w:val="nil"/>
            </w:tcBorders>
            <w:noWrap/>
            <w:vAlign w:val="bottom"/>
            <w:hideMark/>
          </w:tcPr>
          <w:p w14:paraId="0371AC13"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p>
        </w:tc>
        <w:tc>
          <w:tcPr>
            <w:tcW w:w="699" w:type="dxa"/>
            <w:tcBorders>
              <w:top w:val="nil"/>
              <w:left w:val="nil"/>
              <w:bottom w:val="nil"/>
              <w:right w:val="nil"/>
            </w:tcBorders>
            <w:noWrap/>
            <w:vAlign w:val="bottom"/>
            <w:hideMark/>
          </w:tcPr>
          <w:p w14:paraId="3AE2F546"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1229" w:type="dxa"/>
            <w:tcBorders>
              <w:top w:val="nil"/>
              <w:left w:val="nil"/>
              <w:bottom w:val="nil"/>
              <w:right w:val="nil"/>
            </w:tcBorders>
            <w:noWrap/>
            <w:vAlign w:val="bottom"/>
            <w:hideMark/>
          </w:tcPr>
          <w:p w14:paraId="2FE843E4"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7C8143E9"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061749CB"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4676A5DF" w14:textId="77777777" w:rsidR="007D5792" w:rsidRPr="00237BC6" w:rsidRDefault="007D5792" w:rsidP="00EF7773">
            <w:pPr>
              <w:spacing w:after="0" w:line="240" w:lineRule="auto"/>
              <w:jc w:val="center"/>
              <w:rPr>
                <w:rFonts w:eastAsia="Times New Roman" w:cstheme="minorHAnsi"/>
                <w:sz w:val="18"/>
                <w:szCs w:val="18"/>
                <w:lang w:eastAsia="en-GB"/>
              </w:rPr>
            </w:pPr>
          </w:p>
        </w:tc>
      </w:tr>
      <w:tr w:rsidR="00815AF8" w:rsidRPr="008825E8" w14:paraId="79D6E1BC" w14:textId="77777777" w:rsidTr="00FA54E0">
        <w:trPr>
          <w:trHeight w:val="276"/>
          <w:jc w:val="center"/>
        </w:trPr>
        <w:tc>
          <w:tcPr>
            <w:tcW w:w="1371" w:type="dxa"/>
            <w:vMerge/>
            <w:tcBorders>
              <w:top w:val="nil"/>
              <w:left w:val="nil"/>
              <w:bottom w:val="single" w:sz="4" w:space="0" w:color="000000"/>
              <w:right w:val="nil"/>
            </w:tcBorders>
            <w:vAlign w:val="center"/>
            <w:hideMark/>
          </w:tcPr>
          <w:p w14:paraId="3654DD2D"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6917" w:type="dxa"/>
            <w:tcBorders>
              <w:top w:val="nil"/>
              <w:left w:val="nil"/>
              <w:bottom w:val="nil"/>
              <w:right w:val="nil"/>
            </w:tcBorders>
            <w:noWrap/>
            <w:vAlign w:val="bottom"/>
            <w:hideMark/>
          </w:tcPr>
          <w:p w14:paraId="70B5D259" w14:textId="77777777"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No geral, pode-se considerar que existem políticas de financiamento que beneficiam os produtores e transformadores de manga</w:t>
            </w:r>
          </w:p>
        </w:tc>
        <w:tc>
          <w:tcPr>
            <w:tcW w:w="964" w:type="dxa"/>
            <w:tcBorders>
              <w:top w:val="nil"/>
              <w:left w:val="nil"/>
              <w:bottom w:val="nil"/>
              <w:right w:val="nil"/>
            </w:tcBorders>
            <w:shd w:val="clear" w:color="000000" w:fill="FF0000"/>
            <w:noWrap/>
            <w:vAlign w:val="bottom"/>
            <w:hideMark/>
          </w:tcPr>
          <w:p w14:paraId="0A5399B8"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r w:rsidRPr="00237BC6">
              <w:rPr>
                <w:rFonts w:eastAsia="Times New Roman" w:cstheme="minorHAnsi"/>
                <w:b/>
                <w:bCs/>
                <w:color w:val="FFFFFF"/>
                <w:sz w:val="18"/>
                <w:szCs w:val="18"/>
                <w:lang w:eastAsia="en-GB"/>
              </w:rPr>
              <w:t>100%</w:t>
            </w:r>
          </w:p>
        </w:tc>
        <w:tc>
          <w:tcPr>
            <w:tcW w:w="964" w:type="dxa"/>
            <w:tcBorders>
              <w:top w:val="nil"/>
              <w:left w:val="nil"/>
              <w:bottom w:val="nil"/>
              <w:right w:val="nil"/>
            </w:tcBorders>
            <w:noWrap/>
            <w:vAlign w:val="bottom"/>
            <w:hideMark/>
          </w:tcPr>
          <w:p w14:paraId="443CE536"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p>
        </w:tc>
        <w:tc>
          <w:tcPr>
            <w:tcW w:w="699" w:type="dxa"/>
            <w:tcBorders>
              <w:top w:val="nil"/>
              <w:left w:val="nil"/>
              <w:bottom w:val="nil"/>
              <w:right w:val="nil"/>
            </w:tcBorders>
            <w:noWrap/>
            <w:vAlign w:val="bottom"/>
            <w:hideMark/>
          </w:tcPr>
          <w:p w14:paraId="6F321963"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1229" w:type="dxa"/>
            <w:tcBorders>
              <w:top w:val="nil"/>
              <w:left w:val="nil"/>
              <w:bottom w:val="nil"/>
              <w:right w:val="nil"/>
            </w:tcBorders>
            <w:noWrap/>
            <w:vAlign w:val="bottom"/>
            <w:hideMark/>
          </w:tcPr>
          <w:p w14:paraId="7004E3D2"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06A4EF0C"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0073474D"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61830154" w14:textId="77777777" w:rsidR="007D5792" w:rsidRPr="00237BC6" w:rsidRDefault="007D5792" w:rsidP="00EF7773">
            <w:pPr>
              <w:spacing w:after="0" w:line="240" w:lineRule="auto"/>
              <w:jc w:val="center"/>
              <w:rPr>
                <w:rFonts w:eastAsia="Times New Roman" w:cstheme="minorHAnsi"/>
                <w:sz w:val="18"/>
                <w:szCs w:val="18"/>
                <w:lang w:eastAsia="en-GB"/>
              </w:rPr>
            </w:pPr>
          </w:p>
        </w:tc>
      </w:tr>
      <w:tr w:rsidR="00815AF8" w:rsidRPr="008825E8" w14:paraId="6342973D" w14:textId="77777777" w:rsidTr="00FA54E0">
        <w:trPr>
          <w:trHeight w:val="276"/>
          <w:jc w:val="center"/>
        </w:trPr>
        <w:tc>
          <w:tcPr>
            <w:tcW w:w="1371" w:type="dxa"/>
            <w:vMerge/>
            <w:tcBorders>
              <w:top w:val="nil"/>
              <w:left w:val="nil"/>
              <w:bottom w:val="single" w:sz="4" w:space="0" w:color="000000"/>
              <w:right w:val="nil"/>
            </w:tcBorders>
            <w:vAlign w:val="center"/>
            <w:hideMark/>
          </w:tcPr>
          <w:p w14:paraId="3F8546DF"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6917" w:type="dxa"/>
            <w:tcBorders>
              <w:top w:val="nil"/>
              <w:left w:val="nil"/>
              <w:bottom w:val="nil"/>
              <w:right w:val="nil"/>
            </w:tcBorders>
            <w:noWrap/>
            <w:vAlign w:val="bottom"/>
            <w:hideMark/>
          </w:tcPr>
          <w:p w14:paraId="76FCB6AB" w14:textId="4E90671F"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 xml:space="preserve">No geral, pode-se considerar que existe um </w:t>
            </w:r>
            <w:r w:rsidR="009668F3" w:rsidRPr="00237BC6">
              <w:rPr>
                <w:rFonts w:eastAsia="Times New Roman" w:cstheme="minorHAnsi"/>
                <w:color w:val="000000"/>
                <w:sz w:val="18"/>
                <w:szCs w:val="18"/>
                <w:lang w:eastAsia="en-GB"/>
              </w:rPr>
              <w:t>fortalecimento</w:t>
            </w:r>
            <w:r w:rsidRPr="00237BC6">
              <w:rPr>
                <w:rFonts w:eastAsia="Times New Roman" w:cstheme="minorHAnsi"/>
                <w:color w:val="000000"/>
                <w:sz w:val="18"/>
                <w:szCs w:val="18"/>
                <w:lang w:eastAsia="en-GB"/>
              </w:rPr>
              <w:t xml:space="preserve"> associativo dos atores da CV da manga na GNB</w:t>
            </w:r>
          </w:p>
        </w:tc>
        <w:tc>
          <w:tcPr>
            <w:tcW w:w="964" w:type="dxa"/>
            <w:tcBorders>
              <w:top w:val="nil"/>
              <w:left w:val="nil"/>
              <w:bottom w:val="nil"/>
              <w:right w:val="nil"/>
            </w:tcBorders>
            <w:noWrap/>
            <w:vAlign w:val="bottom"/>
            <w:hideMark/>
          </w:tcPr>
          <w:p w14:paraId="57F8C045"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964" w:type="dxa"/>
            <w:tcBorders>
              <w:top w:val="nil"/>
              <w:left w:val="nil"/>
              <w:bottom w:val="nil"/>
              <w:right w:val="nil"/>
            </w:tcBorders>
            <w:shd w:val="clear" w:color="000000" w:fill="FFC000"/>
            <w:noWrap/>
            <w:vAlign w:val="bottom"/>
            <w:hideMark/>
          </w:tcPr>
          <w:p w14:paraId="7CF50489"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50%</w:t>
            </w:r>
          </w:p>
        </w:tc>
        <w:tc>
          <w:tcPr>
            <w:tcW w:w="699" w:type="dxa"/>
            <w:tcBorders>
              <w:top w:val="nil"/>
              <w:left w:val="nil"/>
              <w:bottom w:val="nil"/>
              <w:right w:val="nil"/>
            </w:tcBorders>
            <w:shd w:val="clear" w:color="000000" w:fill="FFFF00"/>
            <w:noWrap/>
            <w:vAlign w:val="bottom"/>
            <w:hideMark/>
          </w:tcPr>
          <w:p w14:paraId="5EBBE411"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50%</w:t>
            </w:r>
          </w:p>
        </w:tc>
        <w:tc>
          <w:tcPr>
            <w:tcW w:w="1229" w:type="dxa"/>
            <w:tcBorders>
              <w:top w:val="nil"/>
              <w:left w:val="nil"/>
              <w:bottom w:val="nil"/>
              <w:right w:val="nil"/>
            </w:tcBorders>
            <w:noWrap/>
            <w:vAlign w:val="bottom"/>
            <w:hideMark/>
          </w:tcPr>
          <w:p w14:paraId="69295A62"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p>
        </w:tc>
        <w:tc>
          <w:tcPr>
            <w:tcW w:w="964" w:type="dxa"/>
            <w:tcBorders>
              <w:top w:val="nil"/>
              <w:left w:val="nil"/>
              <w:bottom w:val="nil"/>
              <w:right w:val="nil"/>
            </w:tcBorders>
            <w:noWrap/>
            <w:vAlign w:val="bottom"/>
            <w:hideMark/>
          </w:tcPr>
          <w:p w14:paraId="727D4541"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4AD6BEC8"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2B61D55A" w14:textId="77777777" w:rsidR="007D5792" w:rsidRPr="00237BC6" w:rsidRDefault="007D5792" w:rsidP="00EF7773">
            <w:pPr>
              <w:spacing w:after="0" w:line="240" w:lineRule="auto"/>
              <w:jc w:val="center"/>
              <w:rPr>
                <w:rFonts w:eastAsia="Times New Roman" w:cstheme="minorHAnsi"/>
                <w:sz w:val="18"/>
                <w:szCs w:val="18"/>
                <w:lang w:eastAsia="en-GB"/>
              </w:rPr>
            </w:pPr>
          </w:p>
        </w:tc>
      </w:tr>
      <w:tr w:rsidR="00815AF8" w:rsidRPr="008825E8" w14:paraId="33D66439" w14:textId="77777777" w:rsidTr="00FA54E0">
        <w:trPr>
          <w:trHeight w:val="276"/>
          <w:jc w:val="center"/>
        </w:trPr>
        <w:tc>
          <w:tcPr>
            <w:tcW w:w="1371" w:type="dxa"/>
            <w:vMerge/>
            <w:tcBorders>
              <w:top w:val="nil"/>
              <w:left w:val="nil"/>
              <w:bottom w:val="single" w:sz="4" w:space="0" w:color="000000"/>
              <w:right w:val="nil"/>
            </w:tcBorders>
            <w:vAlign w:val="center"/>
            <w:hideMark/>
          </w:tcPr>
          <w:p w14:paraId="7A618590"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6917" w:type="dxa"/>
            <w:tcBorders>
              <w:top w:val="nil"/>
              <w:left w:val="nil"/>
              <w:bottom w:val="nil"/>
              <w:right w:val="nil"/>
            </w:tcBorders>
            <w:noWrap/>
            <w:vAlign w:val="bottom"/>
            <w:hideMark/>
          </w:tcPr>
          <w:p w14:paraId="0A4DD1E3" w14:textId="445FF8A7"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Em geral, existe coordenação entre direções gerais e/ou ministério com competência na</w:t>
            </w:r>
            <w:r w:rsidR="00FA54E0">
              <w:rPr>
                <w:rFonts w:eastAsia="Times New Roman" w:cstheme="minorHAnsi"/>
                <w:color w:val="000000"/>
                <w:sz w:val="18"/>
                <w:szCs w:val="18"/>
                <w:lang w:eastAsia="en-GB"/>
              </w:rPr>
              <w:t xml:space="preserve"> CV</w:t>
            </w:r>
          </w:p>
        </w:tc>
        <w:tc>
          <w:tcPr>
            <w:tcW w:w="964" w:type="dxa"/>
            <w:tcBorders>
              <w:top w:val="nil"/>
              <w:left w:val="nil"/>
              <w:bottom w:val="nil"/>
              <w:right w:val="nil"/>
            </w:tcBorders>
            <w:shd w:val="clear" w:color="000000" w:fill="FF0000"/>
            <w:noWrap/>
            <w:vAlign w:val="bottom"/>
            <w:hideMark/>
          </w:tcPr>
          <w:p w14:paraId="6679AC95"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r w:rsidRPr="00237BC6">
              <w:rPr>
                <w:rFonts w:eastAsia="Times New Roman" w:cstheme="minorHAnsi"/>
                <w:b/>
                <w:bCs/>
                <w:color w:val="FFFFFF"/>
                <w:sz w:val="18"/>
                <w:szCs w:val="18"/>
                <w:lang w:eastAsia="en-GB"/>
              </w:rPr>
              <w:t>100%</w:t>
            </w:r>
          </w:p>
        </w:tc>
        <w:tc>
          <w:tcPr>
            <w:tcW w:w="964" w:type="dxa"/>
            <w:tcBorders>
              <w:top w:val="nil"/>
              <w:left w:val="nil"/>
              <w:bottom w:val="nil"/>
              <w:right w:val="nil"/>
            </w:tcBorders>
            <w:noWrap/>
            <w:vAlign w:val="bottom"/>
            <w:hideMark/>
          </w:tcPr>
          <w:p w14:paraId="64DEB608"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p>
        </w:tc>
        <w:tc>
          <w:tcPr>
            <w:tcW w:w="699" w:type="dxa"/>
            <w:tcBorders>
              <w:top w:val="nil"/>
              <w:left w:val="nil"/>
              <w:bottom w:val="nil"/>
              <w:right w:val="nil"/>
            </w:tcBorders>
            <w:noWrap/>
            <w:vAlign w:val="bottom"/>
            <w:hideMark/>
          </w:tcPr>
          <w:p w14:paraId="4EFA2BF2"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1229" w:type="dxa"/>
            <w:tcBorders>
              <w:top w:val="nil"/>
              <w:left w:val="nil"/>
              <w:bottom w:val="nil"/>
              <w:right w:val="nil"/>
            </w:tcBorders>
            <w:noWrap/>
            <w:vAlign w:val="bottom"/>
            <w:hideMark/>
          </w:tcPr>
          <w:p w14:paraId="6E74B0FD"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0DB6BE18"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36A74CA7"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4B346368" w14:textId="77777777" w:rsidR="007D5792" w:rsidRPr="00237BC6" w:rsidRDefault="007D5792" w:rsidP="00EF7773">
            <w:pPr>
              <w:spacing w:after="0" w:line="240" w:lineRule="auto"/>
              <w:jc w:val="center"/>
              <w:rPr>
                <w:rFonts w:eastAsia="Times New Roman" w:cstheme="minorHAnsi"/>
                <w:sz w:val="18"/>
                <w:szCs w:val="18"/>
                <w:lang w:eastAsia="en-GB"/>
              </w:rPr>
            </w:pPr>
          </w:p>
        </w:tc>
      </w:tr>
      <w:tr w:rsidR="00815AF8" w:rsidRPr="008825E8" w14:paraId="5D025E3D" w14:textId="77777777" w:rsidTr="00FA54E0">
        <w:trPr>
          <w:trHeight w:val="276"/>
          <w:jc w:val="center"/>
        </w:trPr>
        <w:tc>
          <w:tcPr>
            <w:tcW w:w="1371" w:type="dxa"/>
            <w:vMerge/>
            <w:tcBorders>
              <w:top w:val="nil"/>
              <w:left w:val="nil"/>
              <w:bottom w:val="single" w:sz="4" w:space="0" w:color="000000"/>
              <w:right w:val="nil"/>
            </w:tcBorders>
            <w:vAlign w:val="center"/>
            <w:hideMark/>
          </w:tcPr>
          <w:p w14:paraId="35C24637"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6917" w:type="dxa"/>
            <w:tcBorders>
              <w:top w:val="nil"/>
              <w:left w:val="nil"/>
              <w:bottom w:val="nil"/>
              <w:right w:val="nil"/>
            </w:tcBorders>
            <w:noWrap/>
            <w:vAlign w:val="bottom"/>
            <w:hideMark/>
          </w:tcPr>
          <w:p w14:paraId="790C6E37" w14:textId="77777777"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Existe articulação entre o sistema fiscal e a política agrícola</w:t>
            </w:r>
          </w:p>
        </w:tc>
        <w:tc>
          <w:tcPr>
            <w:tcW w:w="964" w:type="dxa"/>
            <w:tcBorders>
              <w:top w:val="nil"/>
              <w:left w:val="nil"/>
              <w:bottom w:val="nil"/>
              <w:right w:val="nil"/>
            </w:tcBorders>
            <w:shd w:val="clear" w:color="000000" w:fill="FF0000"/>
            <w:noWrap/>
            <w:vAlign w:val="bottom"/>
            <w:hideMark/>
          </w:tcPr>
          <w:p w14:paraId="6CED23B2"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r w:rsidRPr="00237BC6">
              <w:rPr>
                <w:rFonts w:eastAsia="Times New Roman" w:cstheme="minorHAnsi"/>
                <w:b/>
                <w:bCs/>
                <w:color w:val="FFFFFF"/>
                <w:sz w:val="18"/>
                <w:szCs w:val="18"/>
                <w:lang w:eastAsia="en-GB"/>
              </w:rPr>
              <w:t>100%</w:t>
            </w:r>
          </w:p>
        </w:tc>
        <w:tc>
          <w:tcPr>
            <w:tcW w:w="964" w:type="dxa"/>
            <w:tcBorders>
              <w:top w:val="nil"/>
              <w:left w:val="nil"/>
              <w:bottom w:val="nil"/>
              <w:right w:val="nil"/>
            </w:tcBorders>
            <w:noWrap/>
            <w:vAlign w:val="bottom"/>
            <w:hideMark/>
          </w:tcPr>
          <w:p w14:paraId="607F5D45"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p>
        </w:tc>
        <w:tc>
          <w:tcPr>
            <w:tcW w:w="699" w:type="dxa"/>
            <w:tcBorders>
              <w:top w:val="nil"/>
              <w:left w:val="nil"/>
              <w:bottom w:val="nil"/>
              <w:right w:val="nil"/>
            </w:tcBorders>
            <w:noWrap/>
            <w:vAlign w:val="bottom"/>
            <w:hideMark/>
          </w:tcPr>
          <w:p w14:paraId="112A18C7"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1229" w:type="dxa"/>
            <w:tcBorders>
              <w:top w:val="nil"/>
              <w:left w:val="nil"/>
              <w:bottom w:val="nil"/>
              <w:right w:val="nil"/>
            </w:tcBorders>
            <w:noWrap/>
            <w:vAlign w:val="bottom"/>
            <w:hideMark/>
          </w:tcPr>
          <w:p w14:paraId="170555AC"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42B476FC"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204570AC"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23004922" w14:textId="77777777" w:rsidR="007D5792" w:rsidRPr="00237BC6" w:rsidRDefault="007D5792" w:rsidP="00EF7773">
            <w:pPr>
              <w:spacing w:after="0" w:line="240" w:lineRule="auto"/>
              <w:jc w:val="center"/>
              <w:rPr>
                <w:rFonts w:eastAsia="Times New Roman" w:cstheme="minorHAnsi"/>
                <w:sz w:val="18"/>
                <w:szCs w:val="18"/>
                <w:lang w:eastAsia="en-GB"/>
              </w:rPr>
            </w:pPr>
          </w:p>
        </w:tc>
      </w:tr>
      <w:tr w:rsidR="00815AF8" w:rsidRPr="008825E8" w14:paraId="121799C9" w14:textId="77777777" w:rsidTr="00FA54E0">
        <w:trPr>
          <w:trHeight w:val="276"/>
          <w:jc w:val="center"/>
        </w:trPr>
        <w:tc>
          <w:tcPr>
            <w:tcW w:w="1371" w:type="dxa"/>
            <w:vMerge/>
            <w:tcBorders>
              <w:top w:val="nil"/>
              <w:left w:val="nil"/>
              <w:bottom w:val="single" w:sz="4" w:space="0" w:color="000000"/>
              <w:right w:val="nil"/>
            </w:tcBorders>
            <w:vAlign w:val="center"/>
            <w:hideMark/>
          </w:tcPr>
          <w:p w14:paraId="1FBA91C2"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6917" w:type="dxa"/>
            <w:tcBorders>
              <w:top w:val="nil"/>
              <w:left w:val="nil"/>
              <w:bottom w:val="single" w:sz="4" w:space="0" w:color="auto"/>
              <w:right w:val="nil"/>
            </w:tcBorders>
            <w:noWrap/>
            <w:vAlign w:val="bottom"/>
            <w:hideMark/>
          </w:tcPr>
          <w:p w14:paraId="53768409" w14:textId="77777777"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Existe um fundo que permite suportar atividades de controle fitossanitário</w:t>
            </w:r>
          </w:p>
        </w:tc>
        <w:tc>
          <w:tcPr>
            <w:tcW w:w="964" w:type="dxa"/>
            <w:tcBorders>
              <w:top w:val="nil"/>
              <w:left w:val="nil"/>
              <w:bottom w:val="single" w:sz="4" w:space="0" w:color="auto"/>
              <w:right w:val="nil"/>
            </w:tcBorders>
            <w:shd w:val="clear" w:color="000000" w:fill="FF0000"/>
            <w:noWrap/>
            <w:vAlign w:val="bottom"/>
            <w:hideMark/>
          </w:tcPr>
          <w:p w14:paraId="04B42ED5"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r w:rsidRPr="00237BC6">
              <w:rPr>
                <w:rFonts w:eastAsia="Times New Roman" w:cstheme="minorHAnsi"/>
                <w:b/>
                <w:bCs/>
                <w:color w:val="FFFFFF"/>
                <w:sz w:val="18"/>
                <w:szCs w:val="18"/>
                <w:lang w:eastAsia="en-GB"/>
              </w:rPr>
              <w:t>100%</w:t>
            </w:r>
          </w:p>
        </w:tc>
        <w:tc>
          <w:tcPr>
            <w:tcW w:w="964" w:type="dxa"/>
            <w:tcBorders>
              <w:top w:val="nil"/>
              <w:left w:val="nil"/>
              <w:bottom w:val="single" w:sz="4" w:space="0" w:color="auto"/>
              <w:right w:val="nil"/>
            </w:tcBorders>
            <w:noWrap/>
            <w:vAlign w:val="bottom"/>
            <w:hideMark/>
          </w:tcPr>
          <w:p w14:paraId="0F754187"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 </w:t>
            </w:r>
          </w:p>
        </w:tc>
        <w:tc>
          <w:tcPr>
            <w:tcW w:w="699" w:type="dxa"/>
            <w:tcBorders>
              <w:top w:val="nil"/>
              <w:left w:val="nil"/>
              <w:bottom w:val="single" w:sz="4" w:space="0" w:color="auto"/>
              <w:right w:val="nil"/>
            </w:tcBorders>
            <w:noWrap/>
            <w:vAlign w:val="bottom"/>
            <w:hideMark/>
          </w:tcPr>
          <w:p w14:paraId="205F8899"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1229" w:type="dxa"/>
            <w:tcBorders>
              <w:top w:val="nil"/>
              <w:left w:val="nil"/>
              <w:bottom w:val="single" w:sz="4" w:space="0" w:color="auto"/>
              <w:right w:val="nil"/>
            </w:tcBorders>
            <w:noWrap/>
            <w:vAlign w:val="bottom"/>
            <w:hideMark/>
          </w:tcPr>
          <w:p w14:paraId="0C082409"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964" w:type="dxa"/>
            <w:tcBorders>
              <w:top w:val="nil"/>
              <w:left w:val="nil"/>
              <w:bottom w:val="single" w:sz="4" w:space="0" w:color="auto"/>
              <w:right w:val="nil"/>
            </w:tcBorders>
            <w:noWrap/>
            <w:vAlign w:val="bottom"/>
            <w:hideMark/>
          </w:tcPr>
          <w:p w14:paraId="2F5B2791"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964" w:type="dxa"/>
            <w:tcBorders>
              <w:top w:val="nil"/>
              <w:left w:val="nil"/>
              <w:bottom w:val="single" w:sz="4" w:space="0" w:color="auto"/>
              <w:right w:val="nil"/>
            </w:tcBorders>
            <w:noWrap/>
            <w:vAlign w:val="bottom"/>
            <w:hideMark/>
          </w:tcPr>
          <w:p w14:paraId="5709A54A"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964" w:type="dxa"/>
            <w:tcBorders>
              <w:top w:val="nil"/>
              <w:left w:val="nil"/>
              <w:bottom w:val="single" w:sz="4" w:space="0" w:color="auto"/>
              <w:right w:val="nil"/>
            </w:tcBorders>
            <w:noWrap/>
            <w:vAlign w:val="bottom"/>
            <w:hideMark/>
          </w:tcPr>
          <w:p w14:paraId="2816E9E4"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r>
      <w:tr w:rsidR="00815AF8" w:rsidRPr="008825E8" w14:paraId="0D6DBA44" w14:textId="77777777" w:rsidTr="00FA54E0">
        <w:trPr>
          <w:trHeight w:val="336"/>
          <w:jc w:val="center"/>
        </w:trPr>
        <w:tc>
          <w:tcPr>
            <w:tcW w:w="1371" w:type="dxa"/>
            <w:vMerge w:val="restart"/>
            <w:tcBorders>
              <w:top w:val="nil"/>
              <w:left w:val="nil"/>
              <w:bottom w:val="single" w:sz="4" w:space="0" w:color="000000"/>
              <w:right w:val="nil"/>
            </w:tcBorders>
            <w:hideMark/>
          </w:tcPr>
          <w:p w14:paraId="1DF15251" w14:textId="5D35F865" w:rsidR="007D5792" w:rsidRPr="00237BC6" w:rsidRDefault="007D5792" w:rsidP="00EF7773">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 xml:space="preserve">II. </w:t>
            </w:r>
            <w:r w:rsidRPr="00237BC6">
              <w:rPr>
                <w:rFonts w:eastAsia="Times New Roman" w:cstheme="minorHAnsi"/>
                <w:color w:val="000000"/>
                <w:sz w:val="18"/>
                <w:szCs w:val="18"/>
                <w:lang w:eastAsia="en-GB"/>
              </w:rPr>
              <w:t>Coordenação entre atores</w:t>
            </w:r>
          </w:p>
        </w:tc>
        <w:tc>
          <w:tcPr>
            <w:tcW w:w="6917" w:type="dxa"/>
            <w:tcBorders>
              <w:top w:val="nil"/>
              <w:left w:val="nil"/>
              <w:bottom w:val="nil"/>
              <w:right w:val="nil"/>
            </w:tcBorders>
            <w:noWrap/>
            <w:vAlign w:val="bottom"/>
            <w:hideMark/>
          </w:tcPr>
          <w:p w14:paraId="4DEFB8F4" w14:textId="77777777"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De uma forma geral, os produtores estão organizados em associações ou cooperativas</w:t>
            </w:r>
          </w:p>
        </w:tc>
        <w:tc>
          <w:tcPr>
            <w:tcW w:w="964" w:type="dxa"/>
            <w:tcBorders>
              <w:top w:val="nil"/>
              <w:left w:val="nil"/>
              <w:bottom w:val="nil"/>
              <w:right w:val="nil"/>
            </w:tcBorders>
            <w:noWrap/>
            <w:vAlign w:val="bottom"/>
            <w:hideMark/>
          </w:tcPr>
          <w:p w14:paraId="00974615"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964" w:type="dxa"/>
            <w:tcBorders>
              <w:top w:val="nil"/>
              <w:left w:val="nil"/>
              <w:bottom w:val="nil"/>
              <w:right w:val="nil"/>
            </w:tcBorders>
            <w:shd w:val="clear" w:color="000000" w:fill="FFC000"/>
            <w:noWrap/>
            <w:vAlign w:val="bottom"/>
            <w:hideMark/>
          </w:tcPr>
          <w:p w14:paraId="46683426"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50%</w:t>
            </w:r>
          </w:p>
        </w:tc>
        <w:tc>
          <w:tcPr>
            <w:tcW w:w="699" w:type="dxa"/>
            <w:tcBorders>
              <w:top w:val="nil"/>
              <w:left w:val="nil"/>
              <w:bottom w:val="nil"/>
              <w:right w:val="nil"/>
            </w:tcBorders>
            <w:shd w:val="clear" w:color="000000" w:fill="FFFF00"/>
            <w:noWrap/>
            <w:vAlign w:val="bottom"/>
            <w:hideMark/>
          </w:tcPr>
          <w:p w14:paraId="26A56934"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50%</w:t>
            </w:r>
          </w:p>
        </w:tc>
        <w:tc>
          <w:tcPr>
            <w:tcW w:w="1229" w:type="dxa"/>
            <w:tcBorders>
              <w:top w:val="nil"/>
              <w:left w:val="nil"/>
              <w:bottom w:val="nil"/>
              <w:right w:val="nil"/>
            </w:tcBorders>
            <w:noWrap/>
            <w:vAlign w:val="bottom"/>
            <w:hideMark/>
          </w:tcPr>
          <w:p w14:paraId="32C1B533"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p>
        </w:tc>
        <w:tc>
          <w:tcPr>
            <w:tcW w:w="964" w:type="dxa"/>
            <w:tcBorders>
              <w:top w:val="nil"/>
              <w:left w:val="nil"/>
              <w:bottom w:val="nil"/>
              <w:right w:val="nil"/>
            </w:tcBorders>
            <w:noWrap/>
            <w:vAlign w:val="bottom"/>
            <w:hideMark/>
          </w:tcPr>
          <w:p w14:paraId="4C51400A"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6412A9A8"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3B036CB2" w14:textId="77777777" w:rsidR="007D5792" w:rsidRPr="00237BC6" w:rsidRDefault="007D5792" w:rsidP="00EF7773">
            <w:pPr>
              <w:spacing w:after="0" w:line="240" w:lineRule="auto"/>
              <w:jc w:val="center"/>
              <w:rPr>
                <w:rFonts w:eastAsia="Times New Roman" w:cstheme="minorHAnsi"/>
                <w:sz w:val="18"/>
                <w:szCs w:val="18"/>
                <w:lang w:eastAsia="en-GB"/>
              </w:rPr>
            </w:pPr>
          </w:p>
        </w:tc>
      </w:tr>
      <w:tr w:rsidR="00815AF8" w:rsidRPr="008825E8" w14:paraId="64636BFC" w14:textId="77777777" w:rsidTr="00FA54E0">
        <w:trPr>
          <w:trHeight w:val="276"/>
          <w:jc w:val="center"/>
        </w:trPr>
        <w:tc>
          <w:tcPr>
            <w:tcW w:w="1371" w:type="dxa"/>
            <w:vMerge/>
            <w:tcBorders>
              <w:top w:val="nil"/>
              <w:left w:val="nil"/>
              <w:bottom w:val="single" w:sz="4" w:space="0" w:color="000000"/>
              <w:right w:val="nil"/>
            </w:tcBorders>
            <w:vAlign w:val="center"/>
            <w:hideMark/>
          </w:tcPr>
          <w:p w14:paraId="2A990130"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6917" w:type="dxa"/>
            <w:tcBorders>
              <w:top w:val="nil"/>
              <w:left w:val="nil"/>
              <w:bottom w:val="single" w:sz="4" w:space="0" w:color="auto"/>
              <w:right w:val="nil"/>
            </w:tcBorders>
            <w:noWrap/>
            <w:vAlign w:val="bottom"/>
            <w:hideMark/>
          </w:tcPr>
          <w:p w14:paraId="4ACF59D1" w14:textId="77777777"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De uma forma geral, as associações/cooperativas associadas à CV da manga são funcionais</w:t>
            </w:r>
          </w:p>
        </w:tc>
        <w:tc>
          <w:tcPr>
            <w:tcW w:w="964" w:type="dxa"/>
            <w:tcBorders>
              <w:top w:val="nil"/>
              <w:left w:val="nil"/>
              <w:bottom w:val="single" w:sz="4" w:space="0" w:color="auto"/>
              <w:right w:val="nil"/>
            </w:tcBorders>
            <w:noWrap/>
            <w:vAlign w:val="bottom"/>
            <w:hideMark/>
          </w:tcPr>
          <w:p w14:paraId="0FB5766E"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r w:rsidRPr="00237BC6">
              <w:rPr>
                <w:rFonts w:eastAsia="Times New Roman" w:cstheme="minorHAnsi"/>
                <w:b/>
                <w:bCs/>
                <w:color w:val="FFFFFF"/>
                <w:sz w:val="18"/>
                <w:szCs w:val="18"/>
                <w:lang w:eastAsia="en-GB"/>
              </w:rPr>
              <w:t> </w:t>
            </w:r>
          </w:p>
        </w:tc>
        <w:tc>
          <w:tcPr>
            <w:tcW w:w="964" w:type="dxa"/>
            <w:tcBorders>
              <w:top w:val="nil"/>
              <w:left w:val="nil"/>
              <w:bottom w:val="single" w:sz="4" w:space="0" w:color="auto"/>
              <w:right w:val="nil"/>
            </w:tcBorders>
            <w:shd w:val="clear" w:color="000000" w:fill="FFC000"/>
            <w:noWrap/>
            <w:vAlign w:val="bottom"/>
            <w:hideMark/>
          </w:tcPr>
          <w:p w14:paraId="3F8D02B9"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100%</w:t>
            </w:r>
          </w:p>
        </w:tc>
        <w:tc>
          <w:tcPr>
            <w:tcW w:w="699" w:type="dxa"/>
            <w:tcBorders>
              <w:top w:val="nil"/>
              <w:left w:val="nil"/>
              <w:bottom w:val="single" w:sz="4" w:space="0" w:color="auto"/>
              <w:right w:val="nil"/>
            </w:tcBorders>
            <w:noWrap/>
            <w:vAlign w:val="bottom"/>
            <w:hideMark/>
          </w:tcPr>
          <w:p w14:paraId="1FAE45DB"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1229" w:type="dxa"/>
            <w:tcBorders>
              <w:top w:val="nil"/>
              <w:left w:val="nil"/>
              <w:bottom w:val="single" w:sz="4" w:space="0" w:color="auto"/>
              <w:right w:val="nil"/>
            </w:tcBorders>
            <w:noWrap/>
            <w:vAlign w:val="bottom"/>
            <w:hideMark/>
          </w:tcPr>
          <w:p w14:paraId="7BBAA371"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964" w:type="dxa"/>
            <w:tcBorders>
              <w:top w:val="nil"/>
              <w:left w:val="nil"/>
              <w:bottom w:val="single" w:sz="4" w:space="0" w:color="auto"/>
              <w:right w:val="nil"/>
            </w:tcBorders>
            <w:noWrap/>
            <w:vAlign w:val="bottom"/>
            <w:hideMark/>
          </w:tcPr>
          <w:p w14:paraId="421D31CB"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964" w:type="dxa"/>
            <w:tcBorders>
              <w:top w:val="nil"/>
              <w:left w:val="nil"/>
              <w:bottom w:val="single" w:sz="4" w:space="0" w:color="auto"/>
              <w:right w:val="nil"/>
            </w:tcBorders>
            <w:noWrap/>
            <w:vAlign w:val="bottom"/>
            <w:hideMark/>
          </w:tcPr>
          <w:p w14:paraId="750C0971"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964" w:type="dxa"/>
            <w:tcBorders>
              <w:top w:val="nil"/>
              <w:left w:val="nil"/>
              <w:bottom w:val="single" w:sz="4" w:space="0" w:color="auto"/>
              <w:right w:val="nil"/>
            </w:tcBorders>
            <w:noWrap/>
            <w:vAlign w:val="bottom"/>
            <w:hideMark/>
          </w:tcPr>
          <w:p w14:paraId="69D325F1"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r>
      <w:tr w:rsidR="00815AF8" w:rsidRPr="008825E8" w14:paraId="13F1DAD9" w14:textId="77777777" w:rsidTr="00FA54E0">
        <w:trPr>
          <w:trHeight w:val="276"/>
          <w:jc w:val="center"/>
        </w:trPr>
        <w:tc>
          <w:tcPr>
            <w:tcW w:w="1371" w:type="dxa"/>
            <w:vMerge w:val="restart"/>
            <w:tcBorders>
              <w:top w:val="nil"/>
              <w:left w:val="nil"/>
              <w:bottom w:val="single" w:sz="4" w:space="0" w:color="000000"/>
              <w:right w:val="nil"/>
            </w:tcBorders>
            <w:hideMark/>
          </w:tcPr>
          <w:p w14:paraId="0FC33225" w14:textId="76DA7758" w:rsidR="007D5792" w:rsidRPr="00237BC6" w:rsidRDefault="007D5792" w:rsidP="00EF7773">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 xml:space="preserve">III. </w:t>
            </w:r>
            <w:r w:rsidRPr="00237BC6">
              <w:rPr>
                <w:rFonts w:eastAsia="Times New Roman" w:cstheme="minorHAnsi"/>
                <w:color w:val="000000"/>
                <w:sz w:val="18"/>
                <w:szCs w:val="18"/>
                <w:lang w:eastAsia="en-GB"/>
              </w:rPr>
              <w:t>Redes de comercialização e distribuição</w:t>
            </w:r>
          </w:p>
        </w:tc>
        <w:tc>
          <w:tcPr>
            <w:tcW w:w="6917" w:type="dxa"/>
            <w:tcBorders>
              <w:top w:val="nil"/>
              <w:left w:val="nil"/>
              <w:bottom w:val="nil"/>
              <w:right w:val="nil"/>
            </w:tcBorders>
            <w:noWrap/>
            <w:vAlign w:val="bottom"/>
            <w:hideMark/>
          </w:tcPr>
          <w:p w14:paraId="4E676F49" w14:textId="77777777"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Existe acesso à informação de preços por parte dos atores da CV da manga</w:t>
            </w:r>
          </w:p>
        </w:tc>
        <w:tc>
          <w:tcPr>
            <w:tcW w:w="964" w:type="dxa"/>
            <w:tcBorders>
              <w:top w:val="nil"/>
              <w:left w:val="nil"/>
              <w:bottom w:val="nil"/>
              <w:right w:val="nil"/>
            </w:tcBorders>
            <w:shd w:val="clear" w:color="000000" w:fill="FF0000"/>
            <w:noWrap/>
            <w:vAlign w:val="bottom"/>
            <w:hideMark/>
          </w:tcPr>
          <w:p w14:paraId="7125260C"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r w:rsidRPr="00237BC6">
              <w:rPr>
                <w:rFonts w:eastAsia="Times New Roman" w:cstheme="minorHAnsi"/>
                <w:b/>
                <w:bCs/>
                <w:color w:val="FFFFFF"/>
                <w:sz w:val="18"/>
                <w:szCs w:val="18"/>
                <w:lang w:eastAsia="en-GB"/>
              </w:rPr>
              <w:t>50%</w:t>
            </w:r>
          </w:p>
        </w:tc>
        <w:tc>
          <w:tcPr>
            <w:tcW w:w="964" w:type="dxa"/>
            <w:tcBorders>
              <w:top w:val="nil"/>
              <w:left w:val="nil"/>
              <w:bottom w:val="nil"/>
              <w:right w:val="nil"/>
            </w:tcBorders>
            <w:shd w:val="clear" w:color="000000" w:fill="FFC000"/>
            <w:noWrap/>
            <w:vAlign w:val="bottom"/>
            <w:hideMark/>
          </w:tcPr>
          <w:p w14:paraId="39319518"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50%</w:t>
            </w:r>
          </w:p>
        </w:tc>
        <w:tc>
          <w:tcPr>
            <w:tcW w:w="699" w:type="dxa"/>
            <w:tcBorders>
              <w:top w:val="nil"/>
              <w:left w:val="nil"/>
              <w:bottom w:val="nil"/>
              <w:right w:val="nil"/>
            </w:tcBorders>
            <w:noWrap/>
            <w:vAlign w:val="bottom"/>
            <w:hideMark/>
          </w:tcPr>
          <w:p w14:paraId="3E318193"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1229" w:type="dxa"/>
            <w:tcBorders>
              <w:top w:val="nil"/>
              <w:left w:val="nil"/>
              <w:bottom w:val="nil"/>
              <w:right w:val="nil"/>
            </w:tcBorders>
            <w:noWrap/>
            <w:vAlign w:val="bottom"/>
            <w:hideMark/>
          </w:tcPr>
          <w:p w14:paraId="0C44C5AA"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964" w:type="dxa"/>
            <w:tcBorders>
              <w:top w:val="nil"/>
              <w:left w:val="nil"/>
              <w:bottom w:val="nil"/>
              <w:right w:val="nil"/>
            </w:tcBorders>
            <w:noWrap/>
            <w:vAlign w:val="bottom"/>
            <w:hideMark/>
          </w:tcPr>
          <w:p w14:paraId="455FB564"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964" w:type="dxa"/>
            <w:tcBorders>
              <w:top w:val="nil"/>
              <w:left w:val="nil"/>
              <w:bottom w:val="nil"/>
              <w:right w:val="nil"/>
            </w:tcBorders>
            <w:noWrap/>
            <w:vAlign w:val="bottom"/>
            <w:hideMark/>
          </w:tcPr>
          <w:p w14:paraId="03BEA4BC"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964" w:type="dxa"/>
            <w:tcBorders>
              <w:top w:val="nil"/>
              <w:left w:val="nil"/>
              <w:bottom w:val="nil"/>
              <w:right w:val="nil"/>
            </w:tcBorders>
            <w:noWrap/>
            <w:vAlign w:val="bottom"/>
            <w:hideMark/>
          </w:tcPr>
          <w:p w14:paraId="43C266E3"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r>
      <w:tr w:rsidR="00815AF8" w:rsidRPr="008825E8" w14:paraId="7056757B" w14:textId="77777777" w:rsidTr="00FA54E0">
        <w:trPr>
          <w:trHeight w:val="276"/>
          <w:jc w:val="center"/>
        </w:trPr>
        <w:tc>
          <w:tcPr>
            <w:tcW w:w="1371" w:type="dxa"/>
            <w:vMerge/>
            <w:tcBorders>
              <w:top w:val="nil"/>
              <w:left w:val="nil"/>
              <w:bottom w:val="single" w:sz="4" w:space="0" w:color="000000"/>
              <w:right w:val="nil"/>
            </w:tcBorders>
            <w:vAlign w:val="center"/>
            <w:hideMark/>
          </w:tcPr>
          <w:p w14:paraId="10584B98"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6917" w:type="dxa"/>
            <w:tcBorders>
              <w:top w:val="nil"/>
              <w:left w:val="nil"/>
              <w:bottom w:val="nil"/>
              <w:right w:val="nil"/>
            </w:tcBorders>
            <w:noWrap/>
            <w:vAlign w:val="bottom"/>
            <w:hideMark/>
          </w:tcPr>
          <w:p w14:paraId="2658C9E2" w14:textId="77777777"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Em geral, existe acesso a informação técnica sobre a manga</w:t>
            </w:r>
          </w:p>
        </w:tc>
        <w:tc>
          <w:tcPr>
            <w:tcW w:w="964" w:type="dxa"/>
            <w:tcBorders>
              <w:top w:val="nil"/>
              <w:left w:val="nil"/>
              <w:bottom w:val="nil"/>
              <w:right w:val="nil"/>
            </w:tcBorders>
            <w:noWrap/>
            <w:vAlign w:val="bottom"/>
            <w:hideMark/>
          </w:tcPr>
          <w:p w14:paraId="37459767"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964" w:type="dxa"/>
            <w:tcBorders>
              <w:top w:val="nil"/>
              <w:left w:val="nil"/>
              <w:bottom w:val="nil"/>
              <w:right w:val="nil"/>
            </w:tcBorders>
            <w:shd w:val="clear" w:color="000000" w:fill="FFC000"/>
            <w:noWrap/>
            <w:vAlign w:val="bottom"/>
            <w:hideMark/>
          </w:tcPr>
          <w:p w14:paraId="03CE1C05"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100%</w:t>
            </w:r>
          </w:p>
        </w:tc>
        <w:tc>
          <w:tcPr>
            <w:tcW w:w="699" w:type="dxa"/>
            <w:tcBorders>
              <w:top w:val="nil"/>
              <w:left w:val="nil"/>
              <w:bottom w:val="nil"/>
              <w:right w:val="nil"/>
            </w:tcBorders>
            <w:noWrap/>
            <w:vAlign w:val="bottom"/>
            <w:hideMark/>
          </w:tcPr>
          <w:p w14:paraId="151597E1"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p>
        </w:tc>
        <w:tc>
          <w:tcPr>
            <w:tcW w:w="1229" w:type="dxa"/>
            <w:tcBorders>
              <w:top w:val="nil"/>
              <w:left w:val="nil"/>
              <w:bottom w:val="nil"/>
              <w:right w:val="nil"/>
            </w:tcBorders>
            <w:noWrap/>
            <w:vAlign w:val="bottom"/>
            <w:hideMark/>
          </w:tcPr>
          <w:p w14:paraId="78703EB8"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05230A97"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2C59EC24"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10C4FE24" w14:textId="77777777" w:rsidR="007D5792" w:rsidRPr="00237BC6" w:rsidRDefault="007D5792" w:rsidP="00EF7773">
            <w:pPr>
              <w:spacing w:after="0" w:line="240" w:lineRule="auto"/>
              <w:jc w:val="center"/>
              <w:rPr>
                <w:rFonts w:eastAsia="Times New Roman" w:cstheme="minorHAnsi"/>
                <w:sz w:val="18"/>
                <w:szCs w:val="18"/>
                <w:lang w:eastAsia="en-GB"/>
              </w:rPr>
            </w:pPr>
          </w:p>
        </w:tc>
      </w:tr>
      <w:tr w:rsidR="00815AF8" w:rsidRPr="008825E8" w14:paraId="27D82483" w14:textId="77777777" w:rsidTr="00FA54E0">
        <w:trPr>
          <w:trHeight w:val="276"/>
          <w:jc w:val="center"/>
        </w:trPr>
        <w:tc>
          <w:tcPr>
            <w:tcW w:w="1371" w:type="dxa"/>
            <w:vMerge/>
            <w:tcBorders>
              <w:top w:val="nil"/>
              <w:left w:val="nil"/>
              <w:bottom w:val="single" w:sz="4" w:space="0" w:color="000000"/>
              <w:right w:val="nil"/>
            </w:tcBorders>
            <w:vAlign w:val="center"/>
            <w:hideMark/>
          </w:tcPr>
          <w:p w14:paraId="6F9032E8"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6917" w:type="dxa"/>
            <w:tcBorders>
              <w:top w:val="nil"/>
              <w:left w:val="nil"/>
              <w:bottom w:val="nil"/>
              <w:right w:val="nil"/>
            </w:tcBorders>
            <w:noWrap/>
            <w:vAlign w:val="bottom"/>
            <w:hideMark/>
          </w:tcPr>
          <w:p w14:paraId="09FDE26C" w14:textId="77777777"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Em geral, há acesso a sistemas de armazenamento para a manga</w:t>
            </w:r>
          </w:p>
        </w:tc>
        <w:tc>
          <w:tcPr>
            <w:tcW w:w="964" w:type="dxa"/>
            <w:tcBorders>
              <w:top w:val="nil"/>
              <w:left w:val="nil"/>
              <w:bottom w:val="nil"/>
              <w:right w:val="nil"/>
            </w:tcBorders>
            <w:shd w:val="clear" w:color="000000" w:fill="FF0000"/>
            <w:noWrap/>
            <w:vAlign w:val="bottom"/>
            <w:hideMark/>
          </w:tcPr>
          <w:p w14:paraId="6BE411B0"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r w:rsidRPr="00237BC6">
              <w:rPr>
                <w:rFonts w:eastAsia="Times New Roman" w:cstheme="minorHAnsi"/>
                <w:b/>
                <w:bCs/>
                <w:color w:val="FFFFFF"/>
                <w:sz w:val="18"/>
                <w:szCs w:val="18"/>
                <w:lang w:eastAsia="en-GB"/>
              </w:rPr>
              <w:t>100%</w:t>
            </w:r>
          </w:p>
        </w:tc>
        <w:tc>
          <w:tcPr>
            <w:tcW w:w="964" w:type="dxa"/>
            <w:tcBorders>
              <w:top w:val="nil"/>
              <w:left w:val="nil"/>
              <w:bottom w:val="nil"/>
              <w:right w:val="nil"/>
            </w:tcBorders>
            <w:noWrap/>
            <w:vAlign w:val="bottom"/>
            <w:hideMark/>
          </w:tcPr>
          <w:p w14:paraId="27877F94"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p>
        </w:tc>
        <w:tc>
          <w:tcPr>
            <w:tcW w:w="699" w:type="dxa"/>
            <w:tcBorders>
              <w:top w:val="nil"/>
              <w:left w:val="nil"/>
              <w:bottom w:val="nil"/>
              <w:right w:val="nil"/>
            </w:tcBorders>
            <w:noWrap/>
            <w:vAlign w:val="bottom"/>
            <w:hideMark/>
          </w:tcPr>
          <w:p w14:paraId="14362750"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1229" w:type="dxa"/>
            <w:tcBorders>
              <w:top w:val="nil"/>
              <w:left w:val="nil"/>
              <w:bottom w:val="nil"/>
              <w:right w:val="nil"/>
            </w:tcBorders>
            <w:noWrap/>
            <w:vAlign w:val="bottom"/>
            <w:hideMark/>
          </w:tcPr>
          <w:p w14:paraId="7C8ED3AB"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0E5B3C63"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5D285FC7"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70EF4FDF" w14:textId="77777777" w:rsidR="007D5792" w:rsidRPr="00237BC6" w:rsidRDefault="007D5792" w:rsidP="00EF7773">
            <w:pPr>
              <w:spacing w:after="0" w:line="240" w:lineRule="auto"/>
              <w:jc w:val="center"/>
              <w:rPr>
                <w:rFonts w:eastAsia="Times New Roman" w:cstheme="minorHAnsi"/>
                <w:sz w:val="18"/>
                <w:szCs w:val="18"/>
                <w:lang w:eastAsia="en-GB"/>
              </w:rPr>
            </w:pPr>
          </w:p>
        </w:tc>
      </w:tr>
      <w:tr w:rsidR="00815AF8" w:rsidRPr="008825E8" w14:paraId="1C5B4B09" w14:textId="77777777" w:rsidTr="00FA54E0">
        <w:trPr>
          <w:trHeight w:val="276"/>
          <w:jc w:val="center"/>
        </w:trPr>
        <w:tc>
          <w:tcPr>
            <w:tcW w:w="1371" w:type="dxa"/>
            <w:vMerge/>
            <w:tcBorders>
              <w:top w:val="nil"/>
              <w:left w:val="nil"/>
              <w:bottom w:val="single" w:sz="4" w:space="0" w:color="000000"/>
              <w:right w:val="nil"/>
            </w:tcBorders>
            <w:vAlign w:val="center"/>
            <w:hideMark/>
          </w:tcPr>
          <w:p w14:paraId="79F97FBE"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6917" w:type="dxa"/>
            <w:tcBorders>
              <w:top w:val="nil"/>
              <w:left w:val="nil"/>
              <w:bottom w:val="single" w:sz="4" w:space="0" w:color="auto"/>
              <w:right w:val="nil"/>
            </w:tcBorders>
            <w:noWrap/>
            <w:vAlign w:val="bottom"/>
            <w:hideMark/>
          </w:tcPr>
          <w:p w14:paraId="73A68598" w14:textId="77777777"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Existem regras padronizadas para o transporte de manga fresca</w:t>
            </w:r>
          </w:p>
        </w:tc>
        <w:tc>
          <w:tcPr>
            <w:tcW w:w="964" w:type="dxa"/>
            <w:tcBorders>
              <w:top w:val="nil"/>
              <w:left w:val="nil"/>
              <w:bottom w:val="single" w:sz="4" w:space="0" w:color="auto"/>
              <w:right w:val="nil"/>
            </w:tcBorders>
            <w:shd w:val="clear" w:color="000000" w:fill="FF0000"/>
            <w:noWrap/>
            <w:vAlign w:val="bottom"/>
            <w:hideMark/>
          </w:tcPr>
          <w:p w14:paraId="566015DF"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r w:rsidRPr="00237BC6">
              <w:rPr>
                <w:rFonts w:eastAsia="Times New Roman" w:cstheme="minorHAnsi"/>
                <w:b/>
                <w:bCs/>
                <w:color w:val="FFFFFF"/>
                <w:sz w:val="18"/>
                <w:szCs w:val="18"/>
                <w:lang w:eastAsia="en-GB"/>
              </w:rPr>
              <w:t>100%</w:t>
            </w:r>
          </w:p>
        </w:tc>
        <w:tc>
          <w:tcPr>
            <w:tcW w:w="964" w:type="dxa"/>
            <w:tcBorders>
              <w:top w:val="nil"/>
              <w:left w:val="nil"/>
              <w:bottom w:val="single" w:sz="4" w:space="0" w:color="auto"/>
              <w:right w:val="nil"/>
            </w:tcBorders>
            <w:noWrap/>
            <w:vAlign w:val="bottom"/>
            <w:hideMark/>
          </w:tcPr>
          <w:p w14:paraId="3F33FD61"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 </w:t>
            </w:r>
          </w:p>
        </w:tc>
        <w:tc>
          <w:tcPr>
            <w:tcW w:w="699" w:type="dxa"/>
            <w:tcBorders>
              <w:top w:val="nil"/>
              <w:left w:val="nil"/>
              <w:bottom w:val="single" w:sz="4" w:space="0" w:color="auto"/>
              <w:right w:val="nil"/>
            </w:tcBorders>
            <w:noWrap/>
            <w:vAlign w:val="bottom"/>
            <w:hideMark/>
          </w:tcPr>
          <w:p w14:paraId="488C4542"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1229" w:type="dxa"/>
            <w:tcBorders>
              <w:top w:val="nil"/>
              <w:left w:val="nil"/>
              <w:bottom w:val="single" w:sz="4" w:space="0" w:color="auto"/>
              <w:right w:val="nil"/>
            </w:tcBorders>
            <w:noWrap/>
            <w:vAlign w:val="bottom"/>
            <w:hideMark/>
          </w:tcPr>
          <w:p w14:paraId="4849D8B5"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964" w:type="dxa"/>
            <w:tcBorders>
              <w:top w:val="nil"/>
              <w:left w:val="nil"/>
              <w:bottom w:val="single" w:sz="4" w:space="0" w:color="auto"/>
              <w:right w:val="nil"/>
            </w:tcBorders>
            <w:noWrap/>
            <w:vAlign w:val="bottom"/>
            <w:hideMark/>
          </w:tcPr>
          <w:p w14:paraId="540B6887"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964" w:type="dxa"/>
            <w:tcBorders>
              <w:top w:val="nil"/>
              <w:left w:val="nil"/>
              <w:bottom w:val="single" w:sz="4" w:space="0" w:color="auto"/>
              <w:right w:val="nil"/>
            </w:tcBorders>
            <w:noWrap/>
            <w:vAlign w:val="bottom"/>
            <w:hideMark/>
          </w:tcPr>
          <w:p w14:paraId="54B5D58A"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964" w:type="dxa"/>
            <w:tcBorders>
              <w:top w:val="nil"/>
              <w:left w:val="nil"/>
              <w:bottom w:val="single" w:sz="4" w:space="0" w:color="auto"/>
              <w:right w:val="nil"/>
            </w:tcBorders>
            <w:noWrap/>
            <w:vAlign w:val="bottom"/>
            <w:hideMark/>
          </w:tcPr>
          <w:p w14:paraId="5ECDE872"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r>
      <w:tr w:rsidR="00815AF8" w:rsidRPr="008825E8" w14:paraId="275B37B1" w14:textId="77777777" w:rsidTr="00FA54E0">
        <w:trPr>
          <w:trHeight w:val="288"/>
          <w:jc w:val="center"/>
        </w:trPr>
        <w:tc>
          <w:tcPr>
            <w:tcW w:w="1371" w:type="dxa"/>
            <w:vMerge w:val="restart"/>
            <w:tcBorders>
              <w:top w:val="nil"/>
              <w:left w:val="nil"/>
              <w:bottom w:val="single" w:sz="4" w:space="0" w:color="000000"/>
              <w:right w:val="nil"/>
            </w:tcBorders>
            <w:hideMark/>
          </w:tcPr>
          <w:p w14:paraId="285A1F0C" w14:textId="3912A034" w:rsidR="007D5792" w:rsidRPr="00237BC6" w:rsidRDefault="007D5792" w:rsidP="00EF7773">
            <w:pPr>
              <w:spacing w:after="0" w:line="240" w:lineRule="auto"/>
              <w:jc w:val="center"/>
              <w:rPr>
                <w:rFonts w:eastAsia="Times New Roman" w:cstheme="minorHAnsi"/>
                <w:color w:val="000000"/>
                <w:sz w:val="18"/>
                <w:szCs w:val="18"/>
                <w:lang w:eastAsia="en-GB"/>
              </w:rPr>
            </w:pPr>
            <w:r>
              <w:rPr>
                <w:rFonts w:eastAsia="Times New Roman" w:cstheme="minorHAnsi"/>
                <w:color w:val="000000"/>
                <w:sz w:val="18"/>
                <w:szCs w:val="18"/>
                <w:lang w:eastAsia="en-GB"/>
              </w:rPr>
              <w:t xml:space="preserve">IV. </w:t>
            </w:r>
            <w:r w:rsidRPr="00237BC6">
              <w:rPr>
                <w:rFonts w:eastAsia="Times New Roman" w:cstheme="minorHAnsi"/>
                <w:color w:val="000000"/>
                <w:sz w:val="18"/>
                <w:szCs w:val="18"/>
                <w:lang w:eastAsia="en-GB"/>
              </w:rPr>
              <w:t>Acesso a serviços por parte de produtores e transformadores</w:t>
            </w:r>
          </w:p>
        </w:tc>
        <w:tc>
          <w:tcPr>
            <w:tcW w:w="6917" w:type="dxa"/>
            <w:tcBorders>
              <w:top w:val="nil"/>
              <w:left w:val="nil"/>
              <w:bottom w:val="nil"/>
              <w:right w:val="nil"/>
            </w:tcBorders>
            <w:noWrap/>
            <w:vAlign w:val="bottom"/>
            <w:hideMark/>
          </w:tcPr>
          <w:p w14:paraId="2465CD7A" w14:textId="77777777"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A maioria dos produtores/transformadores de manga têm acesso a Água</w:t>
            </w:r>
          </w:p>
        </w:tc>
        <w:tc>
          <w:tcPr>
            <w:tcW w:w="964" w:type="dxa"/>
            <w:tcBorders>
              <w:top w:val="nil"/>
              <w:left w:val="nil"/>
              <w:bottom w:val="nil"/>
              <w:right w:val="nil"/>
            </w:tcBorders>
            <w:noWrap/>
            <w:vAlign w:val="bottom"/>
            <w:hideMark/>
          </w:tcPr>
          <w:p w14:paraId="70888B0C"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r w:rsidRPr="00237BC6">
              <w:rPr>
                <w:rFonts w:eastAsia="Times New Roman" w:cstheme="minorHAnsi"/>
                <w:b/>
                <w:bCs/>
                <w:color w:val="FFFFFF"/>
                <w:sz w:val="18"/>
                <w:szCs w:val="18"/>
                <w:lang w:eastAsia="en-GB"/>
              </w:rPr>
              <w:t> </w:t>
            </w:r>
          </w:p>
        </w:tc>
        <w:tc>
          <w:tcPr>
            <w:tcW w:w="964" w:type="dxa"/>
            <w:tcBorders>
              <w:top w:val="nil"/>
              <w:left w:val="nil"/>
              <w:bottom w:val="nil"/>
              <w:right w:val="nil"/>
            </w:tcBorders>
            <w:noWrap/>
            <w:vAlign w:val="bottom"/>
            <w:hideMark/>
          </w:tcPr>
          <w:p w14:paraId="414B415F"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 </w:t>
            </w:r>
          </w:p>
        </w:tc>
        <w:tc>
          <w:tcPr>
            <w:tcW w:w="699" w:type="dxa"/>
            <w:tcBorders>
              <w:top w:val="nil"/>
              <w:left w:val="nil"/>
              <w:bottom w:val="nil"/>
              <w:right w:val="nil"/>
            </w:tcBorders>
            <w:shd w:val="clear" w:color="000000" w:fill="FFFF00"/>
            <w:noWrap/>
            <w:vAlign w:val="bottom"/>
            <w:hideMark/>
          </w:tcPr>
          <w:p w14:paraId="7F17B6A5"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100%</w:t>
            </w:r>
          </w:p>
        </w:tc>
        <w:tc>
          <w:tcPr>
            <w:tcW w:w="1229" w:type="dxa"/>
            <w:tcBorders>
              <w:top w:val="nil"/>
              <w:left w:val="nil"/>
              <w:bottom w:val="nil"/>
              <w:right w:val="nil"/>
            </w:tcBorders>
            <w:noWrap/>
            <w:vAlign w:val="bottom"/>
            <w:hideMark/>
          </w:tcPr>
          <w:p w14:paraId="4BC6CFAD"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964" w:type="dxa"/>
            <w:tcBorders>
              <w:top w:val="nil"/>
              <w:left w:val="nil"/>
              <w:bottom w:val="nil"/>
              <w:right w:val="nil"/>
            </w:tcBorders>
            <w:noWrap/>
            <w:vAlign w:val="bottom"/>
            <w:hideMark/>
          </w:tcPr>
          <w:p w14:paraId="251A03E1"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964" w:type="dxa"/>
            <w:tcBorders>
              <w:top w:val="nil"/>
              <w:left w:val="nil"/>
              <w:bottom w:val="nil"/>
              <w:right w:val="nil"/>
            </w:tcBorders>
            <w:noWrap/>
            <w:vAlign w:val="bottom"/>
            <w:hideMark/>
          </w:tcPr>
          <w:p w14:paraId="72139505"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964" w:type="dxa"/>
            <w:tcBorders>
              <w:top w:val="nil"/>
              <w:left w:val="nil"/>
              <w:bottom w:val="nil"/>
              <w:right w:val="nil"/>
            </w:tcBorders>
            <w:noWrap/>
            <w:vAlign w:val="bottom"/>
            <w:hideMark/>
          </w:tcPr>
          <w:p w14:paraId="7448C930"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r>
      <w:tr w:rsidR="00815AF8" w:rsidRPr="008825E8" w14:paraId="52A6F080" w14:textId="77777777" w:rsidTr="00FA54E0">
        <w:trPr>
          <w:trHeight w:val="276"/>
          <w:jc w:val="center"/>
        </w:trPr>
        <w:tc>
          <w:tcPr>
            <w:tcW w:w="1371" w:type="dxa"/>
            <w:vMerge/>
            <w:tcBorders>
              <w:top w:val="nil"/>
              <w:left w:val="nil"/>
              <w:bottom w:val="single" w:sz="4" w:space="0" w:color="000000"/>
              <w:right w:val="nil"/>
            </w:tcBorders>
            <w:vAlign w:val="center"/>
            <w:hideMark/>
          </w:tcPr>
          <w:p w14:paraId="140231FB"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6917" w:type="dxa"/>
            <w:tcBorders>
              <w:top w:val="nil"/>
              <w:left w:val="nil"/>
              <w:bottom w:val="nil"/>
              <w:right w:val="nil"/>
            </w:tcBorders>
            <w:noWrap/>
            <w:vAlign w:val="bottom"/>
            <w:hideMark/>
          </w:tcPr>
          <w:p w14:paraId="33443989" w14:textId="77777777"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A maioria dos produtores/transformadores de manga têm acesso a eletricidade</w:t>
            </w:r>
          </w:p>
        </w:tc>
        <w:tc>
          <w:tcPr>
            <w:tcW w:w="964" w:type="dxa"/>
            <w:tcBorders>
              <w:top w:val="nil"/>
              <w:left w:val="nil"/>
              <w:bottom w:val="nil"/>
              <w:right w:val="nil"/>
            </w:tcBorders>
            <w:shd w:val="clear" w:color="000000" w:fill="FF0000"/>
            <w:noWrap/>
            <w:vAlign w:val="bottom"/>
            <w:hideMark/>
          </w:tcPr>
          <w:p w14:paraId="5B5FFDF5"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r w:rsidRPr="00237BC6">
              <w:rPr>
                <w:rFonts w:eastAsia="Times New Roman" w:cstheme="minorHAnsi"/>
                <w:b/>
                <w:bCs/>
                <w:color w:val="FFFFFF"/>
                <w:sz w:val="18"/>
                <w:szCs w:val="18"/>
                <w:lang w:eastAsia="en-GB"/>
              </w:rPr>
              <w:t>100%</w:t>
            </w:r>
          </w:p>
        </w:tc>
        <w:tc>
          <w:tcPr>
            <w:tcW w:w="964" w:type="dxa"/>
            <w:tcBorders>
              <w:top w:val="nil"/>
              <w:left w:val="nil"/>
              <w:bottom w:val="nil"/>
              <w:right w:val="nil"/>
            </w:tcBorders>
            <w:noWrap/>
            <w:vAlign w:val="bottom"/>
            <w:hideMark/>
          </w:tcPr>
          <w:p w14:paraId="0C9E7AE5"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p>
        </w:tc>
        <w:tc>
          <w:tcPr>
            <w:tcW w:w="699" w:type="dxa"/>
            <w:tcBorders>
              <w:top w:val="nil"/>
              <w:left w:val="nil"/>
              <w:bottom w:val="nil"/>
              <w:right w:val="nil"/>
            </w:tcBorders>
            <w:noWrap/>
            <w:vAlign w:val="bottom"/>
            <w:hideMark/>
          </w:tcPr>
          <w:p w14:paraId="36DD6355"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1229" w:type="dxa"/>
            <w:tcBorders>
              <w:top w:val="nil"/>
              <w:left w:val="nil"/>
              <w:bottom w:val="nil"/>
              <w:right w:val="nil"/>
            </w:tcBorders>
            <w:noWrap/>
            <w:vAlign w:val="bottom"/>
            <w:hideMark/>
          </w:tcPr>
          <w:p w14:paraId="663879EF"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1FAABFA9"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74877734"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0BF50AAB" w14:textId="77777777" w:rsidR="007D5792" w:rsidRPr="00237BC6" w:rsidRDefault="007D5792" w:rsidP="00EF7773">
            <w:pPr>
              <w:spacing w:after="0" w:line="240" w:lineRule="auto"/>
              <w:jc w:val="center"/>
              <w:rPr>
                <w:rFonts w:eastAsia="Times New Roman" w:cstheme="minorHAnsi"/>
                <w:sz w:val="18"/>
                <w:szCs w:val="18"/>
                <w:lang w:eastAsia="en-GB"/>
              </w:rPr>
            </w:pPr>
          </w:p>
        </w:tc>
      </w:tr>
      <w:tr w:rsidR="00815AF8" w:rsidRPr="008825E8" w14:paraId="760483F6" w14:textId="77777777" w:rsidTr="00FA54E0">
        <w:trPr>
          <w:trHeight w:val="276"/>
          <w:jc w:val="center"/>
        </w:trPr>
        <w:tc>
          <w:tcPr>
            <w:tcW w:w="1371" w:type="dxa"/>
            <w:vMerge/>
            <w:tcBorders>
              <w:top w:val="nil"/>
              <w:left w:val="nil"/>
              <w:bottom w:val="single" w:sz="4" w:space="0" w:color="000000"/>
              <w:right w:val="nil"/>
            </w:tcBorders>
            <w:vAlign w:val="center"/>
            <w:hideMark/>
          </w:tcPr>
          <w:p w14:paraId="6DB0366F"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6917" w:type="dxa"/>
            <w:tcBorders>
              <w:top w:val="nil"/>
              <w:left w:val="nil"/>
              <w:bottom w:val="nil"/>
              <w:right w:val="nil"/>
            </w:tcBorders>
            <w:noWrap/>
            <w:vAlign w:val="bottom"/>
            <w:hideMark/>
          </w:tcPr>
          <w:p w14:paraId="1C2541CE" w14:textId="77777777"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A maioria dos produtores/transformadores de manga têm acesso a telefone/telemóvel</w:t>
            </w:r>
          </w:p>
        </w:tc>
        <w:tc>
          <w:tcPr>
            <w:tcW w:w="964" w:type="dxa"/>
            <w:tcBorders>
              <w:top w:val="nil"/>
              <w:left w:val="nil"/>
              <w:bottom w:val="nil"/>
              <w:right w:val="nil"/>
            </w:tcBorders>
            <w:noWrap/>
            <w:vAlign w:val="bottom"/>
            <w:hideMark/>
          </w:tcPr>
          <w:p w14:paraId="5C5A2A84"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964" w:type="dxa"/>
            <w:tcBorders>
              <w:top w:val="nil"/>
              <w:left w:val="nil"/>
              <w:bottom w:val="nil"/>
              <w:right w:val="nil"/>
            </w:tcBorders>
            <w:noWrap/>
            <w:vAlign w:val="bottom"/>
            <w:hideMark/>
          </w:tcPr>
          <w:p w14:paraId="0A1DEA04"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699" w:type="dxa"/>
            <w:tcBorders>
              <w:top w:val="nil"/>
              <w:left w:val="nil"/>
              <w:bottom w:val="nil"/>
              <w:right w:val="nil"/>
            </w:tcBorders>
            <w:noWrap/>
            <w:vAlign w:val="bottom"/>
            <w:hideMark/>
          </w:tcPr>
          <w:p w14:paraId="38A749AF"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1229" w:type="dxa"/>
            <w:tcBorders>
              <w:top w:val="nil"/>
              <w:left w:val="nil"/>
              <w:bottom w:val="nil"/>
              <w:right w:val="nil"/>
            </w:tcBorders>
            <w:noWrap/>
            <w:vAlign w:val="bottom"/>
            <w:hideMark/>
          </w:tcPr>
          <w:p w14:paraId="04C29B31"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shd w:val="clear" w:color="000000" w:fill="BDD7EE"/>
            <w:noWrap/>
            <w:vAlign w:val="bottom"/>
            <w:hideMark/>
          </w:tcPr>
          <w:p w14:paraId="38C84765"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50%</w:t>
            </w:r>
          </w:p>
        </w:tc>
        <w:tc>
          <w:tcPr>
            <w:tcW w:w="964" w:type="dxa"/>
            <w:tcBorders>
              <w:top w:val="nil"/>
              <w:left w:val="nil"/>
              <w:bottom w:val="nil"/>
              <w:right w:val="nil"/>
            </w:tcBorders>
            <w:noWrap/>
            <w:vAlign w:val="bottom"/>
            <w:hideMark/>
          </w:tcPr>
          <w:p w14:paraId="7667C80D"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p>
        </w:tc>
        <w:tc>
          <w:tcPr>
            <w:tcW w:w="964" w:type="dxa"/>
            <w:tcBorders>
              <w:top w:val="nil"/>
              <w:left w:val="nil"/>
              <w:bottom w:val="nil"/>
              <w:right w:val="nil"/>
            </w:tcBorders>
            <w:shd w:val="clear" w:color="000000" w:fill="00B050"/>
            <w:noWrap/>
            <w:vAlign w:val="bottom"/>
            <w:hideMark/>
          </w:tcPr>
          <w:p w14:paraId="06729D2D"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r w:rsidRPr="00237BC6">
              <w:rPr>
                <w:rFonts w:eastAsia="Times New Roman" w:cstheme="minorHAnsi"/>
                <w:b/>
                <w:bCs/>
                <w:color w:val="FFFFFF"/>
                <w:sz w:val="18"/>
                <w:szCs w:val="18"/>
                <w:lang w:eastAsia="en-GB"/>
              </w:rPr>
              <w:t>50%</w:t>
            </w:r>
          </w:p>
        </w:tc>
      </w:tr>
      <w:tr w:rsidR="00815AF8" w:rsidRPr="008825E8" w14:paraId="5FCB7520" w14:textId="77777777" w:rsidTr="00FA54E0">
        <w:trPr>
          <w:trHeight w:val="276"/>
          <w:jc w:val="center"/>
        </w:trPr>
        <w:tc>
          <w:tcPr>
            <w:tcW w:w="1371" w:type="dxa"/>
            <w:vMerge/>
            <w:tcBorders>
              <w:top w:val="nil"/>
              <w:left w:val="nil"/>
              <w:bottom w:val="single" w:sz="4" w:space="0" w:color="000000"/>
              <w:right w:val="nil"/>
            </w:tcBorders>
            <w:vAlign w:val="center"/>
            <w:hideMark/>
          </w:tcPr>
          <w:p w14:paraId="1E023A35"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6917" w:type="dxa"/>
            <w:tcBorders>
              <w:top w:val="nil"/>
              <w:left w:val="nil"/>
              <w:bottom w:val="nil"/>
              <w:right w:val="nil"/>
            </w:tcBorders>
            <w:noWrap/>
            <w:vAlign w:val="bottom"/>
            <w:hideMark/>
          </w:tcPr>
          <w:p w14:paraId="567FB275" w14:textId="77777777"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A maioria dos produtores/transformadores de manga têm acesso á Internet</w:t>
            </w:r>
          </w:p>
        </w:tc>
        <w:tc>
          <w:tcPr>
            <w:tcW w:w="964" w:type="dxa"/>
            <w:tcBorders>
              <w:top w:val="nil"/>
              <w:left w:val="nil"/>
              <w:bottom w:val="nil"/>
              <w:right w:val="nil"/>
            </w:tcBorders>
            <w:noWrap/>
            <w:vAlign w:val="bottom"/>
            <w:hideMark/>
          </w:tcPr>
          <w:p w14:paraId="7BEE1CF9"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964" w:type="dxa"/>
            <w:tcBorders>
              <w:top w:val="nil"/>
              <w:left w:val="nil"/>
              <w:bottom w:val="nil"/>
              <w:right w:val="nil"/>
            </w:tcBorders>
            <w:shd w:val="clear" w:color="000000" w:fill="FFC000"/>
            <w:noWrap/>
            <w:vAlign w:val="bottom"/>
            <w:hideMark/>
          </w:tcPr>
          <w:p w14:paraId="78DA80ED"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50%</w:t>
            </w:r>
          </w:p>
        </w:tc>
        <w:tc>
          <w:tcPr>
            <w:tcW w:w="699" w:type="dxa"/>
            <w:tcBorders>
              <w:top w:val="nil"/>
              <w:left w:val="nil"/>
              <w:bottom w:val="nil"/>
              <w:right w:val="nil"/>
            </w:tcBorders>
            <w:noWrap/>
            <w:vAlign w:val="bottom"/>
            <w:hideMark/>
          </w:tcPr>
          <w:p w14:paraId="719109B1"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p>
        </w:tc>
        <w:tc>
          <w:tcPr>
            <w:tcW w:w="1229" w:type="dxa"/>
            <w:tcBorders>
              <w:top w:val="nil"/>
              <w:left w:val="nil"/>
              <w:bottom w:val="nil"/>
              <w:right w:val="nil"/>
            </w:tcBorders>
            <w:shd w:val="clear" w:color="000000" w:fill="D9D9D9"/>
            <w:noWrap/>
            <w:vAlign w:val="bottom"/>
            <w:hideMark/>
          </w:tcPr>
          <w:p w14:paraId="642DC668"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50%</w:t>
            </w:r>
          </w:p>
        </w:tc>
        <w:tc>
          <w:tcPr>
            <w:tcW w:w="964" w:type="dxa"/>
            <w:tcBorders>
              <w:top w:val="nil"/>
              <w:left w:val="nil"/>
              <w:bottom w:val="nil"/>
              <w:right w:val="nil"/>
            </w:tcBorders>
            <w:noWrap/>
            <w:vAlign w:val="bottom"/>
            <w:hideMark/>
          </w:tcPr>
          <w:p w14:paraId="4B216E67"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p>
        </w:tc>
        <w:tc>
          <w:tcPr>
            <w:tcW w:w="964" w:type="dxa"/>
            <w:tcBorders>
              <w:top w:val="nil"/>
              <w:left w:val="nil"/>
              <w:bottom w:val="nil"/>
              <w:right w:val="nil"/>
            </w:tcBorders>
            <w:noWrap/>
            <w:vAlign w:val="bottom"/>
            <w:hideMark/>
          </w:tcPr>
          <w:p w14:paraId="5C955177"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67631938" w14:textId="77777777" w:rsidR="007D5792" w:rsidRPr="00237BC6" w:rsidRDefault="007D5792" w:rsidP="00EF7773">
            <w:pPr>
              <w:spacing w:after="0" w:line="240" w:lineRule="auto"/>
              <w:jc w:val="center"/>
              <w:rPr>
                <w:rFonts w:eastAsia="Times New Roman" w:cstheme="minorHAnsi"/>
                <w:sz w:val="18"/>
                <w:szCs w:val="18"/>
                <w:lang w:eastAsia="en-GB"/>
              </w:rPr>
            </w:pPr>
          </w:p>
        </w:tc>
      </w:tr>
      <w:tr w:rsidR="00815AF8" w:rsidRPr="008825E8" w14:paraId="2BDC198D" w14:textId="77777777" w:rsidTr="00FA54E0">
        <w:trPr>
          <w:trHeight w:val="276"/>
          <w:jc w:val="center"/>
        </w:trPr>
        <w:tc>
          <w:tcPr>
            <w:tcW w:w="1371" w:type="dxa"/>
            <w:vMerge/>
            <w:tcBorders>
              <w:top w:val="nil"/>
              <w:left w:val="nil"/>
              <w:bottom w:val="single" w:sz="4" w:space="0" w:color="000000"/>
              <w:right w:val="nil"/>
            </w:tcBorders>
            <w:vAlign w:val="center"/>
            <w:hideMark/>
          </w:tcPr>
          <w:p w14:paraId="468CF03F"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6917" w:type="dxa"/>
            <w:tcBorders>
              <w:top w:val="nil"/>
              <w:left w:val="nil"/>
              <w:bottom w:val="nil"/>
              <w:right w:val="nil"/>
            </w:tcBorders>
            <w:noWrap/>
            <w:vAlign w:val="bottom"/>
            <w:hideMark/>
          </w:tcPr>
          <w:p w14:paraId="27E97F60" w14:textId="1828C079"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No ge</w:t>
            </w:r>
            <w:r w:rsidR="008662FD">
              <w:rPr>
                <w:rFonts w:eastAsia="Times New Roman" w:cstheme="minorHAnsi"/>
                <w:color w:val="000000"/>
                <w:sz w:val="18"/>
                <w:szCs w:val="18"/>
                <w:lang w:eastAsia="en-GB"/>
              </w:rPr>
              <w:t>r</w:t>
            </w:r>
            <w:r w:rsidRPr="00237BC6">
              <w:rPr>
                <w:rFonts w:eastAsia="Times New Roman" w:cstheme="minorHAnsi"/>
                <w:color w:val="000000"/>
                <w:sz w:val="18"/>
                <w:szCs w:val="18"/>
                <w:lang w:eastAsia="en-GB"/>
              </w:rPr>
              <w:t>al,</w:t>
            </w:r>
            <w:r w:rsidR="000E5A65">
              <w:rPr>
                <w:rFonts w:eastAsia="Times New Roman" w:cstheme="minorHAnsi"/>
                <w:color w:val="000000"/>
                <w:sz w:val="18"/>
                <w:szCs w:val="18"/>
                <w:lang w:eastAsia="en-GB"/>
              </w:rPr>
              <w:t xml:space="preserve"> </w:t>
            </w:r>
            <w:r w:rsidRPr="00237BC6">
              <w:rPr>
                <w:rFonts w:eastAsia="Times New Roman" w:cstheme="minorHAnsi"/>
                <w:color w:val="000000"/>
                <w:sz w:val="18"/>
                <w:szCs w:val="18"/>
                <w:lang w:eastAsia="en-GB"/>
              </w:rPr>
              <w:t xml:space="preserve">os transformadores de manga têm acesso a infraestruturas de produção adequadas </w:t>
            </w:r>
          </w:p>
        </w:tc>
        <w:tc>
          <w:tcPr>
            <w:tcW w:w="964" w:type="dxa"/>
            <w:tcBorders>
              <w:top w:val="nil"/>
              <w:left w:val="nil"/>
              <w:bottom w:val="nil"/>
              <w:right w:val="nil"/>
            </w:tcBorders>
            <w:shd w:val="clear" w:color="000000" w:fill="FF0000"/>
            <w:noWrap/>
            <w:vAlign w:val="bottom"/>
            <w:hideMark/>
          </w:tcPr>
          <w:p w14:paraId="43C83B39"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r w:rsidRPr="00237BC6">
              <w:rPr>
                <w:rFonts w:eastAsia="Times New Roman" w:cstheme="minorHAnsi"/>
                <w:b/>
                <w:bCs/>
                <w:color w:val="FFFFFF"/>
                <w:sz w:val="18"/>
                <w:szCs w:val="18"/>
                <w:lang w:eastAsia="en-GB"/>
              </w:rPr>
              <w:t>100%</w:t>
            </w:r>
          </w:p>
        </w:tc>
        <w:tc>
          <w:tcPr>
            <w:tcW w:w="964" w:type="dxa"/>
            <w:tcBorders>
              <w:top w:val="nil"/>
              <w:left w:val="nil"/>
              <w:bottom w:val="nil"/>
              <w:right w:val="nil"/>
            </w:tcBorders>
            <w:noWrap/>
            <w:vAlign w:val="bottom"/>
            <w:hideMark/>
          </w:tcPr>
          <w:p w14:paraId="7394E022"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p>
        </w:tc>
        <w:tc>
          <w:tcPr>
            <w:tcW w:w="699" w:type="dxa"/>
            <w:tcBorders>
              <w:top w:val="nil"/>
              <w:left w:val="nil"/>
              <w:bottom w:val="nil"/>
              <w:right w:val="nil"/>
            </w:tcBorders>
            <w:noWrap/>
            <w:vAlign w:val="bottom"/>
            <w:hideMark/>
          </w:tcPr>
          <w:p w14:paraId="31675DCE"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1229" w:type="dxa"/>
            <w:tcBorders>
              <w:top w:val="nil"/>
              <w:left w:val="nil"/>
              <w:bottom w:val="nil"/>
              <w:right w:val="nil"/>
            </w:tcBorders>
            <w:noWrap/>
            <w:vAlign w:val="bottom"/>
            <w:hideMark/>
          </w:tcPr>
          <w:p w14:paraId="65867F93"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73D91F23"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6B8C81C4"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085B2661" w14:textId="77777777" w:rsidR="007D5792" w:rsidRPr="00237BC6" w:rsidRDefault="007D5792" w:rsidP="00EF7773">
            <w:pPr>
              <w:spacing w:after="0" w:line="240" w:lineRule="auto"/>
              <w:jc w:val="center"/>
              <w:rPr>
                <w:rFonts w:eastAsia="Times New Roman" w:cstheme="minorHAnsi"/>
                <w:sz w:val="18"/>
                <w:szCs w:val="18"/>
                <w:lang w:eastAsia="en-GB"/>
              </w:rPr>
            </w:pPr>
          </w:p>
        </w:tc>
      </w:tr>
      <w:tr w:rsidR="00815AF8" w:rsidRPr="008825E8" w14:paraId="1B04E99F" w14:textId="77777777" w:rsidTr="00FA54E0">
        <w:trPr>
          <w:trHeight w:val="276"/>
          <w:jc w:val="center"/>
        </w:trPr>
        <w:tc>
          <w:tcPr>
            <w:tcW w:w="1371" w:type="dxa"/>
            <w:vMerge/>
            <w:tcBorders>
              <w:top w:val="nil"/>
              <w:left w:val="nil"/>
              <w:bottom w:val="single" w:sz="4" w:space="0" w:color="000000"/>
              <w:right w:val="nil"/>
            </w:tcBorders>
            <w:vAlign w:val="center"/>
            <w:hideMark/>
          </w:tcPr>
          <w:p w14:paraId="1580F7E9"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6917" w:type="dxa"/>
            <w:tcBorders>
              <w:top w:val="nil"/>
              <w:left w:val="nil"/>
              <w:bottom w:val="nil"/>
              <w:right w:val="nil"/>
            </w:tcBorders>
            <w:noWrap/>
            <w:vAlign w:val="bottom"/>
            <w:hideMark/>
          </w:tcPr>
          <w:p w14:paraId="0FB37153" w14:textId="231F712A"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No ge</w:t>
            </w:r>
            <w:r w:rsidR="008662FD">
              <w:rPr>
                <w:rFonts w:eastAsia="Times New Roman" w:cstheme="minorHAnsi"/>
                <w:color w:val="000000"/>
                <w:sz w:val="18"/>
                <w:szCs w:val="18"/>
                <w:lang w:eastAsia="en-GB"/>
              </w:rPr>
              <w:t>r</w:t>
            </w:r>
            <w:r w:rsidRPr="00237BC6">
              <w:rPr>
                <w:rFonts w:eastAsia="Times New Roman" w:cstheme="minorHAnsi"/>
                <w:color w:val="000000"/>
                <w:sz w:val="18"/>
                <w:szCs w:val="18"/>
                <w:lang w:eastAsia="en-GB"/>
              </w:rPr>
              <w:t>al</w:t>
            </w:r>
            <w:r w:rsidR="000E5A65">
              <w:rPr>
                <w:rFonts w:eastAsia="Times New Roman" w:cstheme="minorHAnsi"/>
                <w:color w:val="000000"/>
                <w:sz w:val="18"/>
                <w:szCs w:val="18"/>
                <w:lang w:eastAsia="en-GB"/>
              </w:rPr>
              <w:t xml:space="preserve">, </w:t>
            </w:r>
            <w:r w:rsidRPr="00237BC6">
              <w:rPr>
                <w:rFonts w:eastAsia="Times New Roman" w:cstheme="minorHAnsi"/>
                <w:color w:val="000000"/>
                <w:sz w:val="18"/>
                <w:szCs w:val="18"/>
                <w:lang w:eastAsia="en-GB"/>
              </w:rPr>
              <w:t>os produtores/transformadores de manga têm acesso a mercados organizados</w:t>
            </w:r>
          </w:p>
        </w:tc>
        <w:tc>
          <w:tcPr>
            <w:tcW w:w="964" w:type="dxa"/>
            <w:tcBorders>
              <w:top w:val="nil"/>
              <w:left w:val="nil"/>
              <w:bottom w:val="nil"/>
              <w:right w:val="nil"/>
            </w:tcBorders>
            <w:shd w:val="clear" w:color="000000" w:fill="FF0000"/>
            <w:noWrap/>
            <w:vAlign w:val="bottom"/>
            <w:hideMark/>
          </w:tcPr>
          <w:p w14:paraId="720F4229"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r w:rsidRPr="00237BC6">
              <w:rPr>
                <w:rFonts w:eastAsia="Times New Roman" w:cstheme="minorHAnsi"/>
                <w:b/>
                <w:bCs/>
                <w:color w:val="FFFFFF"/>
                <w:sz w:val="18"/>
                <w:szCs w:val="18"/>
                <w:lang w:eastAsia="en-GB"/>
              </w:rPr>
              <w:t>50%</w:t>
            </w:r>
          </w:p>
        </w:tc>
        <w:tc>
          <w:tcPr>
            <w:tcW w:w="964" w:type="dxa"/>
            <w:tcBorders>
              <w:top w:val="nil"/>
              <w:left w:val="nil"/>
              <w:bottom w:val="nil"/>
              <w:right w:val="nil"/>
            </w:tcBorders>
            <w:shd w:val="clear" w:color="000000" w:fill="FFC000"/>
            <w:noWrap/>
            <w:vAlign w:val="bottom"/>
            <w:hideMark/>
          </w:tcPr>
          <w:p w14:paraId="4E6A03E6"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50%</w:t>
            </w:r>
          </w:p>
        </w:tc>
        <w:tc>
          <w:tcPr>
            <w:tcW w:w="699" w:type="dxa"/>
            <w:tcBorders>
              <w:top w:val="nil"/>
              <w:left w:val="nil"/>
              <w:bottom w:val="nil"/>
              <w:right w:val="nil"/>
            </w:tcBorders>
            <w:noWrap/>
            <w:vAlign w:val="bottom"/>
            <w:hideMark/>
          </w:tcPr>
          <w:p w14:paraId="542462B3"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p>
        </w:tc>
        <w:tc>
          <w:tcPr>
            <w:tcW w:w="1229" w:type="dxa"/>
            <w:tcBorders>
              <w:top w:val="nil"/>
              <w:left w:val="nil"/>
              <w:bottom w:val="nil"/>
              <w:right w:val="nil"/>
            </w:tcBorders>
            <w:noWrap/>
            <w:vAlign w:val="bottom"/>
            <w:hideMark/>
          </w:tcPr>
          <w:p w14:paraId="12EB4632"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66F0A57B"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39095E2A"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376E3C1D" w14:textId="77777777" w:rsidR="007D5792" w:rsidRPr="00237BC6" w:rsidRDefault="007D5792" w:rsidP="00EF7773">
            <w:pPr>
              <w:spacing w:after="0" w:line="240" w:lineRule="auto"/>
              <w:jc w:val="center"/>
              <w:rPr>
                <w:rFonts w:eastAsia="Times New Roman" w:cstheme="minorHAnsi"/>
                <w:sz w:val="18"/>
                <w:szCs w:val="18"/>
                <w:lang w:eastAsia="en-GB"/>
              </w:rPr>
            </w:pPr>
          </w:p>
        </w:tc>
      </w:tr>
      <w:tr w:rsidR="00815AF8" w:rsidRPr="008825E8" w14:paraId="6F406BC6" w14:textId="77777777" w:rsidTr="00FA54E0">
        <w:trPr>
          <w:trHeight w:val="276"/>
          <w:jc w:val="center"/>
        </w:trPr>
        <w:tc>
          <w:tcPr>
            <w:tcW w:w="1371" w:type="dxa"/>
            <w:vMerge/>
            <w:tcBorders>
              <w:top w:val="nil"/>
              <w:left w:val="nil"/>
              <w:bottom w:val="single" w:sz="4" w:space="0" w:color="000000"/>
              <w:right w:val="nil"/>
            </w:tcBorders>
            <w:vAlign w:val="center"/>
            <w:hideMark/>
          </w:tcPr>
          <w:p w14:paraId="13FC928A"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6917" w:type="dxa"/>
            <w:tcBorders>
              <w:top w:val="nil"/>
              <w:left w:val="nil"/>
              <w:bottom w:val="nil"/>
              <w:right w:val="nil"/>
            </w:tcBorders>
            <w:noWrap/>
            <w:vAlign w:val="bottom"/>
            <w:hideMark/>
          </w:tcPr>
          <w:p w14:paraId="5B8E6B4F" w14:textId="77777777"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Pode-se considerar que os produtores/transformadores de manga têm acesso a assistência técnica permanente</w:t>
            </w:r>
          </w:p>
        </w:tc>
        <w:tc>
          <w:tcPr>
            <w:tcW w:w="964" w:type="dxa"/>
            <w:tcBorders>
              <w:top w:val="nil"/>
              <w:left w:val="nil"/>
              <w:bottom w:val="nil"/>
              <w:right w:val="nil"/>
            </w:tcBorders>
            <w:shd w:val="clear" w:color="000000" w:fill="FF0000"/>
            <w:noWrap/>
            <w:vAlign w:val="bottom"/>
            <w:hideMark/>
          </w:tcPr>
          <w:p w14:paraId="01B791DD"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r w:rsidRPr="00237BC6">
              <w:rPr>
                <w:rFonts w:eastAsia="Times New Roman" w:cstheme="minorHAnsi"/>
                <w:b/>
                <w:bCs/>
                <w:color w:val="FFFFFF"/>
                <w:sz w:val="18"/>
                <w:szCs w:val="18"/>
                <w:lang w:eastAsia="en-GB"/>
              </w:rPr>
              <w:t>50%</w:t>
            </w:r>
          </w:p>
        </w:tc>
        <w:tc>
          <w:tcPr>
            <w:tcW w:w="964" w:type="dxa"/>
            <w:tcBorders>
              <w:top w:val="nil"/>
              <w:left w:val="nil"/>
              <w:bottom w:val="nil"/>
              <w:right w:val="nil"/>
            </w:tcBorders>
            <w:shd w:val="clear" w:color="000000" w:fill="FFC000"/>
            <w:noWrap/>
            <w:vAlign w:val="bottom"/>
            <w:hideMark/>
          </w:tcPr>
          <w:p w14:paraId="7A638ECB"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50%</w:t>
            </w:r>
          </w:p>
        </w:tc>
        <w:tc>
          <w:tcPr>
            <w:tcW w:w="699" w:type="dxa"/>
            <w:tcBorders>
              <w:top w:val="nil"/>
              <w:left w:val="nil"/>
              <w:bottom w:val="nil"/>
              <w:right w:val="nil"/>
            </w:tcBorders>
            <w:noWrap/>
            <w:vAlign w:val="bottom"/>
            <w:hideMark/>
          </w:tcPr>
          <w:p w14:paraId="5869F4D6"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p>
        </w:tc>
        <w:tc>
          <w:tcPr>
            <w:tcW w:w="1229" w:type="dxa"/>
            <w:tcBorders>
              <w:top w:val="nil"/>
              <w:left w:val="nil"/>
              <w:bottom w:val="nil"/>
              <w:right w:val="nil"/>
            </w:tcBorders>
            <w:noWrap/>
            <w:vAlign w:val="bottom"/>
            <w:hideMark/>
          </w:tcPr>
          <w:p w14:paraId="73E2A6A8"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592070F8"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4C9AB056"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656BAFB4" w14:textId="77777777" w:rsidR="007D5792" w:rsidRPr="00237BC6" w:rsidRDefault="007D5792" w:rsidP="00EF7773">
            <w:pPr>
              <w:spacing w:after="0" w:line="240" w:lineRule="auto"/>
              <w:jc w:val="center"/>
              <w:rPr>
                <w:rFonts w:eastAsia="Times New Roman" w:cstheme="minorHAnsi"/>
                <w:sz w:val="18"/>
                <w:szCs w:val="18"/>
                <w:lang w:eastAsia="en-GB"/>
              </w:rPr>
            </w:pPr>
          </w:p>
        </w:tc>
      </w:tr>
      <w:tr w:rsidR="00815AF8" w:rsidRPr="008825E8" w14:paraId="440E4C5B" w14:textId="77777777" w:rsidTr="00FA54E0">
        <w:trPr>
          <w:trHeight w:val="276"/>
          <w:jc w:val="center"/>
        </w:trPr>
        <w:tc>
          <w:tcPr>
            <w:tcW w:w="1371" w:type="dxa"/>
            <w:vMerge/>
            <w:tcBorders>
              <w:top w:val="nil"/>
              <w:left w:val="nil"/>
              <w:bottom w:val="single" w:sz="4" w:space="0" w:color="000000"/>
              <w:right w:val="nil"/>
            </w:tcBorders>
            <w:vAlign w:val="center"/>
            <w:hideMark/>
          </w:tcPr>
          <w:p w14:paraId="083DFC1C"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6917" w:type="dxa"/>
            <w:tcBorders>
              <w:top w:val="nil"/>
              <w:left w:val="nil"/>
              <w:bottom w:val="nil"/>
              <w:right w:val="nil"/>
            </w:tcBorders>
            <w:noWrap/>
            <w:vAlign w:val="bottom"/>
            <w:hideMark/>
          </w:tcPr>
          <w:p w14:paraId="4CFD81C2" w14:textId="19CC7824"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No geral, existem</w:t>
            </w:r>
            <w:r w:rsidR="000E5A65">
              <w:rPr>
                <w:rFonts w:eastAsia="Times New Roman" w:cstheme="minorHAnsi"/>
                <w:color w:val="000000"/>
                <w:sz w:val="18"/>
                <w:szCs w:val="18"/>
                <w:lang w:eastAsia="en-GB"/>
              </w:rPr>
              <w:t xml:space="preserve"> </w:t>
            </w:r>
            <w:r w:rsidRPr="00237BC6">
              <w:rPr>
                <w:rFonts w:eastAsia="Times New Roman" w:cstheme="minorHAnsi"/>
                <w:color w:val="000000"/>
                <w:sz w:val="18"/>
                <w:szCs w:val="18"/>
                <w:lang w:eastAsia="en-GB"/>
              </w:rPr>
              <w:t>estrut</w:t>
            </w:r>
            <w:r w:rsidR="008662FD">
              <w:rPr>
                <w:rFonts w:eastAsia="Times New Roman" w:cstheme="minorHAnsi"/>
                <w:color w:val="000000"/>
                <w:sz w:val="18"/>
                <w:szCs w:val="18"/>
                <w:lang w:eastAsia="en-GB"/>
              </w:rPr>
              <w:t>u</w:t>
            </w:r>
            <w:r w:rsidRPr="00237BC6">
              <w:rPr>
                <w:rFonts w:eastAsia="Times New Roman" w:cstheme="minorHAnsi"/>
                <w:color w:val="000000"/>
                <w:sz w:val="18"/>
                <w:szCs w:val="18"/>
                <w:lang w:eastAsia="en-GB"/>
              </w:rPr>
              <w:t>ras de formação para agricultores e para transformadores de manga, funcionais</w:t>
            </w:r>
          </w:p>
        </w:tc>
        <w:tc>
          <w:tcPr>
            <w:tcW w:w="964" w:type="dxa"/>
            <w:tcBorders>
              <w:top w:val="nil"/>
              <w:left w:val="nil"/>
              <w:bottom w:val="nil"/>
              <w:right w:val="nil"/>
            </w:tcBorders>
            <w:shd w:val="clear" w:color="000000" w:fill="FF0000"/>
            <w:noWrap/>
            <w:vAlign w:val="bottom"/>
            <w:hideMark/>
          </w:tcPr>
          <w:p w14:paraId="3467C32C"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r w:rsidRPr="00237BC6">
              <w:rPr>
                <w:rFonts w:eastAsia="Times New Roman" w:cstheme="minorHAnsi"/>
                <w:b/>
                <w:bCs/>
                <w:color w:val="FFFFFF"/>
                <w:sz w:val="18"/>
                <w:szCs w:val="18"/>
                <w:lang w:eastAsia="en-GB"/>
              </w:rPr>
              <w:t>50%</w:t>
            </w:r>
          </w:p>
        </w:tc>
        <w:tc>
          <w:tcPr>
            <w:tcW w:w="964" w:type="dxa"/>
            <w:tcBorders>
              <w:top w:val="nil"/>
              <w:left w:val="nil"/>
              <w:bottom w:val="nil"/>
              <w:right w:val="nil"/>
            </w:tcBorders>
            <w:shd w:val="clear" w:color="000000" w:fill="FFC000"/>
            <w:noWrap/>
            <w:vAlign w:val="bottom"/>
            <w:hideMark/>
          </w:tcPr>
          <w:p w14:paraId="0BB744B5"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r w:rsidRPr="00237BC6">
              <w:rPr>
                <w:rFonts w:eastAsia="Times New Roman" w:cstheme="minorHAnsi"/>
                <w:b/>
                <w:bCs/>
                <w:color w:val="000000"/>
                <w:sz w:val="18"/>
                <w:szCs w:val="18"/>
                <w:lang w:eastAsia="en-GB"/>
              </w:rPr>
              <w:t>50%</w:t>
            </w:r>
          </w:p>
        </w:tc>
        <w:tc>
          <w:tcPr>
            <w:tcW w:w="699" w:type="dxa"/>
            <w:tcBorders>
              <w:top w:val="nil"/>
              <w:left w:val="nil"/>
              <w:bottom w:val="nil"/>
              <w:right w:val="nil"/>
            </w:tcBorders>
            <w:noWrap/>
            <w:vAlign w:val="bottom"/>
            <w:hideMark/>
          </w:tcPr>
          <w:p w14:paraId="10D37F71" w14:textId="77777777" w:rsidR="007D5792" w:rsidRPr="00237BC6" w:rsidRDefault="007D5792" w:rsidP="00EF7773">
            <w:pPr>
              <w:spacing w:after="0" w:line="240" w:lineRule="auto"/>
              <w:jc w:val="center"/>
              <w:rPr>
                <w:rFonts w:eastAsia="Times New Roman" w:cstheme="minorHAnsi"/>
                <w:b/>
                <w:bCs/>
                <w:color w:val="000000"/>
                <w:sz w:val="18"/>
                <w:szCs w:val="18"/>
                <w:lang w:eastAsia="en-GB"/>
              </w:rPr>
            </w:pPr>
          </w:p>
        </w:tc>
        <w:tc>
          <w:tcPr>
            <w:tcW w:w="1229" w:type="dxa"/>
            <w:tcBorders>
              <w:top w:val="nil"/>
              <w:left w:val="nil"/>
              <w:bottom w:val="nil"/>
              <w:right w:val="nil"/>
            </w:tcBorders>
            <w:noWrap/>
            <w:vAlign w:val="bottom"/>
            <w:hideMark/>
          </w:tcPr>
          <w:p w14:paraId="1CCCC18F"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762A4491"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4E9562AA" w14:textId="77777777" w:rsidR="007D5792" w:rsidRPr="00237BC6" w:rsidRDefault="007D5792" w:rsidP="00EF7773">
            <w:pPr>
              <w:spacing w:after="0" w:line="240" w:lineRule="auto"/>
              <w:jc w:val="center"/>
              <w:rPr>
                <w:rFonts w:eastAsia="Times New Roman" w:cstheme="minorHAnsi"/>
                <w:sz w:val="18"/>
                <w:szCs w:val="18"/>
                <w:lang w:eastAsia="en-GB"/>
              </w:rPr>
            </w:pPr>
          </w:p>
        </w:tc>
        <w:tc>
          <w:tcPr>
            <w:tcW w:w="964" w:type="dxa"/>
            <w:tcBorders>
              <w:top w:val="nil"/>
              <w:left w:val="nil"/>
              <w:bottom w:val="nil"/>
              <w:right w:val="nil"/>
            </w:tcBorders>
            <w:noWrap/>
            <w:vAlign w:val="bottom"/>
            <w:hideMark/>
          </w:tcPr>
          <w:p w14:paraId="53F6F47D" w14:textId="77777777" w:rsidR="007D5792" w:rsidRPr="00237BC6" w:rsidRDefault="007D5792" w:rsidP="00EF7773">
            <w:pPr>
              <w:spacing w:after="0" w:line="240" w:lineRule="auto"/>
              <w:jc w:val="center"/>
              <w:rPr>
                <w:rFonts w:eastAsia="Times New Roman" w:cstheme="minorHAnsi"/>
                <w:sz w:val="18"/>
                <w:szCs w:val="18"/>
                <w:lang w:eastAsia="en-GB"/>
              </w:rPr>
            </w:pPr>
          </w:p>
        </w:tc>
      </w:tr>
      <w:tr w:rsidR="00815AF8" w:rsidRPr="008825E8" w14:paraId="2BF56D49" w14:textId="77777777" w:rsidTr="00FA54E0">
        <w:trPr>
          <w:trHeight w:val="276"/>
          <w:jc w:val="center"/>
        </w:trPr>
        <w:tc>
          <w:tcPr>
            <w:tcW w:w="1371" w:type="dxa"/>
            <w:vMerge/>
            <w:tcBorders>
              <w:top w:val="nil"/>
              <w:left w:val="nil"/>
              <w:bottom w:val="single" w:sz="4" w:space="0" w:color="000000"/>
              <w:right w:val="nil"/>
            </w:tcBorders>
            <w:vAlign w:val="center"/>
            <w:hideMark/>
          </w:tcPr>
          <w:p w14:paraId="14273A3F" w14:textId="77777777" w:rsidR="007D5792" w:rsidRPr="00237BC6" w:rsidRDefault="007D5792" w:rsidP="00EF7773">
            <w:pPr>
              <w:spacing w:after="0" w:line="240" w:lineRule="auto"/>
              <w:rPr>
                <w:rFonts w:eastAsia="Times New Roman" w:cstheme="minorHAnsi"/>
                <w:color w:val="000000"/>
                <w:sz w:val="18"/>
                <w:szCs w:val="18"/>
                <w:lang w:eastAsia="en-GB"/>
              </w:rPr>
            </w:pPr>
          </w:p>
        </w:tc>
        <w:tc>
          <w:tcPr>
            <w:tcW w:w="6917" w:type="dxa"/>
            <w:tcBorders>
              <w:top w:val="nil"/>
              <w:left w:val="nil"/>
              <w:bottom w:val="single" w:sz="4" w:space="0" w:color="auto"/>
              <w:right w:val="nil"/>
            </w:tcBorders>
            <w:noWrap/>
            <w:vAlign w:val="bottom"/>
            <w:hideMark/>
          </w:tcPr>
          <w:p w14:paraId="3FF23D8E" w14:textId="69998178" w:rsidR="007D5792" w:rsidRPr="00237BC6" w:rsidRDefault="007D5792" w:rsidP="00EF7773">
            <w:pPr>
              <w:spacing w:after="0" w:line="240" w:lineRule="auto"/>
              <w:rPr>
                <w:rFonts w:eastAsia="Times New Roman" w:cstheme="minorHAnsi"/>
                <w:color w:val="000000"/>
                <w:sz w:val="18"/>
                <w:szCs w:val="18"/>
                <w:lang w:eastAsia="en-GB"/>
              </w:rPr>
            </w:pPr>
            <w:r w:rsidRPr="00237BC6">
              <w:rPr>
                <w:rFonts w:eastAsia="Times New Roman" w:cstheme="minorHAnsi"/>
                <w:color w:val="000000"/>
                <w:sz w:val="18"/>
                <w:szCs w:val="18"/>
                <w:lang w:eastAsia="en-GB"/>
              </w:rPr>
              <w:t>No ge</w:t>
            </w:r>
            <w:r w:rsidR="008662FD">
              <w:rPr>
                <w:rFonts w:eastAsia="Times New Roman" w:cstheme="minorHAnsi"/>
                <w:color w:val="000000"/>
                <w:sz w:val="18"/>
                <w:szCs w:val="18"/>
                <w:lang w:eastAsia="en-GB"/>
              </w:rPr>
              <w:t>r</w:t>
            </w:r>
            <w:r w:rsidRPr="00237BC6">
              <w:rPr>
                <w:rFonts w:eastAsia="Times New Roman" w:cstheme="minorHAnsi"/>
                <w:color w:val="000000"/>
                <w:sz w:val="18"/>
                <w:szCs w:val="18"/>
                <w:lang w:eastAsia="en-GB"/>
              </w:rPr>
              <w:t>al</w:t>
            </w:r>
            <w:r w:rsidR="000E5A65">
              <w:rPr>
                <w:rFonts w:eastAsia="Times New Roman" w:cstheme="minorHAnsi"/>
                <w:color w:val="000000"/>
                <w:sz w:val="18"/>
                <w:szCs w:val="18"/>
                <w:lang w:eastAsia="en-GB"/>
              </w:rPr>
              <w:t xml:space="preserve">, </w:t>
            </w:r>
            <w:r w:rsidRPr="00237BC6">
              <w:rPr>
                <w:rFonts w:eastAsia="Times New Roman" w:cstheme="minorHAnsi"/>
                <w:color w:val="000000"/>
                <w:sz w:val="18"/>
                <w:szCs w:val="18"/>
                <w:lang w:eastAsia="en-GB"/>
              </w:rPr>
              <w:t>existem Instituições de investigação aplicada operacionais</w:t>
            </w:r>
          </w:p>
        </w:tc>
        <w:tc>
          <w:tcPr>
            <w:tcW w:w="964" w:type="dxa"/>
            <w:tcBorders>
              <w:top w:val="nil"/>
              <w:left w:val="nil"/>
              <w:bottom w:val="single" w:sz="4" w:space="0" w:color="auto"/>
              <w:right w:val="nil"/>
            </w:tcBorders>
            <w:shd w:val="clear" w:color="000000" w:fill="FF0000"/>
            <w:noWrap/>
            <w:vAlign w:val="bottom"/>
            <w:hideMark/>
          </w:tcPr>
          <w:p w14:paraId="4B30530B" w14:textId="77777777" w:rsidR="007D5792" w:rsidRPr="00237BC6" w:rsidRDefault="007D5792" w:rsidP="00EF7773">
            <w:pPr>
              <w:spacing w:after="0" w:line="240" w:lineRule="auto"/>
              <w:jc w:val="center"/>
              <w:rPr>
                <w:rFonts w:eastAsia="Times New Roman" w:cstheme="minorHAnsi"/>
                <w:b/>
                <w:bCs/>
                <w:color w:val="FFFFFF"/>
                <w:sz w:val="18"/>
                <w:szCs w:val="18"/>
                <w:lang w:eastAsia="en-GB"/>
              </w:rPr>
            </w:pPr>
            <w:r w:rsidRPr="00237BC6">
              <w:rPr>
                <w:rFonts w:eastAsia="Times New Roman" w:cstheme="minorHAnsi"/>
                <w:b/>
                <w:bCs/>
                <w:color w:val="FFFFFF"/>
                <w:sz w:val="18"/>
                <w:szCs w:val="18"/>
                <w:lang w:eastAsia="en-GB"/>
              </w:rPr>
              <w:t>100%</w:t>
            </w:r>
          </w:p>
        </w:tc>
        <w:tc>
          <w:tcPr>
            <w:tcW w:w="964" w:type="dxa"/>
            <w:tcBorders>
              <w:top w:val="nil"/>
              <w:left w:val="nil"/>
              <w:bottom w:val="single" w:sz="4" w:space="0" w:color="auto"/>
              <w:right w:val="nil"/>
            </w:tcBorders>
            <w:noWrap/>
            <w:vAlign w:val="bottom"/>
            <w:hideMark/>
          </w:tcPr>
          <w:p w14:paraId="17EE9A66"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699" w:type="dxa"/>
            <w:tcBorders>
              <w:top w:val="nil"/>
              <w:left w:val="nil"/>
              <w:bottom w:val="single" w:sz="4" w:space="0" w:color="auto"/>
              <w:right w:val="nil"/>
            </w:tcBorders>
            <w:noWrap/>
            <w:vAlign w:val="bottom"/>
            <w:hideMark/>
          </w:tcPr>
          <w:p w14:paraId="37A606E2"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1229" w:type="dxa"/>
            <w:tcBorders>
              <w:top w:val="nil"/>
              <w:left w:val="nil"/>
              <w:bottom w:val="single" w:sz="4" w:space="0" w:color="auto"/>
              <w:right w:val="nil"/>
            </w:tcBorders>
            <w:noWrap/>
            <w:vAlign w:val="bottom"/>
            <w:hideMark/>
          </w:tcPr>
          <w:p w14:paraId="7762DF0B"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964" w:type="dxa"/>
            <w:tcBorders>
              <w:top w:val="nil"/>
              <w:left w:val="nil"/>
              <w:bottom w:val="single" w:sz="4" w:space="0" w:color="auto"/>
              <w:right w:val="nil"/>
            </w:tcBorders>
            <w:noWrap/>
            <w:vAlign w:val="bottom"/>
            <w:hideMark/>
          </w:tcPr>
          <w:p w14:paraId="2713AC1F"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964" w:type="dxa"/>
            <w:tcBorders>
              <w:top w:val="nil"/>
              <w:left w:val="nil"/>
              <w:bottom w:val="single" w:sz="4" w:space="0" w:color="auto"/>
              <w:right w:val="nil"/>
            </w:tcBorders>
            <w:noWrap/>
            <w:vAlign w:val="bottom"/>
            <w:hideMark/>
          </w:tcPr>
          <w:p w14:paraId="38BEF64E"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c>
          <w:tcPr>
            <w:tcW w:w="964" w:type="dxa"/>
            <w:tcBorders>
              <w:top w:val="nil"/>
              <w:left w:val="nil"/>
              <w:bottom w:val="single" w:sz="4" w:space="0" w:color="auto"/>
              <w:right w:val="nil"/>
            </w:tcBorders>
            <w:noWrap/>
            <w:vAlign w:val="bottom"/>
            <w:hideMark/>
          </w:tcPr>
          <w:p w14:paraId="10FBEE66" w14:textId="77777777" w:rsidR="007D5792" w:rsidRPr="00237BC6" w:rsidRDefault="007D5792" w:rsidP="00EF7773">
            <w:pPr>
              <w:spacing w:after="0" w:line="240" w:lineRule="auto"/>
              <w:jc w:val="center"/>
              <w:rPr>
                <w:rFonts w:eastAsia="Times New Roman" w:cstheme="minorHAnsi"/>
                <w:color w:val="000000"/>
                <w:sz w:val="18"/>
                <w:szCs w:val="18"/>
                <w:lang w:eastAsia="en-GB"/>
              </w:rPr>
            </w:pPr>
            <w:r w:rsidRPr="00237BC6">
              <w:rPr>
                <w:rFonts w:eastAsia="Times New Roman" w:cstheme="minorHAnsi"/>
                <w:color w:val="000000"/>
                <w:sz w:val="18"/>
                <w:szCs w:val="18"/>
                <w:lang w:eastAsia="en-GB"/>
              </w:rPr>
              <w:t> </w:t>
            </w:r>
          </w:p>
        </w:tc>
      </w:tr>
    </w:tbl>
    <w:p w14:paraId="6EA9F873" w14:textId="14737146" w:rsidR="00CC3103" w:rsidRDefault="0048760E" w:rsidP="007D3A26">
      <w:pPr>
        <w:pStyle w:val="Caption"/>
        <w:rPr>
          <w:b/>
          <w:bCs/>
        </w:rPr>
      </w:pPr>
      <w:bookmarkStart w:id="92" w:name="_Ref210768640"/>
      <w:r>
        <w:t xml:space="preserve">                                                                         </w:t>
      </w:r>
      <w:bookmarkStart w:id="93" w:name="_Toc211791035"/>
      <w:r w:rsidR="00EA2F3C">
        <w:t xml:space="preserve">Quadro </w:t>
      </w:r>
      <w:fldSimple w:instr=" STYLEREF 1 \s ">
        <w:r w:rsidR="002A2405">
          <w:rPr>
            <w:noProof/>
          </w:rPr>
          <w:t>2</w:t>
        </w:r>
      </w:fldSimple>
      <w:r w:rsidR="003F6476">
        <w:t>.</w:t>
      </w:r>
      <w:fldSimple w:instr=" SEQ Quadro \* ARABIC \s 1 ">
        <w:r w:rsidR="002A2405">
          <w:rPr>
            <w:noProof/>
          </w:rPr>
          <w:t>3</w:t>
        </w:r>
      </w:fldSimple>
      <w:bookmarkEnd w:id="92"/>
      <w:r w:rsidR="00CC3103">
        <w:t xml:space="preserve">- </w:t>
      </w:r>
      <w:r w:rsidR="00CC3103" w:rsidRPr="00237BC6">
        <w:t>Respostas ao questionário s</w:t>
      </w:r>
      <w:r w:rsidR="00CC3103">
        <w:t>obre a governância da cadeia de valor da manga na Guiné-Bissau</w:t>
      </w:r>
      <w:bookmarkEnd w:id="93"/>
    </w:p>
    <w:p w14:paraId="016E6623" w14:textId="49983159" w:rsidR="00CC3103" w:rsidRDefault="00CC3103" w:rsidP="00014F76">
      <w:pPr>
        <w:rPr>
          <w:b/>
          <w:bCs/>
          <w:szCs w:val="20"/>
        </w:rPr>
        <w:sectPr w:rsidR="00CC3103" w:rsidSect="00DE1950">
          <w:type w:val="continuous"/>
          <w:pgSz w:w="16838" w:h="11906" w:orient="landscape"/>
          <w:pgMar w:top="1440" w:right="1440" w:bottom="1440" w:left="1440" w:header="708" w:footer="708" w:gutter="0"/>
          <w:cols w:space="708"/>
          <w:docGrid w:linePitch="360"/>
        </w:sectPr>
      </w:pPr>
    </w:p>
    <w:p w14:paraId="65E5B6A4" w14:textId="4E9F6EE1" w:rsidR="00014F76" w:rsidRPr="00C36240" w:rsidRDefault="00014F76" w:rsidP="00B25E7A">
      <w:pPr>
        <w:rPr>
          <w:szCs w:val="20"/>
        </w:rPr>
      </w:pPr>
      <w:r w:rsidRPr="00A85BB1">
        <w:rPr>
          <w:szCs w:val="20"/>
        </w:rPr>
        <w:lastRenderedPageBreak/>
        <w:t xml:space="preserve">Complementando a análise da governância </w:t>
      </w:r>
      <w:r w:rsidR="00D43836" w:rsidRPr="00A85BB1">
        <w:rPr>
          <w:szCs w:val="20"/>
        </w:rPr>
        <w:t>realizada pela equipa</w:t>
      </w:r>
      <w:r w:rsidR="00911671" w:rsidRPr="00A85BB1">
        <w:rPr>
          <w:szCs w:val="20"/>
        </w:rPr>
        <w:t xml:space="preserve"> para a cadeia de valor da manga na Guiné-Bissau</w:t>
      </w:r>
      <w:r w:rsidRPr="00A85BB1">
        <w:rPr>
          <w:szCs w:val="20"/>
        </w:rPr>
        <w:t xml:space="preserve">, foram considerados </w:t>
      </w:r>
      <w:r w:rsidR="00BC39E8" w:rsidRPr="00A85BB1">
        <w:rPr>
          <w:szCs w:val="20"/>
        </w:rPr>
        <w:t>ainda os</w:t>
      </w:r>
      <w:r w:rsidRPr="00A85BB1">
        <w:rPr>
          <w:szCs w:val="20"/>
        </w:rPr>
        <w:t xml:space="preserve"> </w:t>
      </w:r>
      <w:r w:rsidR="00D43836" w:rsidRPr="00A85BB1">
        <w:rPr>
          <w:szCs w:val="20"/>
        </w:rPr>
        <w:t>do</w:t>
      </w:r>
      <w:r w:rsidR="00BC39E8" w:rsidRPr="00A85BB1">
        <w:rPr>
          <w:szCs w:val="20"/>
        </w:rPr>
        <w:t>i</w:t>
      </w:r>
      <w:r w:rsidR="00D43836" w:rsidRPr="00A85BB1">
        <w:rPr>
          <w:szCs w:val="20"/>
        </w:rPr>
        <w:t>s I</w:t>
      </w:r>
      <w:r w:rsidRPr="00A85BB1">
        <w:rPr>
          <w:szCs w:val="20"/>
        </w:rPr>
        <w:t xml:space="preserve">ndicadores </w:t>
      </w:r>
      <w:r w:rsidR="00BC39E8" w:rsidRPr="00A85BB1">
        <w:rPr>
          <w:szCs w:val="20"/>
        </w:rPr>
        <w:t>M</w:t>
      </w:r>
      <w:r w:rsidR="00D43836" w:rsidRPr="00A85BB1">
        <w:rPr>
          <w:szCs w:val="20"/>
        </w:rPr>
        <w:t xml:space="preserve">undiais de </w:t>
      </w:r>
      <w:r w:rsidR="00BC39E8" w:rsidRPr="00A85BB1">
        <w:rPr>
          <w:szCs w:val="20"/>
        </w:rPr>
        <w:t>G</w:t>
      </w:r>
      <w:r w:rsidR="00D43836" w:rsidRPr="00A85BB1">
        <w:rPr>
          <w:szCs w:val="20"/>
        </w:rPr>
        <w:t>overnância</w:t>
      </w:r>
      <w:r w:rsidR="00D43836" w:rsidRPr="00A85BB1">
        <w:rPr>
          <w:rStyle w:val="FootnoteReference"/>
          <w:szCs w:val="20"/>
        </w:rPr>
        <w:footnoteReference w:id="8"/>
      </w:r>
      <w:r w:rsidR="00D43836" w:rsidRPr="00A85BB1">
        <w:rPr>
          <w:szCs w:val="20"/>
        </w:rPr>
        <w:t xml:space="preserve"> (Worldwide Governance Indicators - WGI) do Banco Mundial</w:t>
      </w:r>
      <w:r w:rsidR="00BC39E8" w:rsidRPr="00A85BB1">
        <w:rPr>
          <w:szCs w:val="20"/>
        </w:rPr>
        <w:t xml:space="preserve">, </w:t>
      </w:r>
      <w:r w:rsidRPr="00A85BB1">
        <w:rPr>
          <w:szCs w:val="20"/>
        </w:rPr>
        <w:t>que retratam a capacidade do governo de Bissau de “formular e implementar eficazmente políticas sólidas” (cf. (Kaufman &amp; Kraay, 2024, pg.4), nomeadamente</w:t>
      </w:r>
      <w:r w:rsidRPr="00C36240">
        <w:rPr>
          <w:szCs w:val="20"/>
        </w:rPr>
        <w:t>:</w:t>
      </w:r>
    </w:p>
    <w:p w14:paraId="389CA292" w14:textId="552D8EBF" w:rsidR="00014F76" w:rsidRPr="00C36240" w:rsidRDefault="00014F76" w:rsidP="00E042D7">
      <w:pPr>
        <w:pStyle w:val="ListParagraph"/>
        <w:numPr>
          <w:ilvl w:val="0"/>
          <w:numId w:val="20"/>
        </w:numPr>
        <w:ind w:left="822" w:hanging="198"/>
      </w:pPr>
      <w:r w:rsidRPr="009E48B0">
        <w:rPr>
          <w:b/>
          <w:bCs/>
        </w:rPr>
        <w:t>Eficácia do Governo</w:t>
      </w:r>
      <w:r w:rsidR="009E48B0">
        <w:t>, que</w:t>
      </w:r>
      <w:r w:rsidRPr="00C36240">
        <w:t xml:space="preserve"> expressa a qualidade dos serviços públicos, a formulação de políticas e a credibilidade das promessas governamentais</w:t>
      </w:r>
      <w:r>
        <w:t>;</w:t>
      </w:r>
    </w:p>
    <w:p w14:paraId="601E0FD2" w14:textId="58A57433" w:rsidR="009E48B0" w:rsidRDefault="00014F76" w:rsidP="00E042D7">
      <w:pPr>
        <w:pStyle w:val="ListParagraph"/>
        <w:numPr>
          <w:ilvl w:val="0"/>
          <w:numId w:val="20"/>
        </w:numPr>
        <w:ind w:left="822" w:hanging="198"/>
      </w:pPr>
      <w:r w:rsidRPr="009E48B0">
        <w:rPr>
          <w:b/>
          <w:bCs/>
        </w:rPr>
        <w:t>Qualidade Regulatória</w:t>
      </w:r>
      <w:r w:rsidR="009E48B0">
        <w:t>, que</w:t>
      </w:r>
      <w:r w:rsidRPr="00C36240">
        <w:t xml:space="preserve"> examina a capacidade do governo </w:t>
      </w:r>
      <w:r w:rsidR="009E48B0">
        <w:t>em</w:t>
      </w:r>
      <w:r w:rsidRPr="00C36240">
        <w:t xml:space="preserve"> formular e implementar políticas e regulamentações sólidas que promovam o desenvolvimento do setor privado.</w:t>
      </w:r>
    </w:p>
    <w:p w14:paraId="42E83F0B" w14:textId="1705DE26" w:rsidR="00911671" w:rsidRPr="00A85BB1" w:rsidRDefault="009E48B0" w:rsidP="009E48B0">
      <w:r w:rsidRPr="00A85BB1">
        <w:t xml:space="preserve">Os resultados, expressos na </w:t>
      </w:r>
      <w:r w:rsidRPr="00C845E7">
        <w:fldChar w:fldCharType="begin"/>
      </w:r>
      <w:r w:rsidRPr="00C845E7">
        <w:instrText xml:space="preserve"> REF _Ref209944371 \h </w:instrText>
      </w:r>
      <w:r w:rsidR="00A85BB1" w:rsidRPr="00C845E7">
        <w:instrText xml:space="preserve"> \* MERGEFORMAT </w:instrText>
      </w:r>
      <w:r w:rsidRPr="00C845E7">
        <w:fldChar w:fldCharType="separate"/>
      </w:r>
      <w:r w:rsidR="002A2405" w:rsidRPr="001373EA">
        <w:t xml:space="preserve">Figura </w:t>
      </w:r>
      <w:r w:rsidR="002A2405">
        <w:rPr>
          <w:noProof/>
        </w:rPr>
        <w:t>2.6</w:t>
      </w:r>
      <w:r w:rsidRPr="00C845E7">
        <w:fldChar w:fldCharType="end"/>
      </w:r>
      <w:r w:rsidRPr="00C845E7">
        <w:t>,</w:t>
      </w:r>
      <w:r w:rsidRPr="00A85BB1">
        <w:t xml:space="preserve"> revelam que a cadeia de valor da manga se insere num ambiente desfavorável de governância na Guiné-Bissau, apesar do esforço do país, desde 2017, em melhorar ou, pelo menos, estabilizar a situação no caso das duas dimensões analisadas. </w:t>
      </w:r>
    </w:p>
    <w:p w14:paraId="253E4E58" w14:textId="7A955BAC" w:rsidR="009E48B0" w:rsidRPr="005B2447" w:rsidRDefault="009E48B0" w:rsidP="009E48B0">
      <w:r w:rsidRPr="005B2447">
        <w:t>A comparação com países vizinhos da África Ocidental permite verificar que, para os dois indicadores, a Guiné-Bissau apresenta, desde 2012, valores de governância sistematicamente bastante inferiores aos de outros países da região, o que sugere um problema sistémico</w:t>
      </w:r>
      <w:r w:rsidR="00911671" w:rsidRPr="005B2447">
        <w:t xml:space="preserve"> e, consequentemente, </w:t>
      </w:r>
      <w:r w:rsidRPr="005B2447">
        <w:t xml:space="preserve">transversal à maioria das cadeias de valor de produtos da Guiné-Bissau. </w:t>
      </w:r>
    </w:p>
    <w:p w14:paraId="267BB82C" w14:textId="79E95F45" w:rsidR="009F4FE4" w:rsidRDefault="009F4FE4" w:rsidP="009E48B0">
      <w:r>
        <w:t xml:space="preserve">    </w:t>
      </w:r>
      <w:r w:rsidRPr="00FC6AD5">
        <w:rPr>
          <w:noProof/>
          <w:szCs w:val="20"/>
        </w:rPr>
        <w:drawing>
          <wp:inline distT="0" distB="0" distL="0" distR="0" wp14:anchorId="488467AE" wp14:editId="4C6C2862">
            <wp:extent cx="2628000" cy="1872000"/>
            <wp:effectExtent l="0" t="0" r="1270" b="0"/>
            <wp:docPr id="1643240454" name="Picture 12"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40454" name="Picture 12" descr="Gráfico, Gráfico de líneas&#10;&#10;El contenido generado por IA puede ser incorrect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r>
        <w:t xml:space="preserve">               </w:t>
      </w:r>
      <w:r>
        <w:rPr>
          <w:noProof/>
        </w:rPr>
        <w:drawing>
          <wp:inline distT="0" distB="0" distL="0" distR="0" wp14:anchorId="1569EA85" wp14:editId="1B569FE6">
            <wp:extent cx="2628000" cy="1872000"/>
            <wp:effectExtent l="0" t="0" r="1270" b="0"/>
            <wp:docPr id="5508327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28000" cy="1872000"/>
                    </a:xfrm>
                    <a:prstGeom prst="rect">
                      <a:avLst/>
                    </a:prstGeom>
                    <a:noFill/>
                  </pic:spPr>
                </pic:pic>
              </a:graphicData>
            </a:graphic>
          </wp:inline>
        </w:drawing>
      </w:r>
    </w:p>
    <w:p w14:paraId="7F43E2D0" w14:textId="7A031107" w:rsidR="00014F76" w:rsidRDefault="009F4FE4" w:rsidP="009E48B0">
      <w:r>
        <w:t xml:space="preserve">                                                                                        (A)                                                                                                  (B)      </w:t>
      </w:r>
    </w:p>
    <w:p w14:paraId="29B4A8B0" w14:textId="00F7524E" w:rsidR="00BF4113" w:rsidRDefault="00014F76" w:rsidP="007D3A26">
      <w:pPr>
        <w:pStyle w:val="Caption"/>
      </w:pPr>
      <w:bookmarkStart w:id="94" w:name="_Ref209944371"/>
      <w:bookmarkStart w:id="95" w:name="_Toc211359237"/>
      <w:r w:rsidRPr="001373EA">
        <w:t xml:space="preserve">Figura </w:t>
      </w:r>
      <w:fldSimple w:instr=" STYLEREF 1 \s ">
        <w:r w:rsidR="002A2405">
          <w:rPr>
            <w:noProof/>
          </w:rPr>
          <w:t>2</w:t>
        </w:r>
      </w:fldSimple>
      <w:r w:rsidR="00C05C88">
        <w:t>.</w:t>
      </w:r>
      <w:fldSimple w:instr=" SEQ Figura \* ARABIC \s 1 ">
        <w:r w:rsidR="002A2405">
          <w:rPr>
            <w:noProof/>
          </w:rPr>
          <w:t>6</w:t>
        </w:r>
      </w:fldSimple>
      <w:bookmarkEnd w:id="94"/>
      <w:r w:rsidRPr="001373EA">
        <w:t xml:space="preserve"> </w:t>
      </w:r>
      <w:r>
        <w:t>- Indicador</w:t>
      </w:r>
      <w:r w:rsidR="0044380B">
        <w:t>es</w:t>
      </w:r>
      <w:r>
        <w:t xml:space="preserve"> WGI </w:t>
      </w:r>
      <w:r w:rsidR="0044380B">
        <w:t>d</w:t>
      </w:r>
      <w:r w:rsidR="00454ABC">
        <w:t>e (A)</w:t>
      </w:r>
      <w:r w:rsidR="0028603C">
        <w:t xml:space="preserve"> </w:t>
      </w:r>
      <w:r>
        <w:t xml:space="preserve">Eficácia do </w:t>
      </w:r>
      <w:r w:rsidR="005B2447">
        <w:t>Governo e (</w:t>
      </w:r>
      <w:r w:rsidR="00454ABC">
        <w:t xml:space="preserve">B) </w:t>
      </w:r>
      <w:r w:rsidR="0044380B">
        <w:t>Qualidade Regulatória</w:t>
      </w:r>
      <w:r>
        <w:t xml:space="preserve"> </w:t>
      </w:r>
      <w:r w:rsidR="00454ABC">
        <w:t>para a</w:t>
      </w:r>
      <w:r>
        <w:t xml:space="preserve"> Guiné-Bissau</w:t>
      </w:r>
      <w:r w:rsidR="0028603C">
        <w:t>, no período de 1996 a 2023,</w:t>
      </w:r>
      <w:r>
        <w:t xml:space="preserve"> e</w:t>
      </w:r>
      <w:r w:rsidR="0044380B">
        <w:t xml:space="preserve"> sua</w:t>
      </w:r>
      <w:r>
        <w:t xml:space="preserve"> comparação com outros países da África Ocidental</w:t>
      </w:r>
      <w:r w:rsidR="0044380B">
        <w:t xml:space="preserve"> </w:t>
      </w:r>
      <w:r w:rsidR="00CE14E5">
        <w:t>[</w:t>
      </w:r>
      <w:r w:rsidR="0044380B">
        <w:t xml:space="preserve">Fonte: </w:t>
      </w:r>
      <w:hyperlink r:id="rId50" w:history="1">
        <w:r w:rsidR="005B2447" w:rsidRPr="00CA6CE3">
          <w:rPr>
            <w:rStyle w:val="Hyperlink"/>
          </w:rPr>
          <w:t>https://www.worldbank.org</w:t>
        </w:r>
      </w:hyperlink>
      <w:r w:rsidR="00CE14E5">
        <w:t>]</w:t>
      </w:r>
      <w:bookmarkEnd w:id="95"/>
    </w:p>
    <w:p w14:paraId="092915C7" w14:textId="77777777" w:rsidR="005B2447" w:rsidRDefault="005B2447" w:rsidP="005B2447">
      <w:pPr>
        <w:rPr>
          <w:lang w:eastAsia="en-US"/>
        </w:rPr>
      </w:pPr>
    </w:p>
    <w:p w14:paraId="1C43C5BC" w14:textId="77777777" w:rsidR="005B2447" w:rsidRDefault="005B2447" w:rsidP="005B2447">
      <w:pPr>
        <w:rPr>
          <w:lang w:eastAsia="en-US"/>
        </w:rPr>
      </w:pPr>
    </w:p>
    <w:p w14:paraId="3FA47A84" w14:textId="77777777" w:rsidR="005B2447" w:rsidRDefault="005B2447" w:rsidP="005B2447">
      <w:pPr>
        <w:rPr>
          <w:lang w:eastAsia="en-US"/>
        </w:rPr>
      </w:pPr>
    </w:p>
    <w:p w14:paraId="112D835F" w14:textId="77777777" w:rsidR="005B2447" w:rsidRDefault="005B2447" w:rsidP="005B2447">
      <w:pPr>
        <w:rPr>
          <w:lang w:eastAsia="en-US"/>
        </w:rPr>
      </w:pPr>
    </w:p>
    <w:p w14:paraId="15F1AF7A" w14:textId="7AC5CBB1" w:rsidR="005B2447" w:rsidRDefault="005B2447" w:rsidP="005B2447">
      <w:pPr>
        <w:rPr>
          <w:lang w:eastAsia="en-US"/>
        </w:rPr>
      </w:pPr>
    </w:p>
    <w:p w14:paraId="059225AF" w14:textId="77777777" w:rsidR="005B2447" w:rsidRDefault="005B2447" w:rsidP="005B2447">
      <w:pPr>
        <w:rPr>
          <w:lang w:eastAsia="en-US"/>
        </w:rPr>
      </w:pPr>
    </w:p>
    <w:p w14:paraId="00FA128F" w14:textId="77777777" w:rsidR="005B2447" w:rsidRPr="005B2447" w:rsidRDefault="005B2447" w:rsidP="005B2447">
      <w:pPr>
        <w:rPr>
          <w:lang w:eastAsia="en-US"/>
        </w:rPr>
      </w:pPr>
    </w:p>
    <w:p w14:paraId="301802EF" w14:textId="4BC79AEC" w:rsidR="006E474A" w:rsidRPr="006F7AE6" w:rsidRDefault="008D3D04" w:rsidP="00815270">
      <w:pPr>
        <w:pStyle w:val="Heading1"/>
      </w:pPr>
      <w:bookmarkStart w:id="96" w:name="_Toc210806742"/>
      <w:bookmarkStart w:id="97" w:name="_Toc210807114"/>
      <w:bookmarkStart w:id="98" w:name="_Toc210807241"/>
      <w:bookmarkStart w:id="99" w:name="_Toc210807817"/>
      <w:bookmarkStart w:id="100" w:name="_Toc210808776"/>
      <w:bookmarkStart w:id="101" w:name="_Toc210809093"/>
      <w:bookmarkStart w:id="102" w:name="_Toc210806743"/>
      <w:bookmarkStart w:id="103" w:name="_Toc210807115"/>
      <w:bookmarkStart w:id="104" w:name="_Toc210807242"/>
      <w:bookmarkStart w:id="105" w:name="_Toc210807818"/>
      <w:bookmarkStart w:id="106" w:name="_Toc210808777"/>
      <w:bookmarkStart w:id="107" w:name="_Toc210809094"/>
      <w:bookmarkStart w:id="108" w:name="_Toc210806744"/>
      <w:bookmarkStart w:id="109" w:name="_Toc210807116"/>
      <w:bookmarkStart w:id="110" w:name="_Toc210807243"/>
      <w:bookmarkStart w:id="111" w:name="_Toc210807819"/>
      <w:bookmarkStart w:id="112" w:name="_Toc210808778"/>
      <w:bookmarkStart w:id="113" w:name="_Toc210809095"/>
      <w:bookmarkStart w:id="114" w:name="_Toc210806745"/>
      <w:bookmarkStart w:id="115" w:name="_Toc210807117"/>
      <w:bookmarkStart w:id="116" w:name="_Toc210807244"/>
      <w:bookmarkStart w:id="117" w:name="_Toc210807820"/>
      <w:bookmarkStart w:id="118" w:name="_Toc210808779"/>
      <w:bookmarkStart w:id="119" w:name="_Toc210809096"/>
      <w:bookmarkStart w:id="120" w:name="_Toc210806746"/>
      <w:bookmarkStart w:id="121" w:name="_Toc210807118"/>
      <w:bookmarkStart w:id="122" w:name="_Toc210807245"/>
      <w:bookmarkStart w:id="123" w:name="_Toc210807821"/>
      <w:bookmarkStart w:id="124" w:name="_Toc210808780"/>
      <w:bookmarkStart w:id="125" w:name="_Toc210809097"/>
      <w:bookmarkStart w:id="126" w:name="_Toc210806747"/>
      <w:bookmarkStart w:id="127" w:name="_Toc210807119"/>
      <w:bookmarkStart w:id="128" w:name="_Toc210807246"/>
      <w:bookmarkStart w:id="129" w:name="_Toc210807822"/>
      <w:bookmarkStart w:id="130" w:name="_Toc210808781"/>
      <w:bookmarkStart w:id="131" w:name="_Toc210809098"/>
      <w:bookmarkStart w:id="132" w:name="_Toc210806748"/>
      <w:bookmarkStart w:id="133" w:name="_Toc210807120"/>
      <w:bookmarkStart w:id="134" w:name="_Toc210807247"/>
      <w:bookmarkStart w:id="135" w:name="_Toc210807823"/>
      <w:bookmarkStart w:id="136" w:name="_Toc210808782"/>
      <w:bookmarkStart w:id="137" w:name="_Toc210809099"/>
      <w:bookmarkStart w:id="138" w:name="_Toc210806749"/>
      <w:bookmarkStart w:id="139" w:name="_Toc210807121"/>
      <w:bookmarkStart w:id="140" w:name="_Toc210807248"/>
      <w:bookmarkStart w:id="141" w:name="_Toc210807824"/>
      <w:bookmarkStart w:id="142" w:name="_Toc210808783"/>
      <w:bookmarkStart w:id="143" w:name="_Toc210809100"/>
      <w:bookmarkStart w:id="144" w:name="_Toc210806750"/>
      <w:bookmarkStart w:id="145" w:name="_Toc210807122"/>
      <w:bookmarkStart w:id="146" w:name="_Toc210807249"/>
      <w:bookmarkStart w:id="147" w:name="_Toc210807825"/>
      <w:bookmarkStart w:id="148" w:name="_Toc210808784"/>
      <w:bookmarkStart w:id="149" w:name="_Toc210809101"/>
      <w:bookmarkStart w:id="150" w:name="_Toc210806751"/>
      <w:bookmarkStart w:id="151" w:name="_Toc210807123"/>
      <w:bookmarkStart w:id="152" w:name="_Toc210807250"/>
      <w:bookmarkStart w:id="153" w:name="_Toc210807826"/>
      <w:bookmarkStart w:id="154" w:name="_Toc210808785"/>
      <w:bookmarkStart w:id="155" w:name="_Toc210809102"/>
      <w:bookmarkStart w:id="156" w:name="_Toc210806752"/>
      <w:bookmarkStart w:id="157" w:name="_Toc210807124"/>
      <w:bookmarkStart w:id="158" w:name="_Toc210807251"/>
      <w:bookmarkStart w:id="159" w:name="_Toc210807827"/>
      <w:bookmarkStart w:id="160" w:name="_Toc210808786"/>
      <w:bookmarkStart w:id="161" w:name="_Toc210809103"/>
      <w:bookmarkStart w:id="162" w:name="_Toc210806753"/>
      <w:bookmarkStart w:id="163" w:name="_Toc210807125"/>
      <w:bookmarkStart w:id="164" w:name="_Toc210807252"/>
      <w:bookmarkStart w:id="165" w:name="_Toc210807828"/>
      <w:bookmarkStart w:id="166" w:name="_Toc210808787"/>
      <w:bookmarkStart w:id="167" w:name="_Toc210809104"/>
      <w:bookmarkStart w:id="168" w:name="_Toc210806754"/>
      <w:bookmarkStart w:id="169" w:name="_Toc210807126"/>
      <w:bookmarkStart w:id="170" w:name="_Toc210807253"/>
      <w:bookmarkStart w:id="171" w:name="_Toc210807829"/>
      <w:bookmarkStart w:id="172" w:name="_Toc210808788"/>
      <w:bookmarkStart w:id="173" w:name="_Toc210809105"/>
      <w:bookmarkStart w:id="174" w:name="_Toc210806755"/>
      <w:bookmarkStart w:id="175" w:name="_Toc210807127"/>
      <w:bookmarkStart w:id="176" w:name="_Toc210807254"/>
      <w:bookmarkStart w:id="177" w:name="_Toc210807830"/>
      <w:bookmarkStart w:id="178" w:name="_Toc210808789"/>
      <w:bookmarkStart w:id="179" w:name="_Toc210809106"/>
      <w:bookmarkStart w:id="180" w:name="_Toc210806756"/>
      <w:bookmarkStart w:id="181" w:name="_Toc210807128"/>
      <w:bookmarkStart w:id="182" w:name="_Toc210807255"/>
      <w:bookmarkStart w:id="183" w:name="_Toc210807831"/>
      <w:bookmarkStart w:id="184" w:name="_Toc210808790"/>
      <w:bookmarkStart w:id="185" w:name="_Toc210809107"/>
      <w:bookmarkStart w:id="186" w:name="_Toc210806757"/>
      <w:bookmarkStart w:id="187" w:name="_Toc210807129"/>
      <w:bookmarkStart w:id="188" w:name="_Toc210807256"/>
      <w:bookmarkStart w:id="189" w:name="_Toc210807832"/>
      <w:bookmarkStart w:id="190" w:name="_Toc210808791"/>
      <w:bookmarkStart w:id="191" w:name="_Toc210809108"/>
      <w:bookmarkStart w:id="192" w:name="_Toc210806758"/>
      <w:bookmarkStart w:id="193" w:name="_Toc210807130"/>
      <w:bookmarkStart w:id="194" w:name="_Toc210807257"/>
      <w:bookmarkStart w:id="195" w:name="_Toc210807833"/>
      <w:bookmarkStart w:id="196" w:name="_Toc210808792"/>
      <w:bookmarkStart w:id="197" w:name="_Toc210809109"/>
      <w:bookmarkStart w:id="198" w:name="_Toc220507514"/>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6F7AE6">
        <w:lastRenderedPageBreak/>
        <w:t>ANÁLISE ECON</w:t>
      </w:r>
      <w:r w:rsidR="0060643E" w:rsidRPr="005F79AC">
        <w:t>Ó</w:t>
      </w:r>
      <w:r w:rsidRPr="006F7AE6">
        <w:t>MICA</w:t>
      </w:r>
      <w:bookmarkEnd w:id="198"/>
      <w:r w:rsidRPr="006F7AE6">
        <w:t xml:space="preserve"> </w:t>
      </w:r>
    </w:p>
    <w:p w14:paraId="7015CCBC" w14:textId="77777777" w:rsidR="00BF4113" w:rsidRPr="00EB74D9" w:rsidRDefault="00BF4113" w:rsidP="00BF4113">
      <w:pPr>
        <w:spacing w:after="240" w:line="276" w:lineRule="auto"/>
        <w:rPr>
          <w:szCs w:val="20"/>
        </w:rPr>
      </w:pPr>
      <w:r w:rsidRPr="00EB74D9">
        <w:rPr>
          <w:szCs w:val="20"/>
        </w:rPr>
        <w:t>A Análise Económica da cadeia de valor da manga na Guiné-Bissau visa responder a duas questões principais sobre a contribuição da fileira para o crescimento económico desenvolvidas através de nove questões, a saber:</w:t>
      </w:r>
    </w:p>
    <w:tbl>
      <w:tblPr>
        <w:tblStyle w:val="TableGrid"/>
        <w:tblW w:w="0" w:type="auto"/>
        <w:jc w:val="center"/>
        <w:tblLook w:val="04A0" w:firstRow="1" w:lastRow="0" w:firstColumn="1" w:lastColumn="0" w:noHBand="0" w:noVBand="1"/>
      </w:tblPr>
      <w:tblGrid>
        <w:gridCol w:w="6658"/>
      </w:tblGrid>
      <w:tr w:rsidR="00BF4113" w:rsidRPr="00406634" w14:paraId="600A06C5" w14:textId="77777777" w:rsidTr="00486683">
        <w:trPr>
          <w:jc w:val="center"/>
        </w:trPr>
        <w:tc>
          <w:tcPr>
            <w:tcW w:w="6658" w:type="dxa"/>
          </w:tcPr>
          <w:p w14:paraId="0F5C48A7" w14:textId="77777777" w:rsidR="00BF4113" w:rsidRPr="004B6B4A" w:rsidRDefault="00BF4113" w:rsidP="00547483">
            <w:pPr>
              <w:shd w:val="clear" w:color="auto" w:fill="198130"/>
              <w:rPr>
                <w:b/>
                <w:bCs/>
                <w:i/>
                <w:iCs/>
                <w:color w:val="FFFFFF" w:themeColor="background1"/>
                <w:lang w:val="pt-BR"/>
              </w:rPr>
            </w:pPr>
            <w:r w:rsidRPr="004B6B4A">
              <w:rPr>
                <w:b/>
                <w:bCs/>
                <w:i/>
                <w:iCs/>
                <w:color w:val="FFFFFF" w:themeColor="background1"/>
                <w:highlight w:val="darkGreen"/>
                <w:lang w:val="pt-BR"/>
              </w:rPr>
              <w:t xml:space="preserve">1. </w:t>
            </w:r>
            <w:r w:rsidRPr="00FA54E0">
              <w:rPr>
                <w:b/>
                <w:bCs/>
                <w:i/>
                <w:iCs/>
                <w:color w:val="FFFFFF" w:themeColor="background1"/>
                <w:highlight w:val="darkGreen"/>
                <w:shd w:val="clear" w:color="auto" w:fill="336666"/>
                <w:lang w:val="pt-BR"/>
              </w:rPr>
              <w:t>A CV contribui para um crescimento económico?</w:t>
            </w:r>
          </w:p>
          <w:p w14:paraId="625BE7FD" w14:textId="77777777" w:rsidR="00BF4113" w:rsidRPr="00FF573E" w:rsidRDefault="00BF4113" w:rsidP="00486683">
            <w:pPr>
              <w:ind w:left="360"/>
              <w:contextualSpacing/>
              <w:rPr>
                <w:sz w:val="18"/>
                <w:szCs w:val="18"/>
                <w:lang w:val="pt-PT"/>
              </w:rPr>
            </w:pPr>
            <w:r w:rsidRPr="00FF573E">
              <w:rPr>
                <w:sz w:val="18"/>
                <w:szCs w:val="18"/>
                <w:lang w:val="pt-PT"/>
              </w:rPr>
              <w:t>Sustentabilidade para os actores</w:t>
            </w:r>
          </w:p>
          <w:p w14:paraId="7ADFAD06" w14:textId="77777777" w:rsidR="00BF4113" w:rsidRPr="00FF573E" w:rsidRDefault="00BF4113" w:rsidP="00486683">
            <w:pPr>
              <w:ind w:left="360"/>
              <w:contextualSpacing/>
              <w:rPr>
                <w:sz w:val="18"/>
                <w:szCs w:val="20"/>
                <w:lang w:val="pt-PT"/>
              </w:rPr>
            </w:pPr>
            <w:r w:rsidRPr="00FF573E">
              <w:rPr>
                <w:sz w:val="18"/>
                <w:szCs w:val="20"/>
                <w:lang w:val="pt-PT"/>
              </w:rPr>
              <w:t>Contribuição para o crescimento económico (PIB)</w:t>
            </w:r>
          </w:p>
          <w:p w14:paraId="71FDB065" w14:textId="77777777" w:rsidR="00BF4113" w:rsidRPr="00FF573E" w:rsidRDefault="00BF4113" w:rsidP="00486683">
            <w:pPr>
              <w:ind w:left="360"/>
              <w:contextualSpacing/>
              <w:rPr>
                <w:sz w:val="18"/>
                <w:szCs w:val="20"/>
                <w:lang w:val="pt-PT"/>
              </w:rPr>
            </w:pPr>
            <w:r w:rsidRPr="00FF573E">
              <w:rPr>
                <w:sz w:val="18"/>
                <w:szCs w:val="20"/>
                <w:lang w:val="pt-PT"/>
              </w:rPr>
              <w:t>Contribuição para o PIB agrícola</w:t>
            </w:r>
          </w:p>
          <w:p w14:paraId="2C64FE37" w14:textId="77777777" w:rsidR="00BF4113" w:rsidRPr="00FF573E" w:rsidRDefault="00BF4113" w:rsidP="00486683">
            <w:pPr>
              <w:ind w:left="360"/>
              <w:contextualSpacing/>
              <w:rPr>
                <w:sz w:val="18"/>
                <w:szCs w:val="20"/>
                <w:lang w:val="pt-PT"/>
              </w:rPr>
            </w:pPr>
            <w:r w:rsidRPr="00FF573E">
              <w:rPr>
                <w:sz w:val="18"/>
                <w:szCs w:val="20"/>
                <w:lang w:val="pt-PT"/>
              </w:rPr>
              <w:t xml:space="preserve">Contribuição de fundos públicos </w:t>
            </w:r>
          </w:p>
          <w:p w14:paraId="397950A2" w14:textId="77777777" w:rsidR="00BF4113" w:rsidRPr="00FF573E" w:rsidRDefault="00BF4113" w:rsidP="00486683">
            <w:pPr>
              <w:ind w:left="360"/>
              <w:contextualSpacing/>
              <w:rPr>
                <w:sz w:val="18"/>
                <w:szCs w:val="20"/>
                <w:lang w:val="pt-PT"/>
              </w:rPr>
            </w:pPr>
            <w:r w:rsidRPr="00FF573E">
              <w:rPr>
                <w:sz w:val="18"/>
                <w:szCs w:val="20"/>
                <w:lang w:val="pt-PT"/>
              </w:rPr>
              <w:t>Contribuição para a balança comercial e a balança de pagamentos</w:t>
            </w:r>
          </w:p>
          <w:p w14:paraId="7E1729B8" w14:textId="77777777" w:rsidR="00BF4113" w:rsidRPr="00FF573E" w:rsidRDefault="00BF4113" w:rsidP="00486683">
            <w:pPr>
              <w:ind w:left="360"/>
              <w:contextualSpacing/>
              <w:rPr>
                <w:sz w:val="18"/>
                <w:szCs w:val="20"/>
                <w:lang w:val="pt-PT"/>
              </w:rPr>
            </w:pPr>
            <w:r w:rsidRPr="00FF573E">
              <w:rPr>
                <w:sz w:val="18"/>
                <w:szCs w:val="20"/>
                <w:lang w:val="pt-PT"/>
              </w:rPr>
              <w:t>Competitividade no mercado internacional</w:t>
            </w:r>
          </w:p>
          <w:p w14:paraId="59A87400" w14:textId="77777777" w:rsidR="00BF4113" w:rsidRPr="00547483" w:rsidRDefault="00BF4113" w:rsidP="00547483">
            <w:pPr>
              <w:pBdr>
                <w:bottom w:val="single" w:sz="4" w:space="1" w:color="auto"/>
              </w:pBdr>
              <w:shd w:val="clear" w:color="auto" w:fill="198130"/>
              <w:contextualSpacing/>
              <w:rPr>
                <w:b/>
                <w:bCs/>
                <w:i/>
                <w:color w:val="FFFFFF" w:themeColor="background1"/>
                <w:szCs w:val="20"/>
                <w:lang w:val="pt-PT"/>
              </w:rPr>
            </w:pPr>
            <w:r w:rsidRPr="00547483">
              <w:rPr>
                <w:b/>
                <w:bCs/>
                <w:i/>
                <w:color w:val="FFFFFF" w:themeColor="background1"/>
                <w:szCs w:val="20"/>
                <w:highlight w:val="darkGreen"/>
                <w:lang w:val="pt-PT"/>
              </w:rPr>
              <w:t>2. O crescimento económico é inclusivo?</w:t>
            </w:r>
          </w:p>
          <w:p w14:paraId="2E76FD17" w14:textId="77777777" w:rsidR="00BF4113" w:rsidRPr="00FF573E" w:rsidRDefault="00BF4113" w:rsidP="00486683">
            <w:pPr>
              <w:pBdr>
                <w:bottom w:val="single" w:sz="4" w:space="1" w:color="auto"/>
              </w:pBdr>
              <w:ind w:left="596" w:hanging="283"/>
              <w:contextualSpacing/>
              <w:rPr>
                <w:sz w:val="18"/>
                <w:szCs w:val="20"/>
                <w:lang w:val="pt-PT"/>
              </w:rPr>
            </w:pPr>
            <w:r w:rsidRPr="00FF573E">
              <w:rPr>
                <w:sz w:val="18"/>
                <w:szCs w:val="20"/>
                <w:lang w:val="pt-PT"/>
              </w:rPr>
              <w:t xml:space="preserve">Distribuição do </w:t>
            </w:r>
            <w:r>
              <w:rPr>
                <w:sz w:val="18"/>
                <w:szCs w:val="20"/>
                <w:lang w:val="pt-PT"/>
              </w:rPr>
              <w:t>lucr</w:t>
            </w:r>
            <w:r w:rsidRPr="00FF573E">
              <w:rPr>
                <w:sz w:val="18"/>
                <w:szCs w:val="20"/>
                <w:lang w:val="pt-PT"/>
              </w:rPr>
              <w:t xml:space="preserve">o entre os actores </w:t>
            </w:r>
          </w:p>
          <w:p w14:paraId="25D83413" w14:textId="77777777" w:rsidR="00BF4113" w:rsidRPr="00FF573E" w:rsidRDefault="00BF4113" w:rsidP="00486683">
            <w:pPr>
              <w:pBdr>
                <w:bottom w:val="single" w:sz="4" w:space="1" w:color="auto"/>
              </w:pBdr>
              <w:ind w:left="596" w:hanging="283"/>
              <w:contextualSpacing/>
              <w:rPr>
                <w:sz w:val="18"/>
                <w:szCs w:val="20"/>
                <w:lang w:val="pt-PT"/>
              </w:rPr>
            </w:pPr>
            <w:r w:rsidRPr="00FF573E">
              <w:rPr>
                <w:sz w:val="18"/>
                <w:szCs w:val="20"/>
                <w:lang w:val="pt-PT"/>
              </w:rPr>
              <w:t xml:space="preserve">Impacte da governação na distribuição do </w:t>
            </w:r>
            <w:r>
              <w:rPr>
                <w:sz w:val="18"/>
                <w:szCs w:val="20"/>
                <w:lang w:val="pt-PT"/>
              </w:rPr>
              <w:t>lucro</w:t>
            </w:r>
          </w:p>
          <w:p w14:paraId="725272C6" w14:textId="77777777" w:rsidR="00BF4113" w:rsidRPr="00FF573E" w:rsidRDefault="00BF4113" w:rsidP="00486683">
            <w:pPr>
              <w:pBdr>
                <w:bottom w:val="single" w:sz="4" w:space="1" w:color="auto"/>
              </w:pBdr>
              <w:ind w:left="596" w:hanging="283"/>
            </w:pPr>
            <w:proofErr w:type="spellStart"/>
            <w:r w:rsidRPr="00FF573E">
              <w:rPr>
                <w:sz w:val="18"/>
                <w:szCs w:val="20"/>
              </w:rPr>
              <w:t>Distribuição</w:t>
            </w:r>
            <w:proofErr w:type="spellEnd"/>
            <w:r w:rsidRPr="00FF573E">
              <w:rPr>
                <w:sz w:val="18"/>
                <w:szCs w:val="20"/>
              </w:rPr>
              <w:t xml:space="preserve"> do </w:t>
            </w:r>
            <w:proofErr w:type="spellStart"/>
            <w:r w:rsidRPr="00FF573E">
              <w:rPr>
                <w:sz w:val="18"/>
                <w:szCs w:val="20"/>
              </w:rPr>
              <w:t>emprego</w:t>
            </w:r>
            <w:proofErr w:type="spellEnd"/>
            <w:r w:rsidRPr="00FF573E">
              <w:rPr>
                <w:sz w:val="18"/>
                <w:szCs w:val="20"/>
              </w:rPr>
              <w:t xml:space="preserve"> </w:t>
            </w:r>
          </w:p>
        </w:tc>
      </w:tr>
    </w:tbl>
    <w:p w14:paraId="7BB2A288" w14:textId="06D2936C" w:rsidR="00BF4113" w:rsidRPr="004A723E" w:rsidRDefault="00BF4113" w:rsidP="00BF4113">
      <w:pPr>
        <w:ind w:right="990"/>
        <w:jc w:val="center"/>
        <w:rPr>
          <w:bCs/>
          <w:i/>
          <w:iCs/>
          <w:sz w:val="18"/>
          <w:szCs w:val="18"/>
        </w:rPr>
      </w:pPr>
      <w:r w:rsidRPr="00C57356">
        <w:rPr>
          <w:b/>
          <w:sz w:val="16"/>
          <w:szCs w:val="16"/>
          <w:lang w:val="en-US"/>
        </w:rPr>
        <w:t xml:space="preserve">                             </w:t>
      </w:r>
      <w:r w:rsidRPr="00C57356">
        <w:rPr>
          <w:bCs/>
          <w:i/>
          <w:iCs/>
          <w:sz w:val="18"/>
          <w:szCs w:val="18"/>
          <w:lang w:val="en-US"/>
        </w:rPr>
        <w:t xml:space="preserve">Fonte: Agrinatura, 2017. Value chain analysis for development (VCA4D). </w:t>
      </w:r>
      <w:r w:rsidRPr="004A723E">
        <w:rPr>
          <w:bCs/>
          <w:i/>
          <w:iCs/>
          <w:sz w:val="18"/>
          <w:szCs w:val="18"/>
        </w:rPr>
        <w:t>Methodological Brief – Frame and Tools</w:t>
      </w:r>
    </w:p>
    <w:p w14:paraId="0F123BFD" w14:textId="5ECC082B" w:rsidR="00BF4113" w:rsidRPr="004B6B4A" w:rsidRDefault="00BF4113" w:rsidP="00815270">
      <w:pPr>
        <w:pStyle w:val="Heading2"/>
        <w:numPr>
          <w:ilvl w:val="1"/>
          <w:numId w:val="42"/>
        </w:numPr>
      </w:pPr>
      <w:bookmarkStart w:id="199" w:name="_Toc220507515"/>
      <w:r w:rsidRPr="004B6B4A">
        <w:t>Atores e fluxos para análise econômica</w:t>
      </w:r>
      <w:bookmarkEnd w:id="199"/>
    </w:p>
    <w:p w14:paraId="72949674" w14:textId="3DA8C0BE" w:rsidR="00600CFD" w:rsidRDefault="00BF4113" w:rsidP="00EC4101">
      <w:pPr>
        <w:spacing w:after="240" w:line="240" w:lineRule="auto"/>
        <w:rPr>
          <w:rFonts w:eastAsia="Times New Roman" w:cs="Calibri"/>
          <w:bCs/>
          <w:szCs w:val="20"/>
        </w:rPr>
      </w:pPr>
      <w:r w:rsidRPr="00D47265">
        <w:rPr>
          <w:rFonts w:eastAsia="Times New Roman" w:cs="Calibri"/>
          <w:bCs/>
          <w:szCs w:val="20"/>
        </w:rPr>
        <w:t>A cadeia de valor da manga manteve-se substancialmente inalterávelestável desde o estudo de 2017, com a única novidade que é</w:t>
      </w:r>
      <w:r>
        <w:rPr>
          <w:rFonts w:eastAsia="Times New Roman" w:cs="Calibri"/>
          <w:bCs/>
          <w:szCs w:val="20"/>
        </w:rPr>
        <w:t xml:space="preserve"> </w:t>
      </w:r>
      <w:r w:rsidRPr="00D47265">
        <w:rPr>
          <w:rFonts w:eastAsia="Times New Roman" w:cs="Calibri"/>
          <w:bCs/>
          <w:szCs w:val="20"/>
        </w:rPr>
        <w:t xml:space="preserve">relevante sendo o surgimento, ainda embrionário, de actividades dea transformação agro-industrial conduzida por microtransformadores (mulheres) nas três regiões principais. Esta evolução abriu mercado para comercialização também de produtos transformados, além da comercialização da manga fresca que continua, ainda assim, ser de longe a principal forma de comercialização. </w:t>
      </w:r>
      <w:r>
        <w:rPr>
          <w:rFonts w:eastAsia="Times New Roman" w:cs="Calibri"/>
          <w:bCs/>
          <w:szCs w:val="20"/>
        </w:rPr>
        <w:t>D</w:t>
      </w:r>
      <w:r w:rsidRPr="00D47265">
        <w:rPr>
          <w:rFonts w:eastAsia="Times New Roman" w:cs="Calibri"/>
          <w:bCs/>
          <w:szCs w:val="20"/>
        </w:rPr>
        <w:t>e resto, as bases da análise econômica permanecem inalteradas.</w:t>
      </w:r>
    </w:p>
    <w:p w14:paraId="083782D4" w14:textId="5567C81A" w:rsidR="00600CFD" w:rsidRPr="00600CFD" w:rsidRDefault="00600CFD" w:rsidP="00E042D7">
      <w:pPr>
        <w:pStyle w:val="Heading3"/>
        <w:numPr>
          <w:ilvl w:val="2"/>
          <w:numId w:val="36"/>
        </w:numPr>
        <w:rPr>
          <w:color w:val="77206D" w:themeColor="accent5" w:themeShade="BF"/>
        </w:rPr>
      </w:pPr>
      <w:bookmarkStart w:id="200" w:name="_Toc220507516"/>
      <w:r w:rsidRPr="00BF4113">
        <w:t>Principais componentes da fileira</w:t>
      </w:r>
      <w:bookmarkEnd w:id="200"/>
      <w:r w:rsidRPr="00D47265">
        <w:tab/>
      </w:r>
    </w:p>
    <w:p w14:paraId="622BD6A9" w14:textId="495CCD29" w:rsidR="00BF4113" w:rsidRPr="00377BC6" w:rsidRDefault="00BF4113" w:rsidP="00BF4113">
      <w:pPr>
        <w:spacing w:after="0" w:line="240" w:lineRule="auto"/>
        <w:rPr>
          <w:rFonts w:eastAsia="Times New Roman" w:cs="Calibri"/>
          <w:bCs/>
          <w:szCs w:val="20"/>
        </w:rPr>
      </w:pPr>
      <w:r w:rsidRPr="00377BC6">
        <w:rPr>
          <w:rFonts w:eastAsia="Times New Roman" w:cs="Calibri"/>
          <w:bCs/>
          <w:szCs w:val="20"/>
        </w:rPr>
        <w:t xml:space="preserve">A cadeia de valor da manga na Guiné-Bissau abrange a produção primária de variedades locais e melhoradas, com diferentes destinos comerciais. Entre as variedades locais, destaca-se a </w:t>
      </w:r>
      <w:r w:rsidRPr="00377BC6">
        <w:rPr>
          <w:rFonts w:eastAsia="Times New Roman" w:cs="Calibri"/>
          <w:szCs w:val="20"/>
        </w:rPr>
        <w:t>manga de faca (Colasso)</w:t>
      </w:r>
      <w:r w:rsidRPr="00377BC6">
        <w:rPr>
          <w:rFonts w:eastAsia="Times New Roman" w:cs="Calibri"/>
          <w:bCs/>
          <w:szCs w:val="20"/>
        </w:rPr>
        <w:t xml:space="preserve">, valorizada pelo seu sabor e pelo preço mais elevado nos mercados internos. As demais variedades locais são igualmente comercializadas a nível nacional, sobretudo em mercados regionais e feiras </w:t>
      </w:r>
      <w:r>
        <w:rPr>
          <w:rFonts w:eastAsia="Times New Roman" w:cs="Calibri"/>
          <w:bCs/>
          <w:szCs w:val="20"/>
        </w:rPr>
        <w:t>rurais (</w:t>
      </w:r>
      <w:r w:rsidRPr="005B544D">
        <w:rPr>
          <w:rFonts w:eastAsia="Times New Roman" w:cs="Calibri"/>
          <w:bCs/>
          <w:i/>
          <w:iCs/>
          <w:szCs w:val="20"/>
        </w:rPr>
        <w:t>lumos</w:t>
      </w:r>
      <w:r>
        <w:rPr>
          <w:rFonts w:eastAsia="Times New Roman" w:cs="Calibri"/>
          <w:bCs/>
          <w:szCs w:val="20"/>
        </w:rPr>
        <w:t>)</w:t>
      </w:r>
      <w:r w:rsidRPr="00377BC6">
        <w:rPr>
          <w:rFonts w:eastAsia="Times New Roman" w:cs="Calibri"/>
          <w:bCs/>
          <w:szCs w:val="20"/>
        </w:rPr>
        <w:t>.</w:t>
      </w:r>
    </w:p>
    <w:p w14:paraId="46D6F1E7" w14:textId="77777777" w:rsidR="00BF4113" w:rsidRPr="00377BC6" w:rsidRDefault="00BF4113" w:rsidP="00BF4113">
      <w:pPr>
        <w:spacing w:after="0" w:line="240" w:lineRule="auto"/>
        <w:rPr>
          <w:rFonts w:eastAsia="Times New Roman" w:cs="Calibri"/>
          <w:bCs/>
          <w:szCs w:val="20"/>
        </w:rPr>
      </w:pPr>
      <w:r w:rsidRPr="00377BC6">
        <w:rPr>
          <w:rFonts w:eastAsia="Times New Roman" w:cs="Calibri"/>
          <w:bCs/>
          <w:szCs w:val="20"/>
        </w:rPr>
        <w:t xml:space="preserve">As </w:t>
      </w:r>
      <w:r w:rsidRPr="00377BC6">
        <w:rPr>
          <w:rFonts w:eastAsia="Times New Roman" w:cs="Calibri"/>
          <w:szCs w:val="20"/>
        </w:rPr>
        <w:t>variedades melhoradas</w:t>
      </w:r>
      <w:r w:rsidRPr="00377BC6">
        <w:rPr>
          <w:rFonts w:eastAsia="Times New Roman" w:cs="Calibri"/>
          <w:bCs/>
          <w:szCs w:val="20"/>
        </w:rPr>
        <w:t xml:space="preserve"> — </w:t>
      </w:r>
      <w:r w:rsidRPr="00377BC6">
        <w:rPr>
          <w:rFonts w:eastAsia="Times New Roman" w:cs="Calibri"/>
          <w:szCs w:val="20"/>
        </w:rPr>
        <w:t>Kent, Keitt e Tommy</w:t>
      </w:r>
      <w:r w:rsidRPr="00377BC6">
        <w:rPr>
          <w:rFonts w:eastAsia="Times New Roman" w:cs="Calibri"/>
          <w:bCs/>
          <w:szCs w:val="20"/>
        </w:rPr>
        <w:t xml:space="preserve"> — foram introduzidas com o objetivo de atender aos </w:t>
      </w:r>
      <w:r w:rsidRPr="00377BC6">
        <w:rPr>
          <w:rFonts w:eastAsia="Times New Roman" w:cs="Calibri"/>
          <w:szCs w:val="20"/>
        </w:rPr>
        <w:t>mercados de exportação mais exigentes</w:t>
      </w:r>
      <w:r w:rsidRPr="00377BC6">
        <w:rPr>
          <w:rFonts w:eastAsia="Times New Roman" w:cs="Calibri"/>
          <w:bCs/>
          <w:szCs w:val="20"/>
        </w:rPr>
        <w:t xml:space="preserve">, embora também sejam vendidas no mercado interno. Estas permanecem predominantes nos </w:t>
      </w:r>
      <w:r w:rsidRPr="00377BC6">
        <w:rPr>
          <w:rFonts w:eastAsia="Times New Roman" w:cs="Calibri"/>
          <w:szCs w:val="20"/>
        </w:rPr>
        <w:t>pomares de grandes e médios produtores</w:t>
      </w:r>
      <w:r w:rsidRPr="00377BC6">
        <w:rPr>
          <w:rFonts w:eastAsia="Times New Roman" w:cs="Calibri"/>
          <w:bCs/>
          <w:szCs w:val="20"/>
        </w:rPr>
        <w:t>, que representam o segmento mais orientado à exportação e à produção em escala.</w:t>
      </w:r>
    </w:p>
    <w:p w14:paraId="3F0B02F6" w14:textId="77777777" w:rsidR="00BF4113" w:rsidRPr="00D47265" w:rsidRDefault="00BF4113" w:rsidP="00BF4113">
      <w:pPr>
        <w:spacing w:after="0" w:line="240" w:lineRule="auto"/>
        <w:rPr>
          <w:rFonts w:eastAsia="Times New Roman" w:cs="Calibri"/>
          <w:bCs/>
          <w:szCs w:val="20"/>
        </w:rPr>
      </w:pPr>
    </w:p>
    <w:p w14:paraId="247D5B41" w14:textId="77777777" w:rsidR="00BF4113" w:rsidRPr="005B544D" w:rsidRDefault="00BF4113" w:rsidP="00BF4113">
      <w:pPr>
        <w:spacing w:after="0" w:line="240" w:lineRule="auto"/>
        <w:rPr>
          <w:rFonts w:eastAsia="Times New Roman" w:cs="Calibri"/>
          <w:bCs/>
          <w:szCs w:val="20"/>
        </w:rPr>
      </w:pPr>
      <w:r w:rsidRPr="00FC0DDC">
        <w:rPr>
          <w:rFonts w:eastAsia="Times New Roman" w:cs="Calibri"/>
          <w:bCs/>
          <w:szCs w:val="20"/>
        </w:rPr>
        <w:t>Praticamente toda a produção nacional de manga é comercializada em estado fresco, sendo a colheita e o transporte realizados, em grande parte, por mulheres, que utilizam veículos de transporte de passageiros para levar a fruta até aos lumos locais e aos mercados de Bissau, o principal centro de consumo e distribuição do país</w:t>
      </w:r>
      <w:r w:rsidRPr="005B544D">
        <w:rPr>
          <w:rFonts w:eastAsia="Times New Roman" w:cs="Calibri"/>
          <w:bCs/>
          <w:szCs w:val="20"/>
        </w:rPr>
        <w:t>.</w:t>
      </w:r>
    </w:p>
    <w:p w14:paraId="782295D1" w14:textId="77777777" w:rsidR="00BF4113" w:rsidRPr="00D47265" w:rsidRDefault="00BF4113" w:rsidP="00BF4113">
      <w:pPr>
        <w:spacing w:after="0" w:line="240" w:lineRule="auto"/>
        <w:rPr>
          <w:rFonts w:eastAsia="Times New Roman" w:cs="Calibri"/>
          <w:bCs/>
          <w:szCs w:val="20"/>
        </w:rPr>
      </w:pPr>
      <w:r w:rsidRPr="00D47265">
        <w:rPr>
          <w:rFonts w:eastAsia="Times New Roman" w:cs="Calibri"/>
          <w:bCs/>
          <w:szCs w:val="20"/>
        </w:rPr>
        <w:tab/>
      </w:r>
    </w:p>
    <w:p w14:paraId="61DA5E85" w14:textId="77777777" w:rsidR="00BF4113" w:rsidRPr="00D47265" w:rsidRDefault="00BF4113" w:rsidP="00BF4113">
      <w:pPr>
        <w:spacing w:after="0" w:line="240" w:lineRule="auto"/>
        <w:rPr>
          <w:rFonts w:eastAsia="Times New Roman" w:cs="Calibri"/>
          <w:bCs/>
          <w:szCs w:val="20"/>
        </w:rPr>
      </w:pPr>
      <w:r w:rsidRPr="00D47265">
        <w:rPr>
          <w:rFonts w:eastAsia="Times New Roman" w:cs="Calibri"/>
          <w:bCs/>
          <w:szCs w:val="20"/>
        </w:rPr>
        <w:t>Existem quatro perfis de produtores: grandes, médios, pequenos e familiares.</w:t>
      </w:r>
    </w:p>
    <w:p w14:paraId="11690E3A" w14:textId="77777777" w:rsidR="00BF4113" w:rsidRPr="00D47265" w:rsidRDefault="00BF4113" w:rsidP="00BF4113">
      <w:pPr>
        <w:spacing w:after="0" w:line="240" w:lineRule="auto"/>
        <w:rPr>
          <w:rFonts w:eastAsia="Times New Roman" w:cs="Calibri"/>
          <w:bCs/>
          <w:szCs w:val="20"/>
        </w:rPr>
      </w:pPr>
      <w:r w:rsidRPr="00D47265">
        <w:rPr>
          <w:rFonts w:eastAsia="Times New Roman" w:cs="Calibri"/>
          <w:bCs/>
          <w:szCs w:val="20"/>
        </w:rPr>
        <w:tab/>
      </w:r>
    </w:p>
    <w:p w14:paraId="06538EDB" w14:textId="77777777" w:rsidR="00BF4113" w:rsidRPr="00D47265" w:rsidRDefault="00BF4113" w:rsidP="00BF4113">
      <w:pPr>
        <w:spacing w:after="0" w:line="240" w:lineRule="auto"/>
        <w:rPr>
          <w:rFonts w:eastAsia="Times New Roman" w:cs="Calibri"/>
          <w:bCs/>
          <w:szCs w:val="20"/>
        </w:rPr>
      </w:pPr>
      <w:r w:rsidRPr="00D47265">
        <w:rPr>
          <w:rFonts w:eastAsia="Times New Roman" w:cs="Calibri"/>
          <w:bCs/>
          <w:szCs w:val="20"/>
        </w:rPr>
        <w:t>Quatro categorias de intermediários que atuam informalmente: - retalhistas locais, semi-grossistas que abastecem Bissau, retalhistas em Bissau e exportadores informais.</w:t>
      </w:r>
    </w:p>
    <w:p w14:paraId="4E9C1B7C" w14:textId="77777777" w:rsidR="00BF4113" w:rsidRPr="00D47265" w:rsidRDefault="00BF4113" w:rsidP="00BF4113">
      <w:pPr>
        <w:spacing w:after="0" w:line="240" w:lineRule="auto"/>
        <w:rPr>
          <w:rFonts w:eastAsia="Times New Roman" w:cs="Calibri"/>
          <w:bCs/>
          <w:szCs w:val="20"/>
        </w:rPr>
      </w:pPr>
      <w:r w:rsidRPr="00D47265">
        <w:rPr>
          <w:rFonts w:eastAsia="Times New Roman" w:cs="Calibri"/>
          <w:bCs/>
          <w:szCs w:val="20"/>
        </w:rPr>
        <w:tab/>
      </w:r>
    </w:p>
    <w:p w14:paraId="55D7392A" w14:textId="77777777" w:rsidR="00BF4113" w:rsidRPr="00D47265" w:rsidRDefault="00BF4113" w:rsidP="00BF4113">
      <w:pPr>
        <w:spacing w:after="0" w:line="240" w:lineRule="auto"/>
        <w:rPr>
          <w:rFonts w:eastAsia="Times New Roman" w:cs="Calibri"/>
          <w:bCs/>
          <w:szCs w:val="20"/>
        </w:rPr>
      </w:pPr>
      <w:r w:rsidRPr="00D47265">
        <w:rPr>
          <w:rFonts w:eastAsia="Times New Roman" w:cs="Calibri"/>
          <w:bCs/>
          <w:szCs w:val="20"/>
        </w:rPr>
        <w:t>Destinos da produção:</w:t>
      </w:r>
    </w:p>
    <w:p w14:paraId="3CB8E749" w14:textId="77777777" w:rsidR="00BF4113" w:rsidRPr="00D47265" w:rsidRDefault="00BF4113" w:rsidP="00E042D7">
      <w:pPr>
        <w:pStyle w:val="ListParagraph"/>
        <w:numPr>
          <w:ilvl w:val="0"/>
          <w:numId w:val="43"/>
        </w:numPr>
        <w:spacing w:after="0" w:line="240" w:lineRule="auto"/>
        <w:rPr>
          <w:rFonts w:eastAsia="Times New Roman" w:cs="Calibri"/>
          <w:bCs/>
          <w:szCs w:val="20"/>
        </w:rPr>
      </w:pPr>
      <w:r w:rsidRPr="00D47265">
        <w:rPr>
          <w:rFonts w:eastAsia="Times New Roman" w:cs="Calibri"/>
          <w:bCs/>
          <w:szCs w:val="20"/>
        </w:rPr>
        <w:t>Autoconsumo (Fração mínima)</w:t>
      </w:r>
    </w:p>
    <w:p w14:paraId="1C8DABFF" w14:textId="77777777" w:rsidR="00BF4113" w:rsidRPr="00D47265" w:rsidRDefault="00BF4113" w:rsidP="00E042D7">
      <w:pPr>
        <w:pStyle w:val="ListParagraph"/>
        <w:numPr>
          <w:ilvl w:val="0"/>
          <w:numId w:val="43"/>
        </w:numPr>
        <w:spacing w:after="0" w:line="240" w:lineRule="auto"/>
        <w:rPr>
          <w:rFonts w:eastAsia="Times New Roman" w:cs="Calibri"/>
          <w:bCs/>
          <w:szCs w:val="20"/>
        </w:rPr>
      </w:pPr>
      <w:r w:rsidRPr="00D47265">
        <w:rPr>
          <w:rFonts w:eastAsia="Times New Roman" w:cs="Calibri"/>
          <w:bCs/>
          <w:szCs w:val="20"/>
        </w:rPr>
        <w:t>Comercialização nos mercados locais e central (Maior parcela)</w:t>
      </w:r>
    </w:p>
    <w:p w14:paraId="020C0C43" w14:textId="77777777" w:rsidR="00BF4113" w:rsidRPr="00D47265" w:rsidRDefault="00BF4113" w:rsidP="00E042D7">
      <w:pPr>
        <w:pStyle w:val="ListParagraph"/>
        <w:numPr>
          <w:ilvl w:val="0"/>
          <w:numId w:val="43"/>
        </w:numPr>
        <w:spacing w:after="0" w:line="240" w:lineRule="auto"/>
        <w:rPr>
          <w:rFonts w:eastAsia="Times New Roman" w:cs="Calibri"/>
          <w:bCs/>
          <w:szCs w:val="20"/>
        </w:rPr>
      </w:pPr>
      <w:r w:rsidRPr="00D47265">
        <w:rPr>
          <w:rFonts w:eastAsia="Times New Roman" w:cs="Calibri"/>
          <w:bCs/>
          <w:szCs w:val="20"/>
        </w:rPr>
        <w:t>Transformação em sumos, compotas, outros (residual)</w:t>
      </w:r>
    </w:p>
    <w:p w14:paraId="233F29C7" w14:textId="77777777" w:rsidR="00BF4113" w:rsidRPr="00D47265" w:rsidRDefault="00BF4113" w:rsidP="00E042D7">
      <w:pPr>
        <w:pStyle w:val="ListParagraph"/>
        <w:numPr>
          <w:ilvl w:val="0"/>
          <w:numId w:val="43"/>
        </w:numPr>
        <w:spacing w:after="0" w:line="240" w:lineRule="auto"/>
        <w:rPr>
          <w:rFonts w:eastAsia="Times New Roman" w:cs="Calibri"/>
          <w:bCs/>
          <w:szCs w:val="20"/>
        </w:rPr>
      </w:pPr>
      <w:r w:rsidRPr="00D47265">
        <w:rPr>
          <w:rFonts w:eastAsia="Times New Roman" w:cs="Calibri"/>
          <w:bCs/>
          <w:szCs w:val="20"/>
        </w:rPr>
        <w:t>Exportação para o Senegal (residual)</w:t>
      </w:r>
    </w:p>
    <w:p w14:paraId="49327D0E" w14:textId="77777777" w:rsidR="00BF4113" w:rsidRPr="00D47265" w:rsidRDefault="00BF4113" w:rsidP="00E042D7">
      <w:pPr>
        <w:pStyle w:val="ListParagraph"/>
        <w:numPr>
          <w:ilvl w:val="0"/>
          <w:numId w:val="43"/>
        </w:numPr>
        <w:spacing w:after="0" w:line="240" w:lineRule="auto"/>
        <w:rPr>
          <w:rFonts w:eastAsia="Times New Roman" w:cs="Calibri"/>
          <w:bCs/>
          <w:szCs w:val="20"/>
        </w:rPr>
      </w:pPr>
      <w:r w:rsidRPr="00D47265">
        <w:rPr>
          <w:rFonts w:eastAsia="Times New Roman" w:cs="Calibri"/>
          <w:bCs/>
          <w:szCs w:val="20"/>
        </w:rPr>
        <w:t>Microiniciativas de transformação agroindustrial nas três regiões.</w:t>
      </w:r>
    </w:p>
    <w:p w14:paraId="30F450B0" w14:textId="77777777" w:rsidR="00BF4113" w:rsidRPr="00D47265" w:rsidRDefault="00BF4113" w:rsidP="00BF4113">
      <w:pPr>
        <w:spacing w:after="0" w:line="240" w:lineRule="auto"/>
        <w:rPr>
          <w:rFonts w:eastAsia="Times New Roman" w:cs="Calibri"/>
          <w:bCs/>
          <w:szCs w:val="20"/>
        </w:rPr>
      </w:pPr>
    </w:p>
    <w:p w14:paraId="27C8382C" w14:textId="77777777" w:rsidR="00BF4113" w:rsidRPr="00D47265" w:rsidRDefault="00BF4113" w:rsidP="00BF4113">
      <w:pPr>
        <w:spacing w:after="0" w:line="240" w:lineRule="auto"/>
        <w:rPr>
          <w:rFonts w:eastAsia="Times New Roman" w:cs="Calibri"/>
          <w:bCs/>
          <w:szCs w:val="20"/>
        </w:rPr>
      </w:pPr>
      <w:r w:rsidRPr="00D47265">
        <w:rPr>
          <w:rFonts w:eastAsia="Times New Roman" w:cs="Calibri"/>
          <w:bCs/>
          <w:szCs w:val="20"/>
        </w:rPr>
        <w:t>As análises realizadas revelam ainda que:</w:t>
      </w:r>
    </w:p>
    <w:p w14:paraId="471FA75B" w14:textId="77777777" w:rsidR="00BF4113" w:rsidRPr="00D47265" w:rsidRDefault="00BF4113" w:rsidP="00E042D7">
      <w:pPr>
        <w:pStyle w:val="ListParagraph"/>
        <w:numPr>
          <w:ilvl w:val="0"/>
          <w:numId w:val="44"/>
        </w:numPr>
        <w:spacing w:after="0" w:line="240" w:lineRule="auto"/>
        <w:rPr>
          <w:rFonts w:eastAsia="Times New Roman" w:cs="Calibri"/>
          <w:bCs/>
          <w:szCs w:val="20"/>
        </w:rPr>
      </w:pPr>
      <w:r w:rsidRPr="00D47265">
        <w:rPr>
          <w:rFonts w:eastAsia="Times New Roman" w:cs="Calibri"/>
          <w:bCs/>
          <w:szCs w:val="20"/>
        </w:rPr>
        <w:t>As estruturas de custo são calculadas com base em informações informais fornecidas pelos produtores, sem registos confiáveis</w:t>
      </w:r>
    </w:p>
    <w:p w14:paraId="246430D1" w14:textId="77777777" w:rsidR="00BF4113" w:rsidRPr="00D47265" w:rsidRDefault="00BF4113" w:rsidP="00E042D7">
      <w:pPr>
        <w:pStyle w:val="ListParagraph"/>
        <w:numPr>
          <w:ilvl w:val="0"/>
          <w:numId w:val="44"/>
        </w:numPr>
        <w:spacing w:after="0" w:line="240" w:lineRule="auto"/>
        <w:rPr>
          <w:rFonts w:eastAsia="Times New Roman" w:cs="Calibri"/>
          <w:bCs/>
          <w:szCs w:val="20"/>
        </w:rPr>
      </w:pPr>
      <w:r w:rsidRPr="00D47265">
        <w:rPr>
          <w:rFonts w:eastAsia="Times New Roman" w:cs="Calibri"/>
          <w:bCs/>
          <w:szCs w:val="20"/>
        </w:rPr>
        <w:t>Estrutura de custos da produção praticamente inalterada, espelhando um padrão de subsistência com pouca formalização financeira e escassa adoção de práticas contablisticas ou investimentos externos</w:t>
      </w:r>
    </w:p>
    <w:p w14:paraId="32B184D6" w14:textId="77777777" w:rsidR="00BF4113" w:rsidRPr="00D47265" w:rsidRDefault="00BF4113" w:rsidP="00E042D7">
      <w:pPr>
        <w:pStyle w:val="ListParagraph"/>
        <w:numPr>
          <w:ilvl w:val="0"/>
          <w:numId w:val="44"/>
        </w:numPr>
        <w:spacing w:after="0" w:line="240" w:lineRule="auto"/>
        <w:rPr>
          <w:rFonts w:eastAsia="Times New Roman" w:cs="Calibri"/>
          <w:bCs/>
          <w:szCs w:val="20"/>
        </w:rPr>
      </w:pPr>
      <w:r w:rsidRPr="00D47265">
        <w:rPr>
          <w:rFonts w:eastAsia="Times New Roman" w:cs="Calibri"/>
          <w:bCs/>
          <w:szCs w:val="20"/>
        </w:rPr>
        <w:t>Nenhum produtor incorpora em seus cálculos o custo da terra e da mão de obra familiar. Apenas os grandes produtores incorporam parcialmente os custos da mão-de-obra sazonal e assalariada, itens que representam apenas uma parcela do esforço produtivo</w:t>
      </w:r>
    </w:p>
    <w:p w14:paraId="7E58FB38" w14:textId="154D875F" w:rsidR="00BF4113" w:rsidRPr="00FC0DDC" w:rsidRDefault="00BF4113" w:rsidP="00E042D7">
      <w:pPr>
        <w:pStyle w:val="ListParagraph"/>
        <w:numPr>
          <w:ilvl w:val="0"/>
          <w:numId w:val="44"/>
        </w:numPr>
        <w:spacing w:after="0" w:line="240" w:lineRule="auto"/>
        <w:rPr>
          <w:rFonts w:eastAsia="Times New Roman" w:cs="Calibri"/>
          <w:bCs/>
          <w:szCs w:val="20"/>
        </w:rPr>
      </w:pPr>
      <w:r w:rsidRPr="00D47265">
        <w:rPr>
          <w:rFonts w:eastAsia="Times New Roman" w:cs="Calibri"/>
          <w:bCs/>
          <w:szCs w:val="20"/>
        </w:rPr>
        <w:t xml:space="preserve">As estruturas de custo são, no essencial, elementares e simplificadas, refletindo a ausência de insumos importados ou de processos agroindustriais mais completos. </w:t>
      </w:r>
    </w:p>
    <w:p w14:paraId="36AA8862" w14:textId="0F13A227" w:rsidR="00BF4113" w:rsidRPr="00BF4113" w:rsidRDefault="00BF4113" w:rsidP="00E042D7">
      <w:pPr>
        <w:pStyle w:val="Heading3"/>
        <w:numPr>
          <w:ilvl w:val="2"/>
          <w:numId w:val="36"/>
        </w:numPr>
      </w:pPr>
      <w:bookmarkStart w:id="201" w:name="_Toc220507517"/>
      <w:r w:rsidRPr="00BF4113">
        <w:t>Informações econômicas</w:t>
      </w:r>
      <w:bookmarkEnd w:id="201"/>
    </w:p>
    <w:p w14:paraId="473EE6CD" w14:textId="77777777" w:rsidR="00BF4113" w:rsidRPr="007E147D" w:rsidRDefault="00BF4113" w:rsidP="00BF4113">
      <w:pPr>
        <w:spacing w:after="240" w:line="240" w:lineRule="auto"/>
        <w:rPr>
          <w:rFonts w:eastAsia="Times New Roman" w:cs="Calibri"/>
          <w:bCs/>
          <w:szCs w:val="20"/>
        </w:rPr>
      </w:pPr>
      <w:r w:rsidRPr="007E147D">
        <w:rPr>
          <w:rFonts w:eastAsia="Times New Roman" w:cs="Calibri"/>
          <w:bCs/>
          <w:szCs w:val="20"/>
        </w:rPr>
        <w:t>A falta de informações e dados fiáveis constitui uma das maiores restrições à análise económica económico. Para contornar a situação fez-se recurso às informações primárias recolhida nas visitas de campo e aos pareceres de especialistas, resultando em estimativas feitas com base em algumas referências de estudos antigos e cálculos. Os cálculos de produção e de produtividades (ton/ha), integraram informações diversas de diferentes fontes e a assunção de alguns prossupostos técnicos no contexto em que a cultura da manga é feita na Guiné-Bissau pelos principais actores.</w:t>
      </w:r>
    </w:p>
    <w:p w14:paraId="53292016" w14:textId="3444826A" w:rsidR="00BF4113" w:rsidRPr="007E147D" w:rsidRDefault="00BF4113" w:rsidP="00BF4113">
      <w:pPr>
        <w:spacing w:after="240" w:line="240" w:lineRule="auto"/>
        <w:rPr>
          <w:rFonts w:eastAsia="Times New Roman" w:cs="Calibri"/>
          <w:bCs/>
          <w:szCs w:val="20"/>
        </w:rPr>
      </w:pPr>
      <w:r w:rsidRPr="007E147D">
        <w:rPr>
          <w:rFonts w:eastAsia="Times New Roman" w:cs="Calibri"/>
          <w:bCs/>
          <w:szCs w:val="20"/>
        </w:rPr>
        <w:t xml:space="preserve">Os preços internos das mangas exportáveis locais são geralmente baixos, mas, nos últimos anos têm vindo a valorizar-se, influenciado pelo alto </w:t>
      </w:r>
      <w:r w:rsidR="00FC0DDC" w:rsidRPr="007E147D">
        <w:rPr>
          <w:rFonts w:eastAsia="Times New Roman" w:cs="Calibri"/>
          <w:bCs/>
          <w:szCs w:val="20"/>
        </w:rPr>
        <w:t>preço da</w:t>
      </w:r>
      <w:r w:rsidRPr="007E147D">
        <w:rPr>
          <w:rFonts w:eastAsia="Times New Roman" w:cs="Calibri"/>
          <w:bCs/>
          <w:szCs w:val="20"/>
        </w:rPr>
        <w:t xml:space="preserve"> manga de faca” cujo valor de mercado é mais elevado. No entanto, as quantidades produzidas desta variedade são ainda muito pequenas (± 1,5 % da produção nacional), pelo que não tem um peso significativo no valor da produção bruta nacional da manga. Para simplificação da análise, o preço da manga de faca foi negligenciado, assumindo-se apenas os preços das variedades locais (Loc) e das variedades exportáveis (Exp).</w:t>
      </w:r>
    </w:p>
    <w:p w14:paraId="6BC0CF1F" w14:textId="77777777" w:rsidR="00BF4113" w:rsidRPr="00FA54E0" w:rsidRDefault="00BF4113" w:rsidP="00BF4113">
      <w:pPr>
        <w:keepNext/>
        <w:keepLines/>
        <w:spacing w:before="200" w:after="0" w:line="240" w:lineRule="auto"/>
        <w:ind w:left="709" w:hanging="709"/>
        <w:outlineLvl w:val="3"/>
        <w:rPr>
          <w:rFonts w:eastAsia="Times New Roman" w:cs="Calibri"/>
          <w:b/>
          <w:bCs/>
          <w:iCs/>
          <w:color w:val="336666"/>
          <w:szCs w:val="20"/>
        </w:rPr>
      </w:pPr>
      <w:bookmarkStart w:id="202" w:name="_Toc504144481"/>
      <w:r w:rsidRPr="00FA54E0">
        <w:rPr>
          <w:rFonts w:eastAsia="Times New Roman" w:cs="Calibri"/>
          <w:b/>
          <w:bCs/>
          <w:iCs/>
          <w:color w:val="336666"/>
          <w:szCs w:val="20"/>
        </w:rPr>
        <w:t>3.1.3 Processos e agentes económicos</w:t>
      </w:r>
      <w:bookmarkEnd w:id="202"/>
    </w:p>
    <w:p w14:paraId="5ED6BE03" w14:textId="77777777" w:rsidR="00BF4113" w:rsidRPr="00E90F80" w:rsidRDefault="00BF4113" w:rsidP="00BF4113">
      <w:pPr>
        <w:spacing w:after="0" w:line="240" w:lineRule="auto"/>
        <w:rPr>
          <w:rFonts w:eastAsia="Times New Roman" w:cs="Calibri"/>
          <w:b/>
          <w:i/>
          <w:sz w:val="18"/>
          <w:szCs w:val="18"/>
        </w:rPr>
      </w:pPr>
    </w:p>
    <w:p w14:paraId="6F446C8D" w14:textId="77777777" w:rsidR="00BF4113" w:rsidRPr="007E147D" w:rsidRDefault="00BF4113" w:rsidP="00BF4113">
      <w:pPr>
        <w:spacing w:after="240" w:line="240" w:lineRule="auto"/>
        <w:rPr>
          <w:rFonts w:eastAsia="Times New Roman" w:cs="Calibri"/>
          <w:szCs w:val="20"/>
        </w:rPr>
      </w:pPr>
      <w:r w:rsidRPr="007E147D">
        <w:rPr>
          <w:rFonts w:eastAsia="Times New Roman" w:cs="Calibri"/>
          <w:szCs w:val="20"/>
        </w:rPr>
        <w:t>Como indicado na Análise Funcional, existem dois tipos de processos ou funções: produção primária e comercialização. Na produção, existem quatro tipos de produtores: grande, médio pequeno e familiar e quatro tipos de intermediários: retalhista para mercados locais, semi-grossistas para o mercado de Bissau, retalhista em Bissau e exportadores informais. A produção tem três destinos: uma pequena parte destina-se ao auto-consumo, outra é exportada para o Senegal e a maior parte é vendida no país em mercados locais e em Bissau, de acordo com o apresentado no Quadro 14.</w:t>
      </w:r>
    </w:p>
    <w:p w14:paraId="2F0559E8" w14:textId="77777777" w:rsidR="00BF4113" w:rsidRPr="00FA54E0" w:rsidRDefault="00BF4113" w:rsidP="00BF4113">
      <w:pPr>
        <w:keepNext/>
        <w:keepLines/>
        <w:spacing w:after="0" w:line="240" w:lineRule="auto"/>
        <w:ind w:right="566"/>
        <w:outlineLvl w:val="3"/>
        <w:rPr>
          <w:rFonts w:eastAsia="Times New Roman" w:cs="Calibri"/>
          <w:b/>
          <w:bCs/>
          <w:iCs/>
          <w:color w:val="336666"/>
          <w:szCs w:val="20"/>
          <w:lang w:val="pt-BR"/>
        </w:rPr>
      </w:pPr>
      <w:bookmarkStart w:id="203" w:name="_Toc504144482"/>
      <w:r w:rsidRPr="00FA54E0">
        <w:rPr>
          <w:rFonts w:eastAsia="Times New Roman" w:cs="Calibri"/>
          <w:b/>
          <w:bCs/>
          <w:iCs/>
          <w:color w:val="336666"/>
          <w:szCs w:val="20"/>
          <w:lang w:val="pt-BR"/>
        </w:rPr>
        <w:t>3.1.4 Produção, mercado e preços</w:t>
      </w:r>
      <w:bookmarkEnd w:id="203"/>
    </w:p>
    <w:p w14:paraId="7B56D658" w14:textId="77777777" w:rsidR="00BF4113" w:rsidRPr="004B6B4A" w:rsidRDefault="00BF4113" w:rsidP="00BF4113">
      <w:pPr>
        <w:spacing w:after="0" w:line="240" w:lineRule="auto"/>
        <w:ind w:right="567"/>
        <w:rPr>
          <w:rFonts w:eastAsia="Times New Roman" w:cs="Calibri"/>
          <w:sz w:val="18"/>
          <w:szCs w:val="18"/>
          <w:lang w:val="pt-BR"/>
        </w:rPr>
      </w:pPr>
    </w:p>
    <w:p w14:paraId="4624BC61" w14:textId="7726E318" w:rsidR="00141C20" w:rsidRPr="00100FCC" w:rsidRDefault="00BF4113" w:rsidP="00100FCC">
      <w:r w:rsidRPr="00100FCC">
        <w:t>Para estimar a produção de manga, utilizaram-se dados referidos por especialistas. Assim, estimou-e uma</w:t>
      </w:r>
      <w:r w:rsidR="00100FCC" w:rsidRPr="00100FCC">
        <w:t xml:space="preserve"> </w:t>
      </w:r>
      <w:r w:rsidRPr="00100FCC">
        <w:t>produção bruta nacional de 17.500 toneladas, para índices de perda na ordem de 33%, para uma produção líquida de 11.500 toneladas. Estes dados foram obtidos partindo de uma estimativa de área total de produção de manga de 1750 hectare e uma produção média de 8 toneladas por hectare.</w:t>
      </w:r>
    </w:p>
    <w:p w14:paraId="1B9F7F06" w14:textId="77777777" w:rsidR="00141C20" w:rsidRDefault="00141C20" w:rsidP="00141C20">
      <w:pPr>
        <w:spacing w:after="0" w:line="240" w:lineRule="auto"/>
        <w:ind w:right="567"/>
        <w:rPr>
          <w:rFonts w:eastAsia="Times New Roman" w:cs="Calibri"/>
          <w:szCs w:val="20"/>
        </w:rPr>
      </w:pPr>
    </w:p>
    <w:p w14:paraId="10E4E559" w14:textId="027838A7" w:rsidR="00BF4113" w:rsidRDefault="00BF4113" w:rsidP="00BF4113">
      <w:pPr>
        <w:spacing w:after="240" w:line="240" w:lineRule="auto"/>
        <w:ind w:right="566"/>
        <w:rPr>
          <w:rFonts w:eastAsia="Times New Roman" w:cs="Calibri"/>
          <w:szCs w:val="20"/>
        </w:rPr>
      </w:pPr>
      <w:r w:rsidRPr="00C845E7">
        <w:rPr>
          <w:rFonts w:eastAsia="Times New Roman" w:cs="Calibri"/>
          <w:szCs w:val="20"/>
        </w:rPr>
        <w:t>N</w:t>
      </w:r>
      <w:r w:rsidR="00C845E7">
        <w:rPr>
          <w:rFonts w:eastAsia="Times New Roman" w:cs="Calibri"/>
          <w:szCs w:val="20"/>
        </w:rPr>
        <w:t xml:space="preserve">o Quadro 3.1 </w:t>
      </w:r>
      <w:r w:rsidRPr="00C845E7">
        <w:rPr>
          <w:rFonts w:eastAsia="Times New Roman" w:cs="Calibri"/>
          <w:szCs w:val="20"/>
        </w:rPr>
        <w:t>é</w:t>
      </w:r>
      <w:r w:rsidRPr="007E147D">
        <w:rPr>
          <w:rFonts w:eastAsia="Times New Roman" w:cs="Calibri"/>
          <w:szCs w:val="20"/>
        </w:rPr>
        <w:t xml:space="preserve"> apresentada a situação da produção por região e a sua distribuição por tipo de produtor.</w:t>
      </w:r>
    </w:p>
    <w:p w14:paraId="0649775D" w14:textId="77777777" w:rsidR="004770A1" w:rsidRDefault="004770A1" w:rsidP="00BF4113">
      <w:pPr>
        <w:spacing w:after="240" w:line="240" w:lineRule="auto"/>
        <w:ind w:right="566"/>
        <w:rPr>
          <w:rFonts w:eastAsia="Times New Roman" w:cs="Calibri"/>
          <w:szCs w:val="20"/>
        </w:rPr>
      </w:pPr>
    </w:p>
    <w:p w14:paraId="5B129DF2" w14:textId="77777777" w:rsidR="004770A1" w:rsidRDefault="004770A1" w:rsidP="00BF4113">
      <w:pPr>
        <w:spacing w:after="240" w:line="240" w:lineRule="auto"/>
        <w:ind w:right="566"/>
        <w:rPr>
          <w:rFonts w:eastAsia="Times New Roman" w:cs="Calibri"/>
          <w:szCs w:val="20"/>
        </w:rPr>
      </w:pPr>
    </w:p>
    <w:p w14:paraId="29EF3F1D" w14:textId="77777777" w:rsidR="004770A1" w:rsidRDefault="004770A1" w:rsidP="00BF4113">
      <w:pPr>
        <w:spacing w:after="240" w:line="240" w:lineRule="auto"/>
        <w:ind w:right="566"/>
        <w:rPr>
          <w:rFonts w:eastAsia="Times New Roman" w:cs="Calibri"/>
          <w:szCs w:val="20"/>
        </w:rPr>
      </w:pPr>
    </w:p>
    <w:p w14:paraId="67700B7F" w14:textId="789F1290" w:rsidR="001741F6" w:rsidRDefault="001741F6" w:rsidP="007D3A26">
      <w:pPr>
        <w:pStyle w:val="Caption"/>
      </w:pPr>
    </w:p>
    <w:p w14:paraId="0DA485FC" w14:textId="77777777" w:rsidR="00654781" w:rsidRPr="00654781" w:rsidRDefault="00654781" w:rsidP="00654781">
      <w:pPr>
        <w:rPr>
          <w:lang w:eastAsia="en-US"/>
        </w:rPr>
      </w:pPr>
    </w:p>
    <w:tbl>
      <w:tblPr>
        <w:tblW w:w="91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70" w:type="dxa"/>
          <w:right w:w="70" w:type="dxa"/>
        </w:tblCellMar>
        <w:tblLook w:val="04A0" w:firstRow="1" w:lastRow="0" w:firstColumn="1" w:lastColumn="0" w:noHBand="0" w:noVBand="1"/>
      </w:tblPr>
      <w:tblGrid>
        <w:gridCol w:w="2258"/>
        <w:gridCol w:w="708"/>
        <w:gridCol w:w="709"/>
        <w:gridCol w:w="709"/>
        <w:gridCol w:w="567"/>
        <w:gridCol w:w="709"/>
        <w:gridCol w:w="708"/>
        <w:gridCol w:w="709"/>
        <w:gridCol w:w="709"/>
        <w:gridCol w:w="709"/>
        <w:gridCol w:w="703"/>
      </w:tblGrid>
      <w:tr w:rsidR="00BF4113" w:rsidRPr="00E90F80" w14:paraId="184D006D" w14:textId="77777777" w:rsidTr="00FA54E0">
        <w:trPr>
          <w:trHeight w:val="264"/>
        </w:trPr>
        <w:tc>
          <w:tcPr>
            <w:tcW w:w="2258" w:type="dxa"/>
            <w:vMerge w:val="restart"/>
            <w:shd w:val="clear" w:color="auto" w:fill="336666"/>
            <w:noWrap/>
            <w:hideMark/>
          </w:tcPr>
          <w:p w14:paraId="6C1370A1" w14:textId="77777777" w:rsidR="00BF4113" w:rsidRPr="00E90F80" w:rsidRDefault="00BF4113" w:rsidP="00486683">
            <w:pPr>
              <w:spacing w:after="0" w:line="278" w:lineRule="auto"/>
              <w:rPr>
                <w:rFonts w:eastAsia="Times New Roman" w:cs="Calibri"/>
                <w:b/>
                <w:bCs/>
                <w:color w:val="FFFFFF"/>
                <w:sz w:val="18"/>
                <w:szCs w:val="18"/>
              </w:rPr>
            </w:pPr>
          </w:p>
        </w:tc>
        <w:tc>
          <w:tcPr>
            <w:tcW w:w="1417" w:type="dxa"/>
            <w:gridSpan w:val="2"/>
            <w:shd w:val="clear" w:color="auto" w:fill="336666"/>
            <w:noWrap/>
            <w:hideMark/>
          </w:tcPr>
          <w:p w14:paraId="40D4BAF6" w14:textId="77777777" w:rsidR="00BF4113" w:rsidRPr="004770A1" w:rsidRDefault="00BF4113" w:rsidP="004770A1">
            <w:pPr>
              <w:spacing w:after="0" w:line="278" w:lineRule="auto"/>
              <w:jc w:val="center"/>
              <w:rPr>
                <w:rFonts w:eastAsia="Times New Roman" w:cs="Calibri"/>
                <w:b/>
                <w:bCs/>
                <w:color w:val="FFFFFF"/>
                <w:szCs w:val="20"/>
              </w:rPr>
            </w:pPr>
            <w:r w:rsidRPr="004770A1">
              <w:rPr>
                <w:rFonts w:eastAsia="Times New Roman" w:cs="Calibri"/>
                <w:b/>
                <w:bCs/>
                <w:color w:val="FFFFFF"/>
                <w:szCs w:val="20"/>
              </w:rPr>
              <w:t>Produto</w:t>
            </w:r>
          </w:p>
        </w:tc>
        <w:tc>
          <w:tcPr>
            <w:tcW w:w="5523" w:type="dxa"/>
            <w:gridSpan w:val="8"/>
            <w:shd w:val="clear" w:color="auto" w:fill="336666"/>
            <w:noWrap/>
            <w:hideMark/>
          </w:tcPr>
          <w:p w14:paraId="3C154D8D" w14:textId="77777777" w:rsidR="00BF4113" w:rsidRPr="004770A1" w:rsidRDefault="00BF4113" w:rsidP="004770A1">
            <w:pPr>
              <w:spacing w:after="0" w:line="278" w:lineRule="auto"/>
              <w:jc w:val="center"/>
              <w:rPr>
                <w:rFonts w:eastAsia="Times New Roman" w:cs="Calibri"/>
                <w:b/>
                <w:bCs/>
                <w:color w:val="FFFFFF"/>
                <w:szCs w:val="20"/>
              </w:rPr>
            </w:pPr>
            <w:r w:rsidRPr="004770A1">
              <w:rPr>
                <w:rFonts w:eastAsia="Times New Roman" w:cs="Calibri"/>
                <w:b/>
                <w:bCs/>
                <w:color w:val="FFFFFF"/>
                <w:szCs w:val="20"/>
              </w:rPr>
              <w:t>Produtores</w:t>
            </w:r>
          </w:p>
        </w:tc>
      </w:tr>
      <w:tr w:rsidR="00372F76" w:rsidRPr="00E90F80" w14:paraId="21CDDF35" w14:textId="77777777" w:rsidTr="00FA54E0">
        <w:trPr>
          <w:trHeight w:val="445"/>
        </w:trPr>
        <w:tc>
          <w:tcPr>
            <w:tcW w:w="2258" w:type="dxa"/>
            <w:vMerge/>
            <w:shd w:val="clear" w:color="auto" w:fill="336666"/>
            <w:hideMark/>
          </w:tcPr>
          <w:p w14:paraId="5D162625" w14:textId="77777777" w:rsidR="00BF4113" w:rsidRPr="00E90F80" w:rsidRDefault="00BF4113" w:rsidP="00486683">
            <w:pPr>
              <w:spacing w:after="0" w:line="278" w:lineRule="auto"/>
              <w:rPr>
                <w:rFonts w:eastAsia="Times New Roman" w:cs="Calibri"/>
                <w:b/>
                <w:bCs/>
                <w:color w:val="FFFFFF"/>
                <w:sz w:val="18"/>
                <w:szCs w:val="18"/>
              </w:rPr>
            </w:pPr>
          </w:p>
        </w:tc>
        <w:tc>
          <w:tcPr>
            <w:tcW w:w="1417" w:type="dxa"/>
            <w:gridSpan w:val="2"/>
            <w:shd w:val="clear" w:color="auto" w:fill="336666"/>
            <w:noWrap/>
            <w:hideMark/>
          </w:tcPr>
          <w:p w14:paraId="35C23D66" w14:textId="77777777" w:rsidR="00BF4113" w:rsidRPr="004770A1" w:rsidRDefault="00BF4113" w:rsidP="004770A1">
            <w:pPr>
              <w:spacing w:after="0" w:line="278" w:lineRule="auto"/>
              <w:jc w:val="center"/>
              <w:rPr>
                <w:rFonts w:eastAsia="Times New Roman" w:cs="Calibri"/>
                <w:b/>
                <w:bCs/>
                <w:color w:val="FFFFFF"/>
                <w:szCs w:val="20"/>
              </w:rPr>
            </w:pPr>
            <w:r w:rsidRPr="004770A1">
              <w:rPr>
                <w:rFonts w:eastAsia="Times New Roman" w:cs="Calibri"/>
                <w:b/>
                <w:bCs/>
                <w:color w:val="FFFFFF"/>
                <w:szCs w:val="20"/>
              </w:rPr>
              <w:t>Manga</w:t>
            </w:r>
          </w:p>
          <w:p w14:paraId="77BA315E" w14:textId="6714BB6B" w:rsidR="00BF4113" w:rsidRPr="004770A1" w:rsidRDefault="00BF4113" w:rsidP="004770A1">
            <w:pPr>
              <w:spacing w:after="0" w:line="278" w:lineRule="auto"/>
              <w:jc w:val="center"/>
              <w:rPr>
                <w:rFonts w:eastAsia="Times New Roman" w:cs="Calibri"/>
                <w:b/>
                <w:bCs/>
                <w:color w:val="FFFFFF"/>
                <w:szCs w:val="20"/>
              </w:rPr>
            </w:pPr>
          </w:p>
        </w:tc>
        <w:tc>
          <w:tcPr>
            <w:tcW w:w="1276" w:type="dxa"/>
            <w:gridSpan w:val="2"/>
            <w:shd w:val="clear" w:color="auto" w:fill="336666"/>
            <w:hideMark/>
          </w:tcPr>
          <w:p w14:paraId="3D04CFA5" w14:textId="77777777" w:rsidR="00BF4113" w:rsidRPr="004770A1" w:rsidRDefault="00BF4113" w:rsidP="004770A1">
            <w:pPr>
              <w:spacing w:after="0" w:line="278" w:lineRule="auto"/>
              <w:jc w:val="center"/>
              <w:rPr>
                <w:rFonts w:eastAsia="Times New Roman" w:cs="Calibri"/>
                <w:b/>
                <w:bCs/>
                <w:color w:val="FFFFFF"/>
                <w:szCs w:val="20"/>
              </w:rPr>
            </w:pPr>
            <w:r w:rsidRPr="004770A1">
              <w:rPr>
                <w:rFonts w:eastAsia="Times New Roman" w:cs="Calibri"/>
                <w:b/>
                <w:bCs/>
                <w:color w:val="FFFFFF"/>
                <w:szCs w:val="20"/>
              </w:rPr>
              <w:t>Grande Produtor</w:t>
            </w:r>
          </w:p>
        </w:tc>
        <w:tc>
          <w:tcPr>
            <w:tcW w:w="1417" w:type="dxa"/>
            <w:gridSpan w:val="2"/>
            <w:shd w:val="clear" w:color="auto" w:fill="336666"/>
            <w:hideMark/>
          </w:tcPr>
          <w:p w14:paraId="7C9EC760" w14:textId="77777777" w:rsidR="00BF4113" w:rsidRPr="004770A1" w:rsidRDefault="00BF4113" w:rsidP="004770A1">
            <w:pPr>
              <w:spacing w:after="0" w:line="278" w:lineRule="auto"/>
              <w:jc w:val="center"/>
              <w:rPr>
                <w:rFonts w:eastAsia="Times New Roman" w:cs="Calibri"/>
                <w:b/>
                <w:bCs/>
                <w:color w:val="FFFFFF"/>
                <w:szCs w:val="20"/>
              </w:rPr>
            </w:pPr>
            <w:r w:rsidRPr="004770A1">
              <w:rPr>
                <w:rFonts w:eastAsia="Times New Roman" w:cs="Calibri"/>
                <w:b/>
                <w:bCs/>
                <w:color w:val="FFFFFF"/>
                <w:szCs w:val="20"/>
              </w:rPr>
              <w:t>Produtor Mediano</w:t>
            </w:r>
          </w:p>
        </w:tc>
        <w:tc>
          <w:tcPr>
            <w:tcW w:w="1418" w:type="dxa"/>
            <w:gridSpan w:val="2"/>
            <w:shd w:val="clear" w:color="auto" w:fill="336666"/>
            <w:hideMark/>
          </w:tcPr>
          <w:p w14:paraId="7253B74A" w14:textId="77777777" w:rsidR="00BF4113" w:rsidRPr="004770A1" w:rsidRDefault="00BF4113" w:rsidP="004770A1">
            <w:pPr>
              <w:spacing w:after="0" w:line="278" w:lineRule="auto"/>
              <w:jc w:val="center"/>
              <w:rPr>
                <w:rFonts w:eastAsia="Times New Roman" w:cs="Calibri"/>
                <w:b/>
                <w:bCs/>
                <w:color w:val="FFFFFF"/>
                <w:szCs w:val="20"/>
              </w:rPr>
            </w:pPr>
            <w:r w:rsidRPr="004770A1">
              <w:rPr>
                <w:rFonts w:eastAsia="Times New Roman" w:cs="Calibri"/>
                <w:b/>
                <w:bCs/>
                <w:color w:val="FFFFFF"/>
                <w:szCs w:val="20"/>
              </w:rPr>
              <w:t>Pequeno Produtor</w:t>
            </w:r>
          </w:p>
        </w:tc>
        <w:tc>
          <w:tcPr>
            <w:tcW w:w="1412" w:type="dxa"/>
            <w:gridSpan w:val="2"/>
            <w:shd w:val="clear" w:color="auto" w:fill="336666"/>
            <w:hideMark/>
          </w:tcPr>
          <w:p w14:paraId="10AB9709" w14:textId="77777777" w:rsidR="00BF4113" w:rsidRPr="004770A1" w:rsidRDefault="00BF4113" w:rsidP="004770A1">
            <w:pPr>
              <w:spacing w:after="0" w:line="278" w:lineRule="auto"/>
              <w:jc w:val="center"/>
              <w:rPr>
                <w:rFonts w:eastAsia="Times New Roman" w:cs="Calibri"/>
                <w:b/>
                <w:bCs/>
                <w:color w:val="FFFFFF"/>
                <w:szCs w:val="20"/>
              </w:rPr>
            </w:pPr>
            <w:r w:rsidRPr="004770A1">
              <w:rPr>
                <w:rFonts w:eastAsia="Times New Roman" w:cs="Calibri"/>
                <w:b/>
                <w:bCs/>
                <w:color w:val="FFFFFF"/>
                <w:szCs w:val="20"/>
              </w:rPr>
              <w:t>Produtor Familiar</w:t>
            </w:r>
          </w:p>
        </w:tc>
      </w:tr>
      <w:tr w:rsidR="00372F76" w:rsidRPr="00E90F80" w14:paraId="14A168E9" w14:textId="77777777" w:rsidTr="00FA54E0">
        <w:trPr>
          <w:trHeight w:val="236"/>
        </w:trPr>
        <w:tc>
          <w:tcPr>
            <w:tcW w:w="2258" w:type="dxa"/>
            <w:vMerge/>
            <w:shd w:val="clear" w:color="auto" w:fill="336666"/>
            <w:hideMark/>
          </w:tcPr>
          <w:p w14:paraId="71F8AACD" w14:textId="77777777" w:rsidR="00BF4113" w:rsidRPr="00E90F80" w:rsidRDefault="00BF4113" w:rsidP="00486683">
            <w:pPr>
              <w:spacing w:after="0" w:line="278" w:lineRule="auto"/>
              <w:rPr>
                <w:rFonts w:eastAsia="Times New Roman" w:cs="Calibri"/>
                <w:b/>
                <w:bCs/>
                <w:color w:val="FFFFFF"/>
                <w:sz w:val="18"/>
                <w:szCs w:val="18"/>
              </w:rPr>
            </w:pPr>
          </w:p>
        </w:tc>
        <w:tc>
          <w:tcPr>
            <w:tcW w:w="708" w:type="dxa"/>
            <w:shd w:val="clear" w:color="auto" w:fill="336666"/>
            <w:noWrap/>
            <w:hideMark/>
          </w:tcPr>
          <w:p w14:paraId="6BBD5D4D" w14:textId="11B9D057" w:rsidR="00BF4113" w:rsidRPr="004770A1" w:rsidRDefault="00BF4113" w:rsidP="004770A1">
            <w:pPr>
              <w:spacing w:after="0" w:line="278" w:lineRule="auto"/>
              <w:jc w:val="center"/>
              <w:rPr>
                <w:rFonts w:eastAsia="Times New Roman" w:cs="Calibri"/>
                <w:b/>
                <w:bCs/>
                <w:color w:val="FFFFFF"/>
                <w:szCs w:val="20"/>
              </w:rPr>
            </w:pPr>
            <w:r w:rsidRPr="004770A1">
              <w:rPr>
                <w:rFonts w:eastAsia="Times New Roman" w:cs="Calibri"/>
                <w:b/>
                <w:bCs/>
                <w:color w:val="FFFFFF"/>
                <w:szCs w:val="20"/>
              </w:rPr>
              <w:t xml:space="preserve">Total </w:t>
            </w:r>
          </w:p>
        </w:tc>
        <w:tc>
          <w:tcPr>
            <w:tcW w:w="709" w:type="dxa"/>
            <w:shd w:val="clear" w:color="auto" w:fill="336666"/>
            <w:noWrap/>
            <w:hideMark/>
          </w:tcPr>
          <w:p w14:paraId="5AB1434A" w14:textId="77777777" w:rsidR="00BF4113" w:rsidRPr="004770A1" w:rsidRDefault="00BF4113" w:rsidP="004770A1">
            <w:pPr>
              <w:spacing w:after="0" w:line="278" w:lineRule="auto"/>
              <w:jc w:val="center"/>
              <w:rPr>
                <w:rFonts w:eastAsia="Times New Roman" w:cs="Calibri"/>
                <w:b/>
                <w:bCs/>
                <w:color w:val="FFFFFF"/>
                <w:szCs w:val="20"/>
              </w:rPr>
            </w:pPr>
            <w:r w:rsidRPr="004770A1">
              <w:rPr>
                <w:rFonts w:eastAsia="Times New Roman" w:cs="Calibri"/>
                <w:b/>
                <w:bCs/>
                <w:color w:val="FFFFFF"/>
                <w:szCs w:val="20"/>
              </w:rPr>
              <w:t>%</w:t>
            </w:r>
          </w:p>
        </w:tc>
        <w:tc>
          <w:tcPr>
            <w:tcW w:w="709" w:type="dxa"/>
            <w:shd w:val="clear" w:color="auto" w:fill="336666"/>
            <w:noWrap/>
            <w:hideMark/>
          </w:tcPr>
          <w:p w14:paraId="5D6F5283" w14:textId="77777777" w:rsidR="00BF4113" w:rsidRPr="004770A1" w:rsidRDefault="00BF4113" w:rsidP="004770A1">
            <w:pPr>
              <w:spacing w:after="0" w:line="278" w:lineRule="auto"/>
              <w:jc w:val="center"/>
              <w:rPr>
                <w:rFonts w:eastAsia="Times New Roman" w:cs="Calibri"/>
                <w:b/>
                <w:bCs/>
                <w:color w:val="FFFFFF"/>
                <w:szCs w:val="20"/>
              </w:rPr>
            </w:pPr>
            <w:r w:rsidRPr="004770A1">
              <w:rPr>
                <w:rFonts w:eastAsia="Times New Roman" w:cs="Calibri"/>
                <w:b/>
                <w:bCs/>
                <w:color w:val="FFFFFF"/>
                <w:szCs w:val="20"/>
              </w:rPr>
              <w:t>Total</w:t>
            </w:r>
          </w:p>
        </w:tc>
        <w:tc>
          <w:tcPr>
            <w:tcW w:w="567" w:type="dxa"/>
            <w:shd w:val="clear" w:color="auto" w:fill="336666"/>
            <w:noWrap/>
            <w:hideMark/>
          </w:tcPr>
          <w:p w14:paraId="12BD4342" w14:textId="77777777" w:rsidR="00BF4113" w:rsidRPr="004770A1" w:rsidRDefault="00BF4113" w:rsidP="004770A1">
            <w:pPr>
              <w:spacing w:after="0" w:line="278" w:lineRule="auto"/>
              <w:jc w:val="center"/>
              <w:rPr>
                <w:rFonts w:eastAsia="Times New Roman" w:cs="Calibri"/>
                <w:b/>
                <w:bCs/>
                <w:color w:val="FFFFFF"/>
                <w:szCs w:val="20"/>
              </w:rPr>
            </w:pPr>
            <w:r w:rsidRPr="004770A1">
              <w:rPr>
                <w:rFonts w:eastAsia="Times New Roman" w:cs="Calibri"/>
                <w:b/>
                <w:bCs/>
                <w:color w:val="FFFFFF"/>
                <w:szCs w:val="20"/>
              </w:rPr>
              <w:t>%</w:t>
            </w:r>
          </w:p>
        </w:tc>
        <w:tc>
          <w:tcPr>
            <w:tcW w:w="709" w:type="dxa"/>
            <w:shd w:val="clear" w:color="auto" w:fill="336666"/>
            <w:noWrap/>
            <w:hideMark/>
          </w:tcPr>
          <w:p w14:paraId="01CA0263" w14:textId="77777777" w:rsidR="00BF4113" w:rsidRPr="004770A1" w:rsidRDefault="00BF4113" w:rsidP="004770A1">
            <w:pPr>
              <w:spacing w:after="0" w:line="278" w:lineRule="auto"/>
              <w:jc w:val="center"/>
              <w:rPr>
                <w:rFonts w:eastAsia="Times New Roman" w:cs="Calibri"/>
                <w:b/>
                <w:bCs/>
                <w:color w:val="FFFFFF"/>
                <w:szCs w:val="20"/>
              </w:rPr>
            </w:pPr>
            <w:r w:rsidRPr="004770A1">
              <w:rPr>
                <w:rFonts w:eastAsia="Times New Roman" w:cs="Calibri"/>
                <w:b/>
                <w:bCs/>
                <w:color w:val="FFFFFF"/>
                <w:szCs w:val="20"/>
              </w:rPr>
              <w:t>Total</w:t>
            </w:r>
          </w:p>
        </w:tc>
        <w:tc>
          <w:tcPr>
            <w:tcW w:w="708" w:type="dxa"/>
            <w:shd w:val="clear" w:color="auto" w:fill="336666"/>
            <w:noWrap/>
            <w:hideMark/>
          </w:tcPr>
          <w:p w14:paraId="3DCA476A" w14:textId="77777777" w:rsidR="00BF4113" w:rsidRPr="004770A1" w:rsidRDefault="00BF4113" w:rsidP="004770A1">
            <w:pPr>
              <w:spacing w:after="0" w:line="278" w:lineRule="auto"/>
              <w:jc w:val="center"/>
              <w:rPr>
                <w:rFonts w:eastAsia="Times New Roman" w:cs="Calibri"/>
                <w:b/>
                <w:bCs/>
                <w:color w:val="FFFFFF"/>
                <w:szCs w:val="20"/>
              </w:rPr>
            </w:pPr>
            <w:r w:rsidRPr="004770A1">
              <w:rPr>
                <w:rFonts w:eastAsia="Times New Roman" w:cs="Calibri"/>
                <w:b/>
                <w:bCs/>
                <w:color w:val="FFFFFF"/>
                <w:szCs w:val="20"/>
              </w:rPr>
              <w:t>%</w:t>
            </w:r>
          </w:p>
        </w:tc>
        <w:tc>
          <w:tcPr>
            <w:tcW w:w="709" w:type="dxa"/>
            <w:shd w:val="clear" w:color="auto" w:fill="336666"/>
            <w:noWrap/>
            <w:hideMark/>
          </w:tcPr>
          <w:p w14:paraId="142270E0" w14:textId="77777777" w:rsidR="00BF4113" w:rsidRPr="004770A1" w:rsidRDefault="00BF4113" w:rsidP="004770A1">
            <w:pPr>
              <w:spacing w:after="0" w:line="278" w:lineRule="auto"/>
              <w:jc w:val="center"/>
              <w:rPr>
                <w:rFonts w:eastAsia="Times New Roman" w:cs="Calibri"/>
                <w:b/>
                <w:bCs/>
                <w:color w:val="FFFFFF"/>
                <w:szCs w:val="20"/>
              </w:rPr>
            </w:pPr>
            <w:r w:rsidRPr="004770A1">
              <w:rPr>
                <w:rFonts w:eastAsia="Times New Roman" w:cs="Calibri"/>
                <w:b/>
                <w:bCs/>
                <w:color w:val="FFFFFF"/>
                <w:szCs w:val="20"/>
              </w:rPr>
              <w:t>Total</w:t>
            </w:r>
          </w:p>
        </w:tc>
        <w:tc>
          <w:tcPr>
            <w:tcW w:w="709" w:type="dxa"/>
            <w:shd w:val="clear" w:color="auto" w:fill="336666"/>
            <w:noWrap/>
            <w:hideMark/>
          </w:tcPr>
          <w:p w14:paraId="0850F0CF" w14:textId="77777777" w:rsidR="00BF4113" w:rsidRPr="004770A1" w:rsidRDefault="00BF4113" w:rsidP="004770A1">
            <w:pPr>
              <w:spacing w:after="0" w:line="278" w:lineRule="auto"/>
              <w:jc w:val="center"/>
              <w:rPr>
                <w:rFonts w:eastAsia="Times New Roman" w:cs="Calibri"/>
                <w:b/>
                <w:bCs/>
                <w:color w:val="FFFFFF"/>
                <w:szCs w:val="20"/>
              </w:rPr>
            </w:pPr>
            <w:r w:rsidRPr="004770A1">
              <w:rPr>
                <w:rFonts w:eastAsia="Times New Roman" w:cs="Calibri"/>
                <w:b/>
                <w:bCs/>
                <w:color w:val="FFFFFF"/>
                <w:szCs w:val="20"/>
              </w:rPr>
              <w:t>%</w:t>
            </w:r>
          </w:p>
        </w:tc>
        <w:tc>
          <w:tcPr>
            <w:tcW w:w="709" w:type="dxa"/>
            <w:shd w:val="clear" w:color="auto" w:fill="336666"/>
            <w:noWrap/>
            <w:hideMark/>
          </w:tcPr>
          <w:p w14:paraId="2432E7DA" w14:textId="77777777" w:rsidR="00BF4113" w:rsidRPr="004770A1" w:rsidRDefault="00BF4113" w:rsidP="004770A1">
            <w:pPr>
              <w:spacing w:after="0" w:line="278" w:lineRule="auto"/>
              <w:jc w:val="center"/>
              <w:rPr>
                <w:rFonts w:eastAsia="Times New Roman" w:cs="Calibri"/>
                <w:b/>
                <w:bCs/>
                <w:color w:val="FFFFFF"/>
                <w:szCs w:val="20"/>
              </w:rPr>
            </w:pPr>
            <w:r w:rsidRPr="004770A1">
              <w:rPr>
                <w:rFonts w:eastAsia="Times New Roman" w:cs="Calibri"/>
                <w:b/>
                <w:bCs/>
                <w:color w:val="FFFFFF"/>
                <w:szCs w:val="20"/>
              </w:rPr>
              <w:t>Total</w:t>
            </w:r>
          </w:p>
        </w:tc>
        <w:tc>
          <w:tcPr>
            <w:tcW w:w="703" w:type="dxa"/>
            <w:shd w:val="clear" w:color="auto" w:fill="336666"/>
            <w:noWrap/>
            <w:hideMark/>
          </w:tcPr>
          <w:p w14:paraId="4FF567F1" w14:textId="77777777" w:rsidR="00BF4113" w:rsidRPr="004770A1" w:rsidRDefault="00BF4113" w:rsidP="004770A1">
            <w:pPr>
              <w:spacing w:after="0" w:line="278" w:lineRule="auto"/>
              <w:jc w:val="center"/>
              <w:rPr>
                <w:rFonts w:eastAsia="Times New Roman" w:cs="Calibri"/>
                <w:b/>
                <w:bCs/>
                <w:color w:val="FFFFFF"/>
                <w:szCs w:val="20"/>
              </w:rPr>
            </w:pPr>
            <w:r w:rsidRPr="004770A1">
              <w:rPr>
                <w:rFonts w:eastAsia="Times New Roman" w:cs="Calibri"/>
                <w:b/>
                <w:bCs/>
                <w:color w:val="FFFFFF"/>
                <w:szCs w:val="20"/>
              </w:rPr>
              <w:t>%</w:t>
            </w:r>
          </w:p>
        </w:tc>
      </w:tr>
      <w:tr w:rsidR="009D1D97" w:rsidRPr="00E90F80" w14:paraId="6AD63803" w14:textId="77777777" w:rsidTr="00FA54E0">
        <w:trPr>
          <w:trHeight w:val="202"/>
        </w:trPr>
        <w:tc>
          <w:tcPr>
            <w:tcW w:w="2258" w:type="dxa"/>
            <w:noWrap/>
            <w:vAlign w:val="center"/>
            <w:hideMark/>
          </w:tcPr>
          <w:p w14:paraId="0F427CC0" w14:textId="2A97E5E9" w:rsidR="00BF4113" w:rsidRPr="004770A1" w:rsidRDefault="00BF4113" w:rsidP="003E1B9C">
            <w:pPr>
              <w:spacing w:after="0" w:line="278" w:lineRule="auto"/>
              <w:jc w:val="left"/>
              <w:rPr>
                <w:rFonts w:eastAsia="Times New Roman" w:cs="Calibri"/>
                <w:b/>
                <w:bCs/>
                <w:color w:val="000000" w:themeColor="text1"/>
                <w:sz w:val="18"/>
                <w:szCs w:val="18"/>
              </w:rPr>
            </w:pPr>
            <w:r w:rsidRPr="004770A1">
              <w:rPr>
                <w:rFonts w:eastAsia="Times New Roman" w:cs="Calibri"/>
                <w:b/>
                <w:bCs/>
                <w:color w:val="000000" w:themeColor="text1"/>
                <w:sz w:val="18"/>
                <w:szCs w:val="18"/>
              </w:rPr>
              <w:t xml:space="preserve">Produção </w:t>
            </w:r>
            <w:r w:rsidR="004770A1" w:rsidRPr="004770A1">
              <w:rPr>
                <w:rFonts w:eastAsia="Times New Roman" w:cs="Calibri"/>
                <w:b/>
                <w:bCs/>
                <w:color w:val="000000" w:themeColor="text1"/>
                <w:sz w:val="18"/>
                <w:szCs w:val="18"/>
              </w:rPr>
              <w:t>Líquida</w:t>
            </w:r>
            <w:r w:rsidRPr="004770A1">
              <w:rPr>
                <w:rFonts w:eastAsia="Times New Roman" w:cs="Calibri"/>
                <w:b/>
                <w:bCs/>
                <w:color w:val="000000" w:themeColor="text1"/>
                <w:sz w:val="18"/>
                <w:szCs w:val="18"/>
              </w:rPr>
              <w:t xml:space="preserve"> país</w:t>
            </w:r>
          </w:p>
        </w:tc>
        <w:tc>
          <w:tcPr>
            <w:tcW w:w="708" w:type="dxa"/>
            <w:noWrap/>
            <w:vAlign w:val="center"/>
            <w:hideMark/>
          </w:tcPr>
          <w:p w14:paraId="04B89DE2"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11750</w:t>
            </w:r>
          </w:p>
        </w:tc>
        <w:tc>
          <w:tcPr>
            <w:tcW w:w="709" w:type="dxa"/>
            <w:noWrap/>
            <w:vAlign w:val="center"/>
            <w:hideMark/>
          </w:tcPr>
          <w:p w14:paraId="398D8932"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100</w:t>
            </w:r>
          </w:p>
        </w:tc>
        <w:tc>
          <w:tcPr>
            <w:tcW w:w="709" w:type="dxa"/>
            <w:noWrap/>
            <w:vAlign w:val="center"/>
            <w:hideMark/>
          </w:tcPr>
          <w:p w14:paraId="05D50F72"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2 409</w:t>
            </w:r>
          </w:p>
        </w:tc>
        <w:tc>
          <w:tcPr>
            <w:tcW w:w="567" w:type="dxa"/>
            <w:noWrap/>
            <w:vAlign w:val="center"/>
            <w:hideMark/>
          </w:tcPr>
          <w:p w14:paraId="59BE3871"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20,5</w:t>
            </w:r>
          </w:p>
        </w:tc>
        <w:tc>
          <w:tcPr>
            <w:tcW w:w="709" w:type="dxa"/>
            <w:noWrap/>
            <w:vAlign w:val="center"/>
            <w:hideMark/>
          </w:tcPr>
          <w:p w14:paraId="71883172"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1 998</w:t>
            </w:r>
          </w:p>
        </w:tc>
        <w:tc>
          <w:tcPr>
            <w:tcW w:w="708" w:type="dxa"/>
            <w:noWrap/>
            <w:vAlign w:val="center"/>
            <w:hideMark/>
          </w:tcPr>
          <w:p w14:paraId="10DDDFEC"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17,0</w:t>
            </w:r>
          </w:p>
        </w:tc>
        <w:tc>
          <w:tcPr>
            <w:tcW w:w="709" w:type="dxa"/>
            <w:noWrap/>
            <w:vAlign w:val="center"/>
            <w:hideMark/>
          </w:tcPr>
          <w:p w14:paraId="2AE41DCD"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2 996</w:t>
            </w:r>
          </w:p>
        </w:tc>
        <w:tc>
          <w:tcPr>
            <w:tcW w:w="709" w:type="dxa"/>
            <w:noWrap/>
            <w:vAlign w:val="center"/>
            <w:hideMark/>
          </w:tcPr>
          <w:p w14:paraId="0C581CBD"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25,5</w:t>
            </w:r>
          </w:p>
        </w:tc>
        <w:tc>
          <w:tcPr>
            <w:tcW w:w="709" w:type="dxa"/>
            <w:noWrap/>
            <w:vAlign w:val="center"/>
            <w:hideMark/>
          </w:tcPr>
          <w:p w14:paraId="2B533B47"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4 348</w:t>
            </w:r>
          </w:p>
        </w:tc>
        <w:tc>
          <w:tcPr>
            <w:tcW w:w="703" w:type="dxa"/>
            <w:noWrap/>
            <w:vAlign w:val="center"/>
            <w:hideMark/>
          </w:tcPr>
          <w:p w14:paraId="3315EA9C"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37</w:t>
            </w:r>
          </w:p>
        </w:tc>
      </w:tr>
      <w:tr w:rsidR="009D1D97" w:rsidRPr="00E90F80" w14:paraId="1795BB1C" w14:textId="77777777" w:rsidTr="00FA54E0">
        <w:trPr>
          <w:trHeight w:val="214"/>
        </w:trPr>
        <w:tc>
          <w:tcPr>
            <w:tcW w:w="2258" w:type="dxa"/>
            <w:noWrap/>
            <w:vAlign w:val="center"/>
            <w:hideMark/>
          </w:tcPr>
          <w:p w14:paraId="372FC706" w14:textId="77777777" w:rsidR="00BF4113" w:rsidRPr="004770A1" w:rsidRDefault="00BF4113" w:rsidP="003E1B9C">
            <w:pPr>
              <w:spacing w:after="0" w:line="278" w:lineRule="auto"/>
              <w:jc w:val="left"/>
              <w:rPr>
                <w:rFonts w:eastAsia="Times New Roman" w:cs="Calibri"/>
                <w:b/>
                <w:bCs/>
                <w:color w:val="000000" w:themeColor="text1"/>
                <w:sz w:val="18"/>
                <w:szCs w:val="18"/>
              </w:rPr>
            </w:pPr>
            <w:r w:rsidRPr="004770A1">
              <w:rPr>
                <w:rFonts w:eastAsia="Times New Roman" w:cs="Calibri"/>
                <w:b/>
                <w:bCs/>
                <w:color w:val="000000" w:themeColor="text1"/>
                <w:sz w:val="18"/>
                <w:szCs w:val="18"/>
              </w:rPr>
              <w:t>Região Oio</w:t>
            </w:r>
          </w:p>
        </w:tc>
        <w:tc>
          <w:tcPr>
            <w:tcW w:w="708" w:type="dxa"/>
            <w:noWrap/>
            <w:vAlign w:val="center"/>
            <w:hideMark/>
          </w:tcPr>
          <w:p w14:paraId="3EF2F54A"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5405</w:t>
            </w:r>
          </w:p>
        </w:tc>
        <w:tc>
          <w:tcPr>
            <w:tcW w:w="709" w:type="dxa"/>
            <w:noWrap/>
            <w:vAlign w:val="center"/>
            <w:hideMark/>
          </w:tcPr>
          <w:p w14:paraId="09B8F5FF"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46</w:t>
            </w:r>
          </w:p>
        </w:tc>
        <w:tc>
          <w:tcPr>
            <w:tcW w:w="709" w:type="dxa"/>
            <w:noWrap/>
            <w:vAlign w:val="center"/>
            <w:hideMark/>
          </w:tcPr>
          <w:p w14:paraId="17C1F083"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2409</w:t>
            </w:r>
          </w:p>
        </w:tc>
        <w:tc>
          <w:tcPr>
            <w:tcW w:w="567" w:type="dxa"/>
            <w:noWrap/>
            <w:vAlign w:val="center"/>
            <w:hideMark/>
          </w:tcPr>
          <w:p w14:paraId="06347FE6"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45</w:t>
            </w:r>
          </w:p>
        </w:tc>
        <w:tc>
          <w:tcPr>
            <w:tcW w:w="709" w:type="dxa"/>
            <w:noWrap/>
            <w:vAlign w:val="center"/>
            <w:hideMark/>
          </w:tcPr>
          <w:p w14:paraId="271B57C6"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1522</w:t>
            </w:r>
          </w:p>
        </w:tc>
        <w:tc>
          <w:tcPr>
            <w:tcW w:w="708" w:type="dxa"/>
            <w:noWrap/>
            <w:vAlign w:val="center"/>
            <w:hideMark/>
          </w:tcPr>
          <w:p w14:paraId="5F0309C4"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28</w:t>
            </w:r>
          </w:p>
        </w:tc>
        <w:tc>
          <w:tcPr>
            <w:tcW w:w="709" w:type="dxa"/>
            <w:noWrap/>
            <w:vAlign w:val="center"/>
            <w:hideMark/>
          </w:tcPr>
          <w:p w14:paraId="129A7EF2"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919</w:t>
            </w:r>
          </w:p>
        </w:tc>
        <w:tc>
          <w:tcPr>
            <w:tcW w:w="709" w:type="dxa"/>
            <w:noWrap/>
            <w:vAlign w:val="center"/>
            <w:hideMark/>
          </w:tcPr>
          <w:p w14:paraId="4C04BC1E"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17</w:t>
            </w:r>
          </w:p>
        </w:tc>
        <w:tc>
          <w:tcPr>
            <w:tcW w:w="709" w:type="dxa"/>
            <w:noWrap/>
            <w:vAlign w:val="center"/>
            <w:hideMark/>
          </w:tcPr>
          <w:p w14:paraId="6CB19932"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555</w:t>
            </w:r>
          </w:p>
        </w:tc>
        <w:tc>
          <w:tcPr>
            <w:tcW w:w="703" w:type="dxa"/>
            <w:noWrap/>
            <w:vAlign w:val="center"/>
            <w:hideMark/>
          </w:tcPr>
          <w:p w14:paraId="744F0C3F"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10</w:t>
            </w:r>
          </w:p>
        </w:tc>
      </w:tr>
      <w:tr w:rsidR="009D1D97" w:rsidRPr="00E90F80" w14:paraId="39A41C70" w14:textId="77777777" w:rsidTr="00FA54E0">
        <w:trPr>
          <w:trHeight w:val="190"/>
        </w:trPr>
        <w:tc>
          <w:tcPr>
            <w:tcW w:w="2258" w:type="dxa"/>
            <w:noWrap/>
            <w:vAlign w:val="center"/>
            <w:hideMark/>
          </w:tcPr>
          <w:p w14:paraId="6637DC23" w14:textId="77777777" w:rsidR="00BF4113" w:rsidRPr="004770A1" w:rsidRDefault="00BF4113" w:rsidP="003E1B9C">
            <w:pPr>
              <w:spacing w:after="0" w:line="278" w:lineRule="auto"/>
              <w:jc w:val="left"/>
              <w:rPr>
                <w:rFonts w:eastAsia="Times New Roman" w:cs="Calibri"/>
                <w:b/>
                <w:bCs/>
                <w:color w:val="000000" w:themeColor="text1"/>
                <w:sz w:val="18"/>
                <w:szCs w:val="18"/>
              </w:rPr>
            </w:pPr>
            <w:r w:rsidRPr="004770A1">
              <w:rPr>
                <w:rFonts w:eastAsia="Times New Roman" w:cs="Calibri"/>
                <w:b/>
                <w:bCs/>
                <w:color w:val="000000" w:themeColor="text1"/>
                <w:sz w:val="18"/>
                <w:szCs w:val="18"/>
              </w:rPr>
              <w:t>Auto-consumo</w:t>
            </w:r>
          </w:p>
        </w:tc>
        <w:tc>
          <w:tcPr>
            <w:tcW w:w="708" w:type="dxa"/>
            <w:noWrap/>
            <w:vAlign w:val="center"/>
            <w:hideMark/>
          </w:tcPr>
          <w:p w14:paraId="0805290C"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616</w:t>
            </w:r>
          </w:p>
        </w:tc>
        <w:tc>
          <w:tcPr>
            <w:tcW w:w="709" w:type="dxa"/>
            <w:noWrap/>
            <w:vAlign w:val="center"/>
            <w:hideMark/>
          </w:tcPr>
          <w:p w14:paraId="49046E47"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11,4</w:t>
            </w:r>
          </w:p>
        </w:tc>
        <w:tc>
          <w:tcPr>
            <w:tcW w:w="709" w:type="dxa"/>
            <w:noWrap/>
            <w:vAlign w:val="center"/>
            <w:hideMark/>
          </w:tcPr>
          <w:p w14:paraId="4A07671E"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37</w:t>
            </w:r>
          </w:p>
        </w:tc>
        <w:tc>
          <w:tcPr>
            <w:tcW w:w="567" w:type="dxa"/>
            <w:noWrap/>
            <w:vAlign w:val="center"/>
            <w:hideMark/>
          </w:tcPr>
          <w:p w14:paraId="190BD520"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1,5</w:t>
            </w:r>
          </w:p>
        </w:tc>
        <w:tc>
          <w:tcPr>
            <w:tcW w:w="709" w:type="dxa"/>
            <w:noWrap/>
            <w:vAlign w:val="center"/>
            <w:hideMark/>
          </w:tcPr>
          <w:p w14:paraId="75FBDD53"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23</w:t>
            </w:r>
          </w:p>
        </w:tc>
        <w:tc>
          <w:tcPr>
            <w:tcW w:w="708" w:type="dxa"/>
            <w:noWrap/>
            <w:vAlign w:val="center"/>
            <w:hideMark/>
          </w:tcPr>
          <w:p w14:paraId="5A66BBE7"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1,5</w:t>
            </w:r>
          </w:p>
        </w:tc>
        <w:tc>
          <w:tcPr>
            <w:tcW w:w="709" w:type="dxa"/>
            <w:noWrap/>
            <w:vAlign w:val="center"/>
            <w:hideMark/>
          </w:tcPr>
          <w:p w14:paraId="32436569"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46</w:t>
            </w:r>
          </w:p>
        </w:tc>
        <w:tc>
          <w:tcPr>
            <w:tcW w:w="709" w:type="dxa"/>
            <w:noWrap/>
            <w:vAlign w:val="center"/>
            <w:hideMark/>
          </w:tcPr>
          <w:p w14:paraId="5E96347A"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5</w:t>
            </w:r>
          </w:p>
        </w:tc>
        <w:tc>
          <w:tcPr>
            <w:tcW w:w="709" w:type="dxa"/>
            <w:noWrap/>
            <w:vAlign w:val="center"/>
            <w:hideMark/>
          </w:tcPr>
          <w:p w14:paraId="4368032A"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511</w:t>
            </w:r>
          </w:p>
        </w:tc>
        <w:tc>
          <w:tcPr>
            <w:tcW w:w="703" w:type="dxa"/>
            <w:noWrap/>
            <w:vAlign w:val="center"/>
            <w:hideMark/>
          </w:tcPr>
          <w:p w14:paraId="084E29BE"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92</w:t>
            </w:r>
          </w:p>
        </w:tc>
      </w:tr>
      <w:tr w:rsidR="009D1D97" w:rsidRPr="00E90F80" w14:paraId="51A30D99" w14:textId="77777777" w:rsidTr="00FA54E0">
        <w:trPr>
          <w:trHeight w:val="190"/>
        </w:trPr>
        <w:tc>
          <w:tcPr>
            <w:tcW w:w="2258" w:type="dxa"/>
            <w:noWrap/>
            <w:vAlign w:val="center"/>
            <w:hideMark/>
          </w:tcPr>
          <w:p w14:paraId="67E3DA4A" w14:textId="77777777" w:rsidR="00BF4113" w:rsidRPr="004770A1" w:rsidRDefault="00BF4113" w:rsidP="003E1B9C">
            <w:pPr>
              <w:spacing w:after="0" w:line="278" w:lineRule="auto"/>
              <w:jc w:val="left"/>
              <w:rPr>
                <w:rFonts w:eastAsia="Times New Roman" w:cs="Calibri"/>
                <w:b/>
                <w:bCs/>
                <w:color w:val="000000" w:themeColor="text1"/>
                <w:sz w:val="18"/>
                <w:szCs w:val="18"/>
              </w:rPr>
            </w:pPr>
            <w:r w:rsidRPr="004770A1">
              <w:rPr>
                <w:rFonts w:eastAsia="Times New Roman" w:cs="Calibri"/>
                <w:b/>
                <w:bCs/>
                <w:color w:val="000000" w:themeColor="text1"/>
                <w:sz w:val="18"/>
                <w:szCs w:val="18"/>
              </w:rPr>
              <w:t>Comercialização Nacional</w:t>
            </w:r>
          </w:p>
        </w:tc>
        <w:tc>
          <w:tcPr>
            <w:tcW w:w="708" w:type="dxa"/>
            <w:noWrap/>
            <w:vAlign w:val="center"/>
            <w:hideMark/>
          </w:tcPr>
          <w:p w14:paraId="2B3A2E6A"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4730</w:t>
            </w:r>
          </w:p>
        </w:tc>
        <w:tc>
          <w:tcPr>
            <w:tcW w:w="709" w:type="dxa"/>
            <w:noWrap/>
            <w:vAlign w:val="center"/>
            <w:hideMark/>
          </w:tcPr>
          <w:p w14:paraId="721350B4"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87,5</w:t>
            </w:r>
          </w:p>
        </w:tc>
        <w:tc>
          <w:tcPr>
            <w:tcW w:w="709" w:type="dxa"/>
            <w:noWrap/>
            <w:vAlign w:val="center"/>
            <w:hideMark/>
          </w:tcPr>
          <w:p w14:paraId="6A0BEC12"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2313</w:t>
            </w:r>
          </w:p>
        </w:tc>
        <w:tc>
          <w:tcPr>
            <w:tcW w:w="567" w:type="dxa"/>
            <w:noWrap/>
            <w:vAlign w:val="center"/>
            <w:hideMark/>
          </w:tcPr>
          <w:p w14:paraId="666C50EB"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96</w:t>
            </w:r>
          </w:p>
        </w:tc>
        <w:tc>
          <w:tcPr>
            <w:tcW w:w="709" w:type="dxa"/>
            <w:noWrap/>
            <w:vAlign w:val="center"/>
            <w:hideMark/>
          </w:tcPr>
          <w:p w14:paraId="6469342A"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1499</w:t>
            </w:r>
          </w:p>
        </w:tc>
        <w:tc>
          <w:tcPr>
            <w:tcW w:w="708" w:type="dxa"/>
            <w:noWrap/>
            <w:vAlign w:val="center"/>
            <w:hideMark/>
          </w:tcPr>
          <w:p w14:paraId="33032592"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98,5</w:t>
            </w:r>
          </w:p>
        </w:tc>
        <w:tc>
          <w:tcPr>
            <w:tcW w:w="709" w:type="dxa"/>
            <w:noWrap/>
            <w:vAlign w:val="center"/>
            <w:hideMark/>
          </w:tcPr>
          <w:p w14:paraId="1AC5249D"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873</w:t>
            </w:r>
          </w:p>
        </w:tc>
        <w:tc>
          <w:tcPr>
            <w:tcW w:w="709" w:type="dxa"/>
            <w:noWrap/>
            <w:vAlign w:val="center"/>
            <w:hideMark/>
          </w:tcPr>
          <w:p w14:paraId="181A54F5"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95</w:t>
            </w:r>
          </w:p>
        </w:tc>
        <w:tc>
          <w:tcPr>
            <w:tcW w:w="709" w:type="dxa"/>
            <w:noWrap/>
            <w:vAlign w:val="center"/>
            <w:hideMark/>
          </w:tcPr>
          <w:p w14:paraId="4539FE24"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45</w:t>
            </w:r>
          </w:p>
        </w:tc>
        <w:tc>
          <w:tcPr>
            <w:tcW w:w="703" w:type="dxa"/>
            <w:noWrap/>
            <w:vAlign w:val="center"/>
            <w:hideMark/>
          </w:tcPr>
          <w:p w14:paraId="5CD77B53"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8,1</w:t>
            </w:r>
          </w:p>
        </w:tc>
      </w:tr>
      <w:tr w:rsidR="009D1D97" w:rsidRPr="00E90F80" w14:paraId="475B0089" w14:textId="77777777" w:rsidTr="00FA54E0">
        <w:trPr>
          <w:trHeight w:val="202"/>
        </w:trPr>
        <w:tc>
          <w:tcPr>
            <w:tcW w:w="2258" w:type="dxa"/>
            <w:noWrap/>
            <w:vAlign w:val="center"/>
            <w:hideMark/>
          </w:tcPr>
          <w:p w14:paraId="774D7661" w14:textId="77777777" w:rsidR="00BF4113" w:rsidRPr="004770A1" w:rsidRDefault="00BF4113" w:rsidP="003E1B9C">
            <w:pPr>
              <w:spacing w:after="0" w:line="278" w:lineRule="auto"/>
              <w:jc w:val="left"/>
              <w:rPr>
                <w:rFonts w:eastAsia="Times New Roman" w:cs="Calibri"/>
                <w:b/>
                <w:bCs/>
                <w:color w:val="000000" w:themeColor="text1"/>
                <w:sz w:val="18"/>
                <w:szCs w:val="18"/>
              </w:rPr>
            </w:pPr>
            <w:r w:rsidRPr="004770A1">
              <w:rPr>
                <w:rFonts w:eastAsia="Times New Roman" w:cs="Calibri"/>
                <w:b/>
                <w:bCs/>
                <w:color w:val="000000" w:themeColor="text1"/>
                <w:sz w:val="18"/>
                <w:szCs w:val="18"/>
              </w:rPr>
              <w:t>Exportação Senegal</w:t>
            </w:r>
          </w:p>
        </w:tc>
        <w:tc>
          <w:tcPr>
            <w:tcW w:w="708" w:type="dxa"/>
            <w:noWrap/>
            <w:vAlign w:val="center"/>
            <w:hideMark/>
          </w:tcPr>
          <w:p w14:paraId="71C3523C"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59,0</w:t>
            </w:r>
          </w:p>
        </w:tc>
        <w:tc>
          <w:tcPr>
            <w:tcW w:w="709" w:type="dxa"/>
            <w:noWrap/>
            <w:vAlign w:val="center"/>
            <w:hideMark/>
          </w:tcPr>
          <w:p w14:paraId="6D36B052"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w:t>
            </w:r>
          </w:p>
        </w:tc>
        <w:tc>
          <w:tcPr>
            <w:tcW w:w="709" w:type="dxa"/>
            <w:noWrap/>
            <w:vAlign w:val="center"/>
            <w:hideMark/>
          </w:tcPr>
          <w:p w14:paraId="6617229D"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59</w:t>
            </w:r>
          </w:p>
        </w:tc>
        <w:tc>
          <w:tcPr>
            <w:tcW w:w="567" w:type="dxa"/>
            <w:noWrap/>
            <w:vAlign w:val="center"/>
            <w:hideMark/>
          </w:tcPr>
          <w:p w14:paraId="2097BF5F"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2,5</w:t>
            </w:r>
          </w:p>
        </w:tc>
        <w:tc>
          <w:tcPr>
            <w:tcW w:w="709" w:type="dxa"/>
            <w:noWrap/>
            <w:vAlign w:val="center"/>
            <w:hideMark/>
          </w:tcPr>
          <w:p w14:paraId="78956D49"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8" w:type="dxa"/>
            <w:noWrap/>
            <w:vAlign w:val="center"/>
            <w:hideMark/>
          </w:tcPr>
          <w:p w14:paraId="178E7831"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9" w:type="dxa"/>
            <w:noWrap/>
            <w:vAlign w:val="center"/>
            <w:hideMark/>
          </w:tcPr>
          <w:p w14:paraId="4FA5AE37"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9" w:type="dxa"/>
            <w:noWrap/>
            <w:vAlign w:val="center"/>
            <w:hideMark/>
          </w:tcPr>
          <w:p w14:paraId="22195996"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9" w:type="dxa"/>
            <w:noWrap/>
            <w:vAlign w:val="center"/>
            <w:hideMark/>
          </w:tcPr>
          <w:p w14:paraId="418E8EA8"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3" w:type="dxa"/>
            <w:noWrap/>
            <w:vAlign w:val="center"/>
            <w:hideMark/>
          </w:tcPr>
          <w:p w14:paraId="1503A198" w14:textId="77777777" w:rsidR="00BF4113" w:rsidRPr="004770A1" w:rsidRDefault="00BF4113" w:rsidP="009D1D97">
            <w:pPr>
              <w:spacing w:after="0" w:line="278" w:lineRule="auto"/>
              <w:jc w:val="center"/>
              <w:rPr>
                <w:rFonts w:eastAsia="Times New Roman" w:cs="Calibri"/>
                <w:color w:val="000000" w:themeColor="text1"/>
                <w:sz w:val="18"/>
                <w:szCs w:val="18"/>
              </w:rPr>
            </w:pPr>
          </w:p>
        </w:tc>
      </w:tr>
      <w:tr w:rsidR="009D1D97" w:rsidRPr="00E90F80" w14:paraId="68E2E7BF" w14:textId="77777777" w:rsidTr="00FA54E0">
        <w:trPr>
          <w:trHeight w:val="190"/>
        </w:trPr>
        <w:tc>
          <w:tcPr>
            <w:tcW w:w="2258" w:type="dxa"/>
            <w:noWrap/>
            <w:vAlign w:val="center"/>
            <w:hideMark/>
          </w:tcPr>
          <w:p w14:paraId="09306A14" w14:textId="40215D8D" w:rsidR="00BF4113" w:rsidRPr="004770A1" w:rsidRDefault="00BF4113" w:rsidP="003E1B9C">
            <w:pPr>
              <w:spacing w:after="0" w:line="278" w:lineRule="auto"/>
              <w:jc w:val="left"/>
              <w:rPr>
                <w:rFonts w:eastAsia="Times New Roman" w:cs="Calibri"/>
                <w:b/>
                <w:bCs/>
                <w:color w:val="000000" w:themeColor="text1"/>
                <w:sz w:val="18"/>
                <w:szCs w:val="18"/>
              </w:rPr>
            </w:pPr>
            <w:r w:rsidRPr="004770A1">
              <w:rPr>
                <w:rFonts w:eastAsia="Times New Roman" w:cs="Calibri"/>
                <w:b/>
                <w:bCs/>
                <w:color w:val="000000" w:themeColor="text1"/>
                <w:sz w:val="18"/>
                <w:szCs w:val="18"/>
              </w:rPr>
              <w:t xml:space="preserve">Região Cacheu/S. </w:t>
            </w:r>
            <w:r w:rsidR="00FA54E0">
              <w:rPr>
                <w:rFonts w:eastAsia="Times New Roman" w:cs="Calibri"/>
                <w:b/>
                <w:bCs/>
                <w:color w:val="000000" w:themeColor="text1"/>
                <w:sz w:val="18"/>
                <w:szCs w:val="18"/>
              </w:rPr>
              <w:t>D</w:t>
            </w:r>
            <w:r w:rsidRPr="004770A1">
              <w:rPr>
                <w:rFonts w:eastAsia="Times New Roman" w:cs="Calibri"/>
                <w:b/>
                <w:bCs/>
                <w:color w:val="000000" w:themeColor="text1"/>
                <w:sz w:val="18"/>
                <w:szCs w:val="18"/>
              </w:rPr>
              <w:t>omingos</w:t>
            </w:r>
          </w:p>
        </w:tc>
        <w:tc>
          <w:tcPr>
            <w:tcW w:w="708" w:type="dxa"/>
            <w:noWrap/>
            <w:vAlign w:val="center"/>
            <w:hideMark/>
          </w:tcPr>
          <w:p w14:paraId="216240BB"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3173</w:t>
            </w:r>
          </w:p>
        </w:tc>
        <w:tc>
          <w:tcPr>
            <w:tcW w:w="709" w:type="dxa"/>
            <w:noWrap/>
            <w:vAlign w:val="center"/>
            <w:hideMark/>
          </w:tcPr>
          <w:p w14:paraId="515A1A01"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27</w:t>
            </w:r>
          </w:p>
        </w:tc>
        <w:tc>
          <w:tcPr>
            <w:tcW w:w="709" w:type="dxa"/>
            <w:noWrap/>
            <w:vAlign w:val="center"/>
            <w:hideMark/>
          </w:tcPr>
          <w:p w14:paraId="08A46A90"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567" w:type="dxa"/>
            <w:noWrap/>
            <w:vAlign w:val="center"/>
            <w:hideMark/>
          </w:tcPr>
          <w:p w14:paraId="2698D3C1"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9" w:type="dxa"/>
            <w:noWrap/>
            <w:vAlign w:val="center"/>
            <w:hideMark/>
          </w:tcPr>
          <w:p w14:paraId="50006ADB"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476</w:t>
            </w:r>
          </w:p>
        </w:tc>
        <w:tc>
          <w:tcPr>
            <w:tcW w:w="708" w:type="dxa"/>
            <w:noWrap/>
            <w:vAlign w:val="center"/>
            <w:hideMark/>
          </w:tcPr>
          <w:p w14:paraId="3B1021EF"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15</w:t>
            </w:r>
          </w:p>
        </w:tc>
        <w:tc>
          <w:tcPr>
            <w:tcW w:w="709" w:type="dxa"/>
            <w:noWrap/>
            <w:vAlign w:val="center"/>
            <w:hideMark/>
          </w:tcPr>
          <w:p w14:paraId="74F2A783"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1110</w:t>
            </w:r>
          </w:p>
        </w:tc>
        <w:tc>
          <w:tcPr>
            <w:tcW w:w="709" w:type="dxa"/>
            <w:noWrap/>
            <w:vAlign w:val="center"/>
            <w:hideMark/>
          </w:tcPr>
          <w:p w14:paraId="1C1136B1"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35</w:t>
            </w:r>
          </w:p>
        </w:tc>
        <w:tc>
          <w:tcPr>
            <w:tcW w:w="709" w:type="dxa"/>
            <w:noWrap/>
            <w:vAlign w:val="center"/>
            <w:hideMark/>
          </w:tcPr>
          <w:p w14:paraId="5B6BDF91"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1586</w:t>
            </w:r>
          </w:p>
        </w:tc>
        <w:tc>
          <w:tcPr>
            <w:tcW w:w="703" w:type="dxa"/>
            <w:noWrap/>
            <w:vAlign w:val="center"/>
            <w:hideMark/>
          </w:tcPr>
          <w:p w14:paraId="546CB184"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50</w:t>
            </w:r>
          </w:p>
        </w:tc>
      </w:tr>
      <w:tr w:rsidR="009D1D97" w:rsidRPr="00E90F80" w14:paraId="47772E89" w14:textId="77777777" w:rsidTr="00FA54E0">
        <w:trPr>
          <w:trHeight w:val="190"/>
        </w:trPr>
        <w:tc>
          <w:tcPr>
            <w:tcW w:w="2258" w:type="dxa"/>
            <w:noWrap/>
            <w:vAlign w:val="center"/>
            <w:hideMark/>
          </w:tcPr>
          <w:p w14:paraId="63E17F93" w14:textId="77777777" w:rsidR="00BF4113" w:rsidRPr="004770A1" w:rsidRDefault="00BF4113" w:rsidP="003E1B9C">
            <w:pPr>
              <w:spacing w:after="0" w:line="278" w:lineRule="auto"/>
              <w:jc w:val="left"/>
              <w:rPr>
                <w:rFonts w:eastAsia="Times New Roman" w:cs="Calibri"/>
                <w:b/>
                <w:bCs/>
                <w:color w:val="000000" w:themeColor="text1"/>
                <w:sz w:val="18"/>
                <w:szCs w:val="18"/>
              </w:rPr>
            </w:pPr>
            <w:r w:rsidRPr="004770A1">
              <w:rPr>
                <w:rFonts w:eastAsia="Times New Roman" w:cs="Calibri"/>
                <w:b/>
                <w:bCs/>
                <w:color w:val="000000" w:themeColor="text1"/>
                <w:sz w:val="18"/>
                <w:szCs w:val="18"/>
              </w:rPr>
              <w:t>Auto-consumo</w:t>
            </w:r>
          </w:p>
        </w:tc>
        <w:tc>
          <w:tcPr>
            <w:tcW w:w="708" w:type="dxa"/>
            <w:noWrap/>
            <w:vAlign w:val="center"/>
            <w:hideMark/>
          </w:tcPr>
          <w:p w14:paraId="5CE80789"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1060</w:t>
            </w:r>
          </w:p>
        </w:tc>
        <w:tc>
          <w:tcPr>
            <w:tcW w:w="709" w:type="dxa"/>
            <w:noWrap/>
            <w:vAlign w:val="center"/>
            <w:hideMark/>
          </w:tcPr>
          <w:p w14:paraId="4C760A81"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33,4</w:t>
            </w:r>
          </w:p>
        </w:tc>
        <w:tc>
          <w:tcPr>
            <w:tcW w:w="709" w:type="dxa"/>
            <w:noWrap/>
            <w:vAlign w:val="center"/>
            <w:hideMark/>
          </w:tcPr>
          <w:p w14:paraId="677DDABE"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567" w:type="dxa"/>
            <w:noWrap/>
            <w:vAlign w:val="center"/>
            <w:hideMark/>
          </w:tcPr>
          <w:p w14:paraId="623D89BB"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9" w:type="dxa"/>
            <w:noWrap/>
            <w:vAlign w:val="center"/>
            <w:hideMark/>
          </w:tcPr>
          <w:p w14:paraId="6DD9BB8C"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7,1</w:t>
            </w:r>
          </w:p>
        </w:tc>
        <w:tc>
          <w:tcPr>
            <w:tcW w:w="708" w:type="dxa"/>
            <w:noWrap/>
            <w:vAlign w:val="center"/>
            <w:hideMark/>
          </w:tcPr>
          <w:p w14:paraId="54FCEA49"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1,5</w:t>
            </w:r>
          </w:p>
        </w:tc>
        <w:tc>
          <w:tcPr>
            <w:tcW w:w="709" w:type="dxa"/>
            <w:noWrap/>
            <w:vAlign w:val="center"/>
            <w:hideMark/>
          </w:tcPr>
          <w:p w14:paraId="05B4D91A"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22</w:t>
            </w:r>
          </w:p>
        </w:tc>
        <w:tc>
          <w:tcPr>
            <w:tcW w:w="709" w:type="dxa"/>
            <w:noWrap/>
            <w:vAlign w:val="center"/>
            <w:hideMark/>
          </w:tcPr>
          <w:p w14:paraId="05F9611D"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2</w:t>
            </w:r>
          </w:p>
        </w:tc>
        <w:tc>
          <w:tcPr>
            <w:tcW w:w="709" w:type="dxa"/>
            <w:noWrap/>
            <w:vAlign w:val="center"/>
            <w:hideMark/>
          </w:tcPr>
          <w:p w14:paraId="4B0F3E85"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1031</w:t>
            </w:r>
          </w:p>
        </w:tc>
        <w:tc>
          <w:tcPr>
            <w:tcW w:w="703" w:type="dxa"/>
            <w:noWrap/>
            <w:vAlign w:val="center"/>
            <w:hideMark/>
          </w:tcPr>
          <w:p w14:paraId="22DE5BDF"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65</w:t>
            </w:r>
          </w:p>
        </w:tc>
      </w:tr>
      <w:tr w:rsidR="009D1D97" w:rsidRPr="00E90F80" w14:paraId="36E6FF84" w14:textId="77777777" w:rsidTr="00FA54E0">
        <w:trPr>
          <w:trHeight w:val="190"/>
        </w:trPr>
        <w:tc>
          <w:tcPr>
            <w:tcW w:w="2258" w:type="dxa"/>
            <w:noWrap/>
            <w:vAlign w:val="center"/>
            <w:hideMark/>
          </w:tcPr>
          <w:p w14:paraId="42412446" w14:textId="77777777" w:rsidR="00BF4113" w:rsidRPr="004770A1" w:rsidRDefault="00BF4113" w:rsidP="003E1B9C">
            <w:pPr>
              <w:spacing w:after="0" w:line="278" w:lineRule="auto"/>
              <w:jc w:val="left"/>
              <w:rPr>
                <w:rFonts w:eastAsia="Times New Roman" w:cs="Calibri"/>
                <w:b/>
                <w:bCs/>
                <w:color w:val="000000" w:themeColor="text1"/>
                <w:sz w:val="18"/>
                <w:szCs w:val="18"/>
              </w:rPr>
            </w:pPr>
            <w:r w:rsidRPr="004770A1">
              <w:rPr>
                <w:rFonts w:eastAsia="Times New Roman" w:cs="Calibri"/>
                <w:b/>
                <w:bCs/>
                <w:color w:val="000000" w:themeColor="text1"/>
                <w:sz w:val="18"/>
                <w:szCs w:val="18"/>
              </w:rPr>
              <w:t>Comercialização Nacional</w:t>
            </w:r>
          </w:p>
        </w:tc>
        <w:tc>
          <w:tcPr>
            <w:tcW w:w="708" w:type="dxa"/>
            <w:noWrap/>
            <w:vAlign w:val="center"/>
            <w:hideMark/>
          </w:tcPr>
          <w:p w14:paraId="5819577D"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2112</w:t>
            </w:r>
          </w:p>
        </w:tc>
        <w:tc>
          <w:tcPr>
            <w:tcW w:w="709" w:type="dxa"/>
            <w:noWrap/>
            <w:vAlign w:val="center"/>
            <w:hideMark/>
          </w:tcPr>
          <w:p w14:paraId="5F3E29E1"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66,6</w:t>
            </w:r>
          </w:p>
        </w:tc>
        <w:tc>
          <w:tcPr>
            <w:tcW w:w="709" w:type="dxa"/>
            <w:noWrap/>
            <w:vAlign w:val="center"/>
            <w:hideMark/>
          </w:tcPr>
          <w:p w14:paraId="6ED983E9"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567" w:type="dxa"/>
            <w:noWrap/>
            <w:vAlign w:val="center"/>
            <w:hideMark/>
          </w:tcPr>
          <w:p w14:paraId="29A6866B"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9" w:type="dxa"/>
            <w:noWrap/>
            <w:vAlign w:val="center"/>
            <w:hideMark/>
          </w:tcPr>
          <w:p w14:paraId="747F8B9D"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469</w:t>
            </w:r>
          </w:p>
        </w:tc>
        <w:tc>
          <w:tcPr>
            <w:tcW w:w="708" w:type="dxa"/>
            <w:noWrap/>
            <w:vAlign w:val="center"/>
            <w:hideMark/>
          </w:tcPr>
          <w:p w14:paraId="5C1BF095"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98,5</w:t>
            </w:r>
          </w:p>
        </w:tc>
        <w:tc>
          <w:tcPr>
            <w:tcW w:w="709" w:type="dxa"/>
            <w:noWrap/>
            <w:vAlign w:val="center"/>
            <w:hideMark/>
          </w:tcPr>
          <w:p w14:paraId="36E96935"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1088</w:t>
            </w:r>
          </w:p>
        </w:tc>
        <w:tc>
          <w:tcPr>
            <w:tcW w:w="709" w:type="dxa"/>
            <w:noWrap/>
            <w:vAlign w:val="center"/>
            <w:hideMark/>
          </w:tcPr>
          <w:p w14:paraId="3375F15E"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98</w:t>
            </w:r>
          </w:p>
        </w:tc>
        <w:tc>
          <w:tcPr>
            <w:tcW w:w="709" w:type="dxa"/>
            <w:noWrap/>
            <w:vAlign w:val="center"/>
            <w:hideMark/>
          </w:tcPr>
          <w:p w14:paraId="4EB97831"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555</w:t>
            </w:r>
          </w:p>
        </w:tc>
        <w:tc>
          <w:tcPr>
            <w:tcW w:w="703" w:type="dxa"/>
            <w:noWrap/>
            <w:vAlign w:val="center"/>
            <w:hideMark/>
          </w:tcPr>
          <w:p w14:paraId="3C44CFDC"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35</w:t>
            </w:r>
          </w:p>
        </w:tc>
      </w:tr>
      <w:tr w:rsidR="009D1D97" w:rsidRPr="00E90F80" w14:paraId="6198266E" w14:textId="77777777" w:rsidTr="00FA54E0">
        <w:trPr>
          <w:trHeight w:val="247"/>
        </w:trPr>
        <w:tc>
          <w:tcPr>
            <w:tcW w:w="2258" w:type="dxa"/>
            <w:noWrap/>
            <w:vAlign w:val="center"/>
            <w:hideMark/>
          </w:tcPr>
          <w:p w14:paraId="56E54790" w14:textId="77777777" w:rsidR="00BF4113" w:rsidRPr="004770A1" w:rsidRDefault="00BF4113" w:rsidP="003E1B9C">
            <w:pPr>
              <w:spacing w:after="0" w:line="278" w:lineRule="auto"/>
              <w:jc w:val="left"/>
              <w:rPr>
                <w:rFonts w:eastAsia="Times New Roman" w:cs="Calibri"/>
                <w:b/>
                <w:bCs/>
                <w:color w:val="000000" w:themeColor="text1"/>
                <w:sz w:val="18"/>
                <w:szCs w:val="18"/>
              </w:rPr>
            </w:pPr>
            <w:r w:rsidRPr="004770A1">
              <w:rPr>
                <w:rFonts w:eastAsia="Times New Roman" w:cs="Calibri"/>
                <w:b/>
                <w:bCs/>
                <w:color w:val="000000" w:themeColor="text1"/>
                <w:sz w:val="18"/>
                <w:szCs w:val="18"/>
              </w:rPr>
              <w:t>Região Bafátá</w:t>
            </w:r>
          </w:p>
        </w:tc>
        <w:tc>
          <w:tcPr>
            <w:tcW w:w="708" w:type="dxa"/>
            <w:noWrap/>
            <w:vAlign w:val="center"/>
            <w:hideMark/>
          </w:tcPr>
          <w:p w14:paraId="34F74CA2"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1293</w:t>
            </w:r>
          </w:p>
        </w:tc>
        <w:tc>
          <w:tcPr>
            <w:tcW w:w="709" w:type="dxa"/>
            <w:noWrap/>
            <w:vAlign w:val="center"/>
            <w:hideMark/>
          </w:tcPr>
          <w:p w14:paraId="0E43BD38"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11</w:t>
            </w:r>
          </w:p>
        </w:tc>
        <w:tc>
          <w:tcPr>
            <w:tcW w:w="709" w:type="dxa"/>
            <w:noWrap/>
            <w:vAlign w:val="center"/>
            <w:hideMark/>
          </w:tcPr>
          <w:p w14:paraId="57BEC311"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567" w:type="dxa"/>
            <w:noWrap/>
            <w:vAlign w:val="center"/>
            <w:hideMark/>
          </w:tcPr>
          <w:p w14:paraId="4C4E4615"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9" w:type="dxa"/>
            <w:noWrap/>
            <w:vAlign w:val="center"/>
            <w:hideMark/>
          </w:tcPr>
          <w:p w14:paraId="71E36479"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8" w:type="dxa"/>
            <w:noWrap/>
            <w:vAlign w:val="center"/>
            <w:hideMark/>
          </w:tcPr>
          <w:p w14:paraId="3B9275C9"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9" w:type="dxa"/>
            <w:noWrap/>
            <w:vAlign w:val="center"/>
            <w:hideMark/>
          </w:tcPr>
          <w:p w14:paraId="7CBD7536"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388</w:t>
            </w:r>
          </w:p>
        </w:tc>
        <w:tc>
          <w:tcPr>
            <w:tcW w:w="709" w:type="dxa"/>
            <w:noWrap/>
            <w:vAlign w:val="center"/>
            <w:hideMark/>
          </w:tcPr>
          <w:p w14:paraId="0B46869E"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3</w:t>
            </w:r>
          </w:p>
        </w:tc>
        <w:tc>
          <w:tcPr>
            <w:tcW w:w="709" w:type="dxa"/>
            <w:noWrap/>
            <w:vAlign w:val="center"/>
            <w:hideMark/>
          </w:tcPr>
          <w:p w14:paraId="2BA70163"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905</w:t>
            </w:r>
          </w:p>
        </w:tc>
        <w:tc>
          <w:tcPr>
            <w:tcW w:w="703" w:type="dxa"/>
            <w:noWrap/>
            <w:vAlign w:val="center"/>
            <w:hideMark/>
          </w:tcPr>
          <w:p w14:paraId="40ED1053"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7</w:t>
            </w:r>
          </w:p>
        </w:tc>
      </w:tr>
      <w:tr w:rsidR="009D1D97" w:rsidRPr="00E90F80" w14:paraId="34091A37" w14:textId="77777777" w:rsidTr="00FA54E0">
        <w:trPr>
          <w:trHeight w:val="190"/>
        </w:trPr>
        <w:tc>
          <w:tcPr>
            <w:tcW w:w="2258" w:type="dxa"/>
            <w:noWrap/>
            <w:vAlign w:val="center"/>
            <w:hideMark/>
          </w:tcPr>
          <w:p w14:paraId="2507217B" w14:textId="77777777" w:rsidR="00BF4113" w:rsidRPr="004770A1" w:rsidRDefault="00BF4113" w:rsidP="003E1B9C">
            <w:pPr>
              <w:spacing w:after="0" w:line="278" w:lineRule="auto"/>
              <w:jc w:val="left"/>
              <w:rPr>
                <w:rFonts w:eastAsia="Times New Roman" w:cs="Calibri"/>
                <w:b/>
                <w:bCs/>
                <w:color w:val="000000" w:themeColor="text1"/>
                <w:sz w:val="18"/>
                <w:szCs w:val="18"/>
              </w:rPr>
            </w:pPr>
            <w:r w:rsidRPr="004770A1">
              <w:rPr>
                <w:rFonts w:eastAsia="Times New Roman" w:cs="Calibri"/>
                <w:b/>
                <w:bCs/>
                <w:color w:val="000000" w:themeColor="text1"/>
                <w:sz w:val="18"/>
                <w:szCs w:val="18"/>
              </w:rPr>
              <w:t>Auto-consumo</w:t>
            </w:r>
          </w:p>
        </w:tc>
        <w:tc>
          <w:tcPr>
            <w:tcW w:w="708" w:type="dxa"/>
            <w:noWrap/>
            <w:vAlign w:val="center"/>
            <w:hideMark/>
          </w:tcPr>
          <w:p w14:paraId="1D9C2528"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607</w:t>
            </w:r>
          </w:p>
        </w:tc>
        <w:tc>
          <w:tcPr>
            <w:tcW w:w="709" w:type="dxa"/>
            <w:noWrap/>
            <w:vAlign w:val="center"/>
            <w:hideMark/>
          </w:tcPr>
          <w:p w14:paraId="0A4A2F39"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47</w:t>
            </w:r>
          </w:p>
        </w:tc>
        <w:tc>
          <w:tcPr>
            <w:tcW w:w="709" w:type="dxa"/>
            <w:noWrap/>
            <w:vAlign w:val="center"/>
            <w:hideMark/>
          </w:tcPr>
          <w:p w14:paraId="5B026051"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567" w:type="dxa"/>
            <w:noWrap/>
            <w:vAlign w:val="center"/>
            <w:hideMark/>
          </w:tcPr>
          <w:p w14:paraId="0535EFA0"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9" w:type="dxa"/>
            <w:noWrap/>
            <w:vAlign w:val="center"/>
            <w:hideMark/>
          </w:tcPr>
          <w:p w14:paraId="01368BB2"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8" w:type="dxa"/>
            <w:noWrap/>
            <w:vAlign w:val="center"/>
            <w:hideMark/>
          </w:tcPr>
          <w:p w14:paraId="2499D27B"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9" w:type="dxa"/>
            <w:noWrap/>
            <w:vAlign w:val="center"/>
            <w:hideMark/>
          </w:tcPr>
          <w:p w14:paraId="3C2C6F9C"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16,3</w:t>
            </w:r>
          </w:p>
        </w:tc>
        <w:tc>
          <w:tcPr>
            <w:tcW w:w="709" w:type="dxa"/>
            <w:noWrap/>
            <w:vAlign w:val="center"/>
            <w:hideMark/>
          </w:tcPr>
          <w:p w14:paraId="0FC2781F"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4,2</w:t>
            </w:r>
          </w:p>
        </w:tc>
        <w:tc>
          <w:tcPr>
            <w:tcW w:w="709" w:type="dxa"/>
            <w:noWrap/>
            <w:vAlign w:val="center"/>
            <w:hideMark/>
          </w:tcPr>
          <w:p w14:paraId="32870139"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591</w:t>
            </w:r>
          </w:p>
        </w:tc>
        <w:tc>
          <w:tcPr>
            <w:tcW w:w="703" w:type="dxa"/>
            <w:noWrap/>
            <w:vAlign w:val="center"/>
            <w:hideMark/>
          </w:tcPr>
          <w:p w14:paraId="0046B7E2"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65,3</w:t>
            </w:r>
          </w:p>
        </w:tc>
      </w:tr>
      <w:tr w:rsidR="009D1D97" w:rsidRPr="00E90F80" w14:paraId="516E1DD1" w14:textId="77777777" w:rsidTr="00FA54E0">
        <w:trPr>
          <w:trHeight w:val="269"/>
        </w:trPr>
        <w:tc>
          <w:tcPr>
            <w:tcW w:w="2258" w:type="dxa"/>
            <w:noWrap/>
            <w:vAlign w:val="center"/>
            <w:hideMark/>
          </w:tcPr>
          <w:p w14:paraId="5C3F83E6" w14:textId="77777777" w:rsidR="00BF4113" w:rsidRPr="004770A1" w:rsidRDefault="00BF4113" w:rsidP="003E1B9C">
            <w:pPr>
              <w:spacing w:after="0" w:line="278" w:lineRule="auto"/>
              <w:jc w:val="left"/>
              <w:rPr>
                <w:rFonts w:eastAsia="Times New Roman" w:cs="Calibri"/>
                <w:b/>
                <w:bCs/>
                <w:color w:val="000000" w:themeColor="text1"/>
                <w:sz w:val="18"/>
                <w:szCs w:val="18"/>
              </w:rPr>
            </w:pPr>
            <w:r w:rsidRPr="004770A1">
              <w:rPr>
                <w:rFonts w:eastAsia="Times New Roman" w:cs="Calibri"/>
                <w:b/>
                <w:bCs/>
                <w:color w:val="000000" w:themeColor="text1"/>
                <w:sz w:val="18"/>
                <w:szCs w:val="18"/>
              </w:rPr>
              <w:t>Comercialização Nacional</w:t>
            </w:r>
          </w:p>
        </w:tc>
        <w:tc>
          <w:tcPr>
            <w:tcW w:w="708" w:type="dxa"/>
            <w:noWrap/>
            <w:vAlign w:val="center"/>
            <w:hideMark/>
          </w:tcPr>
          <w:p w14:paraId="0BB40791"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685</w:t>
            </w:r>
          </w:p>
        </w:tc>
        <w:tc>
          <w:tcPr>
            <w:tcW w:w="709" w:type="dxa"/>
            <w:noWrap/>
            <w:vAlign w:val="center"/>
            <w:hideMark/>
          </w:tcPr>
          <w:p w14:paraId="14930691"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53</w:t>
            </w:r>
          </w:p>
        </w:tc>
        <w:tc>
          <w:tcPr>
            <w:tcW w:w="709" w:type="dxa"/>
            <w:noWrap/>
            <w:vAlign w:val="center"/>
            <w:hideMark/>
          </w:tcPr>
          <w:p w14:paraId="676FA7B0"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567" w:type="dxa"/>
            <w:noWrap/>
            <w:vAlign w:val="center"/>
            <w:hideMark/>
          </w:tcPr>
          <w:p w14:paraId="418101ED"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9" w:type="dxa"/>
            <w:noWrap/>
            <w:vAlign w:val="center"/>
            <w:hideMark/>
          </w:tcPr>
          <w:p w14:paraId="0D33A5A9"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8" w:type="dxa"/>
            <w:noWrap/>
            <w:vAlign w:val="center"/>
            <w:hideMark/>
          </w:tcPr>
          <w:p w14:paraId="1166FF97"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9" w:type="dxa"/>
            <w:noWrap/>
            <w:vAlign w:val="center"/>
            <w:hideMark/>
          </w:tcPr>
          <w:p w14:paraId="37680A5D"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371</w:t>
            </w:r>
          </w:p>
        </w:tc>
        <w:tc>
          <w:tcPr>
            <w:tcW w:w="709" w:type="dxa"/>
            <w:noWrap/>
            <w:vAlign w:val="center"/>
            <w:hideMark/>
          </w:tcPr>
          <w:p w14:paraId="2D6268B4"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95,8</w:t>
            </w:r>
          </w:p>
        </w:tc>
        <w:tc>
          <w:tcPr>
            <w:tcW w:w="709" w:type="dxa"/>
            <w:noWrap/>
            <w:vAlign w:val="center"/>
            <w:hideMark/>
          </w:tcPr>
          <w:p w14:paraId="33578FD7"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313,9</w:t>
            </w:r>
          </w:p>
        </w:tc>
        <w:tc>
          <w:tcPr>
            <w:tcW w:w="703" w:type="dxa"/>
            <w:noWrap/>
            <w:vAlign w:val="center"/>
            <w:hideMark/>
          </w:tcPr>
          <w:p w14:paraId="41360BC3"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34,7</w:t>
            </w:r>
          </w:p>
        </w:tc>
      </w:tr>
      <w:tr w:rsidR="009D1D97" w:rsidRPr="00E90F80" w14:paraId="7BF41F42" w14:textId="77777777" w:rsidTr="00FA54E0">
        <w:trPr>
          <w:trHeight w:val="185"/>
        </w:trPr>
        <w:tc>
          <w:tcPr>
            <w:tcW w:w="2258" w:type="dxa"/>
            <w:noWrap/>
            <w:vAlign w:val="center"/>
            <w:hideMark/>
          </w:tcPr>
          <w:p w14:paraId="087ABCF0" w14:textId="77777777" w:rsidR="00BF4113" w:rsidRPr="004770A1" w:rsidRDefault="00BF4113" w:rsidP="003E1B9C">
            <w:pPr>
              <w:spacing w:after="0" w:line="278" w:lineRule="auto"/>
              <w:jc w:val="left"/>
              <w:rPr>
                <w:rFonts w:eastAsia="Times New Roman" w:cs="Calibri"/>
                <w:b/>
                <w:bCs/>
                <w:color w:val="000000" w:themeColor="text1"/>
                <w:sz w:val="18"/>
                <w:szCs w:val="18"/>
              </w:rPr>
            </w:pPr>
            <w:r w:rsidRPr="004770A1">
              <w:rPr>
                <w:rFonts w:eastAsia="Times New Roman" w:cs="Calibri"/>
                <w:b/>
                <w:bCs/>
                <w:color w:val="000000" w:themeColor="text1"/>
                <w:sz w:val="18"/>
                <w:szCs w:val="18"/>
              </w:rPr>
              <w:t>Resto do país</w:t>
            </w:r>
          </w:p>
        </w:tc>
        <w:tc>
          <w:tcPr>
            <w:tcW w:w="708" w:type="dxa"/>
            <w:noWrap/>
            <w:vAlign w:val="center"/>
            <w:hideMark/>
          </w:tcPr>
          <w:p w14:paraId="67AEE6C7"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1880</w:t>
            </w:r>
          </w:p>
        </w:tc>
        <w:tc>
          <w:tcPr>
            <w:tcW w:w="709" w:type="dxa"/>
            <w:noWrap/>
            <w:vAlign w:val="center"/>
            <w:hideMark/>
          </w:tcPr>
          <w:p w14:paraId="3BD844D9"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16</w:t>
            </w:r>
          </w:p>
        </w:tc>
        <w:tc>
          <w:tcPr>
            <w:tcW w:w="709" w:type="dxa"/>
            <w:noWrap/>
            <w:vAlign w:val="center"/>
            <w:hideMark/>
          </w:tcPr>
          <w:p w14:paraId="72D60987"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567" w:type="dxa"/>
            <w:noWrap/>
            <w:vAlign w:val="center"/>
            <w:hideMark/>
          </w:tcPr>
          <w:p w14:paraId="183871F0"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9" w:type="dxa"/>
            <w:noWrap/>
            <w:vAlign w:val="center"/>
            <w:hideMark/>
          </w:tcPr>
          <w:p w14:paraId="4877BB42"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8" w:type="dxa"/>
            <w:noWrap/>
            <w:vAlign w:val="center"/>
            <w:hideMark/>
          </w:tcPr>
          <w:p w14:paraId="3457C039"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9" w:type="dxa"/>
            <w:noWrap/>
            <w:vAlign w:val="center"/>
            <w:hideMark/>
          </w:tcPr>
          <w:p w14:paraId="25761E1B"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579</w:t>
            </w:r>
          </w:p>
        </w:tc>
        <w:tc>
          <w:tcPr>
            <w:tcW w:w="709" w:type="dxa"/>
            <w:noWrap/>
            <w:vAlign w:val="center"/>
            <w:hideMark/>
          </w:tcPr>
          <w:p w14:paraId="3F6DABA7"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30,8</w:t>
            </w:r>
          </w:p>
        </w:tc>
        <w:tc>
          <w:tcPr>
            <w:tcW w:w="709" w:type="dxa"/>
            <w:noWrap/>
            <w:vAlign w:val="center"/>
            <w:hideMark/>
          </w:tcPr>
          <w:p w14:paraId="6D5F0832"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1301</w:t>
            </w:r>
          </w:p>
        </w:tc>
        <w:tc>
          <w:tcPr>
            <w:tcW w:w="703" w:type="dxa"/>
            <w:noWrap/>
            <w:vAlign w:val="center"/>
            <w:hideMark/>
          </w:tcPr>
          <w:p w14:paraId="71CA60E5"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69</w:t>
            </w:r>
          </w:p>
        </w:tc>
      </w:tr>
      <w:tr w:rsidR="009D1D97" w:rsidRPr="00E90F80" w14:paraId="6F968EB8" w14:textId="77777777" w:rsidTr="00FA54E0">
        <w:trPr>
          <w:trHeight w:val="190"/>
        </w:trPr>
        <w:tc>
          <w:tcPr>
            <w:tcW w:w="2258" w:type="dxa"/>
            <w:noWrap/>
            <w:vAlign w:val="center"/>
            <w:hideMark/>
          </w:tcPr>
          <w:p w14:paraId="5F6020BC" w14:textId="77777777" w:rsidR="00BF4113" w:rsidRPr="004770A1" w:rsidRDefault="00BF4113" w:rsidP="003E1B9C">
            <w:pPr>
              <w:spacing w:after="0" w:line="278" w:lineRule="auto"/>
              <w:jc w:val="left"/>
              <w:rPr>
                <w:rFonts w:eastAsia="Times New Roman" w:cs="Calibri"/>
                <w:b/>
                <w:bCs/>
                <w:color w:val="000000" w:themeColor="text1"/>
                <w:sz w:val="18"/>
                <w:szCs w:val="18"/>
              </w:rPr>
            </w:pPr>
            <w:r w:rsidRPr="004770A1">
              <w:rPr>
                <w:rFonts w:eastAsia="Times New Roman" w:cs="Calibri"/>
                <w:b/>
                <w:bCs/>
                <w:color w:val="000000" w:themeColor="text1"/>
                <w:sz w:val="18"/>
                <w:szCs w:val="18"/>
              </w:rPr>
              <w:t>Auto-consumo</w:t>
            </w:r>
          </w:p>
        </w:tc>
        <w:tc>
          <w:tcPr>
            <w:tcW w:w="708" w:type="dxa"/>
            <w:noWrap/>
            <w:vAlign w:val="center"/>
            <w:hideMark/>
          </w:tcPr>
          <w:p w14:paraId="05D4AC95"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616</w:t>
            </w:r>
          </w:p>
        </w:tc>
        <w:tc>
          <w:tcPr>
            <w:tcW w:w="709" w:type="dxa"/>
            <w:noWrap/>
            <w:vAlign w:val="center"/>
            <w:hideMark/>
          </w:tcPr>
          <w:p w14:paraId="4AED9344"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33</w:t>
            </w:r>
          </w:p>
        </w:tc>
        <w:tc>
          <w:tcPr>
            <w:tcW w:w="709" w:type="dxa"/>
            <w:noWrap/>
            <w:vAlign w:val="center"/>
            <w:hideMark/>
          </w:tcPr>
          <w:p w14:paraId="173767F4"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567" w:type="dxa"/>
            <w:noWrap/>
            <w:vAlign w:val="center"/>
            <w:hideMark/>
          </w:tcPr>
          <w:p w14:paraId="439BC3B9"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9" w:type="dxa"/>
            <w:noWrap/>
            <w:vAlign w:val="center"/>
            <w:hideMark/>
          </w:tcPr>
          <w:p w14:paraId="49B06001"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8" w:type="dxa"/>
            <w:noWrap/>
            <w:vAlign w:val="center"/>
            <w:hideMark/>
          </w:tcPr>
          <w:p w14:paraId="0E5FF15D"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9" w:type="dxa"/>
            <w:noWrap/>
            <w:vAlign w:val="center"/>
            <w:hideMark/>
          </w:tcPr>
          <w:p w14:paraId="11BB3EF3"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69</w:t>
            </w:r>
          </w:p>
        </w:tc>
        <w:tc>
          <w:tcPr>
            <w:tcW w:w="709" w:type="dxa"/>
            <w:noWrap/>
            <w:vAlign w:val="center"/>
            <w:hideMark/>
          </w:tcPr>
          <w:p w14:paraId="576AB2AA"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12</w:t>
            </w:r>
          </w:p>
        </w:tc>
        <w:tc>
          <w:tcPr>
            <w:tcW w:w="709" w:type="dxa"/>
            <w:noWrap/>
            <w:vAlign w:val="center"/>
            <w:hideMark/>
          </w:tcPr>
          <w:p w14:paraId="3354FB0D"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546</w:t>
            </w:r>
          </w:p>
        </w:tc>
        <w:tc>
          <w:tcPr>
            <w:tcW w:w="703" w:type="dxa"/>
            <w:noWrap/>
            <w:vAlign w:val="center"/>
            <w:hideMark/>
          </w:tcPr>
          <w:p w14:paraId="5E2FECA6"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42</w:t>
            </w:r>
          </w:p>
        </w:tc>
      </w:tr>
      <w:tr w:rsidR="009D1D97" w:rsidRPr="00E90F80" w14:paraId="0E4C3674" w14:textId="77777777" w:rsidTr="00FA54E0">
        <w:trPr>
          <w:trHeight w:val="359"/>
        </w:trPr>
        <w:tc>
          <w:tcPr>
            <w:tcW w:w="2258" w:type="dxa"/>
            <w:noWrap/>
            <w:vAlign w:val="center"/>
            <w:hideMark/>
          </w:tcPr>
          <w:p w14:paraId="7DEE10B1" w14:textId="77777777" w:rsidR="00BF4113" w:rsidRPr="004770A1" w:rsidRDefault="00BF4113" w:rsidP="003E1B9C">
            <w:pPr>
              <w:spacing w:after="0" w:line="278" w:lineRule="auto"/>
              <w:jc w:val="left"/>
              <w:rPr>
                <w:rFonts w:eastAsia="Times New Roman" w:cs="Calibri"/>
                <w:b/>
                <w:bCs/>
                <w:color w:val="000000" w:themeColor="text1"/>
                <w:sz w:val="18"/>
                <w:szCs w:val="18"/>
              </w:rPr>
            </w:pPr>
            <w:r w:rsidRPr="004770A1">
              <w:rPr>
                <w:rFonts w:eastAsia="Times New Roman" w:cs="Calibri"/>
                <w:b/>
                <w:bCs/>
                <w:color w:val="000000" w:themeColor="text1"/>
                <w:sz w:val="18"/>
                <w:szCs w:val="18"/>
              </w:rPr>
              <w:t>Comercialização Nacional</w:t>
            </w:r>
          </w:p>
        </w:tc>
        <w:tc>
          <w:tcPr>
            <w:tcW w:w="708" w:type="dxa"/>
            <w:noWrap/>
            <w:vAlign w:val="center"/>
            <w:hideMark/>
          </w:tcPr>
          <w:p w14:paraId="31034D10"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1260</w:t>
            </w:r>
          </w:p>
        </w:tc>
        <w:tc>
          <w:tcPr>
            <w:tcW w:w="709" w:type="dxa"/>
            <w:noWrap/>
            <w:vAlign w:val="center"/>
            <w:hideMark/>
          </w:tcPr>
          <w:p w14:paraId="66B034E7"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67</w:t>
            </w:r>
          </w:p>
        </w:tc>
        <w:tc>
          <w:tcPr>
            <w:tcW w:w="709" w:type="dxa"/>
            <w:noWrap/>
            <w:vAlign w:val="center"/>
            <w:hideMark/>
          </w:tcPr>
          <w:p w14:paraId="10EA76CF"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567" w:type="dxa"/>
            <w:noWrap/>
            <w:vAlign w:val="center"/>
            <w:hideMark/>
          </w:tcPr>
          <w:p w14:paraId="0DDCA477"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9" w:type="dxa"/>
            <w:noWrap/>
            <w:vAlign w:val="center"/>
            <w:hideMark/>
          </w:tcPr>
          <w:p w14:paraId="649E24B9"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8" w:type="dxa"/>
            <w:noWrap/>
            <w:vAlign w:val="center"/>
            <w:hideMark/>
          </w:tcPr>
          <w:p w14:paraId="21F3AF97" w14:textId="77777777" w:rsidR="00BF4113" w:rsidRPr="004770A1" w:rsidRDefault="00BF4113" w:rsidP="009D1D97">
            <w:pPr>
              <w:spacing w:after="0" w:line="278" w:lineRule="auto"/>
              <w:jc w:val="center"/>
              <w:rPr>
                <w:rFonts w:eastAsia="Times New Roman" w:cs="Calibri"/>
                <w:color w:val="000000" w:themeColor="text1"/>
                <w:sz w:val="18"/>
                <w:szCs w:val="18"/>
              </w:rPr>
            </w:pPr>
          </w:p>
        </w:tc>
        <w:tc>
          <w:tcPr>
            <w:tcW w:w="709" w:type="dxa"/>
            <w:noWrap/>
            <w:vAlign w:val="center"/>
            <w:hideMark/>
          </w:tcPr>
          <w:p w14:paraId="1CA3FA4A"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510</w:t>
            </w:r>
          </w:p>
        </w:tc>
        <w:tc>
          <w:tcPr>
            <w:tcW w:w="709" w:type="dxa"/>
            <w:noWrap/>
            <w:vAlign w:val="center"/>
            <w:hideMark/>
          </w:tcPr>
          <w:p w14:paraId="59C5B8D4"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88</w:t>
            </w:r>
          </w:p>
        </w:tc>
        <w:tc>
          <w:tcPr>
            <w:tcW w:w="709" w:type="dxa"/>
            <w:noWrap/>
            <w:vAlign w:val="center"/>
            <w:hideMark/>
          </w:tcPr>
          <w:p w14:paraId="115095F4"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751</w:t>
            </w:r>
          </w:p>
        </w:tc>
        <w:tc>
          <w:tcPr>
            <w:tcW w:w="703" w:type="dxa"/>
            <w:noWrap/>
            <w:vAlign w:val="center"/>
            <w:hideMark/>
          </w:tcPr>
          <w:p w14:paraId="5B956B8F"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58</w:t>
            </w:r>
          </w:p>
        </w:tc>
      </w:tr>
      <w:tr w:rsidR="009D1D97" w:rsidRPr="00E90F80" w14:paraId="0B6A72E0" w14:textId="77777777" w:rsidTr="00FA54E0">
        <w:trPr>
          <w:trHeight w:val="190"/>
        </w:trPr>
        <w:tc>
          <w:tcPr>
            <w:tcW w:w="2258" w:type="dxa"/>
            <w:noWrap/>
            <w:vAlign w:val="center"/>
            <w:hideMark/>
          </w:tcPr>
          <w:p w14:paraId="1CD1AA07" w14:textId="77777777" w:rsidR="00BF4113" w:rsidRPr="004770A1" w:rsidRDefault="00BF4113" w:rsidP="003E1B9C">
            <w:pPr>
              <w:spacing w:after="0" w:line="278" w:lineRule="auto"/>
              <w:jc w:val="left"/>
              <w:rPr>
                <w:rFonts w:eastAsia="Times New Roman" w:cs="Calibri"/>
                <w:b/>
                <w:bCs/>
                <w:color w:val="000000" w:themeColor="text1"/>
                <w:sz w:val="18"/>
                <w:szCs w:val="18"/>
              </w:rPr>
            </w:pPr>
            <w:r w:rsidRPr="004770A1">
              <w:rPr>
                <w:rFonts w:eastAsia="Times New Roman" w:cs="Calibri"/>
                <w:b/>
                <w:bCs/>
                <w:color w:val="000000" w:themeColor="text1"/>
                <w:sz w:val="18"/>
                <w:szCs w:val="18"/>
              </w:rPr>
              <w:t>Venda mercado nacional</w:t>
            </w:r>
          </w:p>
        </w:tc>
        <w:tc>
          <w:tcPr>
            <w:tcW w:w="708" w:type="dxa"/>
            <w:noWrap/>
            <w:vAlign w:val="center"/>
            <w:hideMark/>
          </w:tcPr>
          <w:p w14:paraId="327496A0"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8787</w:t>
            </w:r>
          </w:p>
        </w:tc>
        <w:tc>
          <w:tcPr>
            <w:tcW w:w="709" w:type="dxa"/>
            <w:noWrap/>
            <w:vAlign w:val="center"/>
            <w:hideMark/>
          </w:tcPr>
          <w:p w14:paraId="3DC347ED"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74,8</w:t>
            </w:r>
          </w:p>
        </w:tc>
        <w:tc>
          <w:tcPr>
            <w:tcW w:w="709" w:type="dxa"/>
            <w:noWrap/>
            <w:vAlign w:val="center"/>
            <w:hideMark/>
          </w:tcPr>
          <w:p w14:paraId="07AB13BC"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2313</w:t>
            </w:r>
          </w:p>
        </w:tc>
        <w:tc>
          <w:tcPr>
            <w:tcW w:w="567" w:type="dxa"/>
            <w:noWrap/>
            <w:vAlign w:val="center"/>
            <w:hideMark/>
          </w:tcPr>
          <w:p w14:paraId="4920D575"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26,3</w:t>
            </w:r>
          </w:p>
        </w:tc>
        <w:tc>
          <w:tcPr>
            <w:tcW w:w="709" w:type="dxa"/>
            <w:noWrap/>
            <w:vAlign w:val="center"/>
            <w:hideMark/>
          </w:tcPr>
          <w:p w14:paraId="0BA9D242"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1968</w:t>
            </w:r>
          </w:p>
        </w:tc>
        <w:tc>
          <w:tcPr>
            <w:tcW w:w="708" w:type="dxa"/>
            <w:noWrap/>
            <w:vAlign w:val="center"/>
            <w:hideMark/>
          </w:tcPr>
          <w:p w14:paraId="0CF3DEE8" w14:textId="77777777" w:rsidR="00BF4113" w:rsidRPr="004770A1" w:rsidRDefault="00BF4113" w:rsidP="009D1D97">
            <w:pPr>
              <w:spacing w:after="0" w:line="278" w:lineRule="auto"/>
              <w:ind w:right="-397"/>
              <w:rPr>
                <w:rFonts w:eastAsia="Times New Roman" w:cs="Calibri"/>
                <w:color w:val="000000" w:themeColor="text1"/>
                <w:sz w:val="18"/>
                <w:szCs w:val="18"/>
              </w:rPr>
            </w:pPr>
            <w:r w:rsidRPr="004770A1">
              <w:rPr>
                <w:rFonts w:eastAsia="Times New Roman" w:cs="Calibri"/>
                <w:color w:val="000000" w:themeColor="text1"/>
                <w:sz w:val="18"/>
                <w:szCs w:val="18"/>
              </w:rPr>
              <w:t>22,4</w:t>
            </w:r>
          </w:p>
        </w:tc>
        <w:tc>
          <w:tcPr>
            <w:tcW w:w="709" w:type="dxa"/>
            <w:noWrap/>
            <w:vAlign w:val="center"/>
            <w:hideMark/>
          </w:tcPr>
          <w:p w14:paraId="02BB3537"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2842,1</w:t>
            </w:r>
          </w:p>
        </w:tc>
        <w:tc>
          <w:tcPr>
            <w:tcW w:w="709" w:type="dxa"/>
            <w:noWrap/>
            <w:vAlign w:val="center"/>
            <w:hideMark/>
          </w:tcPr>
          <w:p w14:paraId="62F524AB"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32,3</w:t>
            </w:r>
          </w:p>
        </w:tc>
        <w:tc>
          <w:tcPr>
            <w:tcW w:w="709" w:type="dxa"/>
            <w:noWrap/>
            <w:vAlign w:val="center"/>
            <w:hideMark/>
          </w:tcPr>
          <w:p w14:paraId="718C9BF9"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1664,8</w:t>
            </w:r>
          </w:p>
        </w:tc>
        <w:tc>
          <w:tcPr>
            <w:tcW w:w="703" w:type="dxa"/>
            <w:noWrap/>
            <w:vAlign w:val="center"/>
            <w:hideMark/>
          </w:tcPr>
          <w:p w14:paraId="3A4886DC"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18,9</w:t>
            </w:r>
          </w:p>
        </w:tc>
      </w:tr>
      <w:tr w:rsidR="009D1D97" w:rsidRPr="00E90F80" w14:paraId="394B7374" w14:textId="77777777" w:rsidTr="00FA54E0">
        <w:trPr>
          <w:trHeight w:val="190"/>
        </w:trPr>
        <w:tc>
          <w:tcPr>
            <w:tcW w:w="2258" w:type="dxa"/>
            <w:noWrap/>
            <w:vAlign w:val="center"/>
            <w:hideMark/>
          </w:tcPr>
          <w:p w14:paraId="0DC5C3C2" w14:textId="77777777" w:rsidR="00BF4113" w:rsidRPr="004770A1" w:rsidRDefault="00BF4113" w:rsidP="003E1B9C">
            <w:pPr>
              <w:spacing w:after="0" w:line="278" w:lineRule="auto"/>
              <w:jc w:val="left"/>
              <w:rPr>
                <w:rFonts w:eastAsia="Times New Roman" w:cs="Calibri"/>
                <w:b/>
                <w:bCs/>
                <w:color w:val="000000" w:themeColor="text1"/>
                <w:sz w:val="18"/>
                <w:szCs w:val="18"/>
              </w:rPr>
            </w:pPr>
            <w:r w:rsidRPr="004770A1">
              <w:rPr>
                <w:rFonts w:eastAsia="Times New Roman" w:cs="Calibri"/>
                <w:b/>
                <w:bCs/>
                <w:color w:val="000000" w:themeColor="text1"/>
                <w:sz w:val="18"/>
                <w:szCs w:val="18"/>
              </w:rPr>
              <w:t>Auto-consumo nacional</w:t>
            </w:r>
          </w:p>
        </w:tc>
        <w:tc>
          <w:tcPr>
            <w:tcW w:w="708" w:type="dxa"/>
            <w:noWrap/>
            <w:vAlign w:val="center"/>
            <w:hideMark/>
          </w:tcPr>
          <w:p w14:paraId="76F3AEC8"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2900</w:t>
            </w:r>
          </w:p>
        </w:tc>
        <w:tc>
          <w:tcPr>
            <w:tcW w:w="709" w:type="dxa"/>
            <w:noWrap/>
            <w:vAlign w:val="center"/>
            <w:hideMark/>
          </w:tcPr>
          <w:p w14:paraId="7D852F88"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24,7</w:t>
            </w:r>
          </w:p>
        </w:tc>
        <w:tc>
          <w:tcPr>
            <w:tcW w:w="709" w:type="dxa"/>
            <w:noWrap/>
            <w:vAlign w:val="center"/>
            <w:hideMark/>
          </w:tcPr>
          <w:p w14:paraId="797D5E6D"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37</w:t>
            </w:r>
          </w:p>
        </w:tc>
        <w:tc>
          <w:tcPr>
            <w:tcW w:w="567" w:type="dxa"/>
            <w:noWrap/>
            <w:vAlign w:val="center"/>
            <w:hideMark/>
          </w:tcPr>
          <w:p w14:paraId="599C7CB3"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1,3</w:t>
            </w:r>
          </w:p>
        </w:tc>
        <w:tc>
          <w:tcPr>
            <w:tcW w:w="709" w:type="dxa"/>
            <w:noWrap/>
            <w:vAlign w:val="center"/>
            <w:hideMark/>
          </w:tcPr>
          <w:p w14:paraId="6368B7AA"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30,0</w:t>
            </w:r>
          </w:p>
        </w:tc>
        <w:tc>
          <w:tcPr>
            <w:tcW w:w="708" w:type="dxa"/>
            <w:noWrap/>
            <w:vAlign w:val="center"/>
            <w:hideMark/>
          </w:tcPr>
          <w:p w14:paraId="435AF064"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1,0</w:t>
            </w:r>
          </w:p>
        </w:tc>
        <w:tc>
          <w:tcPr>
            <w:tcW w:w="709" w:type="dxa"/>
            <w:noWrap/>
            <w:vAlign w:val="center"/>
            <w:hideMark/>
          </w:tcPr>
          <w:p w14:paraId="12C4FAEE"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153,9</w:t>
            </w:r>
          </w:p>
        </w:tc>
        <w:tc>
          <w:tcPr>
            <w:tcW w:w="709" w:type="dxa"/>
            <w:noWrap/>
            <w:vAlign w:val="center"/>
            <w:hideMark/>
          </w:tcPr>
          <w:p w14:paraId="29DB44B2"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5,3</w:t>
            </w:r>
          </w:p>
        </w:tc>
        <w:tc>
          <w:tcPr>
            <w:tcW w:w="709" w:type="dxa"/>
            <w:noWrap/>
            <w:vAlign w:val="center"/>
            <w:hideMark/>
          </w:tcPr>
          <w:p w14:paraId="5BE71809"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2679,0</w:t>
            </w:r>
          </w:p>
        </w:tc>
        <w:tc>
          <w:tcPr>
            <w:tcW w:w="703" w:type="dxa"/>
            <w:noWrap/>
            <w:vAlign w:val="center"/>
            <w:hideMark/>
          </w:tcPr>
          <w:p w14:paraId="4B91F406"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92,4</w:t>
            </w:r>
          </w:p>
        </w:tc>
      </w:tr>
      <w:tr w:rsidR="009D1D97" w:rsidRPr="00E90F80" w14:paraId="13EB3E71" w14:textId="77777777" w:rsidTr="00FA54E0">
        <w:trPr>
          <w:trHeight w:val="202"/>
        </w:trPr>
        <w:tc>
          <w:tcPr>
            <w:tcW w:w="2258" w:type="dxa"/>
            <w:noWrap/>
            <w:vAlign w:val="center"/>
            <w:hideMark/>
          </w:tcPr>
          <w:p w14:paraId="1E990AD9" w14:textId="205BF616" w:rsidR="00BF4113" w:rsidRPr="004770A1" w:rsidRDefault="00BF4113" w:rsidP="003E1B9C">
            <w:pPr>
              <w:spacing w:after="0" w:line="278" w:lineRule="auto"/>
              <w:jc w:val="left"/>
              <w:rPr>
                <w:rFonts w:eastAsia="Times New Roman" w:cs="Calibri"/>
                <w:b/>
                <w:bCs/>
                <w:color w:val="000000" w:themeColor="text1"/>
                <w:sz w:val="18"/>
                <w:szCs w:val="18"/>
              </w:rPr>
            </w:pPr>
            <w:r w:rsidRPr="004770A1">
              <w:rPr>
                <w:rFonts w:eastAsia="Times New Roman" w:cs="Calibri"/>
                <w:b/>
                <w:bCs/>
                <w:color w:val="000000" w:themeColor="text1"/>
                <w:sz w:val="18"/>
                <w:szCs w:val="18"/>
              </w:rPr>
              <w:t>Exportação</w:t>
            </w:r>
          </w:p>
        </w:tc>
        <w:tc>
          <w:tcPr>
            <w:tcW w:w="708" w:type="dxa"/>
            <w:noWrap/>
            <w:vAlign w:val="center"/>
            <w:hideMark/>
          </w:tcPr>
          <w:p w14:paraId="7041FB46"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59</w:t>
            </w:r>
          </w:p>
        </w:tc>
        <w:tc>
          <w:tcPr>
            <w:tcW w:w="709" w:type="dxa"/>
            <w:noWrap/>
            <w:vAlign w:val="center"/>
            <w:hideMark/>
          </w:tcPr>
          <w:p w14:paraId="2E51A178"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0,5</w:t>
            </w:r>
          </w:p>
        </w:tc>
        <w:tc>
          <w:tcPr>
            <w:tcW w:w="709" w:type="dxa"/>
            <w:noWrap/>
            <w:vAlign w:val="center"/>
            <w:hideMark/>
          </w:tcPr>
          <w:p w14:paraId="0CAC47CC"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59</w:t>
            </w:r>
          </w:p>
        </w:tc>
        <w:tc>
          <w:tcPr>
            <w:tcW w:w="567" w:type="dxa"/>
            <w:noWrap/>
            <w:vAlign w:val="center"/>
            <w:hideMark/>
          </w:tcPr>
          <w:p w14:paraId="484B105C" w14:textId="77777777" w:rsidR="00BF4113" w:rsidRPr="004770A1" w:rsidRDefault="00BF4113" w:rsidP="009D1D97">
            <w:pPr>
              <w:spacing w:after="0" w:line="278" w:lineRule="auto"/>
              <w:jc w:val="center"/>
              <w:rPr>
                <w:rFonts w:eastAsia="Times New Roman" w:cs="Calibri"/>
                <w:color w:val="000000" w:themeColor="text1"/>
                <w:sz w:val="18"/>
                <w:szCs w:val="18"/>
              </w:rPr>
            </w:pPr>
            <w:r w:rsidRPr="004770A1">
              <w:rPr>
                <w:rFonts w:eastAsia="Times New Roman" w:cs="Calibri"/>
                <w:color w:val="000000" w:themeColor="text1"/>
                <w:sz w:val="18"/>
                <w:szCs w:val="18"/>
              </w:rPr>
              <w:t>2,4</w:t>
            </w:r>
          </w:p>
        </w:tc>
        <w:tc>
          <w:tcPr>
            <w:tcW w:w="709" w:type="dxa"/>
            <w:noWrap/>
            <w:vAlign w:val="center"/>
            <w:hideMark/>
          </w:tcPr>
          <w:p w14:paraId="02BF7C8E" w14:textId="02FC66B0" w:rsidR="00BF4113" w:rsidRPr="004770A1" w:rsidRDefault="00BF4113" w:rsidP="009D1D97">
            <w:pPr>
              <w:spacing w:after="0" w:line="278" w:lineRule="auto"/>
              <w:jc w:val="center"/>
              <w:rPr>
                <w:rFonts w:eastAsia="Times New Roman" w:cs="Calibri"/>
                <w:color w:val="000000" w:themeColor="text1"/>
                <w:sz w:val="18"/>
                <w:szCs w:val="18"/>
              </w:rPr>
            </w:pPr>
          </w:p>
        </w:tc>
        <w:tc>
          <w:tcPr>
            <w:tcW w:w="708" w:type="dxa"/>
            <w:noWrap/>
            <w:vAlign w:val="center"/>
            <w:hideMark/>
          </w:tcPr>
          <w:p w14:paraId="071A12FB" w14:textId="27FC265C" w:rsidR="00BF4113" w:rsidRPr="004770A1" w:rsidRDefault="00BF4113" w:rsidP="009D1D97">
            <w:pPr>
              <w:spacing w:after="0" w:line="278" w:lineRule="auto"/>
              <w:jc w:val="center"/>
              <w:rPr>
                <w:rFonts w:eastAsia="Times New Roman" w:cs="Calibri"/>
                <w:color w:val="000000" w:themeColor="text1"/>
                <w:sz w:val="18"/>
                <w:szCs w:val="18"/>
              </w:rPr>
            </w:pPr>
          </w:p>
        </w:tc>
        <w:tc>
          <w:tcPr>
            <w:tcW w:w="709" w:type="dxa"/>
            <w:noWrap/>
            <w:vAlign w:val="center"/>
            <w:hideMark/>
          </w:tcPr>
          <w:p w14:paraId="0E56CDED" w14:textId="0F5868A6" w:rsidR="00BF4113" w:rsidRPr="004770A1" w:rsidRDefault="00BF4113" w:rsidP="009D1D97">
            <w:pPr>
              <w:spacing w:after="0" w:line="278" w:lineRule="auto"/>
              <w:jc w:val="center"/>
              <w:rPr>
                <w:rFonts w:eastAsia="Times New Roman" w:cs="Calibri"/>
                <w:color w:val="000000" w:themeColor="text1"/>
                <w:sz w:val="18"/>
                <w:szCs w:val="18"/>
              </w:rPr>
            </w:pPr>
          </w:p>
        </w:tc>
        <w:tc>
          <w:tcPr>
            <w:tcW w:w="709" w:type="dxa"/>
            <w:noWrap/>
            <w:vAlign w:val="center"/>
            <w:hideMark/>
          </w:tcPr>
          <w:p w14:paraId="3326C40C" w14:textId="4DB36EE3" w:rsidR="00BF4113" w:rsidRPr="004770A1" w:rsidRDefault="00BF4113" w:rsidP="009D1D97">
            <w:pPr>
              <w:spacing w:after="0" w:line="278" w:lineRule="auto"/>
              <w:jc w:val="center"/>
              <w:rPr>
                <w:rFonts w:eastAsia="Times New Roman" w:cs="Calibri"/>
                <w:color w:val="000000" w:themeColor="text1"/>
                <w:sz w:val="18"/>
                <w:szCs w:val="18"/>
              </w:rPr>
            </w:pPr>
          </w:p>
        </w:tc>
        <w:tc>
          <w:tcPr>
            <w:tcW w:w="709" w:type="dxa"/>
            <w:noWrap/>
            <w:vAlign w:val="center"/>
            <w:hideMark/>
          </w:tcPr>
          <w:p w14:paraId="713BCB79" w14:textId="77B1D859" w:rsidR="00BF4113" w:rsidRPr="004770A1" w:rsidRDefault="00BF4113" w:rsidP="009D1D97">
            <w:pPr>
              <w:spacing w:after="0" w:line="278" w:lineRule="auto"/>
              <w:jc w:val="center"/>
              <w:rPr>
                <w:rFonts w:eastAsia="Times New Roman" w:cs="Calibri"/>
                <w:color w:val="000000" w:themeColor="text1"/>
                <w:sz w:val="18"/>
                <w:szCs w:val="18"/>
              </w:rPr>
            </w:pPr>
          </w:p>
        </w:tc>
        <w:tc>
          <w:tcPr>
            <w:tcW w:w="703" w:type="dxa"/>
            <w:noWrap/>
            <w:vAlign w:val="center"/>
            <w:hideMark/>
          </w:tcPr>
          <w:p w14:paraId="1DF9D19D" w14:textId="7CC5BF05" w:rsidR="00BF4113" w:rsidRPr="004770A1" w:rsidRDefault="00BF4113" w:rsidP="00654781">
            <w:pPr>
              <w:keepNext/>
              <w:spacing w:after="0" w:line="278" w:lineRule="auto"/>
              <w:jc w:val="center"/>
              <w:rPr>
                <w:rFonts w:eastAsia="Times New Roman" w:cs="Calibri"/>
                <w:color w:val="000000" w:themeColor="text1"/>
                <w:sz w:val="18"/>
                <w:szCs w:val="18"/>
              </w:rPr>
            </w:pPr>
          </w:p>
        </w:tc>
      </w:tr>
    </w:tbl>
    <w:p w14:paraId="42C736B0" w14:textId="2568AC5D" w:rsidR="00BF4113" w:rsidRPr="00F62308" w:rsidRDefault="00B654F2" w:rsidP="007D3A26">
      <w:pPr>
        <w:pStyle w:val="Caption"/>
      </w:pPr>
      <w:r>
        <w:t xml:space="preserve">     </w:t>
      </w:r>
      <w:r w:rsidR="00654781" w:rsidRPr="00F62308">
        <w:t xml:space="preserve">Quadro </w:t>
      </w:r>
      <w:r w:rsidR="004E65BE" w:rsidRPr="00F62308">
        <w:t>3.1</w:t>
      </w:r>
      <w:r w:rsidR="00BF4113" w:rsidRPr="00F62308">
        <w:t xml:space="preserve"> - Produção de manga na Guiné-Bissau, 2025 (em toneladas)</w:t>
      </w:r>
    </w:p>
    <w:p w14:paraId="16D43735" w14:textId="7C7F21AD" w:rsidR="00BF4113" w:rsidRPr="00EA3C91" w:rsidRDefault="00BF4113" w:rsidP="00BF4113">
      <w:pPr>
        <w:spacing w:after="0" w:line="276" w:lineRule="auto"/>
        <w:rPr>
          <w:rFonts w:eastAsia="Times New Roman" w:cs="Calibri"/>
          <w:szCs w:val="20"/>
        </w:rPr>
      </w:pPr>
      <w:bookmarkStart w:id="204" w:name="_Toc506762934"/>
      <w:r w:rsidRPr="00EA3C91">
        <w:rPr>
          <w:rFonts w:eastAsia="Times New Roman" w:cs="Calibri"/>
          <w:szCs w:val="20"/>
        </w:rPr>
        <w:t>Para estimar o valor da produção bruta nacional foram consideradas as duas categorias de preços das mangas em 2025: preço das exportáveis (Exp) e das locais (Loc). Tal como já referido</w:t>
      </w:r>
      <w:r>
        <w:rPr>
          <w:rFonts w:eastAsia="Times New Roman" w:cs="Calibri"/>
          <w:szCs w:val="20"/>
        </w:rPr>
        <w:t>,</w:t>
      </w:r>
      <w:r w:rsidRPr="00EA3C91">
        <w:rPr>
          <w:rFonts w:eastAsia="Times New Roman" w:cs="Calibri"/>
          <w:szCs w:val="20"/>
        </w:rPr>
        <w:t xml:space="preserve"> o </w:t>
      </w:r>
      <w:r w:rsidR="00E84639" w:rsidRPr="00EA3C91">
        <w:rPr>
          <w:rFonts w:eastAsia="Times New Roman" w:cs="Calibri"/>
          <w:szCs w:val="20"/>
        </w:rPr>
        <w:t>preço da</w:t>
      </w:r>
      <w:r w:rsidRPr="00EA3C91">
        <w:rPr>
          <w:rFonts w:eastAsia="Times New Roman" w:cs="Calibri"/>
          <w:szCs w:val="20"/>
        </w:rPr>
        <w:t xml:space="preserve"> manga de faca (Colasso) foi negligenciado. </w:t>
      </w:r>
    </w:p>
    <w:p w14:paraId="2759B6A8" w14:textId="77777777" w:rsidR="00BF4113" w:rsidRPr="00EA3C91" w:rsidRDefault="00BF4113" w:rsidP="00BF4113">
      <w:pPr>
        <w:spacing w:after="0" w:line="276" w:lineRule="auto"/>
        <w:rPr>
          <w:rFonts w:eastAsia="Aptos" w:cs="Calibri"/>
          <w:b/>
          <w:iCs/>
          <w:szCs w:val="20"/>
        </w:rPr>
      </w:pPr>
      <w:r w:rsidRPr="00EA3C91">
        <w:rPr>
          <w:rFonts w:eastAsia="Times New Roman" w:cs="Calibri"/>
          <w:szCs w:val="20"/>
        </w:rPr>
        <w:t xml:space="preserve">O valor da produção foi multiplicado pelo preço a que foram vendidas em 2025 nas três regiões visitadas: Oio, Cacheu, Bafáta e resto do país. Apesar de algumas variações de preços entre as regiões, assumiu-se um preço uniformizado nas duas principais regiões produtoras para as categorias exportáveis e Locais. Para a Bafatá e resto do país, foram mantidas as diferenças de preços identificados para cada variedade. Desta forma, o valor da produção líquida calculado foi da ordem de 2,477,625 € (dois milhões quatrocentos e setenta e sete mil, seiscentos e vinte e cinco euros) tal como apresentado no </w:t>
      </w:r>
      <w:r w:rsidRPr="00C45457">
        <w:rPr>
          <w:rFonts w:eastAsia="Times New Roman" w:cs="Calibri"/>
          <w:szCs w:val="20"/>
        </w:rPr>
        <w:t>Quadro 3.2.</w:t>
      </w:r>
    </w:p>
    <w:bookmarkEnd w:id="204"/>
    <w:p w14:paraId="37C1034E" w14:textId="77777777" w:rsidR="00BF4113" w:rsidRPr="00E90F80" w:rsidRDefault="00BF4113" w:rsidP="00BF4113">
      <w:pPr>
        <w:spacing w:after="0" w:line="276" w:lineRule="auto"/>
        <w:jc w:val="center"/>
        <w:rPr>
          <w:rFonts w:eastAsia="Aptos" w:cs="Calibri"/>
          <w:b/>
          <w:iCs/>
          <w:sz w:val="18"/>
          <w:szCs w:val="18"/>
        </w:rPr>
      </w:pPr>
    </w:p>
    <w:tbl>
      <w:tblPr>
        <w:tblW w:w="906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70" w:type="dxa"/>
          <w:right w:w="70" w:type="dxa"/>
        </w:tblCellMar>
        <w:tblLook w:val="04A0" w:firstRow="1" w:lastRow="0" w:firstColumn="1" w:lastColumn="0" w:noHBand="0" w:noVBand="1"/>
      </w:tblPr>
      <w:tblGrid>
        <w:gridCol w:w="1406"/>
        <w:gridCol w:w="1599"/>
        <w:gridCol w:w="1221"/>
        <w:gridCol w:w="478"/>
        <w:gridCol w:w="1068"/>
        <w:gridCol w:w="1589"/>
        <w:gridCol w:w="1701"/>
      </w:tblGrid>
      <w:tr w:rsidR="00BF4113" w:rsidRPr="00E90F80" w14:paraId="16DAD3F3" w14:textId="77777777" w:rsidTr="00FA54E0">
        <w:trPr>
          <w:trHeight w:val="311"/>
        </w:trPr>
        <w:tc>
          <w:tcPr>
            <w:tcW w:w="9062" w:type="dxa"/>
            <w:gridSpan w:val="7"/>
            <w:shd w:val="clear" w:color="auto" w:fill="336666"/>
            <w:noWrap/>
            <w:vAlign w:val="center"/>
            <w:hideMark/>
          </w:tcPr>
          <w:p w14:paraId="02A88AA0" w14:textId="77777777" w:rsidR="00BF4113" w:rsidRPr="008D174F" w:rsidRDefault="00BF4113" w:rsidP="009D1D97">
            <w:pPr>
              <w:spacing w:after="0" w:line="240" w:lineRule="auto"/>
              <w:jc w:val="center"/>
              <w:rPr>
                <w:rFonts w:eastAsia="Times New Roman" w:cs="Calibri"/>
                <w:b/>
                <w:bCs/>
                <w:color w:val="FFFFFF"/>
                <w:szCs w:val="20"/>
              </w:rPr>
            </w:pPr>
            <w:r w:rsidRPr="008D174F">
              <w:rPr>
                <w:rFonts w:eastAsia="Times New Roman" w:cs="Calibri"/>
                <w:b/>
                <w:bCs/>
                <w:color w:val="FFFFFF"/>
                <w:szCs w:val="20"/>
              </w:rPr>
              <w:t>Valor da Produção da Manga em 2025</w:t>
            </w:r>
          </w:p>
        </w:tc>
      </w:tr>
      <w:tr w:rsidR="00BF4113" w:rsidRPr="00E90F80" w14:paraId="5E49C3F7" w14:textId="77777777" w:rsidTr="00FA54E0">
        <w:trPr>
          <w:trHeight w:val="225"/>
        </w:trPr>
        <w:tc>
          <w:tcPr>
            <w:tcW w:w="1406" w:type="dxa"/>
            <w:shd w:val="clear" w:color="auto" w:fill="336666"/>
            <w:noWrap/>
            <w:vAlign w:val="center"/>
            <w:hideMark/>
          </w:tcPr>
          <w:p w14:paraId="6401D11E" w14:textId="77777777" w:rsidR="00BF4113" w:rsidRPr="008D174F" w:rsidRDefault="00BF4113" w:rsidP="00486683">
            <w:pPr>
              <w:spacing w:after="0" w:line="240" w:lineRule="auto"/>
              <w:jc w:val="center"/>
              <w:rPr>
                <w:rFonts w:eastAsia="Times New Roman" w:cs="Calibri"/>
                <w:b/>
                <w:bCs/>
                <w:color w:val="FFFFFF"/>
                <w:szCs w:val="20"/>
              </w:rPr>
            </w:pPr>
            <w:r w:rsidRPr="008D174F">
              <w:rPr>
                <w:rFonts w:eastAsia="Times New Roman" w:cs="Calibri"/>
                <w:b/>
                <w:bCs/>
                <w:color w:val="FFFFFF"/>
                <w:szCs w:val="20"/>
              </w:rPr>
              <w:t>Região</w:t>
            </w:r>
          </w:p>
        </w:tc>
        <w:tc>
          <w:tcPr>
            <w:tcW w:w="1599" w:type="dxa"/>
            <w:shd w:val="clear" w:color="auto" w:fill="336666"/>
            <w:noWrap/>
            <w:vAlign w:val="center"/>
            <w:hideMark/>
          </w:tcPr>
          <w:p w14:paraId="34C05373" w14:textId="77777777" w:rsidR="00BF4113" w:rsidRPr="008D174F" w:rsidRDefault="00BF4113" w:rsidP="00486683">
            <w:pPr>
              <w:spacing w:after="0" w:line="240" w:lineRule="auto"/>
              <w:jc w:val="center"/>
              <w:rPr>
                <w:rFonts w:eastAsia="Times New Roman" w:cs="Calibri"/>
                <w:b/>
                <w:bCs/>
                <w:color w:val="FFFFFF"/>
                <w:szCs w:val="20"/>
              </w:rPr>
            </w:pPr>
            <w:r w:rsidRPr="008D174F">
              <w:rPr>
                <w:rFonts w:eastAsia="Times New Roman" w:cs="Calibri"/>
                <w:b/>
                <w:bCs/>
                <w:color w:val="FFFFFF"/>
                <w:szCs w:val="20"/>
              </w:rPr>
              <w:t>Produção (ton)</w:t>
            </w:r>
          </w:p>
        </w:tc>
        <w:tc>
          <w:tcPr>
            <w:tcW w:w="1221" w:type="dxa"/>
            <w:shd w:val="clear" w:color="auto" w:fill="336666"/>
            <w:noWrap/>
            <w:vAlign w:val="center"/>
            <w:hideMark/>
          </w:tcPr>
          <w:p w14:paraId="514E3DAA" w14:textId="77777777" w:rsidR="00BF4113" w:rsidRPr="008D174F" w:rsidRDefault="00BF4113" w:rsidP="00486683">
            <w:pPr>
              <w:spacing w:after="0" w:line="240" w:lineRule="auto"/>
              <w:jc w:val="center"/>
              <w:rPr>
                <w:rFonts w:eastAsia="Times New Roman" w:cs="Calibri"/>
                <w:b/>
                <w:bCs/>
                <w:color w:val="FFFFFF"/>
                <w:szCs w:val="20"/>
              </w:rPr>
            </w:pPr>
            <w:r w:rsidRPr="008D174F">
              <w:rPr>
                <w:rFonts w:eastAsia="Times New Roman" w:cs="Calibri"/>
                <w:b/>
                <w:bCs/>
                <w:color w:val="FFFFFF"/>
                <w:szCs w:val="20"/>
              </w:rPr>
              <w:t>Variedades</w:t>
            </w:r>
          </w:p>
        </w:tc>
        <w:tc>
          <w:tcPr>
            <w:tcW w:w="478" w:type="dxa"/>
            <w:shd w:val="clear" w:color="auto" w:fill="336666"/>
            <w:noWrap/>
            <w:vAlign w:val="center"/>
            <w:hideMark/>
          </w:tcPr>
          <w:p w14:paraId="41A08943" w14:textId="77777777" w:rsidR="00BF4113" w:rsidRPr="008D174F" w:rsidRDefault="00BF4113" w:rsidP="00486683">
            <w:pPr>
              <w:spacing w:after="0" w:line="240" w:lineRule="auto"/>
              <w:jc w:val="center"/>
              <w:rPr>
                <w:rFonts w:eastAsia="Times New Roman" w:cs="Calibri"/>
                <w:b/>
                <w:bCs/>
                <w:color w:val="FFFFFF"/>
                <w:szCs w:val="20"/>
              </w:rPr>
            </w:pPr>
            <w:r w:rsidRPr="008D174F">
              <w:rPr>
                <w:rFonts w:eastAsia="Times New Roman" w:cs="Calibri"/>
                <w:b/>
                <w:bCs/>
                <w:color w:val="FFFFFF"/>
                <w:szCs w:val="20"/>
              </w:rPr>
              <w:t>%</w:t>
            </w:r>
          </w:p>
        </w:tc>
        <w:tc>
          <w:tcPr>
            <w:tcW w:w="1068" w:type="dxa"/>
            <w:shd w:val="clear" w:color="auto" w:fill="336666"/>
            <w:vAlign w:val="center"/>
            <w:hideMark/>
          </w:tcPr>
          <w:p w14:paraId="46BE9566" w14:textId="77777777" w:rsidR="00BF4113" w:rsidRPr="008D174F" w:rsidRDefault="00BF4113" w:rsidP="00486683">
            <w:pPr>
              <w:spacing w:after="0" w:line="240" w:lineRule="auto"/>
              <w:jc w:val="center"/>
              <w:rPr>
                <w:rFonts w:eastAsia="Times New Roman" w:cs="Calibri"/>
                <w:b/>
                <w:bCs/>
                <w:color w:val="FFFFFF"/>
                <w:szCs w:val="20"/>
              </w:rPr>
            </w:pPr>
            <w:r w:rsidRPr="008D174F">
              <w:rPr>
                <w:rFonts w:eastAsia="Times New Roman" w:cs="Calibri"/>
                <w:b/>
                <w:bCs/>
                <w:color w:val="FFFFFF"/>
                <w:szCs w:val="20"/>
              </w:rPr>
              <w:t>Preço/kg</w:t>
            </w:r>
          </w:p>
        </w:tc>
        <w:tc>
          <w:tcPr>
            <w:tcW w:w="1589" w:type="dxa"/>
            <w:shd w:val="clear" w:color="auto" w:fill="336666"/>
            <w:vAlign w:val="center"/>
            <w:hideMark/>
          </w:tcPr>
          <w:p w14:paraId="18763D87" w14:textId="77777777" w:rsidR="00BF4113" w:rsidRPr="008D174F" w:rsidRDefault="00BF4113" w:rsidP="00486683">
            <w:pPr>
              <w:spacing w:after="0" w:line="240" w:lineRule="auto"/>
              <w:jc w:val="center"/>
              <w:rPr>
                <w:rFonts w:eastAsia="Times New Roman" w:cs="Calibri"/>
                <w:b/>
                <w:bCs/>
                <w:color w:val="FFFFFF"/>
                <w:szCs w:val="20"/>
              </w:rPr>
            </w:pPr>
            <w:r w:rsidRPr="008D174F">
              <w:rPr>
                <w:rFonts w:eastAsia="Times New Roman" w:cs="Calibri"/>
                <w:b/>
                <w:bCs/>
                <w:color w:val="FFFFFF"/>
                <w:szCs w:val="20"/>
              </w:rPr>
              <w:t>Valor CFA (mil)</w:t>
            </w:r>
          </w:p>
        </w:tc>
        <w:tc>
          <w:tcPr>
            <w:tcW w:w="1701" w:type="dxa"/>
            <w:shd w:val="clear" w:color="auto" w:fill="336666"/>
            <w:noWrap/>
            <w:vAlign w:val="center"/>
            <w:hideMark/>
          </w:tcPr>
          <w:p w14:paraId="0B2324DC" w14:textId="77777777" w:rsidR="00BF4113" w:rsidRPr="008D174F" w:rsidRDefault="00BF4113" w:rsidP="00486683">
            <w:pPr>
              <w:spacing w:after="0" w:line="240" w:lineRule="auto"/>
              <w:jc w:val="center"/>
              <w:rPr>
                <w:rFonts w:eastAsia="Times New Roman" w:cs="Calibri"/>
                <w:b/>
                <w:bCs/>
                <w:color w:val="FFFFFF"/>
                <w:szCs w:val="20"/>
              </w:rPr>
            </w:pPr>
            <w:r w:rsidRPr="008D174F">
              <w:rPr>
                <w:rFonts w:eastAsia="Times New Roman" w:cs="Calibri"/>
                <w:b/>
                <w:bCs/>
                <w:color w:val="FFFFFF"/>
                <w:szCs w:val="20"/>
              </w:rPr>
              <w:t>Valor ϵ</w:t>
            </w:r>
          </w:p>
        </w:tc>
      </w:tr>
      <w:tr w:rsidR="00BF4113" w:rsidRPr="00E90F80" w14:paraId="2682F53E" w14:textId="77777777" w:rsidTr="009D1D97">
        <w:trPr>
          <w:trHeight w:val="294"/>
        </w:trPr>
        <w:tc>
          <w:tcPr>
            <w:tcW w:w="1406" w:type="dxa"/>
            <w:vMerge w:val="restart"/>
            <w:noWrap/>
            <w:vAlign w:val="center"/>
            <w:hideMark/>
          </w:tcPr>
          <w:p w14:paraId="4EEFD5D6" w14:textId="77777777" w:rsidR="00BF4113" w:rsidRPr="003F1A0A" w:rsidRDefault="00BF4113" w:rsidP="008D174F">
            <w:pPr>
              <w:spacing w:after="0" w:line="240" w:lineRule="auto"/>
              <w:jc w:val="center"/>
              <w:rPr>
                <w:rFonts w:eastAsia="Times New Roman" w:cs="Calibri"/>
                <w:b/>
                <w:bCs/>
                <w:color w:val="000000" w:themeColor="text1"/>
                <w:sz w:val="18"/>
                <w:szCs w:val="18"/>
              </w:rPr>
            </w:pPr>
            <w:r w:rsidRPr="003F1A0A">
              <w:rPr>
                <w:rFonts w:eastAsia="Times New Roman" w:cs="Calibri"/>
                <w:b/>
                <w:bCs/>
                <w:color w:val="000000" w:themeColor="text1"/>
                <w:sz w:val="18"/>
                <w:szCs w:val="18"/>
              </w:rPr>
              <w:t>Oio</w:t>
            </w:r>
          </w:p>
        </w:tc>
        <w:tc>
          <w:tcPr>
            <w:tcW w:w="1599" w:type="dxa"/>
            <w:vMerge w:val="restart"/>
            <w:noWrap/>
            <w:vAlign w:val="center"/>
            <w:hideMark/>
          </w:tcPr>
          <w:p w14:paraId="61EB5D4A" w14:textId="77777777" w:rsidR="00BF4113" w:rsidRPr="003F1A0A" w:rsidRDefault="00BF4113" w:rsidP="008D174F">
            <w:pPr>
              <w:spacing w:after="0" w:line="240" w:lineRule="auto"/>
              <w:jc w:val="center"/>
              <w:rPr>
                <w:rFonts w:eastAsia="Times New Roman" w:cs="Calibri"/>
                <w:b/>
                <w:bCs/>
                <w:color w:val="000000" w:themeColor="text1"/>
                <w:sz w:val="18"/>
                <w:szCs w:val="18"/>
              </w:rPr>
            </w:pPr>
            <w:r w:rsidRPr="003F1A0A">
              <w:rPr>
                <w:rFonts w:eastAsia="Times New Roman" w:cs="Calibri"/>
                <w:b/>
                <w:bCs/>
                <w:color w:val="000000" w:themeColor="text1"/>
                <w:sz w:val="18"/>
                <w:szCs w:val="18"/>
              </w:rPr>
              <w:t>5405</w:t>
            </w:r>
          </w:p>
        </w:tc>
        <w:tc>
          <w:tcPr>
            <w:tcW w:w="1221" w:type="dxa"/>
            <w:noWrap/>
            <w:vAlign w:val="center"/>
            <w:hideMark/>
          </w:tcPr>
          <w:p w14:paraId="1D66C4F7"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Exp.</w:t>
            </w:r>
          </w:p>
        </w:tc>
        <w:tc>
          <w:tcPr>
            <w:tcW w:w="478" w:type="dxa"/>
            <w:noWrap/>
            <w:vAlign w:val="center"/>
            <w:hideMark/>
          </w:tcPr>
          <w:p w14:paraId="0A9EEC7C"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61</w:t>
            </w:r>
          </w:p>
        </w:tc>
        <w:tc>
          <w:tcPr>
            <w:tcW w:w="1068" w:type="dxa"/>
            <w:noWrap/>
            <w:vAlign w:val="center"/>
            <w:hideMark/>
          </w:tcPr>
          <w:p w14:paraId="0DE2FFBB"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200</w:t>
            </w:r>
          </w:p>
        </w:tc>
        <w:tc>
          <w:tcPr>
            <w:tcW w:w="1589" w:type="dxa"/>
            <w:noWrap/>
            <w:vAlign w:val="center"/>
            <w:hideMark/>
          </w:tcPr>
          <w:p w14:paraId="587962A1"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659 410</w:t>
            </w:r>
          </w:p>
        </w:tc>
        <w:tc>
          <w:tcPr>
            <w:tcW w:w="1701" w:type="dxa"/>
            <w:noWrap/>
            <w:vAlign w:val="center"/>
            <w:hideMark/>
          </w:tcPr>
          <w:p w14:paraId="43C98F15"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1 005,264</w:t>
            </w:r>
          </w:p>
        </w:tc>
      </w:tr>
      <w:tr w:rsidR="00BF4113" w:rsidRPr="00E90F80" w14:paraId="04785C00" w14:textId="77777777" w:rsidTr="009D1D97">
        <w:trPr>
          <w:trHeight w:val="242"/>
        </w:trPr>
        <w:tc>
          <w:tcPr>
            <w:tcW w:w="1406" w:type="dxa"/>
            <w:vMerge/>
            <w:vAlign w:val="center"/>
            <w:hideMark/>
          </w:tcPr>
          <w:p w14:paraId="0907127C" w14:textId="77777777" w:rsidR="00BF4113" w:rsidRPr="003F1A0A" w:rsidRDefault="00BF4113" w:rsidP="008D174F">
            <w:pPr>
              <w:spacing w:after="0" w:line="240" w:lineRule="auto"/>
              <w:jc w:val="center"/>
              <w:rPr>
                <w:rFonts w:eastAsia="Times New Roman" w:cs="Calibri"/>
                <w:b/>
                <w:bCs/>
                <w:color w:val="000000" w:themeColor="text1"/>
                <w:sz w:val="18"/>
                <w:szCs w:val="18"/>
              </w:rPr>
            </w:pPr>
          </w:p>
        </w:tc>
        <w:tc>
          <w:tcPr>
            <w:tcW w:w="1599" w:type="dxa"/>
            <w:vMerge/>
            <w:vAlign w:val="center"/>
            <w:hideMark/>
          </w:tcPr>
          <w:p w14:paraId="6F5CD30B" w14:textId="77777777" w:rsidR="00BF4113" w:rsidRPr="003F1A0A" w:rsidRDefault="00BF4113" w:rsidP="008D174F">
            <w:pPr>
              <w:spacing w:after="0" w:line="240" w:lineRule="auto"/>
              <w:jc w:val="center"/>
              <w:rPr>
                <w:rFonts w:eastAsia="Times New Roman" w:cs="Calibri"/>
                <w:b/>
                <w:bCs/>
                <w:color w:val="000000" w:themeColor="text1"/>
                <w:sz w:val="18"/>
                <w:szCs w:val="18"/>
              </w:rPr>
            </w:pPr>
          </w:p>
        </w:tc>
        <w:tc>
          <w:tcPr>
            <w:tcW w:w="1221" w:type="dxa"/>
            <w:noWrap/>
            <w:vAlign w:val="center"/>
            <w:hideMark/>
          </w:tcPr>
          <w:p w14:paraId="57194F72"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Faca</w:t>
            </w:r>
          </w:p>
        </w:tc>
        <w:tc>
          <w:tcPr>
            <w:tcW w:w="478" w:type="dxa"/>
            <w:noWrap/>
            <w:vAlign w:val="center"/>
            <w:hideMark/>
          </w:tcPr>
          <w:p w14:paraId="0109AB66"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2</w:t>
            </w:r>
          </w:p>
        </w:tc>
        <w:tc>
          <w:tcPr>
            <w:tcW w:w="1068" w:type="dxa"/>
            <w:noWrap/>
            <w:vAlign w:val="center"/>
            <w:hideMark/>
          </w:tcPr>
          <w:p w14:paraId="6B011981"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300</w:t>
            </w:r>
          </w:p>
        </w:tc>
        <w:tc>
          <w:tcPr>
            <w:tcW w:w="1589" w:type="dxa"/>
            <w:noWrap/>
            <w:vAlign w:val="center"/>
            <w:hideMark/>
          </w:tcPr>
          <w:p w14:paraId="243C6593"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32 430</w:t>
            </w:r>
          </w:p>
        </w:tc>
        <w:tc>
          <w:tcPr>
            <w:tcW w:w="1701" w:type="dxa"/>
            <w:noWrap/>
            <w:vAlign w:val="center"/>
            <w:hideMark/>
          </w:tcPr>
          <w:p w14:paraId="3C117312"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49,439</w:t>
            </w:r>
          </w:p>
        </w:tc>
      </w:tr>
      <w:tr w:rsidR="00BF4113" w:rsidRPr="00E90F80" w14:paraId="7185472D" w14:textId="77777777" w:rsidTr="009D1D97">
        <w:trPr>
          <w:trHeight w:val="116"/>
        </w:trPr>
        <w:tc>
          <w:tcPr>
            <w:tcW w:w="1406" w:type="dxa"/>
            <w:vMerge/>
            <w:vAlign w:val="center"/>
            <w:hideMark/>
          </w:tcPr>
          <w:p w14:paraId="186E130A" w14:textId="77777777" w:rsidR="00BF4113" w:rsidRPr="003F1A0A" w:rsidRDefault="00BF4113" w:rsidP="008D174F">
            <w:pPr>
              <w:spacing w:after="0" w:line="240" w:lineRule="auto"/>
              <w:jc w:val="center"/>
              <w:rPr>
                <w:rFonts w:eastAsia="Times New Roman" w:cs="Calibri"/>
                <w:b/>
                <w:bCs/>
                <w:color w:val="000000" w:themeColor="text1"/>
                <w:sz w:val="18"/>
                <w:szCs w:val="18"/>
              </w:rPr>
            </w:pPr>
          </w:p>
        </w:tc>
        <w:tc>
          <w:tcPr>
            <w:tcW w:w="1599" w:type="dxa"/>
            <w:vMerge/>
            <w:vAlign w:val="center"/>
            <w:hideMark/>
          </w:tcPr>
          <w:p w14:paraId="51DD3276" w14:textId="77777777" w:rsidR="00BF4113" w:rsidRPr="003F1A0A" w:rsidRDefault="00BF4113" w:rsidP="008D174F">
            <w:pPr>
              <w:spacing w:after="0" w:line="240" w:lineRule="auto"/>
              <w:jc w:val="center"/>
              <w:rPr>
                <w:rFonts w:eastAsia="Times New Roman" w:cs="Calibri"/>
                <w:b/>
                <w:bCs/>
                <w:color w:val="000000" w:themeColor="text1"/>
                <w:sz w:val="18"/>
                <w:szCs w:val="18"/>
              </w:rPr>
            </w:pPr>
          </w:p>
        </w:tc>
        <w:tc>
          <w:tcPr>
            <w:tcW w:w="1221" w:type="dxa"/>
            <w:noWrap/>
            <w:vAlign w:val="center"/>
            <w:hideMark/>
          </w:tcPr>
          <w:p w14:paraId="2DE5ABD0"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Loc.</w:t>
            </w:r>
          </w:p>
        </w:tc>
        <w:tc>
          <w:tcPr>
            <w:tcW w:w="478" w:type="dxa"/>
            <w:noWrap/>
            <w:vAlign w:val="center"/>
            <w:hideMark/>
          </w:tcPr>
          <w:p w14:paraId="5EFD2752"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37</w:t>
            </w:r>
          </w:p>
        </w:tc>
        <w:tc>
          <w:tcPr>
            <w:tcW w:w="1068" w:type="dxa"/>
            <w:noWrap/>
            <w:vAlign w:val="center"/>
            <w:hideMark/>
          </w:tcPr>
          <w:p w14:paraId="30DA700C"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100</w:t>
            </w:r>
          </w:p>
        </w:tc>
        <w:tc>
          <w:tcPr>
            <w:tcW w:w="1589" w:type="dxa"/>
            <w:noWrap/>
            <w:vAlign w:val="center"/>
            <w:hideMark/>
          </w:tcPr>
          <w:p w14:paraId="47094E7B"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199 985</w:t>
            </w:r>
          </w:p>
        </w:tc>
        <w:tc>
          <w:tcPr>
            <w:tcW w:w="1701" w:type="dxa"/>
            <w:noWrap/>
            <w:vAlign w:val="center"/>
            <w:hideMark/>
          </w:tcPr>
          <w:p w14:paraId="4B14A185"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304,875</w:t>
            </w:r>
          </w:p>
        </w:tc>
      </w:tr>
      <w:tr w:rsidR="00BF4113" w:rsidRPr="00E90F80" w14:paraId="34FDFF47" w14:textId="77777777" w:rsidTr="009D1D97">
        <w:trPr>
          <w:trHeight w:val="230"/>
        </w:trPr>
        <w:tc>
          <w:tcPr>
            <w:tcW w:w="1406" w:type="dxa"/>
            <w:vMerge w:val="restart"/>
            <w:noWrap/>
            <w:vAlign w:val="center"/>
            <w:hideMark/>
          </w:tcPr>
          <w:p w14:paraId="21087DB7" w14:textId="77777777" w:rsidR="00BF4113" w:rsidRPr="003F1A0A" w:rsidRDefault="00BF4113" w:rsidP="008D174F">
            <w:pPr>
              <w:spacing w:after="0" w:line="240" w:lineRule="auto"/>
              <w:jc w:val="center"/>
              <w:rPr>
                <w:rFonts w:eastAsia="Times New Roman" w:cs="Calibri"/>
                <w:b/>
                <w:bCs/>
                <w:color w:val="000000" w:themeColor="text1"/>
                <w:sz w:val="18"/>
                <w:szCs w:val="18"/>
              </w:rPr>
            </w:pPr>
            <w:r w:rsidRPr="003F1A0A">
              <w:rPr>
                <w:rFonts w:eastAsia="Times New Roman" w:cs="Calibri"/>
                <w:b/>
                <w:bCs/>
                <w:color w:val="000000" w:themeColor="text1"/>
                <w:sz w:val="18"/>
                <w:szCs w:val="18"/>
              </w:rPr>
              <w:t>Cacheu</w:t>
            </w:r>
          </w:p>
        </w:tc>
        <w:tc>
          <w:tcPr>
            <w:tcW w:w="1599" w:type="dxa"/>
            <w:vMerge w:val="restart"/>
            <w:noWrap/>
            <w:vAlign w:val="center"/>
            <w:hideMark/>
          </w:tcPr>
          <w:p w14:paraId="5DCB8C67" w14:textId="77777777" w:rsidR="00BF4113" w:rsidRPr="003F1A0A" w:rsidRDefault="00BF4113" w:rsidP="008D174F">
            <w:pPr>
              <w:spacing w:after="0" w:line="240" w:lineRule="auto"/>
              <w:jc w:val="center"/>
              <w:rPr>
                <w:rFonts w:eastAsia="Times New Roman" w:cs="Calibri"/>
                <w:b/>
                <w:bCs/>
                <w:color w:val="000000" w:themeColor="text1"/>
                <w:sz w:val="18"/>
                <w:szCs w:val="18"/>
              </w:rPr>
            </w:pPr>
            <w:r w:rsidRPr="003F1A0A">
              <w:rPr>
                <w:rFonts w:eastAsia="Times New Roman" w:cs="Calibri"/>
                <w:b/>
                <w:bCs/>
                <w:color w:val="000000" w:themeColor="text1"/>
                <w:sz w:val="18"/>
                <w:szCs w:val="18"/>
              </w:rPr>
              <w:t>3173</w:t>
            </w:r>
          </w:p>
        </w:tc>
        <w:tc>
          <w:tcPr>
            <w:tcW w:w="1221" w:type="dxa"/>
            <w:noWrap/>
            <w:vAlign w:val="center"/>
            <w:hideMark/>
          </w:tcPr>
          <w:p w14:paraId="64D62ABA"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Exp.</w:t>
            </w:r>
          </w:p>
        </w:tc>
        <w:tc>
          <w:tcPr>
            <w:tcW w:w="478" w:type="dxa"/>
            <w:noWrap/>
            <w:vAlign w:val="center"/>
            <w:hideMark/>
          </w:tcPr>
          <w:p w14:paraId="0731FD36"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28</w:t>
            </w:r>
          </w:p>
        </w:tc>
        <w:tc>
          <w:tcPr>
            <w:tcW w:w="1068" w:type="dxa"/>
            <w:noWrap/>
            <w:vAlign w:val="center"/>
            <w:hideMark/>
          </w:tcPr>
          <w:p w14:paraId="23CBB9B7"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100</w:t>
            </w:r>
          </w:p>
        </w:tc>
        <w:tc>
          <w:tcPr>
            <w:tcW w:w="1589" w:type="dxa"/>
            <w:noWrap/>
            <w:vAlign w:val="center"/>
            <w:hideMark/>
          </w:tcPr>
          <w:p w14:paraId="59A064B1"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88 830</w:t>
            </w:r>
          </w:p>
        </w:tc>
        <w:tc>
          <w:tcPr>
            <w:tcW w:w="1701" w:type="dxa"/>
            <w:noWrap/>
            <w:vAlign w:val="center"/>
            <w:hideMark/>
          </w:tcPr>
          <w:p w14:paraId="7943B184"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135,420</w:t>
            </w:r>
          </w:p>
        </w:tc>
      </w:tr>
      <w:tr w:rsidR="00BF4113" w:rsidRPr="00E90F80" w14:paraId="57B16289" w14:textId="77777777" w:rsidTr="009D1D97">
        <w:trPr>
          <w:trHeight w:val="119"/>
        </w:trPr>
        <w:tc>
          <w:tcPr>
            <w:tcW w:w="1406" w:type="dxa"/>
            <w:vMerge/>
            <w:vAlign w:val="center"/>
            <w:hideMark/>
          </w:tcPr>
          <w:p w14:paraId="0F37170B" w14:textId="77777777" w:rsidR="00BF4113" w:rsidRPr="003F1A0A" w:rsidRDefault="00BF4113" w:rsidP="008D174F">
            <w:pPr>
              <w:spacing w:after="0" w:line="240" w:lineRule="auto"/>
              <w:jc w:val="center"/>
              <w:rPr>
                <w:rFonts w:eastAsia="Times New Roman" w:cs="Calibri"/>
                <w:b/>
                <w:bCs/>
                <w:color w:val="000000" w:themeColor="text1"/>
                <w:sz w:val="18"/>
                <w:szCs w:val="18"/>
              </w:rPr>
            </w:pPr>
          </w:p>
        </w:tc>
        <w:tc>
          <w:tcPr>
            <w:tcW w:w="1599" w:type="dxa"/>
            <w:vMerge/>
            <w:vAlign w:val="center"/>
            <w:hideMark/>
          </w:tcPr>
          <w:p w14:paraId="4F7BC914" w14:textId="77777777" w:rsidR="00BF4113" w:rsidRPr="003F1A0A" w:rsidRDefault="00BF4113" w:rsidP="008D174F">
            <w:pPr>
              <w:spacing w:after="0" w:line="240" w:lineRule="auto"/>
              <w:jc w:val="center"/>
              <w:rPr>
                <w:rFonts w:eastAsia="Times New Roman" w:cs="Calibri"/>
                <w:b/>
                <w:bCs/>
                <w:color w:val="000000" w:themeColor="text1"/>
                <w:sz w:val="18"/>
                <w:szCs w:val="18"/>
              </w:rPr>
            </w:pPr>
          </w:p>
        </w:tc>
        <w:tc>
          <w:tcPr>
            <w:tcW w:w="1221" w:type="dxa"/>
            <w:noWrap/>
            <w:vAlign w:val="center"/>
            <w:hideMark/>
          </w:tcPr>
          <w:p w14:paraId="5ADDD410"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Faca</w:t>
            </w:r>
          </w:p>
        </w:tc>
        <w:tc>
          <w:tcPr>
            <w:tcW w:w="478" w:type="dxa"/>
            <w:noWrap/>
            <w:vAlign w:val="center"/>
            <w:hideMark/>
          </w:tcPr>
          <w:p w14:paraId="0B1D54D0"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5</w:t>
            </w:r>
          </w:p>
        </w:tc>
        <w:tc>
          <w:tcPr>
            <w:tcW w:w="1068" w:type="dxa"/>
            <w:noWrap/>
            <w:vAlign w:val="center"/>
            <w:hideMark/>
          </w:tcPr>
          <w:p w14:paraId="7F4B71B8"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300</w:t>
            </w:r>
          </w:p>
        </w:tc>
        <w:tc>
          <w:tcPr>
            <w:tcW w:w="1589" w:type="dxa"/>
            <w:noWrap/>
            <w:vAlign w:val="center"/>
            <w:hideMark/>
          </w:tcPr>
          <w:p w14:paraId="0C56AEF6"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47 588</w:t>
            </w:r>
          </w:p>
        </w:tc>
        <w:tc>
          <w:tcPr>
            <w:tcW w:w="1701" w:type="dxa"/>
            <w:noWrap/>
            <w:vAlign w:val="center"/>
            <w:hideMark/>
          </w:tcPr>
          <w:p w14:paraId="7482C44B"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72,547</w:t>
            </w:r>
          </w:p>
        </w:tc>
      </w:tr>
      <w:tr w:rsidR="00BF4113" w:rsidRPr="00E90F80" w14:paraId="78918069" w14:textId="77777777" w:rsidTr="009D1D97">
        <w:trPr>
          <w:trHeight w:val="253"/>
        </w:trPr>
        <w:tc>
          <w:tcPr>
            <w:tcW w:w="1406" w:type="dxa"/>
            <w:vMerge/>
            <w:vAlign w:val="center"/>
            <w:hideMark/>
          </w:tcPr>
          <w:p w14:paraId="4B1E142F" w14:textId="77777777" w:rsidR="00BF4113" w:rsidRPr="003F1A0A" w:rsidRDefault="00BF4113" w:rsidP="008D174F">
            <w:pPr>
              <w:spacing w:after="0" w:line="240" w:lineRule="auto"/>
              <w:jc w:val="center"/>
              <w:rPr>
                <w:rFonts w:eastAsia="Times New Roman" w:cs="Calibri"/>
                <w:b/>
                <w:bCs/>
                <w:color w:val="000000" w:themeColor="text1"/>
                <w:sz w:val="18"/>
                <w:szCs w:val="18"/>
              </w:rPr>
            </w:pPr>
          </w:p>
        </w:tc>
        <w:tc>
          <w:tcPr>
            <w:tcW w:w="1599" w:type="dxa"/>
            <w:vMerge/>
            <w:vAlign w:val="center"/>
            <w:hideMark/>
          </w:tcPr>
          <w:p w14:paraId="5BF936EC" w14:textId="77777777" w:rsidR="00BF4113" w:rsidRPr="003F1A0A" w:rsidRDefault="00BF4113" w:rsidP="008D174F">
            <w:pPr>
              <w:spacing w:after="0" w:line="240" w:lineRule="auto"/>
              <w:jc w:val="center"/>
              <w:rPr>
                <w:rFonts w:eastAsia="Times New Roman" w:cs="Calibri"/>
                <w:b/>
                <w:bCs/>
                <w:color w:val="000000" w:themeColor="text1"/>
                <w:sz w:val="18"/>
                <w:szCs w:val="18"/>
              </w:rPr>
            </w:pPr>
          </w:p>
        </w:tc>
        <w:tc>
          <w:tcPr>
            <w:tcW w:w="1221" w:type="dxa"/>
            <w:noWrap/>
            <w:vAlign w:val="center"/>
            <w:hideMark/>
          </w:tcPr>
          <w:p w14:paraId="02BCF280"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Loc.</w:t>
            </w:r>
          </w:p>
        </w:tc>
        <w:tc>
          <w:tcPr>
            <w:tcW w:w="478" w:type="dxa"/>
            <w:noWrap/>
            <w:vAlign w:val="center"/>
            <w:hideMark/>
          </w:tcPr>
          <w:p w14:paraId="25AFC828"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67</w:t>
            </w:r>
          </w:p>
        </w:tc>
        <w:tc>
          <w:tcPr>
            <w:tcW w:w="1068" w:type="dxa"/>
            <w:noWrap/>
            <w:vAlign w:val="center"/>
            <w:hideMark/>
          </w:tcPr>
          <w:p w14:paraId="639E6E17"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100</w:t>
            </w:r>
          </w:p>
        </w:tc>
        <w:tc>
          <w:tcPr>
            <w:tcW w:w="1589" w:type="dxa"/>
            <w:noWrap/>
            <w:vAlign w:val="center"/>
            <w:hideMark/>
          </w:tcPr>
          <w:p w14:paraId="4FF244BE"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212 558</w:t>
            </w:r>
          </w:p>
        </w:tc>
        <w:tc>
          <w:tcPr>
            <w:tcW w:w="1701" w:type="dxa"/>
            <w:noWrap/>
            <w:vAlign w:val="center"/>
            <w:hideMark/>
          </w:tcPr>
          <w:p w14:paraId="1C440571"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324,042</w:t>
            </w:r>
          </w:p>
        </w:tc>
      </w:tr>
      <w:tr w:rsidR="00BF4113" w:rsidRPr="00E90F80" w14:paraId="52787102" w14:textId="77777777" w:rsidTr="009D1D97">
        <w:trPr>
          <w:trHeight w:val="217"/>
        </w:trPr>
        <w:tc>
          <w:tcPr>
            <w:tcW w:w="1406" w:type="dxa"/>
            <w:vMerge w:val="restart"/>
            <w:noWrap/>
            <w:vAlign w:val="center"/>
            <w:hideMark/>
          </w:tcPr>
          <w:p w14:paraId="00F83D7A" w14:textId="77777777" w:rsidR="00BF4113" w:rsidRPr="003F1A0A" w:rsidRDefault="00BF4113" w:rsidP="008D174F">
            <w:pPr>
              <w:spacing w:after="0" w:line="240" w:lineRule="auto"/>
              <w:jc w:val="center"/>
              <w:rPr>
                <w:rFonts w:eastAsia="Times New Roman" w:cs="Calibri"/>
                <w:b/>
                <w:bCs/>
                <w:color w:val="000000" w:themeColor="text1"/>
                <w:sz w:val="18"/>
                <w:szCs w:val="18"/>
              </w:rPr>
            </w:pPr>
            <w:r w:rsidRPr="003F1A0A">
              <w:rPr>
                <w:rFonts w:eastAsia="Times New Roman" w:cs="Calibri"/>
                <w:b/>
                <w:bCs/>
                <w:color w:val="000000" w:themeColor="text1"/>
                <w:sz w:val="18"/>
                <w:szCs w:val="18"/>
              </w:rPr>
              <w:t>Bafátá</w:t>
            </w:r>
          </w:p>
        </w:tc>
        <w:tc>
          <w:tcPr>
            <w:tcW w:w="1599" w:type="dxa"/>
            <w:vMerge w:val="restart"/>
            <w:noWrap/>
            <w:vAlign w:val="center"/>
            <w:hideMark/>
          </w:tcPr>
          <w:p w14:paraId="4E5B1210" w14:textId="77777777" w:rsidR="00BF4113" w:rsidRPr="003F1A0A" w:rsidRDefault="00BF4113" w:rsidP="008D174F">
            <w:pPr>
              <w:spacing w:after="0" w:line="240" w:lineRule="auto"/>
              <w:jc w:val="center"/>
              <w:rPr>
                <w:rFonts w:eastAsia="Times New Roman" w:cs="Calibri"/>
                <w:b/>
                <w:bCs/>
                <w:color w:val="000000" w:themeColor="text1"/>
                <w:sz w:val="18"/>
                <w:szCs w:val="18"/>
              </w:rPr>
            </w:pPr>
            <w:r w:rsidRPr="003F1A0A">
              <w:rPr>
                <w:rFonts w:eastAsia="Times New Roman" w:cs="Calibri"/>
                <w:b/>
                <w:bCs/>
                <w:color w:val="000000" w:themeColor="text1"/>
                <w:sz w:val="18"/>
                <w:szCs w:val="18"/>
              </w:rPr>
              <w:t>1293</w:t>
            </w:r>
          </w:p>
        </w:tc>
        <w:tc>
          <w:tcPr>
            <w:tcW w:w="1221" w:type="dxa"/>
            <w:noWrap/>
            <w:vAlign w:val="center"/>
            <w:hideMark/>
          </w:tcPr>
          <w:p w14:paraId="16D0D81E"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Exp.</w:t>
            </w:r>
          </w:p>
        </w:tc>
        <w:tc>
          <w:tcPr>
            <w:tcW w:w="478" w:type="dxa"/>
            <w:noWrap/>
            <w:vAlign w:val="center"/>
            <w:hideMark/>
          </w:tcPr>
          <w:p w14:paraId="64FFAFD8"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7</w:t>
            </w:r>
          </w:p>
        </w:tc>
        <w:tc>
          <w:tcPr>
            <w:tcW w:w="1068" w:type="dxa"/>
            <w:noWrap/>
            <w:vAlign w:val="center"/>
            <w:hideMark/>
          </w:tcPr>
          <w:p w14:paraId="4009CD1B"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133</w:t>
            </w:r>
          </w:p>
        </w:tc>
        <w:tc>
          <w:tcPr>
            <w:tcW w:w="1589" w:type="dxa"/>
            <w:noWrap/>
            <w:vAlign w:val="center"/>
            <w:hideMark/>
          </w:tcPr>
          <w:p w14:paraId="530E6444"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12 033</w:t>
            </w:r>
          </w:p>
        </w:tc>
        <w:tc>
          <w:tcPr>
            <w:tcW w:w="1701" w:type="dxa"/>
            <w:noWrap/>
            <w:vAlign w:val="center"/>
            <w:hideMark/>
          </w:tcPr>
          <w:p w14:paraId="6A296E46"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18,344</w:t>
            </w:r>
          </w:p>
        </w:tc>
      </w:tr>
      <w:tr w:rsidR="00BF4113" w:rsidRPr="00E90F80" w14:paraId="58440C38" w14:textId="77777777" w:rsidTr="009D1D97">
        <w:trPr>
          <w:trHeight w:val="263"/>
        </w:trPr>
        <w:tc>
          <w:tcPr>
            <w:tcW w:w="1406" w:type="dxa"/>
            <w:vMerge/>
            <w:vAlign w:val="center"/>
            <w:hideMark/>
          </w:tcPr>
          <w:p w14:paraId="7194440C" w14:textId="77777777" w:rsidR="00BF4113" w:rsidRPr="003F1A0A" w:rsidRDefault="00BF4113" w:rsidP="008D174F">
            <w:pPr>
              <w:spacing w:after="0" w:line="240" w:lineRule="auto"/>
              <w:jc w:val="center"/>
              <w:rPr>
                <w:rFonts w:eastAsia="Times New Roman" w:cs="Calibri"/>
                <w:b/>
                <w:bCs/>
                <w:color w:val="000000" w:themeColor="text1"/>
                <w:sz w:val="18"/>
                <w:szCs w:val="18"/>
              </w:rPr>
            </w:pPr>
          </w:p>
        </w:tc>
        <w:tc>
          <w:tcPr>
            <w:tcW w:w="1599" w:type="dxa"/>
            <w:vMerge/>
            <w:vAlign w:val="center"/>
            <w:hideMark/>
          </w:tcPr>
          <w:p w14:paraId="600376E5" w14:textId="77777777" w:rsidR="00BF4113" w:rsidRPr="003F1A0A" w:rsidRDefault="00BF4113" w:rsidP="008D174F">
            <w:pPr>
              <w:spacing w:after="0" w:line="240" w:lineRule="auto"/>
              <w:jc w:val="center"/>
              <w:rPr>
                <w:rFonts w:eastAsia="Times New Roman" w:cs="Calibri"/>
                <w:b/>
                <w:bCs/>
                <w:color w:val="000000" w:themeColor="text1"/>
                <w:sz w:val="18"/>
                <w:szCs w:val="18"/>
              </w:rPr>
            </w:pPr>
          </w:p>
        </w:tc>
        <w:tc>
          <w:tcPr>
            <w:tcW w:w="1221" w:type="dxa"/>
            <w:noWrap/>
            <w:vAlign w:val="center"/>
            <w:hideMark/>
          </w:tcPr>
          <w:p w14:paraId="7FF516AA"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Faca</w:t>
            </w:r>
          </w:p>
        </w:tc>
        <w:tc>
          <w:tcPr>
            <w:tcW w:w="478" w:type="dxa"/>
            <w:noWrap/>
            <w:vAlign w:val="center"/>
            <w:hideMark/>
          </w:tcPr>
          <w:p w14:paraId="7873720A"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6</w:t>
            </w:r>
          </w:p>
        </w:tc>
        <w:tc>
          <w:tcPr>
            <w:tcW w:w="1068" w:type="dxa"/>
            <w:noWrap/>
            <w:vAlign w:val="center"/>
            <w:hideMark/>
          </w:tcPr>
          <w:p w14:paraId="7FEAD441"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300</w:t>
            </w:r>
          </w:p>
        </w:tc>
        <w:tc>
          <w:tcPr>
            <w:tcW w:w="1589" w:type="dxa"/>
            <w:noWrap/>
            <w:vAlign w:val="center"/>
            <w:hideMark/>
          </w:tcPr>
          <w:p w14:paraId="6EDDADBB"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23 265</w:t>
            </w:r>
          </w:p>
        </w:tc>
        <w:tc>
          <w:tcPr>
            <w:tcW w:w="1701" w:type="dxa"/>
            <w:noWrap/>
            <w:vAlign w:val="center"/>
            <w:hideMark/>
          </w:tcPr>
          <w:p w14:paraId="495EE355"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35,467</w:t>
            </w:r>
          </w:p>
        </w:tc>
      </w:tr>
      <w:tr w:rsidR="00BF4113" w:rsidRPr="00E90F80" w14:paraId="02239110" w14:textId="77777777" w:rsidTr="009D1D97">
        <w:trPr>
          <w:trHeight w:val="268"/>
        </w:trPr>
        <w:tc>
          <w:tcPr>
            <w:tcW w:w="1406" w:type="dxa"/>
            <w:vMerge/>
            <w:vAlign w:val="center"/>
            <w:hideMark/>
          </w:tcPr>
          <w:p w14:paraId="4595A01A" w14:textId="77777777" w:rsidR="00BF4113" w:rsidRPr="003F1A0A" w:rsidRDefault="00BF4113" w:rsidP="008D174F">
            <w:pPr>
              <w:spacing w:after="0" w:line="240" w:lineRule="auto"/>
              <w:jc w:val="center"/>
              <w:rPr>
                <w:rFonts w:eastAsia="Times New Roman" w:cs="Calibri"/>
                <w:b/>
                <w:bCs/>
                <w:color w:val="000000" w:themeColor="text1"/>
                <w:sz w:val="18"/>
                <w:szCs w:val="18"/>
              </w:rPr>
            </w:pPr>
          </w:p>
        </w:tc>
        <w:tc>
          <w:tcPr>
            <w:tcW w:w="1599" w:type="dxa"/>
            <w:vMerge/>
            <w:vAlign w:val="center"/>
            <w:hideMark/>
          </w:tcPr>
          <w:p w14:paraId="182BE488" w14:textId="77777777" w:rsidR="00BF4113" w:rsidRPr="003F1A0A" w:rsidRDefault="00BF4113" w:rsidP="008D174F">
            <w:pPr>
              <w:spacing w:after="0" w:line="240" w:lineRule="auto"/>
              <w:jc w:val="center"/>
              <w:rPr>
                <w:rFonts w:eastAsia="Times New Roman" w:cs="Calibri"/>
                <w:b/>
                <w:bCs/>
                <w:color w:val="000000" w:themeColor="text1"/>
                <w:sz w:val="18"/>
                <w:szCs w:val="18"/>
              </w:rPr>
            </w:pPr>
          </w:p>
        </w:tc>
        <w:tc>
          <w:tcPr>
            <w:tcW w:w="1221" w:type="dxa"/>
            <w:noWrap/>
            <w:vAlign w:val="center"/>
            <w:hideMark/>
          </w:tcPr>
          <w:p w14:paraId="66EAFC23"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Loc.</w:t>
            </w:r>
          </w:p>
        </w:tc>
        <w:tc>
          <w:tcPr>
            <w:tcW w:w="478" w:type="dxa"/>
            <w:noWrap/>
            <w:vAlign w:val="center"/>
            <w:hideMark/>
          </w:tcPr>
          <w:p w14:paraId="5FD7B689"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87</w:t>
            </w:r>
          </w:p>
        </w:tc>
        <w:tc>
          <w:tcPr>
            <w:tcW w:w="1068" w:type="dxa"/>
            <w:noWrap/>
            <w:vAlign w:val="center"/>
            <w:hideMark/>
          </w:tcPr>
          <w:p w14:paraId="71828E38"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133</w:t>
            </w:r>
          </w:p>
        </w:tc>
        <w:tc>
          <w:tcPr>
            <w:tcW w:w="1589" w:type="dxa"/>
            <w:noWrap/>
            <w:vAlign w:val="center"/>
            <w:hideMark/>
          </w:tcPr>
          <w:p w14:paraId="3896DC20"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149 555</w:t>
            </w:r>
          </w:p>
        </w:tc>
        <w:tc>
          <w:tcPr>
            <w:tcW w:w="1701" w:type="dxa"/>
            <w:noWrap/>
            <w:vAlign w:val="center"/>
            <w:hideMark/>
          </w:tcPr>
          <w:p w14:paraId="0E87931E"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227,995</w:t>
            </w:r>
          </w:p>
        </w:tc>
      </w:tr>
      <w:tr w:rsidR="00BF4113" w:rsidRPr="00E90F80" w14:paraId="0494B264" w14:textId="77777777" w:rsidTr="009D1D97">
        <w:trPr>
          <w:trHeight w:val="115"/>
        </w:trPr>
        <w:tc>
          <w:tcPr>
            <w:tcW w:w="1406" w:type="dxa"/>
            <w:vMerge w:val="restart"/>
            <w:noWrap/>
            <w:vAlign w:val="center"/>
            <w:hideMark/>
          </w:tcPr>
          <w:p w14:paraId="2980B7E7" w14:textId="77777777" w:rsidR="00BF4113" w:rsidRPr="003F1A0A" w:rsidRDefault="00BF4113" w:rsidP="008D174F">
            <w:pPr>
              <w:spacing w:after="0" w:line="240" w:lineRule="auto"/>
              <w:jc w:val="center"/>
              <w:rPr>
                <w:rFonts w:eastAsia="Times New Roman" w:cs="Calibri"/>
                <w:b/>
                <w:bCs/>
                <w:color w:val="000000" w:themeColor="text1"/>
                <w:sz w:val="18"/>
                <w:szCs w:val="18"/>
              </w:rPr>
            </w:pPr>
            <w:r w:rsidRPr="003F1A0A">
              <w:rPr>
                <w:rFonts w:eastAsia="Times New Roman" w:cs="Calibri"/>
                <w:b/>
                <w:bCs/>
                <w:color w:val="000000" w:themeColor="text1"/>
                <w:sz w:val="18"/>
                <w:szCs w:val="18"/>
              </w:rPr>
              <w:t>Resto do país</w:t>
            </w:r>
          </w:p>
        </w:tc>
        <w:tc>
          <w:tcPr>
            <w:tcW w:w="1599" w:type="dxa"/>
            <w:vMerge w:val="restart"/>
            <w:noWrap/>
            <w:vAlign w:val="center"/>
            <w:hideMark/>
          </w:tcPr>
          <w:p w14:paraId="4A1BEF63" w14:textId="77777777" w:rsidR="00BF4113" w:rsidRPr="003F1A0A" w:rsidRDefault="00BF4113" w:rsidP="008D174F">
            <w:pPr>
              <w:spacing w:after="0" w:line="240" w:lineRule="auto"/>
              <w:jc w:val="center"/>
              <w:rPr>
                <w:rFonts w:eastAsia="Times New Roman" w:cs="Calibri"/>
                <w:b/>
                <w:bCs/>
                <w:color w:val="000000" w:themeColor="text1"/>
                <w:sz w:val="18"/>
                <w:szCs w:val="18"/>
              </w:rPr>
            </w:pPr>
            <w:r w:rsidRPr="003F1A0A">
              <w:rPr>
                <w:rFonts w:eastAsia="Times New Roman" w:cs="Calibri"/>
                <w:b/>
                <w:bCs/>
                <w:color w:val="000000" w:themeColor="text1"/>
                <w:sz w:val="18"/>
                <w:szCs w:val="18"/>
              </w:rPr>
              <w:t>1880</w:t>
            </w:r>
          </w:p>
        </w:tc>
        <w:tc>
          <w:tcPr>
            <w:tcW w:w="1221" w:type="dxa"/>
            <w:noWrap/>
            <w:vAlign w:val="center"/>
            <w:hideMark/>
          </w:tcPr>
          <w:p w14:paraId="2CBB8AF9"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Exp.</w:t>
            </w:r>
          </w:p>
        </w:tc>
        <w:tc>
          <w:tcPr>
            <w:tcW w:w="478" w:type="dxa"/>
            <w:noWrap/>
            <w:vAlign w:val="center"/>
            <w:hideMark/>
          </w:tcPr>
          <w:p w14:paraId="31CF3C6A"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5</w:t>
            </w:r>
          </w:p>
        </w:tc>
        <w:tc>
          <w:tcPr>
            <w:tcW w:w="1068" w:type="dxa"/>
            <w:noWrap/>
            <w:vAlign w:val="center"/>
            <w:hideMark/>
          </w:tcPr>
          <w:p w14:paraId="764D6CB2"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133</w:t>
            </w:r>
          </w:p>
        </w:tc>
        <w:tc>
          <w:tcPr>
            <w:tcW w:w="1589" w:type="dxa"/>
            <w:noWrap/>
            <w:vAlign w:val="center"/>
            <w:hideMark/>
          </w:tcPr>
          <w:p w14:paraId="134FDFBA"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12 502</w:t>
            </w:r>
          </w:p>
        </w:tc>
        <w:tc>
          <w:tcPr>
            <w:tcW w:w="1701" w:type="dxa"/>
            <w:noWrap/>
            <w:vAlign w:val="center"/>
            <w:hideMark/>
          </w:tcPr>
          <w:p w14:paraId="7A46AE2B"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19,059</w:t>
            </w:r>
          </w:p>
        </w:tc>
      </w:tr>
      <w:tr w:rsidR="00BF4113" w:rsidRPr="00E90F80" w14:paraId="7BEE5381" w14:textId="77777777" w:rsidTr="009D1D97">
        <w:trPr>
          <w:trHeight w:val="162"/>
        </w:trPr>
        <w:tc>
          <w:tcPr>
            <w:tcW w:w="1406" w:type="dxa"/>
            <w:vMerge/>
            <w:vAlign w:val="center"/>
            <w:hideMark/>
          </w:tcPr>
          <w:p w14:paraId="578C6917" w14:textId="77777777" w:rsidR="00BF4113" w:rsidRPr="003F1A0A" w:rsidRDefault="00BF4113" w:rsidP="008D174F">
            <w:pPr>
              <w:spacing w:after="0" w:line="240" w:lineRule="auto"/>
              <w:jc w:val="center"/>
              <w:rPr>
                <w:rFonts w:eastAsia="Times New Roman" w:cs="Calibri"/>
                <w:b/>
                <w:bCs/>
                <w:color w:val="000000" w:themeColor="text1"/>
                <w:sz w:val="18"/>
                <w:szCs w:val="18"/>
              </w:rPr>
            </w:pPr>
          </w:p>
        </w:tc>
        <w:tc>
          <w:tcPr>
            <w:tcW w:w="1599" w:type="dxa"/>
            <w:vMerge/>
            <w:vAlign w:val="center"/>
            <w:hideMark/>
          </w:tcPr>
          <w:p w14:paraId="40A86B20" w14:textId="77777777" w:rsidR="00BF4113" w:rsidRPr="003F1A0A" w:rsidRDefault="00BF4113" w:rsidP="008D174F">
            <w:pPr>
              <w:spacing w:after="0" w:line="240" w:lineRule="auto"/>
              <w:jc w:val="center"/>
              <w:rPr>
                <w:rFonts w:eastAsia="Times New Roman" w:cs="Calibri"/>
                <w:b/>
                <w:bCs/>
                <w:color w:val="000000" w:themeColor="text1"/>
                <w:sz w:val="18"/>
                <w:szCs w:val="18"/>
              </w:rPr>
            </w:pPr>
          </w:p>
        </w:tc>
        <w:tc>
          <w:tcPr>
            <w:tcW w:w="1221" w:type="dxa"/>
            <w:noWrap/>
            <w:vAlign w:val="center"/>
            <w:hideMark/>
          </w:tcPr>
          <w:p w14:paraId="18228750"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Faca</w:t>
            </w:r>
          </w:p>
        </w:tc>
        <w:tc>
          <w:tcPr>
            <w:tcW w:w="478" w:type="dxa"/>
            <w:noWrap/>
            <w:vAlign w:val="center"/>
            <w:hideMark/>
          </w:tcPr>
          <w:p w14:paraId="7FADD5FC"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3</w:t>
            </w:r>
          </w:p>
        </w:tc>
        <w:tc>
          <w:tcPr>
            <w:tcW w:w="1068" w:type="dxa"/>
            <w:noWrap/>
            <w:vAlign w:val="center"/>
            <w:hideMark/>
          </w:tcPr>
          <w:p w14:paraId="4AF72127"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250</w:t>
            </w:r>
          </w:p>
        </w:tc>
        <w:tc>
          <w:tcPr>
            <w:tcW w:w="1589" w:type="dxa"/>
            <w:noWrap/>
            <w:vAlign w:val="center"/>
            <w:hideMark/>
          </w:tcPr>
          <w:p w14:paraId="05BFB1B5"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14 100</w:t>
            </w:r>
          </w:p>
        </w:tc>
        <w:tc>
          <w:tcPr>
            <w:tcW w:w="1701" w:type="dxa"/>
            <w:noWrap/>
            <w:vAlign w:val="center"/>
            <w:hideMark/>
          </w:tcPr>
          <w:p w14:paraId="26112CBF"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21,495</w:t>
            </w:r>
          </w:p>
        </w:tc>
      </w:tr>
      <w:tr w:rsidR="00BF4113" w:rsidRPr="00E90F80" w14:paraId="028B0BB5" w14:textId="77777777" w:rsidTr="009D1D97">
        <w:trPr>
          <w:trHeight w:val="207"/>
        </w:trPr>
        <w:tc>
          <w:tcPr>
            <w:tcW w:w="1406" w:type="dxa"/>
            <w:vMerge/>
            <w:vAlign w:val="center"/>
            <w:hideMark/>
          </w:tcPr>
          <w:p w14:paraId="01067DF1" w14:textId="77777777" w:rsidR="00BF4113" w:rsidRPr="003F1A0A" w:rsidRDefault="00BF4113" w:rsidP="008D174F">
            <w:pPr>
              <w:spacing w:after="0" w:line="240" w:lineRule="auto"/>
              <w:jc w:val="center"/>
              <w:rPr>
                <w:rFonts w:eastAsia="Times New Roman" w:cs="Calibri"/>
                <w:b/>
                <w:bCs/>
                <w:color w:val="000000" w:themeColor="text1"/>
                <w:sz w:val="18"/>
                <w:szCs w:val="18"/>
              </w:rPr>
            </w:pPr>
          </w:p>
        </w:tc>
        <w:tc>
          <w:tcPr>
            <w:tcW w:w="1599" w:type="dxa"/>
            <w:vMerge/>
            <w:vAlign w:val="center"/>
            <w:hideMark/>
          </w:tcPr>
          <w:p w14:paraId="711A469D" w14:textId="77777777" w:rsidR="00BF4113" w:rsidRPr="003F1A0A" w:rsidRDefault="00BF4113" w:rsidP="008D174F">
            <w:pPr>
              <w:spacing w:after="0" w:line="240" w:lineRule="auto"/>
              <w:jc w:val="center"/>
              <w:rPr>
                <w:rFonts w:eastAsia="Times New Roman" w:cs="Calibri"/>
                <w:b/>
                <w:bCs/>
                <w:color w:val="000000" w:themeColor="text1"/>
                <w:sz w:val="18"/>
                <w:szCs w:val="18"/>
              </w:rPr>
            </w:pPr>
          </w:p>
        </w:tc>
        <w:tc>
          <w:tcPr>
            <w:tcW w:w="1221" w:type="dxa"/>
            <w:noWrap/>
            <w:vAlign w:val="center"/>
            <w:hideMark/>
          </w:tcPr>
          <w:p w14:paraId="1813DA7E"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Loc.</w:t>
            </w:r>
          </w:p>
        </w:tc>
        <w:tc>
          <w:tcPr>
            <w:tcW w:w="478" w:type="dxa"/>
            <w:noWrap/>
            <w:vAlign w:val="center"/>
            <w:hideMark/>
          </w:tcPr>
          <w:p w14:paraId="4CB1D08A"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92</w:t>
            </w:r>
          </w:p>
        </w:tc>
        <w:tc>
          <w:tcPr>
            <w:tcW w:w="1068" w:type="dxa"/>
            <w:noWrap/>
            <w:vAlign w:val="center"/>
            <w:hideMark/>
          </w:tcPr>
          <w:p w14:paraId="5C9A23E2"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100</w:t>
            </w:r>
          </w:p>
        </w:tc>
        <w:tc>
          <w:tcPr>
            <w:tcW w:w="1589" w:type="dxa"/>
            <w:noWrap/>
            <w:vAlign w:val="center"/>
            <w:hideMark/>
          </w:tcPr>
          <w:p w14:paraId="205F8891"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172 960</w:t>
            </w:r>
          </w:p>
        </w:tc>
        <w:tc>
          <w:tcPr>
            <w:tcW w:w="1701" w:type="dxa"/>
            <w:noWrap/>
            <w:vAlign w:val="center"/>
            <w:hideMark/>
          </w:tcPr>
          <w:p w14:paraId="0C06F8FF" w14:textId="77777777" w:rsidR="00BF4113" w:rsidRPr="003F1A0A" w:rsidRDefault="00BF4113" w:rsidP="009D1D97">
            <w:pPr>
              <w:spacing w:after="0" w:line="240" w:lineRule="auto"/>
              <w:jc w:val="center"/>
              <w:rPr>
                <w:rFonts w:eastAsia="Times New Roman" w:cs="Calibri"/>
                <w:color w:val="000000" w:themeColor="text1"/>
                <w:sz w:val="18"/>
                <w:szCs w:val="18"/>
              </w:rPr>
            </w:pPr>
            <w:r w:rsidRPr="003F1A0A">
              <w:rPr>
                <w:rFonts w:eastAsia="Times New Roman" w:cs="Calibri"/>
                <w:color w:val="000000" w:themeColor="text1"/>
                <w:sz w:val="18"/>
                <w:szCs w:val="18"/>
              </w:rPr>
              <w:t>263,676</w:t>
            </w:r>
          </w:p>
        </w:tc>
      </w:tr>
      <w:tr w:rsidR="00BF4113" w:rsidRPr="00E90F80" w14:paraId="7FB01CF3" w14:textId="77777777" w:rsidTr="009D1D97">
        <w:trPr>
          <w:trHeight w:val="305"/>
        </w:trPr>
        <w:tc>
          <w:tcPr>
            <w:tcW w:w="1406" w:type="dxa"/>
            <w:noWrap/>
            <w:vAlign w:val="bottom"/>
            <w:hideMark/>
          </w:tcPr>
          <w:p w14:paraId="2B4CD3A8" w14:textId="77777777" w:rsidR="00BF4113" w:rsidRPr="003F1A0A" w:rsidRDefault="00BF4113" w:rsidP="008D174F">
            <w:pPr>
              <w:spacing w:after="0" w:line="240" w:lineRule="auto"/>
              <w:jc w:val="center"/>
              <w:rPr>
                <w:rFonts w:eastAsia="Times New Roman" w:cs="Calibri"/>
                <w:b/>
                <w:bCs/>
                <w:color w:val="000000" w:themeColor="text1"/>
                <w:sz w:val="18"/>
                <w:szCs w:val="18"/>
              </w:rPr>
            </w:pPr>
            <w:r w:rsidRPr="003F1A0A">
              <w:rPr>
                <w:rFonts w:eastAsia="Times New Roman" w:cs="Calibri"/>
                <w:b/>
                <w:bCs/>
                <w:color w:val="000000" w:themeColor="text1"/>
                <w:sz w:val="18"/>
                <w:szCs w:val="18"/>
              </w:rPr>
              <w:t>Total</w:t>
            </w:r>
          </w:p>
        </w:tc>
        <w:tc>
          <w:tcPr>
            <w:tcW w:w="1599" w:type="dxa"/>
            <w:noWrap/>
            <w:vAlign w:val="bottom"/>
            <w:hideMark/>
          </w:tcPr>
          <w:p w14:paraId="3D6090A7" w14:textId="77777777" w:rsidR="00BF4113" w:rsidRPr="003F1A0A" w:rsidRDefault="00BF4113" w:rsidP="008D174F">
            <w:pPr>
              <w:spacing w:after="0" w:line="240" w:lineRule="auto"/>
              <w:jc w:val="center"/>
              <w:rPr>
                <w:rFonts w:eastAsia="Times New Roman" w:cs="Calibri"/>
                <w:b/>
                <w:bCs/>
                <w:color w:val="000000" w:themeColor="text1"/>
                <w:sz w:val="18"/>
                <w:szCs w:val="18"/>
              </w:rPr>
            </w:pPr>
            <w:r w:rsidRPr="003F1A0A">
              <w:rPr>
                <w:rFonts w:eastAsia="Times New Roman" w:cs="Calibri"/>
                <w:b/>
                <w:bCs/>
                <w:color w:val="000000" w:themeColor="text1"/>
                <w:sz w:val="18"/>
                <w:szCs w:val="18"/>
              </w:rPr>
              <w:t>11750,0</w:t>
            </w:r>
          </w:p>
        </w:tc>
        <w:tc>
          <w:tcPr>
            <w:tcW w:w="1221" w:type="dxa"/>
            <w:noWrap/>
            <w:vAlign w:val="center"/>
            <w:hideMark/>
          </w:tcPr>
          <w:p w14:paraId="3C9A1F20" w14:textId="5B2FEC8D" w:rsidR="00BF4113" w:rsidRPr="003F1A0A" w:rsidRDefault="00BF4113" w:rsidP="009D1D97">
            <w:pPr>
              <w:spacing w:after="0" w:line="240" w:lineRule="auto"/>
              <w:jc w:val="center"/>
              <w:rPr>
                <w:rFonts w:eastAsia="Times New Roman" w:cs="Calibri"/>
                <w:b/>
                <w:bCs/>
                <w:color w:val="000000" w:themeColor="text1"/>
                <w:sz w:val="18"/>
                <w:szCs w:val="18"/>
              </w:rPr>
            </w:pPr>
          </w:p>
        </w:tc>
        <w:tc>
          <w:tcPr>
            <w:tcW w:w="478" w:type="dxa"/>
            <w:noWrap/>
            <w:vAlign w:val="center"/>
            <w:hideMark/>
          </w:tcPr>
          <w:p w14:paraId="7FA8DAE6" w14:textId="77777777" w:rsidR="00BF4113" w:rsidRPr="003F1A0A" w:rsidRDefault="00BF4113" w:rsidP="009D1D97">
            <w:pPr>
              <w:spacing w:after="0" w:line="240" w:lineRule="auto"/>
              <w:jc w:val="center"/>
              <w:rPr>
                <w:rFonts w:eastAsia="Times New Roman" w:cs="Calibri"/>
                <w:b/>
                <w:bCs/>
                <w:color w:val="000000" w:themeColor="text1"/>
                <w:sz w:val="18"/>
                <w:szCs w:val="18"/>
              </w:rPr>
            </w:pPr>
            <w:r w:rsidRPr="003F1A0A">
              <w:rPr>
                <w:rFonts w:eastAsia="Times New Roman" w:cs="Calibri"/>
                <w:b/>
                <w:bCs/>
                <w:color w:val="000000" w:themeColor="text1"/>
                <w:sz w:val="18"/>
                <w:szCs w:val="18"/>
              </w:rPr>
              <w:t>100</w:t>
            </w:r>
          </w:p>
        </w:tc>
        <w:tc>
          <w:tcPr>
            <w:tcW w:w="1068" w:type="dxa"/>
            <w:noWrap/>
            <w:vAlign w:val="center"/>
            <w:hideMark/>
          </w:tcPr>
          <w:p w14:paraId="0BE2A650" w14:textId="5892B171" w:rsidR="00BF4113" w:rsidRPr="003F1A0A" w:rsidRDefault="00BF4113" w:rsidP="009D1D97">
            <w:pPr>
              <w:spacing w:after="0" w:line="240" w:lineRule="auto"/>
              <w:jc w:val="center"/>
              <w:rPr>
                <w:rFonts w:eastAsia="Times New Roman" w:cs="Calibri"/>
                <w:b/>
                <w:bCs/>
                <w:color w:val="000000" w:themeColor="text1"/>
                <w:sz w:val="18"/>
                <w:szCs w:val="18"/>
              </w:rPr>
            </w:pPr>
          </w:p>
        </w:tc>
        <w:tc>
          <w:tcPr>
            <w:tcW w:w="1589" w:type="dxa"/>
            <w:noWrap/>
            <w:vAlign w:val="center"/>
            <w:hideMark/>
          </w:tcPr>
          <w:p w14:paraId="11130F2D" w14:textId="77777777" w:rsidR="00BF4113" w:rsidRPr="003F1A0A" w:rsidRDefault="00BF4113" w:rsidP="009D1D97">
            <w:pPr>
              <w:spacing w:after="0" w:line="240" w:lineRule="auto"/>
              <w:jc w:val="center"/>
              <w:rPr>
                <w:rFonts w:eastAsia="Times New Roman" w:cs="Calibri"/>
                <w:b/>
                <w:bCs/>
                <w:color w:val="000000" w:themeColor="text1"/>
                <w:sz w:val="18"/>
                <w:szCs w:val="18"/>
              </w:rPr>
            </w:pPr>
            <w:r w:rsidRPr="003F1A0A">
              <w:rPr>
                <w:rFonts w:eastAsia="Times New Roman" w:cs="Calibri"/>
                <w:b/>
                <w:bCs/>
                <w:color w:val="000000" w:themeColor="text1"/>
                <w:sz w:val="18"/>
                <w:szCs w:val="18"/>
              </w:rPr>
              <w:t>1 625 215</w:t>
            </w:r>
          </w:p>
        </w:tc>
        <w:tc>
          <w:tcPr>
            <w:tcW w:w="1701" w:type="dxa"/>
            <w:noWrap/>
            <w:vAlign w:val="center"/>
            <w:hideMark/>
          </w:tcPr>
          <w:p w14:paraId="2339E919" w14:textId="77777777" w:rsidR="00BF4113" w:rsidRPr="003F1A0A" w:rsidRDefault="00BF4113" w:rsidP="009D1D97">
            <w:pPr>
              <w:spacing w:after="0" w:line="240" w:lineRule="auto"/>
              <w:jc w:val="center"/>
              <w:rPr>
                <w:rFonts w:eastAsia="Times New Roman" w:cs="Calibri"/>
                <w:b/>
                <w:bCs/>
                <w:color w:val="000000" w:themeColor="text1"/>
                <w:sz w:val="18"/>
                <w:szCs w:val="18"/>
              </w:rPr>
            </w:pPr>
            <w:r w:rsidRPr="003F1A0A">
              <w:rPr>
                <w:rFonts w:eastAsia="Times New Roman" w:cs="Calibri"/>
                <w:b/>
                <w:bCs/>
                <w:color w:val="000000" w:themeColor="text1"/>
                <w:sz w:val="18"/>
                <w:szCs w:val="18"/>
              </w:rPr>
              <w:t>2 477,625</w:t>
            </w:r>
          </w:p>
        </w:tc>
      </w:tr>
    </w:tbl>
    <w:p w14:paraId="7AFA6747" w14:textId="3C2AAA50" w:rsidR="00BF4113" w:rsidRPr="004E65BE" w:rsidRDefault="00BF4113" w:rsidP="007D3A26">
      <w:pPr>
        <w:pStyle w:val="Caption"/>
      </w:pPr>
      <w:r w:rsidRPr="004E65BE">
        <w:t>Quadro 3.2 - Valor da produção de manga em 2025</w:t>
      </w:r>
    </w:p>
    <w:p w14:paraId="372EA603" w14:textId="77777777" w:rsidR="00BF4113" w:rsidRPr="00E90F80" w:rsidRDefault="00BF4113" w:rsidP="00BF4113">
      <w:pPr>
        <w:spacing w:after="0" w:line="240" w:lineRule="auto"/>
        <w:rPr>
          <w:rFonts w:eastAsia="Times New Roman" w:cs="Calibri"/>
          <w:sz w:val="18"/>
          <w:szCs w:val="18"/>
        </w:rPr>
      </w:pPr>
    </w:p>
    <w:p w14:paraId="064D7035" w14:textId="541F35C9" w:rsidR="00BF4113" w:rsidRPr="003F1A0A" w:rsidRDefault="00BF4113" w:rsidP="003F1A0A">
      <w:r w:rsidRPr="003F1A0A">
        <w:t xml:space="preserve">Uma vez que parte da produção se destina ao autoconsumo, o </w:t>
      </w:r>
      <w:r w:rsidRPr="00C45457">
        <w:t>Quadro 3.3</w:t>
      </w:r>
      <w:r w:rsidRPr="003F1A0A">
        <w:t xml:space="preserve"> apresenta o valor da produção efetivamente vendida no mercado nacional (mercados locais e Bissau) e a destinada para exportação. O valor desta produção comercializada é de aproximadamente 9 597 000 euros (nove milhões quinhentos e noventa e sete mil euros) em 2025.</w:t>
      </w:r>
    </w:p>
    <w:p w14:paraId="63D6497D" w14:textId="77777777" w:rsidR="00BF4113" w:rsidRPr="00E90F80" w:rsidRDefault="00BF4113" w:rsidP="00BF4113">
      <w:pPr>
        <w:spacing w:after="0" w:line="240" w:lineRule="auto"/>
        <w:rPr>
          <w:rFonts w:eastAsia="Times New Roman" w:cs="Calibri"/>
          <w:b/>
          <w:bCs/>
          <w:sz w:val="18"/>
          <w:szCs w:val="18"/>
        </w:rPr>
      </w:pPr>
    </w:p>
    <w:tbl>
      <w:tblPr>
        <w:tblW w:w="906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70" w:type="dxa"/>
          <w:right w:w="70" w:type="dxa"/>
        </w:tblCellMar>
        <w:tblLook w:val="04A0" w:firstRow="1" w:lastRow="0" w:firstColumn="1" w:lastColumn="0" w:noHBand="0" w:noVBand="1"/>
      </w:tblPr>
      <w:tblGrid>
        <w:gridCol w:w="868"/>
        <w:gridCol w:w="1001"/>
        <w:gridCol w:w="1199"/>
        <w:gridCol w:w="1053"/>
        <w:gridCol w:w="626"/>
        <w:gridCol w:w="1251"/>
        <w:gridCol w:w="1505"/>
        <w:gridCol w:w="1559"/>
      </w:tblGrid>
      <w:tr w:rsidR="00BF4113" w:rsidRPr="00E90F80" w14:paraId="36EE1719" w14:textId="77777777" w:rsidTr="00FA54E0">
        <w:trPr>
          <w:trHeight w:val="309"/>
        </w:trPr>
        <w:tc>
          <w:tcPr>
            <w:tcW w:w="9062" w:type="dxa"/>
            <w:gridSpan w:val="8"/>
            <w:shd w:val="clear" w:color="auto" w:fill="336666"/>
            <w:noWrap/>
            <w:vAlign w:val="bottom"/>
            <w:hideMark/>
          </w:tcPr>
          <w:p w14:paraId="2ECE2F01" w14:textId="77777777" w:rsidR="00BF4113" w:rsidRPr="003F1A0A" w:rsidRDefault="00BF4113" w:rsidP="00486683">
            <w:pPr>
              <w:spacing w:after="0" w:line="240" w:lineRule="auto"/>
              <w:jc w:val="center"/>
              <w:rPr>
                <w:rFonts w:eastAsia="Times New Roman" w:cs="Calibri"/>
                <w:b/>
                <w:bCs/>
                <w:color w:val="FFFFFF"/>
                <w:szCs w:val="20"/>
              </w:rPr>
            </w:pPr>
            <w:r w:rsidRPr="003F1A0A">
              <w:rPr>
                <w:rFonts w:eastAsia="Times New Roman" w:cs="Calibri"/>
                <w:b/>
                <w:bCs/>
                <w:color w:val="FFFFFF"/>
                <w:szCs w:val="20"/>
              </w:rPr>
              <w:t>Valor da Produção Comercializada da Manga em 2025</w:t>
            </w:r>
          </w:p>
        </w:tc>
      </w:tr>
      <w:tr w:rsidR="00BF4113" w:rsidRPr="00E90F80" w14:paraId="72A61DC9" w14:textId="77777777" w:rsidTr="00FA54E0">
        <w:trPr>
          <w:trHeight w:val="420"/>
        </w:trPr>
        <w:tc>
          <w:tcPr>
            <w:tcW w:w="868" w:type="dxa"/>
            <w:shd w:val="clear" w:color="auto" w:fill="336666"/>
            <w:noWrap/>
            <w:vAlign w:val="center"/>
            <w:hideMark/>
          </w:tcPr>
          <w:p w14:paraId="66F8FCD6" w14:textId="77777777" w:rsidR="00BF4113" w:rsidRPr="003F1A0A" w:rsidRDefault="00BF4113" w:rsidP="00486683">
            <w:pPr>
              <w:spacing w:after="0" w:line="240" w:lineRule="auto"/>
              <w:jc w:val="center"/>
              <w:rPr>
                <w:rFonts w:eastAsia="Times New Roman" w:cs="Calibri"/>
                <w:b/>
                <w:bCs/>
                <w:color w:val="FFFFFF"/>
                <w:szCs w:val="20"/>
              </w:rPr>
            </w:pPr>
            <w:r w:rsidRPr="003F1A0A">
              <w:rPr>
                <w:rFonts w:eastAsia="Times New Roman" w:cs="Calibri"/>
                <w:b/>
                <w:bCs/>
                <w:color w:val="FFFFFF"/>
                <w:szCs w:val="20"/>
              </w:rPr>
              <w:t>Região</w:t>
            </w:r>
          </w:p>
        </w:tc>
        <w:tc>
          <w:tcPr>
            <w:tcW w:w="1001" w:type="dxa"/>
            <w:shd w:val="clear" w:color="auto" w:fill="336666"/>
            <w:noWrap/>
            <w:vAlign w:val="center"/>
            <w:hideMark/>
          </w:tcPr>
          <w:p w14:paraId="79088703" w14:textId="77777777" w:rsidR="00BF4113" w:rsidRPr="003F1A0A" w:rsidRDefault="00BF4113" w:rsidP="00486683">
            <w:pPr>
              <w:spacing w:after="0" w:line="240" w:lineRule="auto"/>
              <w:jc w:val="center"/>
              <w:rPr>
                <w:rFonts w:eastAsia="Times New Roman" w:cs="Calibri"/>
                <w:b/>
                <w:bCs/>
                <w:color w:val="FFFFFF"/>
                <w:szCs w:val="20"/>
              </w:rPr>
            </w:pPr>
            <w:r w:rsidRPr="003F1A0A">
              <w:rPr>
                <w:rFonts w:eastAsia="Times New Roman" w:cs="Calibri"/>
                <w:b/>
                <w:bCs/>
                <w:color w:val="FFFFFF"/>
                <w:szCs w:val="20"/>
              </w:rPr>
              <w:t>Produção (ton)</w:t>
            </w:r>
          </w:p>
        </w:tc>
        <w:tc>
          <w:tcPr>
            <w:tcW w:w="1199" w:type="dxa"/>
            <w:shd w:val="clear" w:color="auto" w:fill="336666"/>
            <w:noWrap/>
            <w:vAlign w:val="center"/>
            <w:hideMark/>
          </w:tcPr>
          <w:p w14:paraId="57308629" w14:textId="77777777" w:rsidR="00BF4113" w:rsidRPr="003F1A0A" w:rsidRDefault="00BF4113" w:rsidP="00486683">
            <w:pPr>
              <w:spacing w:after="0" w:line="240" w:lineRule="auto"/>
              <w:jc w:val="center"/>
              <w:rPr>
                <w:rFonts w:eastAsia="Times New Roman" w:cs="Calibri"/>
                <w:b/>
                <w:bCs/>
                <w:color w:val="FFFFFF"/>
                <w:szCs w:val="20"/>
              </w:rPr>
            </w:pPr>
            <w:r w:rsidRPr="003F1A0A">
              <w:rPr>
                <w:rFonts w:eastAsia="Times New Roman" w:cs="Calibri"/>
                <w:b/>
                <w:bCs/>
                <w:color w:val="FFFFFF"/>
                <w:szCs w:val="20"/>
              </w:rPr>
              <w:t>Mercado</w:t>
            </w:r>
          </w:p>
        </w:tc>
        <w:tc>
          <w:tcPr>
            <w:tcW w:w="1053" w:type="dxa"/>
            <w:shd w:val="clear" w:color="auto" w:fill="336666"/>
            <w:noWrap/>
            <w:vAlign w:val="center"/>
            <w:hideMark/>
          </w:tcPr>
          <w:p w14:paraId="7B97A756" w14:textId="77777777" w:rsidR="00BF4113" w:rsidRPr="003F1A0A" w:rsidRDefault="00BF4113" w:rsidP="00486683">
            <w:pPr>
              <w:spacing w:after="0" w:line="240" w:lineRule="auto"/>
              <w:jc w:val="center"/>
              <w:rPr>
                <w:rFonts w:eastAsia="Times New Roman" w:cs="Calibri"/>
                <w:b/>
                <w:bCs/>
                <w:color w:val="FFFFFF"/>
                <w:szCs w:val="20"/>
              </w:rPr>
            </w:pPr>
            <w:r w:rsidRPr="003F1A0A">
              <w:rPr>
                <w:rFonts w:eastAsia="Times New Roman" w:cs="Calibri"/>
                <w:b/>
                <w:bCs/>
                <w:color w:val="FFFFFF"/>
                <w:szCs w:val="20"/>
              </w:rPr>
              <w:t>Variedade</w:t>
            </w:r>
          </w:p>
        </w:tc>
        <w:tc>
          <w:tcPr>
            <w:tcW w:w="626" w:type="dxa"/>
            <w:shd w:val="clear" w:color="auto" w:fill="336666"/>
            <w:noWrap/>
            <w:vAlign w:val="center"/>
            <w:hideMark/>
          </w:tcPr>
          <w:p w14:paraId="03FB8349" w14:textId="77777777" w:rsidR="00BF4113" w:rsidRPr="003F1A0A" w:rsidRDefault="00BF4113" w:rsidP="00486683">
            <w:pPr>
              <w:spacing w:after="0" w:line="240" w:lineRule="auto"/>
              <w:jc w:val="center"/>
              <w:rPr>
                <w:rFonts w:eastAsia="Times New Roman" w:cs="Calibri"/>
                <w:b/>
                <w:bCs/>
                <w:color w:val="FFFFFF"/>
                <w:szCs w:val="20"/>
              </w:rPr>
            </w:pPr>
            <w:r w:rsidRPr="003F1A0A">
              <w:rPr>
                <w:rFonts w:eastAsia="Times New Roman" w:cs="Calibri"/>
                <w:b/>
                <w:bCs/>
                <w:color w:val="FFFFFF"/>
                <w:szCs w:val="20"/>
              </w:rPr>
              <w:t>%</w:t>
            </w:r>
          </w:p>
        </w:tc>
        <w:tc>
          <w:tcPr>
            <w:tcW w:w="1251" w:type="dxa"/>
            <w:shd w:val="clear" w:color="auto" w:fill="336666"/>
            <w:noWrap/>
            <w:vAlign w:val="center"/>
            <w:hideMark/>
          </w:tcPr>
          <w:p w14:paraId="62E8305B" w14:textId="77777777" w:rsidR="00BF4113" w:rsidRPr="003F1A0A" w:rsidRDefault="00BF4113" w:rsidP="00486683">
            <w:pPr>
              <w:spacing w:after="0" w:line="240" w:lineRule="auto"/>
              <w:jc w:val="center"/>
              <w:rPr>
                <w:rFonts w:eastAsia="Times New Roman" w:cs="Calibri"/>
                <w:b/>
                <w:bCs/>
                <w:color w:val="FFFFFF"/>
                <w:szCs w:val="20"/>
              </w:rPr>
            </w:pPr>
            <w:r w:rsidRPr="003F1A0A">
              <w:rPr>
                <w:rFonts w:eastAsia="Times New Roman" w:cs="Calibri"/>
                <w:b/>
                <w:bCs/>
                <w:color w:val="FFFFFF"/>
                <w:szCs w:val="20"/>
              </w:rPr>
              <w:t>Preço/kg</w:t>
            </w:r>
          </w:p>
        </w:tc>
        <w:tc>
          <w:tcPr>
            <w:tcW w:w="1505" w:type="dxa"/>
            <w:shd w:val="clear" w:color="auto" w:fill="336666"/>
            <w:noWrap/>
            <w:vAlign w:val="center"/>
            <w:hideMark/>
          </w:tcPr>
          <w:p w14:paraId="0093ECAD" w14:textId="77777777" w:rsidR="00BF4113" w:rsidRPr="003F1A0A" w:rsidRDefault="00BF4113" w:rsidP="00486683">
            <w:pPr>
              <w:spacing w:after="0" w:line="240" w:lineRule="auto"/>
              <w:jc w:val="center"/>
              <w:rPr>
                <w:rFonts w:eastAsia="Times New Roman" w:cs="Calibri"/>
                <w:b/>
                <w:bCs/>
                <w:color w:val="FFFFFF"/>
                <w:szCs w:val="20"/>
              </w:rPr>
            </w:pPr>
            <w:r w:rsidRPr="003F1A0A">
              <w:rPr>
                <w:rFonts w:eastAsia="Times New Roman" w:cs="Calibri"/>
                <w:b/>
                <w:bCs/>
                <w:color w:val="FFFFFF"/>
                <w:szCs w:val="20"/>
              </w:rPr>
              <w:t>Valor CFA (mil)</w:t>
            </w:r>
          </w:p>
        </w:tc>
        <w:tc>
          <w:tcPr>
            <w:tcW w:w="1559" w:type="dxa"/>
            <w:shd w:val="clear" w:color="auto" w:fill="336666"/>
            <w:noWrap/>
            <w:vAlign w:val="center"/>
            <w:hideMark/>
          </w:tcPr>
          <w:p w14:paraId="45EB659D" w14:textId="77777777" w:rsidR="00BF4113" w:rsidRPr="003F1A0A" w:rsidRDefault="00BF4113" w:rsidP="00486683">
            <w:pPr>
              <w:spacing w:after="0" w:line="240" w:lineRule="auto"/>
              <w:jc w:val="center"/>
              <w:rPr>
                <w:rFonts w:eastAsia="Times New Roman" w:cs="Calibri"/>
                <w:b/>
                <w:bCs/>
                <w:color w:val="FFFFFF"/>
                <w:szCs w:val="20"/>
              </w:rPr>
            </w:pPr>
            <w:r w:rsidRPr="003F1A0A">
              <w:rPr>
                <w:rFonts w:eastAsia="Times New Roman" w:cs="Calibri"/>
                <w:b/>
                <w:bCs/>
                <w:color w:val="FFFFFF"/>
                <w:szCs w:val="20"/>
              </w:rPr>
              <w:t>Valor ϵ</w:t>
            </w:r>
          </w:p>
        </w:tc>
      </w:tr>
      <w:tr w:rsidR="00BF4113" w:rsidRPr="00E90F80" w14:paraId="1E1754BC" w14:textId="77777777" w:rsidTr="003F1A0A">
        <w:trPr>
          <w:trHeight w:val="192"/>
        </w:trPr>
        <w:tc>
          <w:tcPr>
            <w:tcW w:w="868" w:type="dxa"/>
            <w:vMerge w:val="restart"/>
            <w:noWrap/>
            <w:vAlign w:val="center"/>
            <w:hideMark/>
          </w:tcPr>
          <w:p w14:paraId="69D1A6F2" w14:textId="77777777" w:rsidR="00BF4113" w:rsidRPr="00E90F80" w:rsidRDefault="00BF4113" w:rsidP="00486683">
            <w:pPr>
              <w:spacing w:after="0" w:line="240" w:lineRule="auto"/>
              <w:jc w:val="center"/>
              <w:rPr>
                <w:rFonts w:eastAsia="Times New Roman" w:cs="Calibri"/>
                <w:b/>
                <w:bCs/>
                <w:sz w:val="18"/>
                <w:szCs w:val="18"/>
              </w:rPr>
            </w:pPr>
            <w:r w:rsidRPr="00E90F80">
              <w:rPr>
                <w:rFonts w:eastAsia="Times New Roman" w:cs="Calibri"/>
                <w:b/>
                <w:bCs/>
                <w:sz w:val="18"/>
                <w:szCs w:val="18"/>
              </w:rPr>
              <w:t>Oio</w:t>
            </w:r>
          </w:p>
        </w:tc>
        <w:tc>
          <w:tcPr>
            <w:tcW w:w="1001" w:type="dxa"/>
            <w:vMerge w:val="restart"/>
            <w:noWrap/>
            <w:vAlign w:val="center"/>
            <w:hideMark/>
          </w:tcPr>
          <w:p w14:paraId="2AFE8694" w14:textId="77777777" w:rsidR="00BF4113" w:rsidRPr="00E90F80" w:rsidRDefault="00BF4113" w:rsidP="00486683">
            <w:pPr>
              <w:spacing w:after="0" w:line="240" w:lineRule="auto"/>
              <w:jc w:val="center"/>
              <w:rPr>
                <w:rFonts w:eastAsia="Times New Roman" w:cs="Calibri"/>
                <w:b/>
                <w:bCs/>
                <w:sz w:val="18"/>
                <w:szCs w:val="18"/>
              </w:rPr>
            </w:pPr>
            <w:r w:rsidRPr="00E90F80">
              <w:rPr>
                <w:rFonts w:eastAsia="Times New Roman" w:cs="Calibri"/>
                <w:b/>
                <w:bCs/>
                <w:sz w:val="18"/>
                <w:szCs w:val="18"/>
              </w:rPr>
              <w:t>4730</w:t>
            </w:r>
          </w:p>
        </w:tc>
        <w:tc>
          <w:tcPr>
            <w:tcW w:w="1199" w:type="dxa"/>
            <w:vMerge w:val="restart"/>
            <w:noWrap/>
            <w:vAlign w:val="center"/>
            <w:hideMark/>
          </w:tcPr>
          <w:p w14:paraId="017DAE7E" w14:textId="77777777" w:rsidR="00BF4113" w:rsidRPr="00E90F80" w:rsidRDefault="00BF4113" w:rsidP="00486683">
            <w:pPr>
              <w:spacing w:after="0" w:line="240" w:lineRule="auto"/>
              <w:jc w:val="center"/>
              <w:rPr>
                <w:rFonts w:eastAsia="Times New Roman" w:cs="Calibri"/>
                <w:sz w:val="18"/>
                <w:szCs w:val="18"/>
              </w:rPr>
            </w:pPr>
            <w:r w:rsidRPr="00E90F80">
              <w:rPr>
                <w:rFonts w:eastAsia="Times New Roman" w:cs="Calibri"/>
                <w:sz w:val="18"/>
                <w:szCs w:val="18"/>
              </w:rPr>
              <w:t>Bissau</w:t>
            </w:r>
          </w:p>
        </w:tc>
        <w:tc>
          <w:tcPr>
            <w:tcW w:w="1053" w:type="dxa"/>
            <w:noWrap/>
            <w:vAlign w:val="center"/>
            <w:hideMark/>
          </w:tcPr>
          <w:p w14:paraId="4D9BB944"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Exp</w:t>
            </w:r>
          </w:p>
        </w:tc>
        <w:tc>
          <w:tcPr>
            <w:tcW w:w="626" w:type="dxa"/>
            <w:noWrap/>
            <w:vAlign w:val="bottom"/>
            <w:hideMark/>
          </w:tcPr>
          <w:p w14:paraId="6A1F46F5"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0,65</w:t>
            </w:r>
          </w:p>
        </w:tc>
        <w:tc>
          <w:tcPr>
            <w:tcW w:w="1251" w:type="dxa"/>
            <w:noWrap/>
            <w:vAlign w:val="bottom"/>
            <w:hideMark/>
          </w:tcPr>
          <w:p w14:paraId="4CF227D4"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1 000</w:t>
            </w:r>
          </w:p>
        </w:tc>
        <w:tc>
          <w:tcPr>
            <w:tcW w:w="1505" w:type="dxa"/>
            <w:noWrap/>
            <w:vAlign w:val="bottom"/>
            <w:hideMark/>
          </w:tcPr>
          <w:p w14:paraId="00EECF67"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3 074 796</w:t>
            </w:r>
          </w:p>
        </w:tc>
        <w:tc>
          <w:tcPr>
            <w:tcW w:w="1559" w:type="dxa"/>
            <w:noWrap/>
            <w:vAlign w:val="bottom"/>
            <w:hideMark/>
          </w:tcPr>
          <w:p w14:paraId="64975EA9"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4 687</w:t>
            </w:r>
          </w:p>
        </w:tc>
      </w:tr>
      <w:tr w:rsidR="00BF4113" w:rsidRPr="00E90F80" w14:paraId="2E73BCB4" w14:textId="77777777" w:rsidTr="003F1A0A">
        <w:trPr>
          <w:trHeight w:val="237"/>
        </w:trPr>
        <w:tc>
          <w:tcPr>
            <w:tcW w:w="868" w:type="dxa"/>
            <w:vMerge/>
            <w:vAlign w:val="center"/>
            <w:hideMark/>
          </w:tcPr>
          <w:p w14:paraId="001A7F5A" w14:textId="77777777" w:rsidR="00BF4113" w:rsidRPr="00E90F80" w:rsidRDefault="00BF4113" w:rsidP="00486683">
            <w:pPr>
              <w:spacing w:after="0" w:line="240" w:lineRule="auto"/>
              <w:rPr>
                <w:rFonts w:eastAsia="Times New Roman" w:cs="Calibri"/>
                <w:b/>
                <w:bCs/>
                <w:sz w:val="18"/>
                <w:szCs w:val="18"/>
              </w:rPr>
            </w:pPr>
          </w:p>
        </w:tc>
        <w:tc>
          <w:tcPr>
            <w:tcW w:w="1001" w:type="dxa"/>
            <w:vMerge/>
            <w:vAlign w:val="center"/>
            <w:hideMark/>
          </w:tcPr>
          <w:p w14:paraId="13944503" w14:textId="77777777" w:rsidR="00BF4113" w:rsidRPr="00E90F80" w:rsidRDefault="00BF4113" w:rsidP="00486683">
            <w:pPr>
              <w:spacing w:after="0" w:line="240" w:lineRule="auto"/>
              <w:rPr>
                <w:rFonts w:eastAsia="Times New Roman" w:cs="Calibri"/>
                <w:b/>
                <w:bCs/>
                <w:sz w:val="18"/>
                <w:szCs w:val="18"/>
              </w:rPr>
            </w:pPr>
          </w:p>
        </w:tc>
        <w:tc>
          <w:tcPr>
            <w:tcW w:w="1199" w:type="dxa"/>
            <w:vMerge/>
            <w:vAlign w:val="center"/>
            <w:hideMark/>
          </w:tcPr>
          <w:p w14:paraId="3A28491A" w14:textId="77777777" w:rsidR="00BF4113" w:rsidRPr="00E90F80" w:rsidRDefault="00BF4113" w:rsidP="00486683">
            <w:pPr>
              <w:spacing w:after="0" w:line="240" w:lineRule="auto"/>
              <w:rPr>
                <w:rFonts w:eastAsia="Times New Roman" w:cs="Calibri"/>
                <w:sz w:val="18"/>
                <w:szCs w:val="18"/>
              </w:rPr>
            </w:pPr>
          </w:p>
        </w:tc>
        <w:tc>
          <w:tcPr>
            <w:tcW w:w="1053" w:type="dxa"/>
            <w:noWrap/>
            <w:vAlign w:val="center"/>
            <w:hideMark/>
          </w:tcPr>
          <w:p w14:paraId="36893774"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Faca</w:t>
            </w:r>
          </w:p>
        </w:tc>
        <w:tc>
          <w:tcPr>
            <w:tcW w:w="626" w:type="dxa"/>
            <w:noWrap/>
            <w:vAlign w:val="bottom"/>
            <w:hideMark/>
          </w:tcPr>
          <w:p w14:paraId="4921345B"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0,10</w:t>
            </w:r>
          </w:p>
        </w:tc>
        <w:tc>
          <w:tcPr>
            <w:tcW w:w="1251" w:type="dxa"/>
            <w:noWrap/>
            <w:vAlign w:val="bottom"/>
            <w:hideMark/>
          </w:tcPr>
          <w:p w14:paraId="19E27162"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1 000</w:t>
            </w:r>
          </w:p>
        </w:tc>
        <w:tc>
          <w:tcPr>
            <w:tcW w:w="1505" w:type="dxa"/>
            <w:noWrap/>
            <w:vAlign w:val="bottom"/>
            <w:hideMark/>
          </w:tcPr>
          <w:p w14:paraId="1F248CC7"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473 046</w:t>
            </w:r>
          </w:p>
        </w:tc>
        <w:tc>
          <w:tcPr>
            <w:tcW w:w="1559" w:type="dxa"/>
            <w:noWrap/>
            <w:vAlign w:val="bottom"/>
            <w:hideMark/>
          </w:tcPr>
          <w:p w14:paraId="58396F68"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721</w:t>
            </w:r>
          </w:p>
        </w:tc>
      </w:tr>
      <w:tr w:rsidR="00BF4113" w:rsidRPr="00E90F80" w14:paraId="4273AAC1" w14:textId="77777777" w:rsidTr="003F1A0A">
        <w:trPr>
          <w:trHeight w:val="269"/>
        </w:trPr>
        <w:tc>
          <w:tcPr>
            <w:tcW w:w="868" w:type="dxa"/>
            <w:vMerge/>
            <w:vAlign w:val="center"/>
            <w:hideMark/>
          </w:tcPr>
          <w:p w14:paraId="291B09A7" w14:textId="77777777" w:rsidR="00BF4113" w:rsidRPr="00E90F80" w:rsidRDefault="00BF4113" w:rsidP="00486683">
            <w:pPr>
              <w:spacing w:after="0" w:line="240" w:lineRule="auto"/>
              <w:rPr>
                <w:rFonts w:eastAsia="Times New Roman" w:cs="Calibri"/>
                <w:b/>
                <w:bCs/>
                <w:sz w:val="18"/>
                <w:szCs w:val="18"/>
              </w:rPr>
            </w:pPr>
          </w:p>
        </w:tc>
        <w:tc>
          <w:tcPr>
            <w:tcW w:w="1001" w:type="dxa"/>
            <w:vMerge/>
            <w:vAlign w:val="center"/>
            <w:hideMark/>
          </w:tcPr>
          <w:p w14:paraId="0D4E115B" w14:textId="77777777" w:rsidR="00BF4113" w:rsidRPr="00E90F80" w:rsidRDefault="00BF4113" w:rsidP="00486683">
            <w:pPr>
              <w:spacing w:after="0" w:line="240" w:lineRule="auto"/>
              <w:rPr>
                <w:rFonts w:eastAsia="Times New Roman" w:cs="Calibri"/>
                <w:b/>
                <w:bCs/>
                <w:sz w:val="18"/>
                <w:szCs w:val="18"/>
              </w:rPr>
            </w:pPr>
          </w:p>
        </w:tc>
        <w:tc>
          <w:tcPr>
            <w:tcW w:w="1199" w:type="dxa"/>
            <w:vMerge/>
            <w:vAlign w:val="center"/>
            <w:hideMark/>
          </w:tcPr>
          <w:p w14:paraId="06FC80B1" w14:textId="77777777" w:rsidR="00BF4113" w:rsidRPr="00E90F80" w:rsidRDefault="00BF4113" w:rsidP="00486683">
            <w:pPr>
              <w:spacing w:after="0" w:line="240" w:lineRule="auto"/>
              <w:rPr>
                <w:rFonts w:eastAsia="Times New Roman" w:cs="Calibri"/>
                <w:sz w:val="18"/>
                <w:szCs w:val="18"/>
              </w:rPr>
            </w:pPr>
          </w:p>
        </w:tc>
        <w:tc>
          <w:tcPr>
            <w:tcW w:w="1053" w:type="dxa"/>
            <w:noWrap/>
            <w:vAlign w:val="center"/>
            <w:hideMark/>
          </w:tcPr>
          <w:p w14:paraId="1FE1B55C"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Loc</w:t>
            </w:r>
          </w:p>
        </w:tc>
        <w:tc>
          <w:tcPr>
            <w:tcW w:w="626" w:type="dxa"/>
            <w:noWrap/>
            <w:vAlign w:val="bottom"/>
            <w:hideMark/>
          </w:tcPr>
          <w:p w14:paraId="30F74099"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0,25</w:t>
            </w:r>
          </w:p>
        </w:tc>
        <w:tc>
          <w:tcPr>
            <w:tcW w:w="1251" w:type="dxa"/>
            <w:noWrap/>
            <w:vAlign w:val="bottom"/>
            <w:hideMark/>
          </w:tcPr>
          <w:p w14:paraId="1875ED93"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500</w:t>
            </w:r>
          </w:p>
        </w:tc>
        <w:tc>
          <w:tcPr>
            <w:tcW w:w="1505" w:type="dxa"/>
            <w:noWrap/>
            <w:vAlign w:val="bottom"/>
            <w:hideMark/>
          </w:tcPr>
          <w:p w14:paraId="7F27D885"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591 307</w:t>
            </w:r>
          </w:p>
        </w:tc>
        <w:tc>
          <w:tcPr>
            <w:tcW w:w="1559" w:type="dxa"/>
            <w:noWrap/>
            <w:vAlign w:val="bottom"/>
            <w:hideMark/>
          </w:tcPr>
          <w:p w14:paraId="36AA6865"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901</w:t>
            </w:r>
          </w:p>
        </w:tc>
      </w:tr>
      <w:tr w:rsidR="00BF4113" w:rsidRPr="00E90F80" w14:paraId="3F38939C" w14:textId="77777777" w:rsidTr="003F1A0A">
        <w:trPr>
          <w:trHeight w:val="269"/>
        </w:trPr>
        <w:tc>
          <w:tcPr>
            <w:tcW w:w="868" w:type="dxa"/>
            <w:vMerge w:val="restart"/>
            <w:noWrap/>
            <w:vAlign w:val="center"/>
            <w:hideMark/>
          </w:tcPr>
          <w:p w14:paraId="6A6A9390" w14:textId="77777777" w:rsidR="00BF4113" w:rsidRPr="00E90F80" w:rsidRDefault="00BF4113" w:rsidP="00486683">
            <w:pPr>
              <w:spacing w:after="0" w:line="240" w:lineRule="auto"/>
              <w:jc w:val="center"/>
              <w:rPr>
                <w:rFonts w:eastAsia="Times New Roman" w:cs="Calibri"/>
                <w:b/>
                <w:bCs/>
                <w:sz w:val="18"/>
                <w:szCs w:val="18"/>
              </w:rPr>
            </w:pPr>
            <w:r w:rsidRPr="00E90F80">
              <w:rPr>
                <w:rFonts w:eastAsia="Times New Roman" w:cs="Calibri"/>
                <w:b/>
                <w:bCs/>
                <w:sz w:val="18"/>
                <w:szCs w:val="18"/>
              </w:rPr>
              <w:t>Cacheu</w:t>
            </w:r>
          </w:p>
        </w:tc>
        <w:tc>
          <w:tcPr>
            <w:tcW w:w="1001" w:type="dxa"/>
            <w:vMerge w:val="restart"/>
            <w:noWrap/>
            <w:vAlign w:val="center"/>
            <w:hideMark/>
          </w:tcPr>
          <w:p w14:paraId="15ABF945" w14:textId="77777777" w:rsidR="00BF4113" w:rsidRPr="00E90F80" w:rsidRDefault="00BF4113" w:rsidP="00486683">
            <w:pPr>
              <w:spacing w:after="0" w:line="240" w:lineRule="auto"/>
              <w:jc w:val="center"/>
              <w:rPr>
                <w:rFonts w:eastAsia="Times New Roman" w:cs="Calibri"/>
                <w:b/>
                <w:bCs/>
                <w:sz w:val="18"/>
                <w:szCs w:val="18"/>
              </w:rPr>
            </w:pPr>
            <w:r w:rsidRPr="00E90F80">
              <w:rPr>
                <w:rFonts w:eastAsia="Times New Roman" w:cs="Calibri"/>
                <w:b/>
                <w:bCs/>
                <w:sz w:val="18"/>
                <w:szCs w:val="18"/>
              </w:rPr>
              <w:t>2112</w:t>
            </w:r>
          </w:p>
        </w:tc>
        <w:tc>
          <w:tcPr>
            <w:tcW w:w="1199" w:type="dxa"/>
            <w:vMerge w:val="restart"/>
            <w:noWrap/>
            <w:vAlign w:val="center"/>
            <w:hideMark/>
          </w:tcPr>
          <w:p w14:paraId="01868C82" w14:textId="77777777" w:rsidR="00BF4113" w:rsidRPr="00E90F80" w:rsidRDefault="00BF4113" w:rsidP="00486683">
            <w:pPr>
              <w:spacing w:after="0" w:line="240" w:lineRule="auto"/>
              <w:jc w:val="center"/>
              <w:rPr>
                <w:rFonts w:eastAsia="Times New Roman" w:cs="Calibri"/>
                <w:sz w:val="18"/>
                <w:szCs w:val="18"/>
              </w:rPr>
            </w:pPr>
            <w:r w:rsidRPr="00E90F80">
              <w:rPr>
                <w:rFonts w:eastAsia="Times New Roman" w:cs="Calibri"/>
                <w:sz w:val="18"/>
                <w:szCs w:val="18"/>
              </w:rPr>
              <w:t>Bissau</w:t>
            </w:r>
          </w:p>
        </w:tc>
        <w:tc>
          <w:tcPr>
            <w:tcW w:w="1053" w:type="dxa"/>
            <w:noWrap/>
            <w:vAlign w:val="center"/>
            <w:hideMark/>
          </w:tcPr>
          <w:p w14:paraId="21C912CC"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Exp</w:t>
            </w:r>
          </w:p>
        </w:tc>
        <w:tc>
          <w:tcPr>
            <w:tcW w:w="626" w:type="dxa"/>
            <w:noWrap/>
            <w:vAlign w:val="bottom"/>
            <w:hideMark/>
          </w:tcPr>
          <w:p w14:paraId="39E2DF19"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0,35</w:t>
            </w:r>
          </w:p>
        </w:tc>
        <w:tc>
          <w:tcPr>
            <w:tcW w:w="1251" w:type="dxa"/>
            <w:noWrap/>
            <w:vAlign w:val="bottom"/>
            <w:hideMark/>
          </w:tcPr>
          <w:p w14:paraId="4F958FE5"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1 000</w:t>
            </w:r>
          </w:p>
        </w:tc>
        <w:tc>
          <w:tcPr>
            <w:tcW w:w="1505" w:type="dxa"/>
            <w:noWrap/>
            <w:vAlign w:val="bottom"/>
            <w:hideMark/>
          </w:tcPr>
          <w:p w14:paraId="37BE2334"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739 066</w:t>
            </w:r>
          </w:p>
        </w:tc>
        <w:tc>
          <w:tcPr>
            <w:tcW w:w="1559" w:type="dxa"/>
            <w:noWrap/>
            <w:vAlign w:val="bottom"/>
            <w:hideMark/>
          </w:tcPr>
          <w:p w14:paraId="145941A8"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1 127</w:t>
            </w:r>
          </w:p>
        </w:tc>
      </w:tr>
      <w:tr w:rsidR="00BF4113" w:rsidRPr="00E90F80" w14:paraId="29FDB04E" w14:textId="77777777" w:rsidTr="003F1A0A">
        <w:trPr>
          <w:trHeight w:val="273"/>
        </w:trPr>
        <w:tc>
          <w:tcPr>
            <w:tcW w:w="868" w:type="dxa"/>
            <w:vMerge/>
            <w:vAlign w:val="center"/>
            <w:hideMark/>
          </w:tcPr>
          <w:p w14:paraId="7883AFBF" w14:textId="77777777" w:rsidR="00BF4113" w:rsidRPr="00E90F80" w:rsidRDefault="00BF4113" w:rsidP="00486683">
            <w:pPr>
              <w:spacing w:after="0" w:line="240" w:lineRule="auto"/>
              <w:rPr>
                <w:rFonts w:eastAsia="Times New Roman" w:cs="Calibri"/>
                <w:b/>
                <w:bCs/>
                <w:sz w:val="18"/>
                <w:szCs w:val="18"/>
              </w:rPr>
            </w:pPr>
          </w:p>
        </w:tc>
        <w:tc>
          <w:tcPr>
            <w:tcW w:w="1001" w:type="dxa"/>
            <w:vMerge/>
            <w:vAlign w:val="center"/>
            <w:hideMark/>
          </w:tcPr>
          <w:p w14:paraId="6EFA17B0" w14:textId="77777777" w:rsidR="00BF4113" w:rsidRPr="00E90F80" w:rsidRDefault="00BF4113" w:rsidP="00486683">
            <w:pPr>
              <w:spacing w:after="0" w:line="240" w:lineRule="auto"/>
              <w:rPr>
                <w:rFonts w:eastAsia="Times New Roman" w:cs="Calibri"/>
                <w:b/>
                <w:bCs/>
                <w:sz w:val="18"/>
                <w:szCs w:val="18"/>
              </w:rPr>
            </w:pPr>
          </w:p>
        </w:tc>
        <w:tc>
          <w:tcPr>
            <w:tcW w:w="1199" w:type="dxa"/>
            <w:vMerge/>
            <w:vAlign w:val="center"/>
            <w:hideMark/>
          </w:tcPr>
          <w:p w14:paraId="0B6BAAF5" w14:textId="77777777" w:rsidR="00BF4113" w:rsidRPr="00E90F80" w:rsidRDefault="00BF4113" w:rsidP="00486683">
            <w:pPr>
              <w:spacing w:after="0" w:line="240" w:lineRule="auto"/>
              <w:rPr>
                <w:rFonts w:eastAsia="Times New Roman" w:cs="Calibri"/>
                <w:sz w:val="18"/>
                <w:szCs w:val="18"/>
              </w:rPr>
            </w:pPr>
          </w:p>
        </w:tc>
        <w:tc>
          <w:tcPr>
            <w:tcW w:w="1053" w:type="dxa"/>
            <w:noWrap/>
            <w:vAlign w:val="bottom"/>
            <w:hideMark/>
          </w:tcPr>
          <w:p w14:paraId="3C8A41C3"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Faca</w:t>
            </w:r>
          </w:p>
        </w:tc>
        <w:tc>
          <w:tcPr>
            <w:tcW w:w="626" w:type="dxa"/>
            <w:noWrap/>
            <w:vAlign w:val="bottom"/>
            <w:hideMark/>
          </w:tcPr>
          <w:p w14:paraId="1F0997A1"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0,10</w:t>
            </w:r>
          </w:p>
        </w:tc>
        <w:tc>
          <w:tcPr>
            <w:tcW w:w="1251" w:type="dxa"/>
            <w:noWrap/>
            <w:vAlign w:val="bottom"/>
            <w:hideMark/>
          </w:tcPr>
          <w:p w14:paraId="4E0AC165"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1 000</w:t>
            </w:r>
          </w:p>
        </w:tc>
        <w:tc>
          <w:tcPr>
            <w:tcW w:w="1505" w:type="dxa"/>
            <w:noWrap/>
            <w:vAlign w:val="bottom"/>
            <w:hideMark/>
          </w:tcPr>
          <w:p w14:paraId="0DAA2B97"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211 162</w:t>
            </w:r>
          </w:p>
        </w:tc>
        <w:tc>
          <w:tcPr>
            <w:tcW w:w="1559" w:type="dxa"/>
            <w:noWrap/>
            <w:vAlign w:val="bottom"/>
            <w:hideMark/>
          </w:tcPr>
          <w:p w14:paraId="545708E9"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322</w:t>
            </w:r>
          </w:p>
        </w:tc>
      </w:tr>
      <w:tr w:rsidR="00BF4113" w:rsidRPr="00E90F80" w14:paraId="5482E978" w14:textId="77777777" w:rsidTr="003F1A0A">
        <w:trPr>
          <w:trHeight w:val="250"/>
        </w:trPr>
        <w:tc>
          <w:tcPr>
            <w:tcW w:w="868" w:type="dxa"/>
            <w:vMerge/>
            <w:vAlign w:val="center"/>
            <w:hideMark/>
          </w:tcPr>
          <w:p w14:paraId="04617C21" w14:textId="77777777" w:rsidR="00BF4113" w:rsidRPr="00E90F80" w:rsidRDefault="00BF4113" w:rsidP="00486683">
            <w:pPr>
              <w:spacing w:after="0" w:line="240" w:lineRule="auto"/>
              <w:rPr>
                <w:rFonts w:eastAsia="Times New Roman" w:cs="Calibri"/>
                <w:b/>
                <w:bCs/>
                <w:sz w:val="18"/>
                <w:szCs w:val="18"/>
              </w:rPr>
            </w:pPr>
          </w:p>
        </w:tc>
        <w:tc>
          <w:tcPr>
            <w:tcW w:w="1001" w:type="dxa"/>
            <w:vMerge/>
            <w:vAlign w:val="center"/>
            <w:hideMark/>
          </w:tcPr>
          <w:p w14:paraId="2AE39EA9" w14:textId="77777777" w:rsidR="00BF4113" w:rsidRPr="00E90F80" w:rsidRDefault="00BF4113" w:rsidP="00486683">
            <w:pPr>
              <w:spacing w:after="0" w:line="240" w:lineRule="auto"/>
              <w:rPr>
                <w:rFonts w:eastAsia="Times New Roman" w:cs="Calibri"/>
                <w:b/>
                <w:bCs/>
                <w:sz w:val="18"/>
                <w:szCs w:val="18"/>
              </w:rPr>
            </w:pPr>
          </w:p>
        </w:tc>
        <w:tc>
          <w:tcPr>
            <w:tcW w:w="1199" w:type="dxa"/>
            <w:vMerge/>
            <w:vAlign w:val="center"/>
            <w:hideMark/>
          </w:tcPr>
          <w:p w14:paraId="794A745C" w14:textId="77777777" w:rsidR="00BF4113" w:rsidRPr="00E90F80" w:rsidRDefault="00BF4113" w:rsidP="00486683">
            <w:pPr>
              <w:spacing w:after="0" w:line="240" w:lineRule="auto"/>
              <w:rPr>
                <w:rFonts w:eastAsia="Times New Roman" w:cs="Calibri"/>
                <w:sz w:val="18"/>
                <w:szCs w:val="18"/>
              </w:rPr>
            </w:pPr>
          </w:p>
        </w:tc>
        <w:tc>
          <w:tcPr>
            <w:tcW w:w="1053" w:type="dxa"/>
            <w:noWrap/>
            <w:vAlign w:val="bottom"/>
            <w:hideMark/>
          </w:tcPr>
          <w:p w14:paraId="385EEBC0"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Loc</w:t>
            </w:r>
          </w:p>
        </w:tc>
        <w:tc>
          <w:tcPr>
            <w:tcW w:w="626" w:type="dxa"/>
            <w:noWrap/>
            <w:vAlign w:val="bottom"/>
            <w:hideMark/>
          </w:tcPr>
          <w:p w14:paraId="2C870808"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0,65</w:t>
            </w:r>
          </w:p>
        </w:tc>
        <w:tc>
          <w:tcPr>
            <w:tcW w:w="1251" w:type="dxa"/>
            <w:noWrap/>
            <w:vAlign w:val="bottom"/>
            <w:hideMark/>
          </w:tcPr>
          <w:p w14:paraId="534BE83B"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500</w:t>
            </w:r>
          </w:p>
        </w:tc>
        <w:tc>
          <w:tcPr>
            <w:tcW w:w="1505" w:type="dxa"/>
            <w:noWrap/>
            <w:vAlign w:val="bottom"/>
            <w:hideMark/>
          </w:tcPr>
          <w:p w14:paraId="22190AA8"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686 275</w:t>
            </w:r>
          </w:p>
        </w:tc>
        <w:tc>
          <w:tcPr>
            <w:tcW w:w="1559" w:type="dxa"/>
            <w:noWrap/>
            <w:vAlign w:val="bottom"/>
            <w:hideMark/>
          </w:tcPr>
          <w:p w14:paraId="35BAA619"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1 046</w:t>
            </w:r>
          </w:p>
        </w:tc>
      </w:tr>
      <w:tr w:rsidR="00BF4113" w:rsidRPr="00E90F80" w14:paraId="177A5E14" w14:textId="77777777" w:rsidTr="003F1A0A">
        <w:trPr>
          <w:trHeight w:val="253"/>
        </w:trPr>
        <w:tc>
          <w:tcPr>
            <w:tcW w:w="868" w:type="dxa"/>
            <w:vMerge w:val="restart"/>
            <w:noWrap/>
            <w:vAlign w:val="center"/>
            <w:hideMark/>
          </w:tcPr>
          <w:p w14:paraId="3D437902" w14:textId="77777777" w:rsidR="00BF4113" w:rsidRPr="00E90F80" w:rsidRDefault="00BF4113" w:rsidP="00486683">
            <w:pPr>
              <w:spacing w:after="0" w:line="240" w:lineRule="auto"/>
              <w:jc w:val="center"/>
              <w:rPr>
                <w:rFonts w:eastAsia="Times New Roman" w:cs="Calibri"/>
                <w:b/>
                <w:bCs/>
                <w:sz w:val="18"/>
                <w:szCs w:val="18"/>
              </w:rPr>
            </w:pPr>
            <w:r w:rsidRPr="00E90F80">
              <w:rPr>
                <w:rFonts w:eastAsia="Times New Roman" w:cs="Calibri"/>
                <w:b/>
                <w:bCs/>
                <w:sz w:val="18"/>
                <w:szCs w:val="18"/>
              </w:rPr>
              <w:t>Bafátá</w:t>
            </w:r>
          </w:p>
        </w:tc>
        <w:tc>
          <w:tcPr>
            <w:tcW w:w="1001" w:type="dxa"/>
            <w:vMerge w:val="restart"/>
            <w:noWrap/>
            <w:vAlign w:val="center"/>
            <w:hideMark/>
          </w:tcPr>
          <w:p w14:paraId="60862874" w14:textId="77777777" w:rsidR="00BF4113" w:rsidRPr="00E90F80" w:rsidRDefault="00BF4113" w:rsidP="00486683">
            <w:pPr>
              <w:spacing w:after="0" w:line="240" w:lineRule="auto"/>
              <w:jc w:val="center"/>
              <w:rPr>
                <w:rFonts w:eastAsia="Times New Roman" w:cs="Calibri"/>
                <w:b/>
                <w:bCs/>
                <w:sz w:val="18"/>
                <w:szCs w:val="18"/>
              </w:rPr>
            </w:pPr>
            <w:r w:rsidRPr="00E90F80">
              <w:rPr>
                <w:rFonts w:eastAsia="Times New Roman" w:cs="Calibri"/>
                <w:b/>
                <w:bCs/>
                <w:sz w:val="18"/>
                <w:szCs w:val="18"/>
              </w:rPr>
              <w:t>685</w:t>
            </w:r>
          </w:p>
        </w:tc>
        <w:tc>
          <w:tcPr>
            <w:tcW w:w="1199" w:type="dxa"/>
            <w:vMerge w:val="restart"/>
            <w:noWrap/>
            <w:vAlign w:val="center"/>
            <w:hideMark/>
          </w:tcPr>
          <w:p w14:paraId="15CAC51B" w14:textId="77777777" w:rsidR="00BF4113" w:rsidRPr="00E90F80" w:rsidRDefault="00BF4113" w:rsidP="00486683">
            <w:pPr>
              <w:spacing w:after="0" w:line="240" w:lineRule="auto"/>
              <w:jc w:val="center"/>
              <w:rPr>
                <w:rFonts w:eastAsia="Times New Roman" w:cs="Calibri"/>
                <w:sz w:val="18"/>
                <w:szCs w:val="18"/>
              </w:rPr>
            </w:pPr>
            <w:r w:rsidRPr="00E90F80">
              <w:rPr>
                <w:rFonts w:eastAsia="Times New Roman" w:cs="Calibri"/>
                <w:sz w:val="18"/>
                <w:szCs w:val="18"/>
              </w:rPr>
              <w:t>Local/Bafatá</w:t>
            </w:r>
          </w:p>
        </w:tc>
        <w:tc>
          <w:tcPr>
            <w:tcW w:w="1053" w:type="dxa"/>
            <w:noWrap/>
            <w:vAlign w:val="bottom"/>
            <w:hideMark/>
          </w:tcPr>
          <w:p w14:paraId="1EF863EB"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Exp</w:t>
            </w:r>
          </w:p>
        </w:tc>
        <w:tc>
          <w:tcPr>
            <w:tcW w:w="626" w:type="dxa"/>
            <w:noWrap/>
            <w:vAlign w:val="bottom"/>
            <w:hideMark/>
          </w:tcPr>
          <w:p w14:paraId="3A1DF04F"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0,02</w:t>
            </w:r>
          </w:p>
        </w:tc>
        <w:tc>
          <w:tcPr>
            <w:tcW w:w="1251" w:type="dxa"/>
            <w:noWrap/>
            <w:vAlign w:val="bottom"/>
            <w:hideMark/>
          </w:tcPr>
          <w:p w14:paraId="2998DA8C"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500</w:t>
            </w:r>
          </w:p>
        </w:tc>
        <w:tc>
          <w:tcPr>
            <w:tcW w:w="1505" w:type="dxa"/>
            <w:noWrap/>
            <w:vAlign w:val="bottom"/>
            <w:hideMark/>
          </w:tcPr>
          <w:p w14:paraId="6804EA26"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6 850</w:t>
            </w:r>
          </w:p>
        </w:tc>
        <w:tc>
          <w:tcPr>
            <w:tcW w:w="1559" w:type="dxa"/>
            <w:noWrap/>
            <w:vAlign w:val="bottom"/>
            <w:hideMark/>
          </w:tcPr>
          <w:p w14:paraId="1F97A3FA"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10</w:t>
            </w:r>
          </w:p>
        </w:tc>
      </w:tr>
      <w:tr w:rsidR="00BF4113" w:rsidRPr="00E90F80" w14:paraId="5BFD9E57" w14:textId="77777777" w:rsidTr="003F1A0A">
        <w:trPr>
          <w:trHeight w:val="272"/>
        </w:trPr>
        <w:tc>
          <w:tcPr>
            <w:tcW w:w="868" w:type="dxa"/>
            <w:vMerge/>
            <w:vAlign w:val="center"/>
            <w:hideMark/>
          </w:tcPr>
          <w:p w14:paraId="4C77D7D7" w14:textId="77777777" w:rsidR="00BF4113" w:rsidRPr="00E90F80" w:rsidRDefault="00BF4113" w:rsidP="00486683">
            <w:pPr>
              <w:spacing w:after="0" w:line="240" w:lineRule="auto"/>
              <w:rPr>
                <w:rFonts w:eastAsia="Times New Roman" w:cs="Calibri"/>
                <w:b/>
                <w:bCs/>
                <w:sz w:val="18"/>
                <w:szCs w:val="18"/>
              </w:rPr>
            </w:pPr>
          </w:p>
        </w:tc>
        <w:tc>
          <w:tcPr>
            <w:tcW w:w="1001" w:type="dxa"/>
            <w:vMerge/>
            <w:vAlign w:val="center"/>
            <w:hideMark/>
          </w:tcPr>
          <w:p w14:paraId="2CA04440" w14:textId="77777777" w:rsidR="00BF4113" w:rsidRPr="00E90F80" w:rsidRDefault="00BF4113" w:rsidP="00486683">
            <w:pPr>
              <w:spacing w:after="0" w:line="240" w:lineRule="auto"/>
              <w:rPr>
                <w:rFonts w:eastAsia="Times New Roman" w:cs="Calibri"/>
                <w:b/>
                <w:bCs/>
                <w:sz w:val="18"/>
                <w:szCs w:val="18"/>
              </w:rPr>
            </w:pPr>
          </w:p>
        </w:tc>
        <w:tc>
          <w:tcPr>
            <w:tcW w:w="1199" w:type="dxa"/>
            <w:vMerge/>
            <w:vAlign w:val="center"/>
            <w:hideMark/>
          </w:tcPr>
          <w:p w14:paraId="1B67095E" w14:textId="77777777" w:rsidR="00BF4113" w:rsidRPr="00E90F80" w:rsidRDefault="00BF4113" w:rsidP="00486683">
            <w:pPr>
              <w:spacing w:after="0" w:line="240" w:lineRule="auto"/>
              <w:rPr>
                <w:rFonts w:eastAsia="Times New Roman" w:cs="Calibri"/>
                <w:sz w:val="18"/>
                <w:szCs w:val="18"/>
              </w:rPr>
            </w:pPr>
          </w:p>
        </w:tc>
        <w:tc>
          <w:tcPr>
            <w:tcW w:w="1053" w:type="dxa"/>
            <w:noWrap/>
            <w:vAlign w:val="bottom"/>
            <w:hideMark/>
          </w:tcPr>
          <w:p w14:paraId="5ADF24E0"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Faca</w:t>
            </w:r>
          </w:p>
        </w:tc>
        <w:tc>
          <w:tcPr>
            <w:tcW w:w="626" w:type="dxa"/>
            <w:noWrap/>
            <w:vAlign w:val="center"/>
            <w:hideMark/>
          </w:tcPr>
          <w:p w14:paraId="3D969B63"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0,08</w:t>
            </w:r>
          </w:p>
        </w:tc>
        <w:tc>
          <w:tcPr>
            <w:tcW w:w="1251" w:type="dxa"/>
            <w:noWrap/>
            <w:vAlign w:val="bottom"/>
            <w:hideMark/>
          </w:tcPr>
          <w:p w14:paraId="55D40206"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1 000</w:t>
            </w:r>
          </w:p>
        </w:tc>
        <w:tc>
          <w:tcPr>
            <w:tcW w:w="1505" w:type="dxa"/>
            <w:noWrap/>
            <w:vAlign w:val="bottom"/>
            <w:hideMark/>
          </w:tcPr>
          <w:p w14:paraId="415E90F2"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54 802</w:t>
            </w:r>
          </w:p>
        </w:tc>
        <w:tc>
          <w:tcPr>
            <w:tcW w:w="1559" w:type="dxa"/>
            <w:noWrap/>
            <w:vAlign w:val="bottom"/>
            <w:hideMark/>
          </w:tcPr>
          <w:p w14:paraId="63EB7BEA"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84</w:t>
            </w:r>
          </w:p>
        </w:tc>
      </w:tr>
      <w:tr w:rsidR="00BF4113" w:rsidRPr="00E90F80" w14:paraId="58666668" w14:textId="77777777" w:rsidTr="003F1A0A">
        <w:trPr>
          <w:trHeight w:val="247"/>
        </w:trPr>
        <w:tc>
          <w:tcPr>
            <w:tcW w:w="868" w:type="dxa"/>
            <w:vMerge/>
            <w:vAlign w:val="center"/>
            <w:hideMark/>
          </w:tcPr>
          <w:p w14:paraId="2BB063BF" w14:textId="77777777" w:rsidR="00BF4113" w:rsidRPr="00E90F80" w:rsidRDefault="00BF4113" w:rsidP="00486683">
            <w:pPr>
              <w:spacing w:after="0" w:line="240" w:lineRule="auto"/>
              <w:rPr>
                <w:rFonts w:eastAsia="Times New Roman" w:cs="Calibri"/>
                <w:b/>
                <w:bCs/>
                <w:sz w:val="18"/>
                <w:szCs w:val="18"/>
              </w:rPr>
            </w:pPr>
          </w:p>
        </w:tc>
        <w:tc>
          <w:tcPr>
            <w:tcW w:w="1001" w:type="dxa"/>
            <w:vMerge/>
            <w:vAlign w:val="center"/>
            <w:hideMark/>
          </w:tcPr>
          <w:p w14:paraId="28EF5EB2" w14:textId="77777777" w:rsidR="00BF4113" w:rsidRPr="00E90F80" w:rsidRDefault="00BF4113" w:rsidP="00486683">
            <w:pPr>
              <w:spacing w:after="0" w:line="240" w:lineRule="auto"/>
              <w:rPr>
                <w:rFonts w:eastAsia="Times New Roman" w:cs="Calibri"/>
                <w:b/>
                <w:bCs/>
                <w:sz w:val="18"/>
                <w:szCs w:val="18"/>
              </w:rPr>
            </w:pPr>
          </w:p>
        </w:tc>
        <w:tc>
          <w:tcPr>
            <w:tcW w:w="1199" w:type="dxa"/>
            <w:vMerge/>
            <w:vAlign w:val="center"/>
            <w:hideMark/>
          </w:tcPr>
          <w:p w14:paraId="02109102" w14:textId="77777777" w:rsidR="00BF4113" w:rsidRPr="00E90F80" w:rsidRDefault="00BF4113" w:rsidP="00486683">
            <w:pPr>
              <w:spacing w:after="0" w:line="240" w:lineRule="auto"/>
              <w:rPr>
                <w:rFonts w:eastAsia="Times New Roman" w:cs="Calibri"/>
                <w:sz w:val="18"/>
                <w:szCs w:val="18"/>
              </w:rPr>
            </w:pPr>
          </w:p>
        </w:tc>
        <w:tc>
          <w:tcPr>
            <w:tcW w:w="1053" w:type="dxa"/>
            <w:noWrap/>
            <w:vAlign w:val="bottom"/>
            <w:hideMark/>
          </w:tcPr>
          <w:p w14:paraId="5097B1FF"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Loc</w:t>
            </w:r>
          </w:p>
        </w:tc>
        <w:tc>
          <w:tcPr>
            <w:tcW w:w="626" w:type="dxa"/>
            <w:noWrap/>
            <w:vAlign w:val="center"/>
            <w:hideMark/>
          </w:tcPr>
          <w:p w14:paraId="66946D49"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0,90</w:t>
            </w:r>
          </w:p>
        </w:tc>
        <w:tc>
          <w:tcPr>
            <w:tcW w:w="1251" w:type="dxa"/>
            <w:noWrap/>
            <w:vAlign w:val="bottom"/>
            <w:hideMark/>
          </w:tcPr>
          <w:p w14:paraId="67317EB5"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400</w:t>
            </w:r>
          </w:p>
        </w:tc>
        <w:tc>
          <w:tcPr>
            <w:tcW w:w="1505" w:type="dxa"/>
            <w:noWrap/>
            <w:vAlign w:val="bottom"/>
            <w:hideMark/>
          </w:tcPr>
          <w:p w14:paraId="70D6C2E3"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246 609</w:t>
            </w:r>
          </w:p>
        </w:tc>
        <w:tc>
          <w:tcPr>
            <w:tcW w:w="1559" w:type="dxa"/>
            <w:noWrap/>
            <w:vAlign w:val="bottom"/>
            <w:hideMark/>
          </w:tcPr>
          <w:p w14:paraId="79FF7632"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376</w:t>
            </w:r>
          </w:p>
        </w:tc>
      </w:tr>
      <w:tr w:rsidR="00BF4113" w:rsidRPr="00E90F80" w14:paraId="7F40DF3C" w14:textId="77777777" w:rsidTr="003F1A0A">
        <w:trPr>
          <w:trHeight w:val="266"/>
        </w:trPr>
        <w:tc>
          <w:tcPr>
            <w:tcW w:w="868" w:type="dxa"/>
            <w:vMerge w:val="restart"/>
            <w:noWrap/>
            <w:vAlign w:val="center"/>
            <w:hideMark/>
          </w:tcPr>
          <w:p w14:paraId="6B738290" w14:textId="77777777" w:rsidR="00BF4113" w:rsidRPr="00E90F80" w:rsidRDefault="00BF4113" w:rsidP="00486683">
            <w:pPr>
              <w:spacing w:after="0" w:line="240" w:lineRule="auto"/>
              <w:jc w:val="center"/>
              <w:rPr>
                <w:rFonts w:eastAsia="Times New Roman" w:cs="Calibri"/>
                <w:b/>
                <w:bCs/>
                <w:sz w:val="18"/>
                <w:szCs w:val="18"/>
              </w:rPr>
            </w:pPr>
            <w:r w:rsidRPr="00E90F80">
              <w:rPr>
                <w:rFonts w:eastAsia="Times New Roman" w:cs="Calibri"/>
                <w:b/>
                <w:bCs/>
                <w:sz w:val="18"/>
                <w:szCs w:val="18"/>
              </w:rPr>
              <w:t>Resto do país</w:t>
            </w:r>
          </w:p>
        </w:tc>
        <w:tc>
          <w:tcPr>
            <w:tcW w:w="1001" w:type="dxa"/>
            <w:vMerge w:val="restart"/>
            <w:noWrap/>
            <w:vAlign w:val="center"/>
            <w:hideMark/>
          </w:tcPr>
          <w:p w14:paraId="4964C5E6" w14:textId="77777777" w:rsidR="00BF4113" w:rsidRPr="00E90F80" w:rsidRDefault="00BF4113" w:rsidP="00486683">
            <w:pPr>
              <w:spacing w:after="0" w:line="240" w:lineRule="auto"/>
              <w:jc w:val="center"/>
              <w:rPr>
                <w:rFonts w:eastAsia="Times New Roman" w:cs="Calibri"/>
                <w:b/>
                <w:bCs/>
                <w:sz w:val="18"/>
                <w:szCs w:val="18"/>
              </w:rPr>
            </w:pPr>
            <w:r w:rsidRPr="00E90F80">
              <w:rPr>
                <w:rFonts w:eastAsia="Times New Roman" w:cs="Calibri"/>
                <w:b/>
                <w:bCs/>
                <w:sz w:val="18"/>
                <w:szCs w:val="18"/>
              </w:rPr>
              <w:t>1260</w:t>
            </w:r>
          </w:p>
        </w:tc>
        <w:tc>
          <w:tcPr>
            <w:tcW w:w="1199" w:type="dxa"/>
            <w:vMerge w:val="restart"/>
            <w:noWrap/>
            <w:vAlign w:val="center"/>
            <w:hideMark/>
          </w:tcPr>
          <w:p w14:paraId="3A08DE80" w14:textId="77777777" w:rsidR="00BF4113" w:rsidRPr="00E90F80" w:rsidRDefault="00BF4113" w:rsidP="00486683">
            <w:pPr>
              <w:spacing w:after="0" w:line="240" w:lineRule="auto"/>
              <w:jc w:val="center"/>
              <w:rPr>
                <w:rFonts w:eastAsia="Times New Roman" w:cs="Calibri"/>
                <w:sz w:val="18"/>
                <w:szCs w:val="18"/>
              </w:rPr>
            </w:pPr>
            <w:r w:rsidRPr="00E90F80">
              <w:rPr>
                <w:rFonts w:eastAsia="Times New Roman" w:cs="Calibri"/>
                <w:sz w:val="18"/>
                <w:szCs w:val="18"/>
              </w:rPr>
              <w:t>Local</w:t>
            </w:r>
          </w:p>
        </w:tc>
        <w:tc>
          <w:tcPr>
            <w:tcW w:w="1053" w:type="dxa"/>
            <w:noWrap/>
            <w:vAlign w:val="bottom"/>
            <w:hideMark/>
          </w:tcPr>
          <w:p w14:paraId="014C9518"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Exp</w:t>
            </w:r>
          </w:p>
        </w:tc>
        <w:tc>
          <w:tcPr>
            <w:tcW w:w="626" w:type="dxa"/>
            <w:noWrap/>
            <w:vAlign w:val="center"/>
            <w:hideMark/>
          </w:tcPr>
          <w:p w14:paraId="72005CDB"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0,02</w:t>
            </w:r>
          </w:p>
        </w:tc>
        <w:tc>
          <w:tcPr>
            <w:tcW w:w="1251" w:type="dxa"/>
            <w:noWrap/>
            <w:vAlign w:val="bottom"/>
            <w:hideMark/>
          </w:tcPr>
          <w:p w14:paraId="12F74508"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400</w:t>
            </w:r>
          </w:p>
        </w:tc>
        <w:tc>
          <w:tcPr>
            <w:tcW w:w="1505" w:type="dxa"/>
            <w:noWrap/>
            <w:vAlign w:val="bottom"/>
            <w:hideMark/>
          </w:tcPr>
          <w:p w14:paraId="33201282"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10 077</w:t>
            </w:r>
          </w:p>
        </w:tc>
        <w:tc>
          <w:tcPr>
            <w:tcW w:w="1559" w:type="dxa"/>
            <w:noWrap/>
            <w:vAlign w:val="bottom"/>
            <w:hideMark/>
          </w:tcPr>
          <w:p w14:paraId="7072CD74"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15</w:t>
            </w:r>
          </w:p>
        </w:tc>
      </w:tr>
      <w:tr w:rsidR="00BF4113" w:rsidRPr="00E90F80" w14:paraId="79907943" w14:textId="77777777" w:rsidTr="003F1A0A">
        <w:trPr>
          <w:trHeight w:val="255"/>
        </w:trPr>
        <w:tc>
          <w:tcPr>
            <w:tcW w:w="868" w:type="dxa"/>
            <w:vMerge/>
            <w:vAlign w:val="center"/>
            <w:hideMark/>
          </w:tcPr>
          <w:p w14:paraId="76C109FD" w14:textId="77777777" w:rsidR="00BF4113" w:rsidRPr="00E90F80" w:rsidRDefault="00BF4113" w:rsidP="00486683">
            <w:pPr>
              <w:spacing w:after="0" w:line="240" w:lineRule="auto"/>
              <w:rPr>
                <w:rFonts w:eastAsia="Times New Roman" w:cs="Calibri"/>
                <w:sz w:val="18"/>
                <w:szCs w:val="18"/>
              </w:rPr>
            </w:pPr>
          </w:p>
        </w:tc>
        <w:tc>
          <w:tcPr>
            <w:tcW w:w="1001" w:type="dxa"/>
            <w:vMerge/>
            <w:vAlign w:val="center"/>
            <w:hideMark/>
          </w:tcPr>
          <w:p w14:paraId="66A91F3A" w14:textId="77777777" w:rsidR="00BF4113" w:rsidRPr="00E90F80" w:rsidRDefault="00BF4113" w:rsidP="00486683">
            <w:pPr>
              <w:spacing w:after="0" w:line="240" w:lineRule="auto"/>
              <w:rPr>
                <w:rFonts w:eastAsia="Times New Roman" w:cs="Calibri"/>
                <w:sz w:val="18"/>
                <w:szCs w:val="18"/>
              </w:rPr>
            </w:pPr>
          </w:p>
        </w:tc>
        <w:tc>
          <w:tcPr>
            <w:tcW w:w="1199" w:type="dxa"/>
            <w:vMerge/>
            <w:vAlign w:val="center"/>
            <w:hideMark/>
          </w:tcPr>
          <w:p w14:paraId="011FD8B4" w14:textId="77777777" w:rsidR="00BF4113" w:rsidRPr="00E90F80" w:rsidRDefault="00BF4113" w:rsidP="00486683">
            <w:pPr>
              <w:spacing w:after="0" w:line="240" w:lineRule="auto"/>
              <w:rPr>
                <w:rFonts w:eastAsia="Times New Roman" w:cs="Calibri"/>
                <w:sz w:val="18"/>
                <w:szCs w:val="18"/>
              </w:rPr>
            </w:pPr>
          </w:p>
        </w:tc>
        <w:tc>
          <w:tcPr>
            <w:tcW w:w="1053" w:type="dxa"/>
            <w:noWrap/>
            <w:vAlign w:val="bottom"/>
            <w:hideMark/>
          </w:tcPr>
          <w:p w14:paraId="3DC922B2"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Faca</w:t>
            </w:r>
          </w:p>
        </w:tc>
        <w:tc>
          <w:tcPr>
            <w:tcW w:w="626" w:type="dxa"/>
            <w:noWrap/>
            <w:vAlign w:val="center"/>
            <w:hideMark/>
          </w:tcPr>
          <w:p w14:paraId="6844CE12"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0,10</w:t>
            </w:r>
          </w:p>
        </w:tc>
        <w:tc>
          <w:tcPr>
            <w:tcW w:w="1251" w:type="dxa"/>
            <w:noWrap/>
            <w:vAlign w:val="bottom"/>
            <w:hideMark/>
          </w:tcPr>
          <w:p w14:paraId="32A271D0"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500</w:t>
            </w:r>
          </w:p>
        </w:tc>
        <w:tc>
          <w:tcPr>
            <w:tcW w:w="1505" w:type="dxa"/>
            <w:noWrap/>
            <w:vAlign w:val="bottom"/>
            <w:hideMark/>
          </w:tcPr>
          <w:p w14:paraId="1CF51A45"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62 980</w:t>
            </w:r>
          </w:p>
        </w:tc>
        <w:tc>
          <w:tcPr>
            <w:tcW w:w="1559" w:type="dxa"/>
            <w:noWrap/>
            <w:vAlign w:val="bottom"/>
            <w:hideMark/>
          </w:tcPr>
          <w:p w14:paraId="01FD9D84"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96</w:t>
            </w:r>
          </w:p>
        </w:tc>
      </w:tr>
      <w:tr w:rsidR="00BF4113" w:rsidRPr="00E90F80" w14:paraId="7E68AAF1" w14:textId="77777777" w:rsidTr="003F1A0A">
        <w:trPr>
          <w:trHeight w:val="246"/>
        </w:trPr>
        <w:tc>
          <w:tcPr>
            <w:tcW w:w="868" w:type="dxa"/>
            <w:vMerge/>
            <w:vAlign w:val="center"/>
            <w:hideMark/>
          </w:tcPr>
          <w:p w14:paraId="3688F4E8" w14:textId="77777777" w:rsidR="00BF4113" w:rsidRPr="00E90F80" w:rsidRDefault="00BF4113" w:rsidP="00486683">
            <w:pPr>
              <w:spacing w:after="0" w:line="240" w:lineRule="auto"/>
              <w:rPr>
                <w:rFonts w:eastAsia="Times New Roman" w:cs="Calibri"/>
                <w:sz w:val="18"/>
                <w:szCs w:val="18"/>
              </w:rPr>
            </w:pPr>
          </w:p>
        </w:tc>
        <w:tc>
          <w:tcPr>
            <w:tcW w:w="1001" w:type="dxa"/>
            <w:vMerge/>
            <w:vAlign w:val="center"/>
            <w:hideMark/>
          </w:tcPr>
          <w:p w14:paraId="3F283289" w14:textId="77777777" w:rsidR="00BF4113" w:rsidRPr="00E90F80" w:rsidRDefault="00BF4113" w:rsidP="00486683">
            <w:pPr>
              <w:spacing w:after="0" w:line="240" w:lineRule="auto"/>
              <w:rPr>
                <w:rFonts w:eastAsia="Times New Roman" w:cs="Calibri"/>
                <w:sz w:val="18"/>
                <w:szCs w:val="18"/>
              </w:rPr>
            </w:pPr>
          </w:p>
        </w:tc>
        <w:tc>
          <w:tcPr>
            <w:tcW w:w="1199" w:type="dxa"/>
            <w:vMerge/>
            <w:vAlign w:val="center"/>
            <w:hideMark/>
          </w:tcPr>
          <w:p w14:paraId="04278BD6" w14:textId="77777777" w:rsidR="00BF4113" w:rsidRPr="00E90F80" w:rsidRDefault="00BF4113" w:rsidP="00486683">
            <w:pPr>
              <w:spacing w:after="0" w:line="240" w:lineRule="auto"/>
              <w:rPr>
                <w:rFonts w:eastAsia="Times New Roman" w:cs="Calibri"/>
                <w:sz w:val="18"/>
                <w:szCs w:val="18"/>
              </w:rPr>
            </w:pPr>
          </w:p>
        </w:tc>
        <w:tc>
          <w:tcPr>
            <w:tcW w:w="1053" w:type="dxa"/>
            <w:noWrap/>
            <w:vAlign w:val="bottom"/>
            <w:hideMark/>
          </w:tcPr>
          <w:p w14:paraId="7C2C50F4"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Loc</w:t>
            </w:r>
          </w:p>
        </w:tc>
        <w:tc>
          <w:tcPr>
            <w:tcW w:w="626" w:type="dxa"/>
            <w:noWrap/>
            <w:vAlign w:val="bottom"/>
            <w:hideMark/>
          </w:tcPr>
          <w:p w14:paraId="4B2A9408"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0,88</w:t>
            </w:r>
          </w:p>
        </w:tc>
        <w:tc>
          <w:tcPr>
            <w:tcW w:w="1251" w:type="dxa"/>
            <w:noWrap/>
            <w:vAlign w:val="bottom"/>
            <w:hideMark/>
          </w:tcPr>
          <w:p w14:paraId="3B7DC642"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125</w:t>
            </w:r>
          </w:p>
        </w:tc>
        <w:tc>
          <w:tcPr>
            <w:tcW w:w="1505" w:type="dxa"/>
            <w:noWrap/>
            <w:vAlign w:val="bottom"/>
            <w:hideMark/>
          </w:tcPr>
          <w:p w14:paraId="632B932A"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138 556</w:t>
            </w:r>
          </w:p>
        </w:tc>
        <w:tc>
          <w:tcPr>
            <w:tcW w:w="1559" w:type="dxa"/>
            <w:noWrap/>
            <w:vAlign w:val="bottom"/>
            <w:hideMark/>
          </w:tcPr>
          <w:p w14:paraId="19B98D26" w14:textId="77777777" w:rsidR="00BF4113" w:rsidRPr="00E90F80" w:rsidRDefault="00BF4113" w:rsidP="003F1A0A">
            <w:pPr>
              <w:spacing w:after="0" w:line="240" w:lineRule="auto"/>
              <w:jc w:val="center"/>
              <w:rPr>
                <w:rFonts w:eastAsia="Times New Roman" w:cs="Calibri"/>
                <w:sz w:val="18"/>
                <w:szCs w:val="18"/>
              </w:rPr>
            </w:pPr>
            <w:r w:rsidRPr="00E90F80">
              <w:rPr>
                <w:rFonts w:eastAsia="Times New Roman" w:cs="Calibri"/>
                <w:sz w:val="18"/>
                <w:szCs w:val="18"/>
              </w:rPr>
              <w:t>211</w:t>
            </w:r>
          </w:p>
        </w:tc>
      </w:tr>
      <w:tr w:rsidR="00BF4113" w:rsidRPr="00E90F80" w14:paraId="0770071B" w14:textId="77777777" w:rsidTr="003F1A0A">
        <w:trPr>
          <w:trHeight w:val="263"/>
        </w:trPr>
        <w:tc>
          <w:tcPr>
            <w:tcW w:w="868" w:type="dxa"/>
            <w:noWrap/>
            <w:vAlign w:val="bottom"/>
            <w:hideMark/>
          </w:tcPr>
          <w:p w14:paraId="1072CBFA" w14:textId="77777777" w:rsidR="00BF4113" w:rsidRPr="003F1A0A" w:rsidRDefault="00BF4113" w:rsidP="003F1A0A">
            <w:pPr>
              <w:spacing w:after="0" w:line="240" w:lineRule="auto"/>
              <w:jc w:val="center"/>
              <w:rPr>
                <w:rFonts w:eastAsia="Times New Roman" w:cs="Calibri"/>
                <w:b/>
                <w:bCs/>
                <w:color w:val="000000" w:themeColor="text1"/>
                <w:sz w:val="18"/>
                <w:szCs w:val="18"/>
              </w:rPr>
            </w:pPr>
            <w:r w:rsidRPr="003F1A0A">
              <w:rPr>
                <w:rFonts w:eastAsia="Times New Roman" w:cs="Calibri"/>
                <w:b/>
                <w:bCs/>
                <w:color w:val="000000" w:themeColor="text1"/>
                <w:sz w:val="18"/>
                <w:szCs w:val="18"/>
              </w:rPr>
              <w:t>Total</w:t>
            </w:r>
          </w:p>
        </w:tc>
        <w:tc>
          <w:tcPr>
            <w:tcW w:w="1001" w:type="dxa"/>
            <w:noWrap/>
            <w:vAlign w:val="bottom"/>
            <w:hideMark/>
          </w:tcPr>
          <w:p w14:paraId="1F07E301" w14:textId="77777777" w:rsidR="00BF4113" w:rsidRPr="003F1A0A" w:rsidRDefault="00BF4113" w:rsidP="003F1A0A">
            <w:pPr>
              <w:spacing w:after="0" w:line="240" w:lineRule="auto"/>
              <w:jc w:val="center"/>
              <w:rPr>
                <w:rFonts w:eastAsia="Times New Roman" w:cs="Calibri"/>
                <w:b/>
                <w:bCs/>
                <w:color w:val="000000" w:themeColor="text1"/>
                <w:sz w:val="18"/>
                <w:szCs w:val="18"/>
              </w:rPr>
            </w:pPr>
            <w:r w:rsidRPr="003F1A0A">
              <w:rPr>
                <w:rFonts w:eastAsia="Times New Roman" w:cs="Calibri"/>
                <w:b/>
                <w:bCs/>
                <w:color w:val="000000" w:themeColor="text1"/>
                <w:sz w:val="18"/>
                <w:szCs w:val="18"/>
              </w:rPr>
              <w:t>8786,70</w:t>
            </w:r>
          </w:p>
        </w:tc>
        <w:tc>
          <w:tcPr>
            <w:tcW w:w="1199" w:type="dxa"/>
            <w:noWrap/>
            <w:vAlign w:val="bottom"/>
            <w:hideMark/>
          </w:tcPr>
          <w:p w14:paraId="0C9C6526" w14:textId="77777777" w:rsidR="00BF4113" w:rsidRPr="003F1A0A" w:rsidRDefault="00BF4113" w:rsidP="00486683">
            <w:pPr>
              <w:spacing w:after="0" w:line="240" w:lineRule="auto"/>
              <w:rPr>
                <w:rFonts w:eastAsia="Times New Roman" w:cs="Calibri"/>
                <w:b/>
                <w:bCs/>
                <w:color w:val="000000" w:themeColor="text1"/>
                <w:sz w:val="18"/>
                <w:szCs w:val="18"/>
              </w:rPr>
            </w:pPr>
            <w:r w:rsidRPr="003F1A0A">
              <w:rPr>
                <w:rFonts w:eastAsia="Times New Roman" w:cs="Calibri"/>
                <w:b/>
                <w:bCs/>
                <w:color w:val="000000" w:themeColor="text1"/>
                <w:sz w:val="18"/>
                <w:szCs w:val="18"/>
              </w:rPr>
              <w:t> </w:t>
            </w:r>
          </w:p>
        </w:tc>
        <w:tc>
          <w:tcPr>
            <w:tcW w:w="1053" w:type="dxa"/>
            <w:noWrap/>
            <w:vAlign w:val="bottom"/>
            <w:hideMark/>
          </w:tcPr>
          <w:p w14:paraId="66E116BA" w14:textId="736FE8C7" w:rsidR="00BF4113" w:rsidRPr="003F1A0A" w:rsidRDefault="00BF4113" w:rsidP="003F1A0A">
            <w:pPr>
              <w:spacing w:after="0" w:line="240" w:lineRule="auto"/>
              <w:jc w:val="center"/>
              <w:rPr>
                <w:rFonts w:eastAsia="Times New Roman" w:cs="Calibri"/>
                <w:b/>
                <w:bCs/>
                <w:color w:val="000000" w:themeColor="text1"/>
                <w:sz w:val="18"/>
                <w:szCs w:val="18"/>
              </w:rPr>
            </w:pPr>
          </w:p>
        </w:tc>
        <w:tc>
          <w:tcPr>
            <w:tcW w:w="626" w:type="dxa"/>
            <w:noWrap/>
            <w:vAlign w:val="bottom"/>
            <w:hideMark/>
          </w:tcPr>
          <w:p w14:paraId="6431D90D" w14:textId="77777777" w:rsidR="00BF4113" w:rsidRPr="003F1A0A" w:rsidRDefault="00BF4113" w:rsidP="003F1A0A">
            <w:pPr>
              <w:spacing w:after="0" w:line="240" w:lineRule="auto"/>
              <w:jc w:val="center"/>
              <w:rPr>
                <w:rFonts w:eastAsia="Times New Roman" w:cs="Calibri"/>
                <w:b/>
                <w:bCs/>
                <w:color w:val="000000" w:themeColor="text1"/>
                <w:sz w:val="18"/>
                <w:szCs w:val="18"/>
              </w:rPr>
            </w:pPr>
            <w:r w:rsidRPr="003F1A0A">
              <w:rPr>
                <w:rFonts w:eastAsia="Times New Roman" w:cs="Calibri"/>
                <w:b/>
                <w:bCs/>
                <w:color w:val="000000" w:themeColor="text1"/>
                <w:sz w:val="18"/>
                <w:szCs w:val="18"/>
              </w:rPr>
              <w:t>100</w:t>
            </w:r>
          </w:p>
        </w:tc>
        <w:tc>
          <w:tcPr>
            <w:tcW w:w="1251" w:type="dxa"/>
            <w:noWrap/>
            <w:vAlign w:val="bottom"/>
            <w:hideMark/>
          </w:tcPr>
          <w:p w14:paraId="6760AEBF" w14:textId="274203B8" w:rsidR="00BF4113" w:rsidRPr="003F1A0A" w:rsidRDefault="00BF4113" w:rsidP="003F1A0A">
            <w:pPr>
              <w:spacing w:after="0" w:line="240" w:lineRule="auto"/>
              <w:jc w:val="center"/>
              <w:rPr>
                <w:rFonts w:eastAsia="Times New Roman" w:cs="Calibri"/>
                <w:b/>
                <w:bCs/>
                <w:color w:val="000000" w:themeColor="text1"/>
                <w:sz w:val="18"/>
                <w:szCs w:val="18"/>
              </w:rPr>
            </w:pPr>
          </w:p>
        </w:tc>
        <w:tc>
          <w:tcPr>
            <w:tcW w:w="1505" w:type="dxa"/>
            <w:noWrap/>
            <w:vAlign w:val="bottom"/>
            <w:hideMark/>
          </w:tcPr>
          <w:p w14:paraId="031CCC3A" w14:textId="77777777" w:rsidR="00BF4113" w:rsidRPr="003F1A0A" w:rsidRDefault="00BF4113" w:rsidP="003F1A0A">
            <w:pPr>
              <w:spacing w:after="0" w:line="240" w:lineRule="auto"/>
              <w:jc w:val="center"/>
              <w:rPr>
                <w:rFonts w:eastAsia="Times New Roman" w:cs="Calibri"/>
                <w:b/>
                <w:bCs/>
                <w:color w:val="000000" w:themeColor="text1"/>
                <w:sz w:val="18"/>
                <w:szCs w:val="18"/>
              </w:rPr>
            </w:pPr>
            <w:r w:rsidRPr="003F1A0A">
              <w:rPr>
                <w:rFonts w:eastAsia="Times New Roman" w:cs="Calibri"/>
                <w:b/>
                <w:bCs/>
                <w:color w:val="000000" w:themeColor="text1"/>
                <w:sz w:val="18"/>
                <w:szCs w:val="18"/>
              </w:rPr>
              <w:t>6 295 525</w:t>
            </w:r>
          </w:p>
        </w:tc>
        <w:tc>
          <w:tcPr>
            <w:tcW w:w="1559" w:type="dxa"/>
            <w:noWrap/>
            <w:vAlign w:val="bottom"/>
            <w:hideMark/>
          </w:tcPr>
          <w:p w14:paraId="02D383B2" w14:textId="77777777" w:rsidR="00BF4113" w:rsidRPr="003F1A0A" w:rsidRDefault="00BF4113" w:rsidP="003F1A0A">
            <w:pPr>
              <w:spacing w:after="0" w:line="240" w:lineRule="auto"/>
              <w:jc w:val="center"/>
              <w:rPr>
                <w:rFonts w:eastAsia="Times New Roman" w:cs="Calibri"/>
                <w:b/>
                <w:bCs/>
                <w:color w:val="000000" w:themeColor="text1"/>
                <w:sz w:val="18"/>
                <w:szCs w:val="18"/>
              </w:rPr>
            </w:pPr>
            <w:r w:rsidRPr="003F1A0A">
              <w:rPr>
                <w:rFonts w:eastAsia="Times New Roman" w:cs="Calibri"/>
                <w:b/>
                <w:bCs/>
                <w:color w:val="000000" w:themeColor="text1"/>
                <w:sz w:val="18"/>
                <w:szCs w:val="18"/>
              </w:rPr>
              <w:t>9 597</w:t>
            </w:r>
          </w:p>
        </w:tc>
      </w:tr>
    </w:tbl>
    <w:p w14:paraId="6FCD4D33" w14:textId="1E108A66" w:rsidR="00BF4113" w:rsidRPr="004E65BE" w:rsidRDefault="00BF4113" w:rsidP="007D3A26">
      <w:pPr>
        <w:pStyle w:val="Caption"/>
      </w:pPr>
      <w:r w:rsidRPr="004E65BE">
        <w:t>Quadro 3.3 - Valor da produção comercializada de manga em 2025</w:t>
      </w:r>
    </w:p>
    <w:p w14:paraId="4D28AE48" w14:textId="77777777" w:rsidR="00BF4113" w:rsidRPr="00FA54E0" w:rsidRDefault="00BF4113" w:rsidP="00BF4113">
      <w:pPr>
        <w:rPr>
          <w:b/>
          <w:color w:val="336666"/>
          <w:szCs w:val="20"/>
        </w:rPr>
      </w:pPr>
      <w:r w:rsidRPr="00FA54E0">
        <w:rPr>
          <w:b/>
          <w:color w:val="336666"/>
          <w:szCs w:val="20"/>
        </w:rPr>
        <w:t>3.1.5 Mercados e Preços</w:t>
      </w:r>
    </w:p>
    <w:p w14:paraId="2CB2D893" w14:textId="77777777" w:rsidR="00BF4113" w:rsidRPr="00F0379E" w:rsidRDefault="00BF4113" w:rsidP="00BF4113">
      <w:pPr>
        <w:rPr>
          <w:szCs w:val="20"/>
        </w:rPr>
      </w:pPr>
      <w:r w:rsidRPr="00F0379E">
        <w:rPr>
          <w:szCs w:val="20"/>
        </w:rPr>
        <w:t xml:space="preserve">A cadeia de valor da manga tem três tipos de mercados: i) Bissau, que representa aproximadamente 75 % da produção comercializada no país; ii) mercados locais </w:t>
      </w:r>
      <w:r>
        <w:rPr>
          <w:szCs w:val="20"/>
        </w:rPr>
        <w:t>nas regiões</w:t>
      </w:r>
      <w:r w:rsidRPr="00F0379E">
        <w:rPr>
          <w:szCs w:val="20"/>
        </w:rPr>
        <w:t xml:space="preserve"> (lumos) que representam os 25% restantes; iii) exportação para mercados regionais (Senegal), à data representa 0,5 % da produção nacional.</w:t>
      </w:r>
    </w:p>
    <w:p w14:paraId="642B3FC4" w14:textId="77777777" w:rsidR="00BF4113" w:rsidRPr="00F0379E" w:rsidRDefault="00BF4113" w:rsidP="00BF4113">
      <w:pPr>
        <w:rPr>
          <w:szCs w:val="20"/>
        </w:rPr>
      </w:pPr>
      <w:r w:rsidRPr="00F0379E">
        <w:rPr>
          <w:szCs w:val="20"/>
        </w:rPr>
        <w:t>O surgimento de atividades de transformação da manga fresca, embora ainda em escala micro, tem vindo a ganhar relevância em todas as regiões produtoras. A produção concentra-se sobretudo na elaboração de sumos, cuja distribuição apresenta diferenças regionais: cerca de 5% em Oio e Cacheu, 10% em Bafatá, enquanto a maior parte (90%–95%) é canalizada para os mercados retalhistas de Bissau.</w:t>
      </w:r>
    </w:p>
    <w:p w14:paraId="6A3A1D2A" w14:textId="77777777" w:rsidR="00BF4113" w:rsidRPr="00F0379E" w:rsidRDefault="00BF4113" w:rsidP="00BF4113">
      <w:pPr>
        <w:rPr>
          <w:szCs w:val="20"/>
        </w:rPr>
      </w:pPr>
      <w:r w:rsidRPr="00F0379E">
        <w:rPr>
          <w:szCs w:val="20"/>
        </w:rPr>
        <w:t xml:space="preserve">Na </w:t>
      </w:r>
      <w:r w:rsidRPr="00C45457">
        <w:rPr>
          <w:szCs w:val="20"/>
        </w:rPr>
        <w:t>figura 3.1 apresenta</w:t>
      </w:r>
      <w:r w:rsidRPr="00F0379E">
        <w:rPr>
          <w:szCs w:val="20"/>
        </w:rPr>
        <w:t>-se a formação do preço da manga nas trés principais regiões produtoras o país.</w:t>
      </w:r>
    </w:p>
    <w:p w14:paraId="527DC1BA" w14:textId="7428E45E" w:rsidR="00BF4113" w:rsidRPr="00F200DC" w:rsidRDefault="002A0E99" w:rsidP="009E0E25">
      <w:pPr>
        <w:jc w:val="center"/>
      </w:pPr>
      <w:r>
        <w:rPr>
          <w:noProof/>
          <w:lang w:val="en-US"/>
        </w:rPr>
        <w:lastRenderedPageBreak/>
        <w:drawing>
          <wp:inline distT="0" distB="0" distL="0" distR="0" wp14:anchorId="29984B91" wp14:editId="35EA2F64">
            <wp:extent cx="5400675" cy="4038600"/>
            <wp:effectExtent l="0" t="0" r="9525" b="0"/>
            <wp:docPr id="15552944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675" cy="4038600"/>
                    </a:xfrm>
                    <a:prstGeom prst="rect">
                      <a:avLst/>
                    </a:prstGeom>
                    <a:noFill/>
                    <a:ln>
                      <a:noFill/>
                    </a:ln>
                  </pic:spPr>
                </pic:pic>
              </a:graphicData>
            </a:graphic>
          </wp:inline>
        </w:drawing>
      </w:r>
    </w:p>
    <w:p w14:paraId="21C212DC" w14:textId="69B762D1" w:rsidR="00BF4113" w:rsidRPr="005A1727" w:rsidRDefault="00BF4113" w:rsidP="005A1727">
      <w:pPr>
        <w:jc w:val="center"/>
        <w:rPr>
          <w:bCs/>
          <w:i/>
          <w:iCs/>
          <w:sz w:val="18"/>
          <w:szCs w:val="18"/>
        </w:rPr>
      </w:pPr>
      <w:r w:rsidRPr="00244ED9">
        <w:rPr>
          <w:bCs/>
          <w:i/>
          <w:iCs/>
          <w:sz w:val="18"/>
          <w:szCs w:val="18"/>
        </w:rPr>
        <w:t>Figura 3.1 - Formação do preço da manga, 2025 (CFA/kg)</w:t>
      </w:r>
    </w:p>
    <w:p w14:paraId="7A37EAC8" w14:textId="6342C512" w:rsidR="00BF4113" w:rsidRPr="004B6B4A" w:rsidRDefault="00BF4113" w:rsidP="00815270">
      <w:pPr>
        <w:pStyle w:val="Heading2"/>
        <w:numPr>
          <w:ilvl w:val="1"/>
          <w:numId w:val="42"/>
        </w:numPr>
      </w:pPr>
      <w:bookmarkStart w:id="205" w:name="_Toc220507518"/>
      <w:r w:rsidRPr="004B6B4A">
        <w:t>Rentabilidade e sustentabilidade para os atores</w:t>
      </w:r>
      <w:bookmarkEnd w:id="205"/>
    </w:p>
    <w:p w14:paraId="4E36F7A3" w14:textId="77777777" w:rsidR="00BF4113" w:rsidRPr="005A1727" w:rsidRDefault="00BF4113" w:rsidP="00BF4113">
      <w:pPr>
        <w:pStyle w:val="ListParagraph"/>
        <w:ind w:left="0"/>
        <w:rPr>
          <w:rFonts w:eastAsia="Aptos" w:cs="Calibri"/>
          <w:szCs w:val="20"/>
        </w:rPr>
      </w:pPr>
      <w:r w:rsidRPr="005A1727">
        <w:rPr>
          <w:rFonts w:eastAsia="Aptos" w:cs="Calibri"/>
          <w:szCs w:val="20"/>
        </w:rPr>
        <w:t>As contas individuais dos atores mostram a disparidade nos lucros operacionais líquidos ou lucros da cadeia de valor. A rentabilidade oscila entre valores muito baixos, de quase zero para o retalhista local, e 50% e 44% para o grossista e o grande produtor, respectivamente (Quadro 3.4 e 3.5).</w:t>
      </w:r>
    </w:p>
    <w:p w14:paraId="2DC70128" w14:textId="77777777" w:rsidR="00BF4113" w:rsidRPr="005A1727" w:rsidRDefault="00BF4113" w:rsidP="00BF4113">
      <w:pPr>
        <w:pStyle w:val="ListParagraph"/>
        <w:ind w:left="0"/>
        <w:rPr>
          <w:rFonts w:eastAsia="Aptos" w:cs="Calibri"/>
          <w:szCs w:val="20"/>
        </w:rPr>
      </w:pPr>
    </w:p>
    <w:p w14:paraId="4684264F" w14:textId="77777777" w:rsidR="00BF4113" w:rsidRPr="005A1727" w:rsidRDefault="00BF4113" w:rsidP="00BF4113">
      <w:pPr>
        <w:pStyle w:val="ListParagraph"/>
        <w:ind w:left="0"/>
        <w:rPr>
          <w:rFonts w:eastAsia="Aptos" w:cs="Calibri"/>
          <w:szCs w:val="20"/>
        </w:rPr>
      </w:pPr>
      <w:r w:rsidRPr="005A1727">
        <w:rPr>
          <w:rFonts w:eastAsia="Aptos" w:cs="Calibri"/>
          <w:szCs w:val="20"/>
        </w:rPr>
        <w:t>Um indicador melhor, além da rentabilidade, é a renda mensal do ator e sua comparação, em um nível de referência, com o salário mínimo mensal no país. Assim, o grossista que vende em Bissau e o retalhista em Bissau auferem rendas mensais acima do salário mínimo de 50.000 francos CFA. Os demais atores, especialmente os produtores, auferem rendas mensais abaixo do mínimo. Esses números são lógicos, dadas as seguintes características dos produtores:</w:t>
      </w:r>
    </w:p>
    <w:p w14:paraId="31A7776C" w14:textId="77777777" w:rsidR="00B1761E" w:rsidRPr="005A1727" w:rsidRDefault="00B1761E" w:rsidP="00BF4113">
      <w:pPr>
        <w:pStyle w:val="ListParagraph"/>
        <w:ind w:left="0"/>
        <w:rPr>
          <w:rFonts w:eastAsia="Aptos" w:cs="Calibri"/>
          <w:szCs w:val="20"/>
        </w:rPr>
      </w:pPr>
    </w:p>
    <w:p w14:paraId="3352ED88" w14:textId="77777777" w:rsidR="00B1761E" w:rsidRPr="005A1727" w:rsidRDefault="00BF4113" w:rsidP="00E042D7">
      <w:pPr>
        <w:pStyle w:val="ListParagraph"/>
        <w:numPr>
          <w:ilvl w:val="0"/>
          <w:numId w:val="45"/>
        </w:numPr>
        <w:rPr>
          <w:rFonts w:eastAsia="Aptos" w:cs="Calibri"/>
          <w:szCs w:val="20"/>
        </w:rPr>
      </w:pPr>
      <w:r w:rsidRPr="005A1727">
        <w:rPr>
          <w:rFonts w:eastAsia="Aptos" w:cs="Calibri"/>
          <w:szCs w:val="20"/>
        </w:rPr>
        <w:t xml:space="preserve">Os rendimentos são relativamente elevados porque os investimentos e as despesas de operação e manutenção são mínimos. </w:t>
      </w:r>
    </w:p>
    <w:p w14:paraId="14DA55DA" w14:textId="77777777" w:rsidR="00B1761E" w:rsidRPr="005A1727" w:rsidRDefault="00BF4113" w:rsidP="00E042D7">
      <w:pPr>
        <w:pStyle w:val="ListParagraph"/>
        <w:numPr>
          <w:ilvl w:val="0"/>
          <w:numId w:val="45"/>
        </w:numPr>
        <w:rPr>
          <w:rFonts w:eastAsia="Aptos" w:cs="Calibri"/>
          <w:szCs w:val="20"/>
        </w:rPr>
      </w:pPr>
      <w:r w:rsidRPr="005A1727">
        <w:rPr>
          <w:rFonts w:eastAsia="Aptos" w:cs="Calibri"/>
          <w:szCs w:val="20"/>
        </w:rPr>
        <w:t>Estes rendimentos são relativos, uma vez que o valor da produção é baixo, o que corresponde a 5.676 milhões de CFA em 2025, equivalente a 5,7 milhões de €.</w:t>
      </w:r>
    </w:p>
    <w:p w14:paraId="2CE966E7" w14:textId="77777777" w:rsidR="00B1761E" w:rsidRPr="005A1727" w:rsidRDefault="00BF4113" w:rsidP="00E042D7">
      <w:pPr>
        <w:pStyle w:val="ListParagraph"/>
        <w:numPr>
          <w:ilvl w:val="0"/>
          <w:numId w:val="45"/>
        </w:numPr>
        <w:rPr>
          <w:rFonts w:eastAsia="Aptos" w:cs="Calibri"/>
          <w:szCs w:val="20"/>
        </w:rPr>
      </w:pPr>
      <w:r w:rsidRPr="005A1727">
        <w:rPr>
          <w:rFonts w:eastAsia="Aptos" w:cs="Calibri"/>
          <w:szCs w:val="20"/>
        </w:rPr>
        <w:t>Não há produtores exclusivamente de manga. Em geral, todos produzem produtos diversos, seja de culturas permanentes como o caju ou lima, ou colheitas temporárias, como mancarra (amendoim), entre outros. No caso dos microprocessadores, eles produzem mais de vinte produtos, dos quais o sumo de manga é apenas um deles e de forma alguma o mais importante. Nesse sentido, a rentabilidade da produção de manga deve ser combinada com a de outros productos.</w:t>
      </w:r>
    </w:p>
    <w:p w14:paraId="72D40116" w14:textId="3B5AFEB0" w:rsidR="00BF4113" w:rsidRPr="005A1727" w:rsidRDefault="00BF4113" w:rsidP="00E042D7">
      <w:pPr>
        <w:pStyle w:val="ListParagraph"/>
        <w:numPr>
          <w:ilvl w:val="0"/>
          <w:numId w:val="45"/>
        </w:numPr>
        <w:rPr>
          <w:rFonts w:eastAsia="Aptos" w:cs="Calibri"/>
          <w:szCs w:val="20"/>
        </w:rPr>
      </w:pPr>
      <w:r w:rsidRPr="005A1727">
        <w:rPr>
          <w:rFonts w:eastAsia="Aptos" w:cs="Calibri"/>
          <w:szCs w:val="20"/>
        </w:rPr>
        <w:t>Nenhum tipo de actor tem perdas.</w:t>
      </w:r>
    </w:p>
    <w:p w14:paraId="4A3A99C2" w14:textId="77777777" w:rsidR="00BF4113" w:rsidRDefault="00BF4113" w:rsidP="00BF4113">
      <w:pPr>
        <w:pStyle w:val="ListParagraph"/>
        <w:ind w:left="284"/>
        <w:rPr>
          <w:rFonts w:eastAsia="Aptos" w:cs="Calibri"/>
          <w:sz w:val="18"/>
          <w:szCs w:val="18"/>
        </w:rPr>
      </w:pPr>
    </w:p>
    <w:p w14:paraId="7F50CBD7" w14:textId="77777777" w:rsidR="005A1727" w:rsidRPr="005A1727" w:rsidRDefault="005A1727" w:rsidP="00BF4113">
      <w:pPr>
        <w:pStyle w:val="ListParagraph"/>
        <w:ind w:left="284"/>
        <w:rPr>
          <w:rFonts w:eastAsia="Aptos" w:cs="Calibri"/>
          <w:sz w:val="18"/>
          <w:szCs w:val="18"/>
        </w:rPr>
      </w:pPr>
    </w:p>
    <w:tbl>
      <w:tblPr>
        <w:tblStyle w:val="Tablaconcuadrcula1"/>
        <w:tblW w:w="9072" w:type="dxa"/>
        <w:tblInd w:w="-5" w:type="dxa"/>
        <w:tblLayout w:type="fixed"/>
        <w:tblLook w:val="04A0" w:firstRow="1" w:lastRow="0" w:firstColumn="1" w:lastColumn="0" w:noHBand="0" w:noVBand="1"/>
      </w:tblPr>
      <w:tblGrid>
        <w:gridCol w:w="1701"/>
        <w:gridCol w:w="993"/>
        <w:gridCol w:w="1134"/>
        <w:gridCol w:w="850"/>
        <w:gridCol w:w="992"/>
        <w:gridCol w:w="1134"/>
        <w:gridCol w:w="1276"/>
        <w:gridCol w:w="992"/>
      </w:tblGrid>
      <w:tr w:rsidR="00FB6898" w:rsidRPr="00646EF9" w14:paraId="5FC6F220" w14:textId="77777777" w:rsidTr="00FA54E0">
        <w:tc>
          <w:tcPr>
            <w:tcW w:w="1701" w:type="dxa"/>
            <w:shd w:val="clear" w:color="auto" w:fill="336666"/>
            <w:vAlign w:val="center"/>
          </w:tcPr>
          <w:p w14:paraId="45298F8D" w14:textId="77777777" w:rsidR="00BF4113" w:rsidRPr="004B6B4A" w:rsidRDefault="00BF4113" w:rsidP="005A1727">
            <w:pPr>
              <w:jc w:val="center"/>
              <w:rPr>
                <w:rFonts w:cs="Calibri"/>
                <w:b/>
                <w:bCs/>
                <w:color w:val="FFFFFF" w:themeColor="background1"/>
                <w:sz w:val="18"/>
                <w:szCs w:val="18"/>
                <w:lang w:val="pt-BR"/>
              </w:rPr>
            </w:pPr>
          </w:p>
          <w:p w14:paraId="6674F986" w14:textId="77777777" w:rsidR="00BF4113" w:rsidRPr="005A1727" w:rsidRDefault="00BF4113" w:rsidP="005A1727">
            <w:pPr>
              <w:jc w:val="center"/>
              <w:rPr>
                <w:rFonts w:cs="Calibri"/>
                <w:b/>
                <w:bCs/>
                <w:color w:val="FFFFFF" w:themeColor="background1"/>
                <w:sz w:val="18"/>
                <w:szCs w:val="18"/>
              </w:rPr>
            </w:pPr>
            <w:r w:rsidRPr="005A1727">
              <w:rPr>
                <w:b/>
                <w:bCs/>
                <w:color w:val="FFFFFF" w:themeColor="background1"/>
              </w:rPr>
              <w:t>Ator</w:t>
            </w:r>
          </w:p>
        </w:tc>
        <w:tc>
          <w:tcPr>
            <w:tcW w:w="993" w:type="dxa"/>
            <w:shd w:val="clear" w:color="auto" w:fill="336666"/>
            <w:vAlign w:val="center"/>
          </w:tcPr>
          <w:p w14:paraId="309579B3" w14:textId="77777777" w:rsidR="00BF4113" w:rsidRPr="005A1727" w:rsidRDefault="00BF4113" w:rsidP="005A1727">
            <w:pPr>
              <w:jc w:val="center"/>
              <w:rPr>
                <w:rFonts w:cs="Calibri"/>
                <w:b/>
                <w:bCs/>
                <w:color w:val="FFFFFF" w:themeColor="background1"/>
                <w:sz w:val="18"/>
                <w:szCs w:val="18"/>
              </w:rPr>
            </w:pPr>
            <w:proofErr w:type="spellStart"/>
            <w:r w:rsidRPr="005A1727">
              <w:rPr>
                <w:rFonts w:cs="Calibri"/>
                <w:b/>
                <w:bCs/>
                <w:color w:val="FFFFFF" w:themeColor="background1"/>
                <w:sz w:val="18"/>
                <w:szCs w:val="18"/>
              </w:rPr>
              <w:t>Produção</w:t>
            </w:r>
            <w:proofErr w:type="spellEnd"/>
          </w:p>
        </w:tc>
        <w:tc>
          <w:tcPr>
            <w:tcW w:w="1134" w:type="dxa"/>
            <w:shd w:val="clear" w:color="auto" w:fill="336666"/>
            <w:vAlign w:val="center"/>
          </w:tcPr>
          <w:p w14:paraId="716A90B5" w14:textId="77777777" w:rsidR="00BF4113" w:rsidRPr="005A1727" w:rsidRDefault="00BF4113" w:rsidP="005A1727">
            <w:pPr>
              <w:jc w:val="center"/>
              <w:rPr>
                <w:rFonts w:cs="Calibri"/>
                <w:b/>
                <w:bCs/>
                <w:color w:val="FFFFFF" w:themeColor="background1"/>
                <w:sz w:val="18"/>
                <w:szCs w:val="18"/>
              </w:rPr>
            </w:pPr>
            <w:r w:rsidRPr="005A1727">
              <w:rPr>
                <w:rFonts w:cs="Calibri"/>
                <w:b/>
                <w:bCs/>
                <w:color w:val="FFFFFF" w:themeColor="background1"/>
                <w:sz w:val="18"/>
                <w:szCs w:val="18"/>
              </w:rPr>
              <w:t xml:space="preserve">Consumo </w:t>
            </w:r>
            <w:proofErr w:type="spellStart"/>
            <w:r w:rsidRPr="005A1727">
              <w:rPr>
                <w:rFonts w:cs="Calibri"/>
                <w:b/>
                <w:bCs/>
                <w:color w:val="FFFFFF" w:themeColor="background1"/>
                <w:sz w:val="18"/>
                <w:szCs w:val="18"/>
              </w:rPr>
              <w:t>Intermédio</w:t>
            </w:r>
            <w:proofErr w:type="spellEnd"/>
          </w:p>
        </w:tc>
        <w:tc>
          <w:tcPr>
            <w:tcW w:w="850" w:type="dxa"/>
            <w:shd w:val="clear" w:color="auto" w:fill="336666"/>
            <w:vAlign w:val="center"/>
          </w:tcPr>
          <w:p w14:paraId="203E50F0" w14:textId="77777777" w:rsidR="00BF4113" w:rsidRPr="005A1727" w:rsidRDefault="00BF4113" w:rsidP="005A1727">
            <w:pPr>
              <w:jc w:val="center"/>
              <w:rPr>
                <w:rFonts w:cs="Calibri"/>
                <w:b/>
                <w:bCs/>
                <w:color w:val="FFFFFF" w:themeColor="background1"/>
                <w:sz w:val="18"/>
                <w:szCs w:val="18"/>
              </w:rPr>
            </w:pPr>
            <w:proofErr w:type="spellStart"/>
            <w:r w:rsidRPr="005A1727">
              <w:rPr>
                <w:rFonts w:cs="Calibri"/>
                <w:b/>
                <w:bCs/>
                <w:color w:val="FFFFFF" w:themeColor="background1"/>
                <w:sz w:val="18"/>
                <w:szCs w:val="18"/>
              </w:rPr>
              <w:t>Salários</w:t>
            </w:r>
            <w:proofErr w:type="spellEnd"/>
          </w:p>
        </w:tc>
        <w:tc>
          <w:tcPr>
            <w:tcW w:w="992" w:type="dxa"/>
            <w:shd w:val="clear" w:color="auto" w:fill="336666"/>
            <w:vAlign w:val="center"/>
          </w:tcPr>
          <w:p w14:paraId="11B3D14B" w14:textId="77777777" w:rsidR="00BF4113" w:rsidRPr="005A1727" w:rsidRDefault="00BF4113" w:rsidP="005A1727">
            <w:pPr>
              <w:jc w:val="center"/>
              <w:rPr>
                <w:rFonts w:cs="Calibri"/>
                <w:b/>
                <w:bCs/>
                <w:color w:val="FFFFFF" w:themeColor="background1"/>
                <w:sz w:val="18"/>
                <w:szCs w:val="18"/>
              </w:rPr>
            </w:pPr>
            <w:proofErr w:type="spellStart"/>
            <w:r w:rsidRPr="005A1727">
              <w:rPr>
                <w:rFonts w:cs="Calibri"/>
                <w:b/>
                <w:bCs/>
                <w:color w:val="FFFFFF" w:themeColor="background1"/>
                <w:sz w:val="18"/>
                <w:szCs w:val="18"/>
              </w:rPr>
              <w:t>Impostos</w:t>
            </w:r>
            <w:proofErr w:type="spellEnd"/>
          </w:p>
        </w:tc>
        <w:tc>
          <w:tcPr>
            <w:tcW w:w="1134" w:type="dxa"/>
            <w:shd w:val="clear" w:color="auto" w:fill="336666"/>
            <w:vAlign w:val="center"/>
          </w:tcPr>
          <w:p w14:paraId="3A70F660" w14:textId="77777777" w:rsidR="00BF4113" w:rsidRPr="005A1727" w:rsidRDefault="00BF4113" w:rsidP="005A1727">
            <w:pPr>
              <w:jc w:val="center"/>
              <w:rPr>
                <w:rFonts w:cs="Calibri"/>
                <w:b/>
                <w:bCs/>
                <w:color w:val="FFFFFF" w:themeColor="background1"/>
                <w:sz w:val="18"/>
                <w:szCs w:val="18"/>
              </w:rPr>
            </w:pPr>
            <w:proofErr w:type="spellStart"/>
            <w:r w:rsidRPr="005A1727">
              <w:rPr>
                <w:rFonts w:cs="Calibri"/>
                <w:b/>
                <w:bCs/>
                <w:color w:val="FFFFFF" w:themeColor="background1"/>
                <w:sz w:val="18"/>
                <w:szCs w:val="18"/>
              </w:rPr>
              <w:t>Custos</w:t>
            </w:r>
            <w:proofErr w:type="spellEnd"/>
          </w:p>
          <w:p w14:paraId="1AA88955" w14:textId="77777777" w:rsidR="00BF4113" w:rsidRPr="005A1727" w:rsidRDefault="00BF4113" w:rsidP="005A1727">
            <w:pPr>
              <w:jc w:val="center"/>
              <w:rPr>
                <w:rFonts w:cs="Calibri"/>
                <w:b/>
                <w:bCs/>
                <w:color w:val="FFFFFF" w:themeColor="background1"/>
                <w:sz w:val="18"/>
                <w:szCs w:val="18"/>
              </w:rPr>
            </w:pPr>
            <w:proofErr w:type="spellStart"/>
            <w:r w:rsidRPr="005A1727">
              <w:rPr>
                <w:rFonts w:cs="Calibri"/>
                <w:b/>
                <w:bCs/>
                <w:color w:val="FFFFFF" w:themeColor="background1"/>
                <w:sz w:val="18"/>
                <w:szCs w:val="18"/>
              </w:rPr>
              <w:t>financeiros</w:t>
            </w:r>
            <w:proofErr w:type="spellEnd"/>
          </w:p>
        </w:tc>
        <w:tc>
          <w:tcPr>
            <w:tcW w:w="1276" w:type="dxa"/>
            <w:shd w:val="clear" w:color="auto" w:fill="336666"/>
            <w:vAlign w:val="center"/>
          </w:tcPr>
          <w:p w14:paraId="4EA94E28" w14:textId="77777777" w:rsidR="00BF4113" w:rsidRPr="005A1727" w:rsidRDefault="00BF4113" w:rsidP="005A1727">
            <w:pPr>
              <w:jc w:val="center"/>
              <w:rPr>
                <w:rFonts w:cs="Calibri"/>
                <w:b/>
                <w:bCs/>
                <w:color w:val="FFFFFF" w:themeColor="background1"/>
                <w:sz w:val="18"/>
                <w:szCs w:val="18"/>
              </w:rPr>
            </w:pPr>
            <w:proofErr w:type="spellStart"/>
            <w:r w:rsidRPr="005A1727">
              <w:rPr>
                <w:rFonts w:cs="Calibri"/>
                <w:b/>
                <w:bCs/>
                <w:color w:val="FFFFFF" w:themeColor="background1"/>
                <w:sz w:val="18"/>
                <w:szCs w:val="18"/>
              </w:rPr>
              <w:t>Amortização</w:t>
            </w:r>
            <w:proofErr w:type="spellEnd"/>
          </w:p>
        </w:tc>
        <w:tc>
          <w:tcPr>
            <w:tcW w:w="992" w:type="dxa"/>
            <w:shd w:val="clear" w:color="auto" w:fill="336666"/>
            <w:vAlign w:val="center"/>
          </w:tcPr>
          <w:p w14:paraId="50282AEC" w14:textId="77777777" w:rsidR="00BF4113" w:rsidRPr="005A1727" w:rsidRDefault="00BF4113" w:rsidP="005A1727">
            <w:pPr>
              <w:jc w:val="center"/>
              <w:rPr>
                <w:rFonts w:cs="Calibri"/>
                <w:b/>
                <w:bCs/>
                <w:color w:val="FFFFFF" w:themeColor="background1"/>
                <w:sz w:val="18"/>
                <w:szCs w:val="18"/>
              </w:rPr>
            </w:pPr>
            <w:r w:rsidRPr="005A1727">
              <w:rPr>
                <w:rFonts w:cs="Calibri"/>
                <w:b/>
                <w:bCs/>
                <w:color w:val="FFFFFF" w:themeColor="background1"/>
                <w:sz w:val="18"/>
                <w:szCs w:val="18"/>
              </w:rPr>
              <w:t>Lucro</w:t>
            </w:r>
          </w:p>
          <w:p w14:paraId="30038A22" w14:textId="77777777" w:rsidR="00BF4113" w:rsidRPr="005A1727" w:rsidRDefault="00BF4113" w:rsidP="005A1727">
            <w:pPr>
              <w:jc w:val="center"/>
              <w:rPr>
                <w:rFonts w:cs="Calibri"/>
                <w:b/>
                <w:bCs/>
                <w:color w:val="FFFFFF" w:themeColor="background1"/>
                <w:sz w:val="18"/>
                <w:szCs w:val="18"/>
              </w:rPr>
            </w:pPr>
            <w:r w:rsidRPr="005A1727">
              <w:rPr>
                <w:rFonts w:cs="Calibri"/>
                <w:b/>
                <w:bCs/>
                <w:color w:val="FFFFFF" w:themeColor="background1"/>
                <w:sz w:val="18"/>
                <w:szCs w:val="18"/>
              </w:rPr>
              <w:t>Operativo</w:t>
            </w:r>
          </w:p>
          <w:p w14:paraId="12D7117F" w14:textId="0A327946" w:rsidR="00BF4113" w:rsidRPr="005A1727" w:rsidRDefault="00BF4113" w:rsidP="005A1727">
            <w:pPr>
              <w:jc w:val="center"/>
              <w:rPr>
                <w:rFonts w:cs="Calibri"/>
                <w:b/>
                <w:bCs/>
                <w:color w:val="FFFFFF" w:themeColor="background1"/>
                <w:sz w:val="18"/>
                <w:szCs w:val="18"/>
              </w:rPr>
            </w:pPr>
            <w:r w:rsidRPr="005A1727">
              <w:rPr>
                <w:rFonts w:cs="Calibri"/>
                <w:b/>
                <w:bCs/>
                <w:color w:val="FFFFFF" w:themeColor="background1"/>
                <w:sz w:val="18"/>
                <w:szCs w:val="18"/>
              </w:rPr>
              <w:t>Líquido</w:t>
            </w:r>
          </w:p>
        </w:tc>
      </w:tr>
      <w:tr w:rsidR="00FB6898" w:rsidRPr="00646EF9" w14:paraId="3FE491B7" w14:textId="77777777" w:rsidTr="00FB6898">
        <w:tc>
          <w:tcPr>
            <w:tcW w:w="1701" w:type="dxa"/>
          </w:tcPr>
          <w:p w14:paraId="6E43B048" w14:textId="77777777" w:rsidR="00BF4113" w:rsidRPr="00DB4296" w:rsidRDefault="00BF4113" w:rsidP="00486683">
            <w:pPr>
              <w:rPr>
                <w:sz w:val="18"/>
                <w:szCs w:val="18"/>
              </w:rPr>
            </w:pPr>
            <w:r w:rsidRPr="00DB4296">
              <w:rPr>
                <w:sz w:val="18"/>
                <w:szCs w:val="18"/>
              </w:rPr>
              <w:t xml:space="preserve">Grande </w:t>
            </w:r>
            <w:proofErr w:type="spellStart"/>
            <w:r w:rsidRPr="00DB4296">
              <w:rPr>
                <w:sz w:val="18"/>
                <w:szCs w:val="18"/>
              </w:rPr>
              <w:t>produtor</w:t>
            </w:r>
            <w:proofErr w:type="spellEnd"/>
          </w:p>
        </w:tc>
        <w:tc>
          <w:tcPr>
            <w:tcW w:w="993" w:type="dxa"/>
          </w:tcPr>
          <w:p w14:paraId="35CEA142" w14:textId="77777777" w:rsidR="00BF4113" w:rsidRDefault="00BF4113" w:rsidP="005A1727">
            <w:pPr>
              <w:jc w:val="center"/>
              <w:rPr>
                <w:sz w:val="18"/>
                <w:szCs w:val="18"/>
              </w:rPr>
            </w:pPr>
            <w:r>
              <w:rPr>
                <w:sz w:val="18"/>
                <w:szCs w:val="18"/>
              </w:rPr>
              <w:t>962</w:t>
            </w:r>
          </w:p>
        </w:tc>
        <w:tc>
          <w:tcPr>
            <w:tcW w:w="1134" w:type="dxa"/>
          </w:tcPr>
          <w:p w14:paraId="530D386B" w14:textId="77777777" w:rsidR="00BF4113" w:rsidRDefault="00BF4113" w:rsidP="005A1727">
            <w:pPr>
              <w:jc w:val="center"/>
              <w:rPr>
                <w:sz w:val="18"/>
                <w:szCs w:val="18"/>
              </w:rPr>
            </w:pPr>
            <w:r>
              <w:rPr>
                <w:sz w:val="18"/>
                <w:szCs w:val="18"/>
              </w:rPr>
              <w:t>484</w:t>
            </w:r>
          </w:p>
        </w:tc>
        <w:tc>
          <w:tcPr>
            <w:tcW w:w="850" w:type="dxa"/>
          </w:tcPr>
          <w:p w14:paraId="3D3A39BD" w14:textId="77777777" w:rsidR="00BF4113" w:rsidRDefault="00BF4113" w:rsidP="005A1727">
            <w:pPr>
              <w:jc w:val="center"/>
              <w:rPr>
                <w:sz w:val="18"/>
                <w:szCs w:val="18"/>
              </w:rPr>
            </w:pPr>
            <w:r>
              <w:rPr>
                <w:sz w:val="18"/>
                <w:szCs w:val="18"/>
              </w:rPr>
              <w:t>44</w:t>
            </w:r>
          </w:p>
        </w:tc>
        <w:tc>
          <w:tcPr>
            <w:tcW w:w="992" w:type="dxa"/>
          </w:tcPr>
          <w:p w14:paraId="7DC5CB78" w14:textId="77777777" w:rsidR="00BF4113" w:rsidRDefault="00BF4113" w:rsidP="005A1727">
            <w:pPr>
              <w:jc w:val="center"/>
              <w:rPr>
                <w:sz w:val="18"/>
                <w:szCs w:val="18"/>
              </w:rPr>
            </w:pPr>
            <w:r>
              <w:rPr>
                <w:sz w:val="18"/>
                <w:szCs w:val="18"/>
              </w:rPr>
              <w:t>0</w:t>
            </w:r>
          </w:p>
        </w:tc>
        <w:tc>
          <w:tcPr>
            <w:tcW w:w="1134" w:type="dxa"/>
          </w:tcPr>
          <w:p w14:paraId="281BA332" w14:textId="77777777" w:rsidR="00BF4113" w:rsidRDefault="00BF4113" w:rsidP="005A1727">
            <w:pPr>
              <w:jc w:val="center"/>
              <w:rPr>
                <w:sz w:val="18"/>
                <w:szCs w:val="18"/>
              </w:rPr>
            </w:pPr>
            <w:r>
              <w:rPr>
                <w:sz w:val="18"/>
                <w:szCs w:val="18"/>
              </w:rPr>
              <w:t>0</w:t>
            </w:r>
          </w:p>
        </w:tc>
        <w:tc>
          <w:tcPr>
            <w:tcW w:w="1276" w:type="dxa"/>
          </w:tcPr>
          <w:p w14:paraId="47507E85" w14:textId="77777777" w:rsidR="00BF4113" w:rsidRDefault="00BF4113" w:rsidP="005A1727">
            <w:pPr>
              <w:jc w:val="center"/>
              <w:rPr>
                <w:sz w:val="18"/>
                <w:szCs w:val="18"/>
              </w:rPr>
            </w:pPr>
            <w:r>
              <w:rPr>
                <w:sz w:val="18"/>
                <w:szCs w:val="18"/>
              </w:rPr>
              <w:t>10</w:t>
            </w:r>
          </w:p>
        </w:tc>
        <w:tc>
          <w:tcPr>
            <w:tcW w:w="992" w:type="dxa"/>
          </w:tcPr>
          <w:p w14:paraId="7612877C" w14:textId="77777777" w:rsidR="00BF4113" w:rsidRDefault="00BF4113" w:rsidP="005A1727">
            <w:pPr>
              <w:jc w:val="center"/>
              <w:rPr>
                <w:sz w:val="18"/>
                <w:szCs w:val="18"/>
              </w:rPr>
            </w:pPr>
            <w:r>
              <w:rPr>
                <w:sz w:val="18"/>
                <w:szCs w:val="18"/>
              </w:rPr>
              <w:t>424</w:t>
            </w:r>
          </w:p>
        </w:tc>
      </w:tr>
      <w:tr w:rsidR="00FB6898" w:rsidRPr="00646EF9" w14:paraId="61BED5B2" w14:textId="77777777" w:rsidTr="00FB6898">
        <w:tc>
          <w:tcPr>
            <w:tcW w:w="1701" w:type="dxa"/>
          </w:tcPr>
          <w:p w14:paraId="3EB6E216" w14:textId="77777777" w:rsidR="00BF4113" w:rsidRPr="00646EF9" w:rsidRDefault="00BF4113" w:rsidP="00486683">
            <w:pPr>
              <w:rPr>
                <w:sz w:val="18"/>
                <w:szCs w:val="18"/>
              </w:rPr>
            </w:pPr>
            <w:r w:rsidRPr="00DB4296">
              <w:rPr>
                <w:sz w:val="18"/>
                <w:szCs w:val="18"/>
              </w:rPr>
              <w:t xml:space="preserve">Mediano </w:t>
            </w:r>
            <w:proofErr w:type="spellStart"/>
            <w:r w:rsidRPr="00DB4296">
              <w:rPr>
                <w:sz w:val="18"/>
                <w:szCs w:val="18"/>
              </w:rPr>
              <w:t>produtor</w:t>
            </w:r>
            <w:proofErr w:type="spellEnd"/>
          </w:p>
        </w:tc>
        <w:tc>
          <w:tcPr>
            <w:tcW w:w="993" w:type="dxa"/>
          </w:tcPr>
          <w:p w14:paraId="090C4036" w14:textId="77777777" w:rsidR="00BF4113" w:rsidRPr="00646EF9" w:rsidRDefault="00BF4113" w:rsidP="005A1727">
            <w:pPr>
              <w:jc w:val="center"/>
              <w:rPr>
                <w:sz w:val="18"/>
                <w:szCs w:val="18"/>
              </w:rPr>
            </w:pPr>
            <w:r>
              <w:rPr>
                <w:sz w:val="18"/>
                <w:szCs w:val="18"/>
              </w:rPr>
              <w:t>716</w:t>
            </w:r>
          </w:p>
        </w:tc>
        <w:tc>
          <w:tcPr>
            <w:tcW w:w="1134" w:type="dxa"/>
          </w:tcPr>
          <w:p w14:paraId="3607FF68" w14:textId="77777777" w:rsidR="00BF4113" w:rsidRPr="00646EF9" w:rsidRDefault="00BF4113" w:rsidP="005A1727">
            <w:pPr>
              <w:jc w:val="center"/>
              <w:rPr>
                <w:sz w:val="18"/>
                <w:szCs w:val="18"/>
              </w:rPr>
            </w:pPr>
            <w:r>
              <w:rPr>
                <w:sz w:val="18"/>
                <w:szCs w:val="18"/>
              </w:rPr>
              <w:t>366</w:t>
            </w:r>
          </w:p>
        </w:tc>
        <w:tc>
          <w:tcPr>
            <w:tcW w:w="850" w:type="dxa"/>
          </w:tcPr>
          <w:p w14:paraId="6BDDFD90" w14:textId="77777777" w:rsidR="00BF4113" w:rsidRPr="00646EF9" w:rsidRDefault="00BF4113" w:rsidP="005A1727">
            <w:pPr>
              <w:jc w:val="center"/>
              <w:rPr>
                <w:sz w:val="18"/>
                <w:szCs w:val="18"/>
              </w:rPr>
            </w:pPr>
            <w:r>
              <w:rPr>
                <w:sz w:val="18"/>
                <w:szCs w:val="18"/>
              </w:rPr>
              <w:t>85</w:t>
            </w:r>
          </w:p>
        </w:tc>
        <w:tc>
          <w:tcPr>
            <w:tcW w:w="992" w:type="dxa"/>
          </w:tcPr>
          <w:p w14:paraId="3E5573C6" w14:textId="77777777" w:rsidR="00BF4113" w:rsidRPr="00646EF9" w:rsidRDefault="00BF4113" w:rsidP="005A1727">
            <w:pPr>
              <w:jc w:val="center"/>
              <w:rPr>
                <w:sz w:val="18"/>
                <w:szCs w:val="18"/>
              </w:rPr>
            </w:pPr>
            <w:r>
              <w:rPr>
                <w:sz w:val="18"/>
                <w:szCs w:val="18"/>
              </w:rPr>
              <w:t>0</w:t>
            </w:r>
          </w:p>
        </w:tc>
        <w:tc>
          <w:tcPr>
            <w:tcW w:w="1134" w:type="dxa"/>
          </w:tcPr>
          <w:p w14:paraId="6F475382" w14:textId="77777777" w:rsidR="00BF4113" w:rsidRPr="00646EF9" w:rsidRDefault="00BF4113" w:rsidP="005A1727">
            <w:pPr>
              <w:jc w:val="center"/>
              <w:rPr>
                <w:sz w:val="18"/>
                <w:szCs w:val="18"/>
              </w:rPr>
            </w:pPr>
            <w:r>
              <w:rPr>
                <w:sz w:val="18"/>
                <w:szCs w:val="18"/>
              </w:rPr>
              <w:t>0</w:t>
            </w:r>
          </w:p>
        </w:tc>
        <w:tc>
          <w:tcPr>
            <w:tcW w:w="1276" w:type="dxa"/>
          </w:tcPr>
          <w:p w14:paraId="1E5BA79A" w14:textId="77777777" w:rsidR="00BF4113" w:rsidRPr="00646EF9" w:rsidRDefault="00BF4113" w:rsidP="005A1727">
            <w:pPr>
              <w:jc w:val="center"/>
              <w:rPr>
                <w:sz w:val="18"/>
                <w:szCs w:val="18"/>
              </w:rPr>
            </w:pPr>
            <w:r>
              <w:rPr>
                <w:sz w:val="18"/>
                <w:szCs w:val="18"/>
              </w:rPr>
              <w:t>10</w:t>
            </w:r>
          </w:p>
        </w:tc>
        <w:tc>
          <w:tcPr>
            <w:tcW w:w="992" w:type="dxa"/>
          </w:tcPr>
          <w:p w14:paraId="3D397EB6" w14:textId="77777777" w:rsidR="00BF4113" w:rsidRPr="00646EF9" w:rsidRDefault="00BF4113" w:rsidP="005A1727">
            <w:pPr>
              <w:jc w:val="center"/>
              <w:rPr>
                <w:sz w:val="18"/>
                <w:szCs w:val="18"/>
              </w:rPr>
            </w:pPr>
            <w:r>
              <w:rPr>
                <w:sz w:val="18"/>
                <w:szCs w:val="18"/>
              </w:rPr>
              <w:t>255</w:t>
            </w:r>
          </w:p>
        </w:tc>
      </w:tr>
      <w:tr w:rsidR="00FB6898" w:rsidRPr="00646EF9" w14:paraId="41D4C224" w14:textId="77777777" w:rsidTr="00FB6898">
        <w:tc>
          <w:tcPr>
            <w:tcW w:w="1701" w:type="dxa"/>
          </w:tcPr>
          <w:p w14:paraId="7118F5BD" w14:textId="77777777" w:rsidR="00BF4113" w:rsidRPr="00646EF9" w:rsidRDefault="00BF4113" w:rsidP="00486683">
            <w:pPr>
              <w:rPr>
                <w:rFonts w:cs="Open Sans"/>
                <w:sz w:val="18"/>
                <w:szCs w:val="18"/>
              </w:rPr>
            </w:pPr>
            <w:r w:rsidRPr="00DB4296">
              <w:rPr>
                <w:rFonts w:cs="Open Sans"/>
                <w:sz w:val="18"/>
                <w:szCs w:val="18"/>
              </w:rPr>
              <w:t xml:space="preserve">Pequeno </w:t>
            </w:r>
            <w:proofErr w:type="spellStart"/>
            <w:r w:rsidRPr="00DB4296">
              <w:rPr>
                <w:rFonts w:cs="Open Sans"/>
                <w:sz w:val="18"/>
                <w:szCs w:val="18"/>
              </w:rPr>
              <w:t>produtor</w:t>
            </w:r>
            <w:proofErr w:type="spellEnd"/>
          </w:p>
        </w:tc>
        <w:tc>
          <w:tcPr>
            <w:tcW w:w="993" w:type="dxa"/>
          </w:tcPr>
          <w:p w14:paraId="659838F6" w14:textId="77777777" w:rsidR="00BF4113" w:rsidRPr="00646EF9" w:rsidRDefault="00BF4113" w:rsidP="005A1727">
            <w:pPr>
              <w:jc w:val="center"/>
              <w:rPr>
                <w:sz w:val="18"/>
                <w:szCs w:val="18"/>
              </w:rPr>
            </w:pPr>
            <w:r>
              <w:rPr>
                <w:sz w:val="18"/>
                <w:szCs w:val="18"/>
              </w:rPr>
              <w:t>886</w:t>
            </w:r>
          </w:p>
        </w:tc>
        <w:tc>
          <w:tcPr>
            <w:tcW w:w="1134" w:type="dxa"/>
          </w:tcPr>
          <w:p w14:paraId="1BCE2563" w14:textId="77777777" w:rsidR="00BF4113" w:rsidRPr="00646EF9" w:rsidRDefault="00BF4113" w:rsidP="005A1727">
            <w:pPr>
              <w:jc w:val="center"/>
              <w:rPr>
                <w:sz w:val="18"/>
                <w:szCs w:val="18"/>
              </w:rPr>
            </w:pPr>
            <w:r>
              <w:rPr>
                <w:sz w:val="18"/>
                <w:szCs w:val="18"/>
              </w:rPr>
              <w:t>452</w:t>
            </w:r>
          </w:p>
        </w:tc>
        <w:tc>
          <w:tcPr>
            <w:tcW w:w="850" w:type="dxa"/>
          </w:tcPr>
          <w:p w14:paraId="4E7D0FA5" w14:textId="77777777" w:rsidR="00BF4113" w:rsidRPr="00646EF9" w:rsidRDefault="00BF4113" w:rsidP="005A1727">
            <w:pPr>
              <w:jc w:val="center"/>
              <w:rPr>
                <w:sz w:val="18"/>
                <w:szCs w:val="18"/>
              </w:rPr>
            </w:pPr>
            <w:r>
              <w:rPr>
                <w:sz w:val="18"/>
                <w:szCs w:val="18"/>
              </w:rPr>
              <w:t>117</w:t>
            </w:r>
          </w:p>
        </w:tc>
        <w:tc>
          <w:tcPr>
            <w:tcW w:w="992" w:type="dxa"/>
          </w:tcPr>
          <w:p w14:paraId="2ECE0E20" w14:textId="77777777" w:rsidR="00BF4113" w:rsidRPr="00646EF9" w:rsidRDefault="00BF4113" w:rsidP="005A1727">
            <w:pPr>
              <w:jc w:val="center"/>
              <w:rPr>
                <w:sz w:val="18"/>
                <w:szCs w:val="18"/>
              </w:rPr>
            </w:pPr>
            <w:r>
              <w:rPr>
                <w:sz w:val="18"/>
                <w:szCs w:val="18"/>
              </w:rPr>
              <w:t>0</w:t>
            </w:r>
          </w:p>
        </w:tc>
        <w:tc>
          <w:tcPr>
            <w:tcW w:w="1134" w:type="dxa"/>
          </w:tcPr>
          <w:p w14:paraId="3200ABA8" w14:textId="77777777" w:rsidR="00BF4113" w:rsidRPr="00646EF9" w:rsidRDefault="00BF4113" w:rsidP="005A1727">
            <w:pPr>
              <w:jc w:val="center"/>
              <w:rPr>
                <w:sz w:val="18"/>
                <w:szCs w:val="18"/>
              </w:rPr>
            </w:pPr>
            <w:r>
              <w:rPr>
                <w:sz w:val="18"/>
                <w:szCs w:val="18"/>
              </w:rPr>
              <w:t>0</w:t>
            </w:r>
          </w:p>
        </w:tc>
        <w:tc>
          <w:tcPr>
            <w:tcW w:w="1276" w:type="dxa"/>
          </w:tcPr>
          <w:p w14:paraId="5EC61130" w14:textId="77777777" w:rsidR="00BF4113" w:rsidRPr="00646EF9" w:rsidRDefault="00BF4113" w:rsidP="005A1727">
            <w:pPr>
              <w:jc w:val="center"/>
              <w:rPr>
                <w:sz w:val="18"/>
                <w:szCs w:val="18"/>
              </w:rPr>
            </w:pPr>
            <w:r>
              <w:rPr>
                <w:sz w:val="18"/>
                <w:szCs w:val="18"/>
              </w:rPr>
              <w:t>30</w:t>
            </w:r>
          </w:p>
        </w:tc>
        <w:tc>
          <w:tcPr>
            <w:tcW w:w="992" w:type="dxa"/>
          </w:tcPr>
          <w:p w14:paraId="6F8E5160" w14:textId="77777777" w:rsidR="00BF4113" w:rsidRPr="00646EF9" w:rsidRDefault="00BF4113" w:rsidP="005A1727">
            <w:pPr>
              <w:jc w:val="center"/>
              <w:rPr>
                <w:sz w:val="18"/>
                <w:szCs w:val="18"/>
              </w:rPr>
            </w:pPr>
            <w:r>
              <w:rPr>
                <w:sz w:val="18"/>
                <w:szCs w:val="18"/>
              </w:rPr>
              <w:t>287</w:t>
            </w:r>
          </w:p>
        </w:tc>
      </w:tr>
      <w:tr w:rsidR="00FB6898" w:rsidRPr="00646EF9" w14:paraId="2D1A23D0" w14:textId="77777777" w:rsidTr="00FB6898">
        <w:tc>
          <w:tcPr>
            <w:tcW w:w="1701" w:type="dxa"/>
          </w:tcPr>
          <w:p w14:paraId="1A28B912" w14:textId="77777777" w:rsidR="00BF4113" w:rsidRPr="00646EF9" w:rsidRDefault="00BF4113" w:rsidP="00486683">
            <w:pPr>
              <w:rPr>
                <w:sz w:val="18"/>
                <w:szCs w:val="18"/>
              </w:rPr>
            </w:pPr>
            <w:proofErr w:type="spellStart"/>
            <w:r w:rsidRPr="00DB4296">
              <w:rPr>
                <w:sz w:val="18"/>
                <w:szCs w:val="18"/>
              </w:rPr>
              <w:t>Produtor</w:t>
            </w:r>
            <w:proofErr w:type="spellEnd"/>
            <w:r w:rsidRPr="00DB4296">
              <w:rPr>
                <w:sz w:val="18"/>
                <w:szCs w:val="18"/>
              </w:rPr>
              <w:t xml:space="preserve"> familiar</w:t>
            </w:r>
          </w:p>
        </w:tc>
        <w:tc>
          <w:tcPr>
            <w:tcW w:w="993" w:type="dxa"/>
          </w:tcPr>
          <w:p w14:paraId="2750A0C9" w14:textId="77777777" w:rsidR="00BF4113" w:rsidRPr="00646EF9" w:rsidRDefault="00BF4113" w:rsidP="005A1727">
            <w:pPr>
              <w:jc w:val="center"/>
              <w:rPr>
                <w:sz w:val="18"/>
                <w:szCs w:val="18"/>
              </w:rPr>
            </w:pPr>
            <w:r>
              <w:rPr>
                <w:sz w:val="18"/>
                <w:szCs w:val="18"/>
              </w:rPr>
              <w:t>1.001</w:t>
            </w:r>
          </w:p>
        </w:tc>
        <w:tc>
          <w:tcPr>
            <w:tcW w:w="1134" w:type="dxa"/>
          </w:tcPr>
          <w:p w14:paraId="5B35102A" w14:textId="77777777" w:rsidR="00BF4113" w:rsidRPr="00646EF9" w:rsidRDefault="00BF4113" w:rsidP="005A1727">
            <w:pPr>
              <w:jc w:val="center"/>
              <w:rPr>
                <w:sz w:val="18"/>
                <w:szCs w:val="18"/>
              </w:rPr>
            </w:pPr>
            <w:r>
              <w:rPr>
                <w:sz w:val="18"/>
                <w:szCs w:val="18"/>
              </w:rPr>
              <w:t>500</w:t>
            </w:r>
          </w:p>
        </w:tc>
        <w:tc>
          <w:tcPr>
            <w:tcW w:w="850" w:type="dxa"/>
          </w:tcPr>
          <w:p w14:paraId="1DBA1099" w14:textId="77777777" w:rsidR="00BF4113" w:rsidRPr="00646EF9" w:rsidRDefault="00BF4113" w:rsidP="005A1727">
            <w:pPr>
              <w:jc w:val="center"/>
              <w:rPr>
                <w:sz w:val="18"/>
                <w:szCs w:val="18"/>
              </w:rPr>
            </w:pPr>
            <w:r>
              <w:rPr>
                <w:sz w:val="18"/>
                <w:szCs w:val="18"/>
              </w:rPr>
              <w:t>334</w:t>
            </w:r>
          </w:p>
        </w:tc>
        <w:tc>
          <w:tcPr>
            <w:tcW w:w="992" w:type="dxa"/>
          </w:tcPr>
          <w:p w14:paraId="061B824C" w14:textId="77777777" w:rsidR="00BF4113" w:rsidRPr="00646EF9" w:rsidRDefault="00BF4113" w:rsidP="005A1727">
            <w:pPr>
              <w:jc w:val="center"/>
              <w:rPr>
                <w:sz w:val="18"/>
                <w:szCs w:val="18"/>
              </w:rPr>
            </w:pPr>
            <w:r>
              <w:rPr>
                <w:sz w:val="18"/>
                <w:szCs w:val="18"/>
              </w:rPr>
              <w:t>0</w:t>
            </w:r>
          </w:p>
        </w:tc>
        <w:tc>
          <w:tcPr>
            <w:tcW w:w="1134" w:type="dxa"/>
          </w:tcPr>
          <w:p w14:paraId="68624060" w14:textId="77777777" w:rsidR="00BF4113" w:rsidRPr="00646EF9" w:rsidRDefault="00BF4113" w:rsidP="005A1727">
            <w:pPr>
              <w:jc w:val="center"/>
              <w:rPr>
                <w:sz w:val="18"/>
                <w:szCs w:val="18"/>
              </w:rPr>
            </w:pPr>
            <w:r>
              <w:rPr>
                <w:sz w:val="18"/>
                <w:szCs w:val="18"/>
              </w:rPr>
              <w:t>0</w:t>
            </w:r>
          </w:p>
        </w:tc>
        <w:tc>
          <w:tcPr>
            <w:tcW w:w="1276" w:type="dxa"/>
          </w:tcPr>
          <w:p w14:paraId="1C4C8782" w14:textId="77777777" w:rsidR="00BF4113" w:rsidRPr="00646EF9" w:rsidRDefault="00BF4113" w:rsidP="005A1727">
            <w:pPr>
              <w:jc w:val="center"/>
              <w:rPr>
                <w:sz w:val="18"/>
                <w:szCs w:val="18"/>
              </w:rPr>
            </w:pPr>
            <w:r>
              <w:rPr>
                <w:sz w:val="18"/>
                <w:szCs w:val="18"/>
              </w:rPr>
              <w:t>87</w:t>
            </w:r>
          </w:p>
        </w:tc>
        <w:tc>
          <w:tcPr>
            <w:tcW w:w="992" w:type="dxa"/>
          </w:tcPr>
          <w:p w14:paraId="3EF73788" w14:textId="77777777" w:rsidR="00BF4113" w:rsidRPr="00646EF9" w:rsidRDefault="00BF4113" w:rsidP="005A1727">
            <w:pPr>
              <w:jc w:val="center"/>
              <w:rPr>
                <w:sz w:val="18"/>
                <w:szCs w:val="18"/>
              </w:rPr>
            </w:pPr>
            <w:r>
              <w:rPr>
                <w:sz w:val="18"/>
                <w:szCs w:val="18"/>
              </w:rPr>
              <w:t>79</w:t>
            </w:r>
          </w:p>
        </w:tc>
      </w:tr>
      <w:tr w:rsidR="00FB6898" w:rsidRPr="00646EF9" w14:paraId="59DEBC7C" w14:textId="77777777" w:rsidTr="00FB6898">
        <w:tc>
          <w:tcPr>
            <w:tcW w:w="1701" w:type="dxa"/>
          </w:tcPr>
          <w:p w14:paraId="5EDCC05F" w14:textId="77777777" w:rsidR="00BF4113" w:rsidRPr="00FB6898" w:rsidRDefault="00BF4113" w:rsidP="00486683">
            <w:pPr>
              <w:rPr>
                <w:sz w:val="16"/>
                <w:szCs w:val="16"/>
              </w:rPr>
            </w:pPr>
            <w:proofErr w:type="spellStart"/>
            <w:r w:rsidRPr="00FB6898">
              <w:rPr>
                <w:sz w:val="16"/>
                <w:szCs w:val="16"/>
              </w:rPr>
              <w:t>Microtransformador</w:t>
            </w:r>
            <w:proofErr w:type="spellEnd"/>
          </w:p>
        </w:tc>
        <w:tc>
          <w:tcPr>
            <w:tcW w:w="993" w:type="dxa"/>
          </w:tcPr>
          <w:p w14:paraId="55CCE63C" w14:textId="77777777" w:rsidR="00BF4113" w:rsidRPr="00646EF9" w:rsidRDefault="00BF4113" w:rsidP="005A1727">
            <w:pPr>
              <w:jc w:val="center"/>
              <w:rPr>
                <w:sz w:val="18"/>
                <w:szCs w:val="18"/>
              </w:rPr>
            </w:pPr>
            <w:r>
              <w:rPr>
                <w:sz w:val="18"/>
                <w:szCs w:val="18"/>
              </w:rPr>
              <w:t>60</w:t>
            </w:r>
          </w:p>
        </w:tc>
        <w:tc>
          <w:tcPr>
            <w:tcW w:w="1134" w:type="dxa"/>
          </w:tcPr>
          <w:p w14:paraId="30A970F4" w14:textId="77777777" w:rsidR="00BF4113" w:rsidRPr="00646EF9" w:rsidRDefault="00BF4113" w:rsidP="005A1727">
            <w:pPr>
              <w:jc w:val="center"/>
              <w:rPr>
                <w:sz w:val="18"/>
                <w:szCs w:val="18"/>
              </w:rPr>
            </w:pPr>
            <w:r>
              <w:rPr>
                <w:sz w:val="18"/>
                <w:szCs w:val="18"/>
              </w:rPr>
              <w:t>35</w:t>
            </w:r>
          </w:p>
        </w:tc>
        <w:tc>
          <w:tcPr>
            <w:tcW w:w="850" w:type="dxa"/>
          </w:tcPr>
          <w:p w14:paraId="6F5EFC5B" w14:textId="77777777" w:rsidR="00BF4113" w:rsidRPr="00646EF9" w:rsidRDefault="00BF4113" w:rsidP="005A1727">
            <w:pPr>
              <w:jc w:val="center"/>
              <w:rPr>
                <w:sz w:val="18"/>
                <w:szCs w:val="18"/>
              </w:rPr>
            </w:pPr>
            <w:r>
              <w:rPr>
                <w:sz w:val="18"/>
                <w:szCs w:val="18"/>
              </w:rPr>
              <w:t>8</w:t>
            </w:r>
          </w:p>
        </w:tc>
        <w:tc>
          <w:tcPr>
            <w:tcW w:w="992" w:type="dxa"/>
          </w:tcPr>
          <w:p w14:paraId="2A042659" w14:textId="77777777" w:rsidR="00BF4113" w:rsidRPr="00646EF9" w:rsidRDefault="00BF4113" w:rsidP="005A1727">
            <w:pPr>
              <w:jc w:val="center"/>
              <w:rPr>
                <w:sz w:val="18"/>
                <w:szCs w:val="18"/>
              </w:rPr>
            </w:pPr>
            <w:r>
              <w:rPr>
                <w:sz w:val="18"/>
                <w:szCs w:val="18"/>
              </w:rPr>
              <w:t>0</w:t>
            </w:r>
          </w:p>
        </w:tc>
        <w:tc>
          <w:tcPr>
            <w:tcW w:w="1134" w:type="dxa"/>
          </w:tcPr>
          <w:p w14:paraId="7C3FDE66" w14:textId="77777777" w:rsidR="00BF4113" w:rsidRPr="00646EF9" w:rsidRDefault="00BF4113" w:rsidP="005A1727">
            <w:pPr>
              <w:jc w:val="center"/>
              <w:rPr>
                <w:sz w:val="18"/>
                <w:szCs w:val="18"/>
              </w:rPr>
            </w:pPr>
            <w:r>
              <w:rPr>
                <w:sz w:val="18"/>
                <w:szCs w:val="18"/>
              </w:rPr>
              <w:t>0</w:t>
            </w:r>
          </w:p>
        </w:tc>
        <w:tc>
          <w:tcPr>
            <w:tcW w:w="1276" w:type="dxa"/>
          </w:tcPr>
          <w:p w14:paraId="3943E67E" w14:textId="77777777" w:rsidR="00BF4113" w:rsidRPr="00646EF9" w:rsidRDefault="00BF4113" w:rsidP="005A1727">
            <w:pPr>
              <w:jc w:val="center"/>
              <w:rPr>
                <w:sz w:val="18"/>
                <w:szCs w:val="18"/>
              </w:rPr>
            </w:pPr>
            <w:r>
              <w:rPr>
                <w:sz w:val="18"/>
                <w:szCs w:val="18"/>
              </w:rPr>
              <w:t>6</w:t>
            </w:r>
          </w:p>
        </w:tc>
        <w:tc>
          <w:tcPr>
            <w:tcW w:w="992" w:type="dxa"/>
          </w:tcPr>
          <w:p w14:paraId="7CEE37C7" w14:textId="77777777" w:rsidR="00BF4113" w:rsidRPr="00646EF9" w:rsidRDefault="00BF4113" w:rsidP="005A1727">
            <w:pPr>
              <w:jc w:val="center"/>
              <w:rPr>
                <w:sz w:val="18"/>
                <w:szCs w:val="18"/>
              </w:rPr>
            </w:pPr>
            <w:r>
              <w:rPr>
                <w:sz w:val="18"/>
                <w:szCs w:val="18"/>
              </w:rPr>
              <w:t>10</w:t>
            </w:r>
          </w:p>
        </w:tc>
      </w:tr>
      <w:tr w:rsidR="00FB6898" w:rsidRPr="00646EF9" w14:paraId="48BAC3C6" w14:textId="77777777" w:rsidTr="00FB6898">
        <w:tc>
          <w:tcPr>
            <w:tcW w:w="1701" w:type="dxa"/>
          </w:tcPr>
          <w:p w14:paraId="50F1D02A" w14:textId="77777777" w:rsidR="00BF4113" w:rsidRPr="00646EF9" w:rsidRDefault="00BF4113" w:rsidP="00486683">
            <w:pPr>
              <w:rPr>
                <w:sz w:val="18"/>
                <w:szCs w:val="18"/>
              </w:rPr>
            </w:pPr>
            <w:proofErr w:type="spellStart"/>
            <w:r w:rsidRPr="00DB4296">
              <w:rPr>
                <w:sz w:val="18"/>
                <w:szCs w:val="18"/>
              </w:rPr>
              <w:t>Retalhista</w:t>
            </w:r>
            <w:proofErr w:type="spellEnd"/>
          </w:p>
        </w:tc>
        <w:tc>
          <w:tcPr>
            <w:tcW w:w="993" w:type="dxa"/>
          </w:tcPr>
          <w:p w14:paraId="67CBC368" w14:textId="77777777" w:rsidR="00BF4113" w:rsidRPr="00646EF9" w:rsidRDefault="00BF4113" w:rsidP="005A1727">
            <w:pPr>
              <w:jc w:val="center"/>
              <w:rPr>
                <w:sz w:val="18"/>
                <w:szCs w:val="18"/>
              </w:rPr>
            </w:pPr>
            <w:r>
              <w:rPr>
                <w:sz w:val="18"/>
                <w:szCs w:val="18"/>
              </w:rPr>
              <w:t>842</w:t>
            </w:r>
          </w:p>
        </w:tc>
        <w:tc>
          <w:tcPr>
            <w:tcW w:w="1134" w:type="dxa"/>
          </w:tcPr>
          <w:p w14:paraId="0F14590E" w14:textId="77777777" w:rsidR="00BF4113" w:rsidRPr="00646EF9" w:rsidRDefault="00BF4113" w:rsidP="005A1727">
            <w:pPr>
              <w:jc w:val="center"/>
              <w:rPr>
                <w:sz w:val="18"/>
                <w:szCs w:val="18"/>
              </w:rPr>
            </w:pPr>
            <w:r>
              <w:rPr>
                <w:sz w:val="18"/>
                <w:szCs w:val="18"/>
              </w:rPr>
              <w:t>838</w:t>
            </w:r>
          </w:p>
        </w:tc>
        <w:tc>
          <w:tcPr>
            <w:tcW w:w="850" w:type="dxa"/>
          </w:tcPr>
          <w:p w14:paraId="1AA9339F" w14:textId="77777777" w:rsidR="00BF4113" w:rsidRPr="00646EF9" w:rsidRDefault="00BF4113" w:rsidP="005A1727">
            <w:pPr>
              <w:jc w:val="center"/>
              <w:rPr>
                <w:sz w:val="18"/>
                <w:szCs w:val="18"/>
              </w:rPr>
            </w:pPr>
            <w:r>
              <w:rPr>
                <w:sz w:val="18"/>
                <w:szCs w:val="18"/>
              </w:rPr>
              <w:t>0</w:t>
            </w:r>
          </w:p>
        </w:tc>
        <w:tc>
          <w:tcPr>
            <w:tcW w:w="992" w:type="dxa"/>
          </w:tcPr>
          <w:p w14:paraId="682E23D1" w14:textId="77777777" w:rsidR="00BF4113" w:rsidRPr="00646EF9" w:rsidRDefault="00BF4113" w:rsidP="005A1727">
            <w:pPr>
              <w:jc w:val="center"/>
              <w:rPr>
                <w:sz w:val="18"/>
                <w:szCs w:val="18"/>
              </w:rPr>
            </w:pPr>
            <w:r>
              <w:rPr>
                <w:sz w:val="18"/>
                <w:szCs w:val="18"/>
              </w:rPr>
              <w:t>0</w:t>
            </w:r>
          </w:p>
        </w:tc>
        <w:tc>
          <w:tcPr>
            <w:tcW w:w="1134" w:type="dxa"/>
          </w:tcPr>
          <w:p w14:paraId="4D20E696" w14:textId="77777777" w:rsidR="00BF4113" w:rsidRPr="00646EF9" w:rsidRDefault="00BF4113" w:rsidP="005A1727">
            <w:pPr>
              <w:jc w:val="center"/>
              <w:rPr>
                <w:sz w:val="18"/>
                <w:szCs w:val="18"/>
              </w:rPr>
            </w:pPr>
            <w:r>
              <w:rPr>
                <w:sz w:val="18"/>
                <w:szCs w:val="18"/>
              </w:rPr>
              <w:t>0</w:t>
            </w:r>
          </w:p>
        </w:tc>
        <w:tc>
          <w:tcPr>
            <w:tcW w:w="1276" w:type="dxa"/>
          </w:tcPr>
          <w:p w14:paraId="023AE449" w14:textId="77777777" w:rsidR="00BF4113" w:rsidRPr="00646EF9" w:rsidRDefault="00BF4113" w:rsidP="005A1727">
            <w:pPr>
              <w:jc w:val="center"/>
              <w:rPr>
                <w:sz w:val="18"/>
                <w:szCs w:val="18"/>
              </w:rPr>
            </w:pPr>
            <w:r>
              <w:rPr>
                <w:sz w:val="18"/>
                <w:szCs w:val="18"/>
              </w:rPr>
              <w:t>0</w:t>
            </w:r>
          </w:p>
        </w:tc>
        <w:tc>
          <w:tcPr>
            <w:tcW w:w="992" w:type="dxa"/>
          </w:tcPr>
          <w:p w14:paraId="28546531" w14:textId="77777777" w:rsidR="00BF4113" w:rsidRPr="00646EF9" w:rsidRDefault="00BF4113" w:rsidP="005A1727">
            <w:pPr>
              <w:jc w:val="center"/>
              <w:rPr>
                <w:sz w:val="18"/>
                <w:szCs w:val="18"/>
              </w:rPr>
            </w:pPr>
            <w:r>
              <w:rPr>
                <w:sz w:val="18"/>
                <w:szCs w:val="18"/>
              </w:rPr>
              <w:t>3</w:t>
            </w:r>
          </w:p>
        </w:tc>
      </w:tr>
      <w:tr w:rsidR="00FB6898" w:rsidRPr="00646EF9" w14:paraId="2417DB41" w14:textId="77777777" w:rsidTr="00FB6898">
        <w:tc>
          <w:tcPr>
            <w:tcW w:w="1701" w:type="dxa"/>
          </w:tcPr>
          <w:p w14:paraId="3FF54B89" w14:textId="77777777" w:rsidR="00BF4113" w:rsidRPr="00646EF9" w:rsidRDefault="00BF4113" w:rsidP="00486683">
            <w:pPr>
              <w:rPr>
                <w:sz w:val="18"/>
                <w:szCs w:val="18"/>
              </w:rPr>
            </w:pPr>
            <w:proofErr w:type="spellStart"/>
            <w:r w:rsidRPr="00DB4296">
              <w:rPr>
                <w:sz w:val="18"/>
                <w:szCs w:val="18"/>
              </w:rPr>
              <w:t>Grossiste</w:t>
            </w:r>
            <w:proofErr w:type="spellEnd"/>
            <w:r w:rsidRPr="00DB4296">
              <w:rPr>
                <w:sz w:val="18"/>
                <w:szCs w:val="18"/>
              </w:rPr>
              <w:t xml:space="preserve"> BISSAU</w:t>
            </w:r>
          </w:p>
        </w:tc>
        <w:tc>
          <w:tcPr>
            <w:tcW w:w="993" w:type="dxa"/>
          </w:tcPr>
          <w:p w14:paraId="405FA0FC" w14:textId="77777777" w:rsidR="00BF4113" w:rsidRPr="00646EF9" w:rsidRDefault="00BF4113" w:rsidP="005A1727">
            <w:pPr>
              <w:jc w:val="center"/>
              <w:rPr>
                <w:sz w:val="18"/>
                <w:szCs w:val="18"/>
              </w:rPr>
            </w:pPr>
            <w:r>
              <w:rPr>
                <w:sz w:val="18"/>
                <w:szCs w:val="18"/>
              </w:rPr>
              <w:t>3.550</w:t>
            </w:r>
          </w:p>
        </w:tc>
        <w:tc>
          <w:tcPr>
            <w:tcW w:w="1134" w:type="dxa"/>
          </w:tcPr>
          <w:p w14:paraId="2FAFB1B3" w14:textId="77777777" w:rsidR="00BF4113" w:rsidRPr="00646EF9" w:rsidRDefault="00BF4113" w:rsidP="005A1727">
            <w:pPr>
              <w:jc w:val="center"/>
              <w:rPr>
                <w:sz w:val="18"/>
                <w:szCs w:val="18"/>
              </w:rPr>
            </w:pPr>
            <w:r>
              <w:rPr>
                <w:sz w:val="18"/>
                <w:szCs w:val="18"/>
              </w:rPr>
              <w:t>1.781</w:t>
            </w:r>
          </w:p>
        </w:tc>
        <w:tc>
          <w:tcPr>
            <w:tcW w:w="850" w:type="dxa"/>
          </w:tcPr>
          <w:p w14:paraId="0240E4D1" w14:textId="77777777" w:rsidR="00BF4113" w:rsidRPr="00646EF9" w:rsidRDefault="00BF4113" w:rsidP="005A1727">
            <w:pPr>
              <w:jc w:val="center"/>
              <w:rPr>
                <w:sz w:val="18"/>
                <w:szCs w:val="18"/>
              </w:rPr>
            </w:pPr>
            <w:r>
              <w:rPr>
                <w:sz w:val="18"/>
                <w:szCs w:val="18"/>
              </w:rPr>
              <w:t>0</w:t>
            </w:r>
          </w:p>
        </w:tc>
        <w:tc>
          <w:tcPr>
            <w:tcW w:w="992" w:type="dxa"/>
          </w:tcPr>
          <w:p w14:paraId="0E96CFAA" w14:textId="77777777" w:rsidR="00BF4113" w:rsidRPr="00646EF9" w:rsidRDefault="00BF4113" w:rsidP="005A1727">
            <w:pPr>
              <w:jc w:val="center"/>
              <w:rPr>
                <w:sz w:val="18"/>
                <w:szCs w:val="18"/>
              </w:rPr>
            </w:pPr>
            <w:r>
              <w:rPr>
                <w:sz w:val="18"/>
                <w:szCs w:val="18"/>
              </w:rPr>
              <w:t>0</w:t>
            </w:r>
          </w:p>
        </w:tc>
        <w:tc>
          <w:tcPr>
            <w:tcW w:w="1134" w:type="dxa"/>
          </w:tcPr>
          <w:p w14:paraId="4AA966E7" w14:textId="77777777" w:rsidR="00BF4113" w:rsidRPr="00646EF9" w:rsidRDefault="00BF4113" w:rsidP="005A1727">
            <w:pPr>
              <w:jc w:val="center"/>
              <w:rPr>
                <w:sz w:val="18"/>
                <w:szCs w:val="18"/>
              </w:rPr>
            </w:pPr>
            <w:r>
              <w:rPr>
                <w:sz w:val="18"/>
                <w:szCs w:val="18"/>
              </w:rPr>
              <w:t>0</w:t>
            </w:r>
          </w:p>
        </w:tc>
        <w:tc>
          <w:tcPr>
            <w:tcW w:w="1276" w:type="dxa"/>
          </w:tcPr>
          <w:p w14:paraId="5FDD9AF6" w14:textId="77777777" w:rsidR="00BF4113" w:rsidRPr="00646EF9" w:rsidRDefault="00BF4113" w:rsidP="005A1727">
            <w:pPr>
              <w:jc w:val="center"/>
              <w:rPr>
                <w:sz w:val="18"/>
                <w:szCs w:val="18"/>
              </w:rPr>
            </w:pPr>
            <w:r>
              <w:rPr>
                <w:sz w:val="18"/>
                <w:szCs w:val="18"/>
              </w:rPr>
              <w:t>0</w:t>
            </w:r>
          </w:p>
        </w:tc>
        <w:tc>
          <w:tcPr>
            <w:tcW w:w="992" w:type="dxa"/>
          </w:tcPr>
          <w:p w14:paraId="538EB08C" w14:textId="77777777" w:rsidR="00BF4113" w:rsidRPr="00646EF9" w:rsidRDefault="00BF4113" w:rsidP="005A1727">
            <w:pPr>
              <w:jc w:val="center"/>
              <w:rPr>
                <w:sz w:val="18"/>
                <w:szCs w:val="18"/>
              </w:rPr>
            </w:pPr>
            <w:r>
              <w:rPr>
                <w:sz w:val="18"/>
                <w:szCs w:val="18"/>
              </w:rPr>
              <w:t>1.769</w:t>
            </w:r>
          </w:p>
        </w:tc>
      </w:tr>
      <w:tr w:rsidR="00FB6898" w:rsidRPr="00646EF9" w14:paraId="24DF6687" w14:textId="77777777" w:rsidTr="00FB6898">
        <w:tc>
          <w:tcPr>
            <w:tcW w:w="1701" w:type="dxa"/>
          </w:tcPr>
          <w:p w14:paraId="424311C6" w14:textId="77777777" w:rsidR="00BF4113" w:rsidRPr="00646EF9" w:rsidRDefault="00BF4113" w:rsidP="00486683">
            <w:pPr>
              <w:rPr>
                <w:sz w:val="18"/>
                <w:szCs w:val="18"/>
              </w:rPr>
            </w:pPr>
            <w:proofErr w:type="spellStart"/>
            <w:r w:rsidRPr="00DB4296">
              <w:rPr>
                <w:sz w:val="18"/>
                <w:szCs w:val="18"/>
              </w:rPr>
              <w:t>Retalhista</w:t>
            </w:r>
            <w:proofErr w:type="spellEnd"/>
            <w:r w:rsidRPr="00DB4296">
              <w:rPr>
                <w:sz w:val="18"/>
                <w:szCs w:val="18"/>
              </w:rPr>
              <w:t xml:space="preserve"> BISSAU</w:t>
            </w:r>
          </w:p>
        </w:tc>
        <w:tc>
          <w:tcPr>
            <w:tcW w:w="993" w:type="dxa"/>
          </w:tcPr>
          <w:p w14:paraId="220DA582" w14:textId="77777777" w:rsidR="00BF4113" w:rsidRPr="00646EF9" w:rsidRDefault="00BF4113" w:rsidP="005A1727">
            <w:pPr>
              <w:jc w:val="center"/>
              <w:rPr>
                <w:sz w:val="18"/>
                <w:szCs w:val="18"/>
              </w:rPr>
            </w:pPr>
            <w:r>
              <w:rPr>
                <w:sz w:val="18"/>
                <w:szCs w:val="18"/>
              </w:rPr>
              <w:t>4.774</w:t>
            </w:r>
          </w:p>
        </w:tc>
        <w:tc>
          <w:tcPr>
            <w:tcW w:w="1134" w:type="dxa"/>
          </w:tcPr>
          <w:p w14:paraId="00933822" w14:textId="77777777" w:rsidR="00BF4113" w:rsidRPr="00646EF9" w:rsidRDefault="00BF4113" w:rsidP="005A1727">
            <w:pPr>
              <w:jc w:val="center"/>
              <w:rPr>
                <w:sz w:val="18"/>
                <w:szCs w:val="18"/>
              </w:rPr>
            </w:pPr>
            <w:r>
              <w:rPr>
                <w:sz w:val="18"/>
                <w:szCs w:val="18"/>
              </w:rPr>
              <w:t>3.809</w:t>
            </w:r>
          </w:p>
        </w:tc>
        <w:tc>
          <w:tcPr>
            <w:tcW w:w="850" w:type="dxa"/>
          </w:tcPr>
          <w:p w14:paraId="2ADD23E7" w14:textId="77777777" w:rsidR="00BF4113" w:rsidRPr="00646EF9" w:rsidRDefault="00BF4113" w:rsidP="005A1727">
            <w:pPr>
              <w:jc w:val="center"/>
              <w:rPr>
                <w:sz w:val="18"/>
                <w:szCs w:val="18"/>
              </w:rPr>
            </w:pPr>
            <w:r>
              <w:rPr>
                <w:sz w:val="18"/>
                <w:szCs w:val="18"/>
              </w:rPr>
              <w:t>0</w:t>
            </w:r>
          </w:p>
        </w:tc>
        <w:tc>
          <w:tcPr>
            <w:tcW w:w="992" w:type="dxa"/>
          </w:tcPr>
          <w:p w14:paraId="00B72D90" w14:textId="4D63289A" w:rsidR="00BF4113" w:rsidRPr="00646EF9" w:rsidRDefault="00BF4113" w:rsidP="005A1727">
            <w:pPr>
              <w:jc w:val="center"/>
              <w:rPr>
                <w:sz w:val="18"/>
                <w:szCs w:val="18"/>
              </w:rPr>
            </w:pPr>
            <w:r>
              <w:rPr>
                <w:sz w:val="18"/>
                <w:szCs w:val="18"/>
              </w:rPr>
              <w:t>269</w:t>
            </w:r>
          </w:p>
        </w:tc>
        <w:tc>
          <w:tcPr>
            <w:tcW w:w="1134" w:type="dxa"/>
          </w:tcPr>
          <w:p w14:paraId="0E5BA7B9" w14:textId="77777777" w:rsidR="00BF4113" w:rsidRPr="00646EF9" w:rsidRDefault="00BF4113" w:rsidP="005A1727">
            <w:pPr>
              <w:jc w:val="center"/>
              <w:rPr>
                <w:sz w:val="18"/>
                <w:szCs w:val="18"/>
              </w:rPr>
            </w:pPr>
            <w:r>
              <w:rPr>
                <w:sz w:val="18"/>
                <w:szCs w:val="18"/>
              </w:rPr>
              <w:t>0</w:t>
            </w:r>
          </w:p>
        </w:tc>
        <w:tc>
          <w:tcPr>
            <w:tcW w:w="1276" w:type="dxa"/>
          </w:tcPr>
          <w:p w14:paraId="6D3E1B17" w14:textId="77777777" w:rsidR="00BF4113" w:rsidRPr="00646EF9" w:rsidRDefault="00BF4113" w:rsidP="005A1727">
            <w:pPr>
              <w:jc w:val="center"/>
              <w:rPr>
                <w:sz w:val="18"/>
                <w:szCs w:val="18"/>
              </w:rPr>
            </w:pPr>
            <w:r>
              <w:rPr>
                <w:sz w:val="18"/>
                <w:szCs w:val="18"/>
              </w:rPr>
              <w:t>0</w:t>
            </w:r>
          </w:p>
        </w:tc>
        <w:tc>
          <w:tcPr>
            <w:tcW w:w="992" w:type="dxa"/>
          </w:tcPr>
          <w:p w14:paraId="02A23BDE" w14:textId="77777777" w:rsidR="00BF4113" w:rsidRPr="00646EF9" w:rsidRDefault="00BF4113" w:rsidP="005A1727">
            <w:pPr>
              <w:jc w:val="center"/>
              <w:rPr>
                <w:sz w:val="18"/>
                <w:szCs w:val="18"/>
              </w:rPr>
            </w:pPr>
            <w:r>
              <w:rPr>
                <w:sz w:val="18"/>
                <w:szCs w:val="18"/>
              </w:rPr>
              <w:t>696</w:t>
            </w:r>
          </w:p>
        </w:tc>
      </w:tr>
      <w:tr w:rsidR="00FB6898" w:rsidRPr="00646EF9" w14:paraId="1FBF8AD7" w14:textId="77777777" w:rsidTr="00FB6898">
        <w:tc>
          <w:tcPr>
            <w:tcW w:w="1701" w:type="dxa"/>
          </w:tcPr>
          <w:p w14:paraId="296D0956" w14:textId="77777777" w:rsidR="00BF4113" w:rsidRPr="00646EF9" w:rsidRDefault="00BF4113" w:rsidP="00486683">
            <w:pPr>
              <w:rPr>
                <w:b/>
                <w:bCs/>
                <w:sz w:val="18"/>
                <w:szCs w:val="18"/>
              </w:rPr>
            </w:pPr>
            <w:r w:rsidRPr="00646EF9">
              <w:rPr>
                <w:b/>
                <w:bCs/>
                <w:sz w:val="18"/>
                <w:szCs w:val="18"/>
              </w:rPr>
              <w:t>CADEIA DE VALOR</w:t>
            </w:r>
          </w:p>
        </w:tc>
        <w:tc>
          <w:tcPr>
            <w:tcW w:w="993" w:type="dxa"/>
          </w:tcPr>
          <w:p w14:paraId="570BECE0" w14:textId="77777777" w:rsidR="00BF4113" w:rsidRPr="001D2BF5" w:rsidRDefault="00BF4113" w:rsidP="005A1727">
            <w:pPr>
              <w:jc w:val="center"/>
              <w:rPr>
                <w:b/>
                <w:sz w:val="18"/>
                <w:szCs w:val="18"/>
              </w:rPr>
            </w:pPr>
            <w:r w:rsidRPr="001D2BF5">
              <w:rPr>
                <w:b/>
                <w:sz w:val="18"/>
                <w:szCs w:val="18"/>
              </w:rPr>
              <w:t>5.676</w:t>
            </w:r>
          </w:p>
        </w:tc>
        <w:tc>
          <w:tcPr>
            <w:tcW w:w="1134" w:type="dxa"/>
          </w:tcPr>
          <w:p w14:paraId="7F8B35E5" w14:textId="77777777" w:rsidR="00BF4113" w:rsidRPr="001D2BF5" w:rsidRDefault="00BF4113" w:rsidP="005A1727">
            <w:pPr>
              <w:jc w:val="center"/>
              <w:rPr>
                <w:b/>
                <w:sz w:val="18"/>
                <w:szCs w:val="18"/>
              </w:rPr>
            </w:pPr>
            <w:r w:rsidRPr="001D2BF5">
              <w:rPr>
                <w:b/>
                <w:sz w:val="18"/>
                <w:szCs w:val="18"/>
              </w:rPr>
              <w:t>1.152</w:t>
            </w:r>
          </w:p>
        </w:tc>
        <w:tc>
          <w:tcPr>
            <w:tcW w:w="850" w:type="dxa"/>
          </w:tcPr>
          <w:p w14:paraId="1A9FA14F" w14:textId="77777777" w:rsidR="00BF4113" w:rsidRPr="001D2BF5" w:rsidRDefault="00BF4113" w:rsidP="005A1727">
            <w:pPr>
              <w:jc w:val="center"/>
              <w:rPr>
                <w:b/>
                <w:sz w:val="18"/>
                <w:szCs w:val="18"/>
              </w:rPr>
            </w:pPr>
            <w:r w:rsidRPr="001D2BF5">
              <w:rPr>
                <w:b/>
                <w:sz w:val="18"/>
                <w:szCs w:val="18"/>
              </w:rPr>
              <w:t>589</w:t>
            </w:r>
          </w:p>
        </w:tc>
        <w:tc>
          <w:tcPr>
            <w:tcW w:w="992" w:type="dxa"/>
          </w:tcPr>
          <w:p w14:paraId="78FC04A0" w14:textId="77777777" w:rsidR="00BF4113" w:rsidRPr="001D2BF5" w:rsidRDefault="00BF4113" w:rsidP="005A1727">
            <w:pPr>
              <w:jc w:val="center"/>
              <w:rPr>
                <w:b/>
                <w:sz w:val="18"/>
                <w:szCs w:val="18"/>
              </w:rPr>
            </w:pPr>
            <w:r>
              <w:rPr>
                <w:b/>
                <w:sz w:val="18"/>
                <w:szCs w:val="18"/>
              </w:rPr>
              <w:t>269</w:t>
            </w:r>
          </w:p>
        </w:tc>
        <w:tc>
          <w:tcPr>
            <w:tcW w:w="1134" w:type="dxa"/>
          </w:tcPr>
          <w:p w14:paraId="774A5F6A" w14:textId="77777777" w:rsidR="00BF4113" w:rsidRPr="001D2BF5" w:rsidRDefault="00BF4113" w:rsidP="005A1727">
            <w:pPr>
              <w:jc w:val="center"/>
              <w:rPr>
                <w:b/>
                <w:sz w:val="18"/>
                <w:szCs w:val="18"/>
              </w:rPr>
            </w:pPr>
            <w:r w:rsidRPr="001D2BF5">
              <w:rPr>
                <w:b/>
                <w:sz w:val="18"/>
                <w:szCs w:val="18"/>
              </w:rPr>
              <w:t>0</w:t>
            </w:r>
          </w:p>
        </w:tc>
        <w:tc>
          <w:tcPr>
            <w:tcW w:w="1276" w:type="dxa"/>
          </w:tcPr>
          <w:p w14:paraId="7B3B57EC" w14:textId="77777777" w:rsidR="00BF4113" w:rsidRPr="001D2BF5" w:rsidRDefault="00BF4113" w:rsidP="005A1727">
            <w:pPr>
              <w:jc w:val="center"/>
              <w:rPr>
                <w:b/>
                <w:sz w:val="18"/>
                <w:szCs w:val="18"/>
              </w:rPr>
            </w:pPr>
            <w:r w:rsidRPr="001D2BF5">
              <w:rPr>
                <w:b/>
                <w:sz w:val="18"/>
                <w:szCs w:val="18"/>
              </w:rPr>
              <w:t>144</w:t>
            </w:r>
          </w:p>
        </w:tc>
        <w:tc>
          <w:tcPr>
            <w:tcW w:w="992" w:type="dxa"/>
          </w:tcPr>
          <w:p w14:paraId="2EA8E0A9" w14:textId="77777777" w:rsidR="00BF4113" w:rsidRPr="001D2BF5" w:rsidRDefault="00BF4113" w:rsidP="005A1727">
            <w:pPr>
              <w:tabs>
                <w:tab w:val="left" w:pos="750"/>
              </w:tabs>
              <w:jc w:val="center"/>
              <w:rPr>
                <w:b/>
                <w:sz w:val="18"/>
                <w:szCs w:val="18"/>
              </w:rPr>
            </w:pPr>
            <w:r>
              <w:rPr>
                <w:b/>
                <w:sz w:val="18"/>
                <w:szCs w:val="18"/>
              </w:rPr>
              <w:t>3.521</w:t>
            </w:r>
          </w:p>
        </w:tc>
      </w:tr>
    </w:tbl>
    <w:p w14:paraId="123E0C9C" w14:textId="11E39582" w:rsidR="00BF4113" w:rsidRPr="004E65BE" w:rsidRDefault="00DA2B8B" w:rsidP="007D3A26">
      <w:pPr>
        <w:pStyle w:val="Caption"/>
      </w:pPr>
      <w:r>
        <w:t xml:space="preserve">       </w:t>
      </w:r>
      <w:r w:rsidR="00800AF0" w:rsidRPr="004E65BE">
        <w:t>Quadro 3-4: contas anuais individuais de produção-exploração dos atores</w:t>
      </w:r>
    </w:p>
    <w:tbl>
      <w:tblPr>
        <w:tblStyle w:val="Tablaconcuadrcula1"/>
        <w:tblW w:w="9077" w:type="dxa"/>
        <w:jc w:val="center"/>
        <w:tblLayout w:type="fixed"/>
        <w:tblLook w:val="04A0" w:firstRow="1" w:lastRow="0" w:firstColumn="1" w:lastColumn="0" w:noHBand="0" w:noVBand="1"/>
      </w:tblPr>
      <w:tblGrid>
        <w:gridCol w:w="1706"/>
        <w:gridCol w:w="2410"/>
        <w:gridCol w:w="2542"/>
        <w:gridCol w:w="2419"/>
      </w:tblGrid>
      <w:tr w:rsidR="00BF4113" w:rsidRPr="00646EF9" w14:paraId="499C5BC2" w14:textId="77777777" w:rsidTr="00FA54E0">
        <w:trPr>
          <w:trHeight w:val="780"/>
          <w:jc w:val="center"/>
        </w:trPr>
        <w:tc>
          <w:tcPr>
            <w:tcW w:w="1706" w:type="dxa"/>
            <w:shd w:val="clear" w:color="auto" w:fill="336666"/>
            <w:vAlign w:val="center"/>
          </w:tcPr>
          <w:p w14:paraId="6A2BD748" w14:textId="77777777" w:rsidR="00BF4113" w:rsidRPr="004B6B4A" w:rsidRDefault="00BF4113" w:rsidP="002738F1">
            <w:pPr>
              <w:jc w:val="center"/>
              <w:rPr>
                <w:rFonts w:cs="Calibri"/>
                <w:b/>
                <w:bCs/>
                <w:color w:val="FFFFFF" w:themeColor="background1"/>
                <w:sz w:val="18"/>
                <w:szCs w:val="18"/>
                <w:lang w:val="pt-BR"/>
              </w:rPr>
            </w:pPr>
          </w:p>
          <w:p w14:paraId="2EEED4E0" w14:textId="77777777" w:rsidR="00BF4113" w:rsidRPr="002738F1" w:rsidRDefault="00BF4113" w:rsidP="002738F1">
            <w:pPr>
              <w:jc w:val="center"/>
              <w:rPr>
                <w:rFonts w:cs="Calibri"/>
                <w:b/>
                <w:bCs/>
                <w:color w:val="FFFFFF" w:themeColor="background1"/>
                <w:sz w:val="18"/>
                <w:szCs w:val="18"/>
              </w:rPr>
            </w:pPr>
            <w:r w:rsidRPr="002738F1">
              <w:rPr>
                <w:rFonts w:cs="Calibri"/>
                <w:b/>
                <w:bCs/>
                <w:color w:val="FFFFFF" w:themeColor="background1"/>
                <w:sz w:val="18"/>
                <w:szCs w:val="18"/>
              </w:rPr>
              <w:t>Ator</w:t>
            </w:r>
          </w:p>
        </w:tc>
        <w:tc>
          <w:tcPr>
            <w:tcW w:w="2410" w:type="dxa"/>
            <w:shd w:val="clear" w:color="auto" w:fill="336666"/>
            <w:vAlign w:val="center"/>
          </w:tcPr>
          <w:p w14:paraId="1B69688C" w14:textId="77777777" w:rsidR="00BF4113" w:rsidRPr="002738F1" w:rsidRDefault="00BF4113" w:rsidP="002738F1">
            <w:pPr>
              <w:jc w:val="center"/>
              <w:rPr>
                <w:rFonts w:cs="Calibri"/>
                <w:b/>
                <w:bCs/>
                <w:color w:val="FFFFFF" w:themeColor="background1"/>
                <w:sz w:val="18"/>
                <w:szCs w:val="18"/>
              </w:rPr>
            </w:pPr>
            <w:r w:rsidRPr="002738F1">
              <w:rPr>
                <w:rFonts w:cs="Calibri"/>
                <w:b/>
                <w:bCs/>
                <w:color w:val="FFFFFF" w:themeColor="background1"/>
                <w:sz w:val="18"/>
                <w:szCs w:val="18"/>
              </w:rPr>
              <w:t xml:space="preserve">Retorno sobre </w:t>
            </w:r>
            <w:proofErr w:type="spellStart"/>
            <w:r w:rsidRPr="002738F1">
              <w:rPr>
                <w:rFonts w:cs="Calibri"/>
                <w:b/>
                <w:bCs/>
                <w:color w:val="FFFFFF" w:themeColor="background1"/>
                <w:sz w:val="18"/>
                <w:szCs w:val="18"/>
              </w:rPr>
              <w:t>as</w:t>
            </w:r>
            <w:proofErr w:type="spellEnd"/>
            <w:r w:rsidRPr="002738F1">
              <w:rPr>
                <w:rFonts w:cs="Calibri"/>
                <w:b/>
                <w:bCs/>
                <w:color w:val="FFFFFF" w:themeColor="background1"/>
                <w:sz w:val="18"/>
                <w:szCs w:val="18"/>
              </w:rPr>
              <w:t xml:space="preserve"> vendas</w:t>
            </w:r>
          </w:p>
        </w:tc>
        <w:tc>
          <w:tcPr>
            <w:tcW w:w="2542" w:type="dxa"/>
            <w:shd w:val="clear" w:color="auto" w:fill="336666"/>
            <w:vAlign w:val="center"/>
          </w:tcPr>
          <w:p w14:paraId="35DC8E2A" w14:textId="77777777" w:rsidR="00BF4113" w:rsidRPr="004B6B4A" w:rsidRDefault="00BF4113" w:rsidP="002738F1">
            <w:pPr>
              <w:jc w:val="center"/>
              <w:rPr>
                <w:rFonts w:cs="Calibri"/>
                <w:b/>
                <w:bCs/>
                <w:color w:val="FFFFFF" w:themeColor="background1"/>
                <w:sz w:val="18"/>
                <w:szCs w:val="18"/>
                <w:lang w:val="pt-BR"/>
              </w:rPr>
            </w:pPr>
            <w:r w:rsidRPr="004B6B4A">
              <w:rPr>
                <w:rFonts w:cs="Calibri"/>
                <w:b/>
                <w:bCs/>
                <w:color w:val="FFFFFF" w:themeColor="background1"/>
                <w:sz w:val="18"/>
                <w:szCs w:val="18"/>
                <w:lang w:val="pt-BR"/>
              </w:rPr>
              <w:t>Rácio custo/lucro (resultado operacional/</w:t>
            </w:r>
          </w:p>
          <w:p w14:paraId="6946A9C9" w14:textId="77777777" w:rsidR="00BF4113" w:rsidRPr="002738F1" w:rsidRDefault="00BF4113" w:rsidP="002738F1">
            <w:pPr>
              <w:jc w:val="center"/>
              <w:rPr>
                <w:rFonts w:cs="Calibri"/>
                <w:b/>
                <w:bCs/>
                <w:color w:val="FFFFFF" w:themeColor="background1"/>
                <w:sz w:val="18"/>
                <w:szCs w:val="18"/>
              </w:rPr>
            </w:pPr>
            <w:r w:rsidRPr="002738F1">
              <w:rPr>
                <w:rFonts w:cs="Calibri"/>
                <w:b/>
                <w:bCs/>
                <w:color w:val="FFFFFF" w:themeColor="background1"/>
                <w:sz w:val="18"/>
                <w:szCs w:val="18"/>
              </w:rPr>
              <w:t xml:space="preserve">despesas </w:t>
            </w:r>
            <w:proofErr w:type="spellStart"/>
            <w:r w:rsidRPr="002738F1">
              <w:rPr>
                <w:rFonts w:cs="Calibri"/>
                <w:b/>
                <w:bCs/>
                <w:color w:val="FFFFFF" w:themeColor="background1"/>
                <w:sz w:val="18"/>
                <w:szCs w:val="18"/>
              </w:rPr>
              <w:t>totais</w:t>
            </w:r>
            <w:proofErr w:type="spellEnd"/>
            <w:r w:rsidRPr="002738F1">
              <w:rPr>
                <w:rFonts w:cs="Calibri"/>
                <w:b/>
                <w:bCs/>
                <w:color w:val="FFFFFF" w:themeColor="background1"/>
                <w:sz w:val="18"/>
                <w:szCs w:val="18"/>
              </w:rPr>
              <w:t>)</w:t>
            </w:r>
          </w:p>
        </w:tc>
        <w:tc>
          <w:tcPr>
            <w:tcW w:w="2419" w:type="dxa"/>
            <w:shd w:val="clear" w:color="auto" w:fill="336666"/>
            <w:vAlign w:val="center"/>
          </w:tcPr>
          <w:p w14:paraId="56EC7DA1" w14:textId="77777777" w:rsidR="00BF4113" w:rsidRPr="002738F1" w:rsidRDefault="00BF4113" w:rsidP="002738F1">
            <w:pPr>
              <w:jc w:val="center"/>
              <w:rPr>
                <w:rFonts w:cs="Calibri"/>
                <w:b/>
                <w:bCs/>
                <w:color w:val="FFFFFF" w:themeColor="background1"/>
                <w:sz w:val="18"/>
                <w:szCs w:val="18"/>
              </w:rPr>
            </w:pPr>
            <w:r w:rsidRPr="002738F1">
              <w:rPr>
                <w:rFonts w:cs="Calibri"/>
                <w:b/>
                <w:bCs/>
                <w:color w:val="FFFFFF" w:themeColor="background1"/>
                <w:sz w:val="18"/>
                <w:szCs w:val="18"/>
              </w:rPr>
              <w:t xml:space="preserve">Lucro operacional por </w:t>
            </w:r>
            <w:proofErr w:type="spellStart"/>
            <w:r w:rsidRPr="002738F1">
              <w:rPr>
                <w:rFonts w:cs="Calibri"/>
                <w:b/>
                <w:bCs/>
                <w:color w:val="FFFFFF" w:themeColor="background1"/>
                <w:sz w:val="18"/>
                <w:szCs w:val="18"/>
              </w:rPr>
              <w:t>mês</w:t>
            </w:r>
            <w:proofErr w:type="spellEnd"/>
          </w:p>
        </w:tc>
      </w:tr>
      <w:tr w:rsidR="00BF4113" w:rsidRPr="00646EF9" w14:paraId="22D53439" w14:textId="77777777" w:rsidTr="008A3264">
        <w:trPr>
          <w:jc w:val="center"/>
        </w:trPr>
        <w:tc>
          <w:tcPr>
            <w:tcW w:w="1706" w:type="dxa"/>
          </w:tcPr>
          <w:p w14:paraId="0E790C41" w14:textId="77777777" w:rsidR="00BF4113" w:rsidRPr="00DB4296" w:rsidRDefault="00BF4113" w:rsidP="00486683">
            <w:pPr>
              <w:rPr>
                <w:sz w:val="18"/>
                <w:szCs w:val="18"/>
              </w:rPr>
            </w:pPr>
            <w:r w:rsidRPr="00DB4296">
              <w:rPr>
                <w:sz w:val="18"/>
                <w:szCs w:val="18"/>
              </w:rPr>
              <w:t xml:space="preserve">Grande </w:t>
            </w:r>
            <w:proofErr w:type="spellStart"/>
            <w:r w:rsidRPr="00DB4296">
              <w:rPr>
                <w:sz w:val="18"/>
                <w:szCs w:val="18"/>
              </w:rPr>
              <w:t>produtor</w:t>
            </w:r>
            <w:proofErr w:type="spellEnd"/>
          </w:p>
        </w:tc>
        <w:tc>
          <w:tcPr>
            <w:tcW w:w="2410" w:type="dxa"/>
          </w:tcPr>
          <w:p w14:paraId="54D7C6DE" w14:textId="77777777" w:rsidR="00BF4113" w:rsidRDefault="00BF4113" w:rsidP="004B615F">
            <w:pPr>
              <w:jc w:val="center"/>
              <w:rPr>
                <w:sz w:val="18"/>
                <w:szCs w:val="18"/>
              </w:rPr>
            </w:pPr>
            <w:r>
              <w:rPr>
                <w:sz w:val="18"/>
                <w:szCs w:val="18"/>
              </w:rPr>
              <w:t>44%</w:t>
            </w:r>
          </w:p>
        </w:tc>
        <w:tc>
          <w:tcPr>
            <w:tcW w:w="2542" w:type="dxa"/>
          </w:tcPr>
          <w:p w14:paraId="74F527C2" w14:textId="77777777" w:rsidR="00BF4113" w:rsidRDefault="00BF4113" w:rsidP="004B615F">
            <w:pPr>
              <w:jc w:val="center"/>
              <w:rPr>
                <w:sz w:val="18"/>
                <w:szCs w:val="18"/>
              </w:rPr>
            </w:pPr>
            <w:r>
              <w:rPr>
                <w:sz w:val="18"/>
                <w:szCs w:val="18"/>
              </w:rPr>
              <w:t>1,3%</w:t>
            </w:r>
          </w:p>
        </w:tc>
        <w:tc>
          <w:tcPr>
            <w:tcW w:w="2419" w:type="dxa"/>
          </w:tcPr>
          <w:p w14:paraId="7C033A01" w14:textId="77777777" w:rsidR="00BF4113" w:rsidRDefault="00BF4113" w:rsidP="004B615F">
            <w:pPr>
              <w:jc w:val="center"/>
              <w:rPr>
                <w:sz w:val="18"/>
                <w:szCs w:val="18"/>
              </w:rPr>
            </w:pPr>
            <w:r>
              <w:rPr>
                <w:sz w:val="18"/>
                <w:szCs w:val="18"/>
              </w:rPr>
              <w:t>35,293</w:t>
            </w:r>
          </w:p>
        </w:tc>
      </w:tr>
      <w:tr w:rsidR="00BF4113" w:rsidRPr="00646EF9" w14:paraId="154F7E0B" w14:textId="77777777" w:rsidTr="008A3264">
        <w:trPr>
          <w:jc w:val="center"/>
        </w:trPr>
        <w:tc>
          <w:tcPr>
            <w:tcW w:w="1706" w:type="dxa"/>
          </w:tcPr>
          <w:p w14:paraId="68412BEC" w14:textId="77777777" w:rsidR="00BF4113" w:rsidRPr="00646EF9" w:rsidRDefault="00BF4113" w:rsidP="00486683">
            <w:pPr>
              <w:rPr>
                <w:sz w:val="18"/>
                <w:szCs w:val="18"/>
              </w:rPr>
            </w:pPr>
            <w:r w:rsidRPr="00DB4296">
              <w:rPr>
                <w:sz w:val="18"/>
                <w:szCs w:val="18"/>
              </w:rPr>
              <w:t xml:space="preserve">Mediano </w:t>
            </w:r>
            <w:proofErr w:type="spellStart"/>
            <w:r w:rsidRPr="00DB4296">
              <w:rPr>
                <w:sz w:val="18"/>
                <w:szCs w:val="18"/>
              </w:rPr>
              <w:t>produtor</w:t>
            </w:r>
            <w:proofErr w:type="spellEnd"/>
          </w:p>
        </w:tc>
        <w:tc>
          <w:tcPr>
            <w:tcW w:w="2410" w:type="dxa"/>
          </w:tcPr>
          <w:p w14:paraId="273EE5EF" w14:textId="77777777" w:rsidR="00BF4113" w:rsidRPr="00646EF9" w:rsidRDefault="00BF4113" w:rsidP="004B615F">
            <w:pPr>
              <w:jc w:val="center"/>
              <w:rPr>
                <w:sz w:val="18"/>
                <w:szCs w:val="18"/>
              </w:rPr>
            </w:pPr>
            <w:r>
              <w:rPr>
                <w:sz w:val="18"/>
                <w:szCs w:val="18"/>
              </w:rPr>
              <w:t>36%</w:t>
            </w:r>
          </w:p>
        </w:tc>
        <w:tc>
          <w:tcPr>
            <w:tcW w:w="2542" w:type="dxa"/>
          </w:tcPr>
          <w:p w14:paraId="3307DC90" w14:textId="77777777" w:rsidR="00BF4113" w:rsidRPr="00646EF9" w:rsidRDefault="00BF4113" w:rsidP="004B615F">
            <w:pPr>
              <w:jc w:val="center"/>
              <w:rPr>
                <w:sz w:val="18"/>
                <w:szCs w:val="18"/>
              </w:rPr>
            </w:pPr>
            <w:r>
              <w:rPr>
                <w:sz w:val="18"/>
                <w:szCs w:val="18"/>
              </w:rPr>
              <w:t>1,8%</w:t>
            </w:r>
          </w:p>
        </w:tc>
        <w:tc>
          <w:tcPr>
            <w:tcW w:w="2419" w:type="dxa"/>
          </w:tcPr>
          <w:p w14:paraId="4FA558E1" w14:textId="77777777" w:rsidR="00BF4113" w:rsidRPr="00646EF9" w:rsidRDefault="00BF4113" w:rsidP="004B615F">
            <w:pPr>
              <w:jc w:val="center"/>
              <w:rPr>
                <w:sz w:val="18"/>
                <w:szCs w:val="18"/>
              </w:rPr>
            </w:pPr>
            <w:r>
              <w:rPr>
                <w:sz w:val="18"/>
                <w:szCs w:val="18"/>
              </w:rPr>
              <w:t>21,231</w:t>
            </w:r>
          </w:p>
        </w:tc>
      </w:tr>
      <w:tr w:rsidR="00BF4113" w:rsidRPr="00646EF9" w14:paraId="0A1AC36F" w14:textId="77777777" w:rsidTr="008A3264">
        <w:trPr>
          <w:jc w:val="center"/>
        </w:trPr>
        <w:tc>
          <w:tcPr>
            <w:tcW w:w="1706" w:type="dxa"/>
          </w:tcPr>
          <w:p w14:paraId="25A3185B" w14:textId="77777777" w:rsidR="00BF4113" w:rsidRPr="00646EF9" w:rsidRDefault="00BF4113" w:rsidP="00486683">
            <w:pPr>
              <w:rPr>
                <w:rFonts w:cs="Open Sans"/>
                <w:sz w:val="18"/>
                <w:szCs w:val="18"/>
              </w:rPr>
            </w:pPr>
            <w:r w:rsidRPr="00DB4296">
              <w:rPr>
                <w:rFonts w:cs="Open Sans"/>
                <w:sz w:val="18"/>
                <w:szCs w:val="18"/>
              </w:rPr>
              <w:t xml:space="preserve">Pequeno </w:t>
            </w:r>
            <w:proofErr w:type="spellStart"/>
            <w:r w:rsidRPr="00DB4296">
              <w:rPr>
                <w:rFonts w:cs="Open Sans"/>
                <w:sz w:val="18"/>
                <w:szCs w:val="18"/>
              </w:rPr>
              <w:t>produtor</w:t>
            </w:r>
            <w:proofErr w:type="spellEnd"/>
          </w:p>
        </w:tc>
        <w:tc>
          <w:tcPr>
            <w:tcW w:w="2410" w:type="dxa"/>
          </w:tcPr>
          <w:p w14:paraId="7CEA22E9" w14:textId="77777777" w:rsidR="00BF4113" w:rsidRPr="00646EF9" w:rsidRDefault="00BF4113" w:rsidP="004B615F">
            <w:pPr>
              <w:jc w:val="center"/>
              <w:rPr>
                <w:sz w:val="18"/>
                <w:szCs w:val="18"/>
              </w:rPr>
            </w:pPr>
            <w:r>
              <w:rPr>
                <w:sz w:val="18"/>
                <w:szCs w:val="18"/>
              </w:rPr>
              <w:t>32%</w:t>
            </w:r>
          </w:p>
        </w:tc>
        <w:tc>
          <w:tcPr>
            <w:tcW w:w="2542" w:type="dxa"/>
          </w:tcPr>
          <w:p w14:paraId="3D4A4C44" w14:textId="77777777" w:rsidR="00BF4113" w:rsidRPr="00646EF9" w:rsidRDefault="00BF4113" w:rsidP="004B615F">
            <w:pPr>
              <w:jc w:val="center"/>
              <w:rPr>
                <w:sz w:val="18"/>
                <w:szCs w:val="18"/>
              </w:rPr>
            </w:pPr>
            <w:r>
              <w:rPr>
                <w:sz w:val="18"/>
                <w:szCs w:val="18"/>
              </w:rPr>
              <w:t>2.1%</w:t>
            </w:r>
          </w:p>
        </w:tc>
        <w:tc>
          <w:tcPr>
            <w:tcW w:w="2419" w:type="dxa"/>
          </w:tcPr>
          <w:p w14:paraId="665C9DB3" w14:textId="77777777" w:rsidR="00BF4113" w:rsidRPr="00646EF9" w:rsidRDefault="00BF4113" w:rsidP="004B615F">
            <w:pPr>
              <w:jc w:val="center"/>
              <w:rPr>
                <w:sz w:val="18"/>
                <w:szCs w:val="18"/>
              </w:rPr>
            </w:pPr>
            <w:r>
              <w:rPr>
                <w:sz w:val="18"/>
                <w:szCs w:val="18"/>
              </w:rPr>
              <w:t>23,909</w:t>
            </w:r>
          </w:p>
        </w:tc>
      </w:tr>
      <w:tr w:rsidR="00BF4113" w:rsidRPr="00646EF9" w14:paraId="00D98978" w14:textId="77777777" w:rsidTr="008A3264">
        <w:trPr>
          <w:jc w:val="center"/>
        </w:trPr>
        <w:tc>
          <w:tcPr>
            <w:tcW w:w="1706" w:type="dxa"/>
          </w:tcPr>
          <w:p w14:paraId="3FC81FEA" w14:textId="77777777" w:rsidR="00BF4113" w:rsidRPr="00646EF9" w:rsidRDefault="00BF4113" w:rsidP="00486683">
            <w:pPr>
              <w:rPr>
                <w:sz w:val="18"/>
                <w:szCs w:val="18"/>
              </w:rPr>
            </w:pPr>
            <w:proofErr w:type="spellStart"/>
            <w:r w:rsidRPr="00DB4296">
              <w:rPr>
                <w:sz w:val="18"/>
                <w:szCs w:val="18"/>
              </w:rPr>
              <w:t>Produtor</w:t>
            </w:r>
            <w:proofErr w:type="spellEnd"/>
            <w:r w:rsidRPr="00DB4296">
              <w:rPr>
                <w:sz w:val="18"/>
                <w:szCs w:val="18"/>
              </w:rPr>
              <w:t xml:space="preserve"> familiar</w:t>
            </w:r>
          </w:p>
        </w:tc>
        <w:tc>
          <w:tcPr>
            <w:tcW w:w="2410" w:type="dxa"/>
          </w:tcPr>
          <w:p w14:paraId="7B7D1C63" w14:textId="77777777" w:rsidR="00BF4113" w:rsidRPr="00646EF9" w:rsidRDefault="00BF4113" w:rsidP="004B615F">
            <w:pPr>
              <w:jc w:val="center"/>
              <w:rPr>
                <w:sz w:val="18"/>
                <w:szCs w:val="18"/>
              </w:rPr>
            </w:pPr>
            <w:r>
              <w:rPr>
                <w:sz w:val="18"/>
                <w:szCs w:val="18"/>
              </w:rPr>
              <w:t>8%</w:t>
            </w:r>
          </w:p>
        </w:tc>
        <w:tc>
          <w:tcPr>
            <w:tcW w:w="2542" w:type="dxa"/>
          </w:tcPr>
          <w:p w14:paraId="09B6EDA4" w14:textId="77777777" w:rsidR="00BF4113" w:rsidRPr="00646EF9" w:rsidRDefault="00BF4113" w:rsidP="004B615F">
            <w:pPr>
              <w:jc w:val="center"/>
              <w:rPr>
                <w:sz w:val="18"/>
                <w:szCs w:val="18"/>
              </w:rPr>
            </w:pPr>
            <w:r>
              <w:rPr>
                <w:sz w:val="18"/>
                <w:szCs w:val="18"/>
              </w:rPr>
              <w:t>11,7%</w:t>
            </w:r>
          </w:p>
        </w:tc>
        <w:tc>
          <w:tcPr>
            <w:tcW w:w="2419" w:type="dxa"/>
          </w:tcPr>
          <w:p w14:paraId="49C760CE" w14:textId="77777777" w:rsidR="00BF4113" w:rsidRPr="00646EF9" w:rsidRDefault="00BF4113" w:rsidP="004B615F">
            <w:pPr>
              <w:jc w:val="center"/>
              <w:rPr>
                <w:sz w:val="18"/>
                <w:szCs w:val="18"/>
              </w:rPr>
            </w:pPr>
            <w:r>
              <w:rPr>
                <w:sz w:val="18"/>
                <w:szCs w:val="18"/>
              </w:rPr>
              <w:t>6,578</w:t>
            </w:r>
          </w:p>
        </w:tc>
      </w:tr>
      <w:tr w:rsidR="00BF4113" w:rsidRPr="00646EF9" w14:paraId="5BA35970" w14:textId="77777777" w:rsidTr="008A3264">
        <w:trPr>
          <w:jc w:val="center"/>
        </w:trPr>
        <w:tc>
          <w:tcPr>
            <w:tcW w:w="1706" w:type="dxa"/>
          </w:tcPr>
          <w:p w14:paraId="347B70C6" w14:textId="77777777" w:rsidR="00BF4113" w:rsidRPr="00646EF9" w:rsidRDefault="00BF4113" w:rsidP="00486683">
            <w:pPr>
              <w:rPr>
                <w:sz w:val="18"/>
                <w:szCs w:val="18"/>
              </w:rPr>
            </w:pPr>
            <w:proofErr w:type="spellStart"/>
            <w:r w:rsidRPr="00DB4296">
              <w:rPr>
                <w:sz w:val="18"/>
                <w:szCs w:val="18"/>
              </w:rPr>
              <w:t>Microtransformador</w:t>
            </w:r>
            <w:proofErr w:type="spellEnd"/>
          </w:p>
        </w:tc>
        <w:tc>
          <w:tcPr>
            <w:tcW w:w="2410" w:type="dxa"/>
          </w:tcPr>
          <w:p w14:paraId="7EA22DE6" w14:textId="77777777" w:rsidR="00BF4113" w:rsidRPr="00646EF9" w:rsidRDefault="00BF4113" w:rsidP="004B615F">
            <w:pPr>
              <w:jc w:val="center"/>
              <w:rPr>
                <w:sz w:val="18"/>
                <w:szCs w:val="18"/>
              </w:rPr>
            </w:pPr>
            <w:r>
              <w:rPr>
                <w:sz w:val="18"/>
                <w:szCs w:val="18"/>
              </w:rPr>
              <w:t>16%</w:t>
            </w:r>
          </w:p>
        </w:tc>
        <w:tc>
          <w:tcPr>
            <w:tcW w:w="2542" w:type="dxa"/>
          </w:tcPr>
          <w:p w14:paraId="2EC7D152" w14:textId="77777777" w:rsidR="00BF4113" w:rsidRPr="00646EF9" w:rsidRDefault="00BF4113" w:rsidP="004B615F">
            <w:pPr>
              <w:jc w:val="center"/>
              <w:rPr>
                <w:sz w:val="18"/>
                <w:szCs w:val="18"/>
              </w:rPr>
            </w:pPr>
            <w:r>
              <w:rPr>
                <w:sz w:val="18"/>
                <w:szCs w:val="18"/>
              </w:rPr>
              <w:t>5,1%</w:t>
            </w:r>
          </w:p>
        </w:tc>
        <w:tc>
          <w:tcPr>
            <w:tcW w:w="2419" w:type="dxa"/>
          </w:tcPr>
          <w:p w14:paraId="42B60324" w14:textId="77777777" w:rsidR="00BF4113" w:rsidRPr="00646EF9" w:rsidRDefault="00BF4113" w:rsidP="004B615F">
            <w:pPr>
              <w:jc w:val="center"/>
              <w:rPr>
                <w:sz w:val="18"/>
                <w:szCs w:val="18"/>
              </w:rPr>
            </w:pPr>
            <w:r>
              <w:rPr>
                <w:sz w:val="18"/>
                <w:szCs w:val="18"/>
              </w:rPr>
              <w:t>0,812</w:t>
            </w:r>
          </w:p>
        </w:tc>
      </w:tr>
      <w:tr w:rsidR="00BF4113" w:rsidRPr="00646EF9" w14:paraId="022B5C2C" w14:textId="77777777" w:rsidTr="008A3264">
        <w:trPr>
          <w:jc w:val="center"/>
        </w:trPr>
        <w:tc>
          <w:tcPr>
            <w:tcW w:w="1706" w:type="dxa"/>
          </w:tcPr>
          <w:p w14:paraId="24AB03F7" w14:textId="77777777" w:rsidR="00BF4113" w:rsidRPr="00646EF9" w:rsidRDefault="00BF4113" w:rsidP="00486683">
            <w:pPr>
              <w:rPr>
                <w:sz w:val="18"/>
                <w:szCs w:val="18"/>
              </w:rPr>
            </w:pPr>
            <w:proofErr w:type="spellStart"/>
            <w:r w:rsidRPr="00DB4296">
              <w:rPr>
                <w:sz w:val="18"/>
                <w:szCs w:val="18"/>
              </w:rPr>
              <w:t>Retalhista</w:t>
            </w:r>
            <w:proofErr w:type="spellEnd"/>
          </w:p>
        </w:tc>
        <w:tc>
          <w:tcPr>
            <w:tcW w:w="2410" w:type="dxa"/>
          </w:tcPr>
          <w:p w14:paraId="4FC3F23F" w14:textId="77777777" w:rsidR="00BF4113" w:rsidRPr="00646EF9" w:rsidRDefault="00BF4113" w:rsidP="004B615F">
            <w:pPr>
              <w:jc w:val="center"/>
              <w:rPr>
                <w:sz w:val="18"/>
                <w:szCs w:val="18"/>
              </w:rPr>
            </w:pPr>
            <w:r>
              <w:rPr>
                <w:sz w:val="18"/>
                <w:szCs w:val="18"/>
              </w:rPr>
              <w:t>0%</w:t>
            </w:r>
          </w:p>
        </w:tc>
        <w:tc>
          <w:tcPr>
            <w:tcW w:w="2542" w:type="dxa"/>
          </w:tcPr>
          <w:p w14:paraId="2B313AB9" w14:textId="77777777" w:rsidR="00BF4113" w:rsidRPr="00646EF9" w:rsidRDefault="00BF4113" w:rsidP="004B615F">
            <w:pPr>
              <w:jc w:val="center"/>
              <w:rPr>
                <w:sz w:val="18"/>
                <w:szCs w:val="18"/>
              </w:rPr>
            </w:pPr>
            <w:r>
              <w:rPr>
                <w:sz w:val="18"/>
                <w:szCs w:val="18"/>
              </w:rPr>
              <w:t>253,9%</w:t>
            </w:r>
          </w:p>
        </w:tc>
        <w:tc>
          <w:tcPr>
            <w:tcW w:w="2419" w:type="dxa"/>
          </w:tcPr>
          <w:p w14:paraId="1AA68AE6" w14:textId="77777777" w:rsidR="00BF4113" w:rsidRPr="00646EF9" w:rsidRDefault="00BF4113" w:rsidP="004B615F">
            <w:pPr>
              <w:jc w:val="center"/>
              <w:rPr>
                <w:sz w:val="18"/>
                <w:szCs w:val="18"/>
              </w:rPr>
            </w:pPr>
            <w:r>
              <w:rPr>
                <w:sz w:val="18"/>
                <w:szCs w:val="18"/>
              </w:rPr>
              <w:t>0,275</w:t>
            </w:r>
          </w:p>
        </w:tc>
      </w:tr>
      <w:tr w:rsidR="00BF4113" w:rsidRPr="00646EF9" w14:paraId="6E95ECF1" w14:textId="77777777" w:rsidTr="008A3264">
        <w:trPr>
          <w:jc w:val="center"/>
        </w:trPr>
        <w:tc>
          <w:tcPr>
            <w:tcW w:w="1706" w:type="dxa"/>
          </w:tcPr>
          <w:p w14:paraId="547BA374" w14:textId="77777777" w:rsidR="00BF4113" w:rsidRPr="00646EF9" w:rsidRDefault="00BF4113" w:rsidP="00486683">
            <w:pPr>
              <w:rPr>
                <w:sz w:val="18"/>
                <w:szCs w:val="18"/>
              </w:rPr>
            </w:pPr>
            <w:proofErr w:type="spellStart"/>
            <w:r w:rsidRPr="00DB4296">
              <w:rPr>
                <w:sz w:val="18"/>
                <w:szCs w:val="18"/>
              </w:rPr>
              <w:t>Grossiste</w:t>
            </w:r>
            <w:proofErr w:type="spellEnd"/>
            <w:r w:rsidRPr="00DB4296">
              <w:rPr>
                <w:sz w:val="18"/>
                <w:szCs w:val="18"/>
              </w:rPr>
              <w:t xml:space="preserve"> BISSAU</w:t>
            </w:r>
          </w:p>
        </w:tc>
        <w:tc>
          <w:tcPr>
            <w:tcW w:w="2410" w:type="dxa"/>
          </w:tcPr>
          <w:p w14:paraId="263A7E13" w14:textId="77777777" w:rsidR="00BF4113" w:rsidRPr="00646EF9" w:rsidRDefault="00BF4113" w:rsidP="004B615F">
            <w:pPr>
              <w:jc w:val="center"/>
              <w:rPr>
                <w:sz w:val="18"/>
                <w:szCs w:val="18"/>
              </w:rPr>
            </w:pPr>
            <w:r>
              <w:rPr>
                <w:sz w:val="18"/>
                <w:szCs w:val="18"/>
              </w:rPr>
              <w:t>50%</w:t>
            </w:r>
          </w:p>
        </w:tc>
        <w:tc>
          <w:tcPr>
            <w:tcW w:w="2542" w:type="dxa"/>
          </w:tcPr>
          <w:p w14:paraId="2D035CB8" w14:textId="77777777" w:rsidR="00BF4113" w:rsidRPr="00646EF9" w:rsidRDefault="00BF4113" w:rsidP="004B615F">
            <w:pPr>
              <w:jc w:val="center"/>
              <w:rPr>
                <w:sz w:val="18"/>
                <w:szCs w:val="18"/>
              </w:rPr>
            </w:pPr>
            <w:r>
              <w:rPr>
                <w:sz w:val="18"/>
                <w:szCs w:val="18"/>
              </w:rPr>
              <w:t>1%</w:t>
            </w:r>
          </w:p>
        </w:tc>
        <w:tc>
          <w:tcPr>
            <w:tcW w:w="2419" w:type="dxa"/>
          </w:tcPr>
          <w:p w14:paraId="7508D30F" w14:textId="77777777" w:rsidR="00BF4113" w:rsidRPr="00646EF9" w:rsidRDefault="00BF4113" w:rsidP="004B615F">
            <w:pPr>
              <w:jc w:val="center"/>
              <w:rPr>
                <w:sz w:val="18"/>
                <w:szCs w:val="18"/>
              </w:rPr>
            </w:pPr>
            <w:r>
              <w:rPr>
                <w:sz w:val="18"/>
                <w:szCs w:val="18"/>
              </w:rPr>
              <w:t>147,385</w:t>
            </w:r>
          </w:p>
        </w:tc>
      </w:tr>
      <w:tr w:rsidR="00BF4113" w:rsidRPr="00646EF9" w14:paraId="4B823D53" w14:textId="77777777" w:rsidTr="008A3264">
        <w:trPr>
          <w:jc w:val="center"/>
        </w:trPr>
        <w:tc>
          <w:tcPr>
            <w:tcW w:w="1706" w:type="dxa"/>
          </w:tcPr>
          <w:p w14:paraId="08AFDB8E" w14:textId="77777777" w:rsidR="00BF4113" w:rsidRPr="00646EF9" w:rsidRDefault="00BF4113" w:rsidP="00486683">
            <w:pPr>
              <w:rPr>
                <w:sz w:val="18"/>
                <w:szCs w:val="18"/>
              </w:rPr>
            </w:pPr>
            <w:proofErr w:type="spellStart"/>
            <w:r w:rsidRPr="00DB4296">
              <w:rPr>
                <w:sz w:val="18"/>
                <w:szCs w:val="18"/>
              </w:rPr>
              <w:t>Retalhista</w:t>
            </w:r>
            <w:proofErr w:type="spellEnd"/>
            <w:r w:rsidRPr="00DB4296">
              <w:rPr>
                <w:sz w:val="18"/>
                <w:szCs w:val="18"/>
              </w:rPr>
              <w:t xml:space="preserve"> BISSAU</w:t>
            </w:r>
          </w:p>
        </w:tc>
        <w:tc>
          <w:tcPr>
            <w:tcW w:w="2410" w:type="dxa"/>
          </w:tcPr>
          <w:p w14:paraId="5D868FC1" w14:textId="77777777" w:rsidR="00BF4113" w:rsidRPr="00646EF9" w:rsidRDefault="00BF4113" w:rsidP="004B615F">
            <w:pPr>
              <w:jc w:val="center"/>
              <w:rPr>
                <w:sz w:val="18"/>
                <w:szCs w:val="18"/>
              </w:rPr>
            </w:pPr>
            <w:r>
              <w:rPr>
                <w:sz w:val="18"/>
                <w:szCs w:val="18"/>
              </w:rPr>
              <w:t>15%</w:t>
            </w:r>
          </w:p>
        </w:tc>
        <w:tc>
          <w:tcPr>
            <w:tcW w:w="2542" w:type="dxa"/>
          </w:tcPr>
          <w:p w14:paraId="0E45CFA9" w14:textId="77777777" w:rsidR="00BF4113" w:rsidRPr="00646EF9" w:rsidRDefault="00BF4113" w:rsidP="004B615F">
            <w:pPr>
              <w:jc w:val="center"/>
              <w:rPr>
                <w:sz w:val="18"/>
                <w:szCs w:val="18"/>
              </w:rPr>
            </w:pPr>
            <w:r>
              <w:rPr>
                <w:sz w:val="18"/>
                <w:szCs w:val="18"/>
              </w:rPr>
              <w:t>5,9%</w:t>
            </w:r>
          </w:p>
        </w:tc>
        <w:tc>
          <w:tcPr>
            <w:tcW w:w="2419" w:type="dxa"/>
          </w:tcPr>
          <w:p w14:paraId="273C3321" w14:textId="77777777" w:rsidR="00BF4113" w:rsidRPr="00646EF9" w:rsidRDefault="00BF4113" w:rsidP="004B615F">
            <w:pPr>
              <w:jc w:val="center"/>
              <w:rPr>
                <w:sz w:val="18"/>
                <w:szCs w:val="18"/>
              </w:rPr>
            </w:pPr>
            <w:r>
              <w:rPr>
                <w:sz w:val="18"/>
                <w:szCs w:val="18"/>
              </w:rPr>
              <w:t>57,964</w:t>
            </w:r>
          </w:p>
        </w:tc>
      </w:tr>
      <w:tr w:rsidR="00BF4113" w:rsidRPr="00646EF9" w14:paraId="6F49511F" w14:textId="77777777" w:rsidTr="008A3264">
        <w:trPr>
          <w:jc w:val="center"/>
        </w:trPr>
        <w:tc>
          <w:tcPr>
            <w:tcW w:w="1706" w:type="dxa"/>
          </w:tcPr>
          <w:p w14:paraId="5E7765CD" w14:textId="77777777" w:rsidR="00BF4113" w:rsidRPr="00646EF9" w:rsidRDefault="00BF4113" w:rsidP="00486683">
            <w:pPr>
              <w:rPr>
                <w:b/>
                <w:bCs/>
                <w:sz w:val="18"/>
                <w:szCs w:val="18"/>
              </w:rPr>
            </w:pPr>
            <w:r w:rsidRPr="00646EF9">
              <w:rPr>
                <w:b/>
                <w:bCs/>
                <w:sz w:val="18"/>
                <w:szCs w:val="18"/>
              </w:rPr>
              <w:t>CADEIA DE VALOR</w:t>
            </w:r>
          </w:p>
        </w:tc>
        <w:tc>
          <w:tcPr>
            <w:tcW w:w="2410" w:type="dxa"/>
          </w:tcPr>
          <w:p w14:paraId="258962B5" w14:textId="77777777" w:rsidR="00BF4113" w:rsidRPr="00286355" w:rsidRDefault="00BF4113" w:rsidP="004B615F">
            <w:pPr>
              <w:jc w:val="center"/>
              <w:rPr>
                <w:b/>
                <w:sz w:val="18"/>
                <w:szCs w:val="18"/>
              </w:rPr>
            </w:pPr>
            <w:r w:rsidRPr="00286355">
              <w:rPr>
                <w:b/>
                <w:sz w:val="18"/>
                <w:szCs w:val="18"/>
              </w:rPr>
              <w:t>62%</w:t>
            </w:r>
          </w:p>
        </w:tc>
        <w:tc>
          <w:tcPr>
            <w:tcW w:w="2542" w:type="dxa"/>
          </w:tcPr>
          <w:p w14:paraId="229C8F8D" w14:textId="77777777" w:rsidR="00BF4113" w:rsidRPr="00C36884" w:rsidRDefault="00BF4113" w:rsidP="004B615F">
            <w:pPr>
              <w:jc w:val="center"/>
              <w:rPr>
                <w:b/>
                <w:sz w:val="18"/>
                <w:szCs w:val="18"/>
              </w:rPr>
            </w:pPr>
            <w:r>
              <w:rPr>
                <w:b/>
                <w:sz w:val="18"/>
                <w:szCs w:val="18"/>
              </w:rPr>
              <w:t>61,2%</w:t>
            </w:r>
          </w:p>
        </w:tc>
        <w:tc>
          <w:tcPr>
            <w:tcW w:w="2419" w:type="dxa"/>
          </w:tcPr>
          <w:p w14:paraId="6B3BC6DF" w14:textId="77777777" w:rsidR="00BF4113" w:rsidRPr="00C36884" w:rsidRDefault="00BF4113" w:rsidP="004B615F">
            <w:pPr>
              <w:jc w:val="center"/>
              <w:rPr>
                <w:b/>
                <w:sz w:val="18"/>
                <w:szCs w:val="18"/>
              </w:rPr>
            </w:pPr>
          </w:p>
        </w:tc>
      </w:tr>
    </w:tbl>
    <w:p w14:paraId="7AA067CF" w14:textId="336F360D" w:rsidR="00BF4113" w:rsidRPr="004E65BE" w:rsidRDefault="00800AF0" w:rsidP="007D3A26">
      <w:pPr>
        <w:pStyle w:val="Caption"/>
      </w:pPr>
      <w:r w:rsidRPr="004E65BE">
        <w:t>Quadro 3-5: indicadores de desempenho económico atual</w:t>
      </w:r>
    </w:p>
    <w:p w14:paraId="76BB6589" w14:textId="0226CE5D" w:rsidR="00BF4113" w:rsidRPr="009217ED" w:rsidRDefault="00BF4113" w:rsidP="00815270">
      <w:pPr>
        <w:pStyle w:val="Heading2"/>
        <w:numPr>
          <w:ilvl w:val="1"/>
          <w:numId w:val="42"/>
        </w:numPr>
      </w:pPr>
      <w:bookmarkStart w:id="206" w:name="_Toc220507519"/>
      <w:r w:rsidRPr="009217ED">
        <w:t>Consolidação das contas da CV</w:t>
      </w:r>
      <w:bookmarkEnd w:id="206"/>
    </w:p>
    <w:p w14:paraId="0E3323D8" w14:textId="77777777" w:rsidR="00BF4113" w:rsidRPr="006C7A77" w:rsidRDefault="00BF4113" w:rsidP="00BF4113">
      <w:pPr>
        <w:rPr>
          <w:rFonts w:asciiTheme="minorHAnsi" w:eastAsiaTheme="majorEastAsia" w:hAnsiTheme="minorHAnsi" w:cstheme="minorHAnsi"/>
          <w:szCs w:val="20"/>
        </w:rPr>
      </w:pPr>
      <w:r w:rsidRPr="006C7A77">
        <w:rPr>
          <w:rFonts w:asciiTheme="minorHAnsi" w:eastAsiaTheme="majorEastAsia" w:hAnsiTheme="minorHAnsi" w:cstheme="minorHAnsi"/>
          <w:szCs w:val="20"/>
        </w:rPr>
        <w:t xml:space="preserve">As contas de produção-exploração de todos os atores do CV (por tipo) são consolidadas em uma única conta de produção-exploração que captura todos os fluxos no CV </w:t>
      </w:r>
      <w:r w:rsidRPr="00C45457">
        <w:rPr>
          <w:rFonts w:asciiTheme="minorHAnsi" w:eastAsiaTheme="majorEastAsia" w:hAnsiTheme="minorHAnsi" w:cstheme="minorHAnsi"/>
          <w:szCs w:val="20"/>
        </w:rPr>
        <w:t>(Quadro 3-6),</w:t>
      </w:r>
      <w:r w:rsidRPr="006C7A77">
        <w:rPr>
          <w:rFonts w:asciiTheme="minorHAnsi" w:eastAsiaTheme="majorEastAsia" w:hAnsiTheme="minorHAnsi" w:cstheme="minorHAnsi"/>
          <w:szCs w:val="20"/>
        </w:rPr>
        <w:t xml:space="preserve"> a fim de avaliar o impacto do CV tanto nos atores do CV quanto no restante da economia.</w:t>
      </w:r>
    </w:p>
    <w:tbl>
      <w:tblPr>
        <w:tblStyle w:val="Tablaconcuadrcula1"/>
        <w:tblpPr w:leftFromText="180" w:rightFromText="180" w:vertAnchor="text" w:horzAnchor="margin" w:tblpXSpec="center" w:tblpY="67"/>
        <w:tblW w:w="9209" w:type="dxa"/>
        <w:tblLayout w:type="fixed"/>
        <w:tblLook w:val="04A0" w:firstRow="1" w:lastRow="0" w:firstColumn="1" w:lastColumn="0" w:noHBand="0" w:noVBand="1"/>
      </w:tblPr>
      <w:tblGrid>
        <w:gridCol w:w="988"/>
        <w:gridCol w:w="850"/>
        <w:gridCol w:w="992"/>
        <w:gridCol w:w="1134"/>
        <w:gridCol w:w="1276"/>
        <w:gridCol w:w="1134"/>
        <w:gridCol w:w="992"/>
        <w:gridCol w:w="993"/>
        <w:gridCol w:w="850"/>
      </w:tblGrid>
      <w:tr w:rsidR="009E0E25" w:rsidRPr="00646EF9" w14:paraId="0B73530A" w14:textId="77777777" w:rsidTr="00FA54E0">
        <w:trPr>
          <w:tblHeader/>
        </w:trPr>
        <w:tc>
          <w:tcPr>
            <w:tcW w:w="988" w:type="dxa"/>
            <w:shd w:val="clear" w:color="auto" w:fill="336666"/>
            <w:vAlign w:val="center"/>
          </w:tcPr>
          <w:p w14:paraId="5AF2DEAC" w14:textId="77777777" w:rsidR="00BF4113" w:rsidRPr="004B6B4A" w:rsidRDefault="00BF4113" w:rsidP="009E0E25">
            <w:pPr>
              <w:jc w:val="center"/>
              <w:rPr>
                <w:rFonts w:cs="Calibri"/>
                <w:b/>
                <w:bCs/>
                <w:color w:val="FFFFFF" w:themeColor="background1"/>
                <w:sz w:val="18"/>
                <w:szCs w:val="18"/>
                <w:lang w:val="pt-BR"/>
              </w:rPr>
            </w:pPr>
          </w:p>
          <w:p w14:paraId="32555815" w14:textId="77777777" w:rsidR="00BF4113" w:rsidRPr="009E0E25" w:rsidRDefault="00BF4113" w:rsidP="009E0E25">
            <w:pPr>
              <w:jc w:val="center"/>
              <w:rPr>
                <w:rFonts w:cs="Calibri"/>
                <w:b/>
                <w:bCs/>
                <w:color w:val="FFFFFF" w:themeColor="background1"/>
                <w:sz w:val="18"/>
                <w:szCs w:val="18"/>
              </w:rPr>
            </w:pPr>
            <w:r w:rsidRPr="009E0E25">
              <w:rPr>
                <w:rFonts w:cs="Calibri"/>
                <w:b/>
                <w:bCs/>
                <w:color w:val="FFFFFF" w:themeColor="background1"/>
                <w:sz w:val="18"/>
                <w:szCs w:val="18"/>
              </w:rPr>
              <w:t>Ator</w:t>
            </w:r>
          </w:p>
        </w:tc>
        <w:tc>
          <w:tcPr>
            <w:tcW w:w="850" w:type="dxa"/>
            <w:shd w:val="clear" w:color="auto" w:fill="336666"/>
            <w:vAlign w:val="center"/>
          </w:tcPr>
          <w:p w14:paraId="0F20F12D" w14:textId="77777777" w:rsidR="00BF4113" w:rsidRPr="009E0E25" w:rsidRDefault="00BF4113" w:rsidP="009E0E25">
            <w:pPr>
              <w:jc w:val="center"/>
              <w:rPr>
                <w:rFonts w:cs="Calibri"/>
                <w:b/>
                <w:bCs/>
                <w:color w:val="FFFFFF" w:themeColor="background1"/>
                <w:sz w:val="18"/>
                <w:szCs w:val="18"/>
              </w:rPr>
            </w:pPr>
            <w:proofErr w:type="spellStart"/>
            <w:r w:rsidRPr="009E0E25">
              <w:rPr>
                <w:rFonts w:cs="Calibri"/>
                <w:b/>
                <w:bCs/>
                <w:color w:val="FFFFFF" w:themeColor="background1"/>
                <w:sz w:val="18"/>
                <w:szCs w:val="18"/>
              </w:rPr>
              <w:t>Salários</w:t>
            </w:r>
            <w:proofErr w:type="spellEnd"/>
          </w:p>
        </w:tc>
        <w:tc>
          <w:tcPr>
            <w:tcW w:w="992" w:type="dxa"/>
            <w:shd w:val="clear" w:color="auto" w:fill="336666"/>
            <w:vAlign w:val="center"/>
          </w:tcPr>
          <w:p w14:paraId="7DD11320" w14:textId="77777777" w:rsidR="00BF4113" w:rsidRPr="009E0E25" w:rsidRDefault="00BF4113" w:rsidP="009E0E25">
            <w:pPr>
              <w:jc w:val="center"/>
              <w:rPr>
                <w:rFonts w:cs="Calibri"/>
                <w:b/>
                <w:bCs/>
                <w:color w:val="FFFFFF" w:themeColor="background1"/>
                <w:sz w:val="18"/>
                <w:szCs w:val="18"/>
              </w:rPr>
            </w:pPr>
            <w:proofErr w:type="spellStart"/>
            <w:r w:rsidRPr="009E0E25">
              <w:rPr>
                <w:rFonts w:cs="Calibri"/>
                <w:b/>
                <w:bCs/>
                <w:color w:val="FFFFFF" w:themeColor="background1"/>
                <w:sz w:val="18"/>
                <w:szCs w:val="18"/>
              </w:rPr>
              <w:t>Impostos</w:t>
            </w:r>
            <w:proofErr w:type="spellEnd"/>
          </w:p>
        </w:tc>
        <w:tc>
          <w:tcPr>
            <w:tcW w:w="1134" w:type="dxa"/>
            <w:shd w:val="clear" w:color="auto" w:fill="336666"/>
            <w:vAlign w:val="center"/>
          </w:tcPr>
          <w:p w14:paraId="58D7B347" w14:textId="77777777" w:rsidR="00BF4113" w:rsidRPr="009E0E25" w:rsidRDefault="00BF4113" w:rsidP="009E0E25">
            <w:pPr>
              <w:jc w:val="center"/>
              <w:rPr>
                <w:rFonts w:cs="Calibri"/>
                <w:b/>
                <w:bCs/>
                <w:color w:val="FFFFFF" w:themeColor="background1"/>
                <w:sz w:val="18"/>
                <w:szCs w:val="18"/>
              </w:rPr>
            </w:pPr>
            <w:proofErr w:type="spellStart"/>
            <w:r w:rsidRPr="009E0E25">
              <w:rPr>
                <w:rFonts w:cs="Calibri"/>
                <w:b/>
                <w:bCs/>
                <w:color w:val="FFFFFF" w:themeColor="background1"/>
                <w:sz w:val="18"/>
                <w:szCs w:val="18"/>
              </w:rPr>
              <w:t>Custos</w:t>
            </w:r>
            <w:proofErr w:type="spellEnd"/>
            <w:r w:rsidRPr="009E0E25">
              <w:rPr>
                <w:rFonts w:cs="Calibri"/>
                <w:b/>
                <w:bCs/>
                <w:color w:val="FFFFFF" w:themeColor="background1"/>
                <w:sz w:val="18"/>
                <w:szCs w:val="18"/>
              </w:rPr>
              <w:t xml:space="preserve"> </w:t>
            </w:r>
            <w:proofErr w:type="spellStart"/>
            <w:r w:rsidRPr="009E0E25">
              <w:rPr>
                <w:rFonts w:cs="Calibri"/>
                <w:b/>
                <w:bCs/>
                <w:color w:val="FFFFFF" w:themeColor="background1"/>
                <w:sz w:val="18"/>
                <w:szCs w:val="18"/>
              </w:rPr>
              <w:t>financeiros</w:t>
            </w:r>
            <w:proofErr w:type="spellEnd"/>
          </w:p>
        </w:tc>
        <w:tc>
          <w:tcPr>
            <w:tcW w:w="1276" w:type="dxa"/>
            <w:shd w:val="clear" w:color="auto" w:fill="336666"/>
            <w:vAlign w:val="center"/>
          </w:tcPr>
          <w:p w14:paraId="66057FFC" w14:textId="77777777" w:rsidR="00BF4113" w:rsidRPr="009E0E25" w:rsidRDefault="00BF4113" w:rsidP="009E0E25">
            <w:pPr>
              <w:jc w:val="center"/>
              <w:rPr>
                <w:rFonts w:cs="Calibri"/>
                <w:b/>
                <w:bCs/>
                <w:color w:val="FFFFFF" w:themeColor="background1"/>
                <w:sz w:val="18"/>
                <w:szCs w:val="18"/>
              </w:rPr>
            </w:pPr>
            <w:proofErr w:type="spellStart"/>
            <w:r w:rsidRPr="009E0E25">
              <w:rPr>
                <w:rFonts w:cs="Calibri"/>
                <w:b/>
                <w:bCs/>
                <w:color w:val="FFFFFF" w:themeColor="background1"/>
                <w:sz w:val="18"/>
                <w:szCs w:val="18"/>
              </w:rPr>
              <w:t>Amortização</w:t>
            </w:r>
            <w:proofErr w:type="spellEnd"/>
          </w:p>
        </w:tc>
        <w:tc>
          <w:tcPr>
            <w:tcW w:w="1134" w:type="dxa"/>
            <w:shd w:val="clear" w:color="auto" w:fill="336666"/>
            <w:vAlign w:val="center"/>
          </w:tcPr>
          <w:p w14:paraId="7C0BD48A" w14:textId="33DD837C" w:rsidR="00BF4113" w:rsidRPr="009E0E25" w:rsidRDefault="00BF4113" w:rsidP="009E0E25">
            <w:pPr>
              <w:jc w:val="center"/>
              <w:rPr>
                <w:rFonts w:cs="Calibri"/>
                <w:b/>
                <w:bCs/>
                <w:color w:val="FFFFFF" w:themeColor="background1"/>
                <w:sz w:val="18"/>
                <w:szCs w:val="18"/>
              </w:rPr>
            </w:pPr>
            <w:r w:rsidRPr="009E0E25">
              <w:rPr>
                <w:rFonts w:cs="Calibri"/>
                <w:b/>
                <w:bCs/>
                <w:color w:val="FFFFFF" w:themeColor="background1"/>
                <w:sz w:val="18"/>
                <w:szCs w:val="18"/>
              </w:rPr>
              <w:t>Lucro Operacional Líquido</w:t>
            </w:r>
          </w:p>
        </w:tc>
        <w:tc>
          <w:tcPr>
            <w:tcW w:w="992" w:type="dxa"/>
            <w:shd w:val="clear" w:color="auto" w:fill="336666"/>
            <w:vAlign w:val="center"/>
          </w:tcPr>
          <w:p w14:paraId="6CE5A4D8" w14:textId="77777777" w:rsidR="00BF4113" w:rsidRPr="009E0E25" w:rsidRDefault="00BF4113" w:rsidP="009E0E25">
            <w:pPr>
              <w:jc w:val="center"/>
              <w:rPr>
                <w:rFonts w:cs="Calibri"/>
                <w:b/>
                <w:bCs/>
                <w:color w:val="FFFFFF" w:themeColor="background1"/>
                <w:sz w:val="18"/>
                <w:szCs w:val="18"/>
              </w:rPr>
            </w:pPr>
            <w:r w:rsidRPr="009E0E25">
              <w:rPr>
                <w:rFonts w:cs="Calibri"/>
                <w:b/>
                <w:bCs/>
                <w:color w:val="FFFFFF" w:themeColor="background1"/>
                <w:sz w:val="18"/>
                <w:szCs w:val="18"/>
              </w:rPr>
              <w:t>Valor Agregado</w:t>
            </w:r>
          </w:p>
        </w:tc>
        <w:tc>
          <w:tcPr>
            <w:tcW w:w="993" w:type="dxa"/>
            <w:shd w:val="clear" w:color="auto" w:fill="336666"/>
            <w:vAlign w:val="center"/>
          </w:tcPr>
          <w:p w14:paraId="40F1F645" w14:textId="77777777" w:rsidR="00BF4113" w:rsidRPr="009E0E25" w:rsidRDefault="00BF4113" w:rsidP="009E0E25">
            <w:pPr>
              <w:jc w:val="center"/>
              <w:rPr>
                <w:rFonts w:cs="Calibri"/>
                <w:b/>
                <w:bCs/>
                <w:color w:val="FFFFFF" w:themeColor="background1"/>
                <w:sz w:val="18"/>
                <w:szCs w:val="18"/>
              </w:rPr>
            </w:pPr>
            <w:r w:rsidRPr="009E0E25">
              <w:rPr>
                <w:rFonts w:cs="Calibri"/>
                <w:b/>
                <w:bCs/>
                <w:color w:val="FFFFFF" w:themeColor="background1"/>
                <w:sz w:val="18"/>
                <w:szCs w:val="18"/>
              </w:rPr>
              <w:t>Valor</w:t>
            </w:r>
          </w:p>
          <w:p w14:paraId="1D817C07" w14:textId="77777777" w:rsidR="00BF4113" w:rsidRPr="009E0E25" w:rsidRDefault="00BF4113" w:rsidP="009E0E25">
            <w:pPr>
              <w:jc w:val="center"/>
              <w:rPr>
                <w:rFonts w:cs="Calibri"/>
                <w:b/>
                <w:bCs/>
                <w:color w:val="FFFFFF" w:themeColor="background1"/>
                <w:sz w:val="18"/>
                <w:szCs w:val="18"/>
              </w:rPr>
            </w:pPr>
            <w:r w:rsidRPr="009E0E25">
              <w:rPr>
                <w:rFonts w:cs="Calibri"/>
                <w:b/>
                <w:bCs/>
                <w:color w:val="FFFFFF" w:themeColor="background1"/>
                <w:sz w:val="18"/>
                <w:szCs w:val="18"/>
              </w:rPr>
              <w:t xml:space="preserve">agregado/ </w:t>
            </w:r>
            <w:proofErr w:type="spellStart"/>
            <w:r w:rsidRPr="009E0E25">
              <w:rPr>
                <w:rFonts w:cs="Calibri"/>
                <w:b/>
                <w:bCs/>
                <w:color w:val="FFFFFF" w:themeColor="background1"/>
                <w:sz w:val="18"/>
                <w:szCs w:val="18"/>
              </w:rPr>
              <w:t>Produção</w:t>
            </w:r>
            <w:proofErr w:type="spellEnd"/>
          </w:p>
        </w:tc>
        <w:tc>
          <w:tcPr>
            <w:tcW w:w="850" w:type="dxa"/>
            <w:shd w:val="clear" w:color="auto" w:fill="336666"/>
            <w:vAlign w:val="center"/>
          </w:tcPr>
          <w:p w14:paraId="0B7FCC8C" w14:textId="77777777" w:rsidR="00BF4113" w:rsidRPr="009E0E25" w:rsidRDefault="00BF4113" w:rsidP="009E0E25">
            <w:pPr>
              <w:jc w:val="center"/>
              <w:rPr>
                <w:rFonts w:cs="Calibri"/>
                <w:b/>
                <w:bCs/>
                <w:color w:val="FFFFFF" w:themeColor="background1"/>
                <w:sz w:val="18"/>
                <w:szCs w:val="18"/>
              </w:rPr>
            </w:pPr>
            <w:r w:rsidRPr="009E0E25">
              <w:rPr>
                <w:rFonts w:cs="Calibri"/>
                <w:b/>
                <w:bCs/>
                <w:color w:val="FFFFFF" w:themeColor="background1"/>
                <w:sz w:val="18"/>
                <w:szCs w:val="18"/>
              </w:rPr>
              <w:t>Número</w:t>
            </w:r>
          </w:p>
          <w:p w14:paraId="40D6CC95" w14:textId="77777777" w:rsidR="00BF4113" w:rsidRPr="009E0E25" w:rsidRDefault="00BF4113" w:rsidP="009E0E25">
            <w:pPr>
              <w:jc w:val="center"/>
              <w:rPr>
                <w:rFonts w:cs="Calibri"/>
                <w:b/>
                <w:bCs/>
                <w:color w:val="FFFFFF" w:themeColor="background1"/>
                <w:sz w:val="18"/>
                <w:szCs w:val="18"/>
              </w:rPr>
            </w:pPr>
            <w:r w:rsidRPr="009E0E25">
              <w:rPr>
                <w:rFonts w:cs="Calibri"/>
                <w:b/>
                <w:bCs/>
                <w:color w:val="FFFFFF" w:themeColor="background1"/>
                <w:sz w:val="18"/>
                <w:szCs w:val="18"/>
              </w:rPr>
              <w:t>atores</w:t>
            </w:r>
          </w:p>
        </w:tc>
      </w:tr>
      <w:tr w:rsidR="009E0E25" w:rsidRPr="00646EF9" w14:paraId="3F48F2AB" w14:textId="77777777" w:rsidTr="009E0E25">
        <w:tc>
          <w:tcPr>
            <w:tcW w:w="988" w:type="dxa"/>
          </w:tcPr>
          <w:p w14:paraId="6245511E" w14:textId="77777777" w:rsidR="00BF4113" w:rsidRPr="00DB4296" w:rsidRDefault="00BF4113" w:rsidP="009E0E25">
            <w:pPr>
              <w:jc w:val="left"/>
              <w:rPr>
                <w:sz w:val="18"/>
                <w:szCs w:val="18"/>
              </w:rPr>
            </w:pPr>
            <w:r w:rsidRPr="00DB4296">
              <w:rPr>
                <w:sz w:val="18"/>
                <w:szCs w:val="18"/>
              </w:rPr>
              <w:t xml:space="preserve">Grande </w:t>
            </w:r>
            <w:proofErr w:type="spellStart"/>
            <w:r w:rsidRPr="00DB4296">
              <w:rPr>
                <w:sz w:val="18"/>
                <w:szCs w:val="18"/>
              </w:rPr>
              <w:t>produtor</w:t>
            </w:r>
            <w:proofErr w:type="spellEnd"/>
          </w:p>
        </w:tc>
        <w:tc>
          <w:tcPr>
            <w:tcW w:w="850" w:type="dxa"/>
            <w:vAlign w:val="center"/>
          </w:tcPr>
          <w:p w14:paraId="1845C55E" w14:textId="77777777" w:rsidR="00BF4113" w:rsidRDefault="00BF4113" w:rsidP="009E0E25">
            <w:pPr>
              <w:jc w:val="center"/>
              <w:rPr>
                <w:sz w:val="18"/>
                <w:szCs w:val="18"/>
              </w:rPr>
            </w:pPr>
            <w:r>
              <w:rPr>
                <w:sz w:val="18"/>
                <w:szCs w:val="18"/>
              </w:rPr>
              <w:t>44</w:t>
            </w:r>
          </w:p>
        </w:tc>
        <w:tc>
          <w:tcPr>
            <w:tcW w:w="992" w:type="dxa"/>
            <w:vAlign w:val="center"/>
          </w:tcPr>
          <w:p w14:paraId="47B155FA" w14:textId="77777777" w:rsidR="00BF4113" w:rsidRDefault="00BF4113" w:rsidP="009E0E25">
            <w:pPr>
              <w:jc w:val="center"/>
              <w:rPr>
                <w:sz w:val="18"/>
                <w:szCs w:val="18"/>
              </w:rPr>
            </w:pPr>
            <w:r>
              <w:rPr>
                <w:sz w:val="18"/>
                <w:szCs w:val="18"/>
              </w:rPr>
              <w:t>0</w:t>
            </w:r>
          </w:p>
        </w:tc>
        <w:tc>
          <w:tcPr>
            <w:tcW w:w="1134" w:type="dxa"/>
            <w:vAlign w:val="center"/>
          </w:tcPr>
          <w:p w14:paraId="793C45D0" w14:textId="77777777" w:rsidR="00BF4113" w:rsidRDefault="00BF4113" w:rsidP="009E0E25">
            <w:pPr>
              <w:jc w:val="center"/>
              <w:rPr>
                <w:sz w:val="18"/>
                <w:szCs w:val="18"/>
              </w:rPr>
            </w:pPr>
            <w:r>
              <w:rPr>
                <w:sz w:val="18"/>
                <w:szCs w:val="18"/>
              </w:rPr>
              <w:t>0</w:t>
            </w:r>
          </w:p>
        </w:tc>
        <w:tc>
          <w:tcPr>
            <w:tcW w:w="1276" w:type="dxa"/>
            <w:vAlign w:val="center"/>
          </w:tcPr>
          <w:p w14:paraId="184F2F48" w14:textId="77777777" w:rsidR="00BF4113" w:rsidRDefault="00BF4113" w:rsidP="009E0E25">
            <w:pPr>
              <w:jc w:val="center"/>
              <w:rPr>
                <w:sz w:val="18"/>
                <w:szCs w:val="18"/>
              </w:rPr>
            </w:pPr>
            <w:r>
              <w:rPr>
                <w:sz w:val="18"/>
                <w:szCs w:val="18"/>
              </w:rPr>
              <w:t>10</w:t>
            </w:r>
          </w:p>
        </w:tc>
        <w:tc>
          <w:tcPr>
            <w:tcW w:w="1134" w:type="dxa"/>
            <w:vAlign w:val="center"/>
          </w:tcPr>
          <w:p w14:paraId="30D5943B" w14:textId="77777777" w:rsidR="00BF4113" w:rsidRDefault="00BF4113" w:rsidP="009E0E25">
            <w:pPr>
              <w:jc w:val="center"/>
              <w:rPr>
                <w:sz w:val="18"/>
                <w:szCs w:val="18"/>
              </w:rPr>
            </w:pPr>
            <w:r>
              <w:rPr>
                <w:sz w:val="18"/>
                <w:szCs w:val="18"/>
              </w:rPr>
              <w:t>424</w:t>
            </w:r>
          </w:p>
        </w:tc>
        <w:tc>
          <w:tcPr>
            <w:tcW w:w="992" w:type="dxa"/>
            <w:vAlign w:val="center"/>
          </w:tcPr>
          <w:p w14:paraId="0CA46252" w14:textId="77777777" w:rsidR="00BF4113" w:rsidRDefault="00BF4113" w:rsidP="009E0E25">
            <w:pPr>
              <w:jc w:val="center"/>
              <w:rPr>
                <w:sz w:val="18"/>
                <w:szCs w:val="18"/>
              </w:rPr>
            </w:pPr>
            <w:r>
              <w:rPr>
                <w:sz w:val="18"/>
                <w:szCs w:val="18"/>
              </w:rPr>
              <w:t>478</w:t>
            </w:r>
          </w:p>
        </w:tc>
        <w:tc>
          <w:tcPr>
            <w:tcW w:w="993" w:type="dxa"/>
            <w:vAlign w:val="center"/>
          </w:tcPr>
          <w:p w14:paraId="195C90D3" w14:textId="77777777" w:rsidR="00BF4113" w:rsidRDefault="00BF4113" w:rsidP="009E0E25">
            <w:pPr>
              <w:jc w:val="center"/>
              <w:rPr>
                <w:sz w:val="18"/>
                <w:szCs w:val="18"/>
              </w:rPr>
            </w:pPr>
            <w:r>
              <w:rPr>
                <w:sz w:val="18"/>
                <w:szCs w:val="18"/>
              </w:rPr>
              <w:t>50%</w:t>
            </w:r>
          </w:p>
        </w:tc>
        <w:tc>
          <w:tcPr>
            <w:tcW w:w="850" w:type="dxa"/>
            <w:vAlign w:val="center"/>
          </w:tcPr>
          <w:p w14:paraId="0F2CA880" w14:textId="77777777" w:rsidR="00BF4113" w:rsidRDefault="00BF4113" w:rsidP="009E0E25">
            <w:pPr>
              <w:jc w:val="center"/>
              <w:rPr>
                <w:sz w:val="18"/>
                <w:szCs w:val="18"/>
              </w:rPr>
            </w:pPr>
            <w:r>
              <w:rPr>
                <w:sz w:val="18"/>
                <w:szCs w:val="18"/>
              </w:rPr>
              <w:t>4</w:t>
            </w:r>
          </w:p>
        </w:tc>
      </w:tr>
      <w:tr w:rsidR="009E0E25" w:rsidRPr="00646EF9" w14:paraId="38679203" w14:textId="77777777" w:rsidTr="009E0E25">
        <w:tc>
          <w:tcPr>
            <w:tcW w:w="988" w:type="dxa"/>
          </w:tcPr>
          <w:p w14:paraId="6C925E7D" w14:textId="77777777" w:rsidR="00BF4113" w:rsidRPr="00646EF9" w:rsidRDefault="00BF4113" w:rsidP="009E0E25">
            <w:pPr>
              <w:jc w:val="left"/>
              <w:rPr>
                <w:sz w:val="18"/>
                <w:szCs w:val="18"/>
              </w:rPr>
            </w:pPr>
            <w:r w:rsidRPr="00DB4296">
              <w:rPr>
                <w:sz w:val="18"/>
                <w:szCs w:val="18"/>
              </w:rPr>
              <w:t xml:space="preserve">Mediano </w:t>
            </w:r>
            <w:proofErr w:type="spellStart"/>
            <w:r w:rsidRPr="00DB4296">
              <w:rPr>
                <w:sz w:val="18"/>
                <w:szCs w:val="18"/>
              </w:rPr>
              <w:t>produtor</w:t>
            </w:r>
            <w:proofErr w:type="spellEnd"/>
          </w:p>
        </w:tc>
        <w:tc>
          <w:tcPr>
            <w:tcW w:w="850" w:type="dxa"/>
            <w:vAlign w:val="center"/>
          </w:tcPr>
          <w:p w14:paraId="463FCF7B" w14:textId="77777777" w:rsidR="00BF4113" w:rsidRPr="00646EF9" w:rsidRDefault="00BF4113" w:rsidP="009E0E25">
            <w:pPr>
              <w:jc w:val="center"/>
              <w:rPr>
                <w:sz w:val="18"/>
                <w:szCs w:val="18"/>
              </w:rPr>
            </w:pPr>
            <w:r>
              <w:rPr>
                <w:sz w:val="18"/>
                <w:szCs w:val="18"/>
              </w:rPr>
              <w:t>85</w:t>
            </w:r>
          </w:p>
        </w:tc>
        <w:tc>
          <w:tcPr>
            <w:tcW w:w="992" w:type="dxa"/>
            <w:vAlign w:val="center"/>
          </w:tcPr>
          <w:p w14:paraId="19077515" w14:textId="77777777" w:rsidR="00BF4113" w:rsidRPr="00646EF9" w:rsidRDefault="00BF4113" w:rsidP="009E0E25">
            <w:pPr>
              <w:jc w:val="center"/>
              <w:rPr>
                <w:sz w:val="18"/>
                <w:szCs w:val="18"/>
              </w:rPr>
            </w:pPr>
            <w:r>
              <w:rPr>
                <w:sz w:val="18"/>
                <w:szCs w:val="18"/>
              </w:rPr>
              <w:t>0</w:t>
            </w:r>
          </w:p>
        </w:tc>
        <w:tc>
          <w:tcPr>
            <w:tcW w:w="1134" w:type="dxa"/>
            <w:vAlign w:val="center"/>
          </w:tcPr>
          <w:p w14:paraId="4E236079" w14:textId="77777777" w:rsidR="00BF4113" w:rsidRPr="00646EF9" w:rsidRDefault="00BF4113" w:rsidP="009E0E25">
            <w:pPr>
              <w:jc w:val="center"/>
              <w:rPr>
                <w:sz w:val="18"/>
                <w:szCs w:val="18"/>
              </w:rPr>
            </w:pPr>
            <w:r>
              <w:rPr>
                <w:sz w:val="18"/>
                <w:szCs w:val="18"/>
              </w:rPr>
              <w:t>0</w:t>
            </w:r>
          </w:p>
        </w:tc>
        <w:tc>
          <w:tcPr>
            <w:tcW w:w="1276" w:type="dxa"/>
            <w:vAlign w:val="center"/>
          </w:tcPr>
          <w:p w14:paraId="3E38E47D" w14:textId="77777777" w:rsidR="00BF4113" w:rsidRPr="00646EF9" w:rsidRDefault="00BF4113" w:rsidP="009E0E25">
            <w:pPr>
              <w:jc w:val="center"/>
              <w:rPr>
                <w:sz w:val="18"/>
                <w:szCs w:val="18"/>
              </w:rPr>
            </w:pPr>
            <w:r>
              <w:rPr>
                <w:sz w:val="18"/>
                <w:szCs w:val="18"/>
              </w:rPr>
              <w:t>10</w:t>
            </w:r>
          </w:p>
        </w:tc>
        <w:tc>
          <w:tcPr>
            <w:tcW w:w="1134" w:type="dxa"/>
            <w:vAlign w:val="center"/>
          </w:tcPr>
          <w:p w14:paraId="27A263C8" w14:textId="77777777" w:rsidR="00BF4113" w:rsidRPr="00646EF9" w:rsidRDefault="00BF4113" w:rsidP="009E0E25">
            <w:pPr>
              <w:jc w:val="center"/>
              <w:rPr>
                <w:sz w:val="18"/>
                <w:szCs w:val="18"/>
              </w:rPr>
            </w:pPr>
            <w:r>
              <w:rPr>
                <w:sz w:val="18"/>
                <w:szCs w:val="18"/>
              </w:rPr>
              <w:t>255</w:t>
            </w:r>
          </w:p>
        </w:tc>
        <w:tc>
          <w:tcPr>
            <w:tcW w:w="992" w:type="dxa"/>
            <w:vAlign w:val="center"/>
          </w:tcPr>
          <w:p w14:paraId="1BDAB75D" w14:textId="77777777" w:rsidR="00BF4113" w:rsidRPr="00646EF9" w:rsidRDefault="00BF4113" w:rsidP="009E0E25">
            <w:pPr>
              <w:jc w:val="center"/>
              <w:rPr>
                <w:sz w:val="18"/>
                <w:szCs w:val="18"/>
              </w:rPr>
            </w:pPr>
            <w:r>
              <w:rPr>
                <w:sz w:val="18"/>
                <w:szCs w:val="18"/>
              </w:rPr>
              <w:t>350</w:t>
            </w:r>
          </w:p>
        </w:tc>
        <w:tc>
          <w:tcPr>
            <w:tcW w:w="993" w:type="dxa"/>
            <w:vAlign w:val="center"/>
          </w:tcPr>
          <w:p w14:paraId="30B93E1B" w14:textId="77777777" w:rsidR="00BF4113" w:rsidRDefault="00BF4113" w:rsidP="009E0E25">
            <w:pPr>
              <w:jc w:val="center"/>
              <w:rPr>
                <w:sz w:val="18"/>
                <w:szCs w:val="18"/>
              </w:rPr>
            </w:pPr>
            <w:r>
              <w:rPr>
                <w:sz w:val="18"/>
                <w:szCs w:val="18"/>
              </w:rPr>
              <w:t>49%</w:t>
            </w:r>
          </w:p>
        </w:tc>
        <w:tc>
          <w:tcPr>
            <w:tcW w:w="850" w:type="dxa"/>
            <w:vAlign w:val="center"/>
          </w:tcPr>
          <w:p w14:paraId="4D906B0C" w14:textId="77777777" w:rsidR="00BF4113" w:rsidRPr="00646EF9" w:rsidRDefault="00BF4113" w:rsidP="009E0E25">
            <w:pPr>
              <w:jc w:val="center"/>
              <w:rPr>
                <w:sz w:val="18"/>
                <w:szCs w:val="18"/>
              </w:rPr>
            </w:pPr>
            <w:r>
              <w:rPr>
                <w:sz w:val="18"/>
                <w:szCs w:val="18"/>
              </w:rPr>
              <w:t>33</w:t>
            </w:r>
          </w:p>
        </w:tc>
      </w:tr>
      <w:tr w:rsidR="009E0E25" w:rsidRPr="00646EF9" w14:paraId="7D1CC9CD" w14:textId="77777777" w:rsidTr="009E0E25">
        <w:tc>
          <w:tcPr>
            <w:tcW w:w="988" w:type="dxa"/>
          </w:tcPr>
          <w:p w14:paraId="78595115" w14:textId="77777777" w:rsidR="00BF4113" w:rsidRPr="00646EF9" w:rsidRDefault="00BF4113" w:rsidP="009E0E25">
            <w:pPr>
              <w:jc w:val="left"/>
              <w:rPr>
                <w:rFonts w:cs="Open Sans"/>
                <w:sz w:val="18"/>
                <w:szCs w:val="18"/>
              </w:rPr>
            </w:pPr>
            <w:r w:rsidRPr="00DB4296">
              <w:rPr>
                <w:rFonts w:cs="Open Sans"/>
                <w:sz w:val="18"/>
                <w:szCs w:val="18"/>
              </w:rPr>
              <w:t xml:space="preserve">Pequeno </w:t>
            </w:r>
            <w:proofErr w:type="spellStart"/>
            <w:r w:rsidRPr="00DB4296">
              <w:rPr>
                <w:rFonts w:cs="Open Sans"/>
                <w:sz w:val="18"/>
                <w:szCs w:val="18"/>
              </w:rPr>
              <w:t>produtor</w:t>
            </w:r>
            <w:proofErr w:type="spellEnd"/>
          </w:p>
        </w:tc>
        <w:tc>
          <w:tcPr>
            <w:tcW w:w="850" w:type="dxa"/>
            <w:vAlign w:val="center"/>
          </w:tcPr>
          <w:p w14:paraId="15888439" w14:textId="77777777" w:rsidR="00BF4113" w:rsidRPr="00646EF9" w:rsidRDefault="00BF4113" w:rsidP="009E0E25">
            <w:pPr>
              <w:jc w:val="center"/>
              <w:rPr>
                <w:sz w:val="18"/>
                <w:szCs w:val="18"/>
              </w:rPr>
            </w:pPr>
            <w:r>
              <w:rPr>
                <w:sz w:val="18"/>
                <w:szCs w:val="18"/>
              </w:rPr>
              <w:t>117</w:t>
            </w:r>
          </w:p>
        </w:tc>
        <w:tc>
          <w:tcPr>
            <w:tcW w:w="992" w:type="dxa"/>
            <w:vAlign w:val="center"/>
          </w:tcPr>
          <w:p w14:paraId="31454045" w14:textId="77777777" w:rsidR="00BF4113" w:rsidRPr="00646EF9" w:rsidRDefault="00BF4113" w:rsidP="009E0E25">
            <w:pPr>
              <w:jc w:val="center"/>
              <w:rPr>
                <w:sz w:val="18"/>
                <w:szCs w:val="18"/>
              </w:rPr>
            </w:pPr>
            <w:r>
              <w:rPr>
                <w:sz w:val="18"/>
                <w:szCs w:val="18"/>
              </w:rPr>
              <w:t>0</w:t>
            </w:r>
          </w:p>
        </w:tc>
        <w:tc>
          <w:tcPr>
            <w:tcW w:w="1134" w:type="dxa"/>
            <w:vAlign w:val="center"/>
          </w:tcPr>
          <w:p w14:paraId="48BF6E6F" w14:textId="77777777" w:rsidR="00BF4113" w:rsidRPr="00646EF9" w:rsidRDefault="00BF4113" w:rsidP="009E0E25">
            <w:pPr>
              <w:jc w:val="center"/>
              <w:rPr>
                <w:sz w:val="18"/>
                <w:szCs w:val="18"/>
              </w:rPr>
            </w:pPr>
            <w:r>
              <w:rPr>
                <w:sz w:val="18"/>
                <w:szCs w:val="18"/>
              </w:rPr>
              <w:t>0</w:t>
            </w:r>
          </w:p>
        </w:tc>
        <w:tc>
          <w:tcPr>
            <w:tcW w:w="1276" w:type="dxa"/>
            <w:vAlign w:val="center"/>
          </w:tcPr>
          <w:p w14:paraId="72FC6A38" w14:textId="77777777" w:rsidR="00BF4113" w:rsidRPr="00646EF9" w:rsidRDefault="00BF4113" w:rsidP="009E0E25">
            <w:pPr>
              <w:jc w:val="center"/>
              <w:rPr>
                <w:sz w:val="18"/>
                <w:szCs w:val="18"/>
              </w:rPr>
            </w:pPr>
            <w:r>
              <w:rPr>
                <w:sz w:val="18"/>
                <w:szCs w:val="18"/>
              </w:rPr>
              <w:t>30</w:t>
            </w:r>
          </w:p>
        </w:tc>
        <w:tc>
          <w:tcPr>
            <w:tcW w:w="1134" w:type="dxa"/>
            <w:vAlign w:val="center"/>
          </w:tcPr>
          <w:p w14:paraId="5883D4A3" w14:textId="77777777" w:rsidR="00BF4113" w:rsidRPr="00646EF9" w:rsidRDefault="00BF4113" w:rsidP="009E0E25">
            <w:pPr>
              <w:jc w:val="center"/>
              <w:rPr>
                <w:sz w:val="18"/>
                <w:szCs w:val="18"/>
              </w:rPr>
            </w:pPr>
            <w:r>
              <w:rPr>
                <w:sz w:val="18"/>
                <w:szCs w:val="18"/>
              </w:rPr>
              <w:t>287</w:t>
            </w:r>
          </w:p>
        </w:tc>
        <w:tc>
          <w:tcPr>
            <w:tcW w:w="992" w:type="dxa"/>
            <w:vAlign w:val="center"/>
          </w:tcPr>
          <w:p w14:paraId="54815970" w14:textId="77777777" w:rsidR="00BF4113" w:rsidRPr="00646EF9" w:rsidRDefault="00BF4113" w:rsidP="009E0E25">
            <w:pPr>
              <w:jc w:val="center"/>
              <w:rPr>
                <w:sz w:val="18"/>
                <w:szCs w:val="18"/>
              </w:rPr>
            </w:pPr>
            <w:r>
              <w:rPr>
                <w:sz w:val="18"/>
                <w:szCs w:val="18"/>
              </w:rPr>
              <w:t>434</w:t>
            </w:r>
          </w:p>
        </w:tc>
        <w:tc>
          <w:tcPr>
            <w:tcW w:w="993" w:type="dxa"/>
            <w:vAlign w:val="center"/>
          </w:tcPr>
          <w:p w14:paraId="015110EE" w14:textId="77777777" w:rsidR="00BF4113" w:rsidRDefault="00BF4113" w:rsidP="009E0E25">
            <w:pPr>
              <w:jc w:val="center"/>
              <w:rPr>
                <w:sz w:val="18"/>
                <w:szCs w:val="18"/>
              </w:rPr>
            </w:pPr>
            <w:r>
              <w:rPr>
                <w:sz w:val="18"/>
                <w:szCs w:val="18"/>
              </w:rPr>
              <w:t>49%</w:t>
            </w:r>
          </w:p>
        </w:tc>
        <w:tc>
          <w:tcPr>
            <w:tcW w:w="850" w:type="dxa"/>
            <w:vAlign w:val="center"/>
          </w:tcPr>
          <w:p w14:paraId="1E033BE0" w14:textId="77777777" w:rsidR="00BF4113" w:rsidRPr="00646EF9" w:rsidRDefault="00BF4113" w:rsidP="009E0E25">
            <w:pPr>
              <w:jc w:val="center"/>
              <w:rPr>
                <w:sz w:val="18"/>
                <w:szCs w:val="18"/>
              </w:rPr>
            </w:pPr>
            <w:r>
              <w:rPr>
                <w:sz w:val="18"/>
                <w:szCs w:val="18"/>
              </w:rPr>
              <w:t>96</w:t>
            </w:r>
          </w:p>
        </w:tc>
      </w:tr>
      <w:tr w:rsidR="009E0E25" w:rsidRPr="00646EF9" w14:paraId="20BED455" w14:textId="77777777" w:rsidTr="009E0E25">
        <w:tc>
          <w:tcPr>
            <w:tcW w:w="988" w:type="dxa"/>
          </w:tcPr>
          <w:p w14:paraId="5476C97A" w14:textId="77777777" w:rsidR="00BF4113" w:rsidRPr="00646EF9" w:rsidRDefault="00BF4113" w:rsidP="009E0E25">
            <w:pPr>
              <w:jc w:val="left"/>
              <w:rPr>
                <w:sz w:val="18"/>
                <w:szCs w:val="18"/>
              </w:rPr>
            </w:pPr>
            <w:proofErr w:type="spellStart"/>
            <w:r w:rsidRPr="00DB4296">
              <w:rPr>
                <w:sz w:val="18"/>
                <w:szCs w:val="18"/>
              </w:rPr>
              <w:t>Produtor</w:t>
            </w:r>
            <w:proofErr w:type="spellEnd"/>
            <w:r w:rsidRPr="00DB4296">
              <w:rPr>
                <w:sz w:val="18"/>
                <w:szCs w:val="18"/>
              </w:rPr>
              <w:t xml:space="preserve"> familiar</w:t>
            </w:r>
          </w:p>
        </w:tc>
        <w:tc>
          <w:tcPr>
            <w:tcW w:w="850" w:type="dxa"/>
            <w:vAlign w:val="center"/>
          </w:tcPr>
          <w:p w14:paraId="6C1C231C" w14:textId="77777777" w:rsidR="00BF4113" w:rsidRPr="00646EF9" w:rsidRDefault="00BF4113" w:rsidP="009E0E25">
            <w:pPr>
              <w:jc w:val="center"/>
              <w:rPr>
                <w:sz w:val="18"/>
                <w:szCs w:val="18"/>
              </w:rPr>
            </w:pPr>
            <w:r>
              <w:rPr>
                <w:sz w:val="18"/>
                <w:szCs w:val="18"/>
              </w:rPr>
              <w:t>334</w:t>
            </w:r>
          </w:p>
        </w:tc>
        <w:tc>
          <w:tcPr>
            <w:tcW w:w="992" w:type="dxa"/>
            <w:vAlign w:val="center"/>
          </w:tcPr>
          <w:p w14:paraId="0E7BE88E" w14:textId="77777777" w:rsidR="00BF4113" w:rsidRPr="00646EF9" w:rsidRDefault="00BF4113" w:rsidP="009E0E25">
            <w:pPr>
              <w:jc w:val="center"/>
              <w:rPr>
                <w:sz w:val="18"/>
                <w:szCs w:val="18"/>
              </w:rPr>
            </w:pPr>
            <w:r>
              <w:rPr>
                <w:sz w:val="18"/>
                <w:szCs w:val="18"/>
              </w:rPr>
              <w:t>0</w:t>
            </w:r>
          </w:p>
        </w:tc>
        <w:tc>
          <w:tcPr>
            <w:tcW w:w="1134" w:type="dxa"/>
            <w:vAlign w:val="center"/>
          </w:tcPr>
          <w:p w14:paraId="42953AF8" w14:textId="77777777" w:rsidR="00BF4113" w:rsidRPr="00646EF9" w:rsidRDefault="00BF4113" w:rsidP="009E0E25">
            <w:pPr>
              <w:jc w:val="center"/>
              <w:rPr>
                <w:sz w:val="18"/>
                <w:szCs w:val="18"/>
              </w:rPr>
            </w:pPr>
            <w:r>
              <w:rPr>
                <w:sz w:val="18"/>
                <w:szCs w:val="18"/>
              </w:rPr>
              <w:t>0</w:t>
            </w:r>
          </w:p>
        </w:tc>
        <w:tc>
          <w:tcPr>
            <w:tcW w:w="1276" w:type="dxa"/>
            <w:vAlign w:val="center"/>
          </w:tcPr>
          <w:p w14:paraId="72041C73" w14:textId="77777777" w:rsidR="00BF4113" w:rsidRPr="00646EF9" w:rsidRDefault="00BF4113" w:rsidP="009E0E25">
            <w:pPr>
              <w:jc w:val="center"/>
              <w:rPr>
                <w:sz w:val="18"/>
                <w:szCs w:val="18"/>
              </w:rPr>
            </w:pPr>
            <w:r>
              <w:rPr>
                <w:sz w:val="18"/>
                <w:szCs w:val="18"/>
              </w:rPr>
              <w:t>87</w:t>
            </w:r>
          </w:p>
        </w:tc>
        <w:tc>
          <w:tcPr>
            <w:tcW w:w="1134" w:type="dxa"/>
            <w:vAlign w:val="center"/>
          </w:tcPr>
          <w:p w14:paraId="22C4583F" w14:textId="77777777" w:rsidR="00BF4113" w:rsidRPr="00646EF9" w:rsidRDefault="00BF4113" w:rsidP="009E0E25">
            <w:pPr>
              <w:jc w:val="center"/>
              <w:rPr>
                <w:sz w:val="18"/>
                <w:szCs w:val="18"/>
              </w:rPr>
            </w:pPr>
            <w:r>
              <w:rPr>
                <w:sz w:val="18"/>
                <w:szCs w:val="18"/>
              </w:rPr>
              <w:t>79</w:t>
            </w:r>
          </w:p>
        </w:tc>
        <w:tc>
          <w:tcPr>
            <w:tcW w:w="992" w:type="dxa"/>
            <w:vAlign w:val="center"/>
          </w:tcPr>
          <w:p w14:paraId="617A3516" w14:textId="77777777" w:rsidR="00BF4113" w:rsidRPr="00646EF9" w:rsidRDefault="00BF4113" w:rsidP="009E0E25">
            <w:pPr>
              <w:jc w:val="center"/>
              <w:rPr>
                <w:sz w:val="18"/>
                <w:szCs w:val="18"/>
              </w:rPr>
            </w:pPr>
            <w:r>
              <w:rPr>
                <w:sz w:val="18"/>
                <w:szCs w:val="18"/>
              </w:rPr>
              <w:t>500</w:t>
            </w:r>
          </w:p>
        </w:tc>
        <w:tc>
          <w:tcPr>
            <w:tcW w:w="993" w:type="dxa"/>
            <w:vAlign w:val="center"/>
          </w:tcPr>
          <w:p w14:paraId="285382C8" w14:textId="77777777" w:rsidR="00BF4113" w:rsidRDefault="00BF4113" w:rsidP="009E0E25">
            <w:pPr>
              <w:jc w:val="center"/>
              <w:rPr>
                <w:sz w:val="18"/>
                <w:szCs w:val="18"/>
              </w:rPr>
            </w:pPr>
            <w:r>
              <w:rPr>
                <w:sz w:val="18"/>
                <w:szCs w:val="18"/>
              </w:rPr>
              <w:t>50%</w:t>
            </w:r>
          </w:p>
        </w:tc>
        <w:tc>
          <w:tcPr>
            <w:tcW w:w="850" w:type="dxa"/>
            <w:vAlign w:val="center"/>
          </w:tcPr>
          <w:p w14:paraId="26CCFAD0" w14:textId="77777777" w:rsidR="00BF4113" w:rsidRPr="00646EF9" w:rsidRDefault="00BF4113" w:rsidP="009E0E25">
            <w:pPr>
              <w:jc w:val="center"/>
              <w:rPr>
                <w:sz w:val="18"/>
                <w:szCs w:val="18"/>
              </w:rPr>
            </w:pPr>
            <w:r>
              <w:rPr>
                <w:sz w:val="18"/>
                <w:szCs w:val="18"/>
              </w:rPr>
              <w:t>6.689</w:t>
            </w:r>
          </w:p>
        </w:tc>
      </w:tr>
      <w:tr w:rsidR="009E0E25" w:rsidRPr="00646EF9" w14:paraId="7D0155F0" w14:textId="77777777" w:rsidTr="009E0E25">
        <w:tc>
          <w:tcPr>
            <w:tcW w:w="988" w:type="dxa"/>
          </w:tcPr>
          <w:p w14:paraId="53E48164" w14:textId="77777777" w:rsidR="00BF4113" w:rsidRPr="00646EF9" w:rsidRDefault="00BF4113" w:rsidP="009E0E25">
            <w:pPr>
              <w:jc w:val="left"/>
              <w:rPr>
                <w:sz w:val="18"/>
                <w:szCs w:val="18"/>
              </w:rPr>
            </w:pPr>
            <w:proofErr w:type="spellStart"/>
            <w:r w:rsidRPr="00DB4296">
              <w:rPr>
                <w:sz w:val="18"/>
                <w:szCs w:val="18"/>
              </w:rPr>
              <w:t>Microtransformador</w:t>
            </w:r>
            <w:proofErr w:type="spellEnd"/>
          </w:p>
        </w:tc>
        <w:tc>
          <w:tcPr>
            <w:tcW w:w="850" w:type="dxa"/>
            <w:vAlign w:val="center"/>
          </w:tcPr>
          <w:p w14:paraId="0044C23B" w14:textId="77777777" w:rsidR="00BF4113" w:rsidRPr="00646EF9" w:rsidRDefault="00BF4113" w:rsidP="009E0E25">
            <w:pPr>
              <w:jc w:val="center"/>
              <w:rPr>
                <w:sz w:val="18"/>
                <w:szCs w:val="18"/>
              </w:rPr>
            </w:pPr>
            <w:r>
              <w:rPr>
                <w:sz w:val="18"/>
                <w:szCs w:val="18"/>
              </w:rPr>
              <w:t>8</w:t>
            </w:r>
          </w:p>
        </w:tc>
        <w:tc>
          <w:tcPr>
            <w:tcW w:w="992" w:type="dxa"/>
            <w:vAlign w:val="center"/>
          </w:tcPr>
          <w:p w14:paraId="68DC104C" w14:textId="77777777" w:rsidR="00BF4113" w:rsidRPr="00646EF9" w:rsidRDefault="00BF4113" w:rsidP="009E0E25">
            <w:pPr>
              <w:jc w:val="center"/>
              <w:rPr>
                <w:sz w:val="18"/>
                <w:szCs w:val="18"/>
              </w:rPr>
            </w:pPr>
            <w:r>
              <w:rPr>
                <w:sz w:val="18"/>
                <w:szCs w:val="18"/>
              </w:rPr>
              <w:t>0</w:t>
            </w:r>
          </w:p>
        </w:tc>
        <w:tc>
          <w:tcPr>
            <w:tcW w:w="1134" w:type="dxa"/>
            <w:vAlign w:val="center"/>
          </w:tcPr>
          <w:p w14:paraId="5D6A1CA9" w14:textId="77777777" w:rsidR="00BF4113" w:rsidRPr="00646EF9" w:rsidRDefault="00BF4113" w:rsidP="009E0E25">
            <w:pPr>
              <w:jc w:val="center"/>
              <w:rPr>
                <w:sz w:val="18"/>
                <w:szCs w:val="18"/>
              </w:rPr>
            </w:pPr>
            <w:r>
              <w:rPr>
                <w:sz w:val="18"/>
                <w:szCs w:val="18"/>
              </w:rPr>
              <w:t>0</w:t>
            </w:r>
          </w:p>
        </w:tc>
        <w:tc>
          <w:tcPr>
            <w:tcW w:w="1276" w:type="dxa"/>
            <w:vAlign w:val="center"/>
          </w:tcPr>
          <w:p w14:paraId="4ADA5A95" w14:textId="77777777" w:rsidR="00BF4113" w:rsidRPr="00646EF9" w:rsidRDefault="00BF4113" w:rsidP="009E0E25">
            <w:pPr>
              <w:jc w:val="center"/>
              <w:rPr>
                <w:sz w:val="18"/>
                <w:szCs w:val="18"/>
              </w:rPr>
            </w:pPr>
            <w:r>
              <w:rPr>
                <w:sz w:val="18"/>
                <w:szCs w:val="18"/>
              </w:rPr>
              <w:t>6</w:t>
            </w:r>
          </w:p>
        </w:tc>
        <w:tc>
          <w:tcPr>
            <w:tcW w:w="1134" w:type="dxa"/>
            <w:vAlign w:val="center"/>
          </w:tcPr>
          <w:p w14:paraId="35D1E224" w14:textId="77777777" w:rsidR="00BF4113" w:rsidRPr="00646EF9" w:rsidRDefault="00BF4113" w:rsidP="009E0E25">
            <w:pPr>
              <w:jc w:val="center"/>
              <w:rPr>
                <w:sz w:val="18"/>
                <w:szCs w:val="18"/>
              </w:rPr>
            </w:pPr>
            <w:r>
              <w:rPr>
                <w:sz w:val="18"/>
                <w:szCs w:val="18"/>
              </w:rPr>
              <w:t>10</w:t>
            </w:r>
          </w:p>
        </w:tc>
        <w:tc>
          <w:tcPr>
            <w:tcW w:w="992" w:type="dxa"/>
            <w:vAlign w:val="center"/>
          </w:tcPr>
          <w:p w14:paraId="4FDD5B04" w14:textId="77777777" w:rsidR="00BF4113" w:rsidRPr="00646EF9" w:rsidRDefault="00BF4113" w:rsidP="009E0E25">
            <w:pPr>
              <w:jc w:val="center"/>
              <w:rPr>
                <w:sz w:val="18"/>
                <w:szCs w:val="18"/>
              </w:rPr>
            </w:pPr>
            <w:r>
              <w:rPr>
                <w:sz w:val="18"/>
                <w:szCs w:val="18"/>
              </w:rPr>
              <w:t>24</w:t>
            </w:r>
          </w:p>
        </w:tc>
        <w:tc>
          <w:tcPr>
            <w:tcW w:w="993" w:type="dxa"/>
            <w:vAlign w:val="center"/>
          </w:tcPr>
          <w:p w14:paraId="79F97D6B" w14:textId="77777777" w:rsidR="00BF4113" w:rsidRDefault="00BF4113" w:rsidP="009E0E25">
            <w:pPr>
              <w:jc w:val="center"/>
              <w:rPr>
                <w:sz w:val="18"/>
                <w:szCs w:val="18"/>
              </w:rPr>
            </w:pPr>
            <w:r>
              <w:rPr>
                <w:sz w:val="18"/>
                <w:szCs w:val="18"/>
              </w:rPr>
              <w:t>41%</w:t>
            </w:r>
          </w:p>
        </w:tc>
        <w:tc>
          <w:tcPr>
            <w:tcW w:w="850" w:type="dxa"/>
            <w:vAlign w:val="center"/>
          </w:tcPr>
          <w:p w14:paraId="734D7152" w14:textId="77777777" w:rsidR="00BF4113" w:rsidRPr="00646EF9" w:rsidRDefault="00BF4113" w:rsidP="009E0E25">
            <w:pPr>
              <w:jc w:val="center"/>
              <w:rPr>
                <w:sz w:val="18"/>
                <w:szCs w:val="18"/>
              </w:rPr>
            </w:pPr>
            <w:r>
              <w:rPr>
                <w:sz w:val="18"/>
                <w:szCs w:val="18"/>
              </w:rPr>
              <w:t>8</w:t>
            </w:r>
          </w:p>
        </w:tc>
      </w:tr>
      <w:tr w:rsidR="009E0E25" w:rsidRPr="00646EF9" w14:paraId="37FCE734" w14:textId="77777777" w:rsidTr="009E0E25">
        <w:tc>
          <w:tcPr>
            <w:tcW w:w="988" w:type="dxa"/>
          </w:tcPr>
          <w:p w14:paraId="374AE1D5" w14:textId="77777777" w:rsidR="00BF4113" w:rsidRPr="00646EF9" w:rsidRDefault="00BF4113" w:rsidP="009E0E25">
            <w:pPr>
              <w:jc w:val="left"/>
              <w:rPr>
                <w:sz w:val="18"/>
                <w:szCs w:val="18"/>
              </w:rPr>
            </w:pPr>
            <w:proofErr w:type="spellStart"/>
            <w:r w:rsidRPr="00DB4296">
              <w:rPr>
                <w:sz w:val="18"/>
                <w:szCs w:val="18"/>
              </w:rPr>
              <w:t>Retalhista</w:t>
            </w:r>
            <w:proofErr w:type="spellEnd"/>
          </w:p>
        </w:tc>
        <w:tc>
          <w:tcPr>
            <w:tcW w:w="850" w:type="dxa"/>
            <w:vAlign w:val="center"/>
          </w:tcPr>
          <w:p w14:paraId="4EC675C7" w14:textId="77777777" w:rsidR="00BF4113" w:rsidRPr="00646EF9" w:rsidRDefault="00BF4113" w:rsidP="009E0E25">
            <w:pPr>
              <w:jc w:val="center"/>
              <w:rPr>
                <w:sz w:val="18"/>
                <w:szCs w:val="18"/>
              </w:rPr>
            </w:pPr>
            <w:r>
              <w:rPr>
                <w:sz w:val="18"/>
                <w:szCs w:val="18"/>
              </w:rPr>
              <w:t>0</w:t>
            </w:r>
          </w:p>
        </w:tc>
        <w:tc>
          <w:tcPr>
            <w:tcW w:w="992" w:type="dxa"/>
            <w:vAlign w:val="center"/>
          </w:tcPr>
          <w:p w14:paraId="2EA1457C" w14:textId="77777777" w:rsidR="00BF4113" w:rsidRPr="00646EF9" w:rsidRDefault="00BF4113" w:rsidP="009E0E25">
            <w:pPr>
              <w:jc w:val="center"/>
              <w:rPr>
                <w:sz w:val="18"/>
                <w:szCs w:val="18"/>
              </w:rPr>
            </w:pPr>
            <w:r>
              <w:rPr>
                <w:sz w:val="18"/>
                <w:szCs w:val="18"/>
              </w:rPr>
              <w:t>0</w:t>
            </w:r>
          </w:p>
        </w:tc>
        <w:tc>
          <w:tcPr>
            <w:tcW w:w="1134" w:type="dxa"/>
            <w:vAlign w:val="center"/>
          </w:tcPr>
          <w:p w14:paraId="7BF378FD" w14:textId="77777777" w:rsidR="00BF4113" w:rsidRPr="00646EF9" w:rsidRDefault="00BF4113" w:rsidP="009E0E25">
            <w:pPr>
              <w:jc w:val="center"/>
              <w:rPr>
                <w:sz w:val="18"/>
                <w:szCs w:val="18"/>
              </w:rPr>
            </w:pPr>
            <w:r>
              <w:rPr>
                <w:sz w:val="18"/>
                <w:szCs w:val="18"/>
              </w:rPr>
              <w:t>0</w:t>
            </w:r>
          </w:p>
        </w:tc>
        <w:tc>
          <w:tcPr>
            <w:tcW w:w="1276" w:type="dxa"/>
            <w:vAlign w:val="center"/>
          </w:tcPr>
          <w:p w14:paraId="46758509" w14:textId="77777777" w:rsidR="00BF4113" w:rsidRPr="00646EF9" w:rsidRDefault="00BF4113" w:rsidP="009E0E25">
            <w:pPr>
              <w:jc w:val="center"/>
              <w:rPr>
                <w:sz w:val="18"/>
                <w:szCs w:val="18"/>
              </w:rPr>
            </w:pPr>
            <w:r>
              <w:rPr>
                <w:sz w:val="18"/>
                <w:szCs w:val="18"/>
              </w:rPr>
              <w:t>0</w:t>
            </w:r>
          </w:p>
        </w:tc>
        <w:tc>
          <w:tcPr>
            <w:tcW w:w="1134" w:type="dxa"/>
            <w:vAlign w:val="center"/>
          </w:tcPr>
          <w:p w14:paraId="257D7F2A" w14:textId="77777777" w:rsidR="00BF4113" w:rsidRPr="00646EF9" w:rsidRDefault="00BF4113" w:rsidP="009E0E25">
            <w:pPr>
              <w:jc w:val="center"/>
              <w:rPr>
                <w:sz w:val="18"/>
                <w:szCs w:val="18"/>
              </w:rPr>
            </w:pPr>
            <w:r>
              <w:rPr>
                <w:sz w:val="18"/>
                <w:szCs w:val="18"/>
              </w:rPr>
              <w:t>3</w:t>
            </w:r>
          </w:p>
        </w:tc>
        <w:tc>
          <w:tcPr>
            <w:tcW w:w="992" w:type="dxa"/>
            <w:vAlign w:val="center"/>
          </w:tcPr>
          <w:p w14:paraId="5A844061" w14:textId="77777777" w:rsidR="00BF4113" w:rsidRPr="00646EF9" w:rsidRDefault="00BF4113" w:rsidP="009E0E25">
            <w:pPr>
              <w:jc w:val="center"/>
              <w:rPr>
                <w:sz w:val="18"/>
                <w:szCs w:val="18"/>
              </w:rPr>
            </w:pPr>
            <w:r>
              <w:rPr>
                <w:sz w:val="18"/>
                <w:szCs w:val="18"/>
              </w:rPr>
              <w:t>3</w:t>
            </w:r>
          </w:p>
        </w:tc>
        <w:tc>
          <w:tcPr>
            <w:tcW w:w="993" w:type="dxa"/>
            <w:vAlign w:val="center"/>
          </w:tcPr>
          <w:p w14:paraId="1EA6A614" w14:textId="77777777" w:rsidR="00BF4113" w:rsidRDefault="00BF4113" w:rsidP="009E0E25">
            <w:pPr>
              <w:jc w:val="center"/>
              <w:rPr>
                <w:sz w:val="18"/>
                <w:szCs w:val="18"/>
              </w:rPr>
            </w:pPr>
            <w:r>
              <w:rPr>
                <w:sz w:val="18"/>
                <w:szCs w:val="18"/>
              </w:rPr>
              <w:t>0%</w:t>
            </w:r>
          </w:p>
        </w:tc>
        <w:tc>
          <w:tcPr>
            <w:tcW w:w="850" w:type="dxa"/>
            <w:vAlign w:val="center"/>
          </w:tcPr>
          <w:p w14:paraId="7A3E02C3" w14:textId="77777777" w:rsidR="00BF4113" w:rsidRPr="00646EF9" w:rsidRDefault="00BF4113" w:rsidP="009E0E25">
            <w:pPr>
              <w:jc w:val="center"/>
              <w:rPr>
                <w:sz w:val="18"/>
                <w:szCs w:val="18"/>
              </w:rPr>
            </w:pPr>
            <w:r>
              <w:rPr>
                <w:sz w:val="18"/>
                <w:szCs w:val="18"/>
              </w:rPr>
              <w:t>439</w:t>
            </w:r>
          </w:p>
        </w:tc>
      </w:tr>
      <w:tr w:rsidR="009E0E25" w:rsidRPr="00646EF9" w14:paraId="15DC9886" w14:textId="77777777" w:rsidTr="009E0E25">
        <w:tc>
          <w:tcPr>
            <w:tcW w:w="988" w:type="dxa"/>
          </w:tcPr>
          <w:p w14:paraId="7C3E932C" w14:textId="77777777" w:rsidR="00BF4113" w:rsidRPr="00646EF9" w:rsidRDefault="00BF4113" w:rsidP="009E0E25">
            <w:pPr>
              <w:jc w:val="left"/>
              <w:rPr>
                <w:sz w:val="18"/>
                <w:szCs w:val="18"/>
              </w:rPr>
            </w:pPr>
            <w:proofErr w:type="spellStart"/>
            <w:r w:rsidRPr="00DB4296">
              <w:rPr>
                <w:sz w:val="18"/>
                <w:szCs w:val="18"/>
              </w:rPr>
              <w:t>Grossiste</w:t>
            </w:r>
            <w:proofErr w:type="spellEnd"/>
            <w:r w:rsidRPr="00DB4296">
              <w:rPr>
                <w:sz w:val="18"/>
                <w:szCs w:val="18"/>
              </w:rPr>
              <w:t xml:space="preserve"> BISSAU</w:t>
            </w:r>
          </w:p>
        </w:tc>
        <w:tc>
          <w:tcPr>
            <w:tcW w:w="850" w:type="dxa"/>
            <w:vAlign w:val="center"/>
          </w:tcPr>
          <w:p w14:paraId="07A104A9" w14:textId="77777777" w:rsidR="00BF4113" w:rsidRPr="00646EF9" w:rsidRDefault="00BF4113" w:rsidP="009E0E25">
            <w:pPr>
              <w:jc w:val="center"/>
              <w:rPr>
                <w:sz w:val="18"/>
                <w:szCs w:val="18"/>
              </w:rPr>
            </w:pPr>
            <w:r>
              <w:rPr>
                <w:sz w:val="18"/>
                <w:szCs w:val="18"/>
              </w:rPr>
              <w:t>0</w:t>
            </w:r>
          </w:p>
        </w:tc>
        <w:tc>
          <w:tcPr>
            <w:tcW w:w="992" w:type="dxa"/>
            <w:vAlign w:val="center"/>
          </w:tcPr>
          <w:p w14:paraId="473C7CAB" w14:textId="77777777" w:rsidR="00BF4113" w:rsidRPr="00646EF9" w:rsidRDefault="00BF4113" w:rsidP="009E0E25">
            <w:pPr>
              <w:jc w:val="center"/>
              <w:rPr>
                <w:sz w:val="18"/>
                <w:szCs w:val="18"/>
              </w:rPr>
            </w:pPr>
            <w:r>
              <w:rPr>
                <w:sz w:val="18"/>
                <w:szCs w:val="18"/>
              </w:rPr>
              <w:t>0</w:t>
            </w:r>
          </w:p>
        </w:tc>
        <w:tc>
          <w:tcPr>
            <w:tcW w:w="1134" w:type="dxa"/>
            <w:vAlign w:val="center"/>
          </w:tcPr>
          <w:p w14:paraId="76878B94" w14:textId="77777777" w:rsidR="00BF4113" w:rsidRPr="00646EF9" w:rsidRDefault="00BF4113" w:rsidP="009E0E25">
            <w:pPr>
              <w:jc w:val="center"/>
              <w:rPr>
                <w:sz w:val="18"/>
                <w:szCs w:val="18"/>
              </w:rPr>
            </w:pPr>
            <w:r>
              <w:rPr>
                <w:sz w:val="18"/>
                <w:szCs w:val="18"/>
              </w:rPr>
              <w:t>0</w:t>
            </w:r>
          </w:p>
        </w:tc>
        <w:tc>
          <w:tcPr>
            <w:tcW w:w="1276" w:type="dxa"/>
            <w:vAlign w:val="center"/>
          </w:tcPr>
          <w:p w14:paraId="49029657" w14:textId="77777777" w:rsidR="00BF4113" w:rsidRPr="00646EF9" w:rsidRDefault="00BF4113" w:rsidP="009E0E25">
            <w:pPr>
              <w:jc w:val="center"/>
              <w:rPr>
                <w:sz w:val="18"/>
                <w:szCs w:val="18"/>
              </w:rPr>
            </w:pPr>
            <w:r>
              <w:rPr>
                <w:sz w:val="18"/>
                <w:szCs w:val="18"/>
              </w:rPr>
              <w:t>0</w:t>
            </w:r>
          </w:p>
        </w:tc>
        <w:tc>
          <w:tcPr>
            <w:tcW w:w="1134" w:type="dxa"/>
            <w:vAlign w:val="center"/>
          </w:tcPr>
          <w:p w14:paraId="034E5EE7" w14:textId="77777777" w:rsidR="00BF4113" w:rsidRPr="00646EF9" w:rsidRDefault="00BF4113" w:rsidP="009E0E25">
            <w:pPr>
              <w:jc w:val="center"/>
              <w:rPr>
                <w:sz w:val="18"/>
                <w:szCs w:val="18"/>
              </w:rPr>
            </w:pPr>
            <w:r>
              <w:rPr>
                <w:sz w:val="18"/>
                <w:szCs w:val="18"/>
              </w:rPr>
              <w:t>1.769</w:t>
            </w:r>
          </w:p>
        </w:tc>
        <w:tc>
          <w:tcPr>
            <w:tcW w:w="992" w:type="dxa"/>
            <w:vAlign w:val="center"/>
          </w:tcPr>
          <w:p w14:paraId="709B687B" w14:textId="77777777" w:rsidR="00BF4113" w:rsidRPr="00646EF9" w:rsidRDefault="00BF4113" w:rsidP="009E0E25">
            <w:pPr>
              <w:jc w:val="center"/>
              <w:rPr>
                <w:sz w:val="18"/>
                <w:szCs w:val="18"/>
              </w:rPr>
            </w:pPr>
            <w:r>
              <w:rPr>
                <w:sz w:val="18"/>
                <w:szCs w:val="18"/>
              </w:rPr>
              <w:t>1.769</w:t>
            </w:r>
          </w:p>
        </w:tc>
        <w:tc>
          <w:tcPr>
            <w:tcW w:w="993" w:type="dxa"/>
            <w:vAlign w:val="center"/>
          </w:tcPr>
          <w:p w14:paraId="1504291B" w14:textId="77777777" w:rsidR="00BF4113" w:rsidRDefault="00BF4113" w:rsidP="009E0E25">
            <w:pPr>
              <w:jc w:val="center"/>
              <w:rPr>
                <w:sz w:val="18"/>
                <w:szCs w:val="18"/>
              </w:rPr>
            </w:pPr>
            <w:r>
              <w:rPr>
                <w:sz w:val="18"/>
                <w:szCs w:val="18"/>
              </w:rPr>
              <w:t>50%</w:t>
            </w:r>
          </w:p>
        </w:tc>
        <w:tc>
          <w:tcPr>
            <w:tcW w:w="850" w:type="dxa"/>
            <w:vAlign w:val="center"/>
          </w:tcPr>
          <w:p w14:paraId="5BA9A2EF" w14:textId="77777777" w:rsidR="00BF4113" w:rsidRPr="00646EF9" w:rsidRDefault="00BF4113" w:rsidP="009E0E25">
            <w:pPr>
              <w:jc w:val="center"/>
              <w:rPr>
                <w:sz w:val="18"/>
                <w:szCs w:val="18"/>
              </w:rPr>
            </w:pPr>
            <w:r>
              <w:rPr>
                <w:sz w:val="18"/>
                <w:szCs w:val="18"/>
              </w:rPr>
              <w:t>4</w:t>
            </w:r>
          </w:p>
        </w:tc>
      </w:tr>
      <w:tr w:rsidR="009E0E25" w:rsidRPr="00646EF9" w14:paraId="051A3532" w14:textId="77777777" w:rsidTr="00C45457">
        <w:trPr>
          <w:trHeight w:val="370"/>
        </w:trPr>
        <w:tc>
          <w:tcPr>
            <w:tcW w:w="988" w:type="dxa"/>
          </w:tcPr>
          <w:p w14:paraId="4AD3FD28" w14:textId="77777777" w:rsidR="00BF4113" w:rsidRPr="00646EF9" w:rsidRDefault="00BF4113" w:rsidP="009E0E25">
            <w:pPr>
              <w:jc w:val="left"/>
              <w:rPr>
                <w:sz w:val="18"/>
                <w:szCs w:val="18"/>
              </w:rPr>
            </w:pPr>
            <w:proofErr w:type="spellStart"/>
            <w:r w:rsidRPr="00DB4296">
              <w:rPr>
                <w:sz w:val="18"/>
                <w:szCs w:val="18"/>
              </w:rPr>
              <w:t>Retalhista</w:t>
            </w:r>
            <w:proofErr w:type="spellEnd"/>
            <w:r w:rsidRPr="00DB4296">
              <w:rPr>
                <w:sz w:val="18"/>
                <w:szCs w:val="18"/>
              </w:rPr>
              <w:t xml:space="preserve"> BISSAU</w:t>
            </w:r>
          </w:p>
        </w:tc>
        <w:tc>
          <w:tcPr>
            <w:tcW w:w="850" w:type="dxa"/>
            <w:vAlign w:val="center"/>
          </w:tcPr>
          <w:p w14:paraId="41A3D560" w14:textId="77777777" w:rsidR="00BF4113" w:rsidRPr="00646EF9" w:rsidRDefault="00BF4113" w:rsidP="009E0E25">
            <w:pPr>
              <w:jc w:val="center"/>
              <w:rPr>
                <w:sz w:val="18"/>
                <w:szCs w:val="18"/>
              </w:rPr>
            </w:pPr>
            <w:r>
              <w:rPr>
                <w:sz w:val="18"/>
                <w:szCs w:val="18"/>
              </w:rPr>
              <w:t>0</w:t>
            </w:r>
          </w:p>
        </w:tc>
        <w:tc>
          <w:tcPr>
            <w:tcW w:w="992" w:type="dxa"/>
            <w:vAlign w:val="center"/>
          </w:tcPr>
          <w:p w14:paraId="453DA8A7" w14:textId="77777777" w:rsidR="00BF4113" w:rsidRPr="00646EF9" w:rsidRDefault="00BF4113" w:rsidP="009E0E25">
            <w:pPr>
              <w:jc w:val="center"/>
              <w:rPr>
                <w:sz w:val="18"/>
                <w:szCs w:val="18"/>
              </w:rPr>
            </w:pPr>
            <w:r>
              <w:rPr>
                <w:sz w:val="18"/>
                <w:szCs w:val="18"/>
              </w:rPr>
              <w:t>269</w:t>
            </w:r>
          </w:p>
        </w:tc>
        <w:tc>
          <w:tcPr>
            <w:tcW w:w="1134" w:type="dxa"/>
            <w:vAlign w:val="center"/>
          </w:tcPr>
          <w:p w14:paraId="697BF445" w14:textId="77777777" w:rsidR="00BF4113" w:rsidRPr="00646EF9" w:rsidRDefault="00BF4113" w:rsidP="009E0E25">
            <w:pPr>
              <w:jc w:val="center"/>
              <w:rPr>
                <w:sz w:val="18"/>
                <w:szCs w:val="18"/>
              </w:rPr>
            </w:pPr>
            <w:r>
              <w:rPr>
                <w:sz w:val="18"/>
                <w:szCs w:val="18"/>
              </w:rPr>
              <w:t>0</w:t>
            </w:r>
          </w:p>
        </w:tc>
        <w:tc>
          <w:tcPr>
            <w:tcW w:w="1276" w:type="dxa"/>
            <w:vAlign w:val="center"/>
          </w:tcPr>
          <w:p w14:paraId="5356E098" w14:textId="77777777" w:rsidR="00BF4113" w:rsidRPr="00646EF9" w:rsidRDefault="00BF4113" w:rsidP="009E0E25">
            <w:pPr>
              <w:jc w:val="center"/>
              <w:rPr>
                <w:sz w:val="18"/>
                <w:szCs w:val="18"/>
              </w:rPr>
            </w:pPr>
            <w:r>
              <w:rPr>
                <w:sz w:val="18"/>
                <w:szCs w:val="18"/>
              </w:rPr>
              <w:t>0</w:t>
            </w:r>
          </w:p>
        </w:tc>
        <w:tc>
          <w:tcPr>
            <w:tcW w:w="1134" w:type="dxa"/>
            <w:vAlign w:val="center"/>
          </w:tcPr>
          <w:p w14:paraId="46F305C7" w14:textId="77777777" w:rsidR="00BF4113" w:rsidRPr="00646EF9" w:rsidRDefault="00BF4113" w:rsidP="009E0E25">
            <w:pPr>
              <w:jc w:val="center"/>
              <w:rPr>
                <w:sz w:val="18"/>
                <w:szCs w:val="18"/>
              </w:rPr>
            </w:pPr>
            <w:r>
              <w:rPr>
                <w:sz w:val="18"/>
                <w:szCs w:val="18"/>
              </w:rPr>
              <w:t>696</w:t>
            </w:r>
          </w:p>
        </w:tc>
        <w:tc>
          <w:tcPr>
            <w:tcW w:w="992" w:type="dxa"/>
            <w:vAlign w:val="center"/>
          </w:tcPr>
          <w:p w14:paraId="743185F8" w14:textId="77777777" w:rsidR="00BF4113" w:rsidRPr="00646EF9" w:rsidRDefault="00BF4113" w:rsidP="009E0E25">
            <w:pPr>
              <w:jc w:val="center"/>
              <w:rPr>
                <w:sz w:val="18"/>
                <w:szCs w:val="18"/>
              </w:rPr>
            </w:pPr>
            <w:r>
              <w:rPr>
                <w:sz w:val="18"/>
                <w:szCs w:val="18"/>
              </w:rPr>
              <w:t>965</w:t>
            </w:r>
          </w:p>
        </w:tc>
        <w:tc>
          <w:tcPr>
            <w:tcW w:w="993" w:type="dxa"/>
            <w:vAlign w:val="center"/>
          </w:tcPr>
          <w:p w14:paraId="2AED83C4" w14:textId="77777777" w:rsidR="00BF4113" w:rsidRDefault="00BF4113" w:rsidP="009E0E25">
            <w:pPr>
              <w:jc w:val="center"/>
              <w:rPr>
                <w:sz w:val="18"/>
                <w:szCs w:val="18"/>
              </w:rPr>
            </w:pPr>
            <w:r>
              <w:rPr>
                <w:sz w:val="18"/>
                <w:szCs w:val="18"/>
              </w:rPr>
              <w:t>20%</w:t>
            </w:r>
          </w:p>
        </w:tc>
        <w:tc>
          <w:tcPr>
            <w:tcW w:w="850" w:type="dxa"/>
            <w:vAlign w:val="center"/>
          </w:tcPr>
          <w:p w14:paraId="74E4B5AA" w14:textId="77777777" w:rsidR="00BF4113" w:rsidRPr="00646EF9" w:rsidRDefault="00BF4113" w:rsidP="009E0E25">
            <w:pPr>
              <w:jc w:val="center"/>
              <w:rPr>
                <w:sz w:val="18"/>
                <w:szCs w:val="18"/>
              </w:rPr>
            </w:pPr>
            <w:r>
              <w:rPr>
                <w:sz w:val="18"/>
                <w:szCs w:val="18"/>
              </w:rPr>
              <w:t>320</w:t>
            </w:r>
          </w:p>
        </w:tc>
      </w:tr>
      <w:tr w:rsidR="009E0E25" w:rsidRPr="00646EF9" w14:paraId="6BFB3642" w14:textId="77777777" w:rsidTr="009E0E25">
        <w:tc>
          <w:tcPr>
            <w:tcW w:w="988" w:type="dxa"/>
          </w:tcPr>
          <w:p w14:paraId="59776AFF" w14:textId="77777777" w:rsidR="00BF4113" w:rsidRPr="00646EF9" w:rsidRDefault="00BF4113" w:rsidP="009E0E25">
            <w:pPr>
              <w:jc w:val="left"/>
              <w:rPr>
                <w:b/>
                <w:bCs/>
                <w:sz w:val="18"/>
                <w:szCs w:val="18"/>
              </w:rPr>
            </w:pPr>
            <w:r w:rsidRPr="00646EF9">
              <w:rPr>
                <w:b/>
                <w:bCs/>
                <w:sz w:val="18"/>
                <w:szCs w:val="18"/>
              </w:rPr>
              <w:t>CADEIA DE VALOR</w:t>
            </w:r>
          </w:p>
        </w:tc>
        <w:tc>
          <w:tcPr>
            <w:tcW w:w="850" w:type="dxa"/>
            <w:vAlign w:val="center"/>
          </w:tcPr>
          <w:p w14:paraId="55509C71" w14:textId="77777777" w:rsidR="00BF4113" w:rsidRPr="00646EF9" w:rsidRDefault="00BF4113" w:rsidP="009E0E25">
            <w:pPr>
              <w:jc w:val="center"/>
              <w:rPr>
                <w:sz w:val="18"/>
                <w:szCs w:val="18"/>
              </w:rPr>
            </w:pPr>
            <w:r w:rsidRPr="001D2BF5">
              <w:rPr>
                <w:b/>
                <w:sz w:val="18"/>
                <w:szCs w:val="18"/>
              </w:rPr>
              <w:t>589</w:t>
            </w:r>
          </w:p>
        </w:tc>
        <w:tc>
          <w:tcPr>
            <w:tcW w:w="992" w:type="dxa"/>
            <w:vAlign w:val="center"/>
          </w:tcPr>
          <w:p w14:paraId="108E72CC" w14:textId="77777777" w:rsidR="00BF4113" w:rsidRPr="00646EF9" w:rsidRDefault="00BF4113" w:rsidP="009E0E25">
            <w:pPr>
              <w:jc w:val="center"/>
              <w:rPr>
                <w:sz w:val="18"/>
                <w:szCs w:val="18"/>
              </w:rPr>
            </w:pPr>
            <w:r>
              <w:rPr>
                <w:b/>
                <w:sz w:val="18"/>
                <w:szCs w:val="18"/>
              </w:rPr>
              <w:t>269</w:t>
            </w:r>
          </w:p>
        </w:tc>
        <w:tc>
          <w:tcPr>
            <w:tcW w:w="1134" w:type="dxa"/>
            <w:vAlign w:val="center"/>
          </w:tcPr>
          <w:p w14:paraId="43D6A41F" w14:textId="77777777" w:rsidR="00BF4113" w:rsidRPr="00646EF9" w:rsidRDefault="00BF4113" w:rsidP="009E0E25">
            <w:pPr>
              <w:jc w:val="center"/>
              <w:rPr>
                <w:sz w:val="18"/>
                <w:szCs w:val="18"/>
              </w:rPr>
            </w:pPr>
            <w:r w:rsidRPr="001D2BF5">
              <w:rPr>
                <w:b/>
                <w:sz w:val="18"/>
                <w:szCs w:val="18"/>
              </w:rPr>
              <w:t>0</w:t>
            </w:r>
          </w:p>
        </w:tc>
        <w:tc>
          <w:tcPr>
            <w:tcW w:w="1276" w:type="dxa"/>
            <w:vAlign w:val="center"/>
          </w:tcPr>
          <w:p w14:paraId="1C6312F4" w14:textId="77777777" w:rsidR="00BF4113" w:rsidRPr="00646EF9" w:rsidRDefault="00BF4113" w:rsidP="009E0E25">
            <w:pPr>
              <w:jc w:val="center"/>
              <w:rPr>
                <w:sz w:val="18"/>
                <w:szCs w:val="18"/>
              </w:rPr>
            </w:pPr>
            <w:r w:rsidRPr="001D2BF5">
              <w:rPr>
                <w:b/>
                <w:sz w:val="18"/>
                <w:szCs w:val="18"/>
              </w:rPr>
              <w:t>144</w:t>
            </w:r>
          </w:p>
        </w:tc>
        <w:tc>
          <w:tcPr>
            <w:tcW w:w="1134" w:type="dxa"/>
            <w:vAlign w:val="center"/>
          </w:tcPr>
          <w:p w14:paraId="1FDADE61" w14:textId="77777777" w:rsidR="00BF4113" w:rsidRPr="00646EF9" w:rsidRDefault="00BF4113" w:rsidP="009E0E25">
            <w:pPr>
              <w:jc w:val="center"/>
              <w:rPr>
                <w:sz w:val="18"/>
                <w:szCs w:val="18"/>
              </w:rPr>
            </w:pPr>
            <w:r w:rsidRPr="001D2BF5">
              <w:rPr>
                <w:b/>
                <w:sz w:val="18"/>
                <w:szCs w:val="18"/>
              </w:rPr>
              <w:t>3.521</w:t>
            </w:r>
          </w:p>
        </w:tc>
        <w:tc>
          <w:tcPr>
            <w:tcW w:w="992" w:type="dxa"/>
            <w:vAlign w:val="center"/>
          </w:tcPr>
          <w:p w14:paraId="2A91EA82" w14:textId="77777777" w:rsidR="00BF4113" w:rsidRPr="003F3323" w:rsidRDefault="00BF4113" w:rsidP="009E0E25">
            <w:pPr>
              <w:jc w:val="center"/>
              <w:rPr>
                <w:b/>
                <w:sz w:val="18"/>
                <w:szCs w:val="18"/>
              </w:rPr>
            </w:pPr>
            <w:r w:rsidRPr="003F3323">
              <w:rPr>
                <w:b/>
                <w:sz w:val="18"/>
                <w:szCs w:val="18"/>
              </w:rPr>
              <w:t>4.524</w:t>
            </w:r>
          </w:p>
        </w:tc>
        <w:tc>
          <w:tcPr>
            <w:tcW w:w="993" w:type="dxa"/>
            <w:vAlign w:val="center"/>
          </w:tcPr>
          <w:p w14:paraId="3ADE4AB4" w14:textId="77777777" w:rsidR="00BF4113" w:rsidRPr="003F3323" w:rsidRDefault="00BF4113" w:rsidP="009E0E25">
            <w:pPr>
              <w:jc w:val="center"/>
              <w:rPr>
                <w:b/>
                <w:sz w:val="18"/>
                <w:szCs w:val="18"/>
              </w:rPr>
            </w:pPr>
            <w:r w:rsidRPr="00FD3AA1">
              <w:rPr>
                <w:b/>
                <w:sz w:val="18"/>
                <w:szCs w:val="18"/>
              </w:rPr>
              <w:t>80%</w:t>
            </w:r>
          </w:p>
        </w:tc>
        <w:tc>
          <w:tcPr>
            <w:tcW w:w="850" w:type="dxa"/>
            <w:vAlign w:val="center"/>
          </w:tcPr>
          <w:p w14:paraId="7CE4AE2F" w14:textId="77777777" w:rsidR="00BF4113" w:rsidRPr="003F3323" w:rsidRDefault="00BF4113" w:rsidP="009E0E25">
            <w:pPr>
              <w:jc w:val="center"/>
              <w:rPr>
                <w:b/>
                <w:sz w:val="18"/>
                <w:szCs w:val="18"/>
              </w:rPr>
            </w:pPr>
            <w:r w:rsidRPr="003F3323">
              <w:rPr>
                <w:b/>
                <w:sz w:val="18"/>
                <w:szCs w:val="18"/>
              </w:rPr>
              <w:t>7.594</w:t>
            </w:r>
          </w:p>
        </w:tc>
      </w:tr>
    </w:tbl>
    <w:p w14:paraId="1F5D857A" w14:textId="3B781927" w:rsidR="00BF4113" w:rsidRPr="004E65BE" w:rsidRDefault="00DA2B8B" w:rsidP="007D3A26">
      <w:pPr>
        <w:pStyle w:val="Caption"/>
      </w:pPr>
      <w:r>
        <w:lastRenderedPageBreak/>
        <w:t xml:space="preserve">                      </w:t>
      </w:r>
      <w:r w:rsidR="00627E03" w:rsidRPr="004E65BE">
        <w:t>Quadro 3-6: distribuição dos componentes do valor agregado e número de atores</w:t>
      </w:r>
    </w:p>
    <w:p w14:paraId="61D66AC4" w14:textId="77777777" w:rsidR="00BF4113" w:rsidRDefault="00BF4113" w:rsidP="00BF4113">
      <w:pPr>
        <w:rPr>
          <w:rFonts w:ascii="Aptos" w:eastAsia="Aptos" w:hAnsi="Aptos"/>
          <w:sz w:val="18"/>
          <w:szCs w:val="18"/>
        </w:rPr>
      </w:pPr>
    </w:p>
    <w:p w14:paraId="79CACC0C" w14:textId="77777777" w:rsidR="00BF4113" w:rsidRPr="002E68F9" w:rsidRDefault="00BF4113" w:rsidP="00BF4113">
      <w:pPr>
        <w:rPr>
          <w:rFonts w:asciiTheme="minorHAnsi" w:eastAsia="Aptos" w:hAnsiTheme="minorHAnsi" w:cstheme="minorHAnsi"/>
          <w:szCs w:val="20"/>
        </w:rPr>
      </w:pPr>
      <w:r w:rsidRPr="002E68F9">
        <w:rPr>
          <w:rFonts w:asciiTheme="minorHAnsi" w:eastAsia="Aptos" w:hAnsiTheme="minorHAnsi" w:cstheme="minorHAnsi"/>
          <w:szCs w:val="20"/>
        </w:rPr>
        <w:t xml:space="preserve">O valor agregado anual da CV é de CFA 4,524 bilhões (€ 7 milhões), representando 80% do valor da </w:t>
      </w:r>
      <w:r w:rsidRPr="00C45457">
        <w:rPr>
          <w:rFonts w:asciiTheme="minorHAnsi" w:eastAsia="Aptos" w:hAnsiTheme="minorHAnsi" w:cstheme="minorHAnsi"/>
          <w:szCs w:val="20"/>
        </w:rPr>
        <w:t>produção de manga. É composto por 78% de lucros, 13% de salários, 6% de impostos e 3% de depreciação (Figura 3-2).</w:t>
      </w:r>
    </w:p>
    <w:p w14:paraId="7402E94F" w14:textId="6D8B29DC" w:rsidR="00BF4113" w:rsidRPr="002E68F9" w:rsidRDefault="00BF4113" w:rsidP="00BF4113">
      <w:pPr>
        <w:rPr>
          <w:rFonts w:asciiTheme="minorHAnsi" w:eastAsia="Aptos" w:hAnsiTheme="minorHAnsi" w:cstheme="minorHAnsi"/>
          <w:szCs w:val="20"/>
        </w:rPr>
      </w:pPr>
      <w:r w:rsidRPr="002E68F9">
        <w:rPr>
          <w:rFonts w:asciiTheme="minorHAnsi" w:eastAsia="Aptos" w:hAnsiTheme="minorHAnsi" w:cstheme="minorHAnsi"/>
          <w:szCs w:val="20"/>
        </w:rPr>
        <w:t>Os atores que mais contribuem para a criação de valor agregado (VA) são os comerciantes em Bissau com 5</w:t>
      </w:r>
      <w:r w:rsidRPr="00C45457">
        <w:rPr>
          <w:rFonts w:asciiTheme="minorHAnsi" w:eastAsia="Aptos" w:hAnsiTheme="minorHAnsi" w:cstheme="minorHAnsi"/>
          <w:szCs w:val="20"/>
        </w:rPr>
        <w:t>0% (grossistas, 39% e retalhistas, 21%). Os restantes 50% são contribuídos pelos produtores (Figura 3-3).</w:t>
      </w:r>
    </w:p>
    <w:p w14:paraId="340278CA" w14:textId="6CF91955" w:rsidR="00BF4113" w:rsidRPr="00F2258D" w:rsidRDefault="008B475B" w:rsidP="008B475B">
      <w:pPr>
        <w:jc w:val="left"/>
        <w:rPr>
          <w:rFonts w:asciiTheme="minorHAnsi" w:eastAsia="Aptos" w:hAnsiTheme="minorHAnsi" w:cstheme="minorHAnsi"/>
          <w:lang w:val="pt-BR"/>
        </w:rPr>
      </w:pPr>
      <w:r>
        <w:rPr>
          <w:rFonts w:asciiTheme="minorHAnsi" w:eastAsia="Aptos" w:hAnsiTheme="minorHAnsi" w:cstheme="minorHAnsi"/>
          <w:noProof/>
        </w:rPr>
        <mc:AlternateContent>
          <mc:Choice Requires="wps">
            <w:drawing>
              <wp:anchor distT="0" distB="0" distL="114300" distR="114300" simplePos="0" relativeHeight="251661312" behindDoc="0" locked="0" layoutInCell="1" allowOverlap="1" wp14:anchorId="2B4DB995" wp14:editId="5E7528F1">
                <wp:simplePos x="0" y="0"/>
                <wp:positionH relativeFrom="column">
                  <wp:posOffset>2954655</wp:posOffset>
                </wp:positionH>
                <wp:positionV relativeFrom="paragraph">
                  <wp:posOffset>100118</wp:posOffset>
                </wp:positionV>
                <wp:extent cx="2751667" cy="1947333"/>
                <wp:effectExtent l="0" t="0" r="17145" b="8890"/>
                <wp:wrapNone/>
                <wp:docPr id="1442048892" name="Rectángulo 3"/>
                <wp:cNvGraphicFramePr/>
                <a:graphic xmlns:a="http://schemas.openxmlformats.org/drawingml/2006/main">
                  <a:graphicData uri="http://schemas.microsoft.com/office/word/2010/wordprocessingShape">
                    <wps:wsp>
                      <wps:cNvSpPr/>
                      <wps:spPr>
                        <a:xfrm>
                          <a:off x="0" y="0"/>
                          <a:ext cx="2751667" cy="1947333"/>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C21B9" id="Rectángulo 3" o:spid="_x0000_s1026" style="position:absolute;margin-left:232.65pt;margin-top:7.9pt;width:216.65pt;height:15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" filled="f" strokecolor="black [3213]"/>
            </w:pict>
          </mc:Fallback>
        </mc:AlternateContent>
      </w:r>
      <w:r>
        <w:rPr>
          <w:rFonts w:asciiTheme="minorHAnsi" w:eastAsia="Aptos" w:hAnsiTheme="minorHAnsi" w:cstheme="minorHAnsi"/>
          <w:noProof/>
        </w:rPr>
        <mc:AlternateContent>
          <mc:Choice Requires="wps">
            <w:drawing>
              <wp:anchor distT="0" distB="0" distL="114300" distR="114300" simplePos="0" relativeHeight="251658239" behindDoc="0" locked="0" layoutInCell="1" allowOverlap="1" wp14:anchorId="34B29621" wp14:editId="13C7CA9B">
                <wp:simplePos x="0" y="0"/>
                <wp:positionH relativeFrom="column">
                  <wp:posOffset>50800</wp:posOffset>
                </wp:positionH>
                <wp:positionV relativeFrom="paragraph">
                  <wp:posOffset>92074</wp:posOffset>
                </wp:positionV>
                <wp:extent cx="2751667" cy="1947333"/>
                <wp:effectExtent l="0" t="0" r="17145" b="8890"/>
                <wp:wrapNone/>
                <wp:docPr id="372220928" name="Rectángulo 3"/>
                <wp:cNvGraphicFramePr/>
                <a:graphic xmlns:a="http://schemas.openxmlformats.org/drawingml/2006/main">
                  <a:graphicData uri="http://schemas.microsoft.com/office/word/2010/wordprocessingShape">
                    <wps:wsp>
                      <wps:cNvSpPr/>
                      <wps:spPr>
                        <a:xfrm>
                          <a:off x="0" y="0"/>
                          <a:ext cx="2751667" cy="1947333"/>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CBDFD" id="Rectángulo 3" o:spid="_x0000_s1026" style="position:absolute;margin-left:4pt;margin-top:7.25pt;width:216.65pt;height:153.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" filled="f" strokecolor="black [3213]"/>
            </w:pict>
          </mc:Fallback>
        </mc:AlternateContent>
      </w:r>
      <w:r w:rsidR="00476FCF" w:rsidRPr="00476FCF">
        <w:rPr>
          <w:rFonts w:asciiTheme="minorHAnsi" w:eastAsia="Aptos" w:hAnsiTheme="minorHAnsi" w:cstheme="minorHAnsi"/>
          <w:noProof/>
        </w:rPr>
        <w:drawing>
          <wp:inline distT="0" distB="0" distL="0" distR="0" wp14:anchorId="0C1C9FDF" wp14:editId="472FC634">
            <wp:extent cx="2800266" cy="1837267"/>
            <wp:effectExtent l="0" t="0" r="0" b="4445"/>
            <wp:docPr id="616622418" name="Imagen 1"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22418" name="Imagen 1" descr="Gráfico, Gráfico circular&#10;&#10;El contenido generado por IA puede ser incorrecto."/>
                    <pic:cNvPicPr/>
                  </pic:nvPicPr>
                  <pic:blipFill>
                    <a:blip r:embed="rId52"/>
                    <a:stretch>
                      <a:fillRect/>
                    </a:stretch>
                  </pic:blipFill>
                  <pic:spPr>
                    <a:xfrm>
                      <a:off x="0" y="0"/>
                      <a:ext cx="2864446" cy="1879376"/>
                    </a:xfrm>
                    <a:prstGeom prst="rect">
                      <a:avLst/>
                    </a:prstGeom>
                  </pic:spPr>
                </pic:pic>
              </a:graphicData>
            </a:graphic>
          </wp:inline>
        </w:drawing>
      </w:r>
      <w:r w:rsidRPr="00F2258D">
        <w:rPr>
          <w:rFonts w:asciiTheme="minorHAnsi" w:eastAsia="Aptos" w:hAnsiTheme="minorHAnsi" w:cstheme="minorHAnsi"/>
          <w:lang w:val="pt-BR"/>
        </w:rPr>
        <w:t xml:space="preserve">          </w:t>
      </w:r>
      <w:r w:rsidR="00C84915" w:rsidRPr="00C84915">
        <w:rPr>
          <w:rFonts w:asciiTheme="minorHAnsi" w:eastAsia="Aptos" w:hAnsiTheme="minorHAnsi" w:cstheme="minorHAnsi"/>
          <w:noProof/>
        </w:rPr>
        <w:drawing>
          <wp:inline distT="0" distB="0" distL="0" distR="0" wp14:anchorId="5BA410A7" wp14:editId="36A1DDE4">
            <wp:extent cx="2514600" cy="1981648"/>
            <wp:effectExtent l="0" t="0" r="0" b="0"/>
            <wp:docPr id="6746888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88811" name=""/>
                    <pic:cNvPicPr/>
                  </pic:nvPicPr>
                  <pic:blipFill>
                    <a:blip r:embed="rId53"/>
                    <a:stretch>
                      <a:fillRect/>
                    </a:stretch>
                  </pic:blipFill>
                  <pic:spPr>
                    <a:xfrm>
                      <a:off x="0" y="0"/>
                      <a:ext cx="2591093" cy="2041929"/>
                    </a:xfrm>
                    <a:prstGeom prst="rect">
                      <a:avLst/>
                    </a:prstGeom>
                  </pic:spPr>
                </pic:pic>
              </a:graphicData>
            </a:graphic>
          </wp:inline>
        </w:drawing>
      </w:r>
    </w:p>
    <w:p w14:paraId="5DE0B233" w14:textId="4FEBA543" w:rsidR="00BF4113" w:rsidRPr="00665647" w:rsidRDefault="00665647" w:rsidP="008B475B">
      <w:pPr>
        <w:jc w:val="center"/>
        <w:rPr>
          <w:rFonts w:eastAsia="Aptos" w:cs="Calibri"/>
          <w:bCs/>
          <w:i/>
          <w:iCs/>
          <w:sz w:val="18"/>
          <w:szCs w:val="18"/>
        </w:rPr>
      </w:pPr>
      <w:r>
        <w:rPr>
          <w:rFonts w:eastAsia="Aptos" w:cs="Calibri"/>
          <w:bCs/>
          <w:i/>
          <w:iCs/>
          <w:sz w:val="18"/>
          <w:szCs w:val="18"/>
        </w:rPr>
        <w:t>F</w:t>
      </w:r>
      <w:r w:rsidRPr="00665647">
        <w:rPr>
          <w:rFonts w:eastAsia="Aptos" w:cs="Calibri"/>
          <w:bCs/>
          <w:i/>
          <w:iCs/>
          <w:sz w:val="18"/>
          <w:szCs w:val="18"/>
        </w:rPr>
        <w:t xml:space="preserve">igura 3-2: distribuição do valor agregado da manga       </w:t>
      </w:r>
      <w:r w:rsidR="00C84915">
        <w:rPr>
          <w:rFonts w:eastAsia="Aptos" w:cs="Calibri"/>
          <w:bCs/>
          <w:i/>
          <w:iCs/>
          <w:sz w:val="18"/>
          <w:szCs w:val="18"/>
        </w:rPr>
        <w:t xml:space="preserve">               </w:t>
      </w:r>
      <w:r>
        <w:rPr>
          <w:rFonts w:eastAsia="Aptos" w:cs="Calibri"/>
          <w:bCs/>
          <w:i/>
          <w:iCs/>
          <w:sz w:val="18"/>
          <w:szCs w:val="18"/>
        </w:rPr>
        <w:t>F</w:t>
      </w:r>
      <w:r w:rsidRPr="00665647">
        <w:rPr>
          <w:rFonts w:eastAsia="Aptos" w:cs="Calibri"/>
          <w:bCs/>
          <w:i/>
          <w:iCs/>
          <w:sz w:val="18"/>
          <w:szCs w:val="18"/>
        </w:rPr>
        <w:t>igura 3-3</w:t>
      </w:r>
      <w:r w:rsidRPr="00665647">
        <w:rPr>
          <w:rFonts w:cs="Calibri"/>
          <w:bCs/>
          <w:i/>
          <w:iCs/>
          <w:sz w:val="18"/>
          <w:szCs w:val="18"/>
        </w:rPr>
        <w:t xml:space="preserve"> </w:t>
      </w:r>
      <w:r w:rsidRPr="00665647">
        <w:rPr>
          <w:rFonts w:eastAsia="Aptos" w:cs="Calibri"/>
          <w:bCs/>
          <w:i/>
          <w:iCs/>
          <w:sz w:val="18"/>
          <w:szCs w:val="18"/>
        </w:rPr>
        <w:t>distribuição do valor agregado</w:t>
      </w:r>
    </w:p>
    <w:p w14:paraId="1021400C" w14:textId="77777777" w:rsidR="00BF4113" w:rsidRPr="002E68F9" w:rsidRDefault="00BF4113" w:rsidP="00BF4113">
      <w:pPr>
        <w:rPr>
          <w:rFonts w:asciiTheme="minorHAnsi" w:eastAsia="Aptos" w:hAnsiTheme="minorHAnsi" w:cstheme="minorHAnsi"/>
          <w:szCs w:val="20"/>
        </w:rPr>
      </w:pPr>
      <w:r w:rsidRPr="002E68F9">
        <w:rPr>
          <w:rFonts w:asciiTheme="minorHAnsi" w:eastAsia="Aptos" w:hAnsiTheme="minorHAnsi" w:cstheme="minorHAnsi"/>
          <w:szCs w:val="20"/>
        </w:rPr>
        <w:t>O emprego assalariado (fora da família) é fornecido principalmente por produtores familiares (57% dos salários gerados), devido ao elevado número desses atores (88%). Os grandes produtores, que geram a maioria dos empregos permanentes e temporários, representam apenas 7,5% dos salários totais devido ao seu baixo número (Figura 3-4).</w:t>
      </w:r>
    </w:p>
    <w:p w14:paraId="66A2C6F4" w14:textId="77777777" w:rsidR="00BF4113" w:rsidRPr="002E68F9" w:rsidRDefault="00BF4113" w:rsidP="00BF4113">
      <w:pPr>
        <w:rPr>
          <w:rFonts w:asciiTheme="minorHAnsi" w:eastAsia="Aptos" w:hAnsiTheme="minorHAnsi" w:cstheme="minorHAnsi"/>
          <w:szCs w:val="20"/>
        </w:rPr>
      </w:pPr>
      <w:r w:rsidRPr="002E68F9">
        <w:rPr>
          <w:rFonts w:asciiTheme="minorHAnsi" w:eastAsia="Aptos" w:hAnsiTheme="minorHAnsi" w:cstheme="minorHAnsi"/>
          <w:szCs w:val="20"/>
        </w:rPr>
        <w:t>Os atores que obtêm os maiores benefícios em proporção aos lucros totais gerados no CV são os grossistas (50,2%) e os retalhistas (19,8%). Todos os produtores e microprocessadores, juntos, recebem apenas 30% do lucro total (Figura 3-5).</w:t>
      </w:r>
    </w:p>
    <w:p w14:paraId="34AE6CA2" w14:textId="7C27CD4D" w:rsidR="008B475B" w:rsidRPr="00F2258D" w:rsidRDefault="008B475B" w:rsidP="008B475B">
      <w:pPr>
        <w:jc w:val="left"/>
        <w:rPr>
          <w:rFonts w:eastAsiaTheme="majorEastAsia" w:cs="Calibri"/>
          <w:bCs/>
          <w:i/>
          <w:iCs/>
          <w:sz w:val="18"/>
          <w:szCs w:val="18"/>
          <w:lang w:val="pt-BR"/>
        </w:rPr>
      </w:pPr>
      <w:r>
        <w:rPr>
          <w:rFonts w:asciiTheme="minorHAnsi" w:eastAsia="Aptos" w:hAnsiTheme="minorHAnsi" w:cstheme="minorHAnsi"/>
          <w:noProof/>
        </w:rPr>
        <mc:AlternateContent>
          <mc:Choice Requires="wps">
            <w:drawing>
              <wp:anchor distT="0" distB="0" distL="114300" distR="114300" simplePos="0" relativeHeight="251663360" behindDoc="0" locked="0" layoutInCell="1" allowOverlap="1" wp14:anchorId="64CF894D" wp14:editId="08FCF682">
                <wp:simplePos x="0" y="0"/>
                <wp:positionH relativeFrom="column">
                  <wp:posOffset>0</wp:posOffset>
                </wp:positionH>
                <wp:positionV relativeFrom="paragraph">
                  <wp:posOffset>61807</wp:posOffset>
                </wp:positionV>
                <wp:extent cx="2751455" cy="1989243"/>
                <wp:effectExtent l="0" t="0" r="17145" b="17780"/>
                <wp:wrapNone/>
                <wp:docPr id="64779292" name="Rectángulo 3"/>
                <wp:cNvGraphicFramePr/>
                <a:graphic xmlns:a="http://schemas.openxmlformats.org/drawingml/2006/main">
                  <a:graphicData uri="http://schemas.microsoft.com/office/word/2010/wordprocessingShape">
                    <wps:wsp>
                      <wps:cNvSpPr/>
                      <wps:spPr>
                        <a:xfrm>
                          <a:off x="0" y="0"/>
                          <a:ext cx="2751455" cy="1989243"/>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906C4" id="Rectángulo 3" o:spid="_x0000_s1026" style="position:absolute;margin-left:0;margin-top:4.85pt;width:216.65pt;height:15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" filled="f" strokecolor="black [3213]"/>
            </w:pict>
          </mc:Fallback>
        </mc:AlternateContent>
      </w:r>
      <w:r>
        <w:rPr>
          <w:rFonts w:asciiTheme="minorHAnsi" w:eastAsia="Aptos" w:hAnsiTheme="minorHAnsi" w:cstheme="minorHAnsi"/>
          <w:noProof/>
        </w:rPr>
        <mc:AlternateContent>
          <mc:Choice Requires="wps">
            <w:drawing>
              <wp:anchor distT="0" distB="0" distL="114300" distR="114300" simplePos="0" relativeHeight="251665408" behindDoc="0" locked="0" layoutInCell="1" allowOverlap="1" wp14:anchorId="6186D551" wp14:editId="6734B2DD">
                <wp:simplePos x="0" y="0"/>
                <wp:positionH relativeFrom="column">
                  <wp:posOffset>2912533</wp:posOffset>
                </wp:positionH>
                <wp:positionV relativeFrom="paragraph">
                  <wp:posOffset>61807</wp:posOffset>
                </wp:positionV>
                <wp:extent cx="2751667" cy="1989243"/>
                <wp:effectExtent l="0" t="0" r="17145" b="17780"/>
                <wp:wrapNone/>
                <wp:docPr id="877696182" name="Rectángulo 3"/>
                <wp:cNvGraphicFramePr/>
                <a:graphic xmlns:a="http://schemas.openxmlformats.org/drawingml/2006/main">
                  <a:graphicData uri="http://schemas.microsoft.com/office/word/2010/wordprocessingShape">
                    <wps:wsp>
                      <wps:cNvSpPr/>
                      <wps:spPr>
                        <a:xfrm>
                          <a:off x="0" y="0"/>
                          <a:ext cx="2751667" cy="1989243"/>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B5CCD" id="Rectángulo 3" o:spid="_x0000_s1026" style="position:absolute;margin-left:229.35pt;margin-top:4.85pt;width:216.65pt;height:15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" filled="f" strokecolor="black [3213]"/>
            </w:pict>
          </mc:Fallback>
        </mc:AlternateContent>
      </w:r>
      <w:r w:rsidR="000F123F" w:rsidRPr="000F123F">
        <w:rPr>
          <w:rFonts w:eastAsiaTheme="majorEastAsia" w:cs="Calibri"/>
          <w:bCs/>
          <w:i/>
          <w:iCs/>
          <w:noProof/>
          <w:sz w:val="18"/>
          <w:szCs w:val="18"/>
          <w:lang w:val="es-ES"/>
        </w:rPr>
        <w:drawing>
          <wp:inline distT="0" distB="0" distL="0" distR="0" wp14:anchorId="4FA372B9" wp14:editId="4B099841">
            <wp:extent cx="2756053" cy="1837267"/>
            <wp:effectExtent l="0" t="0" r="0" b="4445"/>
            <wp:docPr id="1875731505" name="Imagen 1"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31505" name="Imagen 1" descr="Gráfico, Gráfico circular&#10;&#10;El contenido generado por IA puede ser incorrecto."/>
                    <pic:cNvPicPr/>
                  </pic:nvPicPr>
                  <pic:blipFill>
                    <a:blip r:embed="rId54"/>
                    <a:stretch>
                      <a:fillRect/>
                    </a:stretch>
                  </pic:blipFill>
                  <pic:spPr>
                    <a:xfrm>
                      <a:off x="0" y="0"/>
                      <a:ext cx="2797342" cy="1864791"/>
                    </a:xfrm>
                    <a:prstGeom prst="rect">
                      <a:avLst/>
                    </a:prstGeom>
                  </pic:spPr>
                </pic:pic>
              </a:graphicData>
            </a:graphic>
          </wp:inline>
        </w:drawing>
      </w:r>
      <w:r w:rsidRPr="00F2258D">
        <w:rPr>
          <w:rFonts w:eastAsiaTheme="majorEastAsia" w:cs="Calibri"/>
          <w:bCs/>
          <w:i/>
          <w:iCs/>
          <w:sz w:val="18"/>
          <w:szCs w:val="18"/>
          <w:lang w:val="pt-BR"/>
        </w:rPr>
        <w:t xml:space="preserve">      </w:t>
      </w:r>
      <w:r w:rsidRPr="008B475B">
        <w:rPr>
          <w:rFonts w:eastAsiaTheme="majorEastAsia" w:cs="Calibri"/>
          <w:bCs/>
          <w:i/>
          <w:iCs/>
          <w:noProof/>
          <w:sz w:val="18"/>
          <w:szCs w:val="18"/>
          <w:lang w:val="es-ES"/>
        </w:rPr>
        <w:drawing>
          <wp:inline distT="0" distB="0" distL="0" distR="0" wp14:anchorId="336E1C84" wp14:editId="6481B574">
            <wp:extent cx="2777157" cy="1947333"/>
            <wp:effectExtent l="0" t="0" r="4445" b="0"/>
            <wp:docPr id="6271664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66496" name=""/>
                    <pic:cNvPicPr/>
                  </pic:nvPicPr>
                  <pic:blipFill>
                    <a:blip r:embed="rId55"/>
                    <a:stretch>
                      <a:fillRect/>
                    </a:stretch>
                  </pic:blipFill>
                  <pic:spPr>
                    <a:xfrm>
                      <a:off x="0" y="0"/>
                      <a:ext cx="2796624" cy="1960983"/>
                    </a:xfrm>
                    <a:prstGeom prst="rect">
                      <a:avLst/>
                    </a:prstGeom>
                  </pic:spPr>
                </pic:pic>
              </a:graphicData>
            </a:graphic>
          </wp:inline>
        </w:drawing>
      </w:r>
    </w:p>
    <w:p w14:paraId="0DB75A22" w14:textId="25D23C58" w:rsidR="00BF4113" w:rsidRPr="004B6B4A" w:rsidRDefault="00FE2C9D" w:rsidP="00FE2C9D">
      <w:pPr>
        <w:jc w:val="center"/>
        <w:rPr>
          <w:rFonts w:cs="Calibri"/>
          <w:bCs/>
          <w:i/>
          <w:iCs/>
          <w:noProof/>
          <w:sz w:val="18"/>
          <w:szCs w:val="18"/>
          <w:lang w:val="pt-BR"/>
        </w:rPr>
      </w:pPr>
      <w:r w:rsidRPr="00F2258D">
        <w:rPr>
          <w:rFonts w:eastAsiaTheme="majorEastAsia" w:cs="Calibri"/>
          <w:bCs/>
          <w:i/>
          <w:iCs/>
          <w:sz w:val="18"/>
          <w:szCs w:val="18"/>
          <w:lang w:val="pt-BR"/>
        </w:rPr>
        <w:t xml:space="preserve">   </w:t>
      </w:r>
      <w:r w:rsidRPr="004B6B4A">
        <w:rPr>
          <w:rFonts w:eastAsiaTheme="majorEastAsia" w:cs="Calibri"/>
          <w:bCs/>
          <w:i/>
          <w:iCs/>
          <w:sz w:val="18"/>
          <w:szCs w:val="18"/>
          <w:lang w:val="pt-BR"/>
        </w:rPr>
        <w:t>Figura 3-4: distribuição de salários entre os actores</w:t>
      </w:r>
      <w:r w:rsidRPr="004B6B4A">
        <w:rPr>
          <w:rFonts w:cs="Calibri"/>
          <w:bCs/>
          <w:i/>
          <w:iCs/>
          <w:noProof/>
          <w:sz w:val="18"/>
          <w:szCs w:val="18"/>
          <w:lang w:val="pt-BR"/>
        </w:rPr>
        <w:t xml:space="preserve">     </w:t>
      </w:r>
      <w:r w:rsidR="008B475B" w:rsidRPr="004B6B4A">
        <w:rPr>
          <w:rFonts w:cs="Calibri"/>
          <w:bCs/>
          <w:i/>
          <w:iCs/>
          <w:noProof/>
          <w:sz w:val="18"/>
          <w:szCs w:val="18"/>
          <w:lang w:val="pt-BR"/>
        </w:rPr>
        <w:t xml:space="preserve">    </w:t>
      </w:r>
      <w:r w:rsidRPr="004B6B4A">
        <w:rPr>
          <w:rFonts w:cs="Calibri"/>
          <w:bCs/>
          <w:i/>
          <w:iCs/>
          <w:noProof/>
          <w:sz w:val="18"/>
          <w:szCs w:val="18"/>
          <w:lang w:val="pt-BR"/>
        </w:rPr>
        <w:t xml:space="preserve"> </w:t>
      </w:r>
      <w:r w:rsidRPr="004B6B4A">
        <w:rPr>
          <w:rFonts w:eastAsiaTheme="majorEastAsia" w:cs="Calibri"/>
          <w:bCs/>
          <w:i/>
          <w:iCs/>
          <w:sz w:val="18"/>
          <w:szCs w:val="18"/>
          <w:lang w:val="pt-BR"/>
        </w:rPr>
        <w:t>Figura 3-5: distribuição do lucro operacional líquido entre atores</w:t>
      </w:r>
    </w:p>
    <w:p w14:paraId="5BEDEE0B" w14:textId="3DA58A38" w:rsidR="00BF4113" w:rsidRPr="004B6B4A" w:rsidRDefault="00BF4113" w:rsidP="00815270">
      <w:pPr>
        <w:pStyle w:val="Heading2"/>
        <w:numPr>
          <w:ilvl w:val="1"/>
          <w:numId w:val="42"/>
        </w:numPr>
      </w:pPr>
      <w:bookmarkStart w:id="207" w:name="_Toc220507520"/>
      <w:r w:rsidRPr="004B6B4A">
        <w:t>Efeitos da CV na economia nacional</w:t>
      </w:r>
      <w:bookmarkEnd w:id="207"/>
    </w:p>
    <w:p w14:paraId="4C76F2D1" w14:textId="238A603E" w:rsidR="00BF4113" w:rsidRPr="00FE2C9D" w:rsidRDefault="00BF4113" w:rsidP="00BF4113">
      <w:pPr>
        <w:rPr>
          <w:rFonts w:asciiTheme="minorHAnsi" w:eastAsiaTheme="majorEastAsia" w:hAnsiTheme="minorHAnsi" w:cstheme="minorHAnsi"/>
          <w:szCs w:val="20"/>
        </w:rPr>
      </w:pPr>
      <w:r w:rsidRPr="002E68F9">
        <w:rPr>
          <w:rFonts w:asciiTheme="minorHAnsi" w:eastAsiaTheme="majorEastAsia" w:hAnsiTheme="minorHAnsi" w:cstheme="minorHAnsi"/>
          <w:szCs w:val="20"/>
        </w:rPr>
        <w:t xml:space="preserve">A contribuição da cadeia de valor para o crescimento econômico do país pode ser medida por meio de sua contribuição para variáveis ​​macroeconômicas importantes, como sua contribuição para o PIB, o PIB agrícola, a balança comercial e as finanças públicas. Da mesma forma, pode ser medida pela forma como </w:t>
      </w:r>
      <w:r w:rsidRPr="002E68F9">
        <w:rPr>
          <w:rFonts w:asciiTheme="minorHAnsi" w:eastAsiaTheme="majorEastAsia" w:hAnsiTheme="minorHAnsi" w:cstheme="minorHAnsi"/>
          <w:szCs w:val="20"/>
        </w:rPr>
        <w:lastRenderedPageBreak/>
        <w:t>a renda é distribuída entre os atores, o impacto da governança na CV e o número de empregos gerados pela cadeia.</w:t>
      </w:r>
    </w:p>
    <w:p w14:paraId="0A4E1FA9" w14:textId="77777777" w:rsidR="00BF4113" w:rsidRPr="00FA54E0" w:rsidRDefault="00BF4113" w:rsidP="00BF4113">
      <w:pPr>
        <w:rPr>
          <w:rFonts w:asciiTheme="minorHAnsi" w:eastAsiaTheme="majorEastAsia" w:hAnsiTheme="minorHAnsi" w:cstheme="minorHAnsi"/>
          <w:b/>
          <w:color w:val="336666"/>
          <w:szCs w:val="20"/>
        </w:rPr>
      </w:pPr>
      <w:r w:rsidRPr="00FA54E0">
        <w:rPr>
          <w:rFonts w:asciiTheme="minorHAnsi" w:eastAsiaTheme="majorEastAsia" w:hAnsiTheme="minorHAnsi" w:cstheme="minorHAnsi"/>
          <w:b/>
          <w:color w:val="336666"/>
          <w:szCs w:val="20"/>
        </w:rPr>
        <w:t>3.4.1 Contribuição da CV para o crescimento económico</w:t>
      </w:r>
    </w:p>
    <w:p w14:paraId="722140CD" w14:textId="77777777" w:rsidR="00BF4113" w:rsidRPr="002E68F9" w:rsidRDefault="00BF4113" w:rsidP="00BF4113">
      <w:pPr>
        <w:spacing w:line="240" w:lineRule="auto"/>
        <w:rPr>
          <w:rFonts w:asciiTheme="minorHAnsi" w:eastAsiaTheme="majorEastAsia" w:hAnsiTheme="minorHAnsi" w:cstheme="minorHAnsi"/>
          <w:szCs w:val="20"/>
        </w:rPr>
      </w:pPr>
      <w:r w:rsidRPr="002E68F9">
        <w:rPr>
          <w:rFonts w:asciiTheme="minorHAnsi" w:eastAsiaTheme="majorEastAsia" w:hAnsiTheme="minorHAnsi" w:cstheme="minorHAnsi"/>
          <w:szCs w:val="20"/>
        </w:rPr>
        <w:t>A economia da Guiné-Bissau é dominada pela agricultura que representa 47% do PIB e emprega 69% da população ativa. O principal produto é a castanha de caju que representa</w:t>
      </w:r>
    </w:p>
    <w:p w14:paraId="00BFF156" w14:textId="77777777" w:rsidR="00BF4113" w:rsidRPr="002E68F9" w:rsidRDefault="00BF4113" w:rsidP="00BF4113">
      <w:pPr>
        <w:spacing w:line="240" w:lineRule="auto"/>
        <w:rPr>
          <w:rFonts w:asciiTheme="minorHAnsi" w:eastAsiaTheme="majorEastAsia" w:hAnsiTheme="minorHAnsi" w:cstheme="minorHAnsi"/>
          <w:szCs w:val="20"/>
        </w:rPr>
      </w:pPr>
      <w:r w:rsidRPr="002E68F9">
        <w:rPr>
          <w:rFonts w:asciiTheme="minorHAnsi" w:eastAsiaTheme="majorEastAsia" w:hAnsiTheme="minorHAnsi" w:cstheme="minorHAnsi"/>
          <w:szCs w:val="20"/>
        </w:rPr>
        <w:t xml:space="preserve">90% das exportações nacionais e 10% do PIB. </w:t>
      </w:r>
    </w:p>
    <w:p w14:paraId="5E9A2344" w14:textId="77777777" w:rsidR="00BF4113" w:rsidRPr="002E68F9" w:rsidRDefault="00BF4113" w:rsidP="00BF4113">
      <w:pPr>
        <w:rPr>
          <w:rFonts w:asciiTheme="minorHAnsi" w:eastAsiaTheme="majorEastAsia" w:hAnsiTheme="minorHAnsi" w:cstheme="minorHAnsi"/>
          <w:szCs w:val="20"/>
        </w:rPr>
      </w:pPr>
      <w:r w:rsidRPr="002E68F9">
        <w:rPr>
          <w:rFonts w:asciiTheme="minorHAnsi" w:eastAsiaTheme="majorEastAsia" w:hAnsiTheme="minorHAnsi" w:cstheme="minorHAnsi"/>
          <w:szCs w:val="20"/>
        </w:rPr>
        <w:t>Ao contrário do caju, a cadeia de valor da manga é muito pequena e contribui apenas com 0,4% para o PIB e 1,2% para o PIB agrícola</w:t>
      </w:r>
      <w:r w:rsidRPr="002E68F9">
        <w:rPr>
          <w:rStyle w:val="FootnoteReference"/>
          <w:rFonts w:asciiTheme="minorHAnsi" w:hAnsiTheme="minorHAnsi"/>
          <w:szCs w:val="20"/>
        </w:rPr>
        <w:footnoteReference w:id="9"/>
      </w:r>
      <w:r w:rsidRPr="002E68F9">
        <w:rPr>
          <w:rFonts w:asciiTheme="minorHAnsi" w:eastAsiaTheme="majorEastAsia" w:hAnsiTheme="minorHAnsi" w:cstheme="minorHAnsi"/>
          <w:szCs w:val="20"/>
        </w:rPr>
        <w:t>.</w:t>
      </w:r>
    </w:p>
    <w:p w14:paraId="5A47DC4B" w14:textId="77777777" w:rsidR="00BF4113" w:rsidRPr="00F15FCB" w:rsidRDefault="00BF4113" w:rsidP="00BF4113">
      <w:pPr>
        <w:rPr>
          <w:rFonts w:asciiTheme="minorHAnsi" w:eastAsiaTheme="majorEastAsia" w:hAnsiTheme="minorHAnsi" w:cstheme="minorHAnsi"/>
          <w:b/>
          <w:color w:val="336666"/>
          <w:szCs w:val="20"/>
        </w:rPr>
      </w:pPr>
      <w:r w:rsidRPr="00F15FCB">
        <w:rPr>
          <w:rFonts w:asciiTheme="minorHAnsi" w:eastAsiaTheme="majorEastAsia" w:hAnsiTheme="minorHAnsi" w:cstheme="minorHAnsi"/>
          <w:b/>
          <w:color w:val="336666"/>
          <w:szCs w:val="20"/>
        </w:rPr>
        <w:t>3.4.2 Contribuição da CV para a balança comercial e finanças públicas</w:t>
      </w:r>
    </w:p>
    <w:p w14:paraId="11DB0077" w14:textId="77777777" w:rsidR="00BF4113" w:rsidRPr="002E68F9" w:rsidRDefault="00BF4113" w:rsidP="00BF4113">
      <w:pPr>
        <w:rPr>
          <w:rFonts w:asciiTheme="minorHAnsi" w:eastAsiaTheme="majorEastAsia" w:hAnsiTheme="minorHAnsi" w:cstheme="minorHAnsi"/>
          <w:szCs w:val="20"/>
        </w:rPr>
      </w:pPr>
      <w:r w:rsidRPr="002E68F9">
        <w:rPr>
          <w:rFonts w:asciiTheme="minorHAnsi" w:eastAsiaTheme="majorEastAsia" w:hAnsiTheme="minorHAnsi" w:cstheme="minorHAnsi"/>
          <w:szCs w:val="20"/>
        </w:rPr>
        <w:t>A contribuição para a balança comercial é deficitária em CFA 132,5 milhões. Isso se deve a dois fatores: por um lado, não há exportações formais de manga que gerem divisas para o país; por outro, algumas atividades da cadeia exigem importações, que, embora mínimas, geram um déficit na balança comercial.</w:t>
      </w:r>
    </w:p>
    <w:p w14:paraId="19AD9931" w14:textId="77777777" w:rsidR="00BF4113" w:rsidRPr="002E68F9" w:rsidRDefault="00BF4113" w:rsidP="00BF4113">
      <w:pPr>
        <w:rPr>
          <w:rFonts w:asciiTheme="minorHAnsi" w:eastAsiaTheme="majorEastAsia" w:hAnsiTheme="minorHAnsi" w:cstheme="minorHAnsi"/>
          <w:szCs w:val="20"/>
        </w:rPr>
      </w:pPr>
      <w:r w:rsidRPr="002E68F9">
        <w:rPr>
          <w:rFonts w:asciiTheme="minorHAnsi" w:eastAsiaTheme="majorEastAsia" w:hAnsiTheme="minorHAnsi" w:cstheme="minorHAnsi"/>
          <w:szCs w:val="20"/>
        </w:rPr>
        <w:t>Dada a natureza informal das atividades da cadeia de valor, sua contribuição para as finanças públicas é mínima, representando 6% do valor agregado (Quadro 3-6). Por um lado, não há subsídios para os atores; e, por outro, os impostos pagos são mínimos, correspondendo apenas a algumas taxas pagas por grossistas retalhistas em Bissau.</w:t>
      </w:r>
    </w:p>
    <w:p w14:paraId="68223BBE" w14:textId="03EF7D8C" w:rsidR="00BF4113" w:rsidRPr="00D8431C" w:rsidRDefault="00BF4113" w:rsidP="00815270">
      <w:pPr>
        <w:pStyle w:val="Heading2"/>
        <w:numPr>
          <w:ilvl w:val="1"/>
          <w:numId w:val="42"/>
        </w:numPr>
      </w:pPr>
      <w:bookmarkStart w:id="208" w:name="_Toc220507521"/>
      <w:r w:rsidRPr="00D8431C">
        <w:t>Distribuição da renda</w:t>
      </w:r>
      <w:bookmarkEnd w:id="208"/>
    </w:p>
    <w:p w14:paraId="045AD2A6" w14:textId="77777777" w:rsidR="00BF4113" w:rsidRPr="002E68F9" w:rsidRDefault="00BF4113" w:rsidP="00BF4113">
      <w:pPr>
        <w:rPr>
          <w:rFonts w:asciiTheme="minorHAnsi" w:eastAsiaTheme="majorEastAsia" w:hAnsiTheme="minorHAnsi" w:cstheme="minorHAnsi"/>
          <w:szCs w:val="20"/>
        </w:rPr>
      </w:pPr>
      <w:r w:rsidRPr="002E68F9">
        <w:rPr>
          <w:rFonts w:asciiTheme="minorHAnsi" w:eastAsiaTheme="majorEastAsia" w:hAnsiTheme="minorHAnsi" w:cstheme="minorHAnsi"/>
          <w:szCs w:val="20"/>
        </w:rPr>
        <w:t>Conforme indicado na seção 3.2, a rentabilidade é positiva para todos os actores (Quadro 3-5 e 3-6). Do ponto de vista da distribuição do valor agregado, a cadeia de valor da manga apresenta uma grande disparidade. O valor agregado é concentrado nos agentes que comercializam em Bissau (Figura 3-6).</w:t>
      </w:r>
    </w:p>
    <w:p w14:paraId="2B4FEFFD" w14:textId="77777777" w:rsidR="00BF4113" w:rsidRDefault="00BF4113" w:rsidP="00BF4113">
      <w:pPr>
        <w:rPr>
          <w:rFonts w:asciiTheme="minorHAnsi" w:eastAsiaTheme="majorEastAsia" w:hAnsiTheme="minorHAnsi" w:cstheme="minorHAnsi"/>
          <w:lang w:val="es-ES"/>
        </w:rPr>
      </w:pPr>
      <w:r>
        <w:rPr>
          <w:noProof/>
          <w:lang w:val="en-US"/>
        </w:rPr>
        <w:drawing>
          <wp:inline distT="0" distB="0" distL="0" distR="0" wp14:anchorId="62300196" wp14:editId="39F4E768">
            <wp:extent cx="4324350" cy="2381250"/>
            <wp:effectExtent l="0" t="0" r="0" b="0"/>
            <wp:docPr id="1499849707" name="Imagen 1499849707"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49707" name="Imagen 1499849707" descr="Gráfico, Gráfico de barras&#10;&#10;El contenido generado por IA puede ser incorrecto."/>
                    <pic:cNvPicPr/>
                  </pic:nvPicPr>
                  <pic:blipFill>
                    <a:blip r:embed="rId56"/>
                    <a:stretch>
                      <a:fillRect/>
                    </a:stretch>
                  </pic:blipFill>
                  <pic:spPr>
                    <a:xfrm>
                      <a:off x="0" y="0"/>
                      <a:ext cx="4324350" cy="2381250"/>
                    </a:xfrm>
                    <a:prstGeom prst="rect">
                      <a:avLst/>
                    </a:prstGeom>
                  </pic:spPr>
                </pic:pic>
              </a:graphicData>
            </a:graphic>
          </wp:inline>
        </w:drawing>
      </w:r>
    </w:p>
    <w:p w14:paraId="34B693E7" w14:textId="37B72FDE" w:rsidR="00BF4113" w:rsidRPr="009016A9" w:rsidRDefault="009016A9" w:rsidP="00BF4113">
      <w:pPr>
        <w:jc w:val="center"/>
        <w:rPr>
          <w:rFonts w:eastAsiaTheme="majorEastAsia" w:cs="Calibri"/>
          <w:bCs/>
          <w:i/>
          <w:iCs/>
          <w:sz w:val="18"/>
          <w:szCs w:val="18"/>
        </w:rPr>
      </w:pPr>
      <w:r>
        <w:rPr>
          <w:rFonts w:eastAsiaTheme="majorEastAsia" w:cs="Calibri"/>
          <w:bCs/>
          <w:i/>
          <w:iCs/>
          <w:sz w:val="18"/>
          <w:szCs w:val="18"/>
        </w:rPr>
        <w:t>F</w:t>
      </w:r>
      <w:r w:rsidRPr="009016A9">
        <w:rPr>
          <w:rFonts w:eastAsiaTheme="majorEastAsia" w:cs="Calibri"/>
          <w:bCs/>
          <w:i/>
          <w:iCs/>
          <w:sz w:val="18"/>
          <w:szCs w:val="18"/>
        </w:rPr>
        <w:t>igura 3-6 - cv manga. distribuição do valor agregadopor atores (valores em mcfa 2025). fonte. afa. vc manga. synthetic accounts (agents)</w:t>
      </w:r>
    </w:p>
    <w:p w14:paraId="5B54DA56" w14:textId="05E047A8" w:rsidR="00BF4113" w:rsidRPr="002E68F9" w:rsidRDefault="00BF4113" w:rsidP="00BF4113">
      <w:pPr>
        <w:rPr>
          <w:rFonts w:asciiTheme="minorHAnsi" w:eastAsiaTheme="majorEastAsia" w:hAnsiTheme="minorHAnsi" w:cstheme="minorHAnsi"/>
          <w:szCs w:val="20"/>
        </w:rPr>
      </w:pPr>
      <w:r w:rsidRPr="002E68F9">
        <w:rPr>
          <w:rFonts w:asciiTheme="minorHAnsi" w:eastAsiaTheme="majorEastAsia" w:hAnsiTheme="minorHAnsi" w:cstheme="minorHAnsi"/>
          <w:szCs w:val="20"/>
        </w:rPr>
        <w:t>Do ponto de vista da distribuição do valor agregado total, este está igualmente concentrado no lucro (70.0%), com uma participação baixa de salários (13.2%) e uma participação muito baixa, ou nula, dos outros actores financeiros e do Estado (9.2%) (Figura 3-</w:t>
      </w:r>
      <w:r w:rsidR="007B3529">
        <w:rPr>
          <w:rFonts w:asciiTheme="minorHAnsi" w:eastAsiaTheme="majorEastAsia" w:hAnsiTheme="minorHAnsi" w:cstheme="minorHAnsi"/>
          <w:szCs w:val="20"/>
        </w:rPr>
        <w:t>7</w:t>
      </w:r>
      <w:r w:rsidRPr="002E68F9">
        <w:rPr>
          <w:rFonts w:asciiTheme="minorHAnsi" w:eastAsiaTheme="majorEastAsia" w:hAnsiTheme="minorHAnsi" w:cstheme="minorHAnsi"/>
          <w:szCs w:val="20"/>
        </w:rPr>
        <w:t>).</w:t>
      </w:r>
    </w:p>
    <w:bookmarkStart w:id="209" w:name="OLE_LINK1"/>
    <w:p w14:paraId="6148F1C7" w14:textId="2C7476C1" w:rsidR="00BF4113" w:rsidRDefault="00B33935" w:rsidP="00BF4113">
      <w:pPr>
        <w:jc w:val="center"/>
        <w:rPr>
          <w:rFonts w:asciiTheme="minorHAnsi" w:eastAsiaTheme="majorEastAsia" w:hAnsiTheme="minorHAnsi" w:cstheme="minorHAnsi"/>
        </w:rPr>
      </w:pPr>
      <w:r>
        <w:rPr>
          <w:rFonts w:asciiTheme="minorHAnsi" w:eastAsia="Aptos" w:hAnsiTheme="minorHAnsi" w:cstheme="minorHAnsi"/>
          <w:noProof/>
        </w:rPr>
        <w:lastRenderedPageBreak/>
        <mc:AlternateContent>
          <mc:Choice Requires="wps">
            <w:drawing>
              <wp:anchor distT="0" distB="0" distL="114300" distR="114300" simplePos="0" relativeHeight="251667456" behindDoc="0" locked="0" layoutInCell="1" allowOverlap="1" wp14:anchorId="0AFCA441" wp14:editId="60E7F026">
                <wp:simplePos x="0" y="0"/>
                <wp:positionH relativeFrom="column">
                  <wp:posOffset>1278467</wp:posOffset>
                </wp:positionH>
                <wp:positionV relativeFrom="paragraph">
                  <wp:posOffset>46143</wp:posOffset>
                </wp:positionV>
                <wp:extent cx="3130550" cy="2175934"/>
                <wp:effectExtent l="0" t="0" r="19050" b="8890"/>
                <wp:wrapNone/>
                <wp:docPr id="1122127202" name="Rectángulo 3"/>
                <wp:cNvGraphicFramePr/>
                <a:graphic xmlns:a="http://schemas.openxmlformats.org/drawingml/2006/main">
                  <a:graphicData uri="http://schemas.microsoft.com/office/word/2010/wordprocessingShape">
                    <wps:wsp>
                      <wps:cNvSpPr/>
                      <wps:spPr>
                        <a:xfrm>
                          <a:off x="0" y="0"/>
                          <a:ext cx="3130550" cy="2175934"/>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0CD9B" id="Rectángulo 3" o:spid="_x0000_s1026" style="position:absolute;margin-left:100.65pt;margin-top:3.65pt;width:246.5pt;height:17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" filled="f" strokecolor="black [3213]"/>
            </w:pict>
          </mc:Fallback>
        </mc:AlternateContent>
      </w:r>
      <w:r w:rsidRPr="00B33935">
        <w:rPr>
          <w:rFonts w:asciiTheme="minorHAnsi" w:eastAsiaTheme="majorEastAsia" w:hAnsiTheme="minorHAnsi" w:cstheme="minorHAnsi"/>
          <w:noProof/>
        </w:rPr>
        <w:drawing>
          <wp:inline distT="0" distB="0" distL="0" distR="0" wp14:anchorId="2A241C3E" wp14:editId="6C8EE3B3">
            <wp:extent cx="3080015" cy="2174028"/>
            <wp:effectExtent l="0" t="0" r="0" b="0"/>
            <wp:docPr id="933108586" name="Imagen 1"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08586" name="Imagen 1" descr="Gráfico, Gráfico circular&#10;&#10;El contenido generado por IA puede ser incorrecto."/>
                    <pic:cNvPicPr/>
                  </pic:nvPicPr>
                  <pic:blipFill>
                    <a:blip r:embed="rId57"/>
                    <a:stretch>
                      <a:fillRect/>
                    </a:stretch>
                  </pic:blipFill>
                  <pic:spPr>
                    <a:xfrm>
                      <a:off x="0" y="0"/>
                      <a:ext cx="3120495" cy="2202601"/>
                    </a:xfrm>
                    <a:prstGeom prst="rect">
                      <a:avLst/>
                    </a:prstGeom>
                  </pic:spPr>
                </pic:pic>
              </a:graphicData>
            </a:graphic>
          </wp:inline>
        </w:drawing>
      </w:r>
    </w:p>
    <w:bookmarkEnd w:id="209"/>
    <w:p w14:paraId="467045A5" w14:textId="4015DDE0" w:rsidR="00BF4113" w:rsidRPr="00971F2F" w:rsidRDefault="00971F2F" w:rsidP="00BF4113">
      <w:pPr>
        <w:jc w:val="center"/>
        <w:rPr>
          <w:rFonts w:eastAsiaTheme="majorEastAsia" w:cs="Calibri"/>
          <w:bCs/>
          <w:i/>
          <w:iCs/>
          <w:sz w:val="18"/>
          <w:szCs w:val="18"/>
        </w:rPr>
      </w:pPr>
      <w:r>
        <w:rPr>
          <w:rFonts w:eastAsiaTheme="majorEastAsia" w:cs="Calibri"/>
          <w:bCs/>
          <w:i/>
          <w:iCs/>
          <w:sz w:val="18"/>
          <w:szCs w:val="18"/>
        </w:rPr>
        <w:t>F</w:t>
      </w:r>
      <w:r w:rsidRPr="00971F2F">
        <w:rPr>
          <w:rFonts w:eastAsiaTheme="majorEastAsia" w:cs="Calibri"/>
          <w:bCs/>
          <w:i/>
          <w:iCs/>
          <w:sz w:val="18"/>
          <w:szCs w:val="18"/>
        </w:rPr>
        <w:t>igura 3-</w:t>
      </w:r>
      <w:r w:rsidR="007B3529">
        <w:rPr>
          <w:rFonts w:eastAsiaTheme="majorEastAsia" w:cs="Calibri"/>
          <w:bCs/>
          <w:i/>
          <w:iCs/>
          <w:sz w:val="18"/>
          <w:szCs w:val="18"/>
        </w:rPr>
        <w:t>7</w:t>
      </w:r>
      <w:r w:rsidRPr="00971F2F">
        <w:rPr>
          <w:rFonts w:eastAsiaTheme="majorEastAsia" w:cs="Calibri"/>
          <w:bCs/>
          <w:i/>
          <w:iCs/>
          <w:sz w:val="18"/>
          <w:szCs w:val="18"/>
        </w:rPr>
        <w:t xml:space="preserve"> - cv manga. desagregação do valor agregado total. fonte. afa. vc manga. </w:t>
      </w:r>
    </w:p>
    <w:p w14:paraId="5C2CA96D" w14:textId="606098FE" w:rsidR="00BF4113" w:rsidRPr="004B6B4A" w:rsidRDefault="007B0B6C" w:rsidP="00815270">
      <w:pPr>
        <w:pStyle w:val="Heading2"/>
        <w:numPr>
          <w:ilvl w:val="1"/>
          <w:numId w:val="42"/>
        </w:numPr>
      </w:pPr>
      <w:bookmarkStart w:id="210" w:name="_Toc220507522"/>
      <w:r w:rsidRPr="004B6B4A">
        <w:t>D</w:t>
      </w:r>
      <w:r w:rsidR="00BF4113" w:rsidRPr="004B6B4A">
        <w:t>istribuição do valor agregado a nível regional</w:t>
      </w:r>
      <w:bookmarkEnd w:id="210"/>
    </w:p>
    <w:p w14:paraId="386C9650" w14:textId="32C578C2" w:rsidR="00BF4113" w:rsidRPr="002E68F9" w:rsidRDefault="00BF4113" w:rsidP="00BF4113">
      <w:pPr>
        <w:rPr>
          <w:rFonts w:asciiTheme="minorHAnsi" w:eastAsiaTheme="majorEastAsia" w:hAnsiTheme="minorHAnsi" w:cstheme="minorHAnsi"/>
          <w:szCs w:val="20"/>
        </w:rPr>
      </w:pPr>
      <w:r w:rsidRPr="002E68F9">
        <w:rPr>
          <w:rFonts w:asciiTheme="minorHAnsi" w:eastAsiaTheme="majorEastAsia" w:hAnsiTheme="minorHAnsi" w:cstheme="minorHAnsi"/>
          <w:szCs w:val="20"/>
        </w:rPr>
        <w:t>Do ponto de vista regional, a Figura 3-</w:t>
      </w:r>
      <w:r w:rsidR="007B3529">
        <w:rPr>
          <w:rFonts w:asciiTheme="minorHAnsi" w:eastAsiaTheme="majorEastAsia" w:hAnsiTheme="minorHAnsi" w:cstheme="minorHAnsi"/>
          <w:szCs w:val="20"/>
        </w:rPr>
        <w:t>8</w:t>
      </w:r>
      <w:r w:rsidRPr="002E68F9">
        <w:rPr>
          <w:rFonts w:asciiTheme="minorHAnsi" w:eastAsiaTheme="majorEastAsia" w:hAnsiTheme="minorHAnsi" w:cstheme="minorHAnsi"/>
          <w:szCs w:val="20"/>
        </w:rPr>
        <w:t xml:space="preserve"> apresenta a distribuição do valor desagregado nas diferentes regiões do país. Pode-se ver como se concentra na capital Bissau, principal mercado do país com 60% do valor agregado.</w:t>
      </w:r>
    </w:p>
    <w:p w14:paraId="38CF3B21" w14:textId="52144682" w:rsidR="00BF4113" w:rsidRPr="005D0094" w:rsidRDefault="009C6989" w:rsidP="00BF4113">
      <w:pPr>
        <w:jc w:val="center"/>
        <w:rPr>
          <w:rFonts w:asciiTheme="minorHAnsi" w:eastAsiaTheme="majorEastAsia" w:hAnsiTheme="minorHAnsi" w:cstheme="minorHAnsi"/>
          <w:lang w:val="es-ES"/>
        </w:rPr>
      </w:pPr>
      <w:r>
        <w:rPr>
          <w:rFonts w:asciiTheme="minorHAnsi" w:eastAsia="Aptos" w:hAnsiTheme="minorHAnsi" w:cstheme="minorHAnsi"/>
          <w:noProof/>
        </w:rPr>
        <mc:AlternateContent>
          <mc:Choice Requires="wps">
            <w:drawing>
              <wp:anchor distT="0" distB="0" distL="114300" distR="114300" simplePos="0" relativeHeight="251669504" behindDoc="0" locked="0" layoutInCell="1" allowOverlap="1" wp14:anchorId="6EE1BF18" wp14:editId="4F717D15">
                <wp:simplePos x="0" y="0"/>
                <wp:positionH relativeFrom="column">
                  <wp:posOffset>1303867</wp:posOffset>
                </wp:positionH>
                <wp:positionV relativeFrom="paragraph">
                  <wp:posOffset>0</wp:posOffset>
                </wp:positionV>
                <wp:extent cx="3130550" cy="2235200"/>
                <wp:effectExtent l="0" t="0" r="19050" b="12700"/>
                <wp:wrapNone/>
                <wp:docPr id="1409177038" name="Rectángulo 3"/>
                <wp:cNvGraphicFramePr/>
                <a:graphic xmlns:a="http://schemas.openxmlformats.org/drawingml/2006/main">
                  <a:graphicData uri="http://schemas.microsoft.com/office/word/2010/wordprocessingShape">
                    <wps:wsp>
                      <wps:cNvSpPr/>
                      <wps:spPr>
                        <a:xfrm>
                          <a:off x="0" y="0"/>
                          <a:ext cx="3130550" cy="223520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F7549" id="Rectángulo 3" o:spid="_x0000_s1026" style="position:absolute;margin-left:102.65pt;margin-top:0;width:246.5pt;height:1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" filled="f" strokecolor="black [3213]"/>
            </w:pict>
          </mc:Fallback>
        </mc:AlternateContent>
      </w:r>
      <w:r w:rsidRPr="009C6989">
        <w:rPr>
          <w:rFonts w:asciiTheme="minorHAnsi" w:eastAsiaTheme="majorEastAsia" w:hAnsiTheme="minorHAnsi" w:cstheme="minorHAnsi"/>
          <w:noProof/>
          <w:lang w:val="es-ES"/>
        </w:rPr>
        <w:drawing>
          <wp:inline distT="0" distB="0" distL="0" distR="0" wp14:anchorId="6BA83359" wp14:editId="164264C4">
            <wp:extent cx="2871466" cy="2235200"/>
            <wp:effectExtent l="0" t="0" r="0" b="0"/>
            <wp:docPr id="1021161636" name="Imagen 1"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61636" name="Imagen 1" descr="Gráfico, Gráfico circular&#10;&#10;El contenido generado por IA puede ser incorrecto."/>
                    <pic:cNvPicPr/>
                  </pic:nvPicPr>
                  <pic:blipFill>
                    <a:blip r:embed="rId58"/>
                    <a:stretch>
                      <a:fillRect/>
                    </a:stretch>
                  </pic:blipFill>
                  <pic:spPr>
                    <a:xfrm>
                      <a:off x="0" y="0"/>
                      <a:ext cx="2925963" cy="2277621"/>
                    </a:xfrm>
                    <a:prstGeom prst="rect">
                      <a:avLst/>
                    </a:prstGeom>
                  </pic:spPr>
                </pic:pic>
              </a:graphicData>
            </a:graphic>
          </wp:inline>
        </w:drawing>
      </w:r>
    </w:p>
    <w:p w14:paraId="2F0776DC" w14:textId="2249AA0A" w:rsidR="00BF4113" w:rsidRPr="004B6B4A" w:rsidRDefault="008A34A4" w:rsidP="008A34A4">
      <w:pPr>
        <w:jc w:val="center"/>
        <w:rPr>
          <w:rFonts w:eastAsiaTheme="majorEastAsia" w:cs="Calibri"/>
          <w:bCs/>
          <w:i/>
          <w:iCs/>
          <w:sz w:val="18"/>
          <w:szCs w:val="18"/>
          <w:lang w:val="pt-BR"/>
        </w:rPr>
      </w:pPr>
      <w:r w:rsidRPr="004B6B4A">
        <w:rPr>
          <w:rFonts w:eastAsiaTheme="majorEastAsia" w:cs="Calibri"/>
          <w:bCs/>
          <w:i/>
          <w:iCs/>
          <w:sz w:val="18"/>
          <w:szCs w:val="18"/>
          <w:lang w:val="pt-BR"/>
        </w:rPr>
        <w:t>Figura 3-</w:t>
      </w:r>
      <w:r w:rsidR="007B3529" w:rsidRPr="004B6B4A">
        <w:rPr>
          <w:rFonts w:eastAsiaTheme="majorEastAsia" w:cs="Calibri"/>
          <w:bCs/>
          <w:i/>
          <w:iCs/>
          <w:sz w:val="18"/>
          <w:szCs w:val="18"/>
          <w:lang w:val="pt-BR"/>
        </w:rPr>
        <w:t>8</w:t>
      </w:r>
      <w:r w:rsidRPr="004B6B4A">
        <w:rPr>
          <w:rFonts w:eastAsiaTheme="majorEastAsia" w:cs="Calibri"/>
          <w:bCs/>
          <w:i/>
          <w:iCs/>
          <w:sz w:val="18"/>
          <w:szCs w:val="18"/>
          <w:lang w:val="pt-BR"/>
        </w:rPr>
        <w:t xml:space="preserve"> – cv manga. desagregação do valor agregado por regiões</w:t>
      </w:r>
      <w:r w:rsidR="00057113" w:rsidRPr="004B6B4A">
        <w:rPr>
          <w:rFonts w:eastAsiaTheme="majorEastAsia" w:cs="Calibri"/>
          <w:bCs/>
          <w:i/>
          <w:iCs/>
          <w:sz w:val="18"/>
          <w:szCs w:val="18"/>
          <w:lang w:val="pt-BR"/>
        </w:rPr>
        <w:t>.</w:t>
      </w:r>
    </w:p>
    <w:p w14:paraId="4C67965C" w14:textId="22A588D9" w:rsidR="00BF4113" w:rsidRPr="00D8431C" w:rsidRDefault="00BF4113" w:rsidP="00815270">
      <w:pPr>
        <w:pStyle w:val="Heading2"/>
        <w:numPr>
          <w:ilvl w:val="1"/>
          <w:numId w:val="42"/>
        </w:numPr>
      </w:pPr>
      <w:bookmarkStart w:id="211" w:name="_Toc220507523"/>
      <w:r w:rsidRPr="00D8431C">
        <w:t>Emprego gerado</w:t>
      </w:r>
      <w:bookmarkEnd w:id="211"/>
    </w:p>
    <w:p w14:paraId="3D0034DB" w14:textId="77777777" w:rsidR="00BF4113" w:rsidRPr="002E68F9" w:rsidRDefault="00BF4113" w:rsidP="00BF4113">
      <w:pPr>
        <w:rPr>
          <w:szCs w:val="20"/>
        </w:rPr>
      </w:pPr>
      <w:r w:rsidRPr="002E68F9">
        <w:rPr>
          <w:szCs w:val="20"/>
        </w:rPr>
        <w:t>O número total de empregos criados pela CV Mango em 2025 é equivalente a 1.347 empregos, dos quais 588 são empregos assalariados e 588 são empregos familiares. No caso dos primeiros, 75% correspondem a empregos temporários para atividades agrícolas e 25% a empregados permanentes. No caso dos segundos, correspondem a empregos familiares dedicados a tarefas de produção e comercialização.</w:t>
      </w:r>
    </w:p>
    <w:p w14:paraId="4BF8873B" w14:textId="77777777" w:rsidR="00BF4113" w:rsidRPr="002E68F9" w:rsidRDefault="00BF4113" w:rsidP="00BF4113">
      <w:pPr>
        <w:rPr>
          <w:szCs w:val="20"/>
        </w:rPr>
      </w:pPr>
      <w:r w:rsidRPr="002E68F9">
        <w:rPr>
          <w:szCs w:val="20"/>
        </w:rPr>
        <w:t>Esses números nos permitem tirar duas conclusões:</w:t>
      </w:r>
    </w:p>
    <w:p w14:paraId="740E1021" w14:textId="77777777" w:rsidR="00BA2082" w:rsidRDefault="00BF4113" w:rsidP="00E042D7">
      <w:pPr>
        <w:pStyle w:val="ListParagraph"/>
        <w:numPr>
          <w:ilvl w:val="0"/>
          <w:numId w:val="46"/>
        </w:numPr>
        <w:suppressAutoHyphens/>
        <w:autoSpaceDN w:val="0"/>
        <w:spacing w:line="256" w:lineRule="auto"/>
        <w:textAlignment w:val="baseline"/>
        <w:rPr>
          <w:szCs w:val="20"/>
        </w:rPr>
      </w:pPr>
      <w:r w:rsidRPr="00BA2082">
        <w:rPr>
          <w:szCs w:val="20"/>
        </w:rPr>
        <w:t>Dado o baixo peso da produção de manga na produção agrícola, o emprego gerado é residual.</w:t>
      </w:r>
    </w:p>
    <w:p w14:paraId="457E7138" w14:textId="77777777" w:rsidR="00F15FCB" w:rsidRDefault="00BF4113" w:rsidP="00E042D7">
      <w:pPr>
        <w:pStyle w:val="ListParagraph"/>
        <w:numPr>
          <w:ilvl w:val="0"/>
          <w:numId w:val="46"/>
        </w:numPr>
        <w:suppressAutoHyphens/>
        <w:autoSpaceDN w:val="0"/>
        <w:spacing w:line="256" w:lineRule="auto"/>
        <w:textAlignment w:val="baseline"/>
        <w:rPr>
          <w:szCs w:val="20"/>
        </w:rPr>
      </w:pPr>
      <w:r w:rsidRPr="00BA2082">
        <w:rPr>
          <w:szCs w:val="20"/>
        </w:rPr>
        <w:t>A cadeia de valor manga tem um impacte mínimo sobre o emprego, que é informal e, nalguns casos, pago</w:t>
      </w:r>
    </w:p>
    <w:p w14:paraId="6E93ACF2" w14:textId="4171CAD0" w:rsidR="00226516" w:rsidRPr="00BA2082" w:rsidRDefault="00BF4113" w:rsidP="00E042D7">
      <w:pPr>
        <w:pStyle w:val="ListParagraph"/>
        <w:numPr>
          <w:ilvl w:val="0"/>
          <w:numId w:val="46"/>
        </w:numPr>
        <w:suppressAutoHyphens/>
        <w:autoSpaceDN w:val="0"/>
        <w:spacing w:line="256" w:lineRule="auto"/>
        <w:textAlignment w:val="baseline"/>
        <w:rPr>
          <w:szCs w:val="20"/>
        </w:rPr>
      </w:pPr>
      <w:r w:rsidRPr="00BA2082">
        <w:rPr>
          <w:szCs w:val="20"/>
        </w:rPr>
        <w:t xml:space="preserve"> em espécie.</w:t>
      </w:r>
    </w:p>
    <w:p w14:paraId="1BCA7C5C" w14:textId="1BA69119" w:rsidR="00CB72B5" w:rsidRDefault="00CB72B5" w:rsidP="00815270">
      <w:pPr>
        <w:pStyle w:val="Heading1"/>
        <w:numPr>
          <w:ilvl w:val="0"/>
          <w:numId w:val="42"/>
        </w:numPr>
      </w:pPr>
      <w:bookmarkStart w:id="212" w:name="_Toc220507524"/>
      <w:r w:rsidRPr="00CB72B5">
        <w:lastRenderedPageBreak/>
        <w:t>ANÁLISE AMBIENTAL</w:t>
      </w:r>
      <w:bookmarkEnd w:id="212"/>
    </w:p>
    <w:p w14:paraId="3DBA3023" w14:textId="77777777" w:rsidR="00DD58A3" w:rsidRDefault="00DD58A3" w:rsidP="00DD58A3">
      <w:pPr>
        <w:rPr>
          <w:lang w:eastAsia="en-US"/>
        </w:rPr>
      </w:pPr>
      <w:r>
        <w:rPr>
          <w:lang w:eastAsia="en-US"/>
        </w:rPr>
        <w:t>Esta secção apresenta uma análise ambiental da cadeia de valor da manga na República da Guiné-Bissau (GNB), nos aspetos de fitossanidade vegetal e controlo da mosca-da-fruta; de modelos e práticas agroflorestais, e das técnicas alternativas ao método atual de amadurecimento forçado da manga com carbeto de cálcio.</w:t>
      </w:r>
    </w:p>
    <w:p w14:paraId="2AD587CE" w14:textId="305FC32D" w:rsidR="00DD58A3" w:rsidRDefault="00DD58A3" w:rsidP="00DD58A3">
      <w:pPr>
        <w:rPr>
          <w:lang w:eastAsia="en-US"/>
        </w:rPr>
      </w:pPr>
      <w:r>
        <w:rPr>
          <w:lang w:eastAsia="en-US"/>
        </w:rPr>
        <w:t xml:space="preserve">Foi também realizada uma análise do ciclo de vida, abordando os potenciais impactos ambientais da produção de manga e de produtos de manga na saúde humana, na qualidade dos ecossistemas e no depleção dos recursos naturais e nas alterações climáticas. </w:t>
      </w:r>
    </w:p>
    <w:p w14:paraId="687E467E" w14:textId="5CC7C28D" w:rsidR="00707F3E" w:rsidRDefault="00DD58A3" w:rsidP="00DD58A3">
      <w:pPr>
        <w:rPr>
          <w:lang w:eastAsia="en-US"/>
        </w:rPr>
      </w:pPr>
      <w:r>
        <w:rPr>
          <w:lang w:eastAsia="en-US"/>
        </w:rPr>
        <w:t>A ACV tem por objetivo esclarecer a identificação de medidas de atenuação e os resultados apoiarão recomendações específicas para melhorar a eficiência da utilização dos recursos e/ou reduzir as emissões. Neste contexto, o público-alvo do presente estudo é, em primeiro lugar, a Direção-Geral das Parcerias Internacionais da Comissão Europeia (DG INTPA) e os responsáveis pela representação da União Europeia na República da Guiné Bissau. Numa segunda linha, todas as entidades governamentais e partes interessadas envolvidas na governação da cadeia de valor da manga são potenciais destinatários deste trabalho.</w:t>
      </w:r>
    </w:p>
    <w:p w14:paraId="24D318B8" w14:textId="5BEC197E" w:rsidR="00707F3E" w:rsidRPr="00F2258D" w:rsidRDefault="00C66FBD" w:rsidP="00815270">
      <w:pPr>
        <w:pStyle w:val="Heading2"/>
        <w:numPr>
          <w:ilvl w:val="1"/>
          <w:numId w:val="62"/>
        </w:numPr>
      </w:pPr>
      <w:bookmarkStart w:id="213" w:name="_Toc220507525"/>
      <w:r w:rsidRPr="00F2258D">
        <w:t>FITOSSANIDADE E GESTÃO DA MOSCA-DA-FRUTA NOS POMARES DE MANGA NA GUINÉ-BISSAU</w:t>
      </w:r>
      <w:bookmarkEnd w:id="213"/>
    </w:p>
    <w:p w14:paraId="46C053E8" w14:textId="77777777" w:rsidR="00C66FBD" w:rsidRPr="00EA18A6" w:rsidRDefault="00C66FBD" w:rsidP="00CA10A1">
      <w:pPr>
        <w:rPr>
          <w:rFonts w:cs="Calibri"/>
        </w:rPr>
      </w:pPr>
      <w:r w:rsidRPr="00EA18A6">
        <w:rPr>
          <w:rFonts w:cs="Calibri"/>
        </w:rPr>
        <w:t xml:space="preserve">O estado fitossanitário dos pomares de manga na Guiné-Bissau </w:t>
      </w:r>
      <w:r w:rsidRPr="00EA18A6">
        <w:t xml:space="preserve">degradou-se desde 2017, principalmente as áreas plantadas com as variedades melhoradas </w:t>
      </w:r>
      <w:r w:rsidRPr="00EA18A6">
        <w:rPr>
          <w:rFonts w:cstheme="minorHAnsi"/>
        </w:rPr>
        <w:t>Kent, Keitt, Palmer e Tommy Atkins</w:t>
      </w:r>
      <w:r w:rsidRPr="00EA18A6">
        <w:rPr>
          <w:rFonts w:cstheme="minorHAnsi"/>
          <w:color w:val="0070C0"/>
        </w:rPr>
        <w:t>.</w:t>
      </w:r>
      <w:r w:rsidRPr="00EA18A6">
        <w:t>, preferidas para exportação (cf. Secção 2.1.2)</w:t>
      </w:r>
      <w:r w:rsidRPr="00EA18A6">
        <w:rPr>
          <w:rFonts w:cs="Calibri"/>
        </w:rPr>
        <w:t>. Estas cultivares são as mais afetadas pela mosca-da-fruta oriental (</w:t>
      </w:r>
      <w:r w:rsidRPr="00EA18A6">
        <w:rPr>
          <w:i/>
          <w:iCs/>
        </w:rPr>
        <w:t>Bactrocera dorsalis</w:t>
      </w:r>
      <w:r w:rsidRPr="00EA18A6">
        <w:rPr>
          <w:rFonts w:cs="Calibri"/>
        </w:rPr>
        <w:t>), tendo sido reportados casos de perdas de produção superiores a 70%. Esta é uma situação também observada em outros países da África Oeste, onde vários estudos</w:t>
      </w:r>
      <w:r w:rsidRPr="00EA18A6">
        <w:rPr>
          <w:rStyle w:val="FootnoteReference"/>
          <w:rFonts w:cs="Calibri"/>
        </w:rPr>
        <w:footnoteReference w:id="10"/>
      </w:r>
      <w:r w:rsidRPr="00EA18A6">
        <w:rPr>
          <w:rFonts w:cs="Calibri"/>
        </w:rPr>
        <w:t xml:space="preserve"> permitiram identificaram um conjunto consistente de cultivares que apresentam níveis muito elevados de ataque por moscas-da-fruta, de onde se destacam a </w:t>
      </w:r>
      <w:r w:rsidRPr="00EA18A6">
        <w:rPr>
          <w:rFonts w:cstheme="minorHAnsi"/>
        </w:rPr>
        <w:t>Kent, a Keitt, e a Palmer. Estas três cultivares têm em comum o facto de serem serôdias, o que sugere a ação de fatores relacionados com o clima e com a ocupação do solo: as condições de temperatura e humidade ideais para o pico de emergência dos adultos e expansão da praga, são as mesmas que estão subjacentes à fase de maturação da manga</w:t>
      </w:r>
      <w:r>
        <w:rPr>
          <w:rFonts w:cstheme="minorHAnsi"/>
        </w:rPr>
        <w:t xml:space="preserve"> que é</w:t>
      </w:r>
      <w:r w:rsidRPr="00EA18A6">
        <w:rPr>
          <w:rFonts w:cstheme="minorHAnsi"/>
        </w:rPr>
        <w:t xml:space="preserve"> mais atrativa para a mosca-da-fruta;</w:t>
      </w:r>
      <w:r w:rsidRPr="00EA18A6">
        <w:rPr>
          <w:rFonts w:cs="Calibri"/>
        </w:rPr>
        <w:t xml:space="preserve"> a redução/ausência de hospedeiros alternativos na fase atrativa de maturação da manga poderá aumentar a pressão sobre as cultivares. Outros fatores poderão explicar diferenças de suscetibilidade entre as variedades tardia, nomeadamente, as características físicas e químicas dos frutos maduros (espessura e firmeza da casca, </w:t>
      </w:r>
      <w:r w:rsidRPr="00EA18A6">
        <w:rPr>
          <w:rFonts w:cs="Calibri"/>
          <w:i/>
          <w:iCs/>
        </w:rPr>
        <w:t>bouquet</w:t>
      </w:r>
      <w:r w:rsidRPr="00EA18A6">
        <w:rPr>
          <w:rFonts w:cs="Calibri"/>
        </w:rPr>
        <w:t xml:space="preserve"> de voláteis libertados), e o efeito na regulação do crescimento larvar (taxas de crescimento mais lentas, observadas nas variedades menos suscetíveis, resultam em taxas de mortalidade mais elevadas).</w:t>
      </w:r>
    </w:p>
    <w:p w14:paraId="5B5FB8E8" w14:textId="77777777" w:rsidR="00C66FBD" w:rsidRPr="00EA18A6" w:rsidRDefault="00C66FBD" w:rsidP="00CA10A1">
      <w:r w:rsidRPr="00EA18A6">
        <w:rPr>
          <w:rFonts w:cs="Calibri"/>
        </w:rPr>
        <w:t>No que se refere à gestão da mosca-da-fruta na Guiné-Bissau, o país beneficiou do programa Sistema Regional Inovador de Gestão da mosca da fruta na África Ocidental (</w:t>
      </w:r>
      <w:bookmarkStart w:id="214" w:name="_Hlk214986160"/>
      <w:r w:rsidRPr="00EA18A6">
        <w:rPr>
          <w:rFonts w:cs="Calibri"/>
        </w:rPr>
        <w:t>SyRIMAO</w:t>
      </w:r>
      <w:bookmarkEnd w:id="214"/>
      <w:r w:rsidRPr="00EA18A6">
        <w:rPr>
          <w:rFonts w:cs="Calibri"/>
        </w:rPr>
        <w:t>). Este instrumento,</w:t>
      </w:r>
      <w:r w:rsidRPr="00EA18A6">
        <w:t xml:space="preserve"> operacionalizado no espaço da CEDEAO, abarcou a monitorização e a quantificação da produção de manga nos quinze países; a avaliação das taxas de infestação da praga e emissão de alertas e; o planeamento e avaliação das campanhas de produção</w:t>
      </w:r>
      <w:r w:rsidRPr="00EA18A6">
        <w:rPr>
          <w:rStyle w:val="FootnoteReference"/>
        </w:rPr>
        <w:footnoteReference w:id="11"/>
      </w:r>
      <w:r w:rsidRPr="00EA18A6">
        <w:t xml:space="preserve">. O sistema teve por base a instalação de dispositivos de monitorização da mosca-da-fruta </w:t>
      </w:r>
      <w:r w:rsidRPr="00EA18A6">
        <w:rPr>
          <w:i/>
          <w:iCs/>
        </w:rPr>
        <w:t>Bactrocera dorsalis</w:t>
      </w:r>
      <w:r w:rsidRPr="00EA18A6">
        <w:rPr>
          <w:rStyle w:val="FootnoteReference"/>
        </w:rPr>
        <w:t xml:space="preserve"> </w:t>
      </w:r>
      <w:r w:rsidRPr="00EA18A6">
        <w:rPr>
          <w:rStyle w:val="FootnoteReference"/>
        </w:rPr>
        <w:footnoteReference w:id="12"/>
      </w:r>
      <w:r w:rsidRPr="00EA18A6">
        <w:t xml:space="preserve"> - armadilhas de erradicação de machos, iscadas com feromonas sexuais específicas - e registo regular das capturas. O programa SyRAMAO decorreu entre 2019 e 2023 (cf. Secção 1)</w:t>
      </w:r>
    </w:p>
    <w:p w14:paraId="02457D05" w14:textId="77777777" w:rsidR="00C66FBD" w:rsidRPr="00F63952" w:rsidRDefault="00C66FBD" w:rsidP="00CA10A1">
      <w:r w:rsidRPr="00EA18A6">
        <w:t>Constatou-se que o trabalho efetuado pelas equipas associadas à Direção Geral de Proteção Vegetal no âmbito do SyRAMAO foi bem recebido pelos produtores de manga entrevistados que tiveram armadilhas instaladas nas</w:t>
      </w:r>
      <w:r>
        <w:t xml:space="preserve"> suas propriedades. No entanto, estes mesmos produtores expressaram a sua frustração quando, ao pretender dar continuidade ao processo de controlo/monitorização da praga, verificaram ser-lhes impossível aceder ao </w:t>
      </w:r>
      <w:r>
        <w:lastRenderedPageBreak/>
        <w:t>produto usado como isco (não disponível através das entidades públicas, indisponível no mercado nacional e inacessível aos produtores guineenses no mercado senegalês). Situações desta natureza podem vir a condicionar a disponibilidade de alguns dos produtores</w:t>
      </w:r>
      <w:r>
        <w:rPr>
          <w:rStyle w:val="FootnoteReference"/>
        </w:rPr>
        <w:footnoteReference w:id="13"/>
      </w:r>
      <w:r>
        <w:t xml:space="preserve"> de manga em participar em programas e/ou em adotar práticas </w:t>
      </w:r>
      <w:r w:rsidRPr="00F63952">
        <w:t xml:space="preserve">integradas de gestão da mosca-da-fruta promovidas no âmbito de projetos subsequentes. </w:t>
      </w:r>
    </w:p>
    <w:p w14:paraId="24DA7741" w14:textId="77777777" w:rsidR="00C66FBD" w:rsidRDefault="00C66FBD" w:rsidP="00CA10A1">
      <w:r>
        <w:t>No caso de países, como a Guiné-Bissau, com dificuldade de acesso a produtos químicos ou biológicos homologados para a proteção integrada da manga contra as moscas-da-fruta, a disseminação de práticas de baixo-custo e de eficácia moderada, mas interessante, poderá constituir uma estratégia de base num sistema mais global e complexo</w:t>
      </w:r>
      <w:r>
        <w:rPr>
          <w:rStyle w:val="FootnoteReference"/>
        </w:rPr>
        <w:footnoteReference w:id="14"/>
      </w:r>
      <w:r>
        <w:t xml:space="preserve"> de combate a esta praga. A solarização</w:t>
      </w:r>
      <w:r>
        <w:rPr>
          <w:rStyle w:val="FootnoteReference"/>
        </w:rPr>
        <w:footnoteReference w:id="15"/>
      </w:r>
      <w:r>
        <w:t xml:space="preserve"> e o método</w:t>
      </w:r>
      <w:r w:rsidRPr="003543B9">
        <w:t xml:space="preserve"> aumentativo</w:t>
      </w:r>
      <w:r>
        <w:rPr>
          <w:rStyle w:val="FootnoteReference"/>
        </w:rPr>
        <w:footnoteReference w:id="16"/>
      </w:r>
      <w:r>
        <w:t xml:space="preserve"> são duas dessas técnicas, utilizadas como método profilático de controlo da mosca em pomares de manga em África. Se a instalação de </w:t>
      </w:r>
      <w:r w:rsidRPr="00FA3ACA">
        <w:rPr>
          <w:rFonts w:cstheme="minorHAnsi"/>
          <w:i/>
          <w:iCs/>
        </w:rPr>
        <w:t>augmentorium</w:t>
      </w:r>
      <w:r>
        <w:rPr>
          <w:rFonts w:cstheme="minorHAnsi"/>
        </w:rPr>
        <w:t xml:space="preserve"> apresenta resultados mistos</w:t>
      </w:r>
      <w:r>
        <w:rPr>
          <w:rStyle w:val="FootnoteReference"/>
          <w:rFonts w:cstheme="minorHAnsi"/>
        </w:rPr>
        <w:footnoteReference w:id="17"/>
      </w:r>
      <w:r>
        <w:rPr>
          <w:rFonts w:cstheme="minorHAnsi"/>
        </w:rPr>
        <w:t>, relacionados com o conhecimento e a experiência de construção e da montagem de estruturas deste tipo, a</w:t>
      </w:r>
      <w:r w:rsidRPr="00E13290">
        <w:t xml:space="preserve"> </w:t>
      </w:r>
      <w:r>
        <w:t>solenização/enterramento das mangas caídas infestadas regista níveis de aderência dos produtores</w:t>
      </w:r>
      <w:r>
        <w:rPr>
          <w:rStyle w:val="FootnoteReference"/>
        </w:rPr>
        <w:footnoteReference w:id="18"/>
      </w:r>
      <w:r>
        <w:t xml:space="preserve"> da ordem dos 47% (dos mais elevados observados).</w:t>
      </w:r>
    </w:p>
    <w:p w14:paraId="6C1DAF62" w14:textId="2E9AFFE2" w:rsidR="00C66FBD" w:rsidRPr="00206FE8" w:rsidRDefault="00C66FBD" w:rsidP="00CA10A1">
      <w:r w:rsidRPr="00805502">
        <w:t xml:space="preserve">Algumas das boas práticas </w:t>
      </w:r>
      <w:r w:rsidR="0048396B" w:rsidRPr="00805502">
        <w:t xml:space="preserve">clássicas </w:t>
      </w:r>
      <w:r w:rsidRPr="00805502">
        <w:t xml:space="preserve">de condução dum pomar de manga têm também repercussões positivas no </w:t>
      </w:r>
      <w:r>
        <w:t>na gestão</w:t>
      </w:r>
      <w:r w:rsidRPr="00805502">
        <w:t xml:space="preserve"> dos danos e n</w:t>
      </w:r>
      <w:r>
        <w:t>o</w:t>
      </w:r>
      <w:r w:rsidRPr="00805502">
        <w:t xml:space="preserve"> </w:t>
      </w:r>
      <w:r>
        <w:t>controlo</w:t>
      </w:r>
      <w:r w:rsidRPr="00805502">
        <w:t xml:space="preserve"> da mosca-da-fruta   O maneio da copa por meio de podas de manutenção</w:t>
      </w:r>
      <w:r w:rsidRPr="003863AA">
        <w:t xml:space="preserve"> aumenta a circulação de ar e a exposição à luz solar, tornando o pomar </w:t>
      </w:r>
      <w:r>
        <w:t xml:space="preserve">de manga </w:t>
      </w:r>
      <w:r w:rsidRPr="003863AA">
        <w:t xml:space="preserve">menos atraente para as fêmeas </w:t>
      </w:r>
      <w:r>
        <w:t xml:space="preserve">da mosca-da-fruta, o que resulta numa redução da oviposição e eclosão de larvas e, consequentemente, </w:t>
      </w:r>
      <w:r w:rsidRPr="00206FE8">
        <w:t>na diminuição dos danos provocados pela praga.</w:t>
      </w:r>
    </w:p>
    <w:p w14:paraId="1F2717BE" w14:textId="100B74F5" w:rsidR="00F75BD4" w:rsidRPr="00F2258D" w:rsidRDefault="00F75BD4" w:rsidP="00815270">
      <w:pPr>
        <w:pStyle w:val="Heading2"/>
      </w:pPr>
      <w:bookmarkStart w:id="217" w:name="_Toc220507526"/>
      <w:r w:rsidRPr="00F2258D">
        <w:t>PRODUÇÃO DE MANGA INTEGRADA EM SISTEMAS AGROFLORESTAIS</w:t>
      </w:r>
      <w:bookmarkEnd w:id="217"/>
    </w:p>
    <w:p w14:paraId="012C8F41" w14:textId="77777777" w:rsidR="00F75BD4" w:rsidRPr="00206FE8" w:rsidRDefault="00F75BD4" w:rsidP="00247379">
      <w:pPr>
        <w:rPr>
          <w:rFonts w:cstheme="minorHAnsi"/>
        </w:rPr>
      </w:pPr>
      <w:r w:rsidRPr="00206FE8">
        <w:rPr>
          <w:rFonts w:cstheme="minorHAnsi"/>
        </w:rPr>
        <w:t>Um sistema agroflorestal (SAFs) é um modelo de produção multifuncional que combina de forma planeada espécies arbóreas com culturas agrícolas numa mesma área. O objetivo é criar um sistema produtivo mais sustentável, que alie a produção de alimentos com a proteção do ambiente e a melhoria do solo. Um sistema agroflorestal, bem delineado e conduzido, aumenta a produtividade e rendimento do agricultor, contribui para a resiliência dos ecossistemas, a biodiversidade e a fertilidade do solo, ao mesmo tempo que reduz a insegurança alimentar e reforça a resiliência do produtor através da diversificação das fontes de rendimento.</w:t>
      </w:r>
    </w:p>
    <w:p w14:paraId="2580601F" w14:textId="77777777" w:rsidR="00F75BD4" w:rsidRDefault="00F75BD4" w:rsidP="00247379">
      <w:pPr>
        <w:rPr>
          <w:rFonts w:cstheme="minorHAnsi"/>
          <w:color w:val="000000"/>
        </w:rPr>
      </w:pPr>
      <w:r w:rsidRPr="00206FE8">
        <w:rPr>
          <w:rFonts w:cstheme="minorHAnsi"/>
        </w:rPr>
        <w:t xml:space="preserve">Kunhamu, e Santhoshkumar (2012), consideram que uma plantação de manga com menos de 10 anos e um compasso adequado, pode ser consorciada com dois tipos de espécies em simultâneo: as designadas de </w:t>
      </w:r>
      <w:r w:rsidRPr="00206FE8">
        <w:rPr>
          <w:rFonts w:cstheme="minorHAnsi"/>
          <w:i/>
          <w:iCs/>
        </w:rPr>
        <w:t>enchimento</w:t>
      </w:r>
      <w:r w:rsidRPr="00206FE8">
        <w:rPr>
          <w:rStyle w:val="FootnoteReference"/>
          <w:rFonts w:cstheme="minorHAnsi"/>
          <w:i/>
          <w:iCs/>
        </w:rPr>
        <w:footnoteReference w:id="19"/>
      </w:r>
      <w:r w:rsidRPr="00206FE8">
        <w:rPr>
          <w:rStyle w:val="rynqvb"/>
          <w:rFonts w:cstheme="minorHAnsi"/>
        </w:rPr>
        <w:t>; e as designadas intercalares não tolerantes à sombra</w:t>
      </w:r>
      <w:r w:rsidRPr="00206FE8">
        <w:rPr>
          <w:rStyle w:val="FootnoteReference"/>
          <w:rFonts w:cstheme="minorHAnsi"/>
        </w:rPr>
        <w:footnoteReference w:id="20"/>
      </w:r>
      <w:r w:rsidRPr="00206FE8">
        <w:rPr>
          <w:rStyle w:val="rynqvb"/>
          <w:rFonts w:cstheme="minorHAnsi"/>
        </w:rPr>
        <w:t xml:space="preserve">. Findo este período, e até </w:t>
      </w:r>
      <w:r>
        <w:rPr>
          <w:rStyle w:val="rynqvb"/>
          <w:rFonts w:cstheme="minorHAnsi"/>
        </w:rPr>
        <w:t>renovação</w:t>
      </w:r>
      <w:r w:rsidRPr="00206FE8">
        <w:rPr>
          <w:rStyle w:val="rynqvb"/>
          <w:rFonts w:cstheme="minorHAnsi"/>
        </w:rPr>
        <w:t xml:space="preserve"> da plantação, as culturas intercalares</w:t>
      </w:r>
      <w:r w:rsidRPr="00206FE8">
        <w:rPr>
          <w:rStyle w:val="rynqvb"/>
        </w:rPr>
        <w:t xml:space="preserve"> </w:t>
      </w:r>
      <w:r>
        <w:rPr>
          <w:rFonts w:cstheme="minorHAnsi"/>
        </w:rPr>
        <w:t>serão compostas apenas por espécies tolerantes à sombra (ex.</w:t>
      </w:r>
      <w:r w:rsidRPr="000A6EBE">
        <w:rPr>
          <w:rFonts w:cstheme="minorHAnsi"/>
          <w:color w:val="000000"/>
        </w:rPr>
        <w:t xml:space="preserve"> inhame-</w:t>
      </w:r>
      <w:r w:rsidRPr="000A6EBE">
        <w:rPr>
          <w:rFonts w:cstheme="minorHAnsi"/>
          <w:color w:val="000000"/>
        </w:rPr>
        <w:lastRenderedPageBreak/>
        <w:t>elefante, gengibre</w:t>
      </w:r>
      <w:r>
        <w:rPr>
          <w:rFonts w:cstheme="minorHAnsi"/>
          <w:color w:val="000000"/>
        </w:rPr>
        <w:t xml:space="preserve">, </w:t>
      </w:r>
      <w:r w:rsidRPr="000A6EBE">
        <w:rPr>
          <w:rFonts w:cstheme="minorHAnsi"/>
          <w:color w:val="000000"/>
        </w:rPr>
        <w:t>curcuma</w:t>
      </w:r>
      <w:r>
        <w:rPr>
          <w:rFonts w:cstheme="minorHAnsi"/>
          <w:color w:val="000000"/>
        </w:rPr>
        <w:t>)</w:t>
      </w:r>
      <w:r w:rsidRPr="000A6EBE">
        <w:rPr>
          <w:rFonts w:cstheme="minorHAnsi"/>
          <w:color w:val="000000"/>
        </w:rPr>
        <w:t>.</w:t>
      </w:r>
      <w:r>
        <w:rPr>
          <w:rFonts w:cstheme="minorHAnsi"/>
          <w:color w:val="000000"/>
        </w:rPr>
        <w:t xml:space="preserve"> Para além das culturas alimentares, a produção intercalada de espécies medicinais em plantações de manga tem vinda a ser explorada há já algum tempo (Gupta et al.,2020</w:t>
      </w:r>
      <w:r w:rsidRPr="001C3CDD">
        <w:rPr>
          <w:rFonts w:cstheme="minorHAnsi"/>
          <w:color w:val="000000"/>
        </w:rPr>
        <w:t>; Bari &amp; Rahim, 2010</w:t>
      </w:r>
      <w:r>
        <w:rPr>
          <w:rFonts w:cstheme="minorHAnsi"/>
          <w:color w:val="000000"/>
        </w:rPr>
        <w:t xml:space="preserve">). </w:t>
      </w:r>
    </w:p>
    <w:p w14:paraId="48F43EE2" w14:textId="77777777" w:rsidR="00F75BD4" w:rsidRPr="00D83759" w:rsidRDefault="00F75BD4" w:rsidP="00247379">
      <w:pPr>
        <w:rPr>
          <w:rStyle w:val="rynqvb"/>
          <w:rFonts w:cstheme="minorHAnsi"/>
        </w:rPr>
      </w:pPr>
      <w:r w:rsidRPr="00DC0562">
        <w:rPr>
          <w:rFonts w:cstheme="minorHAnsi"/>
        </w:rPr>
        <w:t>O consórcio de culturas é uma das técnicas de utilização da terra para otimizar a produção</w:t>
      </w:r>
      <w:r>
        <w:rPr>
          <w:rFonts w:cstheme="minorHAnsi"/>
        </w:rPr>
        <w:t xml:space="preserve">, </w:t>
      </w:r>
      <w:r>
        <w:rPr>
          <w:rFonts w:cstheme="minorHAnsi"/>
          <w:color w:val="000000"/>
        </w:rPr>
        <w:t>em que o cultivo</w:t>
      </w:r>
      <w:r w:rsidRPr="00DC0562">
        <w:rPr>
          <w:rFonts w:cstheme="minorHAnsi"/>
        </w:rPr>
        <w:t xml:space="preserve"> </w:t>
      </w:r>
      <w:r>
        <w:rPr>
          <w:rFonts w:cstheme="minorHAnsi"/>
        </w:rPr>
        <w:t>de várias espécies</w:t>
      </w:r>
      <w:r w:rsidRPr="00DC0562">
        <w:rPr>
          <w:rFonts w:cstheme="minorHAnsi"/>
        </w:rPr>
        <w:t xml:space="preserve"> em simultâneo </w:t>
      </w:r>
      <w:r>
        <w:rPr>
          <w:rFonts w:cstheme="minorHAnsi"/>
        </w:rPr>
        <w:t>leva ao uso eficiente do</w:t>
      </w:r>
      <w:r w:rsidRPr="00DC0562">
        <w:rPr>
          <w:rFonts w:cstheme="minorHAnsi"/>
        </w:rPr>
        <w:t xml:space="preserve"> espaço e </w:t>
      </w:r>
      <w:r>
        <w:rPr>
          <w:rFonts w:cstheme="minorHAnsi"/>
        </w:rPr>
        <w:t xml:space="preserve">de </w:t>
      </w:r>
      <w:r w:rsidRPr="00DC0562">
        <w:rPr>
          <w:rFonts w:cstheme="minorHAnsi"/>
        </w:rPr>
        <w:t>outros recursos naturais.</w:t>
      </w:r>
      <w:r>
        <w:rPr>
          <w:rFonts w:cstheme="minorHAnsi"/>
        </w:rPr>
        <w:t xml:space="preserve"> </w:t>
      </w:r>
      <w:r>
        <w:rPr>
          <w:rStyle w:val="rynqvb"/>
        </w:rPr>
        <w:t xml:space="preserve">São vários os </w:t>
      </w:r>
      <w:r w:rsidRPr="0075257B">
        <w:rPr>
          <w:rStyle w:val="rynqvb"/>
          <w:b/>
          <w:bCs/>
        </w:rPr>
        <w:t>fatores</w:t>
      </w:r>
      <w:r>
        <w:rPr>
          <w:rStyle w:val="rynqvb"/>
        </w:rPr>
        <w:t xml:space="preserve"> que determinam a combinação de culturas intercalares mais adequadas a uma região produtora de manga, sendo de </w:t>
      </w:r>
      <w:r>
        <w:rPr>
          <w:rFonts w:cstheme="minorHAnsi"/>
        </w:rPr>
        <w:t xml:space="preserve">destacar: a natureza e a qualidade do </w:t>
      </w:r>
      <w:r w:rsidRPr="008F042C">
        <w:rPr>
          <w:rFonts w:cstheme="minorHAnsi"/>
        </w:rPr>
        <w:t>solo; o clima; a disponibilidade hídrica</w:t>
      </w:r>
      <w:r>
        <w:rPr>
          <w:rFonts w:cstheme="minorHAnsi"/>
        </w:rPr>
        <w:t xml:space="preserve"> e;</w:t>
      </w:r>
      <w:r w:rsidRPr="008F042C">
        <w:rPr>
          <w:rFonts w:cstheme="minorHAnsi"/>
        </w:rPr>
        <w:t xml:space="preserve"> as características da plantação - compasso de instalação, idade e cultivar </w:t>
      </w:r>
      <w:r w:rsidRPr="008F042C">
        <w:rPr>
          <w:rStyle w:val="rynqvb"/>
        </w:rPr>
        <w:t>(</w:t>
      </w:r>
      <w:r w:rsidRPr="008F042C">
        <w:rPr>
          <w:rFonts w:cstheme="minorHAnsi"/>
        </w:rPr>
        <w:t>Ganeshamurthy et</w:t>
      </w:r>
      <w:r w:rsidRPr="009F1A49">
        <w:rPr>
          <w:rFonts w:cstheme="minorHAnsi"/>
        </w:rPr>
        <w:t xml:space="preserve"> al.</w:t>
      </w:r>
      <w:r>
        <w:rPr>
          <w:rFonts w:cstheme="minorHAnsi"/>
        </w:rPr>
        <w:t xml:space="preserve">, </w:t>
      </w:r>
      <w:r w:rsidRPr="009F1A49">
        <w:rPr>
          <w:rFonts w:cstheme="minorHAnsi"/>
        </w:rPr>
        <w:t>2018)</w:t>
      </w:r>
      <w:r>
        <w:rPr>
          <w:rFonts w:cstheme="minorHAnsi"/>
        </w:rPr>
        <w:t>,</w:t>
      </w:r>
    </w:p>
    <w:p w14:paraId="5D1D3D3A" w14:textId="77777777" w:rsidR="00F75BD4" w:rsidRPr="009C6C64" w:rsidRDefault="00F75BD4" w:rsidP="00247379">
      <w:pPr>
        <w:rPr>
          <w:rFonts w:cstheme="minorHAnsi"/>
          <w:color w:val="000000"/>
        </w:rPr>
      </w:pPr>
      <w:r>
        <w:rPr>
          <w:rFonts w:cstheme="minorHAnsi"/>
          <w:color w:val="000000"/>
        </w:rPr>
        <w:t xml:space="preserve">A </w:t>
      </w:r>
      <w:r w:rsidRPr="00191732">
        <w:rPr>
          <w:rFonts w:cstheme="minorHAnsi"/>
          <w:b/>
          <w:bCs/>
          <w:color w:val="000000"/>
        </w:rPr>
        <w:t>rentabilidade</w:t>
      </w:r>
      <w:r>
        <w:rPr>
          <w:rFonts w:cstheme="minorHAnsi"/>
          <w:color w:val="000000"/>
        </w:rPr>
        <w:t xml:space="preserve"> destes sistemas multifuncionais tem sido analisada e justaposta ao retorno equivalente de produção em monocultura. Os resultados têm sido consistentes, demonstrando o melhor desempenho da maioria dos sistemas agroflorestais, o que não corresponde necessariamente a um aumento da produtividade das culturas envolvidas (cf. Rana, </w:t>
      </w:r>
      <w:r w:rsidRPr="00AF401F">
        <w:rPr>
          <w:rFonts w:cstheme="minorHAnsi"/>
        </w:rPr>
        <w:t xml:space="preserve">2022, </w:t>
      </w:r>
      <w:r w:rsidRPr="00AF401F">
        <w:t>Naresh et al., 202</w:t>
      </w:r>
      <w:r>
        <w:t>2</w:t>
      </w:r>
      <w:r w:rsidRPr="00AF401F">
        <w:rPr>
          <w:rFonts w:cstheme="minorHAnsi"/>
        </w:rPr>
        <w:t xml:space="preserve">). Na realidade, em alguns casos verifica-se a manga tem um efeito negativo na produtividade e na qualidade alimentar </w:t>
      </w:r>
      <w:r>
        <w:rPr>
          <w:rFonts w:cstheme="minorHAnsi"/>
        </w:rPr>
        <w:t>da cultura intercalar (</w:t>
      </w:r>
      <w:r w:rsidRPr="0014527E">
        <w:rPr>
          <w:color w:val="0070C0"/>
        </w:rPr>
        <w:t>Shukla</w:t>
      </w:r>
      <w:r w:rsidRPr="0014527E">
        <w:rPr>
          <w:rFonts w:cstheme="minorHAnsi"/>
        </w:rPr>
        <w:t xml:space="preserve"> et al.</w:t>
      </w:r>
      <w:r>
        <w:rPr>
          <w:rFonts w:cstheme="minorHAnsi"/>
        </w:rPr>
        <w:t xml:space="preserve">, 2022).  </w:t>
      </w:r>
    </w:p>
    <w:p w14:paraId="45C2C96A" w14:textId="77777777" w:rsidR="00F75BD4" w:rsidRPr="00F55AD7" w:rsidRDefault="00F75BD4" w:rsidP="00247379">
      <w:pPr>
        <w:rPr>
          <w:rFonts w:cstheme="minorHAnsi"/>
        </w:rPr>
      </w:pPr>
      <w:r>
        <w:rPr>
          <w:rFonts w:cstheme="minorHAnsi"/>
        </w:rPr>
        <w:t xml:space="preserve">Algumas das espécies economicamente mais atraentes utilizadas em associação com as plantações de manga, são também </w:t>
      </w:r>
      <w:r w:rsidRPr="0075257B">
        <w:rPr>
          <w:rFonts w:cstheme="minorHAnsi"/>
          <w:b/>
          <w:bCs/>
        </w:rPr>
        <w:t>hospedeiras da mosca-da-fruta</w:t>
      </w:r>
      <w:r>
        <w:rPr>
          <w:rFonts w:cstheme="minorHAnsi"/>
        </w:rPr>
        <w:t xml:space="preserve">; este é o caso da guava, da papaia, dos citrinos, entre outros </w:t>
      </w:r>
      <w:r w:rsidRPr="00F55AD7">
        <w:rPr>
          <w:rFonts w:cstheme="minorHAnsi"/>
        </w:rPr>
        <w:t xml:space="preserve">(cf. </w:t>
      </w:r>
      <w:r w:rsidRPr="00F55AD7">
        <w:t>Rwomushana et al., 2008)</w:t>
      </w:r>
      <w:r>
        <w:t>. Assim, a instalação destas árvores de fruto no pomar de manga deve ser ponderada e o plano de gestão integrada da praga deve ser ajustado em acordo.</w:t>
      </w:r>
    </w:p>
    <w:p w14:paraId="5CB5BE33" w14:textId="77777777" w:rsidR="00F75BD4" w:rsidRDefault="00F75BD4" w:rsidP="00247379">
      <w:pPr>
        <w:tabs>
          <w:tab w:val="left" w:pos="2835"/>
        </w:tabs>
        <w:rPr>
          <w:rFonts w:cstheme="minorHAnsi"/>
        </w:rPr>
      </w:pPr>
      <w:r w:rsidRPr="00504084">
        <w:rPr>
          <w:rFonts w:cstheme="minorHAnsi"/>
        </w:rPr>
        <w:t>São muito poucos os estudos que se referem a consórcios da manga com outras culturas, em países africanos (ex. Sarron et al., 2023) e nenhum deles aborda a Guiné-Bissau. Igualmente, não foi possível encontrar documentação disponível que tratasse aspetos da produtividade e da rentabilidade de diferentes combinações</w:t>
      </w:r>
      <w:r>
        <w:rPr>
          <w:rFonts w:cstheme="minorHAnsi"/>
        </w:rPr>
        <w:t xml:space="preserve"> ou que fizesse uma compilação das diversas práticas existentes em países da CEDEAO. Essa situação poderá ser alterada na sequência do projeto </w:t>
      </w:r>
      <w:r w:rsidRPr="00810893">
        <w:rPr>
          <w:rFonts w:cstheme="minorHAnsi"/>
        </w:rPr>
        <w:t>SustInAfrica</w:t>
      </w:r>
      <w:r>
        <w:rPr>
          <w:rStyle w:val="FootnoteReference"/>
          <w:rFonts w:cstheme="minorHAnsi"/>
        </w:rPr>
        <w:footnoteReference w:id="21"/>
      </w:r>
      <w:r>
        <w:rPr>
          <w:rFonts w:cstheme="minorHAnsi"/>
        </w:rPr>
        <w:t xml:space="preserve">. </w:t>
      </w:r>
    </w:p>
    <w:p w14:paraId="434E8A70" w14:textId="77777777" w:rsidR="00F75BD4" w:rsidRDefault="00F75BD4" w:rsidP="00247379">
      <w:pPr>
        <w:tabs>
          <w:tab w:val="left" w:pos="2835"/>
        </w:tabs>
        <w:rPr>
          <w:rFonts w:cstheme="minorHAnsi"/>
        </w:rPr>
      </w:pPr>
      <w:r>
        <w:rPr>
          <w:rFonts w:cstheme="minorHAnsi"/>
        </w:rPr>
        <w:t>F</w:t>
      </w:r>
      <w:r w:rsidRPr="00810893">
        <w:rPr>
          <w:rFonts w:cstheme="minorHAnsi"/>
        </w:rPr>
        <w:t xml:space="preserve">inanciado pela UE, </w:t>
      </w:r>
      <w:r>
        <w:rPr>
          <w:rFonts w:cstheme="minorHAnsi"/>
        </w:rPr>
        <w:t xml:space="preserve">o </w:t>
      </w:r>
      <w:r w:rsidRPr="00810893">
        <w:rPr>
          <w:rFonts w:cstheme="minorHAnsi"/>
        </w:rPr>
        <w:t>SustInAfrica</w:t>
      </w:r>
      <w:r>
        <w:rPr>
          <w:rFonts w:cstheme="minorHAnsi"/>
        </w:rPr>
        <w:t xml:space="preserve"> </w:t>
      </w:r>
      <w:r w:rsidRPr="00810893">
        <w:rPr>
          <w:rFonts w:cstheme="minorHAnsi"/>
        </w:rPr>
        <w:t>vis</w:t>
      </w:r>
      <w:r>
        <w:rPr>
          <w:rFonts w:cstheme="minorHAnsi"/>
        </w:rPr>
        <w:t>ou</w:t>
      </w:r>
      <w:r w:rsidRPr="00810893">
        <w:rPr>
          <w:rFonts w:cstheme="minorHAnsi"/>
        </w:rPr>
        <w:t xml:space="preserve"> capacitar os pequenos agricultores, </w:t>
      </w:r>
      <w:r>
        <w:rPr>
          <w:rFonts w:cstheme="minorHAnsi"/>
        </w:rPr>
        <w:t xml:space="preserve">PMEs </w:t>
      </w:r>
      <w:r w:rsidRPr="00810893">
        <w:rPr>
          <w:rFonts w:cstheme="minorHAnsi"/>
        </w:rPr>
        <w:t xml:space="preserve">e diversas organizações governamentais e não governamentais no Gana, Burkina Faso, Níger, Egipto e Tunísia a intensificarem a produção alimentar e prestarem serviços de ecossistemas de forma sustentável e resiliente. </w:t>
      </w:r>
      <w:r>
        <w:rPr>
          <w:rFonts w:cstheme="minorHAnsi"/>
        </w:rPr>
        <w:t xml:space="preserve">A metodologia utilizada incluiu: </w:t>
      </w:r>
      <w:r w:rsidRPr="00810893">
        <w:rPr>
          <w:rFonts w:cstheme="minorHAnsi"/>
        </w:rPr>
        <w:t>a análise dos ecossistemas locais</w:t>
      </w:r>
      <w:r>
        <w:rPr>
          <w:rFonts w:cstheme="minorHAnsi"/>
        </w:rPr>
        <w:t xml:space="preserve"> e a</w:t>
      </w:r>
      <w:r w:rsidRPr="00810893">
        <w:rPr>
          <w:rFonts w:cstheme="minorHAnsi"/>
        </w:rPr>
        <w:t xml:space="preserve"> ofer</w:t>
      </w:r>
      <w:r>
        <w:rPr>
          <w:rFonts w:cstheme="minorHAnsi"/>
        </w:rPr>
        <w:t>ta de</w:t>
      </w:r>
      <w:r w:rsidRPr="00810893">
        <w:rPr>
          <w:rFonts w:cstheme="minorHAnsi"/>
        </w:rPr>
        <w:t xml:space="preserve"> estratégias de gestão do solo, da água e da saúde das plantas</w:t>
      </w:r>
      <w:r>
        <w:rPr>
          <w:rFonts w:cstheme="minorHAnsi"/>
        </w:rPr>
        <w:t>; o fornecimento de</w:t>
      </w:r>
      <w:r w:rsidRPr="00810893">
        <w:rPr>
          <w:rFonts w:cstheme="minorHAnsi"/>
        </w:rPr>
        <w:t xml:space="preserve"> modelos de negócio e políticas</w:t>
      </w:r>
      <w:r>
        <w:rPr>
          <w:rFonts w:cstheme="minorHAnsi"/>
        </w:rPr>
        <w:t xml:space="preserve"> ajuda</w:t>
      </w:r>
      <w:r w:rsidRPr="00810893">
        <w:rPr>
          <w:rFonts w:cstheme="minorHAnsi"/>
        </w:rPr>
        <w:t xml:space="preserve"> no desenvolvimento de tecnologias relacionadas que auxiliem os agricultores na tomada de decisões</w:t>
      </w:r>
      <w:r>
        <w:rPr>
          <w:rFonts w:cstheme="minorHAnsi"/>
        </w:rPr>
        <w:t>. Uma das suas medidas foi a</w:t>
      </w:r>
      <w:r w:rsidRPr="00A57C59">
        <w:rPr>
          <w:rFonts w:cstheme="minorHAnsi"/>
        </w:rPr>
        <w:t xml:space="preserve"> implementação de ensaios de campo em locais-alvo, combinando conhecimentos tradicionais, estratégias e sistemas sustentáveis ​​(agroecologia, agroflorestação, agricultura</w:t>
      </w:r>
      <w:r>
        <w:rPr>
          <w:rFonts w:cstheme="minorHAnsi"/>
        </w:rPr>
        <w:t xml:space="preserve"> </w:t>
      </w:r>
      <w:r w:rsidRPr="00A57C59">
        <w:rPr>
          <w:rFonts w:cstheme="minorHAnsi"/>
        </w:rPr>
        <w:t>biológica) e tecnologias modernas (aplicações/plataformas desenvolvidas</w:t>
      </w:r>
      <w:r>
        <w:rPr>
          <w:rFonts w:cstheme="minorHAnsi"/>
        </w:rPr>
        <w:t xml:space="preserve">. Um dos sistemas selecionados foi o da consociação da manga com </w:t>
      </w:r>
      <w:r w:rsidRPr="00771178">
        <w:rPr>
          <w:rFonts w:cstheme="minorHAnsi"/>
        </w:rPr>
        <w:t>amendoim, guandu, mucuna ou feijão comum</w:t>
      </w:r>
      <w:r>
        <w:rPr>
          <w:rFonts w:cstheme="minorHAnsi"/>
        </w:rPr>
        <w:t xml:space="preserve">, </w:t>
      </w:r>
      <w:r w:rsidRPr="00A139D6">
        <w:rPr>
          <w:rFonts w:cstheme="minorHAnsi"/>
        </w:rPr>
        <w:t>no Gana. (</w:t>
      </w:r>
      <w:r w:rsidRPr="005B7304">
        <w:t>Wagstaff et al., 2023). Os resultados não foram ainda publicados.</w:t>
      </w:r>
    </w:p>
    <w:p w14:paraId="3721B159" w14:textId="77777777" w:rsidR="00F75BD4" w:rsidRDefault="00F75BD4" w:rsidP="00247379">
      <w:pPr>
        <w:tabs>
          <w:tab w:val="left" w:pos="2835"/>
          <w:tab w:val="left" w:pos="5529"/>
        </w:tabs>
        <w:rPr>
          <w:rFonts w:cstheme="minorHAnsi"/>
        </w:rPr>
      </w:pPr>
      <w:r>
        <w:rPr>
          <w:rFonts w:cstheme="minorHAnsi"/>
        </w:rPr>
        <w:t>Na Guiné-Bissau foi possível observar situações de plantação de mandioca em pomares de manga, próximo das habitações. Também se registou a presença de acácias – leguminosas, fixadoras de azoto - entre mangueiras, em algumas zonas das propriedades. Atendendo às implicações em termos de produtividade e económica, seria de esclarecer até que ponto esta prática agroflorestal é divulgada entre os produtores de manga na Guiné-Bissau, e que contornos toma. O organismo público com responsabilidades no pelouro não pareceu estar sensibilizado para a temática.</w:t>
      </w:r>
    </w:p>
    <w:p w14:paraId="6CB98130" w14:textId="77777777" w:rsidR="00F75BD4" w:rsidRDefault="00F75BD4" w:rsidP="00247379">
      <w:pPr>
        <w:rPr>
          <w:lang w:eastAsia="en-US"/>
        </w:rPr>
      </w:pPr>
    </w:p>
    <w:p w14:paraId="3CC76F4C" w14:textId="006E4BEA" w:rsidR="00ED7A0D" w:rsidRPr="004B6B4A" w:rsidRDefault="00386F21" w:rsidP="00815270">
      <w:pPr>
        <w:pStyle w:val="Heading2"/>
      </w:pPr>
      <w:bookmarkStart w:id="218" w:name="_Toc220507527"/>
      <w:r w:rsidRPr="00C929EE">
        <w:t>O AMADURECIMENTO ARTIFICIAL D</w:t>
      </w:r>
      <w:r>
        <w:t>E</w:t>
      </w:r>
      <w:r w:rsidRPr="00C929EE">
        <w:t xml:space="preserve"> MANGA NA GUINÉ-BISSAU</w:t>
      </w:r>
      <w:bookmarkEnd w:id="218"/>
    </w:p>
    <w:p w14:paraId="27A9B303" w14:textId="77777777" w:rsidR="00B0336E" w:rsidRPr="00773E49" w:rsidRDefault="00B0336E" w:rsidP="00C94D78">
      <w:pPr>
        <w:rPr>
          <w:rFonts w:cstheme="minorHAnsi"/>
        </w:rPr>
      </w:pPr>
      <w:r w:rsidRPr="00773E49">
        <w:rPr>
          <w:rFonts w:cstheme="minorHAnsi"/>
        </w:rPr>
        <w:t>O carbeto de cálcio</w:t>
      </w:r>
      <w:r w:rsidRPr="00773E49">
        <w:rPr>
          <w:rStyle w:val="FootnoteReference"/>
          <w:rFonts w:cstheme="minorHAnsi"/>
        </w:rPr>
        <w:footnoteReference w:id="22"/>
      </w:r>
      <w:r w:rsidRPr="00773E49">
        <w:rPr>
          <w:rFonts w:cstheme="minorHAnsi"/>
        </w:rPr>
        <w:t xml:space="preserve"> é uma substância sólida utilizada no amadurecimento artificial da manga, de uso proibido na maior parte dos países, mas ainda empregue por alguns processadores por todo o mundo. Na Guiné-Bissau, este produto continua a usado artesanalmente, dada a facilidade de manuseamento e de armazenagem.   </w:t>
      </w:r>
    </w:p>
    <w:p w14:paraId="34452F24" w14:textId="77777777" w:rsidR="00B0336E" w:rsidRPr="00773E49" w:rsidRDefault="00B0336E" w:rsidP="00C94D78">
      <w:pPr>
        <w:rPr>
          <w:rFonts w:cstheme="minorHAnsi"/>
        </w:rPr>
      </w:pPr>
      <w:r w:rsidRPr="00773E49">
        <w:rPr>
          <w:rFonts w:cstheme="minorHAnsi"/>
        </w:rPr>
        <w:t xml:space="preserve">O método alternativo mais eficiente recorre ao </w:t>
      </w:r>
      <w:r w:rsidRPr="00773E49">
        <w:rPr>
          <w:rFonts w:cstheme="minorHAnsi"/>
          <w:b/>
          <w:bCs/>
        </w:rPr>
        <w:t>gás etileno</w:t>
      </w:r>
      <w:r w:rsidRPr="00773E49">
        <w:rPr>
          <w:rStyle w:val="FootnoteReference"/>
          <w:rFonts w:cstheme="minorHAnsi"/>
          <w:b/>
          <w:bCs/>
        </w:rPr>
        <w:footnoteReference w:id="23"/>
      </w:r>
      <w:r w:rsidRPr="00773E49">
        <w:rPr>
          <w:rFonts w:cstheme="minorHAnsi"/>
        </w:rPr>
        <w:t xml:space="preserve"> como agente de maturação, usado em condições controladas</w:t>
      </w:r>
      <w:r w:rsidRPr="00773E49">
        <w:rPr>
          <w:rStyle w:val="FootnoteReference"/>
          <w:rFonts w:cstheme="minorHAnsi"/>
        </w:rPr>
        <w:footnoteReference w:id="24"/>
      </w:r>
      <w:r w:rsidRPr="00773E49">
        <w:rPr>
          <w:rFonts w:cstheme="minorHAnsi"/>
        </w:rPr>
        <w:t xml:space="preserve"> que garantem o amadurecimento uniforme e de qualidade da manga. As mangas sujeitas a este tratamento amadurecem em 4-5 dias, contra os 7-10 dias dos frutos não tratados</w:t>
      </w:r>
      <w:r w:rsidRPr="00773E49">
        <w:rPr>
          <w:rStyle w:val="FootnoteReference"/>
          <w:rFonts w:cstheme="minorHAnsi"/>
        </w:rPr>
        <w:footnoteReference w:id="25"/>
      </w:r>
      <w:r w:rsidRPr="00773E49">
        <w:rPr>
          <w:rFonts w:cstheme="minorHAnsi"/>
        </w:rPr>
        <w:t xml:space="preserve">. Este método está associado a unidades industriais ou comerciais de amadurecimento de fruta em que o gás etileno é usualmente fornecido em cilindros. O processo não é adequado a operações de pequena escala ou de oportunidade, o que coloca o desafio de explorar opções mais convenientes, de baixo custo e ecológicas para o amadurecimento da manga. </w:t>
      </w:r>
    </w:p>
    <w:p w14:paraId="5D2E42A1" w14:textId="77777777" w:rsidR="00B0336E" w:rsidRPr="00773E49" w:rsidRDefault="00B0336E" w:rsidP="00C94D78">
      <w:pPr>
        <w:rPr>
          <w:rFonts w:cstheme="minorHAnsi"/>
        </w:rPr>
      </w:pPr>
      <w:r w:rsidRPr="00773E49">
        <w:rPr>
          <w:rFonts w:cstheme="minorHAnsi"/>
        </w:rPr>
        <w:t xml:space="preserve">Uma das soluções desenvolvidas – uma </w:t>
      </w:r>
      <w:r w:rsidRPr="00773E49">
        <w:rPr>
          <w:rFonts w:cstheme="minorHAnsi"/>
          <w:b/>
          <w:bCs/>
        </w:rPr>
        <w:t>câmara de amadurecimento à base de plástico</w:t>
      </w:r>
      <w:r w:rsidRPr="00773E49">
        <w:rPr>
          <w:rStyle w:val="FootnoteReference"/>
          <w:rFonts w:cstheme="minorHAnsi"/>
        </w:rPr>
        <w:footnoteReference w:id="26"/>
      </w:r>
      <w:r w:rsidRPr="00773E49">
        <w:rPr>
          <w:rFonts w:cstheme="minorHAnsi"/>
        </w:rPr>
        <w:t xml:space="preserve"> - oferece uma solução económica, assente na libertação de etileno a partir da mistura de etefão</w:t>
      </w:r>
      <w:r w:rsidRPr="00773E49">
        <w:rPr>
          <w:rStyle w:val="FootnoteReference"/>
          <w:rFonts w:cstheme="minorHAnsi"/>
        </w:rPr>
        <w:footnoteReference w:id="27"/>
      </w:r>
      <w:r w:rsidRPr="00773E49">
        <w:rPr>
          <w:rFonts w:cstheme="minorHAnsi"/>
        </w:rPr>
        <w:t>, soda caustica e água. Este processo ocorre numa câmara hermética e proporciona um amadurecimento mais rápido do que as técnicas convencionais, sendo um método especialmente direcionado para pequenos agricultores e comerciantes devido à sua relação custo-benefício. Embora os frutos amadurecidos com esta abordagem apresentem uma melhoria na qualidade em comparação com os não tratados, a eficácia é condicionada pela capacidade reduzida (1,5–2 toneladas) e pela necessidade de conhecimentos e formação adequados para operar e manter esta câmara de amadurecimento. Este método de maturação de baixo custo é recomendado para obter uma melhor qualidade e um amadurecimento mais rápido da manga, e a sua introdução na Guiné-Bissau apresenta grandes vantagens, nomeadamente a substituição da prática de uso de carbeto de cálcio.</w:t>
      </w:r>
    </w:p>
    <w:p w14:paraId="016E94CB" w14:textId="5AAD12C5" w:rsidR="00ED7A0D" w:rsidRPr="004B6B4A" w:rsidRDefault="00ED7A0D" w:rsidP="00815270">
      <w:pPr>
        <w:pStyle w:val="Heading2"/>
      </w:pPr>
      <w:bookmarkStart w:id="221" w:name="_Toc220507528"/>
      <w:r w:rsidRPr="004B6B4A">
        <w:t>INVENTÁRIO DO CICLO DE VIDA (ICV)</w:t>
      </w:r>
      <w:bookmarkEnd w:id="221"/>
    </w:p>
    <w:p w14:paraId="0A4EEA1E" w14:textId="77777777" w:rsidR="00ED7A0D" w:rsidRDefault="00ED7A0D" w:rsidP="00ED7A0D">
      <w:pPr>
        <w:rPr>
          <w:lang w:eastAsia="en-US"/>
        </w:rPr>
      </w:pPr>
      <w:r>
        <w:rPr>
          <w:lang w:eastAsia="en-US"/>
        </w:rPr>
        <w:t xml:space="preserve">Não ocorreram modificações no que reporta ao modelo de inventário utilizado e às metodologias aplicadas ao cálculo de emissões. No entanto, alguns dos aspetos do inventário foram reajustados para melhor traduzir a as características atuais da cadeia de valor da manga na GNB, nomeadamente no domínio da produção de manga e no serviço de transportes. </w:t>
      </w:r>
    </w:p>
    <w:p w14:paraId="3AAD1BDC" w14:textId="1078477C" w:rsidR="00707F3E" w:rsidRDefault="00ED7A0D" w:rsidP="00ED7A0D">
      <w:pPr>
        <w:rPr>
          <w:lang w:eastAsia="en-US"/>
        </w:rPr>
      </w:pPr>
      <w:r>
        <w:rPr>
          <w:lang w:eastAsia="en-US"/>
        </w:rPr>
        <w:t>Produção de manga</w:t>
      </w:r>
    </w:p>
    <w:p w14:paraId="7A285170" w14:textId="2CCF9C3A" w:rsidR="00ED7A0D" w:rsidRDefault="00ED7A0D" w:rsidP="00E042D7">
      <w:pPr>
        <w:pStyle w:val="ListParagraph"/>
        <w:numPr>
          <w:ilvl w:val="0"/>
          <w:numId w:val="55"/>
        </w:numPr>
        <w:rPr>
          <w:lang w:eastAsia="en-US"/>
        </w:rPr>
      </w:pPr>
      <w:r>
        <w:rPr>
          <w:lang w:eastAsia="en-US"/>
        </w:rPr>
        <w:t>o pomar é agora assumido como conduzido num ciclo de produção de 20 anos</w:t>
      </w:r>
    </w:p>
    <w:p w14:paraId="77C92B06" w14:textId="775737FE" w:rsidR="00ED7A0D" w:rsidRDefault="00ED7A0D" w:rsidP="00E042D7">
      <w:pPr>
        <w:pStyle w:val="ListParagraph"/>
        <w:numPr>
          <w:ilvl w:val="0"/>
          <w:numId w:val="55"/>
        </w:numPr>
        <w:rPr>
          <w:lang w:eastAsia="en-US"/>
        </w:rPr>
      </w:pPr>
      <w:r>
        <w:rPr>
          <w:lang w:eastAsia="en-US"/>
        </w:rPr>
        <w:t>a produtividade líquida média anual é de 6714 toneladas/ha, correspondendo a 1.49 m2.ano de solo ocupado ano por kg de manga.</w:t>
      </w:r>
    </w:p>
    <w:p w14:paraId="7B847066" w14:textId="3A37C6DF" w:rsidR="00ED7A0D" w:rsidRDefault="00ED7A0D" w:rsidP="00E042D7">
      <w:pPr>
        <w:pStyle w:val="ListParagraph"/>
        <w:numPr>
          <w:ilvl w:val="0"/>
          <w:numId w:val="55"/>
        </w:numPr>
        <w:rPr>
          <w:lang w:eastAsia="en-US"/>
        </w:rPr>
      </w:pPr>
      <w:r>
        <w:rPr>
          <w:lang w:eastAsia="en-US"/>
        </w:rPr>
        <w:t>a densidade de plantio é de 120 árvores por há, com uma taxa de mortalidade de 3% ao ano.</w:t>
      </w:r>
    </w:p>
    <w:p w14:paraId="7877AF60" w14:textId="77777777" w:rsidR="00ED7A0D" w:rsidRDefault="00ED7A0D" w:rsidP="00ED7A0D">
      <w:pPr>
        <w:rPr>
          <w:lang w:eastAsia="en-US"/>
        </w:rPr>
      </w:pPr>
      <w:r>
        <w:rPr>
          <w:lang w:eastAsia="en-US"/>
        </w:rPr>
        <w:t>Modelo do serviço de transporte</w:t>
      </w:r>
    </w:p>
    <w:p w14:paraId="228FF781" w14:textId="3CE65906" w:rsidR="00ED7A0D" w:rsidRDefault="00ED7A0D" w:rsidP="00E042D7">
      <w:pPr>
        <w:pStyle w:val="ListParagraph"/>
        <w:numPr>
          <w:ilvl w:val="0"/>
          <w:numId w:val="56"/>
        </w:numPr>
        <w:rPr>
          <w:lang w:eastAsia="en-US"/>
        </w:rPr>
      </w:pPr>
      <w:r>
        <w:rPr>
          <w:lang w:eastAsia="en-US"/>
        </w:rPr>
        <w:lastRenderedPageBreak/>
        <w:t>assume-se que as quantidades médias, de manga fresca ou de produtos transformados de manga, transportadas por viagem se situam entre 30 kg e 90 kg (à exceção das grossistas, que movimentarão cargas médias de 3 toneladas por viagem);</w:t>
      </w:r>
    </w:p>
    <w:p w14:paraId="0816CCA2" w14:textId="35EC3A6B" w:rsidR="00ED7A0D" w:rsidRDefault="00ED7A0D" w:rsidP="00E042D7">
      <w:pPr>
        <w:pStyle w:val="ListParagraph"/>
        <w:numPr>
          <w:ilvl w:val="0"/>
          <w:numId w:val="56"/>
        </w:numPr>
        <w:rPr>
          <w:lang w:eastAsia="en-US"/>
        </w:rPr>
      </w:pPr>
      <w:r>
        <w:rPr>
          <w:lang w:eastAsia="en-US"/>
        </w:rPr>
        <w:t>considera-se que o transporte da manga é realizado num contexto de partilha de veículo e de não exclusividade de carga, sendo o cálculo da fração de manga no total de carga transportada estabelecida com base nas respetivas massas.</w:t>
      </w:r>
    </w:p>
    <w:p w14:paraId="6DB5223D" w14:textId="77777777" w:rsidR="00ED7A0D" w:rsidRDefault="00ED7A0D" w:rsidP="00ED7A0D">
      <w:pPr>
        <w:rPr>
          <w:lang w:eastAsia="en-US"/>
        </w:rPr>
      </w:pPr>
      <w:r>
        <w:rPr>
          <w:lang w:eastAsia="en-US"/>
        </w:rPr>
        <w:t>Os novos requisitos de transporte associados à cadeia de valor da manga são apresentados no Quadro 4-1, incluídos quantidades e características. As quantidades (tkm) reportam-se ao transporte de 1 kg de manga fresca ou de 1 litro de sumo à entrada do mercado.</w:t>
      </w:r>
    </w:p>
    <w:p w14:paraId="58EF71A0" w14:textId="569E891B" w:rsidR="00ED7A0D" w:rsidRDefault="00ED7A0D" w:rsidP="00ED7A0D">
      <w:pPr>
        <w:rPr>
          <w:lang w:eastAsia="en-US"/>
        </w:rPr>
      </w:pPr>
      <w:r>
        <w:rPr>
          <w:lang w:eastAsia="en-US"/>
        </w:rPr>
        <w:t xml:space="preserve"> </w:t>
      </w:r>
      <w:r w:rsidR="006122A4" w:rsidRPr="003D3647">
        <w:rPr>
          <w:noProof/>
        </w:rPr>
        <w:drawing>
          <wp:inline distT="0" distB="0" distL="0" distR="0" wp14:anchorId="1AFEB8A9" wp14:editId="38FEFBCB">
            <wp:extent cx="5362233" cy="19895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9650" cy="1999772"/>
                    </a:xfrm>
                    <a:prstGeom prst="rect">
                      <a:avLst/>
                    </a:prstGeom>
                    <a:noFill/>
                    <a:ln>
                      <a:noFill/>
                    </a:ln>
                  </pic:spPr>
                </pic:pic>
              </a:graphicData>
            </a:graphic>
          </wp:inline>
        </w:drawing>
      </w:r>
    </w:p>
    <w:p w14:paraId="57CCFB5A" w14:textId="2F5E8EF9" w:rsidR="00ED7A0D" w:rsidRDefault="00ED7A0D" w:rsidP="00ED7A0D">
      <w:pPr>
        <w:rPr>
          <w:lang w:eastAsia="en-US"/>
        </w:rPr>
      </w:pPr>
      <w:r>
        <w:rPr>
          <w:lang w:eastAsia="en-US"/>
        </w:rPr>
        <w:t>Quadro 4-1 - Serviços de transporte considerados e características para as UF da manga fresca e do sumo de</w:t>
      </w:r>
    </w:p>
    <w:p w14:paraId="6DD382D6" w14:textId="77777777" w:rsidR="00ED7A0D" w:rsidRDefault="00ED7A0D" w:rsidP="00ED7A0D">
      <w:pPr>
        <w:rPr>
          <w:lang w:eastAsia="en-US"/>
        </w:rPr>
      </w:pPr>
      <w:r>
        <w:rPr>
          <w:lang w:eastAsia="en-US"/>
        </w:rPr>
        <w:t>Em relação à nova componente da cadeia de valor – o processamento da manga em pequena escala -, a construção do inventário assentou num conjunto de premissas que se passam a descrever:</w:t>
      </w:r>
    </w:p>
    <w:p w14:paraId="664F2F18" w14:textId="0F80DD7C" w:rsidR="00ED7A0D" w:rsidRDefault="00ED7A0D" w:rsidP="00E042D7">
      <w:pPr>
        <w:pStyle w:val="ListParagraph"/>
        <w:numPr>
          <w:ilvl w:val="0"/>
          <w:numId w:val="57"/>
        </w:numPr>
        <w:rPr>
          <w:lang w:eastAsia="en-US"/>
        </w:rPr>
      </w:pPr>
      <w:r>
        <w:rPr>
          <w:lang w:eastAsia="en-US"/>
        </w:rPr>
        <w:t>Conversão de manga fresca em sumo :  1.2 kg de manga  : 1 litro de sumo</w:t>
      </w:r>
    </w:p>
    <w:p w14:paraId="06CEA688" w14:textId="4F8410D2" w:rsidR="00ED7A0D" w:rsidRDefault="00ED7A0D" w:rsidP="00E042D7">
      <w:pPr>
        <w:pStyle w:val="ListParagraph"/>
        <w:numPr>
          <w:ilvl w:val="0"/>
          <w:numId w:val="57"/>
        </w:numPr>
        <w:rPr>
          <w:lang w:eastAsia="en-US"/>
        </w:rPr>
      </w:pPr>
      <w:r>
        <w:rPr>
          <w:lang w:eastAsia="en-US"/>
        </w:rPr>
        <w:t>Densidade do sumo de manga : 1.05 kg/litro</w:t>
      </w:r>
    </w:p>
    <w:p w14:paraId="40D757B8" w14:textId="6E9B695A" w:rsidR="00ED7A0D" w:rsidRDefault="00ED7A0D" w:rsidP="00E042D7">
      <w:pPr>
        <w:pStyle w:val="ListParagraph"/>
        <w:numPr>
          <w:ilvl w:val="0"/>
          <w:numId w:val="57"/>
        </w:numPr>
        <w:rPr>
          <w:lang w:eastAsia="en-US"/>
        </w:rPr>
      </w:pPr>
      <w:r>
        <w:rPr>
          <w:lang w:eastAsia="en-US"/>
        </w:rPr>
        <w:t>Resíduos orgânicos gerados : cascas  - 18% do peso dos frutos; semente – 5% do peso dos fruto</w:t>
      </w:r>
    </w:p>
    <w:p w14:paraId="204CFD0C" w14:textId="4E75DE3A" w:rsidR="00ED7A0D" w:rsidRDefault="00ED7A0D" w:rsidP="00E042D7">
      <w:pPr>
        <w:pStyle w:val="ListParagraph"/>
        <w:numPr>
          <w:ilvl w:val="0"/>
          <w:numId w:val="57"/>
        </w:numPr>
        <w:rPr>
          <w:lang w:eastAsia="en-US"/>
        </w:rPr>
      </w:pPr>
      <w:r>
        <w:rPr>
          <w:lang w:eastAsia="en-US"/>
        </w:rPr>
        <w:t>Rejeição de matéria-prima | perdas : equivalentes a 26.4% do peso dos frutos</w:t>
      </w:r>
    </w:p>
    <w:p w14:paraId="4494689C" w14:textId="694BA5A5" w:rsidR="00ED7A0D" w:rsidRDefault="00ED7A0D" w:rsidP="00E042D7">
      <w:pPr>
        <w:pStyle w:val="ListParagraph"/>
        <w:numPr>
          <w:ilvl w:val="0"/>
          <w:numId w:val="57"/>
        </w:numPr>
        <w:rPr>
          <w:lang w:eastAsia="en-US"/>
        </w:rPr>
      </w:pPr>
      <w:r>
        <w:rPr>
          <w:lang w:eastAsia="en-US"/>
        </w:rPr>
        <w:t>Vasilhame de vidro utilizado : peso de 1 garrafa – 0.18 kg; capacidade – 33 cl; material reciclado.</w:t>
      </w:r>
    </w:p>
    <w:p w14:paraId="0C7E0BCE" w14:textId="30D7E4C8" w:rsidR="00ED7A0D" w:rsidRDefault="00ED7A0D" w:rsidP="00E042D7">
      <w:pPr>
        <w:pStyle w:val="ListParagraph"/>
        <w:numPr>
          <w:ilvl w:val="0"/>
          <w:numId w:val="57"/>
        </w:numPr>
        <w:rPr>
          <w:lang w:eastAsia="en-US"/>
        </w:rPr>
      </w:pPr>
      <w:r>
        <w:rPr>
          <w:lang w:eastAsia="en-US"/>
        </w:rPr>
        <w:t>Embalagem para transporte: grade de polipropileno com capacidade para 24 garrafas de sumo; material reutilizado.</w:t>
      </w:r>
    </w:p>
    <w:p w14:paraId="0577872D" w14:textId="77777777" w:rsidR="00ED7A0D" w:rsidRDefault="00ED7A0D" w:rsidP="00ED7A0D">
      <w:pPr>
        <w:rPr>
          <w:lang w:eastAsia="en-US"/>
        </w:rPr>
      </w:pPr>
      <w:r>
        <w:rPr>
          <w:lang w:eastAsia="en-US"/>
        </w:rPr>
        <w:t>Na produção de 1 litro de sumo de manga são consumidos:</w:t>
      </w:r>
    </w:p>
    <w:p w14:paraId="5589794D" w14:textId="7FDE517F" w:rsidR="00ED7A0D" w:rsidRDefault="00ED7A0D" w:rsidP="00E042D7">
      <w:pPr>
        <w:pStyle w:val="ListParagraph"/>
        <w:numPr>
          <w:ilvl w:val="0"/>
          <w:numId w:val="58"/>
        </w:numPr>
        <w:rPr>
          <w:lang w:eastAsia="en-US"/>
        </w:rPr>
      </w:pPr>
      <w:r>
        <w:rPr>
          <w:lang w:eastAsia="en-US"/>
        </w:rPr>
        <w:t>0.20 kg de açúcar</w:t>
      </w:r>
    </w:p>
    <w:p w14:paraId="15FF6268" w14:textId="2CB7A2D2" w:rsidR="00ED7A0D" w:rsidRDefault="00ED7A0D" w:rsidP="00E042D7">
      <w:pPr>
        <w:pStyle w:val="ListParagraph"/>
        <w:numPr>
          <w:ilvl w:val="0"/>
          <w:numId w:val="58"/>
        </w:numPr>
        <w:rPr>
          <w:lang w:eastAsia="en-US"/>
        </w:rPr>
      </w:pPr>
      <w:r>
        <w:rPr>
          <w:lang w:eastAsia="en-US"/>
        </w:rPr>
        <w:t xml:space="preserve">0.34 litros de água </w:t>
      </w:r>
    </w:p>
    <w:p w14:paraId="016EE4AF" w14:textId="187C3E0E" w:rsidR="00ED7A0D" w:rsidRDefault="00ED7A0D" w:rsidP="00E042D7">
      <w:pPr>
        <w:pStyle w:val="ListParagraph"/>
        <w:numPr>
          <w:ilvl w:val="0"/>
          <w:numId w:val="58"/>
        </w:numPr>
        <w:rPr>
          <w:lang w:eastAsia="en-US"/>
        </w:rPr>
      </w:pPr>
      <w:r>
        <w:rPr>
          <w:lang w:eastAsia="en-US"/>
        </w:rPr>
        <w:t xml:space="preserve">0.84 kg de lenha (para a esterilização das garrafas de sumo) </w:t>
      </w:r>
    </w:p>
    <w:p w14:paraId="1647CA32" w14:textId="58734098" w:rsidR="00ED7A0D" w:rsidRDefault="00ED7A0D" w:rsidP="00E042D7">
      <w:pPr>
        <w:pStyle w:val="ListParagraph"/>
        <w:numPr>
          <w:ilvl w:val="0"/>
          <w:numId w:val="58"/>
        </w:numPr>
        <w:rPr>
          <w:lang w:eastAsia="en-US"/>
        </w:rPr>
      </w:pPr>
      <w:r>
        <w:rPr>
          <w:lang w:eastAsia="en-US"/>
        </w:rPr>
        <w:t>3.31E-04 kWh de eletricidade (mix paineis fotovoltaicos|rede elétrica : 3:1)</w:t>
      </w:r>
    </w:p>
    <w:p w14:paraId="24F33B3F" w14:textId="77777777" w:rsidR="00ED7A0D" w:rsidRDefault="00ED7A0D" w:rsidP="00ED7A0D">
      <w:pPr>
        <w:rPr>
          <w:lang w:eastAsia="en-US"/>
        </w:rPr>
      </w:pPr>
      <w:r>
        <w:rPr>
          <w:lang w:eastAsia="en-US"/>
        </w:rPr>
        <w:t>O sistema de produção de sumo de manga pelos micro-processadores, tem início com a aquisição da matéria -prima aos produtores, seguindo-se o transporte da manga fresca para a unidade de transformação, a obtenção dos outros insumos necessários ao processo de fabrico e à sua embalagem e acondicionamento, a produção de sumo, o processo de esterilização e termina com o transporte das garrafas de sumo de manga para o mercado de Bissau.</w:t>
      </w:r>
    </w:p>
    <w:p w14:paraId="5795B67B" w14:textId="3CB60069" w:rsidR="00ED7A0D" w:rsidRPr="004B6B4A" w:rsidRDefault="00ED7A0D" w:rsidP="00815270">
      <w:pPr>
        <w:pStyle w:val="Heading2"/>
      </w:pPr>
      <w:bookmarkStart w:id="222" w:name="_Toc220507529"/>
      <w:r w:rsidRPr="004B6B4A">
        <w:t>RESULTADOS: AVALIAÇÃO DO IMPACTE DO CICLO DE VIDA</w:t>
      </w:r>
      <w:bookmarkEnd w:id="222"/>
      <w:r w:rsidRPr="004B6B4A">
        <w:t xml:space="preserve"> </w:t>
      </w:r>
    </w:p>
    <w:p w14:paraId="53513668" w14:textId="0ED3DFDD" w:rsidR="00E042D7" w:rsidRPr="00E042D7" w:rsidRDefault="00E042D7" w:rsidP="00E042D7">
      <w:pPr>
        <w:rPr>
          <w:b/>
          <w:bCs/>
          <w:color w:val="336666"/>
          <w:lang w:eastAsia="en-US"/>
        </w:rPr>
      </w:pPr>
      <w:r>
        <w:rPr>
          <w:b/>
          <w:bCs/>
          <w:color w:val="336666"/>
          <w:lang w:val="pt-BR" w:eastAsia="en-US"/>
        </w:rPr>
        <w:t>CADEIA DE VALOR DA</w:t>
      </w:r>
      <w:r w:rsidRPr="00E042D7">
        <w:rPr>
          <w:b/>
          <w:bCs/>
          <w:color w:val="336666"/>
          <w:lang w:eastAsia="en-US"/>
        </w:rPr>
        <w:t xml:space="preserve"> MANGA</w:t>
      </w:r>
    </w:p>
    <w:p w14:paraId="1FFFF8EB" w14:textId="36C36F9F" w:rsidR="00ED7A0D" w:rsidRDefault="00ED7A0D" w:rsidP="00ED7A0D">
      <w:pPr>
        <w:rPr>
          <w:lang w:eastAsia="en-US"/>
        </w:rPr>
      </w:pPr>
      <w:r>
        <w:rPr>
          <w:lang w:eastAsia="en-US"/>
        </w:rPr>
        <w:lastRenderedPageBreak/>
        <w:t>Os impactos da cadeia de valor da manga na GNB para as três áreas de proteção ambiental (AdP), expressos por quilograma de manga colocada à venda no mercado, encontram-se representados na Figura 4.1 e nos Quadro A1</w:t>
      </w:r>
      <w:r w:rsidR="00E042D7">
        <w:rPr>
          <w:lang w:eastAsia="en-US"/>
        </w:rPr>
        <w:t xml:space="preserve"> e</w:t>
      </w:r>
      <w:r>
        <w:rPr>
          <w:lang w:eastAsia="en-US"/>
        </w:rPr>
        <w:t xml:space="preserve"> Quadro A2. (ver Anexo).</w:t>
      </w:r>
      <w:r w:rsidR="00E042D7">
        <w:rPr>
          <w:lang w:eastAsia="en-US"/>
        </w:rPr>
        <w:t xml:space="preserve"> A</w:t>
      </w:r>
      <w:r>
        <w:rPr>
          <w:lang w:eastAsia="en-US"/>
        </w:rPr>
        <w:t>s principais categorias de impacto associadas a cada AdP estão identificadas na Figura 4.4. Os resultados obtidos para a cadeia de valor, reportada a 2025, podem ser resumidos em 3 pontos:</w:t>
      </w:r>
    </w:p>
    <w:p w14:paraId="3A4651CC" w14:textId="2CFB9D45" w:rsidR="00ED7A0D" w:rsidRDefault="00ED7A0D" w:rsidP="00E042D7">
      <w:pPr>
        <w:pStyle w:val="ListParagraph"/>
        <w:numPr>
          <w:ilvl w:val="0"/>
          <w:numId w:val="59"/>
        </w:numPr>
        <w:rPr>
          <w:lang w:eastAsia="en-US"/>
        </w:rPr>
      </w:pPr>
      <w:r>
        <w:rPr>
          <w:lang w:eastAsia="en-US"/>
        </w:rPr>
        <w:t>o estádio da cadeia de valor que mais contribui para os danos ambientais é o da distribuição de manga fresca, envolvendo vários circuitos de transporte da manga (ex. produtor- comerciante, grossista-retalhista, bideira-</w:t>
      </w:r>
      <w:r w:rsidR="00E042D7">
        <w:rPr>
          <w:lang w:eastAsia="en-US"/>
        </w:rPr>
        <w:t xml:space="preserve"> </w:t>
      </w:r>
      <w:r>
        <w:rPr>
          <w:lang w:eastAsia="en-US"/>
        </w:rPr>
        <w:t>mercado).</w:t>
      </w:r>
    </w:p>
    <w:p w14:paraId="0637AFD1" w14:textId="40BFBCA5" w:rsidR="00ED7A0D" w:rsidRDefault="00ED7A0D" w:rsidP="00E042D7">
      <w:pPr>
        <w:pStyle w:val="ListParagraph"/>
        <w:numPr>
          <w:ilvl w:val="0"/>
          <w:numId w:val="59"/>
        </w:numPr>
        <w:rPr>
          <w:lang w:eastAsia="en-US"/>
        </w:rPr>
      </w:pPr>
      <w:r>
        <w:rPr>
          <w:lang w:eastAsia="en-US"/>
        </w:rPr>
        <w:t>o mercado da manga fresca determina mais de 95% dos impactos contabilizados em cada  AdP.</w:t>
      </w:r>
    </w:p>
    <w:p w14:paraId="0F2E56D7" w14:textId="34CE83C2" w:rsidR="00ED7A0D" w:rsidRDefault="00ED7A0D" w:rsidP="00E042D7">
      <w:pPr>
        <w:pStyle w:val="ListParagraph"/>
        <w:numPr>
          <w:ilvl w:val="0"/>
          <w:numId w:val="59"/>
        </w:numPr>
        <w:rPr>
          <w:lang w:eastAsia="en-US"/>
        </w:rPr>
      </w:pPr>
      <w:r>
        <w:rPr>
          <w:lang w:eastAsia="en-US"/>
        </w:rPr>
        <w:t>As categorias de impacto mais relevantes são aquecimento global e formação de matéria particulada fina, para as AdP Saúde humana e Qualidade de ecossistemas, sendo a Depleção de recursos totalmente definida pelo uso de recursos fósseis.</w:t>
      </w:r>
    </w:p>
    <w:p w14:paraId="6E759EF9" w14:textId="19DA5A7A" w:rsidR="00ED7A0D" w:rsidRDefault="00ED7A0D" w:rsidP="00ED7A0D">
      <w:pPr>
        <w:rPr>
          <w:lang w:eastAsia="en-US"/>
        </w:rPr>
      </w:pPr>
      <w:r>
        <w:rPr>
          <w:lang w:eastAsia="en-US"/>
        </w:rPr>
        <w:t xml:space="preserve">O volume de manga fresca transacionado no mercado nacional (mais de 8800 toneladas), aliado às reduzidas cargas movimentadas por deslocação (entre 30 </w:t>
      </w:r>
      <w:r w:rsidR="00E042D7">
        <w:rPr>
          <w:lang w:eastAsia="en-US"/>
        </w:rPr>
        <w:t>e</w:t>
      </w:r>
      <w:r>
        <w:rPr>
          <w:lang w:eastAsia="en-US"/>
        </w:rPr>
        <w:t xml:space="preserve"> 90 kg), exponenciam os efeitos ambientais negativos associados ao consumo de combustível (emissão de gases com efeito de estufa) e à abrasão de materiais (ex. emissão de matéria particulada fina). A partilha de transporte é bastante comum e tem um efeito positivo porquanto dilui o impacto do carregamento de manga no computo global da carga transportada pelo veículo. No entanto, nem o fator de alocação é suficiente para atenuar as consequências ambientais da componente distribuição. Este aspeto levanta questões interessantes quanto aos potenciais impactos de cenários de desenvolvimento da cadeia de valor que assentem em modelos logísticos de distribuição distintos.</w:t>
      </w:r>
    </w:p>
    <w:p w14:paraId="64DC53B1" w14:textId="77777777" w:rsidR="00ED7A0D" w:rsidRDefault="00ED7A0D" w:rsidP="00ED7A0D">
      <w:pPr>
        <w:rPr>
          <w:lang w:eastAsia="en-US"/>
        </w:rPr>
      </w:pPr>
      <w:r>
        <w:rPr>
          <w:lang w:eastAsia="en-US"/>
        </w:rPr>
        <w:t>De uma forma geral, pode-se concluir que os resultados agora obtidos se encontram alinhados com. os registados no estudo de 2017</w:t>
      </w:r>
    </w:p>
    <w:tbl>
      <w:tblPr>
        <w:tblStyle w:val="TableGrid"/>
        <w:tblW w:w="0" w:type="auto"/>
        <w:tblLook w:val="04A0" w:firstRow="1" w:lastRow="0" w:firstColumn="1" w:lastColumn="0" w:noHBand="0" w:noVBand="1"/>
      </w:tblPr>
      <w:tblGrid>
        <w:gridCol w:w="4746"/>
        <w:gridCol w:w="4270"/>
      </w:tblGrid>
      <w:tr w:rsidR="007258C9" w14:paraId="397078F3" w14:textId="77777777" w:rsidTr="005C4203">
        <w:tc>
          <w:tcPr>
            <w:tcW w:w="4746" w:type="dxa"/>
          </w:tcPr>
          <w:p w14:paraId="06FA454B" w14:textId="77777777" w:rsidR="007258C9" w:rsidRDefault="007258C9" w:rsidP="008B216A">
            <w:pPr>
              <w:spacing w:after="160"/>
              <w:rPr>
                <w:rFonts w:asciiTheme="minorHAnsi" w:hAnsiTheme="minorHAnsi" w:cstheme="minorHAnsi"/>
                <w:szCs w:val="20"/>
              </w:rPr>
            </w:pPr>
            <w:r>
              <w:rPr>
                <w:rFonts w:asciiTheme="minorHAnsi" w:hAnsiTheme="minorHAnsi" w:cstheme="minorHAnsi"/>
                <w:noProof/>
                <w:szCs w:val="20"/>
              </w:rPr>
              <w:drawing>
                <wp:inline distT="0" distB="0" distL="0" distR="0" wp14:anchorId="2ADCE290" wp14:editId="76EC7172">
                  <wp:extent cx="2874691" cy="1728000"/>
                  <wp:effectExtent l="0" t="0" r="190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74691" cy="1728000"/>
                          </a:xfrm>
                          <a:prstGeom prst="rect">
                            <a:avLst/>
                          </a:prstGeom>
                          <a:noFill/>
                        </pic:spPr>
                      </pic:pic>
                    </a:graphicData>
                  </a:graphic>
                </wp:inline>
              </w:drawing>
            </w:r>
          </w:p>
        </w:tc>
        <w:tc>
          <w:tcPr>
            <w:tcW w:w="4270" w:type="dxa"/>
          </w:tcPr>
          <w:p w14:paraId="4A40F7D5" w14:textId="77777777" w:rsidR="007258C9" w:rsidRDefault="007258C9" w:rsidP="008B216A">
            <w:pPr>
              <w:spacing w:after="160"/>
              <w:rPr>
                <w:rFonts w:asciiTheme="minorHAnsi" w:hAnsiTheme="minorHAnsi" w:cstheme="minorHAnsi"/>
                <w:szCs w:val="20"/>
              </w:rPr>
            </w:pPr>
            <w:r>
              <w:rPr>
                <w:rFonts w:asciiTheme="minorHAnsi" w:hAnsiTheme="minorHAnsi" w:cstheme="minorHAnsi"/>
                <w:noProof/>
                <w:szCs w:val="20"/>
              </w:rPr>
              <w:drawing>
                <wp:inline distT="0" distB="0" distL="0" distR="0" wp14:anchorId="67C91906" wp14:editId="28D1E9B3">
                  <wp:extent cx="2353992" cy="1728000"/>
                  <wp:effectExtent l="0" t="0" r="825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53992" cy="1728000"/>
                          </a:xfrm>
                          <a:prstGeom prst="rect">
                            <a:avLst/>
                          </a:prstGeom>
                          <a:noFill/>
                        </pic:spPr>
                      </pic:pic>
                    </a:graphicData>
                  </a:graphic>
                </wp:inline>
              </w:drawing>
            </w:r>
          </w:p>
        </w:tc>
      </w:tr>
    </w:tbl>
    <w:p w14:paraId="1F350FF5" w14:textId="6AC7F8D3" w:rsidR="00707F3E" w:rsidRDefault="005C4203" w:rsidP="00213219">
      <w:pPr>
        <w:rPr>
          <w:lang w:eastAsia="en-US"/>
        </w:rPr>
      </w:pPr>
      <w:r w:rsidRPr="005C4203">
        <w:rPr>
          <w:lang w:eastAsia="en-US"/>
        </w:rPr>
        <w:t>Figura 4.1 - Contribuição relativa das componentes da cadeia de valor da manga na GNB em cada uma das três áreas de proteção (A) e dos impactes associados a cada componente da cadeia de valor, expressos em termos das AdP afetadas (B): UF corresponde a 1 kg de manga fresca no mercado.</w:t>
      </w:r>
    </w:p>
    <w:p w14:paraId="51300507" w14:textId="77777777" w:rsidR="00DC79A9" w:rsidRPr="00E042D7" w:rsidRDefault="00DC79A9" w:rsidP="00DC79A9">
      <w:pPr>
        <w:rPr>
          <w:b/>
          <w:bCs/>
          <w:color w:val="336666"/>
          <w:lang w:eastAsia="en-US"/>
        </w:rPr>
      </w:pPr>
      <w:r w:rsidRPr="00E042D7">
        <w:rPr>
          <w:b/>
          <w:bCs/>
          <w:color w:val="336666"/>
          <w:lang w:eastAsia="en-US"/>
        </w:rPr>
        <w:t>PRODUÇÃO DE MANGA</w:t>
      </w:r>
    </w:p>
    <w:p w14:paraId="3A3DD115" w14:textId="77777777" w:rsidR="00DC79A9" w:rsidRDefault="00DC79A9" w:rsidP="00DC79A9">
      <w:pPr>
        <w:rPr>
          <w:lang w:eastAsia="en-US"/>
        </w:rPr>
      </w:pPr>
      <w:r>
        <w:rPr>
          <w:lang w:eastAsia="en-US"/>
        </w:rPr>
        <w:t>As consequências ambientais da produção de manga na GNB, analisadas na perspetiva das três áreas de proteção ambiental (AdP) e reportadas por quilograma de manga no produtor, estão sumarizadas na Figura 4.2 e nos Quadro A3 e Quadro A4 (ver Anexo).  As categorias de impacto, subjacentes a cada AdP, estão identificadas na Figura 4.5. No Quadro A.5 comparam-se os impactos da produção de 1 kg de manga APP na Guiné-Bissau e no Brasil, nas três áreas de proteção. Do conjunto de resultados obtidos e dados recolhidos, será importante realçar os seguintes aspetos:</w:t>
      </w:r>
    </w:p>
    <w:p w14:paraId="708AEFE9" w14:textId="52EFCF1D" w:rsidR="00DC79A9" w:rsidRDefault="00DC79A9" w:rsidP="00E042D7">
      <w:pPr>
        <w:pStyle w:val="ListParagraph"/>
        <w:numPr>
          <w:ilvl w:val="0"/>
          <w:numId w:val="60"/>
        </w:numPr>
        <w:rPr>
          <w:lang w:eastAsia="en-US"/>
        </w:rPr>
      </w:pPr>
      <w:r>
        <w:rPr>
          <w:lang w:eastAsia="en-US"/>
        </w:rPr>
        <w:t>a comparativamente reduzida carga ambiental do sistema de produção de manga na GNB</w:t>
      </w:r>
    </w:p>
    <w:p w14:paraId="1D22C352" w14:textId="232E2993" w:rsidR="00DC79A9" w:rsidRDefault="00DC79A9" w:rsidP="00E042D7">
      <w:pPr>
        <w:pStyle w:val="ListParagraph"/>
        <w:numPr>
          <w:ilvl w:val="0"/>
          <w:numId w:val="60"/>
        </w:numPr>
        <w:rPr>
          <w:lang w:eastAsia="en-US"/>
        </w:rPr>
      </w:pPr>
      <w:r>
        <w:rPr>
          <w:lang w:eastAsia="en-US"/>
        </w:rPr>
        <w:t>a magnitude dos impactos na Qualidade dos ecossistemas, e a sua direta associação com o uso do solo.</w:t>
      </w:r>
    </w:p>
    <w:p w14:paraId="30400346" w14:textId="4ACC56FA" w:rsidR="00DC79A9" w:rsidRDefault="00DC79A9" w:rsidP="00DC79A9">
      <w:pPr>
        <w:rPr>
          <w:lang w:eastAsia="en-US"/>
        </w:rPr>
      </w:pPr>
      <w:r>
        <w:rPr>
          <w:lang w:eastAsia="en-US"/>
        </w:rPr>
        <w:t xml:space="preserve">A questão do uso do solo está ligada à fraca produtividade </w:t>
      </w:r>
      <w:r w:rsidR="00E042D7">
        <w:rPr>
          <w:lang w:eastAsia="en-US"/>
        </w:rPr>
        <w:t>dos pomares</w:t>
      </w:r>
      <w:r>
        <w:rPr>
          <w:lang w:eastAsia="en-US"/>
        </w:rPr>
        <w:t xml:space="preserve"> de manga na Guiné-Bissau, pelo que um aumento de rendimento dos pomares se traduziria numa redução substancial deste impacto na qualidade dos ecossistemas.</w:t>
      </w:r>
    </w:p>
    <w:p w14:paraId="22CA57A4" w14:textId="77777777" w:rsidR="00DC79A9" w:rsidRDefault="00DC79A9" w:rsidP="00DC79A9">
      <w:pPr>
        <w:rPr>
          <w:lang w:eastAsia="en-US"/>
        </w:rPr>
      </w:pPr>
      <w:r>
        <w:rPr>
          <w:lang w:eastAsia="en-US"/>
        </w:rPr>
        <w:lastRenderedPageBreak/>
        <w:t xml:space="preserve">Embora a intensidade de mecanização do sistema de cultivo da manga na GNB seja baixa, as operações agrícolas realizadas ao longo do ciclo de vida do pomar são responsáveis pelos danos na área da Saúde humana (via duas categorias de impacte - formação de partículas e aquecimento global) e ainda a Depleção de recursos. </w:t>
      </w:r>
    </w:p>
    <w:p w14:paraId="119566BE" w14:textId="7D7321BC" w:rsidR="00DC79A9" w:rsidRDefault="00DC79A9" w:rsidP="00213219">
      <w:pPr>
        <w:rPr>
          <w:lang w:eastAsia="en-US"/>
        </w:rPr>
      </w:pPr>
    </w:p>
    <w:tbl>
      <w:tblPr>
        <w:tblStyle w:val="TableGrid"/>
        <w:tblW w:w="0" w:type="auto"/>
        <w:tblLook w:val="04A0" w:firstRow="1" w:lastRow="0" w:firstColumn="1" w:lastColumn="0" w:noHBand="0" w:noVBand="1"/>
      </w:tblPr>
      <w:tblGrid>
        <w:gridCol w:w="4508"/>
        <w:gridCol w:w="4508"/>
      </w:tblGrid>
      <w:tr w:rsidR="007C3915" w14:paraId="26C81B5F" w14:textId="77777777" w:rsidTr="008B216A">
        <w:tc>
          <w:tcPr>
            <w:tcW w:w="4508" w:type="dxa"/>
          </w:tcPr>
          <w:p w14:paraId="0FE0F9B2" w14:textId="77777777" w:rsidR="007C3915" w:rsidRDefault="007C3915" w:rsidP="008B216A">
            <w:pPr>
              <w:spacing w:after="160"/>
              <w:rPr>
                <w:rFonts w:asciiTheme="minorHAnsi" w:hAnsiTheme="minorHAnsi" w:cstheme="minorHAnsi"/>
                <w:szCs w:val="20"/>
              </w:rPr>
            </w:pPr>
            <w:r>
              <w:rPr>
                <w:rFonts w:asciiTheme="minorHAnsi" w:hAnsiTheme="minorHAnsi" w:cstheme="minorHAnsi"/>
                <w:noProof/>
                <w:szCs w:val="20"/>
              </w:rPr>
              <w:drawing>
                <wp:inline distT="0" distB="0" distL="0" distR="0" wp14:anchorId="65CEE533" wp14:editId="4D3BBFA0">
                  <wp:extent cx="2874691" cy="1728000"/>
                  <wp:effectExtent l="0" t="0" r="190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74691" cy="1728000"/>
                          </a:xfrm>
                          <a:prstGeom prst="rect">
                            <a:avLst/>
                          </a:prstGeom>
                          <a:noFill/>
                        </pic:spPr>
                      </pic:pic>
                    </a:graphicData>
                  </a:graphic>
                </wp:inline>
              </w:drawing>
            </w:r>
          </w:p>
        </w:tc>
        <w:tc>
          <w:tcPr>
            <w:tcW w:w="4508" w:type="dxa"/>
          </w:tcPr>
          <w:p w14:paraId="44D7D30B" w14:textId="77777777" w:rsidR="007C3915" w:rsidRDefault="007C3915" w:rsidP="008B216A">
            <w:pPr>
              <w:spacing w:after="160"/>
              <w:rPr>
                <w:rFonts w:asciiTheme="minorHAnsi" w:hAnsiTheme="minorHAnsi" w:cstheme="minorHAnsi"/>
                <w:szCs w:val="20"/>
              </w:rPr>
            </w:pPr>
            <w:r>
              <w:rPr>
                <w:rFonts w:asciiTheme="minorHAnsi" w:hAnsiTheme="minorHAnsi" w:cstheme="minorHAnsi"/>
                <w:noProof/>
                <w:szCs w:val="20"/>
              </w:rPr>
              <w:drawing>
                <wp:inline distT="0" distB="0" distL="0" distR="0" wp14:anchorId="08333EC3" wp14:editId="30FB65F4">
                  <wp:extent cx="2874691" cy="1728000"/>
                  <wp:effectExtent l="0" t="0" r="190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4691" cy="1728000"/>
                          </a:xfrm>
                          <a:prstGeom prst="rect">
                            <a:avLst/>
                          </a:prstGeom>
                          <a:noFill/>
                        </pic:spPr>
                      </pic:pic>
                    </a:graphicData>
                  </a:graphic>
                </wp:inline>
              </w:drawing>
            </w:r>
          </w:p>
        </w:tc>
      </w:tr>
    </w:tbl>
    <w:p w14:paraId="6778904C" w14:textId="77777777" w:rsidR="007C3915" w:rsidRDefault="007C3915" w:rsidP="007C3915">
      <w:pPr>
        <w:rPr>
          <w:rFonts w:asciiTheme="minorHAnsi" w:hAnsiTheme="minorHAnsi" w:cstheme="minorHAnsi"/>
          <w:szCs w:val="20"/>
        </w:rPr>
      </w:pPr>
      <w:r>
        <w:rPr>
          <w:rFonts w:asciiTheme="minorHAnsi" w:hAnsiTheme="minorHAnsi" w:cstheme="minorHAnsi"/>
          <w:szCs w:val="20"/>
        </w:rPr>
        <w:t>Figura 4.2 - Contribuição relativa das componentes da produção de manga na GNB em cada uma das três áreas de proteção (A) e dos impactes associados a cada componente do cultivo da manga, expressos em termos das AdP afetadas (B) : UF corresponde a 1 kg de manga no produtor.</w:t>
      </w:r>
    </w:p>
    <w:p w14:paraId="59879388" w14:textId="77777777" w:rsidR="007C3915" w:rsidRPr="00E042D7" w:rsidRDefault="007C3915" w:rsidP="007C3915">
      <w:pPr>
        <w:rPr>
          <w:b/>
          <w:bCs/>
          <w:color w:val="336666"/>
          <w:lang w:eastAsia="en-US"/>
        </w:rPr>
      </w:pPr>
      <w:r w:rsidRPr="00E042D7">
        <w:rPr>
          <w:b/>
          <w:bCs/>
          <w:color w:val="336666"/>
          <w:lang w:eastAsia="en-US"/>
        </w:rPr>
        <w:t xml:space="preserve">PROCESSAMENTO DE MANGA – PRODUÇÃO DE SUMO </w:t>
      </w:r>
    </w:p>
    <w:p w14:paraId="4133B4AE" w14:textId="77777777" w:rsidR="007C3915" w:rsidRDefault="007C3915" w:rsidP="007C3915">
      <w:pPr>
        <w:rPr>
          <w:lang w:eastAsia="en-US"/>
        </w:rPr>
      </w:pPr>
      <w:r>
        <w:rPr>
          <w:lang w:eastAsia="en-US"/>
        </w:rPr>
        <w:t>Os impactos da produção de sumo de na GNB, para as três áreas de proteção ambiental (AdP), são apresentados por litro de sumo colocado no mercado de Bissau e encontram-se representados na Figura 4.3 e nos Quadro A6 e Quadro A7, no Anexo. As principais categorias de impacto associadas a cada AdP estão identificadas na Figura 4.4.</w:t>
      </w:r>
    </w:p>
    <w:p w14:paraId="65D23471" w14:textId="6BAC2234" w:rsidR="007C3915" w:rsidRDefault="007C3915" w:rsidP="007C3915">
      <w:pPr>
        <w:rPr>
          <w:lang w:eastAsia="en-US"/>
        </w:rPr>
      </w:pPr>
      <w:r>
        <w:rPr>
          <w:lang w:eastAsia="en-US"/>
        </w:rPr>
        <w:t>Os danos ambientais associados a esta componente da cadeia de valor, são determinados por duas atividades, a saber: transporte (quer ligado à compra de matéria-prima, quer à colocação do produto no mercado em Bissau); esterilização do vasilhame de vidro com recurso a lenha como fonte de energia.</w:t>
      </w:r>
    </w:p>
    <w:p w14:paraId="4C32B0C9" w14:textId="77777777" w:rsidR="007C3915" w:rsidRDefault="007C3915" w:rsidP="007C3915">
      <w:pPr>
        <w:rPr>
          <w:lang w:eastAsia="en-US"/>
        </w:rPr>
      </w:pPr>
      <w:r>
        <w:rPr>
          <w:lang w:eastAsia="en-US"/>
        </w:rPr>
        <w:t xml:space="preserve">O transporte é a principal causa de danos ambientais nas áreas da Saúde humana, através da formação de partículas finas e do Aquecimento global (emissão de gases com efeito de estufa). Tal como referido anteriormente. Os aspetos referidos anteriormente, são também válidos aqui, com a partilha de veículos funcionando como um fator de redução dos impactes ambientais. </w:t>
      </w:r>
    </w:p>
    <w:p w14:paraId="62F5F688" w14:textId="4FB4F1C6" w:rsidR="007C3915" w:rsidRDefault="007C3915" w:rsidP="007C3915">
      <w:pPr>
        <w:rPr>
          <w:lang w:eastAsia="en-US"/>
        </w:rPr>
      </w:pPr>
      <w:r>
        <w:rPr>
          <w:lang w:eastAsia="en-US"/>
        </w:rPr>
        <w:t>Já o uso de lenha para a ebulição de água, é potencial gerador de impactos importantes ao nível da Qualidade dos ecossistemas (ex. Uso do solo), Aquecimento global) mas também na Saúde humana. A emissão de GEE e de PAHs, resultantes de um processo de queima não controlada contribuem, respetivamente, para o Aquecimento global e para a Toxicidade humana cancerígena.</w:t>
      </w:r>
    </w:p>
    <w:p w14:paraId="3BDA12B4" w14:textId="77777777" w:rsidR="007C3915" w:rsidRDefault="007C3915" w:rsidP="00213219">
      <w:pPr>
        <w:rPr>
          <w:lang w:eastAsia="en-US"/>
        </w:rPr>
      </w:pPr>
    </w:p>
    <w:tbl>
      <w:tblPr>
        <w:tblStyle w:val="TableGrid"/>
        <w:tblW w:w="0" w:type="auto"/>
        <w:tblLook w:val="04A0" w:firstRow="1" w:lastRow="0" w:firstColumn="1" w:lastColumn="0" w:noHBand="0" w:noVBand="1"/>
      </w:tblPr>
      <w:tblGrid>
        <w:gridCol w:w="4732"/>
        <w:gridCol w:w="4284"/>
      </w:tblGrid>
      <w:tr w:rsidR="007C3915" w14:paraId="246F9897" w14:textId="77777777" w:rsidTr="008B216A">
        <w:tc>
          <w:tcPr>
            <w:tcW w:w="4732" w:type="dxa"/>
          </w:tcPr>
          <w:p w14:paraId="49F2A3B2" w14:textId="77777777" w:rsidR="007C3915" w:rsidRDefault="007C3915" w:rsidP="008B216A">
            <w:pPr>
              <w:spacing w:after="160"/>
              <w:rPr>
                <w:rFonts w:asciiTheme="minorHAnsi" w:hAnsiTheme="minorHAnsi" w:cstheme="minorHAnsi"/>
                <w:szCs w:val="20"/>
              </w:rPr>
            </w:pPr>
            <w:r>
              <w:rPr>
                <w:rFonts w:asciiTheme="minorHAnsi" w:hAnsiTheme="minorHAnsi" w:cstheme="minorHAnsi"/>
                <w:noProof/>
                <w:szCs w:val="20"/>
              </w:rPr>
              <w:drawing>
                <wp:inline distT="0" distB="0" distL="0" distR="0" wp14:anchorId="683D9FCF" wp14:editId="1F28C8EE">
                  <wp:extent cx="2874691" cy="1728000"/>
                  <wp:effectExtent l="0" t="0" r="190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74691" cy="1728000"/>
                          </a:xfrm>
                          <a:prstGeom prst="rect">
                            <a:avLst/>
                          </a:prstGeom>
                          <a:noFill/>
                        </pic:spPr>
                      </pic:pic>
                    </a:graphicData>
                  </a:graphic>
                </wp:inline>
              </w:drawing>
            </w:r>
          </w:p>
        </w:tc>
        <w:tc>
          <w:tcPr>
            <w:tcW w:w="4284" w:type="dxa"/>
          </w:tcPr>
          <w:p w14:paraId="7C7EB841" w14:textId="77777777" w:rsidR="007C3915" w:rsidRDefault="007C3915" w:rsidP="008B216A">
            <w:pPr>
              <w:spacing w:after="160"/>
              <w:rPr>
                <w:rFonts w:asciiTheme="minorHAnsi" w:hAnsiTheme="minorHAnsi" w:cstheme="minorHAnsi"/>
                <w:szCs w:val="20"/>
              </w:rPr>
            </w:pPr>
            <w:r>
              <w:rPr>
                <w:rFonts w:asciiTheme="minorHAnsi" w:hAnsiTheme="minorHAnsi" w:cstheme="minorHAnsi"/>
                <w:noProof/>
                <w:szCs w:val="20"/>
              </w:rPr>
              <w:drawing>
                <wp:inline distT="0" distB="0" distL="0" distR="0" wp14:anchorId="7AB1082E" wp14:editId="7493D5FA">
                  <wp:extent cx="2588415" cy="1728000"/>
                  <wp:effectExtent l="0" t="0" r="254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88415" cy="1728000"/>
                          </a:xfrm>
                          <a:prstGeom prst="rect">
                            <a:avLst/>
                          </a:prstGeom>
                          <a:noFill/>
                        </pic:spPr>
                      </pic:pic>
                    </a:graphicData>
                  </a:graphic>
                </wp:inline>
              </w:drawing>
            </w:r>
          </w:p>
        </w:tc>
      </w:tr>
    </w:tbl>
    <w:p w14:paraId="0D1F621E" w14:textId="67491E52" w:rsidR="00DC79A9" w:rsidRDefault="007C3915" w:rsidP="00213219">
      <w:pPr>
        <w:rPr>
          <w:lang w:eastAsia="en-US"/>
        </w:rPr>
      </w:pPr>
      <w:r w:rsidRPr="007C3915">
        <w:rPr>
          <w:lang w:eastAsia="en-US"/>
        </w:rPr>
        <w:lastRenderedPageBreak/>
        <w:t>Figura 4.3 - Contribuição relativa das componentes da produção de sumo de manga por micro-produtores na GNB em cada uma das três áreas de proteção  (A) e dos impactes associados a cada componente da produção de sumo de manga, expressos em termos das AdP afetadas (B) : UF corresponde a 1 litro de sumo APMB.</w:t>
      </w:r>
    </w:p>
    <w:p w14:paraId="1226FB38" w14:textId="77777777" w:rsidR="002A451A" w:rsidRDefault="002A451A" w:rsidP="002A451A">
      <w:pPr>
        <w:rPr>
          <w:rFonts w:asciiTheme="minorHAnsi" w:hAnsiTheme="minorHAnsi" w:cstheme="minorHAnsi"/>
          <w:szCs w:val="20"/>
        </w:rPr>
      </w:pPr>
    </w:p>
    <w:p w14:paraId="7C805820" w14:textId="77777777" w:rsidR="002A451A" w:rsidRDefault="002A451A" w:rsidP="002A451A">
      <w:pPr>
        <w:rPr>
          <w:rFonts w:asciiTheme="minorHAnsi" w:hAnsiTheme="minorHAnsi" w:cstheme="minorHAnsi"/>
          <w:szCs w:val="20"/>
        </w:rPr>
      </w:pPr>
    </w:p>
    <w:p w14:paraId="62C1BA16" w14:textId="77777777" w:rsidR="002A451A" w:rsidRDefault="002A451A" w:rsidP="002A451A">
      <w:pPr>
        <w:rPr>
          <w:rFonts w:asciiTheme="minorHAnsi" w:hAnsiTheme="minorHAnsi" w:cstheme="minorHAnsi"/>
          <w:szCs w:val="20"/>
        </w:rPr>
        <w:sectPr w:rsidR="002A451A" w:rsidSect="00DE1950">
          <w:type w:val="continuous"/>
          <w:pgSz w:w="11906" w:h="16838"/>
          <w:pgMar w:top="1440" w:right="1440" w:bottom="1440" w:left="1440" w:header="708" w:footer="708" w:gutter="0"/>
          <w:cols w:space="708"/>
          <w:docGrid w:linePitch="360"/>
        </w:sectPr>
      </w:pPr>
    </w:p>
    <w:p w14:paraId="3D0CBE93" w14:textId="77777777" w:rsidR="002A451A" w:rsidRDefault="002A451A" w:rsidP="002A451A">
      <w:pPr>
        <w:rPr>
          <w:rFonts w:asciiTheme="minorHAnsi" w:hAnsiTheme="minorHAnsi" w:cstheme="minorHAnsi"/>
          <w:szCs w:val="20"/>
        </w:rPr>
      </w:pPr>
      <w:r>
        <w:rPr>
          <w:rFonts w:asciiTheme="minorHAnsi" w:hAnsiTheme="minorHAnsi" w:cstheme="minorHAnsi"/>
          <w:noProof/>
          <w:szCs w:val="20"/>
        </w:rPr>
        <w:lastRenderedPageBreak/>
        <w:drawing>
          <wp:inline distT="0" distB="0" distL="0" distR="0" wp14:anchorId="791AD2F0" wp14:editId="64DC4FA4">
            <wp:extent cx="6793200" cy="1381894"/>
            <wp:effectExtent l="0" t="0" r="825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793200" cy="1381894"/>
                    </a:xfrm>
                    <a:prstGeom prst="rect">
                      <a:avLst/>
                    </a:prstGeom>
                    <a:noFill/>
                  </pic:spPr>
                </pic:pic>
              </a:graphicData>
            </a:graphic>
          </wp:inline>
        </w:drawing>
      </w:r>
    </w:p>
    <w:p w14:paraId="2CF7EC6A" w14:textId="77777777" w:rsidR="002A451A" w:rsidRPr="003E6128" w:rsidRDefault="002A451A" w:rsidP="002A451A">
      <w:pPr>
        <w:pStyle w:val="Caption"/>
        <w:rPr>
          <w:bCs/>
        </w:rPr>
      </w:pPr>
      <w:r>
        <w:t xml:space="preserve">Firura 4.4- </w:t>
      </w:r>
      <w:r w:rsidRPr="003E6128">
        <w:rPr>
          <w:bCs/>
        </w:rPr>
        <w:t>Contribuição relativa de indicadores ambientais intermédios para os impactes</w:t>
      </w:r>
      <w:r w:rsidRPr="003E6128">
        <w:rPr>
          <w:rFonts w:cs="Times New Roman"/>
          <w:bCs/>
          <w:color w:val="000000"/>
        </w:rPr>
        <w:t xml:space="preserve"> em cada uma das três AdPs , d</w:t>
      </w:r>
      <w:r>
        <w:rPr>
          <w:rFonts w:cs="Times New Roman"/>
          <w:color w:val="000000"/>
        </w:rPr>
        <w:t>a produção d</w:t>
      </w:r>
      <w:r w:rsidRPr="003E6128">
        <w:rPr>
          <w:rFonts w:cs="Times New Roman"/>
          <w:bCs/>
          <w:color w:val="000000"/>
        </w:rPr>
        <w:t>e 1 kg de manga</w:t>
      </w:r>
      <w:r>
        <w:rPr>
          <w:rFonts w:cs="Times New Roman"/>
          <w:color w:val="000000"/>
        </w:rPr>
        <w:t xml:space="preserve"> no produtor</w:t>
      </w:r>
      <w:r w:rsidRPr="003E6128">
        <w:rPr>
          <w:rFonts w:cs="Times New Roman"/>
          <w:bCs/>
          <w:color w:val="000000"/>
        </w:rPr>
        <w:t xml:space="preserve">. </w:t>
      </w:r>
    </w:p>
    <w:p w14:paraId="3E355E46" w14:textId="77777777" w:rsidR="002A451A" w:rsidRDefault="002A451A" w:rsidP="002A451A">
      <w:pPr>
        <w:rPr>
          <w:rFonts w:asciiTheme="minorHAnsi" w:hAnsiTheme="minorHAnsi" w:cstheme="minorHAnsi"/>
          <w:szCs w:val="20"/>
        </w:rPr>
      </w:pPr>
      <w:r>
        <w:rPr>
          <w:rFonts w:asciiTheme="minorHAnsi" w:hAnsiTheme="minorHAnsi" w:cstheme="minorHAnsi"/>
          <w:noProof/>
          <w:szCs w:val="20"/>
        </w:rPr>
        <w:drawing>
          <wp:inline distT="0" distB="0" distL="0" distR="0" wp14:anchorId="513E0FEF" wp14:editId="54F62A2D">
            <wp:extent cx="6791882" cy="1365692"/>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6791882" cy="1365692"/>
                    </a:xfrm>
                    <a:prstGeom prst="rect">
                      <a:avLst/>
                    </a:prstGeom>
                    <a:noFill/>
                  </pic:spPr>
                </pic:pic>
              </a:graphicData>
            </a:graphic>
          </wp:inline>
        </w:drawing>
      </w:r>
    </w:p>
    <w:p w14:paraId="206E6D03" w14:textId="77777777" w:rsidR="002A451A" w:rsidRPr="003E6128" w:rsidRDefault="002A451A" w:rsidP="002A451A">
      <w:pPr>
        <w:pStyle w:val="Caption"/>
        <w:rPr>
          <w:bCs/>
        </w:rPr>
      </w:pPr>
      <w:r>
        <w:t>Figura 4.5 -</w:t>
      </w:r>
      <w:r w:rsidRPr="004C4CC2">
        <w:t xml:space="preserve"> </w:t>
      </w:r>
      <w:r w:rsidRPr="003E6128">
        <w:rPr>
          <w:bCs/>
        </w:rPr>
        <w:t>Contribuição relativa de indicadores ambientais intermédios para os impactes</w:t>
      </w:r>
      <w:r w:rsidRPr="003E6128">
        <w:rPr>
          <w:rFonts w:cs="Times New Roman"/>
          <w:bCs/>
          <w:color w:val="000000"/>
        </w:rPr>
        <w:t xml:space="preserve"> em cada uma das três AdPs , d</w:t>
      </w:r>
      <w:r>
        <w:rPr>
          <w:rFonts w:cs="Times New Roman"/>
          <w:color w:val="000000"/>
        </w:rPr>
        <w:t>a produção d</w:t>
      </w:r>
      <w:r w:rsidRPr="003E6128">
        <w:rPr>
          <w:rFonts w:cs="Times New Roman"/>
          <w:bCs/>
          <w:color w:val="000000"/>
        </w:rPr>
        <w:t>e 1 kg de manga</w:t>
      </w:r>
      <w:r>
        <w:rPr>
          <w:rFonts w:cs="Times New Roman"/>
          <w:color w:val="000000"/>
        </w:rPr>
        <w:t xml:space="preserve"> no produtor</w:t>
      </w:r>
      <w:r w:rsidRPr="003E6128">
        <w:rPr>
          <w:rFonts w:cs="Times New Roman"/>
          <w:bCs/>
          <w:color w:val="000000"/>
        </w:rPr>
        <w:t xml:space="preserve">. </w:t>
      </w:r>
    </w:p>
    <w:p w14:paraId="4758CDCD" w14:textId="77777777" w:rsidR="002A451A" w:rsidRDefault="002A451A" w:rsidP="002A451A">
      <w:pPr>
        <w:rPr>
          <w:rFonts w:asciiTheme="minorHAnsi" w:hAnsiTheme="minorHAnsi" w:cstheme="minorHAnsi"/>
          <w:szCs w:val="20"/>
        </w:rPr>
      </w:pPr>
      <w:r>
        <w:rPr>
          <w:rFonts w:asciiTheme="minorHAnsi" w:hAnsiTheme="minorHAnsi" w:cstheme="minorHAnsi"/>
          <w:noProof/>
          <w:szCs w:val="20"/>
        </w:rPr>
        <w:drawing>
          <wp:inline distT="0" distB="0" distL="0" distR="0" wp14:anchorId="02BCDED6" wp14:editId="4B99C30B">
            <wp:extent cx="6715946" cy="136800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15946" cy="1368000"/>
                    </a:xfrm>
                    <a:prstGeom prst="rect">
                      <a:avLst/>
                    </a:prstGeom>
                    <a:noFill/>
                  </pic:spPr>
                </pic:pic>
              </a:graphicData>
            </a:graphic>
          </wp:inline>
        </w:drawing>
      </w:r>
    </w:p>
    <w:p w14:paraId="34DC16C7" w14:textId="77777777" w:rsidR="002A451A" w:rsidRDefault="002A451A" w:rsidP="002A451A">
      <w:pPr>
        <w:pStyle w:val="Caption"/>
        <w:rPr>
          <w:rFonts w:asciiTheme="minorHAnsi" w:hAnsiTheme="minorHAnsi" w:cstheme="minorHAnsi"/>
        </w:rPr>
      </w:pPr>
      <w:r w:rsidRPr="00835F04">
        <w:t xml:space="preserve">Figura </w:t>
      </w:r>
      <w:r>
        <w:rPr>
          <w:noProof/>
        </w:rPr>
        <w:t xml:space="preserve">4.6 </w:t>
      </w:r>
      <w:r w:rsidRPr="00835F04">
        <w:rPr>
          <w:rFonts w:eastAsia="Times New Roman"/>
          <w:bCs/>
        </w:rPr>
        <w:t>–</w:t>
      </w:r>
      <w:r w:rsidRPr="00835F04">
        <w:t>Contribuição relativa de indicadores ambientais intermédios para os impactes</w:t>
      </w:r>
      <w:r>
        <w:t>, em cada uma das três AdPs</w:t>
      </w:r>
      <w:r w:rsidRPr="00835F04">
        <w:t xml:space="preserve"> </w:t>
      </w:r>
      <w:r>
        <w:t>,</w:t>
      </w:r>
      <w:r w:rsidRPr="00D4785D">
        <w:t xml:space="preserve"> </w:t>
      </w:r>
      <w:r>
        <w:t>de 1 litro de sumo de manga, no mercado nacional.</w:t>
      </w:r>
    </w:p>
    <w:p w14:paraId="7A6299F2" w14:textId="77777777" w:rsidR="002A451A" w:rsidRDefault="002A451A" w:rsidP="002A451A">
      <w:pPr>
        <w:rPr>
          <w:rFonts w:asciiTheme="minorHAnsi" w:hAnsiTheme="minorHAnsi" w:cstheme="minorHAnsi"/>
          <w:szCs w:val="20"/>
        </w:rPr>
        <w:sectPr w:rsidR="002A451A" w:rsidSect="00DE1950">
          <w:type w:val="continuous"/>
          <w:pgSz w:w="16838" w:h="11906" w:orient="landscape"/>
          <w:pgMar w:top="1440" w:right="1440" w:bottom="1440" w:left="1440" w:header="708" w:footer="708" w:gutter="0"/>
          <w:cols w:space="708"/>
          <w:docGrid w:linePitch="360"/>
        </w:sectPr>
      </w:pPr>
    </w:p>
    <w:p w14:paraId="6F36396F" w14:textId="7A5FFE86" w:rsidR="002A451A" w:rsidRPr="002A451A" w:rsidRDefault="00E042D7" w:rsidP="00E042D7">
      <w:pPr>
        <w:pStyle w:val="Heading3"/>
        <w:numPr>
          <w:ilvl w:val="0"/>
          <w:numId w:val="0"/>
        </w:numPr>
        <w:ind w:left="720" w:hanging="720"/>
      </w:pPr>
      <w:bookmarkStart w:id="223" w:name="_Toc220507530"/>
      <w:r w:rsidRPr="002A451A">
        <w:lastRenderedPageBreak/>
        <w:t>ALTERAÇÕES CLIMÁTICAS: POTENCIAL DE AQUECIMENTO GLOBAL</w:t>
      </w:r>
      <w:bookmarkEnd w:id="223"/>
    </w:p>
    <w:p w14:paraId="0E463BA8" w14:textId="77777777" w:rsidR="002A451A" w:rsidRPr="002A451A" w:rsidRDefault="002A451A" w:rsidP="002A451A">
      <w:pPr>
        <w:rPr>
          <w:rFonts w:asciiTheme="minorHAnsi" w:hAnsiTheme="minorHAnsi" w:cstheme="minorHAnsi"/>
          <w:szCs w:val="20"/>
        </w:rPr>
      </w:pPr>
      <w:r w:rsidRPr="002A451A">
        <w:rPr>
          <w:rFonts w:asciiTheme="minorHAnsi" w:hAnsiTheme="minorHAnsi" w:cstheme="minorHAnsi"/>
          <w:szCs w:val="20"/>
        </w:rPr>
        <w:t>As emissões de gases com efeito de estufa (GEE) que ocorrem em diferentes fases da cadeia de valor das pescas na GNB foram convertidas em unidades equivalentes de CO2, utilizando o método IPCC 2021 com um horizonte temporal de 100 anos. O Quadro 6-4 resume os resultados obtidos, por unidade funcional (UF), para a componente da produção agrícola de manga, enquanto o Quadro 6-5 traduz os resultados para a componente manga fresca da cadeia de valor, com a colocação do produto no mercado doméstico, expressa por UF. O Quadro 6-6 resume os valores obtidos referentes à componente manga transformada da cadeia de valor, por UF.</w:t>
      </w:r>
    </w:p>
    <w:p w14:paraId="376B57E6" w14:textId="2B893C4E" w:rsidR="002A451A" w:rsidRPr="002A451A" w:rsidRDefault="002A451A" w:rsidP="002A451A">
      <w:pPr>
        <w:rPr>
          <w:rFonts w:asciiTheme="minorHAnsi" w:hAnsiTheme="minorHAnsi" w:cstheme="minorHAnsi"/>
          <w:szCs w:val="20"/>
        </w:rPr>
      </w:pPr>
      <w:r w:rsidRPr="002A451A">
        <w:rPr>
          <w:rFonts w:asciiTheme="minorHAnsi" w:hAnsiTheme="minorHAnsi" w:cstheme="minorHAnsi"/>
          <w:szCs w:val="20"/>
        </w:rPr>
        <w:t xml:space="preserve">Por sue lado, o Quadro 6-7 apresenta uma estimativa dos valores absolutos das emissões de CO2, baseados no total de manga fresca e produtos de transformados, comercializados no mercado </w:t>
      </w:r>
      <w:r w:rsidR="00E042D7" w:rsidRPr="002A451A">
        <w:rPr>
          <w:rFonts w:asciiTheme="minorHAnsi" w:hAnsiTheme="minorHAnsi" w:cstheme="minorHAnsi"/>
          <w:szCs w:val="20"/>
        </w:rPr>
        <w:t>doméstico,</w:t>
      </w:r>
      <w:r w:rsidRPr="002A451A">
        <w:rPr>
          <w:rFonts w:asciiTheme="minorHAnsi" w:hAnsiTheme="minorHAnsi" w:cstheme="minorHAnsi"/>
          <w:szCs w:val="20"/>
        </w:rPr>
        <w:t xml:space="preserve"> incorporando ainda a produção para autoconsumo e a  exportação marginal</w:t>
      </w:r>
      <w:r w:rsidR="00E042D7">
        <w:rPr>
          <w:rFonts w:asciiTheme="minorHAnsi" w:hAnsiTheme="minorHAnsi" w:cstheme="minorHAnsi"/>
          <w:szCs w:val="20"/>
        </w:rPr>
        <w:t>.</w:t>
      </w:r>
    </w:p>
    <w:p w14:paraId="52DBE356" w14:textId="1AD99213" w:rsidR="002A451A" w:rsidRDefault="00BB5CB1" w:rsidP="002A451A">
      <w:pPr>
        <w:rPr>
          <w:rFonts w:asciiTheme="minorHAnsi" w:hAnsiTheme="minorHAnsi" w:cstheme="minorHAnsi"/>
          <w:szCs w:val="20"/>
        </w:rPr>
      </w:pPr>
      <w:r>
        <w:rPr>
          <w:rFonts w:asciiTheme="minorHAnsi" w:hAnsiTheme="minorHAnsi" w:cstheme="minorHAnsi"/>
          <w:noProof/>
          <w:szCs w:val="20"/>
        </w:rPr>
        <w:drawing>
          <wp:inline distT="0" distB="0" distL="0" distR="0" wp14:anchorId="33EAF3ED" wp14:editId="1815E407">
            <wp:extent cx="4773295" cy="59118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73295" cy="591185"/>
                    </a:xfrm>
                    <a:prstGeom prst="rect">
                      <a:avLst/>
                    </a:prstGeom>
                    <a:noFill/>
                  </pic:spPr>
                </pic:pic>
              </a:graphicData>
            </a:graphic>
          </wp:inline>
        </w:drawing>
      </w:r>
    </w:p>
    <w:p w14:paraId="58AD3235" w14:textId="099B9517" w:rsidR="002A451A" w:rsidRDefault="00BB5CB1" w:rsidP="002A451A">
      <w:pPr>
        <w:rPr>
          <w:rFonts w:asciiTheme="minorHAnsi" w:hAnsiTheme="minorHAnsi" w:cstheme="minorHAnsi"/>
          <w:szCs w:val="20"/>
        </w:rPr>
      </w:pPr>
      <w:r w:rsidRPr="00BB5CB1">
        <w:rPr>
          <w:rFonts w:asciiTheme="minorHAnsi" w:hAnsiTheme="minorHAnsi" w:cstheme="minorHAnsi"/>
          <w:szCs w:val="20"/>
        </w:rPr>
        <w:t xml:space="preserve">QUADRO </w:t>
      </w:r>
      <w:r>
        <w:rPr>
          <w:rFonts w:asciiTheme="minorHAnsi" w:hAnsiTheme="minorHAnsi" w:cstheme="minorHAnsi"/>
          <w:szCs w:val="20"/>
        </w:rPr>
        <w:t>4.2</w:t>
      </w:r>
      <w:r w:rsidRPr="00BB5CB1">
        <w:rPr>
          <w:rFonts w:asciiTheme="minorHAnsi" w:hAnsiTheme="minorHAnsi" w:cstheme="minorHAnsi"/>
          <w:szCs w:val="20"/>
        </w:rPr>
        <w:t>: EMISSÕES DE CO2 EQUIVALENTE RELATIVAS À COMPONENTE DA PRODUÇÃO AGRÍCOLA DE MANGA DA CADEIA DE VALOR DA MANGA NA GNB (FU = 1 KG MANGA NO PRODUTOR)</w:t>
      </w:r>
    </w:p>
    <w:p w14:paraId="076BFE8A" w14:textId="77777777" w:rsidR="002A451A" w:rsidRDefault="002A451A" w:rsidP="002A451A">
      <w:pPr>
        <w:rPr>
          <w:rFonts w:asciiTheme="minorHAnsi" w:hAnsiTheme="minorHAnsi" w:cstheme="minorHAnsi"/>
          <w:szCs w:val="20"/>
        </w:rPr>
      </w:pPr>
    </w:p>
    <w:p w14:paraId="55109B18" w14:textId="5EC66462" w:rsidR="002A451A" w:rsidRDefault="00F37C08" w:rsidP="002A451A">
      <w:pPr>
        <w:rPr>
          <w:rFonts w:asciiTheme="minorHAnsi" w:hAnsiTheme="minorHAnsi" w:cstheme="minorHAnsi"/>
          <w:szCs w:val="20"/>
        </w:rPr>
      </w:pPr>
      <w:r>
        <w:rPr>
          <w:rFonts w:asciiTheme="minorHAnsi" w:hAnsiTheme="minorHAnsi" w:cstheme="minorHAnsi"/>
          <w:noProof/>
          <w:szCs w:val="20"/>
        </w:rPr>
        <w:drawing>
          <wp:inline distT="0" distB="0" distL="0" distR="0" wp14:anchorId="3B518AE8" wp14:editId="3A1BFD04">
            <wp:extent cx="5151755" cy="743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51755" cy="743585"/>
                    </a:xfrm>
                    <a:prstGeom prst="rect">
                      <a:avLst/>
                    </a:prstGeom>
                    <a:noFill/>
                  </pic:spPr>
                </pic:pic>
              </a:graphicData>
            </a:graphic>
          </wp:inline>
        </w:drawing>
      </w:r>
    </w:p>
    <w:p w14:paraId="5D45A124" w14:textId="7974D801" w:rsidR="00DC79A9" w:rsidRDefault="00F37C08" w:rsidP="00213219">
      <w:pPr>
        <w:rPr>
          <w:lang w:eastAsia="en-US"/>
        </w:rPr>
      </w:pPr>
      <w:r w:rsidRPr="00F37C08">
        <w:rPr>
          <w:lang w:eastAsia="en-US"/>
        </w:rPr>
        <w:t xml:space="preserve">QUADRO </w:t>
      </w:r>
      <w:r>
        <w:rPr>
          <w:lang w:eastAsia="en-US"/>
        </w:rPr>
        <w:t>4.3</w:t>
      </w:r>
      <w:r w:rsidRPr="00F37C08">
        <w:rPr>
          <w:lang w:eastAsia="en-US"/>
        </w:rPr>
        <w:t>: EMISSÕES DE CO2 EQUIVALENTE RELATIVAS À COMPONENTE MANGA FRESCA DA CADEIA DE VALOR DA MANGA NA GNB (FU = 1 KG DE MANGA NO MERCADO DOMÉSTICO)</w:t>
      </w:r>
    </w:p>
    <w:p w14:paraId="6A9907CA" w14:textId="0BCCBF35" w:rsidR="002A451A" w:rsidRDefault="002A451A" w:rsidP="00213219">
      <w:pPr>
        <w:rPr>
          <w:lang w:eastAsia="en-US"/>
        </w:rPr>
      </w:pPr>
    </w:p>
    <w:p w14:paraId="48CFFA2B" w14:textId="2194A041" w:rsidR="002A451A" w:rsidRDefault="006D0828" w:rsidP="00213219">
      <w:pPr>
        <w:rPr>
          <w:lang w:eastAsia="en-US"/>
        </w:rPr>
      </w:pPr>
      <w:r>
        <w:rPr>
          <w:noProof/>
          <w:lang w:eastAsia="en-US"/>
        </w:rPr>
        <w:drawing>
          <wp:inline distT="0" distB="0" distL="0" distR="0" wp14:anchorId="3BE1E1D3" wp14:editId="1BA4EFEA">
            <wp:extent cx="5535930" cy="646430"/>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35930" cy="646430"/>
                    </a:xfrm>
                    <a:prstGeom prst="rect">
                      <a:avLst/>
                    </a:prstGeom>
                    <a:noFill/>
                  </pic:spPr>
                </pic:pic>
              </a:graphicData>
            </a:graphic>
          </wp:inline>
        </w:drawing>
      </w:r>
    </w:p>
    <w:p w14:paraId="5232A424" w14:textId="4AC50727" w:rsidR="006D0828" w:rsidRDefault="00A4419B" w:rsidP="00213219">
      <w:pPr>
        <w:rPr>
          <w:lang w:eastAsia="en-US"/>
        </w:rPr>
      </w:pPr>
      <w:r w:rsidRPr="00A4419B">
        <w:rPr>
          <w:lang w:eastAsia="en-US"/>
        </w:rPr>
        <w:t xml:space="preserve">QUADRO </w:t>
      </w:r>
      <w:r>
        <w:rPr>
          <w:lang w:eastAsia="en-US"/>
        </w:rPr>
        <w:t>4.4</w:t>
      </w:r>
      <w:r w:rsidRPr="00A4419B">
        <w:rPr>
          <w:lang w:eastAsia="en-US"/>
        </w:rPr>
        <w:t>: EMISSÕES DE CO2 EQUIVALENTE RELATIVAS À COMPONENTE MANGA TRANSFORMADA DA CADEIA DE VALOR DA MANGA NA GNB (FU = 1 LITRO DE SUMO DE MANGA NO MERCADO DOMÉSTICO)</w:t>
      </w:r>
    </w:p>
    <w:p w14:paraId="6D62C3FB" w14:textId="010576CA" w:rsidR="006D0828" w:rsidRDefault="006D0828" w:rsidP="00213219">
      <w:pPr>
        <w:rPr>
          <w:lang w:eastAsia="en-US"/>
        </w:rPr>
      </w:pPr>
    </w:p>
    <w:p w14:paraId="49AAC793" w14:textId="25417A4E" w:rsidR="006D0828" w:rsidRDefault="0052770B" w:rsidP="00213219">
      <w:pPr>
        <w:rPr>
          <w:lang w:eastAsia="en-US"/>
        </w:rPr>
      </w:pPr>
      <w:r>
        <w:rPr>
          <w:noProof/>
          <w:lang w:eastAsia="en-US"/>
        </w:rPr>
        <w:drawing>
          <wp:inline distT="0" distB="0" distL="0" distR="0" wp14:anchorId="3D0DBFE7" wp14:editId="0FD97A9C">
            <wp:extent cx="4676140" cy="7378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76140" cy="737870"/>
                    </a:xfrm>
                    <a:prstGeom prst="rect">
                      <a:avLst/>
                    </a:prstGeom>
                    <a:noFill/>
                  </pic:spPr>
                </pic:pic>
              </a:graphicData>
            </a:graphic>
          </wp:inline>
        </w:drawing>
      </w:r>
    </w:p>
    <w:p w14:paraId="72A1C73E" w14:textId="42718563" w:rsidR="00262C6A" w:rsidRDefault="00262C6A" w:rsidP="00262C6A">
      <w:pPr>
        <w:rPr>
          <w:lang w:eastAsia="en-US"/>
        </w:rPr>
      </w:pPr>
      <w:r>
        <w:rPr>
          <w:lang w:eastAsia="en-US"/>
        </w:rPr>
        <w:t>QUADRO 4.5: EMISSÕES DE CO2 EQUIVALENTE DA CADEIA DE VALOR DA MANGA NA GNB POR 1 KG DE MANGA, FRESCA OU EQUIVALENTE TRANSFORMADO, À PORTA DO MERCADO NACIONAL (ANO DE REFERÊNCIA: 2025)</w:t>
      </w:r>
    </w:p>
    <w:p w14:paraId="43659B7F" w14:textId="77777777" w:rsidR="00262C6A" w:rsidRDefault="00262C6A" w:rsidP="00262C6A">
      <w:pPr>
        <w:rPr>
          <w:lang w:eastAsia="en-US"/>
        </w:rPr>
      </w:pPr>
    </w:p>
    <w:p w14:paraId="2C0B2849" w14:textId="77777777" w:rsidR="00262C6A" w:rsidRDefault="00262C6A" w:rsidP="00262C6A">
      <w:pPr>
        <w:rPr>
          <w:lang w:eastAsia="en-US"/>
        </w:rPr>
      </w:pPr>
    </w:p>
    <w:p w14:paraId="4315477E" w14:textId="738B3E60" w:rsidR="00262C6A" w:rsidRDefault="00262C6A" w:rsidP="00262C6A">
      <w:pPr>
        <w:rPr>
          <w:lang w:eastAsia="en-US"/>
        </w:rPr>
      </w:pPr>
      <w:r>
        <w:rPr>
          <w:lang w:eastAsia="en-US"/>
        </w:rPr>
        <w:lastRenderedPageBreak/>
        <w:t xml:space="preserve">A quantidade total de GEE. emitida pela cadeia de valor da manga na GNB é estimada em 676.6 mil toneladas CO2.eq, </w:t>
      </w:r>
      <w:r w:rsidR="00E042D7">
        <w:rPr>
          <w:lang w:eastAsia="en-US"/>
        </w:rPr>
        <w:t>ou seja,</w:t>
      </w:r>
      <w:r>
        <w:rPr>
          <w:lang w:eastAsia="en-US"/>
        </w:rPr>
        <w:t xml:space="preserve"> 308 kg CO2 / habitante</w:t>
      </w:r>
      <w:r w:rsidR="00E042D7">
        <w:rPr>
          <w:lang w:eastAsia="en-US"/>
        </w:rPr>
        <w:t>.</w:t>
      </w:r>
      <w:r>
        <w:rPr>
          <w:lang w:eastAsia="en-US"/>
        </w:rPr>
        <w:t xml:space="preserve"> </w:t>
      </w:r>
    </w:p>
    <w:p w14:paraId="082228F7" w14:textId="77777777" w:rsidR="00262C6A" w:rsidRDefault="00262C6A" w:rsidP="00262C6A">
      <w:pPr>
        <w:rPr>
          <w:lang w:eastAsia="en-US"/>
        </w:rPr>
      </w:pPr>
      <w:r>
        <w:rPr>
          <w:lang w:eastAsia="en-US"/>
        </w:rPr>
        <w:t>Da análise destes resultados pode-se inferir que:</w:t>
      </w:r>
    </w:p>
    <w:p w14:paraId="218A4A00" w14:textId="08A838EC" w:rsidR="00262C6A" w:rsidRDefault="00262C6A" w:rsidP="00E042D7">
      <w:pPr>
        <w:pStyle w:val="ListParagraph"/>
        <w:numPr>
          <w:ilvl w:val="0"/>
          <w:numId w:val="61"/>
        </w:numPr>
        <w:rPr>
          <w:lang w:eastAsia="en-US"/>
        </w:rPr>
      </w:pPr>
      <w:r>
        <w:rPr>
          <w:lang w:eastAsia="en-US"/>
        </w:rPr>
        <w:t>a pegada de carbono da cadeia de valor da manga na GNB é determinada pelos circuitos de abastecimento de manga fresca aos mercados locais, regionais e de Bissau.</w:t>
      </w:r>
    </w:p>
    <w:p w14:paraId="5145934D" w14:textId="65BED44B" w:rsidR="00262C6A" w:rsidRDefault="00262C6A" w:rsidP="00E042D7">
      <w:pPr>
        <w:pStyle w:val="ListParagraph"/>
        <w:numPr>
          <w:ilvl w:val="0"/>
          <w:numId w:val="61"/>
        </w:numPr>
        <w:rPr>
          <w:lang w:eastAsia="en-US"/>
        </w:rPr>
      </w:pPr>
      <w:r>
        <w:rPr>
          <w:lang w:eastAsia="en-US"/>
        </w:rPr>
        <w:t>as emissões de CO2-eq associadas ao cultivo da manga são marginais no contexto da cadeia de valor</w:t>
      </w:r>
      <w:r w:rsidR="00651DD1">
        <w:rPr>
          <w:lang w:eastAsia="en-US"/>
        </w:rPr>
        <w:t>.</w:t>
      </w:r>
    </w:p>
    <w:p w14:paraId="6EDDFCD5" w14:textId="423D733B" w:rsidR="00262C6A" w:rsidRDefault="00262C6A" w:rsidP="00262C6A">
      <w:pPr>
        <w:rPr>
          <w:lang w:eastAsia="en-US"/>
        </w:rPr>
      </w:pPr>
      <w:r>
        <w:rPr>
          <w:lang w:eastAsia="en-US"/>
        </w:rPr>
        <w:t xml:space="preserve">Quando enquadrados internacionalmente, os valores estimados de emissão de GEE por quilograma de produto relativos tanto à produção da manga na GNB como ao seu </w:t>
      </w:r>
      <w:r w:rsidR="00354F83">
        <w:rPr>
          <w:lang w:eastAsia="en-US"/>
        </w:rPr>
        <w:t>processamento</w:t>
      </w:r>
      <w:r>
        <w:rPr>
          <w:lang w:eastAsia="en-US"/>
        </w:rPr>
        <w:t xml:space="preserve"> em sumo, são inferiores aos valores reportados por outros países (Quadro 4.X). Esta comparação favorável é particularmente interessante porquanto emerge num contexto de reduzidas eficiências de produção</w:t>
      </w:r>
      <w:r w:rsidR="0072352B">
        <w:rPr>
          <w:lang w:eastAsia="en-US"/>
        </w:rPr>
        <w:t>.</w:t>
      </w:r>
    </w:p>
    <w:p w14:paraId="59BDAC12" w14:textId="65A4A8BD" w:rsidR="0072352B" w:rsidRDefault="0072352B" w:rsidP="00213219">
      <w:pPr>
        <w:rPr>
          <w:lang w:eastAsia="en-US"/>
        </w:rPr>
      </w:pPr>
      <w:r>
        <w:rPr>
          <w:noProof/>
          <w:lang w:eastAsia="en-US"/>
        </w:rPr>
        <w:drawing>
          <wp:inline distT="0" distB="0" distL="0" distR="0" wp14:anchorId="1D84BBD5" wp14:editId="798104DE">
            <wp:extent cx="5633085" cy="1579245"/>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33085" cy="1579245"/>
                    </a:xfrm>
                    <a:prstGeom prst="rect">
                      <a:avLst/>
                    </a:prstGeom>
                    <a:noFill/>
                  </pic:spPr>
                </pic:pic>
              </a:graphicData>
            </a:graphic>
          </wp:inline>
        </w:drawing>
      </w:r>
    </w:p>
    <w:p w14:paraId="33D0875D" w14:textId="1E2C76A4" w:rsidR="0072352B" w:rsidRDefault="0072352B" w:rsidP="00213219">
      <w:pPr>
        <w:rPr>
          <w:lang w:eastAsia="en-US"/>
        </w:rPr>
      </w:pPr>
      <w:r w:rsidRPr="0072352B">
        <w:rPr>
          <w:lang w:eastAsia="en-US"/>
        </w:rPr>
        <w:t xml:space="preserve">QUADRO </w:t>
      </w:r>
      <w:r>
        <w:rPr>
          <w:lang w:eastAsia="en-US"/>
        </w:rPr>
        <w:t>4.6</w:t>
      </w:r>
      <w:r w:rsidRPr="0072352B">
        <w:rPr>
          <w:lang w:eastAsia="en-US"/>
        </w:rPr>
        <w:t>: COMPARAÇÃO DAS EMISSÕES DE CO2-EQUIVALENTE DA PRODUÇÃO DE MANGA E DO PROCESSAMENTO DE SUMO DE MANGA NA GNB COM AS EMISSÕES DE OUTROS PAÍSES (UNIDADES: 1KG DE MANGA FRESCA NO PRODUTOR; 1 KG DE SUMO EMBALADO NO PROCESSADOR)</w:t>
      </w:r>
    </w:p>
    <w:p w14:paraId="48B91432" w14:textId="77777777" w:rsidR="0072352B" w:rsidRDefault="0072352B" w:rsidP="00213219">
      <w:pPr>
        <w:rPr>
          <w:lang w:eastAsia="en-US"/>
        </w:rPr>
      </w:pPr>
    </w:p>
    <w:p w14:paraId="0EF88296" w14:textId="3FE4ECC0" w:rsidR="00E042D7" w:rsidRDefault="00E042D7">
      <w:pPr>
        <w:spacing w:line="278" w:lineRule="auto"/>
        <w:jc w:val="left"/>
        <w:rPr>
          <w:lang w:eastAsia="en-US"/>
        </w:rPr>
      </w:pPr>
      <w:r>
        <w:rPr>
          <w:lang w:eastAsia="en-US"/>
        </w:rPr>
        <w:br w:type="page"/>
      </w:r>
    </w:p>
    <w:p w14:paraId="52AE7CE1" w14:textId="79B81728" w:rsidR="00096206" w:rsidRPr="00226516" w:rsidRDefault="00226516" w:rsidP="00815270">
      <w:pPr>
        <w:pStyle w:val="Heading1"/>
        <w:numPr>
          <w:ilvl w:val="0"/>
          <w:numId w:val="42"/>
        </w:numPr>
      </w:pPr>
      <w:bookmarkStart w:id="224" w:name="_Toc220507531"/>
      <w:r w:rsidRPr="00226516">
        <w:lastRenderedPageBreak/>
        <w:t>CENÁRIOS DO DESENVOLVIMENTO DA FILEIRA DA MANGA NA GUINÉ-BISSAU</w:t>
      </w:r>
      <w:bookmarkEnd w:id="224"/>
      <w:r w:rsidRPr="00226516">
        <w:t xml:space="preserve"> </w:t>
      </w:r>
    </w:p>
    <w:p w14:paraId="7E80FA35" w14:textId="1F772E56" w:rsidR="002B2EF8" w:rsidRPr="005F79AC" w:rsidRDefault="00143807" w:rsidP="00CB72B5">
      <w:r w:rsidRPr="005F79AC">
        <w:t xml:space="preserve">Segundo o relatório do FAO </w:t>
      </w:r>
      <w:sdt>
        <w:sdtPr>
          <w:id w:val="-547527829"/>
          <w:citation/>
        </w:sdtPr>
        <w:sdtEndPr/>
        <w:sdtContent>
          <w:r w:rsidRPr="005F79AC">
            <w:fldChar w:fldCharType="begin"/>
          </w:r>
          <w:r w:rsidR="0052743E" w:rsidRPr="005F79AC">
            <w:instrText xml:space="preserve">CITATION FAO25 \l 2070 </w:instrText>
          </w:r>
          <w:r w:rsidRPr="005F79AC">
            <w:fldChar w:fldCharType="separate"/>
          </w:r>
          <w:r w:rsidR="0052743E" w:rsidRPr="005F79AC">
            <w:rPr>
              <w:noProof/>
            </w:rPr>
            <w:t>(FAO, 2015)</w:t>
          </w:r>
          <w:r w:rsidRPr="005F79AC">
            <w:fldChar w:fldCharType="end"/>
          </w:r>
        </w:sdtContent>
      </w:sdt>
      <w:r w:rsidR="00073B5A" w:rsidRPr="005F79AC">
        <w:t xml:space="preserve"> os países da </w:t>
      </w:r>
      <w:r w:rsidR="000C37AB" w:rsidRPr="005F79AC">
        <w:t>África</w:t>
      </w:r>
      <w:r w:rsidR="00073B5A" w:rsidRPr="005F79AC">
        <w:t xml:space="preserve"> </w:t>
      </w:r>
      <w:r w:rsidR="000C37AB" w:rsidRPr="005F79AC">
        <w:t>o</w:t>
      </w:r>
      <w:r w:rsidR="00073B5A" w:rsidRPr="005F79AC">
        <w:t>cidenta</w:t>
      </w:r>
      <w:r w:rsidR="000C37AB" w:rsidRPr="005F79AC">
        <w:t>l</w:t>
      </w:r>
      <w:r w:rsidR="00073B5A" w:rsidRPr="005F79AC">
        <w:t xml:space="preserve"> </w:t>
      </w:r>
      <w:r w:rsidR="000C37AB" w:rsidRPr="005F79AC">
        <w:t xml:space="preserve">apresentam </w:t>
      </w:r>
      <w:r w:rsidR="00096206" w:rsidRPr="005F79AC">
        <w:t xml:space="preserve">um paradoxo típico </w:t>
      </w:r>
      <w:r w:rsidR="000C37AB" w:rsidRPr="005F79AC">
        <w:t>no setor frutícola</w:t>
      </w:r>
      <w:r w:rsidR="00096206" w:rsidRPr="005F79AC">
        <w:t xml:space="preserve">: abundância sazonal de matéria-prima, elevadas perdas pós-colheita, fraca padronização de qualidade e baixa captura de valor nos segmentos de transformação e exportação. </w:t>
      </w:r>
      <w:r w:rsidRPr="005F79AC">
        <w:t xml:space="preserve">A </w:t>
      </w:r>
      <w:r w:rsidR="005872CE" w:rsidRPr="005F79AC">
        <w:t>fileira</w:t>
      </w:r>
      <w:r w:rsidRPr="005F79AC">
        <w:t xml:space="preserve"> da manga na Guiné-Bissau </w:t>
      </w:r>
      <w:r w:rsidR="0052743E" w:rsidRPr="005F79AC">
        <w:t>encaixa</w:t>
      </w:r>
      <w:r w:rsidR="005872CE" w:rsidRPr="005F79AC">
        <w:t xml:space="preserve">-se </w:t>
      </w:r>
      <w:r w:rsidR="0052743E" w:rsidRPr="005F79AC">
        <w:t>perfeitamente</w:t>
      </w:r>
      <w:r w:rsidR="005872CE" w:rsidRPr="005F79AC">
        <w:t xml:space="preserve"> nessa descrição em 2025. </w:t>
      </w:r>
    </w:p>
    <w:p w14:paraId="1CB5B0F5" w14:textId="7F1A001B" w:rsidR="007C3308" w:rsidRDefault="00096206" w:rsidP="007C3308">
      <w:r w:rsidRPr="005F79AC">
        <w:t>Na base da estrutura da fileira, no perfil dos atores envolvidos na cadeira, nos constrangimentos fitossanitários/logísticos/operacionais e no potencial de produção da manga na Guiné-Bissau, os quatros cenários de desenvolvimento propostos visam oferecer caminhos alternativos, consistentes e comparáveis, para orientar políticas públicas e apoio dos parceiros de desenvolvimento, nomeadamente da União Europeia num horizonte temporal de 3-5 anos.</w:t>
      </w:r>
      <w:bookmarkStart w:id="225" w:name="_Hlk209337187"/>
    </w:p>
    <w:p w14:paraId="31BD0624" w14:textId="67BC40BE" w:rsidR="00096206" w:rsidRPr="004B6B4A" w:rsidRDefault="00096206" w:rsidP="00815270">
      <w:pPr>
        <w:pStyle w:val="Heading2"/>
        <w:numPr>
          <w:ilvl w:val="1"/>
          <w:numId w:val="42"/>
        </w:numPr>
      </w:pPr>
      <w:bookmarkStart w:id="226" w:name="_Toc220507532"/>
      <w:r w:rsidRPr="004B6B4A">
        <w:t>Cenário de desenvolvimento via um grande transformador/agregador</w:t>
      </w:r>
      <w:bookmarkEnd w:id="226"/>
    </w:p>
    <w:p w14:paraId="7119DB20" w14:textId="56DE4400" w:rsidR="004D4354" w:rsidRPr="005F79AC" w:rsidRDefault="006027E8" w:rsidP="00CB72B5">
      <w:r>
        <w:t>Este</w:t>
      </w:r>
      <w:r w:rsidR="00096206" w:rsidRPr="005F79AC">
        <w:t xml:space="preserve"> cenário</w:t>
      </w:r>
      <w:r>
        <w:t xml:space="preserve">, representado na </w:t>
      </w:r>
      <w:r>
        <w:fldChar w:fldCharType="begin"/>
      </w:r>
      <w:r>
        <w:instrText xml:space="preserve"> REF _Ref210826066 \h </w:instrText>
      </w:r>
      <w:r>
        <w:fldChar w:fldCharType="separate"/>
      </w:r>
      <w:r w:rsidR="002A2405">
        <w:t xml:space="preserve">  Figura </w:t>
      </w:r>
      <w:r w:rsidR="002A2405">
        <w:rPr>
          <w:noProof/>
        </w:rPr>
        <w:t>5</w:t>
      </w:r>
      <w:r w:rsidR="002A2405">
        <w:t>.</w:t>
      </w:r>
      <w:r w:rsidR="002A2405">
        <w:rPr>
          <w:noProof/>
        </w:rPr>
        <w:t>1</w:t>
      </w:r>
      <w:r>
        <w:fldChar w:fldCharType="end"/>
      </w:r>
      <w:r>
        <w:t>,</w:t>
      </w:r>
      <w:r w:rsidR="00096206" w:rsidRPr="005F79AC">
        <w:t xml:space="preserve"> centra-se na para a produção de polpa e concentrado na empresa MYA na qualidade de núcleo de um ecossistema de atores locais e regionais. </w:t>
      </w:r>
    </w:p>
    <w:p w14:paraId="6479099B" w14:textId="558730F0" w:rsidR="00116219" w:rsidRPr="005F79AC" w:rsidRDefault="00C45457" w:rsidP="00982C85">
      <w:pPr>
        <w:keepNext/>
        <w:jc w:val="center"/>
      </w:pPr>
      <w:r w:rsidRPr="00C45457">
        <w:rPr>
          <w:noProof/>
        </w:rPr>
        <w:drawing>
          <wp:inline distT="0" distB="0" distL="0" distR="0" wp14:anchorId="3E6D53E9" wp14:editId="0897A5CD">
            <wp:extent cx="4555183" cy="1162262"/>
            <wp:effectExtent l="0" t="0" r="4445" b="6350"/>
            <wp:docPr id="10123911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91158" name=""/>
                    <pic:cNvPicPr/>
                  </pic:nvPicPr>
                  <pic:blipFill>
                    <a:blip r:embed="rId74"/>
                    <a:stretch>
                      <a:fillRect/>
                    </a:stretch>
                  </pic:blipFill>
                  <pic:spPr>
                    <a:xfrm>
                      <a:off x="0" y="0"/>
                      <a:ext cx="4638008" cy="1183395"/>
                    </a:xfrm>
                    <a:prstGeom prst="rect">
                      <a:avLst/>
                    </a:prstGeom>
                  </pic:spPr>
                </pic:pic>
              </a:graphicData>
            </a:graphic>
          </wp:inline>
        </w:drawing>
      </w:r>
    </w:p>
    <w:p w14:paraId="000A2820" w14:textId="272F7EF7" w:rsidR="004D4354" w:rsidRPr="006027E8" w:rsidRDefault="00057113" w:rsidP="007D3A26">
      <w:pPr>
        <w:pStyle w:val="Caption"/>
      </w:pPr>
      <w:bookmarkStart w:id="227" w:name="_Ref210826066"/>
      <w:bookmarkStart w:id="228" w:name="_Toc211359238"/>
      <w:r>
        <w:t xml:space="preserve">  </w:t>
      </w:r>
      <w:r w:rsidR="006027E8">
        <w:t xml:space="preserve">Figura </w:t>
      </w:r>
      <w:fldSimple w:instr=" STYLEREF 1 \s ">
        <w:r w:rsidR="002A2405">
          <w:rPr>
            <w:noProof/>
          </w:rPr>
          <w:t>5</w:t>
        </w:r>
      </w:fldSimple>
      <w:r w:rsidR="00C05C88">
        <w:t>.</w:t>
      </w:r>
      <w:fldSimple w:instr=" SEQ Figura \* ARABIC \s 1 ">
        <w:r w:rsidR="002A2405">
          <w:rPr>
            <w:noProof/>
          </w:rPr>
          <w:t>1</w:t>
        </w:r>
      </w:fldSimple>
      <w:bookmarkEnd w:id="227"/>
      <w:r w:rsidR="006027E8">
        <w:t xml:space="preserve"> </w:t>
      </w:r>
      <w:r w:rsidR="003B09F3">
        <w:t xml:space="preserve">- </w:t>
      </w:r>
      <w:r w:rsidR="003B09F3" w:rsidRPr="005F79AC">
        <w:t>Desenvolvimento</w:t>
      </w:r>
      <w:r w:rsidR="00116219" w:rsidRPr="005F79AC">
        <w:t xml:space="preserve"> da fieira</w:t>
      </w:r>
      <w:r w:rsidR="006E314A" w:rsidRPr="005F79AC">
        <w:t xml:space="preserve"> da manga</w:t>
      </w:r>
      <w:r w:rsidR="00116219" w:rsidRPr="005F79AC">
        <w:t xml:space="preserve"> centrado no g</w:t>
      </w:r>
      <w:r w:rsidR="006E314A" w:rsidRPr="005F79AC">
        <w:t>rande transformador</w:t>
      </w:r>
      <w:bookmarkEnd w:id="228"/>
    </w:p>
    <w:p w14:paraId="3BA16187" w14:textId="688683EC" w:rsidR="00096206" w:rsidRPr="005F79AC" w:rsidRDefault="0038342E" w:rsidP="00096206">
      <w:pPr>
        <w:rPr>
          <w:rFonts w:cs="Calibri"/>
          <w:szCs w:val="20"/>
        </w:rPr>
      </w:pPr>
      <w:r w:rsidRPr="005F79AC">
        <w:rPr>
          <w:rFonts w:cs="Calibri"/>
          <w:szCs w:val="20"/>
        </w:rPr>
        <w:br/>
      </w:r>
      <w:r w:rsidR="00096206" w:rsidRPr="005F79AC">
        <w:rPr>
          <w:rFonts w:cs="Calibri"/>
          <w:szCs w:val="20"/>
        </w:rPr>
        <w:t>Esta abordagem estrutura-se em três eixos seguintes com vista:</w:t>
      </w:r>
    </w:p>
    <w:p w14:paraId="392758B4" w14:textId="2E586147" w:rsidR="00096206" w:rsidRPr="006027E8" w:rsidRDefault="00AE474C" w:rsidP="00E042D7">
      <w:pPr>
        <w:pStyle w:val="Parag1bullet"/>
        <w:numPr>
          <w:ilvl w:val="0"/>
          <w:numId w:val="22"/>
        </w:numPr>
        <w:ind w:left="822" w:hanging="198"/>
      </w:pPr>
      <w:r w:rsidRPr="006027E8">
        <w:t xml:space="preserve">A </w:t>
      </w:r>
      <w:r w:rsidR="00096206" w:rsidRPr="006027E8">
        <w:rPr>
          <w:b/>
          <w:bCs/>
        </w:rPr>
        <w:t>expansão/adaptação</w:t>
      </w:r>
      <w:r w:rsidR="00096206" w:rsidRPr="006027E8">
        <w:t xml:space="preserve"> da sua estrutura fabril ou a sua confirmação da parte da direção da empresa deve confirmar a visão da transformação de MYA em âncora do setor da transformação frutícola na Guiné-Bissau. Isso implica expandir efetivamente a capacidade fabril já instalada para o maracujá, de forma a absorver volumes crescentes de manga, garantindo linhas de processamento flexíveis para polpa e concentrado. A aposta na certificação internacional (HACCP, ISO, orgânico, Fair Trade) permitirá abrir mercados mais exigentes e rentáveis, enquanto a diversificação de produtos, incluindo misturas de frutas tropicais e derivados, contribuirá para reduzir riscos e alargar o portfólio de exportação.</w:t>
      </w:r>
    </w:p>
    <w:p w14:paraId="47902CC4" w14:textId="77777777" w:rsidR="00A3343B" w:rsidRPr="006027E8" w:rsidRDefault="00A3343B" w:rsidP="005D1D22">
      <w:pPr>
        <w:pStyle w:val="Parag1bullet"/>
      </w:pPr>
    </w:p>
    <w:p w14:paraId="71CD555E" w14:textId="7D51D61E" w:rsidR="00096206" w:rsidRPr="006027E8" w:rsidRDefault="00AE474C" w:rsidP="00E042D7">
      <w:pPr>
        <w:pStyle w:val="Parag1bullet"/>
        <w:numPr>
          <w:ilvl w:val="0"/>
          <w:numId w:val="22"/>
        </w:numPr>
        <w:ind w:left="822" w:hanging="198"/>
      </w:pPr>
      <w:r w:rsidRPr="006027E8">
        <w:t xml:space="preserve">A </w:t>
      </w:r>
      <w:r w:rsidR="00096206" w:rsidRPr="006027E8">
        <w:rPr>
          <w:b/>
          <w:bCs/>
        </w:rPr>
        <w:t>integração/associação</w:t>
      </w:r>
      <w:r w:rsidRPr="006027E8">
        <w:rPr>
          <w:b/>
          <w:bCs/>
        </w:rPr>
        <w:t xml:space="preserve"> </w:t>
      </w:r>
      <w:r w:rsidR="00096206" w:rsidRPr="006027E8">
        <w:rPr>
          <w:b/>
          <w:bCs/>
        </w:rPr>
        <w:t>de produtores</w:t>
      </w:r>
      <w:r w:rsidRPr="006027E8">
        <w:t>,</w:t>
      </w:r>
      <w:r w:rsidR="00096206" w:rsidRPr="006027E8">
        <w:t xml:space="preserve"> </w:t>
      </w:r>
      <w:r w:rsidRPr="006027E8">
        <w:t>d</w:t>
      </w:r>
      <w:r w:rsidR="00096206" w:rsidRPr="006027E8">
        <w:t>o ponto de vista produtivo passa por uma integração/associação de produtores através de contratos de fornecimento estáveis, com preços mínimos garantidos, assistência técnica e acesso a mudas certificadas. O reforço da base produtiva exige ainda investimentos em viveiros regionais de variedades prioritárias e um programa sistemático de combate a pragas, criando assim condições efetivas para o aumento da produtividade.</w:t>
      </w:r>
    </w:p>
    <w:p w14:paraId="6D50E777" w14:textId="77777777" w:rsidR="00096206" w:rsidRPr="006027E8" w:rsidRDefault="00096206" w:rsidP="006027E8">
      <w:pPr>
        <w:pStyle w:val="Parag1bullet"/>
        <w:ind w:left="822" w:hanging="198"/>
      </w:pPr>
    </w:p>
    <w:p w14:paraId="01533477" w14:textId="1EF4AC6D" w:rsidR="00536F05" w:rsidRPr="00852014" w:rsidRDefault="00536F05" w:rsidP="00E042D7">
      <w:pPr>
        <w:pStyle w:val="Parag1bullet"/>
        <w:numPr>
          <w:ilvl w:val="0"/>
          <w:numId w:val="22"/>
        </w:numPr>
        <w:ind w:left="822" w:hanging="198"/>
        <w:rPr>
          <w:rFonts w:eastAsia="Times New Roman"/>
        </w:rPr>
      </w:pPr>
      <w:r w:rsidRPr="006027E8">
        <w:t xml:space="preserve">A </w:t>
      </w:r>
      <w:r w:rsidRPr="006027E8">
        <w:rPr>
          <w:b/>
          <w:bCs/>
        </w:rPr>
        <w:t>criação do</w:t>
      </w:r>
      <w:r w:rsidR="00096206" w:rsidRPr="006027E8">
        <w:rPr>
          <w:b/>
          <w:bCs/>
        </w:rPr>
        <w:t xml:space="preserve"> eixo logístico e infraestrutural</w:t>
      </w:r>
      <w:r w:rsidR="00096206" w:rsidRPr="006027E8">
        <w:t xml:space="preserve"> é essencial para reduzir perdas e assegurar regularidade no abastecimento da fábrica. Para isso, é necessário criar centros de recolha e armazenamento em regiões-chave como Cacheu, Oio e Bafatá, equipados com câmaras de frio capazes de preservar a fruta em períodos críticos. O reforço da cadeia de frio deve ser combinado com melhorias no transporte rural, seja por via de contratos com transportadores </w:t>
      </w:r>
      <w:r w:rsidR="00096206" w:rsidRPr="005F79AC">
        <w:rPr>
          <w:rFonts w:eastAsia="Times New Roman"/>
        </w:rPr>
        <w:t>locais em veículos apropriados, seja pela reabilitação das estradas de acesso, garantindo assim a matéria-prima chegue à fábrica em condições adequadas.</w:t>
      </w:r>
    </w:p>
    <w:p w14:paraId="04453F23" w14:textId="32EB6147" w:rsidR="00096206" w:rsidRPr="005F79AC" w:rsidRDefault="00096206" w:rsidP="00E042D7">
      <w:pPr>
        <w:pStyle w:val="Heading3"/>
        <w:numPr>
          <w:ilvl w:val="2"/>
          <w:numId w:val="37"/>
        </w:numPr>
      </w:pPr>
      <w:bookmarkStart w:id="229" w:name="_Toc220507533"/>
      <w:r w:rsidRPr="005F79AC">
        <w:lastRenderedPageBreak/>
        <w:t>Mais valia estratégica</w:t>
      </w:r>
      <w:bookmarkEnd w:id="229"/>
    </w:p>
    <w:p w14:paraId="28F3B106" w14:textId="3CEE3AE1" w:rsidR="006027E8" w:rsidRPr="005F79AC" w:rsidRDefault="00096206" w:rsidP="006027E8">
      <w:pPr>
        <w:rPr>
          <w:rFonts w:eastAsia="Times New Roman"/>
        </w:rPr>
      </w:pPr>
      <w:r w:rsidRPr="005F79AC">
        <w:rPr>
          <w:rFonts w:eastAsia="Times New Roman"/>
        </w:rPr>
        <w:t>A aposta num grande produtor industrial como âncora da fileira da manga garante escala, qualidade e regularidade da oferta, ao mesmo tempo que estrutura contratos com pequenos produtores, reduz perdas e cria valor agregado através da transformação em polpa e concentrado. A experiência já consolidada no maracujá</w:t>
      </w:r>
      <w:r w:rsidR="002900D1" w:rsidRPr="005F79AC">
        <w:rPr>
          <w:rFonts w:eastAsia="Times New Roman"/>
        </w:rPr>
        <w:t xml:space="preserve"> para o mercado Europeu</w:t>
      </w:r>
      <w:r w:rsidRPr="005F79AC">
        <w:rPr>
          <w:rFonts w:eastAsia="Times New Roman"/>
        </w:rPr>
        <w:t>, com domínio tecnológico, certificações e redes comerciais, amplia as sinergias e acelera a inserção em mercados internacionais exigentes, gerando efeito de demonstração, atraindo investidores e fortalecendo a confiança de financiadores e doadores.</w:t>
      </w:r>
    </w:p>
    <w:p w14:paraId="06076D4D" w14:textId="77777777" w:rsidR="00096206" w:rsidRPr="005F79AC" w:rsidRDefault="00096206" w:rsidP="00E042D7">
      <w:pPr>
        <w:pStyle w:val="Heading3"/>
        <w:numPr>
          <w:ilvl w:val="2"/>
          <w:numId w:val="37"/>
        </w:numPr>
      </w:pPr>
      <w:bookmarkStart w:id="230" w:name="_Toc220507534"/>
      <w:r w:rsidRPr="005F79AC">
        <w:t>Investimentos necessários</w:t>
      </w:r>
      <w:bookmarkEnd w:id="230"/>
    </w:p>
    <w:p w14:paraId="0C1401D0" w14:textId="483BDB8F" w:rsidR="00631DD6" w:rsidRPr="003B09F3" w:rsidRDefault="00096206" w:rsidP="00E042D7">
      <w:pPr>
        <w:pStyle w:val="ListParagraph"/>
        <w:numPr>
          <w:ilvl w:val="0"/>
          <w:numId w:val="23"/>
        </w:numPr>
        <w:ind w:left="822" w:hanging="198"/>
        <w:rPr>
          <w:rFonts w:eastAsia="Times New Roman" w:cs="Calibri"/>
          <w:szCs w:val="20"/>
        </w:rPr>
      </w:pPr>
      <w:r w:rsidRPr="005F79AC">
        <w:rPr>
          <w:rFonts w:eastAsia="Times New Roman" w:cs="Calibri"/>
          <w:szCs w:val="20"/>
        </w:rPr>
        <w:t>Os investimentos necessários para operacionalizar este cenário incluem várias frentes complementares. Na produção primária, será essencial reforçar os pomares dos produtores associados com variedades de interesse para a unidade, por meio da reabilitação de pomares existentes, da instalação de viveiros de mudas certificadas e da oferta de assistência técnica aos pequenos produtores</w:t>
      </w:r>
      <w:r w:rsidR="00631DD6" w:rsidRPr="005F79AC">
        <w:rPr>
          <w:rFonts w:eastAsia="Times New Roman" w:cs="Calibri"/>
          <w:szCs w:val="20"/>
        </w:rPr>
        <w:t>;</w:t>
      </w:r>
    </w:p>
    <w:p w14:paraId="6C31B0A3" w14:textId="404B381A" w:rsidR="003C1EB0" w:rsidRPr="003B09F3" w:rsidRDefault="00096206" w:rsidP="00E042D7">
      <w:pPr>
        <w:pStyle w:val="ListParagraph"/>
        <w:numPr>
          <w:ilvl w:val="0"/>
          <w:numId w:val="23"/>
        </w:numPr>
        <w:ind w:left="822" w:hanging="198"/>
        <w:rPr>
          <w:rFonts w:eastAsia="Times New Roman" w:cs="Calibri"/>
          <w:szCs w:val="20"/>
        </w:rPr>
      </w:pPr>
      <w:r w:rsidRPr="005F79AC">
        <w:rPr>
          <w:rFonts w:eastAsia="Times New Roman" w:cs="Calibri"/>
          <w:szCs w:val="20"/>
        </w:rPr>
        <w:t xml:space="preserve">No segmento pós-colheita, a prioridade passa pela criação de centros de recolha, câmaras de frio e sistemas logísticos que reduzam perdas e assegurem o fornecimento estável à fábrica. </w:t>
      </w:r>
    </w:p>
    <w:p w14:paraId="18AEEFC7" w14:textId="39B6D63C" w:rsidR="00096206" w:rsidRPr="00852014" w:rsidRDefault="00096206" w:rsidP="00E042D7">
      <w:pPr>
        <w:pStyle w:val="ListParagraph"/>
        <w:numPr>
          <w:ilvl w:val="0"/>
          <w:numId w:val="23"/>
        </w:numPr>
        <w:ind w:left="822" w:hanging="198"/>
        <w:rPr>
          <w:rFonts w:eastAsia="Times New Roman" w:cs="Calibri"/>
          <w:szCs w:val="20"/>
        </w:rPr>
      </w:pPr>
      <w:r w:rsidRPr="005F79AC">
        <w:rPr>
          <w:rFonts w:eastAsia="Times New Roman" w:cs="Calibri"/>
          <w:szCs w:val="20"/>
        </w:rPr>
        <w:t>A nível industrial, embora a unidade fabril já exista, será necessário ampliar as linhas de processamento específicas para manga, incluindo despolpadores, evaporadores e esterilizadores, bem como reforçar os sistemas de qualidade, com certificações ISO, HACCP e eventualmente orgânicas ou GlobalGAP. O funcionamento sustentável da cadeia exigirá ainda capital de giro e mecanismos de financiamento, como linhas de crédito para compras na época de pico e fundos específicos para apoiar a exportação.</w:t>
      </w:r>
    </w:p>
    <w:p w14:paraId="0A3158C6" w14:textId="77777777" w:rsidR="00096206" w:rsidRPr="005F79AC" w:rsidRDefault="00096206" w:rsidP="00E042D7">
      <w:pPr>
        <w:pStyle w:val="Heading3"/>
        <w:numPr>
          <w:ilvl w:val="2"/>
          <w:numId w:val="37"/>
        </w:numPr>
      </w:pPr>
      <w:bookmarkStart w:id="231" w:name="_Toc220507535"/>
      <w:r w:rsidRPr="005F79AC">
        <w:t>Resultados esperados</w:t>
      </w:r>
      <w:bookmarkEnd w:id="231"/>
    </w:p>
    <w:p w14:paraId="527DB0E3" w14:textId="7D1B941D" w:rsidR="000F7148" w:rsidRPr="003B09F3" w:rsidRDefault="00096206" w:rsidP="00E042D7">
      <w:pPr>
        <w:pStyle w:val="Parag1"/>
        <w:numPr>
          <w:ilvl w:val="0"/>
          <w:numId w:val="24"/>
        </w:numPr>
        <w:ind w:left="822" w:hanging="198"/>
        <w:rPr>
          <w:rFonts w:eastAsia="Times New Roman"/>
        </w:rPr>
      </w:pPr>
      <w:r w:rsidRPr="005F79AC">
        <w:rPr>
          <w:rFonts w:eastAsia="Times New Roman"/>
        </w:rPr>
        <w:t xml:space="preserve">No horizonte de três a cinco anos, espera-se que a unidade fabril consiga absorver progressivamente entre 10 e 15 mil toneladas de manga por ano, transformando-as em 4 a 6 mil toneladas de polpa ou concentrado. Este volume poderá gerar receitas de exportação na ordem dos 8 a 12 milhões de </w:t>
      </w:r>
      <w:r w:rsidR="00BB05D6" w:rsidRPr="005F79AC">
        <w:rPr>
          <w:rFonts w:eastAsia="Times New Roman"/>
        </w:rPr>
        <w:t>€</w:t>
      </w:r>
      <w:r w:rsidRPr="005F79AC">
        <w:rPr>
          <w:rFonts w:eastAsia="Times New Roman"/>
        </w:rPr>
        <w:t>/ano, dependendo da evolução dos preços internacionais e da diversificação dos mercados-alvo, incluindo a União Europeia, a CEDEAO e o Médio Oriente</w:t>
      </w:r>
      <w:r w:rsidR="000F7148" w:rsidRPr="005F79AC">
        <w:rPr>
          <w:rFonts w:eastAsia="Times New Roman"/>
        </w:rPr>
        <w:t>;</w:t>
      </w:r>
    </w:p>
    <w:p w14:paraId="738ED4BB" w14:textId="240AA871" w:rsidR="000F7148" w:rsidRPr="003B09F3" w:rsidRDefault="00096206" w:rsidP="00E042D7">
      <w:pPr>
        <w:pStyle w:val="Parag1"/>
        <w:numPr>
          <w:ilvl w:val="0"/>
          <w:numId w:val="24"/>
        </w:numPr>
        <w:ind w:left="822" w:hanging="198"/>
        <w:rPr>
          <w:rFonts w:eastAsia="Times New Roman"/>
        </w:rPr>
      </w:pPr>
      <w:r w:rsidRPr="005F79AC">
        <w:rPr>
          <w:rFonts w:eastAsia="Times New Roman"/>
        </w:rPr>
        <w:t>O impacto socioeconómico refletir-se-á na criação de empregos</w:t>
      </w:r>
      <w:r w:rsidRPr="005F79AC">
        <w:rPr>
          <w:vertAlign w:val="superscript"/>
        </w:rPr>
        <w:footnoteReference w:id="28"/>
      </w:r>
      <w:r w:rsidRPr="005F79AC">
        <w:rPr>
          <w:rFonts w:eastAsia="Times New Roman"/>
        </w:rPr>
        <w:t>, no aumento dos rendimentos rurais, sobretudo para pequenos produtores que atualmente perdem parte da produção, bem como na dinamização de clusters de serviços como transporte, embalagens e certificação. Do ponto de vista da sustentabilidade, prevê-se a redução significativa das perdas pós-colheita, que hoje ultrapassam 40%, fortalecendo a resiliência da fileira e contribuindo para a segurança alimentar regional</w:t>
      </w:r>
      <w:r w:rsidR="000F7148" w:rsidRPr="005F79AC">
        <w:rPr>
          <w:rFonts w:eastAsia="Times New Roman"/>
        </w:rPr>
        <w:t>;</w:t>
      </w:r>
    </w:p>
    <w:p w14:paraId="79FA9021" w14:textId="34562798" w:rsidR="006615B8" w:rsidRPr="00852014" w:rsidRDefault="00096206" w:rsidP="00E042D7">
      <w:pPr>
        <w:pStyle w:val="Parag1"/>
        <w:numPr>
          <w:ilvl w:val="0"/>
          <w:numId w:val="24"/>
        </w:numPr>
        <w:ind w:left="822" w:hanging="198"/>
        <w:rPr>
          <w:rFonts w:eastAsia="Times New Roman"/>
        </w:rPr>
      </w:pPr>
      <w:r w:rsidRPr="005F79AC">
        <w:rPr>
          <w:rFonts w:eastAsia="Times New Roman"/>
        </w:rPr>
        <w:t>Por fim, a consolidação desta cadeia terá um efeito catalisador ao posicionar a Guiné-Bissau como exportador reconhecido de derivados de manga, abrindo espaço para a outras culturas.</w:t>
      </w:r>
    </w:p>
    <w:p w14:paraId="7CDCDF72" w14:textId="77777777" w:rsidR="00096206" w:rsidRPr="005F79AC" w:rsidRDefault="00096206" w:rsidP="00096206">
      <w:pPr>
        <w:rPr>
          <w:rFonts w:asciiTheme="majorHAnsi" w:eastAsia="Times New Roman" w:hAnsiTheme="majorHAnsi" w:cstheme="majorHAnsi"/>
          <w:sz w:val="2"/>
          <w:szCs w:val="2"/>
        </w:rPr>
      </w:pPr>
    </w:p>
    <w:p w14:paraId="40750A88" w14:textId="77777777" w:rsidR="00096206" w:rsidRPr="005F79AC" w:rsidRDefault="00096206" w:rsidP="00E042D7">
      <w:pPr>
        <w:pStyle w:val="Heading3"/>
        <w:numPr>
          <w:ilvl w:val="2"/>
          <w:numId w:val="37"/>
        </w:numPr>
      </w:pPr>
      <w:bookmarkStart w:id="232" w:name="_Toc220507536"/>
      <w:r w:rsidRPr="005F79AC">
        <w:t>Riscos</w:t>
      </w:r>
      <w:bookmarkEnd w:id="232"/>
    </w:p>
    <w:p w14:paraId="4E1CD1B3" w14:textId="4BA2725B" w:rsidR="006615B8" w:rsidRPr="005F79AC" w:rsidRDefault="00096206" w:rsidP="006615B8">
      <w:pPr>
        <w:rPr>
          <w:rFonts w:eastAsia="Times New Roman"/>
        </w:rPr>
      </w:pPr>
      <w:r w:rsidRPr="005F79AC">
        <w:rPr>
          <w:rFonts w:eastAsia="Times New Roman"/>
        </w:rPr>
        <w:t xml:space="preserve">O principal risco deste modelo é a dependência excessiva de um único ator, o que pode fragilizar toda a cadeia em caso de falha ou retração do investidor. Os elevados custos de investimento e a necessidade de certificações internacionais criam barreiras de entrada, enquanto socialmente há o risco de exclusão de produtores não integrados. Do ponto de vista ambiental, será importante verificar o uso da energia e água nas unidades bem como a quantidade de CO2 associado ao sistema </w:t>
      </w:r>
      <w:r w:rsidR="005C006E" w:rsidRPr="005F79AC">
        <w:rPr>
          <w:rFonts w:eastAsia="Times New Roman"/>
        </w:rPr>
        <w:t>logístico</w:t>
      </w:r>
      <w:r w:rsidRPr="005F79AC">
        <w:rPr>
          <w:rFonts w:eastAsia="Times New Roman"/>
        </w:rPr>
        <w:t xml:space="preserve"> de fornecimento da matéria-prima oriunda de diversas localidades. </w:t>
      </w:r>
    </w:p>
    <w:bookmarkEnd w:id="225"/>
    <w:p w14:paraId="34C32086" w14:textId="1EA62182" w:rsidR="00096206" w:rsidRPr="004B6B4A" w:rsidRDefault="00096206" w:rsidP="00815270">
      <w:pPr>
        <w:pStyle w:val="Heading2"/>
        <w:numPr>
          <w:ilvl w:val="1"/>
          <w:numId w:val="42"/>
        </w:numPr>
      </w:pPr>
      <w:r w:rsidRPr="004B6B4A">
        <w:lastRenderedPageBreak/>
        <w:t xml:space="preserve"> </w:t>
      </w:r>
      <w:bookmarkStart w:id="233" w:name="_Toc220507537"/>
      <w:r w:rsidRPr="004B6B4A">
        <w:t>Cenário de exportação da manga fresca através de grandes produtores</w:t>
      </w:r>
      <w:bookmarkEnd w:id="233"/>
    </w:p>
    <w:p w14:paraId="3281F58B" w14:textId="68531043" w:rsidR="00096206" w:rsidRDefault="00096206" w:rsidP="00922C5F">
      <w:pPr>
        <w:rPr>
          <w:rFonts w:asciiTheme="majorHAnsi" w:eastAsia="Times New Roman" w:hAnsiTheme="majorHAnsi" w:cstheme="majorHAnsi"/>
        </w:rPr>
      </w:pPr>
      <w:r w:rsidRPr="005F79AC">
        <w:rPr>
          <w:rFonts w:eastAsia="Times New Roman"/>
        </w:rPr>
        <w:t xml:space="preserve">Neste cenário, o desenvolvimento da fileira apoia-se na capacidade produtiva e organizacional de grandes produtores que se orientam diretamente para a exportação </w:t>
      </w:r>
      <w:r w:rsidR="00DD4B65" w:rsidRPr="005F79AC">
        <w:rPr>
          <w:rFonts w:eastAsia="Times New Roman"/>
        </w:rPr>
        <w:t xml:space="preserve">e abastecimento do mercado interno </w:t>
      </w:r>
      <w:r w:rsidRPr="005F79AC">
        <w:rPr>
          <w:rFonts w:eastAsia="Times New Roman"/>
        </w:rPr>
        <w:t>d</w:t>
      </w:r>
      <w:r w:rsidR="00DD4B65" w:rsidRPr="005F79AC">
        <w:rPr>
          <w:rFonts w:eastAsia="Times New Roman"/>
        </w:rPr>
        <w:t>a</w:t>
      </w:r>
      <w:r w:rsidRPr="005F79AC">
        <w:rPr>
          <w:rFonts w:eastAsia="Times New Roman"/>
        </w:rPr>
        <w:t xml:space="preserve"> manga fresca.</w:t>
      </w:r>
      <w:r w:rsidR="00F820F2">
        <w:rPr>
          <w:rFonts w:eastAsia="Times New Roman"/>
        </w:rPr>
        <w:t xml:space="preserve">, tal como ilustrado na </w:t>
      </w:r>
      <w:r w:rsidR="00F820F2">
        <w:rPr>
          <w:rFonts w:eastAsia="Times New Roman"/>
        </w:rPr>
        <w:fldChar w:fldCharType="begin"/>
      </w:r>
      <w:r w:rsidR="00F820F2">
        <w:rPr>
          <w:rFonts w:eastAsia="Times New Roman"/>
        </w:rPr>
        <w:instrText xml:space="preserve"> REF _Ref210829030 \h </w:instrText>
      </w:r>
      <w:r w:rsidR="00F820F2">
        <w:rPr>
          <w:rFonts w:eastAsia="Times New Roman"/>
        </w:rPr>
      </w:r>
      <w:r w:rsidR="00F820F2">
        <w:rPr>
          <w:rFonts w:eastAsia="Times New Roman"/>
        </w:rPr>
        <w:fldChar w:fldCharType="separate"/>
      </w:r>
      <w:r w:rsidR="002A2405">
        <w:t xml:space="preserve">Figura </w:t>
      </w:r>
      <w:r w:rsidR="002A2405">
        <w:rPr>
          <w:noProof/>
        </w:rPr>
        <w:t>5</w:t>
      </w:r>
      <w:r w:rsidR="002A2405">
        <w:t>.</w:t>
      </w:r>
      <w:r w:rsidR="002A2405">
        <w:rPr>
          <w:noProof/>
        </w:rPr>
        <w:t>2</w:t>
      </w:r>
      <w:r w:rsidR="00F820F2">
        <w:rPr>
          <w:rFonts w:eastAsia="Times New Roman"/>
        </w:rPr>
        <w:fldChar w:fldCharType="end"/>
      </w:r>
      <w:r w:rsidR="00F820F2">
        <w:rPr>
          <w:rFonts w:eastAsia="Times New Roman"/>
        </w:rPr>
        <w:t>.</w:t>
      </w:r>
      <w:r w:rsidRPr="005F79AC">
        <w:rPr>
          <w:rFonts w:eastAsia="Times New Roman"/>
        </w:rPr>
        <w:t xml:space="preserve"> Trata-se de um modelo voltado para a profissionalização e cumprimento dos padrões internacionais de </w:t>
      </w:r>
      <w:r w:rsidRPr="00922C5F">
        <w:t>qualidade, rastreabilidade e certificação, visando atender de forma eficiente os mercados externos com volumes</w:t>
      </w:r>
      <w:r w:rsidRPr="005F79AC">
        <w:rPr>
          <w:rFonts w:eastAsia="Times New Roman"/>
        </w:rPr>
        <w:t xml:space="preserve"> consistentes e padronizados</w:t>
      </w:r>
      <w:r w:rsidRPr="005F79AC">
        <w:rPr>
          <w:rFonts w:asciiTheme="majorHAnsi" w:eastAsia="Times New Roman" w:hAnsiTheme="majorHAnsi" w:cstheme="majorHAnsi"/>
        </w:rPr>
        <w:t>.</w:t>
      </w:r>
    </w:p>
    <w:p w14:paraId="192185EB" w14:textId="195740D6" w:rsidR="00451217" w:rsidRDefault="00155BDD" w:rsidP="00982C85">
      <w:pPr>
        <w:jc w:val="center"/>
        <w:rPr>
          <w:rFonts w:asciiTheme="majorHAnsi" w:eastAsia="Times New Roman" w:hAnsiTheme="majorHAnsi" w:cstheme="majorHAnsi"/>
        </w:rPr>
      </w:pPr>
      <w:r w:rsidRPr="00155BDD">
        <w:rPr>
          <w:rFonts w:asciiTheme="majorHAnsi" w:eastAsia="Times New Roman" w:hAnsiTheme="majorHAnsi" w:cstheme="majorHAnsi"/>
          <w:noProof/>
        </w:rPr>
        <w:drawing>
          <wp:inline distT="0" distB="0" distL="0" distR="0" wp14:anchorId="435F1D45" wp14:editId="48B9A392">
            <wp:extent cx="4555067" cy="1293950"/>
            <wp:effectExtent l="0" t="0" r="4445" b="1905"/>
            <wp:docPr id="364655735"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55735" name="Imagen 1" descr="Interfaz de usuario gráfica, Texto&#10;&#10;El contenido generado por IA puede ser incorrecto."/>
                    <pic:cNvPicPr/>
                  </pic:nvPicPr>
                  <pic:blipFill>
                    <a:blip r:embed="rId75"/>
                    <a:stretch>
                      <a:fillRect/>
                    </a:stretch>
                  </pic:blipFill>
                  <pic:spPr>
                    <a:xfrm>
                      <a:off x="0" y="0"/>
                      <a:ext cx="4583958" cy="1302157"/>
                    </a:xfrm>
                    <a:prstGeom prst="rect">
                      <a:avLst/>
                    </a:prstGeom>
                  </pic:spPr>
                </pic:pic>
              </a:graphicData>
            </a:graphic>
          </wp:inline>
        </w:drawing>
      </w:r>
    </w:p>
    <w:p w14:paraId="7D6821FB" w14:textId="1F737F9B" w:rsidR="00F820F2" w:rsidRPr="003B09F3" w:rsidRDefault="00F820F2" w:rsidP="007D3A26">
      <w:pPr>
        <w:pStyle w:val="Caption"/>
      </w:pPr>
      <w:bookmarkStart w:id="234" w:name="_Ref210829030"/>
      <w:bookmarkStart w:id="235" w:name="_Toc211359239"/>
      <w:r>
        <w:t xml:space="preserve">Figura </w:t>
      </w:r>
      <w:fldSimple w:instr=" STYLEREF 1 \s ">
        <w:r w:rsidR="002A2405">
          <w:rPr>
            <w:noProof/>
          </w:rPr>
          <w:t>5</w:t>
        </w:r>
      </w:fldSimple>
      <w:r w:rsidR="00C05C88">
        <w:t>.</w:t>
      </w:r>
      <w:fldSimple w:instr=" SEQ Figura \* ARABIC \s 1 ">
        <w:r w:rsidR="002A2405">
          <w:rPr>
            <w:noProof/>
          </w:rPr>
          <w:t>2</w:t>
        </w:r>
      </w:fldSimple>
      <w:bookmarkEnd w:id="234"/>
      <w:r>
        <w:t xml:space="preserve"> - </w:t>
      </w:r>
      <w:r w:rsidRPr="006E314A">
        <w:t xml:space="preserve">Desenvolvimento da fieira da manga centrado no grande </w:t>
      </w:r>
      <w:r>
        <w:t>produtor</w:t>
      </w:r>
      <w:bookmarkEnd w:id="235"/>
    </w:p>
    <w:p w14:paraId="3EB5B6FA" w14:textId="11301A28" w:rsidR="00096206" w:rsidRPr="005F79AC" w:rsidRDefault="00096206" w:rsidP="00387CA0">
      <w:pPr>
        <w:rPr>
          <w:rFonts w:eastAsia="Times New Roman"/>
        </w:rPr>
      </w:pPr>
      <w:r w:rsidRPr="005F79AC">
        <w:rPr>
          <w:rFonts w:eastAsia="Times New Roman"/>
        </w:rPr>
        <w:t xml:space="preserve">O ponto de </w:t>
      </w:r>
      <w:r w:rsidR="005710CC" w:rsidRPr="005F79AC">
        <w:rPr>
          <w:rFonts w:eastAsia="Times New Roman"/>
        </w:rPr>
        <w:t>p</w:t>
      </w:r>
      <w:r w:rsidRPr="005F79AC">
        <w:rPr>
          <w:rFonts w:eastAsia="Times New Roman"/>
        </w:rPr>
        <w:t>artida assenta na consolidação de grandes produtores comerciais de manga, com áreas próprias acima de 50 hectares, tecnicamente assistidos e com acesso a sistemas de irrigação, variedades de qualidade exportável (Kent, Keitt, Tommy) e práticas agrícolas certificadas (GlobalGAP, orgânico). Esses produtores tornam-se polos de fornecimento direto para exportação em fresco, assegurando escala e consistência da oferta. Paralelamente, podem organizar redes de pequenos produtores satélites através de contratos de fornecimento, servindo como agregadores locais.</w:t>
      </w:r>
    </w:p>
    <w:p w14:paraId="5C397AB9" w14:textId="0DD6C56C" w:rsidR="00096206" w:rsidRPr="005F79AC" w:rsidRDefault="00096206" w:rsidP="00387CA0">
      <w:pPr>
        <w:rPr>
          <w:rFonts w:eastAsia="Times New Roman" w:cs="Calibri"/>
          <w:szCs w:val="20"/>
        </w:rPr>
      </w:pPr>
      <w:r w:rsidRPr="005F79AC">
        <w:rPr>
          <w:rFonts w:eastAsia="Times New Roman" w:cs="Calibri"/>
          <w:szCs w:val="20"/>
        </w:rPr>
        <w:t>A estratégia exige a instalação de estruturas de acondicionamentos modernos junto às zonas de produção, equipados com linhas de calibragem, embalamento e câmaras de frio, permitindo a conservação e o transporte da fruta em conformidade com os requisitos internacionais. A coordenação logística é fundamental, incluindo rotas rodoviárias eficientes e acordos com transportadores especializados, de forma a garantir regularidade no abastecimento dos portos de Bissau, e eventualmente, de Banjul.</w:t>
      </w:r>
    </w:p>
    <w:p w14:paraId="24C58FFE" w14:textId="17123B22" w:rsidR="00EC6690" w:rsidRPr="00E17489" w:rsidRDefault="00096206" w:rsidP="00E17489">
      <w:pPr>
        <w:rPr>
          <w:rFonts w:eastAsia="Times New Roman" w:cs="Calibri"/>
          <w:szCs w:val="20"/>
        </w:rPr>
      </w:pPr>
      <w:r w:rsidRPr="005F79AC">
        <w:rPr>
          <w:rFonts w:eastAsia="Times New Roman" w:cs="Calibri"/>
          <w:szCs w:val="20"/>
        </w:rPr>
        <w:t>O sucesso depende da aposta em certificações de produção e exportação (GlobalGAP, HACCP, orgânico, Fair Trade) para acesso aos mercados mais exigentes da União Europeia e do Médio Oriente. O reforço das ligações comerciais, feiras internacionais e contratos diretos com importadores e cadeias de supermercados consolidará a reputação da Guiné-Bissau como fornecedor confiável de manga fresca de qualidade.</w:t>
      </w:r>
    </w:p>
    <w:p w14:paraId="33851814" w14:textId="32C875A0" w:rsidR="00096206" w:rsidRPr="005F79AC" w:rsidRDefault="00096206" w:rsidP="00E042D7">
      <w:pPr>
        <w:pStyle w:val="Heading3"/>
        <w:numPr>
          <w:ilvl w:val="2"/>
          <w:numId w:val="38"/>
        </w:numPr>
      </w:pPr>
      <w:bookmarkStart w:id="236" w:name="_Toc220507538"/>
      <w:r w:rsidRPr="005F79AC">
        <w:t>Mais-valia estratégica</w:t>
      </w:r>
      <w:bookmarkEnd w:id="236"/>
    </w:p>
    <w:p w14:paraId="46531AFE" w14:textId="22AC4596" w:rsidR="00791FF7" w:rsidRPr="005F79AC" w:rsidRDefault="00096206" w:rsidP="00096206">
      <w:pPr>
        <w:rPr>
          <w:rFonts w:eastAsia="Times New Roman" w:cs="Calibri"/>
          <w:szCs w:val="20"/>
        </w:rPr>
      </w:pPr>
      <w:r w:rsidRPr="00791FF7">
        <w:t>Este modelo cria escala imediata pela via da produção estruturada. Os grandes produtores funcionam como âncoras produtivas e comerciais, integrando pequenos produtores como satélites. A exportação em fresco gera divisas de forma mais rápida, com preços premium em mercados de nicho, ao mesmo tempo que melhora a imagem do país como origem confiável. O efeito demonstração atrai investidores privados e potencia parcerias</w:t>
      </w:r>
      <w:r w:rsidRPr="005F79AC">
        <w:rPr>
          <w:rFonts w:eastAsia="Times New Roman" w:cs="Calibri"/>
          <w:szCs w:val="20"/>
        </w:rPr>
        <w:t xml:space="preserve"> público-privadas em irrigação, logística e certificação.</w:t>
      </w:r>
    </w:p>
    <w:p w14:paraId="25B57A29" w14:textId="77777777" w:rsidR="00096206" w:rsidRPr="0027476E" w:rsidRDefault="00096206" w:rsidP="00E042D7">
      <w:pPr>
        <w:pStyle w:val="Heading3"/>
        <w:numPr>
          <w:ilvl w:val="2"/>
          <w:numId w:val="38"/>
        </w:numPr>
      </w:pPr>
      <w:bookmarkStart w:id="237" w:name="_Toc220507539"/>
      <w:r w:rsidRPr="0027476E">
        <w:t>Investimentos necessários</w:t>
      </w:r>
      <w:bookmarkEnd w:id="237"/>
    </w:p>
    <w:p w14:paraId="42977E64" w14:textId="77A3A6BF" w:rsidR="0038342E" w:rsidRPr="003B09F3" w:rsidRDefault="00096206" w:rsidP="00E042D7">
      <w:pPr>
        <w:pStyle w:val="Parag1"/>
        <w:numPr>
          <w:ilvl w:val="0"/>
          <w:numId w:val="25"/>
        </w:numPr>
        <w:ind w:left="822" w:hanging="198"/>
        <w:rPr>
          <w:rFonts w:eastAsia="Times New Roman"/>
        </w:rPr>
      </w:pPr>
      <w:r w:rsidRPr="005F79AC">
        <w:rPr>
          <w:rFonts w:eastAsia="Times New Roman"/>
        </w:rPr>
        <w:t>Produção primária – instalação/reabilitação de pomares comerciais irrigados, aquisição de mudas certificadas, sistemas de combate a pragas e assistência técnica permanente;</w:t>
      </w:r>
    </w:p>
    <w:p w14:paraId="2EEE30DC" w14:textId="77777777" w:rsidR="00096206" w:rsidRPr="005F79AC" w:rsidRDefault="00096206" w:rsidP="00E042D7">
      <w:pPr>
        <w:pStyle w:val="Parag1"/>
        <w:numPr>
          <w:ilvl w:val="0"/>
          <w:numId w:val="25"/>
        </w:numPr>
        <w:ind w:left="822" w:hanging="198"/>
        <w:rPr>
          <w:rFonts w:eastAsia="Times New Roman"/>
        </w:rPr>
      </w:pPr>
      <w:r w:rsidRPr="005F79AC">
        <w:rPr>
          <w:rFonts w:eastAsia="Times New Roman"/>
        </w:rPr>
        <w:t>Estruturas de acondicionamento e logística – centros de calibragem e embalamento com câmaras de frio; reforço da rede de transporte até portos de exportação;</w:t>
      </w:r>
    </w:p>
    <w:p w14:paraId="39AC86A1" w14:textId="380A722E" w:rsidR="0038342E" w:rsidRPr="003B09F3" w:rsidRDefault="00096206" w:rsidP="00E042D7">
      <w:pPr>
        <w:pStyle w:val="Parag1"/>
        <w:numPr>
          <w:ilvl w:val="0"/>
          <w:numId w:val="25"/>
        </w:numPr>
        <w:ind w:left="822" w:hanging="198"/>
        <w:rPr>
          <w:rFonts w:eastAsia="Times New Roman"/>
        </w:rPr>
      </w:pPr>
      <w:r w:rsidRPr="005F79AC">
        <w:rPr>
          <w:rFonts w:eastAsia="Times New Roman"/>
        </w:rPr>
        <w:t>Certificação e qualidade – implementação de normas GlobalGAP, HACCP e orgânicas, incluindo auditorias externas;</w:t>
      </w:r>
    </w:p>
    <w:p w14:paraId="4E99DC08" w14:textId="2B468841" w:rsidR="0038342E" w:rsidRPr="005F79AC" w:rsidRDefault="00096206" w:rsidP="00E042D7">
      <w:pPr>
        <w:pStyle w:val="Parag1"/>
        <w:numPr>
          <w:ilvl w:val="0"/>
          <w:numId w:val="25"/>
        </w:numPr>
        <w:ind w:left="822" w:hanging="198"/>
        <w:rPr>
          <w:rFonts w:eastAsia="Times New Roman"/>
        </w:rPr>
      </w:pPr>
      <w:r w:rsidRPr="005F79AC">
        <w:rPr>
          <w:rFonts w:eastAsia="Times New Roman"/>
        </w:rPr>
        <w:lastRenderedPageBreak/>
        <w:t>Financiamento – crédito agrícola de médio e longo prazo para instalação/renovação de pomares e linhas de crédito de curto prazo para operações de exportação;</w:t>
      </w:r>
    </w:p>
    <w:p w14:paraId="3A210C47" w14:textId="77777777" w:rsidR="0038342E" w:rsidRPr="005F79AC" w:rsidRDefault="0038342E" w:rsidP="0027476E">
      <w:pPr>
        <w:pStyle w:val="Parag1"/>
        <w:ind w:left="822" w:hanging="198"/>
        <w:rPr>
          <w:rFonts w:eastAsia="Times New Roman"/>
          <w:sz w:val="4"/>
          <w:szCs w:val="4"/>
        </w:rPr>
      </w:pPr>
    </w:p>
    <w:p w14:paraId="449DBB6E" w14:textId="51D3CAF9" w:rsidR="00096206" w:rsidRPr="00E17489" w:rsidRDefault="00096206" w:rsidP="00E042D7">
      <w:pPr>
        <w:pStyle w:val="Parag1"/>
        <w:numPr>
          <w:ilvl w:val="0"/>
          <w:numId w:val="25"/>
        </w:numPr>
        <w:ind w:left="822" w:hanging="198"/>
        <w:rPr>
          <w:rFonts w:eastAsia="Times New Roman"/>
        </w:rPr>
      </w:pPr>
      <w:r w:rsidRPr="005F79AC">
        <w:rPr>
          <w:rFonts w:eastAsia="Times New Roman"/>
        </w:rPr>
        <w:t>Capacitação – formação em gestão agrícola, comercialização internacional e boas práticas agrícolas.</w:t>
      </w:r>
    </w:p>
    <w:p w14:paraId="722C4433" w14:textId="77777777" w:rsidR="00096206" w:rsidRPr="005F79AC" w:rsidRDefault="00096206" w:rsidP="00E042D7">
      <w:pPr>
        <w:pStyle w:val="Heading3"/>
        <w:numPr>
          <w:ilvl w:val="2"/>
          <w:numId w:val="38"/>
        </w:numPr>
      </w:pPr>
      <w:bookmarkStart w:id="238" w:name="_Toc220507540"/>
      <w:r w:rsidRPr="005F79AC">
        <w:t>Resultados esperados (3-5 anos)</w:t>
      </w:r>
      <w:bookmarkEnd w:id="238"/>
    </w:p>
    <w:p w14:paraId="6D492AAD" w14:textId="3A31B7B2" w:rsidR="0038342E" w:rsidRPr="003B09F3" w:rsidRDefault="00096206" w:rsidP="00E042D7">
      <w:pPr>
        <w:pStyle w:val="Parag1"/>
        <w:numPr>
          <w:ilvl w:val="0"/>
          <w:numId w:val="26"/>
        </w:numPr>
        <w:ind w:left="822" w:hanging="198"/>
        <w:rPr>
          <w:rFonts w:eastAsia="Times New Roman"/>
        </w:rPr>
      </w:pPr>
      <w:r w:rsidRPr="005F79AC">
        <w:rPr>
          <w:rFonts w:eastAsia="Times New Roman"/>
        </w:rPr>
        <w:t>Produção exportável: 8–12 mil toneladas de manga fresca/ano de grandes produtores, mais 3–5 mil toneladas de pequenos produtores satélites;</w:t>
      </w:r>
    </w:p>
    <w:p w14:paraId="368B8BF2" w14:textId="668267FB" w:rsidR="0038342E" w:rsidRPr="003B09F3" w:rsidRDefault="00096206" w:rsidP="00E042D7">
      <w:pPr>
        <w:pStyle w:val="Parag1"/>
        <w:numPr>
          <w:ilvl w:val="0"/>
          <w:numId w:val="26"/>
        </w:numPr>
        <w:ind w:left="822" w:hanging="198"/>
        <w:rPr>
          <w:rFonts w:eastAsia="Times New Roman"/>
        </w:rPr>
      </w:pPr>
      <w:r w:rsidRPr="005F79AC">
        <w:rPr>
          <w:rFonts w:eastAsia="Times New Roman"/>
        </w:rPr>
        <w:t>Receitas de exportação: entre 10 e 15 milhões €/ano;</w:t>
      </w:r>
    </w:p>
    <w:p w14:paraId="426F983A" w14:textId="4CDB46C0" w:rsidR="0038342E" w:rsidRPr="003B09F3" w:rsidRDefault="00096206" w:rsidP="00E042D7">
      <w:pPr>
        <w:pStyle w:val="Parag1"/>
        <w:numPr>
          <w:ilvl w:val="0"/>
          <w:numId w:val="26"/>
        </w:numPr>
        <w:ind w:left="822" w:hanging="198"/>
        <w:rPr>
          <w:rFonts w:eastAsia="Times New Roman"/>
        </w:rPr>
      </w:pPr>
      <w:r w:rsidRPr="005F79AC">
        <w:rPr>
          <w:rFonts w:eastAsia="Times New Roman"/>
        </w:rPr>
        <w:t>Impacto socioeconómico: criação de empregos diretos, aumento do rendimento de pequenos produtores integrados, desenvolvimento de clusters de serviços (logística, embalagens, certificação);</w:t>
      </w:r>
    </w:p>
    <w:p w14:paraId="3AAEF47A" w14:textId="0930AA59" w:rsidR="0038342E" w:rsidRPr="003B09F3" w:rsidRDefault="00096206" w:rsidP="00E042D7">
      <w:pPr>
        <w:pStyle w:val="Parag1"/>
        <w:numPr>
          <w:ilvl w:val="0"/>
          <w:numId w:val="26"/>
        </w:numPr>
        <w:ind w:left="822" w:hanging="198"/>
        <w:rPr>
          <w:rFonts w:eastAsia="Times New Roman"/>
        </w:rPr>
      </w:pPr>
      <w:r w:rsidRPr="005F79AC">
        <w:rPr>
          <w:rFonts w:eastAsia="Times New Roman"/>
        </w:rPr>
        <w:t>Sustentabilidade: redução de perdas pós-colheita, maior eficiência hídrica com irrigação localizada, e consolidação de práticas agrícolas sustentáveis;</w:t>
      </w:r>
    </w:p>
    <w:p w14:paraId="549C33A6" w14:textId="05DE3988" w:rsidR="00096206" w:rsidRPr="003B09F3" w:rsidRDefault="00096206" w:rsidP="00E042D7">
      <w:pPr>
        <w:pStyle w:val="Parag1"/>
        <w:numPr>
          <w:ilvl w:val="0"/>
          <w:numId w:val="26"/>
        </w:numPr>
        <w:ind w:left="822" w:hanging="198"/>
        <w:rPr>
          <w:rFonts w:eastAsia="Times New Roman"/>
        </w:rPr>
      </w:pPr>
      <w:r w:rsidRPr="005F79AC">
        <w:rPr>
          <w:rFonts w:eastAsia="Times New Roman"/>
        </w:rPr>
        <w:t>Efeito catalisador: posicionamento da Guiné-Bissau como fornecedor regular de manga fresca de qualidade, abrindo espaço para a diversificação para outros produtos tropicais (ananás, citrinos, papaia).</w:t>
      </w:r>
    </w:p>
    <w:p w14:paraId="07765348" w14:textId="77777777" w:rsidR="00096206" w:rsidRPr="005F79AC" w:rsidRDefault="00096206" w:rsidP="00E042D7">
      <w:pPr>
        <w:pStyle w:val="Heading3"/>
        <w:numPr>
          <w:ilvl w:val="2"/>
          <w:numId w:val="38"/>
        </w:numPr>
      </w:pPr>
      <w:bookmarkStart w:id="239" w:name="_Toc220507541"/>
      <w:r w:rsidRPr="005F79AC">
        <w:t>Riscos</w:t>
      </w:r>
      <w:bookmarkEnd w:id="239"/>
    </w:p>
    <w:p w14:paraId="626534A9" w14:textId="001ECB82" w:rsidR="007C3308" w:rsidRPr="005F79AC" w:rsidRDefault="00096206" w:rsidP="0027476E">
      <w:pPr>
        <w:rPr>
          <w:rFonts w:eastAsia="Times New Roman"/>
        </w:rPr>
      </w:pPr>
      <w:r w:rsidRPr="005F79AC">
        <w:rPr>
          <w:rFonts w:eastAsia="Times New Roman"/>
        </w:rPr>
        <w:t xml:space="preserve">Este cenário enfrenta riscos associados ao elevado capital necessário para instalar pomares irrigados. Socialmente, pode intensificar a concentração fundiária e marginalizar pequenos produtores, enquanto ambientalmente pode implicar algum risco de desflorestação para instalação de mais pomares, pressão hídrica e uso intensivo de químicos. </w:t>
      </w:r>
    </w:p>
    <w:p w14:paraId="3F40F834" w14:textId="77777777" w:rsidR="00096206" w:rsidRPr="004B6B4A" w:rsidRDefault="00096206" w:rsidP="00815270">
      <w:pPr>
        <w:pStyle w:val="Heading2"/>
        <w:numPr>
          <w:ilvl w:val="1"/>
          <w:numId w:val="42"/>
        </w:numPr>
      </w:pPr>
      <w:bookmarkStart w:id="240" w:name="_Toc220507542"/>
      <w:r w:rsidRPr="004B6B4A">
        <w:t>Cenário de organização de pequenos e médios produtores:</w:t>
      </w:r>
      <w:bookmarkEnd w:id="240"/>
    </w:p>
    <w:p w14:paraId="4851AE1A" w14:textId="64C0B564" w:rsidR="0027476E" w:rsidRDefault="00096206" w:rsidP="0027476E">
      <w:pPr>
        <w:rPr>
          <w:rFonts w:eastAsia="Times New Roman"/>
        </w:rPr>
      </w:pPr>
      <w:r w:rsidRPr="005F79AC">
        <w:rPr>
          <w:rFonts w:eastAsia="Times New Roman"/>
        </w:rPr>
        <w:t>O cenário baseia-se no fortalecimento da agricultura familiar e de empreendedores médios, que representam a maior parte da produção atual de manga no país</w:t>
      </w:r>
      <w:r w:rsidR="0027476E">
        <w:rPr>
          <w:rFonts w:eastAsia="Times New Roman"/>
        </w:rPr>
        <w:t xml:space="preserve">, tal como </w:t>
      </w:r>
      <w:r w:rsidR="00C05C88">
        <w:rPr>
          <w:rFonts w:eastAsia="Times New Roman"/>
        </w:rPr>
        <w:t>sintetizado</w:t>
      </w:r>
      <w:r w:rsidR="0027476E">
        <w:rPr>
          <w:rFonts w:eastAsia="Times New Roman"/>
        </w:rPr>
        <w:t xml:space="preserve"> na </w:t>
      </w:r>
      <w:r w:rsidR="00EC68E5">
        <w:rPr>
          <w:rFonts w:eastAsia="Times New Roman"/>
        </w:rPr>
        <w:fldChar w:fldCharType="begin"/>
      </w:r>
      <w:r w:rsidR="00EC68E5">
        <w:rPr>
          <w:rFonts w:eastAsia="Times New Roman"/>
        </w:rPr>
        <w:instrText xml:space="preserve"> REF _Ref210829997 \h </w:instrText>
      </w:r>
      <w:r w:rsidR="00EC68E5">
        <w:rPr>
          <w:rFonts w:eastAsia="Times New Roman"/>
        </w:rPr>
      </w:r>
      <w:r w:rsidR="00EC68E5">
        <w:rPr>
          <w:rFonts w:eastAsia="Times New Roman"/>
        </w:rPr>
        <w:fldChar w:fldCharType="separate"/>
      </w:r>
      <w:r w:rsidR="002A2405">
        <w:t xml:space="preserve">Figura </w:t>
      </w:r>
      <w:r w:rsidR="002A2405">
        <w:rPr>
          <w:noProof/>
        </w:rPr>
        <w:t>5</w:t>
      </w:r>
      <w:r w:rsidR="002A2405">
        <w:t>.</w:t>
      </w:r>
      <w:r w:rsidR="002A2405">
        <w:rPr>
          <w:noProof/>
        </w:rPr>
        <w:t>3</w:t>
      </w:r>
      <w:r w:rsidR="00EC68E5">
        <w:rPr>
          <w:rFonts w:eastAsia="Times New Roman"/>
        </w:rPr>
        <w:fldChar w:fldCharType="end"/>
      </w:r>
      <w:r w:rsidR="00EC68E5">
        <w:rPr>
          <w:rFonts w:eastAsia="Times New Roman"/>
        </w:rPr>
        <w:t>.</w:t>
      </w:r>
    </w:p>
    <w:p w14:paraId="690F67D4" w14:textId="0BD0D407" w:rsidR="00096206" w:rsidRDefault="00096206" w:rsidP="0027476E">
      <w:pPr>
        <w:rPr>
          <w:rFonts w:eastAsia="Times New Roman"/>
        </w:rPr>
      </w:pPr>
      <w:r w:rsidRPr="005F79AC">
        <w:rPr>
          <w:rFonts w:eastAsia="Times New Roman"/>
        </w:rPr>
        <w:t>A aposta recai sobre a melhoria dos pomares existentes, com introdução gradual de variedades comerciais (Kent, Keitt, Tommy) combinadas com variedades locais valorizadas no mercado interno. A instalação de viveiros descentralizados de mudas certificadas, a assistência técnica regular e os programas de boas práticas agrícolas permitirão elevar a produtividade e a qualidade. O modelo organiza os produtores em cooperativas e associações, garantindo escala coletiva para fornecimento a indústrias, exportadores e mercados urbanos.</w:t>
      </w:r>
    </w:p>
    <w:p w14:paraId="079F3ECE" w14:textId="77777777" w:rsidR="00EC68E5" w:rsidRDefault="00EC68E5" w:rsidP="0027476E">
      <w:pPr>
        <w:rPr>
          <w:rFonts w:eastAsia="Times New Roman"/>
        </w:rPr>
      </w:pPr>
    </w:p>
    <w:p w14:paraId="48FD3F28" w14:textId="288A8C76" w:rsidR="00EC68E5" w:rsidRPr="005F79AC" w:rsidRDefault="002550D5" w:rsidP="00982C85">
      <w:pPr>
        <w:jc w:val="center"/>
        <w:rPr>
          <w:rFonts w:eastAsia="Times New Roman"/>
        </w:rPr>
      </w:pPr>
      <w:r w:rsidRPr="00E600CF">
        <w:rPr>
          <w:rFonts w:eastAsia="Times New Roman"/>
          <w:noProof/>
        </w:rPr>
        <w:drawing>
          <wp:inline distT="0" distB="0" distL="0" distR="0" wp14:anchorId="663B4310" wp14:editId="0A889F7F">
            <wp:extent cx="4664710" cy="1174705"/>
            <wp:effectExtent l="0" t="0" r="0" b="0"/>
            <wp:docPr id="1796665075"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65075" name="Imagen 1" descr="Interfaz de usuario gráfica, Texto, Aplicación&#10;&#10;El contenido generado por IA puede ser incorrecto."/>
                    <pic:cNvPicPr/>
                  </pic:nvPicPr>
                  <pic:blipFill>
                    <a:blip r:embed="rId76"/>
                    <a:stretch>
                      <a:fillRect/>
                    </a:stretch>
                  </pic:blipFill>
                  <pic:spPr>
                    <a:xfrm>
                      <a:off x="0" y="0"/>
                      <a:ext cx="4721301" cy="1188956"/>
                    </a:xfrm>
                    <a:prstGeom prst="rect">
                      <a:avLst/>
                    </a:prstGeom>
                  </pic:spPr>
                </pic:pic>
              </a:graphicData>
            </a:graphic>
          </wp:inline>
        </w:drawing>
      </w:r>
    </w:p>
    <w:p w14:paraId="73CE23AB" w14:textId="1920CAEB" w:rsidR="0027476E" w:rsidRPr="009A44A3" w:rsidRDefault="0027476E" w:rsidP="007D3A26">
      <w:pPr>
        <w:pStyle w:val="Caption"/>
      </w:pPr>
      <w:bookmarkStart w:id="241" w:name="_Ref210829997"/>
      <w:bookmarkStart w:id="242" w:name="_Toc211359240"/>
      <w:r>
        <w:t xml:space="preserve">Figura </w:t>
      </w:r>
      <w:fldSimple w:instr=" STYLEREF 1 \s ">
        <w:r w:rsidR="002A2405">
          <w:rPr>
            <w:noProof/>
          </w:rPr>
          <w:t>5</w:t>
        </w:r>
      </w:fldSimple>
      <w:r w:rsidR="00C05C88">
        <w:t>.</w:t>
      </w:r>
      <w:fldSimple w:instr=" SEQ Figura \* ARABIC \s 1 ">
        <w:r w:rsidR="002A2405">
          <w:rPr>
            <w:noProof/>
          </w:rPr>
          <w:t>3</w:t>
        </w:r>
      </w:fldSimple>
      <w:bookmarkEnd w:id="241"/>
      <w:r>
        <w:t xml:space="preserve"> - </w:t>
      </w:r>
      <w:r w:rsidRPr="0027476E">
        <w:t>Desenvolvimento da fieira a partir de pequenos e médios produtores</w:t>
      </w:r>
      <w:bookmarkEnd w:id="242"/>
    </w:p>
    <w:p w14:paraId="54A866CA" w14:textId="0F921F79" w:rsidR="00096206" w:rsidRPr="005F79AC" w:rsidRDefault="00096206" w:rsidP="006B4751">
      <w:pPr>
        <w:rPr>
          <w:rFonts w:eastAsia="Times New Roman"/>
        </w:rPr>
      </w:pPr>
      <w:r w:rsidRPr="005F79AC">
        <w:rPr>
          <w:rFonts w:eastAsia="Times New Roman"/>
        </w:rPr>
        <w:t>Para reduzir perdas e melhorar o acesso ao mercado, serão necessários centros comunitários de recolha, armazéns e pequenas câmaras de frio em regiões produtoras estratégicas (Oio, Cacheu, Bafatá). Estes centros vão calibrar, acondicionar e conservar a fruta antes da sua distribuição. A nível interno, a ligação com feiras urbanas, supermercados e transformadores locais dinamiza a procura, enquanto no plano externo as cooperativas podem agrupar volumes suficientes para exportação, em parceria com exportadores privados.</w:t>
      </w:r>
    </w:p>
    <w:p w14:paraId="59D59C9C" w14:textId="3871E8D5" w:rsidR="006B4751" w:rsidRPr="005F79AC" w:rsidRDefault="00096206" w:rsidP="006B4751">
      <w:pPr>
        <w:rPr>
          <w:rFonts w:eastAsia="Times New Roman"/>
        </w:rPr>
      </w:pPr>
      <w:r w:rsidRPr="005F79AC">
        <w:rPr>
          <w:rFonts w:eastAsia="Times New Roman"/>
        </w:rPr>
        <w:lastRenderedPageBreak/>
        <w:t>O mercado nacional constitui a primeira linha de valorização, através da melhoria da oferta de manga fresca em centros urbanos (Bissau, Gabú, Bafatá) e do fornecimento a restaurantes, hotéis e pequenas unidades de transformação. Para a exportação, os produtores organizados podem beneficiar de certificações simplificadas e coletivas (GlobalGAP em grupo, orgânico comunitário), reduzindo custos e aumentando o acesso a nichos de mercado.</w:t>
      </w:r>
    </w:p>
    <w:p w14:paraId="435C2834" w14:textId="5286A242" w:rsidR="00096206" w:rsidRPr="005F79AC" w:rsidRDefault="00096206" w:rsidP="00E042D7">
      <w:pPr>
        <w:pStyle w:val="Heading3"/>
        <w:numPr>
          <w:ilvl w:val="2"/>
          <w:numId w:val="39"/>
        </w:numPr>
      </w:pPr>
      <w:bookmarkStart w:id="243" w:name="_Toc220507543"/>
      <w:r w:rsidRPr="005F79AC">
        <w:t>Mais-valia estratégica</w:t>
      </w:r>
      <w:bookmarkEnd w:id="243"/>
    </w:p>
    <w:p w14:paraId="17B25C77" w14:textId="3951B7FA" w:rsidR="00096206" w:rsidRPr="003B09F3" w:rsidRDefault="00096206" w:rsidP="00096206">
      <w:pPr>
        <w:rPr>
          <w:rFonts w:eastAsia="Times New Roman"/>
        </w:rPr>
      </w:pPr>
      <w:r w:rsidRPr="005F79AC">
        <w:rPr>
          <w:rFonts w:eastAsia="Times New Roman"/>
        </w:rPr>
        <w:t>O modelo centrado em pequenos e médios produtores reforça a inclusão social, gera benefícios distribuídos e reduz a vulnerabilidade rural. A organização coletiva permite transformar fragmentação produtiva em escala comercial, abrindo espaço para inserção em cadeias mais estruturadas de fornecimento. Além disso, fortalece a soberania alimentar nacional ao aumentar a oferta e a qualidade nos mercados internos, enquanto cria excedentes de qualidade para exportação. Este enfoque tem também forte legitimidade social e política, podendo mobilizar apoios de doadores e programas de desenvolvimento.</w:t>
      </w:r>
    </w:p>
    <w:p w14:paraId="3091F4DB" w14:textId="1215B3BE" w:rsidR="00096206" w:rsidRPr="005F79AC" w:rsidRDefault="00096206" w:rsidP="00E042D7">
      <w:pPr>
        <w:pStyle w:val="Heading3"/>
        <w:numPr>
          <w:ilvl w:val="2"/>
          <w:numId w:val="39"/>
        </w:numPr>
      </w:pPr>
      <w:bookmarkStart w:id="244" w:name="_Toc220507544"/>
      <w:r w:rsidRPr="005F79AC">
        <w:t>Investimentos necessários</w:t>
      </w:r>
      <w:bookmarkEnd w:id="244"/>
    </w:p>
    <w:p w14:paraId="32AF23C5" w14:textId="77777777" w:rsidR="00096206" w:rsidRPr="005F79AC" w:rsidRDefault="00096206" w:rsidP="00E042D7">
      <w:pPr>
        <w:pStyle w:val="Parag1"/>
        <w:numPr>
          <w:ilvl w:val="0"/>
          <w:numId w:val="27"/>
        </w:numPr>
        <w:ind w:left="822" w:hanging="198"/>
        <w:rPr>
          <w:rFonts w:eastAsia="Times New Roman"/>
        </w:rPr>
      </w:pPr>
      <w:r w:rsidRPr="005F79AC">
        <w:rPr>
          <w:rFonts w:eastAsia="Times New Roman"/>
        </w:rPr>
        <w:t>Produção primária – reabilitação de pomares familiares, viveiros regionais de mudas certificadas, kits de irrigação de baixo custo e capacitação em boas práticas agrícolas;</w:t>
      </w:r>
    </w:p>
    <w:p w14:paraId="03FC0B8B" w14:textId="77777777" w:rsidR="00096206" w:rsidRPr="005F79AC" w:rsidRDefault="00096206" w:rsidP="00E042D7">
      <w:pPr>
        <w:pStyle w:val="Parag1"/>
        <w:numPr>
          <w:ilvl w:val="0"/>
          <w:numId w:val="27"/>
        </w:numPr>
        <w:ind w:left="822" w:hanging="198"/>
        <w:rPr>
          <w:rFonts w:eastAsia="Times New Roman"/>
        </w:rPr>
      </w:pPr>
      <w:r w:rsidRPr="005F79AC">
        <w:rPr>
          <w:rFonts w:eastAsia="Times New Roman"/>
        </w:rPr>
        <w:t>Infraestruturas locais – pequenos centros de recolha e embalamento, câmaras de frio comunitárias, armazéns e sistemas de transporte compartilhado;</w:t>
      </w:r>
    </w:p>
    <w:p w14:paraId="77539834" w14:textId="77777777" w:rsidR="00096206" w:rsidRPr="005F79AC" w:rsidRDefault="00096206" w:rsidP="00E042D7">
      <w:pPr>
        <w:pStyle w:val="Parag1"/>
        <w:numPr>
          <w:ilvl w:val="0"/>
          <w:numId w:val="27"/>
        </w:numPr>
        <w:ind w:left="822" w:hanging="198"/>
        <w:rPr>
          <w:rFonts w:eastAsia="Times New Roman"/>
        </w:rPr>
      </w:pPr>
      <w:r w:rsidRPr="005F79AC">
        <w:rPr>
          <w:rFonts w:eastAsia="Times New Roman"/>
        </w:rPr>
        <w:t>Organização e capacitação – formação de cooperativas, gestão associativa, contratos coletivos de fornecimento e capacitação em normas de qualidade;</w:t>
      </w:r>
    </w:p>
    <w:p w14:paraId="5D02F262" w14:textId="77777777" w:rsidR="00096206" w:rsidRPr="005F79AC" w:rsidRDefault="00096206" w:rsidP="00E042D7">
      <w:pPr>
        <w:pStyle w:val="Parag1"/>
        <w:numPr>
          <w:ilvl w:val="0"/>
          <w:numId w:val="27"/>
        </w:numPr>
        <w:ind w:left="822" w:hanging="198"/>
        <w:rPr>
          <w:rFonts w:eastAsia="Times New Roman"/>
        </w:rPr>
      </w:pPr>
      <w:r w:rsidRPr="005F79AC">
        <w:rPr>
          <w:rFonts w:eastAsia="Times New Roman"/>
        </w:rPr>
        <w:t>Certificação acessível – programas de certificação em grupo (GlobalGAP/Orgânico), financiados parcialmente por doadores;</w:t>
      </w:r>
    </w:p>
    <w:p w14:paraId="55197E3B" w14:textId="77777777" w:rsidR="00096206" w:rsidRPr="005F79AC" w:rsidRDefault="00096206" w:rsidP="00E042D7">
      <w:pPr>
        <w:pStyle w:val="Parag1"/>
        <w:numPr>
          <w:ilvl w:val="0"/>
          <w:numId w:val="27"/>
        </w:numPr>
        <w:ind w:left="822" w:hanging="198"/>
        <w:rPr>
          <w:rFonts w:eastAsia="Times New Roman"/>
        </w:rPr>
      </w:pPr>
      <w:r w:rsidRPr="005F79AC">
        <w:rPr>
          <w:rFonts w:eastAsia="Times New Roman"/>
        </w:rPr>
        <w:t>Acesso ao financiamento – microcrédito agrícola, fundos rotativos comunitários e mecanismos de pré-financiamento para colheita e exportação;</w:t>
      </w:r>
    </w:p>
    <w:p w14:paraId="4EF52DDA" w14:textId="0EAC9430" w:rsidR="00096206" w:rsidRPr="003B09F3" w:rsidRDefault="00096206" w:rsidP="00E042D7">
      <w:pPr>
        <w:pStyle w:val="Parag1"/>
        <w:numPr>
          <w:ilvl w:val="0"/>
          <w:numId w:val="27"/>
        </w:numPr>
        <w:ind w:left="822" w:hanging="198"/>
        <w:rPr>
          <w:rFonts w:eastAsia="Times New Roman"/>
        </w:rPr>
      </w:pPr>
      <w:r w:rsidRPr="005F79AC">
        <w:rPr>
          <w:rFonts w:eastAsia="Times New Roman"/>
        </w:rPr>
        <w:t>Promoção de mercado – campanhas de valorização da manga nacional, feiras agrícolas, participação em missões comerciais regionais.</w:t>
      </w:r>
    </w:p>
    <w:p w14:paraId="2EECE202" w14:textId="76226AB9" w:rsidR="00096206" w:rsidRPr="005F79AC" w:rsidRDefault="00096206" w:rsidP="00E042D7">
      <w:pPr>
        <w:pStyle w:val="Heading3"/>
        <w:numPr>
          <w:ilvl w:val="2"/>
          <w:numId w:val="39"/>
        </w:numPr>
      </w:pPr>
      <w:bookmarkStart w:id="245" w:name="_Toc220507545"/>
      <w:r w:rsidRPr="005F79AC">
        <w:t>Resultados esperados (3-5 anos)</w:t>
      </w:r>
      <w:bookmarkEnd w:id="245"/>
    </w:p>
    <w:p w14:paraId="38067325" w14:textId="77777777" w:rsidR="00096206" w:rsidRPr="005F79AC" w:rsidRDefault="00096206" w:rsidP="00E042D7">
      <w:pPr>
        <w:pStyle w:val="ListParagraph"/>
        <w:numPr>
          <w:ilvl w:val="0"/>
          <w:numId w:val="28"/>
        </w:numPr>
        <w:ind w:left="714" w:hanging="357"/>
        <w:rPr>
          <w:rFonts w:eastAsia="Times New Roman" w:cs="Calibri"/>
          <w:szCs w:val="20"/>
        </w:rPr>
      </w:pPr>
      <w:r w:rsidRPr="005F79AC">
        <w:rPr>
          <w:rFonts w:eastAsia="Times New Roman" w:cs="Calibri"/>
          <w:szCs w:val="20"/>
        </w:rPr>
        <w:t>Produção organizada: entre 6 e 8 mil toneladas/ano de manga de pequenos e médios produtores estruturados;</w:t>
      </w:r>
    </w:p>
    <w:p w14:paraId="6A7C3485" w14:textId="691F50E3" w:rsidR="00096206" w:rsidRPr="005F79AC" w:rsidRDefault="00096206" w:rsidP="00E042D7">
      <w:pPr>
        <w:pStyle w:val="ListParagraph"/>
        <w:numPr>
          <w:ilvl w:val="0"/>
          <w:numId w:val="28"/>
        </w:numPr>
        <w:ind w:left="714" w:hanging="357"/>
        <w:rPr>
          <w:rFonts w:eastAsia="Times New Roman" w:cs="Calibri"/>
          <w:szCs w:val="20"/>
        </w:rPr>
      </w:pPr>
      <w:r w:rsidRPr="005F79AC">
        <w:rPr>
          <w:rFonts w:eastAsia="Times New Roman" w:cs="Calibri"/>
          <w:szCs w:val="20"/>
        </w:rPr>
        <w:t xml:space="preserve">Receita de mercado: 4 a 6 milhões </w:t>
      </w:r>
      <w:r w:rsidR="00815A07" w:rsidRPr="005F79AC">
        <w:rPr>
          <w:rFonts w:eastAsia="Times New Roman" w:cs="Calibri"/>
          <w:szCs w:val="20"/>
        </w:rPr>
        <w:t>€</w:t>
      </w:r>
      <w:r w:rsidRPr="005F79AC">
        <w:rPr>
          <w:rFonts w:eastAsia="Times New Roman" w:cs="Calibri"/>
          <w:szCs w:val="20"/>
        </w:rPr>
        <w:t>/ano combinando vendas internas (supermercados, indústrias locais) e exportação de excedentes;</w:t>
      </w:r>
    </w:p>
    <w:p w14:paraId="39F7C99A" w14:textId="77777777" w:rsidR="00096206" w:rsidRPr="005F79AC" w:rsidRDefault="00096206" w:rsidP="00E042D7">
      <w:pPr>
        <w:pStyle w:val="ListParagraph"/>
        <w:numPr>
          <w:ilvl w:val="0"/>
          <w:numId w:val="28"/>
        </w:numPr>
        <w:ind w:left="714" w:hanging="357"/>
        <w:rPr>
          <w:rFonts w:eastAsia="Times New Roman" w:cs="Calibri"/>
          <w:szCs w:val="20"/>
        </w:rPr>
      </w:pPr>
      <w:r w:rsidRPr="005F79AC">
        <w:rPr>
          <w:rFonts w:eastAsia="Times New Roman" w:cs="Calibri"/>
          <w:szCs w:val="20"/>
        </w:rPr>
        <w:t>Emprego e inclusão: pequenos produtores beneficiados, com geração de renda complementar e maior segurança alimentar; criação de centenas de empregos indiretos em logística, embalamento e transporte;</w:t>
      </w:r>
    </w:p>
    <w:p w14:paraId="71FDF960" w14:textId="77777777" w:rsidR="00096206" w:rsidRPr="005F79AC" w:rsidRDefault="00096206" w:rsidP="00E042D7">
      <w:pPr>
        <w:pStyle w:val="ListParagraph"/>
        <w:numPr>
          <w:ilvl w:val="0"/>
          <w:numId w:val="28"/>
        </w:numPr>
        <w:ind w:left="714" w:hanging="357"/>
        <w:rPr>
          <w:rFonts w:eastAsia="Times New Roman" w:cs="Calibri"/>
          <w:szCs w:val="20"/>
        </w:rPr>
      </w:pPr>
      <w:r w:rsidRPr="005F79AC">
        <w:rPr>
          <w:rFonts w:eastAsia="Times New Roman" w:cs="Calibri"/>
          <w:szCs w:val="20"/>
        </w:rPr>
        <w:t>Impacto socioeconómico: aumento da resiliência das comunidades rurais, redução das perdas pós-colheita, dinamização do mercado urbano e fortalecimento de micro e pequenas empresas de transformação;</w:t>
      </w:r>
    </w:p>
    <w:p w14:paraId="3754CF50" w14:textId="77777777" w:rsidR="00096206" w:rsidRPr="005F79AC" w:rsidRDefault="00096206" w:rsidP="00E042D7">
      <w:pPr>
        <w:pStyle w:val="ListParagraph"/>
        <w:numPr>
          <w:ilvl w:val="0"/>
          <w:numId w:val="28"/>
        </w:numPr>
        <w:ind w:left="714" w:hanging="357"/>
        <w:rPr>
          <w:rFonts w:eastAsia="Times New Roman" w:cs="Calibri"/>
          <w:szCs w:val="20"/>
        </w:rPr>
      </w:pPr>
      <w:r w:rsidRPr="005F79AC">
        <w:rPr>
          <w:rFonts w:eastAsia="Times New Roman" w:cs="Calibri"/>
          <w:szCs w:val="20"/>
        </w:rPr>
        <w:t>Sustentabilidade: adoção de práticas agrícolas mais sustentáveis, maior valorização de variedades locais e redução de perdas, hoje estimadas acima de 40%;</w:t>
      </w:r>
    </w:p>
    <w:p w14:paraId="1FBC531D" w14:textId="2D8964F2" w:rsidR="00096206" w:rsidRPr="00E17489" w:rsidRDefault="00096206" w:rsidP="00E042D7">
      <w:pPr>
        <w:pStyle w:val="ListParagraph"/>
        <w:numPr>
          <w:ilvl w:val="0"/>
          <w:numId w:val="28"/>
        </w:numPr>
        <w:ind w:left="714" w:hanging="357"/>
        <w:rPr>
          <w:rFonts w:eastAsia="Times New Roman" w:cs="Calibri"/>
          <w:szCs w:val="20"/>
        </w:rPr>
      </w:pPr>
      <w:r w:rsidRPr="005F79AC">
        <w:rPr>
          <w:rFonts w:eastAsia="Times New Roman" w:cs="Calibri"/>
          <w:szCs w:val="20"/>
        </w:rPr>
        <w:t>Efeito catalisador: consolidação de cooperativas rurais como atores relevantes, permitindo no futuro expandir o modelo para outras culturas (caju, citrinos, goiaba).</w:t>
      </w:r>
    </w:p>
    <w:p w14:paraId="16CD400D" w14:textId="3AE7821A" w:rsidR="00096206" w:rsidRPr="005F79AC" w:rsidRDefault="00096206" w:rsidP="00E042D7">
      <w:pPr>
        <w:pStyle w:val="Heading3"/>
        <w:numPr>
          <w:ilvl w:val="2"/>
          <w:numId w:val="39"/>
        </w:numPr>
      </w:pPr>
      <w:bookmarkStart w:id="246" w:name="_Toc220507546"/>
      <w:r w:rsidRPr="005F79AC">
        <w:t>Riscos</w:t>
      </w:r>
      <w:bookmarkEnd w:id="246"/>
    </w:p>
    <w:p w14:paraId="644AB447" w14:textId="0AF25AAE" w:rsidR="006B4751" w:rsidRPr="005F79AC" w:rsidRDefault="00096206" w:rsidP="00096206">
      <w:pPr>
        <w:rPr>
          <w:rFonts w:eastAsia="Times New Roman" w:cs="Calibri"/>
          <w:szCs w:val="20"/>
        </w:rPr>
      </w:pPr>
      <w:r w:rsidRPr="005F79AC">
        <w:rPr>
          <w:rFonts w:eastAsia="Times New Roman" w:cs="Calibri"/>
          <w:szCs w:val="20"/>
        </w:rPr>
        <w:t xml:space="preserve">Os riscos centram-se na baixa produtividade inicial, dispersão da produção e dificuldade em atingir escala competitiva, agravados pelo frágil acesso ao crédito e pela necessidade constante de apoio externo. Socialmente, há risco de exclusão dos menos organizados, e ambientalmente persistem práticas pouco sustentáveis que </w:t>
      </w:r>
      <w:r w:rsidRPr="005F79AC">
        <w:rPr>
          <w:rFonts w:eastAsia="Times New Roman" w:cs="Calibri"/>
          <w:szCs w:val="20"/>
        </w:rPr>
        <w:lastRenderedPageBreak/>
        <w:t>podem degradar solos e reduzir a qualidade da produção. Institucionalmente, este modelo depende de programas públicos e doadores para funcionar, enfrentando ainda forte concorrência de grandes exportadores no mercado internacional.</w:t>
      </w:r>
    </w:p>
    <w:p w14:paraId="056115F2" w14:textId="77777777" w:rsidR="00096206" w:rsidRPr="004B6B4A" w:rsidRDefault="00096206" w:rsidP="00815270">
      <w:pPr>
        <w:pStyle w:val="Heading2"/>
        <w:numPr>
          <w:ilvl w:val="1"/>
          <w:numId w:val="42"/>
        </w:numPr>
      </w:pPr>
      <w:bookmarkStart w:id="247" w:name="_Toc220507547"/>
      <w:r w:rsidRPr="004B6B4A">
        <w:t>Cenário de apoio a pequenos e médios transformadores</w:t>
      </w:r>
      <w:bookmarkEnd w:id="247"/>
    </w:p>
    <w:p w14:paraId="11E78F24" w14:textId="099BB06A" w:rsidR="00096206" w:rsidRPr="005F79AC" w:rsidRDefault="00096206" w:rsidP="00096206">
      <w:pPr>
        <w:rPr>
          <w:rFonts w:asciiTheme="majorHAnsi" w:eastAsia="Times New Roman" w:hAnsiTheme="majorHAnsi" w:cstheme="majorHAnsi"/>
        </w:rPr>
      </w:pPr>
      <w:r w:rsidRPr="005F79AC">
        <w:rPr>
          <w:rFonts w:eastAsia="Times New Roman" w:cs="Calibri"/>
          <w:szCs w:val="20"/>
        </w:rPr>
        <w:t>Este modelo</w:t>
      </w:r>
      <w:r w:rsidR="00C05C88">
        <w:rPr>
          <w:rFonts w:eastAsia="Times New Roman" w:cs="Calibri"/>
          <w:szCs w:val="20"/>
        </w:rPr>
        <w:t xml:space="preserve">, sumarizado na </w:t>
      </w:r>
      <w:r w:rsidR="00C05C88">
        <w:rPr>
          <w:rFonts w:eastAsia="Times New Roman" w:cs="Calibri"/>
          <w:szCs w:val="20"/>
        </w:rPr>
        <w:fldChar w:fldCharType="begin"/>
      </w:r>
      <w:r w:rsidR="00C05C88">
        <w:rPr>
          <w:rFonts w:eastAsia="Times New Roman" w:cs="Calibri"/>
          <w:szCs w:val="20"/>
        </w:rPr>
        <w:instrText xml:space="preserve"> REF _Ref210830468 \h </w:instrText>
      </w:r>
      <w:r w:rsidR="00C05C88">
        <w:rPr>
          <w:rFonts w:eastAsia="Times New Roman" w:cs="Calibri"/>
          <w:szCs w:val="20"/>
        </w:rPr>
      </w:r>
      <w:r w:rsidR="00C05C88">
        <w:rPr>
          <w:rFonts w:eastAsia="Times New Roman" w:cs="Calibri"/>
          <w:szCs w:val="20"/>
        </w:rPr>
        <w:fldChar w:fldCharType="separate"/>
      </w:r>
      <w:r w:rsidR="002A2405" w:rsidRPr="00C05C88">
        <w:t xml:space="preserve">Figura </w:t>
      </w:r>
      <w:r w:rsidR="002A2405">
        <w:rPr>
          <w:noProof/>
        </w:rPr>
        <w:t>5</w:t>
      </w:r>
      <w:r w:rsidR="002A2405" w:rsidRPr="00C05C88">
        <w:t>.</w:t>
      </w:r>
      <w:r w:rsidR="002A2405">
        <w:rPr>
          <w:noProof/>
        </w:rPr>
        <w:t>4</w:t>
      </w:r>
      <w:r w:rsidR="00C05C88">
        <w:rPr>
          <w:rFonts w:eastAsia="Times New Roman" w:cs="Calibri"/>
          <w:szCs w:val="20"/>
        </w:rPr>
        <w:fldChar w:fldCharType="end"/>
      </w:r>
      <w:r w:rsidR="00C05C88">
        <w:rPr>
          <w:rFonts w:eastAsia="Times New Roman" w:cs="Calibri"/>
          <w:szCs w:val="20"/>
        </w:rPr>
        <w:t xml:space="preserve">, </w:t>
      </w:r>
      <w:r w:rsidRPr="005F79AC">
        <w:rPr>
          <w:rFonts w:eastAsia="Times New Roman" w:cs="Calibri"/>
          <w:szCs w:val="20"/>
        </w:rPr>
        <w:t>privilegia a criação e consolidação de pequenas e médias unidades de transformação nas zonas de forte produção da manga para processar volumes modestos de manga em produtos como sumos, polpas congeladas, compotas, secados e snacks. Essas unidades podem ser familiares, cooperativas ou PME locais, ligadas diretamente a redes de pequenos produtores. O fornecimento de matéria-prima baseia-se em contratos locais, com apoio na qualidade e na logística de recolha</w:t>
      </w:r>
      <w:r w:rsidRPr="005F79AC">
        <w:rPr>
          <w:rFonts w:asciiTheme="majorHAnsi" w:eastAsia="Times New Roman" w:hAnsiTheme="majorHAnsi" w:cstheme="majorHAnsi"/>
        </w:rPr>
        <w:t>.</w:t>
      </w:r>
    </w:p>
    <w:p w14:paraId="4F59551F" w14:textId="2973FAC3" w:rsidR="007E73C8" w:rsidRPr="005F79AC" w:rsidRDefault="002550D5" w:rsidP="00982C85">
      <w:pPr>
        <w:jc w:val="center"/>
        <w:rPr>
          <w:rFonts w:asciiTheme="majorHAnsi" w:eastAsia="Times New Roman" w:hAnsiTheme="majorHAnsi" w:cstheme="majorHAnsi"/>
        </w:rPr>
      </w:pPr>
      <w:r w:rsidRPr="002550D5">
        <w:rPr>
          <w:rFonts w:asciiTheme="majorHAnsi" w:eastAsia="Times New Roman" w:hAnsiTheme="majorHAnsi" w:cstheme="majorHAnsi"/>
          <w:noProof/>
        </w:rPr>
        <w:drawing>
          <wp:inline distT="0" distB="0" distL="0" distR="0" wp14:anchorId="6167DE3C" wp14:editId="55593296">
            <wp:extent cx="4613910" cy="1328045"/>
            <wp:effectExtent l="0" t="0" r="0" b="5715"/>
            <wp:docPr id="377729254"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29254" name="Imagen 1" descr="Interfaz de usuario gráfica, Texto, Aplicación&#10;&#10;El contenido generado por IA puede ser incorrecto."/>
                    <pic:cNvPicPr/>
                  </pic:nvPicPr>
                  <pic:blipFill>
                    <a:blip r:embed="rId77"/>
                    <a:stretch>
                      <a:fillRect/>
                    </a:stretch>
                  </pic:blipFill>
                  <pic:spPr>
                    <a:xfrm>
                      <a:off x="0" y="0"/>
                      <a:ext cx="4661474" cy="1341736"/>
                    </a:xfrm>
                    <a:prstGeom prst="rect">
                      <a:avLst/>
                    </a:prstGeom>
                  </pic:spPr>
                </pic:pic>
              </a:graphicData>
            </a:graphic>
          </wp:inline>
        </w:drawing>
      </w:r>
    </w:p>
    <w:p w14:paraId="6520821D" w14:textId="24D2F3AB" w:rsidR="0085097E" w:rsidRPr="002550D5" w:rsidRDefault="00C05C88" w:rsidP="007D3A26">
      <w:pPr>
        <w:pStyle w:val="Caption"/>
      </w:pPr>
      <w:bookmarkStart w:id="248" w:name="_Ref210830468"/>
      <w:bookmarkStart w:id="249" w:name="_Toc211359241"/>
      <w:r w:rsidRPr="00C05C88">
        <w:t xml:space="preserve">Figura </w:t>
      </w:r>
      <w:fldSimple w:instr=" STYLEREF 1 \s ">
        <w:r w:rsidR="002A2405">
          <w:rPr>
            <w:noProof/>
          </w:rPr>
          <w:t>5</w:t>
        </w:r>
      </w:fldSimple>
      <w:r w:rsidRPr="00C05C88">
        <w:t>.</w:t>
      </w:r>
      <w:fldSimple w:instr=" SEQ Figura \* ARABIC \s 1 ">
        <w:r w:rsidR="002A2405">
          <w:rPr>
            <w:noProof/>
          </w:rPr>
          <w:t>4</w:t>
        </w:r>
      </w:fldSimple>
      <w:bookmarkEnd w:id="248"/>
      <w:r w:rsidRPr="00C05C88">
        <w:t xml:space="preserve"> - Desenvolvimento da fieira a partir de médios transformadores</w:t>
      </w:r>
      <w:bookmarkEnd w:id="249"/>
    </w:p>
    <w:p w14:paraId="5311CA7E" w14:textId="2E75CBBF" w:rsidR="00096206" w:rsidRPr="005F79AC" w:rsidRDefault="00096206" w:rsidP="00C05C88">
      <w:pPr>
        <w:rPr>
          <w:rFonts w:eastAsia="Times New Roman"/>
        </w:rPr>
      </w:pPr>
      <w:r w:rsidRPr="005F79AC">
        <w:rPr>
          <w:rFonts w:eastAsia="Times New Roman"/>
        </w:rPr>
        <w:t>A proximidade das unidades de transformação aos locais de produção reduz significativamente as perdas pós-colheita. Com câmaras de frio de pequena escala, armazéns comunitários e transporte local, a fruta é absorvida de forma rápida e eficiente. As unidades podem ser agrupadas em clusters regionais (ex. Cacheu, Oio, Bafatá), partilhando serviços como embalagem, certificação e comercialização.</w:t>
      </w:r>
    </w:p>
    <w:p w14:paraId="1E2BED30" w14:textId="38FD9045" w:rsidR="003B09F3" w:rsidRPr="005F79AC" w:rsidRDefault="00096206" w:rsidP="00C05C88">
      <w:pPr>
        <w:rPr>
          <w:rFonts w:eastAsia="Times New Roman"/>
        </w:rPr>
      </w:pPr>
      <w:r w:rsidRPr="005F79AC">
        <w:rPr>
          <w:rFonts w:eastAsia="Times New Roman"/>
        </w:rPr>
        <w:t>O mercado nacional constitui a principal base de escoamento, com foco em supermercados, restaurantes, hotéis, cantinas escolares e feiras urbanas. A médio prazo, algumas unidades poderão atingir certificações simplificadas (HACCP básico, orgânico em pequena escala) que permitam exportar para nichos regionais da CEDEAO e, gradualmente, inserir-se em mercados internacionais mais exigentes.</w:t>
      </w:r>
    </w:p>
    <w:p w14:paraId="17A38AB5" w14:textId="776674FA" w:rsidR="00096206" w:rsidRPr="003B09F3" w:rsidRDefault="00096206" w:rsidP="00E042D7">
      <w:pPr>
        <w:pStyle w:val="Heading3"/>
        <w:numPr>
          <w:ilvl w:val="2"/>
          <w:numId w:val="40"/>
        </w:numPr>
      </w:pPr>
      <w:bookmarkStart w:id="250" w:name="_Toc220507548"/>
      <w:r w:rsidRPr="005F79AC">
        <w:t>Mais-valia estratégica</w:t>
      </w:r>
      <w:bookmarkEnd w:id="250"/>
    </w:p>
    <w:p w14:paraId="24650764" w14:textId="0990063F" w:rsidR="00096206" w:rsidRPr="00E17489" w:rsidRDefault="00096206" w:rsidP="00E17489">
      <w:pPr>
        <w:rPr>
          <w:rFonts w:eastAsia="Times New Roman" w:cs="Calibri"/>
          <w:szCs w:val="20"/>
        </w:rPr>
      </w:pPr>
      <w:r w:rsidRPr="005F79AC">
        <w:rPr>
          <w:rFonts w:eastAsia="Times New Roman" w:cs="Calibri"/>
          <w:szCs w:val="20"/>
        </w:rPr>
        <w:t>O apoio a pequenos e médios transformadores gera valor agregado local, diversifica a oferta de produtos derivados e multiplica oportunidades de emprego em comunidades rurais e periurbanas. Este modelo democratiza a cadeia de valor, distribuindo benefícios entre vários atores, e estimula o empreendedorismo jovem e feminino. Além disso, contribui para reduzir drasticamente as perdas pós-colheita, ao absorver fruta que não atende ao padrão de exportação em fresco.</w:t>
      </w:r>
    </w:p>
    <w:p w14:paraId="52D956FA" w14:textId="77777777" w:rsidR="00096206" w:rsidRPr="005F79AC" w:rsidRDefault="00096206" w:rsidP="00E042D7">
      <w:pPr>
        <w:pStyle w:val="Heading3"/>
        <w:numPr>
          <w:ilvl w:val="2"/>
          <w:numId w:val="40"/>
        </w:numPr>
      </w:pPr>
      <w:bookmarkStart w:id="251" w:name="_Toc220507549"/>
      <w:r w:rsidRPr="005F79AC">
        <w:t>Investimentos necessários</w:t>
      </w:r>
      <w:bookmarkEnd w:id="251"/>
    </w:p>
    <w:p w14:paraId="1FEB5582" w14:textId="77777777" w:rsidR="00096206" w:rsidRPr="005F79AC" w:rsidRDefault="00096206" w:rsidP="00E042D7">
      <w:pPr>
        <w:pStyle w:val="ListParagraph"/>
        <w:numPr>
          <w:ilvl w:val="0"/>
          <w:numId w:val="30"/>
        </w:numPr>
        <w:ind w:left="822" w:hanging="198"/>
        <w:rPr>
          <w:rFonts w:eastAsia="Times New Roman" w:cs="Calibri"/>
          <w:szCs w:val="20"/>
        </w:rPr>
      </w:pPr>
      <w:r w:rsidRPr="005F79AC">
        <w:rPr>
          <w:rFonts w:eastAsia="Times New Roman" w:cs="Calibri"/>
          <w:szCs w:val="20"/>
        </w:rPr>
        <w:t>Infraestruturas de transformação – construção ou reabilitação de unidades de pequena/média escala, com equipamentos adaptados (despolpadores, pasteurizadores, embaladoras, secadores solares/elétricos);</w:t>
      </w:r>
    </w:p>
    <w:p w14:paraId="223C1DF1" w14:textId="77777777" w:rsidR="00096206" w:rsidRPr="005F79AC" w:rsidRDefault="00096206" w:rsidP="00E042D7">
      <w:pPr>
        <w:pStyle w:val="ListParagraph"/>
        <w:numPr>
          <w:ilvl w:val="0"/>
          <w:numId w:val="30"/>
        </w:numPr>
        <w:ind w:left="822" w:hanging="198"/>
        <w:rPr>
          <w:rFonts w:eastAsia="Times New Roman" w:cs="Calibri"/>
          <w:szCs w:val="20"/>
        </w:rPr>
      </w:pPr>
      <w:r w:rsidRPr="005F79AC">
        <w:rPr>
          <w:rFonts w:eastAsia="Times New Roman" w:cs="Calibri"/>
          <w:szCs w:val="20"/>
        </w:rPr>
        <w:t>Capacitação técnica – formação em tecnologias de processamento, higiene e segurança alimentar, boas práticas de fabrico, gestão empresarial e marketing;</w:t>
      </w:r>
    </w:p>
    <w:p w14:paraId="7755657D" w14:textId="77777777" w:rsidR="00096206" w:rsidRPr="005F79AC" w:rsidRDefault="00096206" w:rsidP="00E042D7">
      <w:pPr>
        <w:pStyle w:val="ListParagraph"/>
        <w:numPr>
          <w:ilvl w:val="0"/>
          <w:numId w:val="30"/>
        </w:numPr>
        <w:ind w:left="822" w:hanging="198"/>
        <w:rPr>
          <w:rFonts w:eastAsia="Times New Roman" w:cs="Calibri"/>
          <w:szCs w:val="20"/>
        </w:rPr>
      </w:pPr>
      <w:r w:rsidRPr="005F79AC">
        <w:rPr>
          <w:rFonts w:eastAsia="Times New Roman" w:cs="Calibri"/>
          <w:szCs w:val="20"/>
        </w:rPr>
        <w:t>Certificação e qualidade – introdução de normas básicas de segurança alimentar (HACCP), com progressão gradual para certificações mais exigentes;</w:t>
      </w:r>
    </w:p>
    <w:p w14:paraId="22235C6E" w14:textId="274D7B17" w:rsidR="00096206" w:rsidRPr="005F79AC" w:rsidRDefault="00096206" w:rsidP="00E042D7">
      <w:pPr>
        <w:pStyle w:val="ListParagraph"/>
        <w:numPr>
          <w:ilvl w:val="0"/>
          <w:numId w:val="30"/>
        </w:numPr>
        <w:ind w:left="822" w:hanging="198"/>
        <w:rPr>
          <w:rFonts w:eastAsia="Times New Roman" w:cs="Calibri"/>
          <w:szCs w:val="20"/>
        </w:rPr>
      </w:pPr>
      <w:r w:rsidRPr="005F79AC">
        <w:rPr>
          <w:rFonts w:eastAsia="Times New Roman" w:cs="Calibri"/>
          <w:szCs w:val="20"/>
        </w:rPr>
        <w:t xml:space="preserve">Financiamento – linhas de crédito adaptadas às PME, microcrédito e fundos de inovação para apoiar </w:t>
      </w:r>
      <w:r w:rsidR="003B09F3" w:rsidRPr="005F79AC">
        <w:rPr>
          <w:rFonts w:eastAsia="Times New Roman" w:cs="Calibri"/>
          <w:szCs w:val="20"/>
        </w:rPr>
        <w:t>start-ups</w:t>
      </w:r>
      <w:r w:rsidRPr="005F79AC">
        <w:rPr>
          <w:rFonts w:eastAsia="Times New Roman" w:cs="Calibri"/>
          <w:szCs w:val="20"/>
        </w:rPr>
        <w:t xml:space="preserve"> de transformação;</w:t>
      </w:r>
    </w:p>
    <w:p w14:paraId="419DB0B7" w14:textId="77777777" w:rsidR="00096206" w:rsidRPr="005F79AC" w:rsidRDefault="00096206" w:rsidP="00E042D7">
      <w:pPr>
        <w:pStyle w:val="ListParagraph"/>
        <w:numPr>
          <w:ilvl w:val="0"/>
          <w:numId w:val="30"/>
        </w:numPr>
        <w:ind w:left="822" w:hanging="198"/>
        <w:rPr>
          <w:rFonts w:eastAsia="Times New Roman" w:cs="Calibri"/>
          <w:szCs w:val="20"/>
        </w:rPr>
      </w:pPr>
      <w:r w:rsidRPr="005F79AC">
        <w:rPr>
          <w:rFonts w:eastAsia="Times New Roman" w:cs="Calibri"/>
          <w:szCs w:val="20"/>
        </w:rPr>
        <w:t>Logística – sistemas de recolha local, armazenamento comunitário e meios de transporte adaptados;</w:t>
      </w:r>
    </w:p>
    <w:p w14:paraId="3502C0C3" w14:textId="545C9EF1" w:rsidR="00096206" w:rsidRPr="00E17489" w:rsidRDefault="00096206" w:rsidP="00E042D7">
      <w:pPr>
        <w:pStyle w:val="ListParagraph"/>
        <w:numPr>
          <w:ilvl w:val="0"/>
          <w:numId w:val="30"/>
        </w:numPr>
        <w:ind w:left="822" w:hanging="198"/>
        <w:rPr>
          <w:rFonts w:eastAsia="Times New Roman" w:cs="Calibri"/>
          <w:szCs w:val="20"/>
        </w:rPr>
      </w:pPr>
      <w:r w:rsidRPr="005F79AC">
        <w:rPr>
          <w:rFonts w:eastAsia="Times New Roman" w:cs="Calibri"/>
          <w:szCs w:val="20"/>
        </w:rPr>
        <w:lastRenderedPageBreak/>
        <w:t>Promoção de mercado – campanhas de valorização dos produtos locais, feiras agroalimentares e canais digitais de venda.</w:t>
      </w:r>
    </w:p>
    <w:p w14:paraId="45A9BE60" w14:textId="77777777" w:rsidR="00096206" w:rsidRPr="005F79AC" w:rsidRDefault="00096206" w:rsidP="00E042D7">
      <w:pPr>
        <w:pStyle w:val="Heading3"/>
        <w:numPr>
          <w:ilvl w:val="2"/>
          <w:numId w:val="40"/>
        </w:numPr>
      </w:pPr>
      <w:bookmarkStart w:id="252" w:name="_Toc220507550"/>
      <w:r w:rsidRPr="005F79AC">
        <w:t>Resultados esperados (3-5 anos)</w:t>
      </w:r>
      <w:bookmarkEnd w:id="252"/>
    </w:p>
    <w:p w14:paraId="41FD551F" w14:textId="77777777" w:rsidR="00096206" w:rsidRPr="005F79AC" w:rsidRDefault="00096206" w:rsidP="00E042D7">
      <w:pPr>
        <w:pStyle w:val="ListParagraph"/>
        <w:numPr>
          <w:ilvl w:val="0"/>
          <w:numId w:val="29"/>
        </w:numPr>
        <w:ind w:left="822" w:hanging="198"/>
        <w:rPr>
          <w:rFonts w:eastAsia="Times New Roman" w:cs="Calibri"/>
          <w:szCs w:val="20"/>
        </w:rPr>
      </w:pPr>
      <w:r w:rsidRPr="005F79AC">
        <w:rPr>
          <w:rFonts w:eastAsia="Times New Roman" w:cs="Calibri"/>
          <w:szCs w:val="20"/>
        </w:rPr>
        <w:t>Produção transformada: entre 3 e 5 mil toneladas de manga por ano, absorvidas por cerca de 30–50 pequenas e médias unidades;</w:t>
      </w:r>
    </w:p>
    <w:p w14:paraId="2EB7620D" w14:textId="77777777" w:rsidR="00096206" w:rsidRPr="005F79AC" w:rsidRDefault="00096206" w:rsidP="00E042D7">
      <w:pPr>
        <w:pStyle w:val="ListParagraph"/>
        <w:numPr>
          <w:ilvl w:val="0"/>
          <w:numId w:val="29"/>
        </w:numPr>
        <w:ind w:left="822" w:hanging="198"/>
        <w:rPr>
          <w:rFonts w:eastAsia="Times New Roman" w:cs="Calibri"/>
          <w:szCs w:val="20"/>
        </w:rPr>
      </w:pPr>
      <w:r w:rsidRPr="005F79AC">
        <w:rPr>
          <w:rFonts w:eastAsia="Times New Roman" w:cs="Calibri"/>
          <w:szCs w:val="20"/>
        </w:rPr>
        <w:t>Receitas de mercado: 3 a 7 milhões Euros/ano em vendas internas e exportação regional limitada;</w:t>
      </w:r>
    </w:p>
    <w:p w14:paraId="4C3953C1" w14:textId="77777777" w:rsidR="00096206" w:rsidRPr="005F79AC" w:rsidRDefault="00096206" w:rsidP="00E042D7">
      <w:pPr>
        <w:pStyle w:val="ListParagraph"/>
        <w:numPr>
          <w:ilvl w:val="0"/>
          <w:numId w:val="29"/>
        </w:numPr>
        <w:ind w:left="822" w:hanging="198"/>
        <w:rPr>
          <w:rFonts w:eastAsia="Times New Roman" w:cs="Calibri"/>
          <w:szCs w:val="20"/>
        </w:rPr>
      </w:pPr>
      <w:r w:rsidRPr="005F79AC">
        <w:rPr>
          <w:rFonts w:eastAsia="Times New Roman" w:cs="Calibri"/>
          <w:szCs w:val="20"/>
        </w:rPr>
        <w:t>Emprego: postos diretos (sobretudo jovens e mulheres) e milhares de empregos indiretos em fornecimento, transporte e serviços;</w:t>
      </w:r>
    </w:p>
    <w:p w14:paraId="4E4EF472" w14:textId="77777777" w:rsidR="00096206" w:rsidRPr="005F79AC" w:rsidRDefault="00096206" w:rsidP="00E042D7">
      <w:pPr>
        <w:pStyle w:val="ListParagraph"/>
        <w:numPr>
          <w:ilvl w:val="0"/>
          <w:numId w:val="29"/>
        </w:numPr>
        <w:ind w:left="822" w:hanging="198"/>
        <w:rPr>
          <w:rFonts w:eastAsia="Times New Roman" w:cs="Calibri"/>
          <w:szCs w:val="20"/>
        </w:rPr>
      </w:pPr>
      <w:r w:rsidRPr="005F79AC">
        <w:rPr>
          <w:rFonts w:eastAsia="Times New Roman" w:cs="Calibri"/>
          <w:szCs w:val="20"/>
        </w:rPr>
        <w:t>Impacto socioeconómico: aumento da renda rural pela redução de perdas e criação de oportunidades de negócio local; fortalecimento do tecido empresarial nacional;</w:t>
      </w:r>
    </w:p>
    <w:p w14:paraId="46049161" w14:textId="77777777" w:rsidR="00096206" w:rsidRPr="005F79AC" w:rsidRDefault="00096206" w:rsidP="00E042D7">
      <w:pPr>
        <w:pStyle w:val="ListParagraph"/>
        <w:numPr>
          <w:ilvl w:val="0"/>
          <w:numId w:val="29"/>
        </w:numPr>
        <w:ind w:left="822" w:hanging="198"/>
        <w:rPr>
          <w:rFonts w:eastAsia="Times New Roman" w:cs="Calibri"/>
          <w:szCs w:val="20"/>
        </w:rPr>
      </w:pPr>
      <w:r w:rsidRPr="005F79AC">
        <w:rPr>
          <w:rFonts w:eastAsia="Times New Roman" w:cs="Calibri"/>
          <w:szCs w:val="20"/>
        </w:rPr>
        <w:t>Sustentabilidade: utilização de fruta fora do padrão de exportação, redução de desperdício, estímulo à inovação em embalagens e conservação;</w:t>
      </w:r>
    </w:p>
    <w:p w14:paraId="0DC1D0A5" w14:textId="47759140" w:rsidR="00096206" w:rsidRPr="00AA1663" w:rsidRDefault="00096206" w:rsidP="00E042D7">
      <w:pPr>
        <w:pStyle w:val="ListParagraph"/>
        <w:numPr>
          <w:ilvl w:val="0"/>
          <w:numId w:val="29"/>
        </w:numPr>
        <w:ind w:left="822" w:hanging="198"/>
        <w:rPr>
          <w:rFonts w:eastAsia="Times New Roman" w:cs="Calibri"/>
          <w:szCs w:val="20"/>
        </w:rPr>
      </w:pPr>
      <w:r w:rsidRPr="005F79AC">
        <w:rPr>
          <w:rFonts w:eastAsia="Times New Roman" w:cs="Calibri"/>
          <w:szCs w:val="20"/>
        </w:rPr>
        <w:t>Efeito catalisador: criação de um ecossistema de PME agroalimentares, com potencial de expandir para outras frutas e de integrar gradualmente cadeias regionais e internacionais.</w:t>
      </w:r>
    </w:p>
    <w:p w14:paraId="5F6E0ECD" w14:textId="77777777" w:rsidR="00096206" w:rsidRPr="005F79AC" w:rsidRDefault="00096206" w:rsidP="00E042D7">
      <w:pPr>
        <w:pStyle w:val="Heading3"/>
        <w:numPr>
          <w:ilvl w:val="2"/>
          <w:numId w:val="40"/>
        </w:numPr>
      </w:pPr>
      <w:bookmarkStart w:id="253" w:name="_Toc220507551"/>
      <w:r w:rsidRPr="005F79AC">
        <w:t>Riscos</w:t>
      </w:r>
      <w:bookmarkEnd w:id="253"/>
    </w:p>
    <w:p w14:paraId="3B09CF72" w14:textId="72947A29" w:rsidR="00C05C88" w:rsidRPr="005F79AC" w:rsidRDefault="00096206" w:rsidP="00C05C88">
      <w:pPr>
        <w:rPr>
          <w:rFonts w:eastAsia="Times New Roman"/>
        </w:rPr>
      </w:pPr>
      <w:r w:rsidRPr="005F79AC">
        <w:rPr>
          <w:rFonts w:eastAsia="Times New Roman"/>
        </w:rPr>
        <w:t>O risco maior está na fragilidade financeira e técnica das PME, que muitas vezes operam em condições informais, com baixa capacidade de gestão e alto risco de falência. A dificuldade de acesso regular a matéria-prima de qualidade, os custos de energia e as barreiras sanitárias e de certificação dificultam a sustentabilidade das unidades. Além disso, podem surgir impactos ambientais pela má gestão de resíduos, enquanto a dependência de mercados locais pouco estruturados e a concorrência com produtos importados limitam a sua expansão.</w:t>
      </w:r>
    </w:p>
    <w:p w14:paraId="36B96DA9" w14:textId="1006CA70" w:rsidR="00096206" w:rsidRPr="00625745" w:rsidRDefault="00096206" w:rsidP="00815270">
      <w:pPr>
        <w:pStyle w:val="Heading2"/>
        <w:numPr>
          <w:ilvl w:val="1"/>
          <w:numId w:val="42"/>
        </w:numPr>
      </w:pPr>
      <w:bookmarkStart w:id="254" w:name="_Toc220507552"/>
      <w:r w:rsidRPr="00625745">
        <w:t xml:space="preserve">Quadro comparativo dos </w:t>
      </w:r>
      <w:r w:rsidR="008E5E20" w:rsidRPr="00625745">
        <w:t>C</w:t>
      </w:r>
      <w:r w:rsidRPr="00625745">
        <w:t>enários</w:t>
      </w:r>
      <w:bookmarkEnd w:id="254"/>
    </w:p>
    <w:p w14:paraId="02B0C75D" w14:textId="7B5A4540" w:rsidR="00096206" w:rsidRDefault="00ED29BF" w:rsidP="00C05C88">
      <w:pPr>
        <w:rPr>
          <w:rFonts w:eastAsia="Times New Roman"/>
        </w:rPr>
      </w:pPr>
      <w:r>
        <w:rPr>
          <w:rFonts w:eastAsia="Times New Roman"/>
        </w:rPr>
        <w:t xml:space="preserve">O </w:t>
      </w:r>
      <w:r>
        <w:rPr>
          <w:rFonts w:eastAsia="Times New Roman"/>
        </w:rPr>
        <w:fldChar w:fldCharType="begin"/>
      </w:r>
      <w:r>
        <w:rPr>
          <w:rFonts w:eastAsia="Times New Roman"/>
        </w:rPr>
        <w:instrText xml:space="preserve"> REF _Ref210831274 \h </w:instrText>
      </w:r>
      <w:r>
        <w:rPr>
          <w:rFonts w:eastAsia="Times New Roman"/>
        </w:rPr>
      </w:r>
      <w:r>
        <w:rPr>
          <w:rFonts w:eastAsia="Times New Roman"/>
        </w:rPr>
        <w:fldChar w:fldCharType="separate"/>
      </w:r>
      <w:r w:rsidR="002A2405">
        <w:t xml:space="preserve">Quadro </w:t>
      </w:r>
      <w:r w:rsidR="002A2405">
        <w:rPr>
          <w:noProof/>
        </w:rPr>
        <w:t>5</w:t>
      </w:r>
      <w:r w:rsidR="002A2405">
        <w:t>.</w:t>
      </w:r>
      <w:r w:rsidR="002A2405">
        <w:rPr>
          <w:noProof/>
        </w:rPr>
        <w:t>1</w:t>
      </w:r>
      <w:r>
        <w:rPr>
          <w:rFonts w:eastAsia="Times New Roman"/>
        </w:rPr>
        <w:fldChar w:fldCharType="end"/>
      </w:r>
      <w:r>
        <w:rPr>
          <w:rFonts w:eastAsia="Times New Roman"/>
        </w:rPr>
        <w:t xml:space="preserve"> </w:t>
      </w:r>
      <w:r w:rsidR="00096206" w:rsidRPr="005F79AC">
        <w:rPr>
          <w:rFonts w:eastAsia="Times New Roman"/>
        </w:rPr>
        <w:t xml:space="preserve">resume e compara os diversos cenários em termos de riscos, impacto ambiental dum lado, do outro exemplifica os casos de sucesso para cada um e finaliza com os documentos consultados.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1701"/>
        <w:gridCol w:w="1559"/>
        <w:gridCol w:w="1843"/>
        <w:gridCol w:w="2409"/>
      </w:tblGrid>
      <w:tr w:rsidR="00096206" w:rsidRPr="005F79AC" w14:paraId="3B72FB3F" w14:textId="77777777" w:rsidTr="00982C85">
        <w:trPr>
          <w:trHeight w:val="289"/>
          <w:tblHeader/>
        </w:trPr>
        <w:tc>
          <w:tcPr>
            <w:tcW w:w="1555" w:type="dxa"/>
            <w:shd w:val="clear" w:color="auto" w:fill="198130"/>
            <w:noWrap/>
            <w:vAlign w:val="center"/>
            <w:hideMark/>
          </w:tcPr>
          <w:p w14:paraId="52DCE6FE" w14:textId="77777777" w:rsidR="00096206" w:rsidRPr="00982C85" w:rsidRDefault="00096206" w:rsidP="00982C85">
            <w:pPr>
              <w:spacing w:line="240" w:lineRule="auto"/>
              <w:jc w:val="center"/>
              <w:rPr>
                <w:rFonts w:eastAsia="Times New Roman" w:cs="Calibri"/>
                <w:b/>
                <w:bCs/>
                <w:color w:val="FFFFFF" w:themeColor="background1"/>
                <w:szCs w:val="20"/>
              </w:rPr>
            </w:pPr>
            <w:r w:rsidRPr="00982C85">
              <w:rPr>
                <w:rFonts w:eastAsia="Times New Roman" w:cs="Calibri"/>
                <w:b/>
                <w:bCs/>
                <w:color w:val="FFFFFF" w:themeColor="background1"/>
                <w:szCs w:val="20"/>
              </w:rPr>
              <w:t>Cenário</w:t>
            </w:r>
          </w:p>
        </w:tc>
        <w:tc>
          <w:tcPr>
            <w:tcW w:w="1701" w:type="dxa"/>
            <w:shd w:val="clear" w:color="auto" w:fill="198130"/>
            <w:noWrap/>
            <w:vAlign w:val="center"/>
            <w:hideMark/>
          </w:tcPr>
          <w:p w14:paraId="7F967E8E" w14:textId="77777777" w:rsidR="00096206" w:rsidRPr="00982C85" w:rsidRDefault="00096206" w:rsidP="00982C85">
            <w:pPr>
              <w:spacing w:line="240" w:lineRule="auto"/>
              <w:jc w:val="center"/>
              <w:rPr>
                <w:rFonts w:eastAsia="Times New Roman" w:cs="Calibri"/>
                <w:b/>
                <w:bCs/>
                <w:color w:val="FFFFFF" w:themeColor="background1"/>
                <w:szCs w:val="20"/>
              </w:rPr>
            </w:pPr>
            <w:r w:rsidRPr="00982C85">
              <w:rPr>
                <w:rFonts w:eastAsia="Times New Roman" w:cs="Calibri"/>
                <w:b/>
                <w:bCs/>
                <w:color w:val="FFFFFF" w:themeColor="background1"/>
                <w:szCs w:val="20"/>
              </w:rPr>
              <w:t>Principais riscos</w:t>
            </w:r>
          </w:p>
        </w:tc>
        <w:tc>
          <w:tcPr>
            <w:tcW w:w="1559" w:type="dxa"/>
            <w:shd w:val="clear" w:color="auto" w:fill="198130"/>
            <w:vAlign w:val="center"/>
          </w:tcPr>
          <w:p w14:paraId="4B820E16" w14:textId="77777777" w:rsidR="00096206" w:rsidRPr="00982C85" w:rsidRDefault="00096206" w:rsidP="00982C85">
            <w:pPr>
              <w:spacing w:line="240" w:lineRule="auto"/>
              <w:jc w:val="center"/>
              <w:rPr>
                <w:rFonts w:eastAsia="Times New Roman" w:cs="Calibri"/>
                <w:b/>
                <w:bCs/>
                <w:color w:val="FFFFFF" w:themeColor="background1"/>
                <w:szCs w:val="20"/>
              </w:rPr>
            </w:pPr>
            <w:r w:rsidRPr="00982C85">
              <w:rPr>
                <w:rFonts w:eastAsia="Times New Roman" w:cs="Calibri"/>
                <w:b/>
                <w:bCs/>
                <w:color w:val="FFFFFF" w:themeColor="background1"/>
                <w:szCs w:val="20"/>
              </w:rPr>
              <w:t>Impacto ambiental</w:t>
            </w:r>
          </w:p>
        </w:tc>
        <w:tc>
          <w:tcPr>
            <w:tcW w:w="1843" w:type="dxa"/>
            <w:shd w:val="clear" w:color="auto" w:fill="198130"/>
            <w:noWrap/>
            <w:vAlign w:val="center"/>
            <w:hideMark/>
          </w:tcPr>
          <w:p w14:paraId="57634F9C" w14:textId="77777777" w:rsidR="00096206" w:rsidRPr="00982C85" w:rsidRDefault="00096206" w:rsidP="00982C85">
            <w:pPr>
              <w:spacing w:line="240" w:lineRule="auto"/>
              <w:jc w:val="center"/>
              <w:rPr>
                <w:rFonts w:eastAsia="Times New Roman" w:cs="Calibri"/>
                <w:b/>
                <w:bCs/>
                <w:color w:val="FFFFFF" w:themeColor="background1"/>
                <w:szCs w:val="20"/>
              </w:rPr>
            </w:pPr>
            <w:r w:rsidRPr="00982C85">
              <w:rPr>
                <w:rFonts w:eastAsia="Times New Roman" w:cs="Calibri"/>
                <w:b/>
                <w:bCs/>
                <w:color w:val="FFFFFF" w:themeColor="background1"/>
                <w:szCs w:val="20"/>
              </w:rPr>
              <w:t>Exemplo de sucesso (país/ano/fator)</w:t>
            </w:r>
          </w:p>
        </w:tc>
        <w:tc>
          <w:tcPr>
            <w:tcW w:w="2409" w:type="dxa"/>
            <w:shd w:val="clear" w:color="auto" w:fill="198130"/>
            <w:noWrap/>
            <w:vAlign w:val="center"/>
            <w:hideMark/>
          </w:tcPr>
          <w:p w14:paraId="17F209E9" w14:textId="77777777" w:rsidR="00096206" w:rsidRPr="00982C85" w:rsidRDefault="00096206" w:rsidP="00982C85">
            <w:pPr>
              <w:spacing w:line="240" w:lineRule="auto"/>
              <w:jc w:val="center"/>
              <w:rPr>
                <w:rFonts w:eastAsia="Times New Roman" w:cs="Calibri"/>
                <w:b/>
                <w:bCs/>
                <w:color w:val="FFFFFF" w:themeColor="background1"/>
                <w:szCs w:val="20"/>
              </w:rPr>
            </w:pPr>
            <w:r w:rsidRPr="00982C85">
              <w:rPr>
                <w:rFonts w:eastAsia="Times New Roman" w:cs="Calibri"/>
                <w:b/>
                <w:bCs/>
                <w:color w:val="FFFFFF" w:themeColor="background1"/>
                <w:szCs w:val="20"/>
              </w:rPr>
              <w:t>Fonte consultadas entre 4-7 de setembro 2025</w:t>
            </w:r>
          </w:p>
        </w:tc>
      </w:tr>
      <w:tr w:rsidR="00096206" w:rsidRPr="005F79AC" w14:paraId="55C91802" w14:textId="77777777" w:rsidTr="00982C85">
        <w:trPr>
          <w:trHeight w:val="1120"/>
        </w:trPr>
        <w:tc>
          <w:tcPr>
            <w:tcW w:w="1555" w:type="dxa"/>
            <w:vAlign w:val="center"/>
            <w:hideMark/>
          </w:tcPr>
          <w:p w14:paraId="451D844A" w14:textId="77777777" w:rsidR="00096206" w:rsidRPr="005F79AC" w:rsidRDefault="00096206" w:rsidP="00982C85">
            <w:pPr>
              <w:spacing w:line="240" w:lineRule="auto"/>
              <w:jc w:val="center"/>
              <w:rPr>
                <w:rFonts w:eastAsia="Times New Roman" w:cs="Calibri"/>
                <w:color w:val="000000"/>
                <w:szCs w:val="20"/>
              </w:rPr>
            </w:pPr>
            <w:r w:rsidRPr="005F79AC">
              <w:rPr>
                <w:rFonts w:eastAsia="Times New Roman" w:cs="Calibri"/>
                <w:color w:val="000000"/>
                <w:szCs w:val="20"/>
              </w:rPr>
              <w:t>5.1 Grande transformador (âncora industrial)</w:t>
            </w:r>
          </w:p>
        </w:tc>
        <w:tc>
          <w:tcPr>
            <w:tcW w:w="1701" w:type="dxa"/>
            <w:vAlign w:val="center"/>
            <w:hideMark/>
          </w:tcPr>
          <w:p w14:paraId="1868F403" w14:textId="77777777" w:rsidR="00096206" w:rsidRPr="005F79AC" w:rsidRDefault="00096206" w:rsidP="00982C85">
            <w:pPr>
              <w:spacing w:line="240" w:lineRule="auto"/>
              <w:jc w:val="center"/>
              <w:rPr>
                <w:rFonts w:eastAsia="Times New Roman" w:cs="Calibri"/>
                <w:color w:val="000000"/>
                <w:szCs w:val="20"/>
              </w:rPr>
            </w:pPr>
            <w:r w:rsidRPr="005F79AC">
              <w:rPr>
                <w:rFonts w:eastAsia="Times New Roman" w:cs="Calibri"/>
                <w:color w:val="000000"/>
                <w:szCs w:val="20"/>
              </w:rPr>
              <w:t>Dependência de um ator; exclusão de produtores; alto custo.</w:t>
            </w:r>
          </w:p>
        </w:tc>
        <w:tc>
          <w:tcPr>
            <w:tcW w:w="1559" w:type="dxa"/>
            <w:vAlign w:val="center"/>
          </w:tcPr>
          <w:p w14:paraId="0D65C480" w14:textId="77777777" w:rsidR="00096206" w:rsidRPr="005F79AC" w:rsidRDefault="00096206" w:rsidP="00982C85">
            <w:pPr>
              <w:spacing w:line="240" w:lineRule="auto"/>
              <w:jc w:val="center"/>
              <w:rPr>
                <w:rFonts w:eastAsia="Times New Roman" w:cs="Calibri"/>
                <w:color w:val="000000"/>
                <w:szCs w:val="20"/>
              </w:rPr>
            </w:pPr>
            <w:r w:rsidRPr="005F79AC">
              <w:rPr>
                <w:rFonts w:eastAsia="Times New Roman" w:cs="Calibri"/>
                <w:color w:val="000000"/>
                <w:szCs w:val="20"/>
              </w:rPr>
              <w:br/>
            </w:r>
            <w:r w:rsidRPr="005F79AC">
              <w:rPr>
                <w:rFonts w:eastAsia="Times New Roman" w:cs="Calibri"/>
                <w:color w:val="000000"/>
                <w:szCs w:val="20"/>
              </w:rPr>
              <w:br/>
            </w:r>
            <w:r w:rsidRPr="005F79AC">
              <w:rPr>
                <w:rFonts w:eastAsia="Times New Roman" w:cs="Calibri"/>
                <w:color w:val="000000"/>
                <w:szCs w:val="20"/>
              </w:rPr>
              <w:br/>
              <w:t>Moderado</w:t>
            </w:r>
          </w:p>
        </w:tc>
        <w:tc>
          <w:tcPr>
            <w:tcW w:w="1843" w:type="dxa"/>
            <w:vAlign w:val="center"/>
            <w:hideMark/>
          </w:tcPr>
          <w:p w14:paraId="143018D3" w14:textId="77777777" w:rsidR="00096206" w:rsidRPr="005F79AC" w:rsidRDefault="00096206" w:rsidP="00982C85">
            <w:pPr>
              <w:spacing w:line="240" w:lineRule="auto"/>
              <w:jc w:val="center"/>
              <w:rPr>
                <w:rFonts w:eastAsia="Times New Roman" w:cs="Calibri"/>
                <w:color w:val="000000"/>
                <w:szCs w:val="20"/>
              </w:rPr>
            </w:pPr>
            <w:r w:rsidRPr="005F79AC">
              <w:rPr>
                <w:rFonts w:eastAsia="Times New Roman" w:cs="Calibri"/>
                <w:color w:val="000000"/>
                <w:szCs w:val="20"/>
              </w:rPr>
              <w:t>Gana – 2005 – Blue Skies (âncora industrial, certificações, contratos justos)</w:t>
            </w:r>
          </w:p>
        </w:tc>
        <w:tc>
          <w:tcPr>
            <w:tcW w:w="2409" w:type="dxa"/>
            <w:vAlign w:val="bottom"/>
            <w:hideMark/>
          </w:tcPr>
          <w:p w14:paraId="14352495" w14:textId="77777777" w:rsidR="00096206" w:rsidRPr="005F79AC" w:rsidRDefault="00096206" w:rsidP="00D67AF4">
            <w:pPr>
              <w:spacing w:line="240" w:lineRule="auto"/>
              <w:jc w:val="left"/>
              <w:rPr>
                <w:rFonts w:eastAsia="Times New Roman" w:cs="Calibri"/>
                <w:color w:val="0000FF"/>
                <w:szCs w:val="20"/>
                <w:u w:val="single"/>
              </w:rPr>
            </w:pPr>
            <w:hyperlink r:id="rId78" w:history="1">
              <w:r w:rsidRPr="005F79AC">
                <w:rPr>
                  <w:rFonts w:eastAsia="Times New Roman" w:cs="Calibri"/>
                  <w:color w:val="0000FF"/>
                  <w:szCs w:val="20"/>
                  <w:u w:val="single"/>
                </w:rPr>
                <w:t>https://cgspace.cgiar.org/server/api/core/bitstreams/75419ae3-5633-444d-8012-8ced9d0303e7/content?utm_source=chatgpt.com</w:t>
              </w:r>
            </w:hyperlink>
          </w:p>
        </w:tc>
      </w:tr>
      <w:tr w:rsidR="00096206" w:rsidRPr="005F79AC" w14:paraId="2767808B" w14:textId="77777777" w:rsidTr="00982C85">
        <w:trPr>
          <w:trHeight w:val="1120"/>
        </w:trPr>
        <w:tc>
          <w:tcPr>
            <w:tcW w:w="1555" w:type="dxa"/>
            <w:vAlign w:val="center"/>
            <w:hideMark/>
          </w:tcPr>
          <w:p w14:paraId="1EAAE131" w14:textId="77777777" w:rsidR="00096206" w:rsidRPr="005F79AC" w:rsidRDefault="00096206" w:rsidP="00982C85">
            <w:pPr>
              <w:spacing w:line="240" w:lineRule="auto"/>
              <w:jc w:val="center"/>
              <w:rPr>
                <w:rFonts w:eastAsia="Times New Roman" w:cs="Calibri"/>
                <w:color w:val="000000"/>
                <w:szCs w:val="20"/>
              </w:rPr>
            </w:pPr>
            <w:r w:rsidRPr="005F79AC">
              <w:rPr>
                <w:rFonts w:eastAsia="Times New Roman" w:cs="Calibri"/>
                <w:color w:val="000000"/>
                <w:szCs w:val="20"/>
              </w:rPr>
              <w:t>5.2 Grandes produtores/exportadores</w:t>
            </w:r>
          </w:p>
        </w:tc>
        <w:tc>
          <w:tcPr>
            <w:tcW w:w="1701" w:type="dxa"/>
            <w:vAlign w:val="center"/>
            <w:hideMark/>
          </w:tcPr>
          <w:p w14:paraId="1C8DCDD3" w14:textId="77777777" w:rsidR="00096206" w:rsidRPr="005F79AC" w:rsidRDefault="00096206" w:rsidP="00982C85">
            <w:pPr>
              <w:spacing w:line="240" w:lineRule="auto"/>
              <w:jc w:val="center"/>
              <w:rPr>
                <w:rFonts w:eastAsia="Times New Roman" w:cs="Calibri"/>
                <w:color w:val="000000"/>
                <w:szCs w:val="20"/>
              </w:rPr>
            </w:pPr>
            <w:r w:rsidRPr="005F79AC">
              <w:rPr>
                <w:rFonts w:eastAsia="Times New Roman" w:cs="Calibri"/>
                <w:color w:val="000000"/>
                <w:szCs w:val="20"/>
              </w:rPr>
              <w:t>Elevado capital.</w:t>
            </w:r>
          </w:p>
        </w:tc>
        <w:tc>
          <w:tcPr>
            <w:tcW w:w="1559" w:type="dxa"/>
            <w:vAlign w:val="center"/>
          </w:tcPr>
          <w:p w14:paraId="071DD3E6" w14:textId="77777777" w:rsidR="00096206" w:rsidRPr="005F79AC" w:rsidRDefault="00096206" w:rsidP="00982C85">
            <w:pPr>
              <w:spacing w:line="240" w:lineRule="auto"/>
              <w:jc w:val="center"/>
              <w:rPr>
                <w:rFonts w:eastAsia="Times New Roman" w:cs="Calibri"/>
                <w:color w:val="000000"/>
                <w:szCs w:val="20"/>
              </w:rPr>
            </w:pPr>
          </w:p>
          <w:p w14:paraId="1E56D388" w14:textId="77777777" w:rsidR="00096206" w:rsidRPr="005F79AC" w:rsidRDefault="00096206" w:rsidP="00982C85">
            <w:pPr>
              <w:spacing w:line="240" w:lineRule="auto"/>
              <w:jc w:val="center"/>
              <w:rPr>
                <w:rFonts w:eastAsia="Times New Roman" w:cs="Calibri"/>
                <w:color w:val="000000"/>
                <w:szCs w:val="20"/>
              </w:rPr>
            </w:pPr>
          </w:p>
          <w:p w14:paraId="03FDCBFF" w14:textId="77777777" w:rsidR="00096206" w:rsidRPr="005F79AC" w:rsidRDefault="00096206" w:rsidP="00982C85">
            <w:pPr>
              <w:spacing w:line="240" w:lineRule="auto"/>
              <w:jc w:val="center"/>
              <w:rPr>
                <w:rFonts w:eastAsia="Times New Roman" w:cs="Calibri"/>
                <w:color w:val="000000"/>
                <w:szCs w:val="20"/>
              </w:rPr>
            </w:pPr>
            <w:r w:rsidRPr="005F79AC">
              <w:rPr>
                <w:rFonts w:eastAsia="Times New Roman" w:cs="Calibri"/>
                <w:color w:val="000000"/>
                <w:szCs w:val="20"/>
              </w:rPr>
              <w:t>Moderado</w:t>
            </w:r>
          </w:p>
        </w:tc>
        <w:tc>
          <w:tcPr>
            <w:tcW w:w="1843" w:type="dxa"/>
            <w:vAlign w:val="center"/>
            <w:hideMark/>
          </w:tcPr>
          <w:p w14:paraId="3A87A2F8" w14:textId="77777777" w:rsidR="00096206" w:rsidRPr="005F79AC" w:rsidRDefault="00096206" w:rsidP="00982C85">
            <w:pPr>
              <w:spacing w:line="240" w:lineRule="auto"/>
              <w:jc w:val="center"/>
              <w:rPr>
                <w:rFonts w:eastAsia="Times New Roman" w:cs="Calibri"/>
                <w:color w:val="000000"/>
                <w:szCs w:val="20"/>
              </w:rPr>
            </w:pPr>
            <w:r w:rsidRPr="005F79AC">
              <w:rPr>
                <w:rFonts w:eastAsia="Times New Roman" w:cs="Calibri"/>
                <w:color w:val="000000"/>
                <w:szCs w:val="20"/>
              </w:rPr>
              <w:t>Mali – 2010s – Sikasso (grandes pomares irrigados, exportação fresca)</w:t>
            </w:r>
          </w:p>
        </w:tc>
        <w:tc>
          <w:tcPr>
            <w:tcW w:w="2409" w:type="dxa"/>
            <w:vAlign w:val="bottom"/>
            <w:hideMark/>
          </w:tcPr>
          <w:p w14:paraId="0083D9D1" w14:textId="77777777" w:rsidR="00096206" w:rsidRPr="005F79AC" w:rsidRDefault="00096206" w:rsidP="00D67AF4">
            <w:pPr>
              <w:spacing w:line="240" w:lineRule="auto"/>
              <w:jc w:val="left"/>
              <w:rPr>
                <w:rFonts w:eastAsia="Times New Roman" w:cs="Calibri"/>
                <w:color w:val="0000FF"/>
                <w:szCs w:val="20"/>
                <w:u w:val="single"/>
              </w:rPr>
            </w:pPr>
            <w:hyperlink r:id="rId79" w:history="1">
              <w:r w:rsidRPr="005F79AC">
                <w:rPr>
                  <w:rFonts w:eastAsia="Times New Roman" w:cs="Calibri"/>
                  <w:color w:val="0000FF"/>
                  <w:szCs w:val="20"/>
                  <w:u w:val="single"/>
                </w:rPr>
                <w:t>https://agroplus-mali.com/index_en.php, https://agrinnovators.org/</w:t>
              </w:r>
            </w:hyperlink>
          </w:p>
          <w:p w14:paraId="5D47D29C" w14:textId="77777777" w:rsidR="00096206" w:rsidRPr="005F79AC" w:rsidRDefault="00096206" w:rsidP="00D67AF4">
            <w:pPr>
              <w:spacing w:line="240" w:lineRule="auto"/>
              <w:jc w:val="left"/>
              <w:rPr>
                <w:rFonts w:eastAsia="Times New Roman" w:cs="Calibri"/>
                <w:color w:val="0000FF"/>
                <w:szCs w:val="20"/>
                <w:u w:val="single"/>
              </w:rPr>
            </w:pPr>
          </w:p>
        </w:tc>
      </w:tr>
      <w:tr w:rsidR="00096206" w:rsidRPr="005F79AC" w14:paraId="6C64C4FA" w14:textId="77777777" w:rsidTr="00982C85">
        <w:trPr>
          <w:trHeight w:val="1120"/>
        </w:trPr>
        <w:tc>
          <w:tcPr>
            <w:tcW w:w="1555" w:type="dxa"/>
            <w:vAlign w:val="center"/>
            <w:hideMark/>
          </w:tcPr>
          <w:p w14:paraId="48BB1994" w14:textId="77777777" w:rsidR="00096206" w:rsidRPr="005F79AC" w:rsidRDefault="00096206" w:rsidP="00982C85">
            <w:pPr>
              <w:spacing w:line="240" w:lineRule="auto"/>
              <w:jc w:val="center"/>
              <w:rPr>
                <w:rFonts w:eastAsia="Times New Roman" w:cs="Calibri"/>
                <w:color w:val="000000"/>
                <w:szCs w:val="20"/>
              </w:rPr>
            </w:pPr>
            <w:r w:rsidRPr="005F79AC">
              <w:rPr>
                <w:rFonts w:eastAsia="Times New Roman" w:cs="Calibri"/>
                <w:color w:val="000000"/>
                <w:szCs w:val="20"/>
              </w:rPr>
              <w:t>5.3 Pequenos e médios produtores</w:t>
            </w:r>
          </w:p>
        </w:tc>
        <w:tc>
          <w:tcPr>
            <w:tcW w:w="1701" w:type="dxa"/>
            <w:vAlign w:val="center"/>
            <w:hideMark/>
          </w:tcPr>
          <w:p w14:paraId="4CD12EBD" w14:textId="77777777" w:rsidR="00096206" w:rsidRPr="005F79AC" w:rsidRDefault="00096206" w:rsidP="00982C85">
            <w:pPr>
              <w:spacing w:line="240" w:lineRule="auto"/>
              <w:jc w:val="center"/>
              <w:rPr>
                <w:rFonts w:eastAsia="Times New Roman" w:cs="Calibri"/>
                <w:color w:val="000000"/>
                <w:szCs w:val="20"/>
              </w:rPr>
            </w:pPr>
            <w:r w:rsidRPr="005F79AC">
              <w:rPr>
                <w:rFonts w:eastAsia="Times New Roman" w:cs="Calibri"/>
                <w:color w:val="000000"/>
                <w:szCs w:val="20"/>
              </w:rPr>
              <w:t>Baixa produtividade; dispersão; dificuldade de escala; dependência de apoio externo</w:t>
            </w:r>
          </w:p>
        </w:tc>
        <w:tc>
          <w:tcPr>
            <w:tcW w:w="1559" w:type="dxa"/>
            <w:vAlign w:val="center"/>
          </w:tcPr>
          <w:p w14:paraId="48FA83DC" w14:textId="03FF4C16" w:rsidR="00096206" w:rsidRPr="005F79AC" w:rsidRDefault="00982C85" w:rsidP="00982C85">
            <w:pPr>
              <w:spacing w:line="240" w:lineRule="auto"/>
              <w:rPr>
                <w:rFonts w:eastAsia="Times New Roman" w:cs="Calibri"/>
                <w:color w:val="000000"/>
                <w:szCs w:val="20"/>
              </w:rPr>
            </w:pPr>
            <w:r>
              <w:rPr>
                <w:rFonts w:eastAsia="Times New Roman" w:cs="Calibri"/>
                <w:color w:val="000000"/>
                <w:szCs w:val="20"/>
              </w:rPr>
              <w:t xml:space="preserve">      </w:t>
            </w:r>
            <w:r w:rsidR="00096206" w:rsidRPr="005F79AC">
              <w:rPr>
                <w:rFonts w:eastAsia="Times New Roman" w:cs="Calibri"/>
                <w:color w:val="000000"/>
                <w:szCs w:val="20"/>
              </w:rPr>
              <w:t>Moderado</w:t>
            </w:r>
          </w:p>
        </w:tc>
        <w:tc>
          <w:tcPr>
            <w:tcW w:w="1843" w:type="dxa"/>
            <w:vAlign w:val="center"/>
            <w:hideMark/>
          </w:tcPr>
          <w:p w14:paraId="4DA168C3" w14:textId="77777777" w:rsidR="00096206" w:rsidRPr="005F79AC" w:rsidRDefault="00096206" w:rsidP="00982C85">
            <w:pPr>
              <w:spacing w:line="240" w:lineRule="auto"/>
              <w:jc w:val="center"/>
              <w:rPr>
                <w:rFonts w:eastAsia="Times New Roman" w:cs="Calibri"/>
                <w:color w:val="000000"/>
                <w:szCs w:val="20"/>
              </w:rPr>
            </w:pPr>
            <w:r w:rsidRPr="005F79AC">
              <w:rPr>
                <w:rFonts w:eastAsia="Times New Roman" w:cs="Calibri"/>
                <w:color w:val="000000"/>
                <w:szCs w:val="20"/>
              </w:rPr>
              <w:t>Burkina Faso – 2012 – Cooperativas certificadas GlobalGAP em grupo</w:t>
            </w:r>
          </w:p>
        </w:tc>
        <w:tc>
          <w:tcPr>
            <w:tcW w:w="2409" w:type="dxa"/>
            <w:vAlign w:val="center"/>
            <w:hideMark/>
          </w:tcPr>
          <w:p w14:paraId="443CD283" w14:textId="77777777" w:rsidR="00096206" w:rsidRPr="005F79AC" w:rsidRDefault="00096206" w:rsidP="00D67AF4">
            <w:pPr>
              <w:spacing w:line="240" w:lineRule="auto"/>
              <w:jc w:val="left"/>
              <w:rPr>
                <w:rFonts w:eastAsia="Times New Roman" w:cs="Calibri"/>
                <w:color w:val="0000FF"/>
                <w:szCs w:val="20"/>
                <w:u w:val="single"/>
              </w:rPr>
            </w:pPr>
            <w:hyperlink r:id="rId80" w:history="1">
              <w:r w:rsidRPr="005F79AC">
                <w:rPr>
                  <w:rFonts w:eastAsia="Times New Roman" w:cs="Calibri"/>
                  <w:color w:val="0000FF"/>
                  <w:szCs w:val="20"/>
                  <w:u w:val="single"/>
                </w:rPr>
                <w:t>https://www.alimenterre.org/paniers-paysans-et-certification-participative, https://www.alimenterre.org/la-premiere-amap-du-benin-nourrit-deja-300-familles-son-fondateur-nous-raconte</w:t>
              </w:r>
            </w:hyperlink>
          </w:p>
        </w:tc>
      </w:tr>
      <w:tr w:rsidR="00096206" w:rsidRPr="00C941C7" w14:paraId="520F3F34" w14:textId="77777777" w:rsidTr="00982C85">
        <w:trPr>
          <w:trHeight w:val="1120"/>
        </w:trPr>
        <w:tc>
          <w:tcPr>
            <w:tcW w:w="1555" w:type="dxa"/>
            <w:vAlign w:val="center"/>
            <w:hideMark/>
          </w:tcPr>
          <w:p w14:paraId="70E59F68" w14:textId="77777777" w:rsidR="00096206" w:rsidRPr="005F79AC" w:rsidRDefault="00096206" w:rsidP="00982C85">
            <w:pPr>
              <w:spacing w:line="240" w:lineRule="auto"/>
              <w:jc w:val="center"/>
              <w:rPr>
                <w:rFonts w:eastAsia="Times New Roman" w:cs="Calibri"/>
                <w:color w:val="000000"/>
                <w:szCs w:val="20"/>
              </w:rPr>
            </w:pPr>
            <w:r w:rsidRPr="005F79AC">
              <w:rPr>
                <w:rFonts w:eastAsia="Times New Roman" w:cs="Calibri"/>
                <w:color w:val="000000"/>
                <w:szCs w:val="20"/>
              </w:rPr>
              <w:lastRenderedPageBreak/>
              <w:t>5.4 Pequenos e médios transformadores</w:t>
            </w:r>
          </w:p>
        </w:tc>
        <w:tc>
          <w:tcPr>
            <w:tcW w:w="1701" w:type="dxa"/>
            <w:vAlign w:val="center"/>
            <w:hideMark/>
          </w:tcPr>
          <w:p w14:paraId="34214AE6" w14:textId="77777777" w:rsidR="00096206" w:rsidRPr="005F79AC" w:rsidRDefault="00096206" w:rsidP="00982C85">
            <w:pPr>
              <w:spacing w:line="240" w:lineRule="auto"/>
              <w:jc w:val="center"/>
              <w:rPr>
                <w:rFonts w:eastAsia="Times New Roman" w:cs="Calibri"/>
                <w:color w:val="000000"/>
                <w:szCs w:val="20"/>
              </w:rPr>
            </w:pPr>
            <w:r w:rsidRPr="005F79AC">
              <w:rPr>
                <w:rFonts w:eastAsia="Times New Roman" w:cs="Calibri"/>
                <w:color w:val="000000"/>
                <w:szCs w:val="20"/>
              </w:rPr>
              <w:t>Fragilidade financeira e técnica; informalidade; barreiras sanitárias; concorrência com importados</w:t>
            </w:r>
          </w:p>
        </w:tc>
        <w:tc>
          <w:tcPr>
            <w:tcW w:w="1559" w:type="dxa"/>
            <w:vAlign w:val="center"/>
          </w:tcPr>
          <w:p w14:paraId="7C43259B" w14:textId="77777777" w:rsidR="00096206" w:rsidRPr="005F79AC" w:rsidRDefault="00096206" w:rsidP="00982C85">
            <w:pPr>
              <w:spacing w:line="240" w:lineRule="auto"/>
              <w:jc w:val="center"/>
              <w:rPr>
                <w:rFonts w:eastAsia="Times New Roman" w:cs="Calibri"/>
                <w:color w:val="000000"/>
                <w:szCs w:val="20"/>
              </w:rPr>
            </w:pPr>
          </w:p>
          <w:p w14:paraId="37069329" w14:textId="77777777" w:rsidR="00096206" w:rsidRPr="005F79AC" w:rsidRDefault="00096206" w:rsidP="00982C85">
            <w:pPr>
              <w:spacing w:line="240" w:lineRule="auto"/>
              <w:jc w:val="center"/>
              <w:rPr>
                <w:rFonts w:eastAsia="Times New Roman" w:cs="Calibri"/>
                <w:color w:val="000000"/>
                <w:szCs w:val="20"/>
              </w:rPr>
            </w:pPr>
          </w:p>
          <w:p w14:paraId="12485C72" w14:textId="77777777" w:rsidR="00096206" w:rsidRPr="005F79AC" w:rsidRDefault="00096206" w:rsidP="00982C85">
            <w:pPr>
              <w:spacing w:line="240" w:lineRule="auto"/>
              <w:jc w:val="center"/>
              <w:rPr>
                <w:rFonts w:eastAsia="Times New Roman" w:cs="Calibri"/>
                <w:color w:val="000000"/>
                <w:szCs w:val="20"/>
              </w:rPr>
            </w:pPr>
            <w:r w:rsidRPr="005F79AC">
              <w:rPr>
                <w:rFonts w:eastAsia="Times New Roman" w:cs="Calibri"/>
                <w:color w:val="000000"/>
                <w:szCs w:val="20"/>
              </w:rPr>
              <w:t>Moderado</w:t>
            </w:r>
          </w:p>
        </w:tc>
        <w:tc>
          <w:tcPr>
            <w:tcW w:w="1843" w:type="dxa"/>
            <w:vAlign w:val="center"/>
            <w:hideMark/>
          </w:tcPr>
          <w:p w14:paraId="7D0F3F00" w14:textId="77777777" w:rsidR="00096206" w:rsidRPr="005F79AC" w:rsidRDefault="00096206" w:rsidP="00982C85">
            <w:pPr>
              <w:spacing w:line="240" w:lineRule="auto"/>
              <w:jc w:val="center"/>
              <w:rPr>
                <w:rFonts w:eastAsia="Times New Roman" w:cs="Calibri"/>
                <w:color w:val="000000"/>
                <w:szCs w:val="20"/>
              </w:rPr>
            </w:pPr>
            <w:r w:rsidRPr="005F79AC">
              <w:rPr>
                <w:rFonts w:eastAsia="Times New Roman" w:cs="Calibri"/>
                <w:color w:val="000000"/>
                <w:szCs w:val="20"/>
              </w:rPr>
              <w:t>Senegal – 2010s – PME Casamance/Niayes (apoio estatal/doadores, forte procura urbana)</w:t>
            </w:r>
          </w:p>
        </w:tc>
        <w:tc>
          <w:tcPr>
            <w:tcW w:w="2409" w:type="dxa"/>
            <w:vAlign w:val="center"/>
            <w:hideMark/>
          </w:tcPr>
          <w:p w14:paraId="4CF0EF0A" w14:textId="77777777" w:rsidR="00096206" w:rsidRPr="00C941C7" w:rsidRDefault="00096206" w:rsidP="00D67AF4">
            <w:pPr>
              <w:spacing w:line="240" w:lineRule="auto"/>
              <w:jc w:val="left"/>
              <w:rPr>
                <w:rFonts w:eastAsia="Times New Roman" w:cs="Calibri"/>
                <w:color w:val="0000FF"/>
                <w:szCs w:val="20"/>
                <w:u w:val="single"/>
              </w:rPr>
            </w:pPr>
            <w:hyperlink r:id="rId81" w:history="1">
              <w:r w:rsidRPr="005F79AC">
                <w:rPr>
                  <w:rFonts w:eastAsia="Times New Roman" w:cs="Calibri"/>
                  <w:color w:val="0000FF"/>
                  <w:szCs w:val="20"/>
                  <w:u w:val="single"/>
                </w:rPr>
                <w:t>https://www.inter-reseaux.org/ressource/transformation-des-cereales-locales-fruits-et-legumes-lafao-implante-une-unite-de-production-a-rufisque/?, https://www.agroalimentaire.sn/filierefruitsetlegumes/</w:t>
              </w:r>
            </w:hyperlink>
          </w:p>
        </w:tc>
      </w:tr>
    </w:tbl>
    <w:p w14:paraId="3104878F" w14:textId="6E796BE1" w:rsidR="005E2908" w:rsidRDefault="003F6476" w:rsidP="007D3A26">
      <w:pPr>
        <w:pStyle w:val="Caption"/>
      </w:pPr>
      <w:bookmarkStart w:id="255" w:name="_Ref210831274"/>
      <w:bookmarkStart w:id="256" w:name="_Toc211791036"/>
      <w:r>
        <w:t xml:space="preserve">Quadro </w:t>
      </w:r>
      <w:fldSimple w:instr=" STYLEREF 1 \s ">
        <w:r w:rsidR="002A2405">
          <w:rPr>
            <w:noProof/>
          </w:rPr>
          <w:t>5</w:t>
        </w:r>
      </w:fldSimple>
      <w:r>
        <w:t>.</w:t>
      </w:r>
      <w:fldSimple w:instr=" SEQ Quadro \* ARABIC \s 1 ">
        <w:r w:rsidR="002A2405">
          <w:rPr>
            <w:noProof/>
          </w:rPr>
          <w:t>1</w:t>
        </w:r>
      </w:fldSimple>
      <w:bookmarkEnd w:id="255"/>
      <w:r>
        <w:t xml:space="preserve"> - Resumo dos quatro cenários analisados para a Cadeia de Valor da Manga na Guiné-Bissau</w:t>
      </w:r>
      <w:bookmarkEnd w:id="256"/>
    </w:p>
    <w:p w14:paraId="135BCF8E" w14:textId="77777777" w:rsidR="00346DAF" w:rsidRDefault="00346DAF" w:rsidP="00815270">
      <w:pPr>
        <w:pStyle w:val="Heading1"/>
      </w:pPr>
      <w:bookmarkStart w:id="257" w:name="_Toc220507553"/>
      <w:bookmarkEnd w:id="257"/>
    </w:p>
    <w:p w14:paraId="713263B6" w14:textId="77777777" w:rsidR="00346DAF" w:rsidRDefault="00346DAF" w:rsidP="00815270">
      <w:pPr>
        <w:pStyle w:val="Heading1"/>
      </w:pPr>
      <w:bookmarkStart w:id="258" w:name="_Toc220507554"/>
      <w:bookmarkEnd w:id="258"/>
    </w:p>
    <w:p w14:paraId="5FB1D368" w14:textId="77777777" w:rsidR="00346DAF" w:rsidRDefault="00346DAF" w:rsidP="00815270">
      <w:pPr>
        <w:pStyle w:val="Heading1"/>
      </w:pPr>
      <w:bookmarkStart w:id="259" w:name="_Toc220507555"/>
      <w:bookmarkEnd w:id="259"/>
    </w:p>
    <w:p w14:paraId="053EC49A" w14:textId="77777777" w:rsidR="00346DAF" w:rsidRDefault="00346DAF" w:rsidP="00815270">
      <w:pPr>
        <w:pStyle w:val="Heading1"/>
      </w:pPr>
      <w:bookmarkStart w:id="260" w:name="_Toc220507556"/>
      <w:bookmarkEnd w:id="260"/>
    </w:p>
    <w:p w14:paraId="776012E1" w14:textId="77777777" w:rsidR="00346DAF" w:rsidRDefault="00346DAF" w:rsidP="00815270">
      <w:pPr>
        <w:pStyle w:val="Heading1"/>
      </w:pPr>
      <w:bookmarkStart w:id="261" w:name="_Toc220507557"/>
      <w:bookmarkEnd w:id="261"/>
    </w:p>
    <w:p w14:paraId="7CEF5031" w14:textId="77777777" w:rsidR="00346DAF" w:rsidRDefault="00346DAF" w:rsidP="00815270">
      <w:pPr>
        <w:pStyle w:val="Heading1"/>
      </w:pPr>
      <w:bookmarkStart w:id="262" w:name="_Toc220507558"/>
      <w:bookmarkEnd w:id="262"/>
    </w:p>
    <w:p w14:paraId="6D14D912" w14:textId="77777777" w:rsidR="00346DAF" w:rsidRDefault="00346DAF" w:rsidP="00815270">
      <w:pPr>
        <w:pStyle w:val="Heading1"/>
      </w:pPr>
      <w:bookmarkStart w:id="263" w:name="_Toc220507559"/>
      <w:bookmarkEnd w:id="263"/>
    </w:p>
    <w:p w14:paraId="31A91AB4" w14:textId="77777777" w:rsidR="00346DAF" w:rsidRDefault="00346DAF" w:rsidP="00815270">
      <w:pPr>
        <w:pStyle w:val="Heading1"/>
      </w:pPr>
      <w:bookmarkStart w:id="264" w:name="_Toc220507560"/>
      <w:bookmarkEnd w:id="264"/>
    </w:p>
    <w:p w14:paraId="1DA5DC4E" w14:textId="77777777" w:rsidR="00346DAF" w:rsidRDefault="00346DAF" w:rsidP="00815270">
      <w:pPr>
        <w:pStyle w:val="Heading1"/>
      </w:pPr>
      <w:bookmarkStart w:id="265" w:name="_Toc220507561"/>
      <w:bookmarkEnd w:id="265"/>
    </w:p>
    <w:p w14:paraId="18D4C2EE" w14:textId="77777777" w:rsidR="00E042D7" w:rsidRDefault="00E042D7">
      <w:pPr>
        <w:spacing w:line="278" w:lineRule="auto"/>
        <w:jc w:val="left"/>
        <w:rPr>
          <w:rFonts w:eastAsiaTheme="majorEastAsia" w:cs="Calibri"/>
          <w:b/>
          <w:bCs/>
          <w:color w:val="336666"/>
          <w:kern w:val="0"/>
          <w:sz w:val="28"/>
          <w:szCs w:val="28"/>
          <w:lang w:eastAsia="en-US"/>
          <w14:ligatures w14:val="none"/>
        </w:rPr>
      </w:pPr>
      <w:r>
        <w:br w:type="page"/>
      </w:r>
    </w:p>
    <w:p w14:paraId="6C1E2D49" w14:textId="66099638" w:rsidR="0094392E" w:rsidRDefault="0094392E" w:rsidP="00815270">
      <w:pPr>
        <w:pStyle w:val="Heading1"/>
      </w:pPr>
      <w:bookmarkStart w:id="266" w:name="_Toc220507562"/>
      <w:r w:rsidRPr="00273823">
        <w:lastRenderedPageBreak/>
        <w:t>Referências</w:t>
      </w:r>
      <w:bookmarkEnd w:id="266"/>
    </w:p>
    <w:p w14:paraId="5F5E3C61" w14:textId="77777777" w:rsidR="008A7E17" w:rsidRPr="008A7E17" w:rsidRDefault="008A7E17" w:rsidP="008A7E17">
      <w:pPr>
        <w:rPr>
          <w:lang w:val="en-GB" w:eastAsia="en-US"/>
        </w:rPr>
      </w:pPr>
      <w:r w:rsidRPr="00F2258D">
        <w:rPr>
          <w:lang w:val="pt-BR" w:eastAsia="en-US"/>
        </w:rPr>
        <w:t xml:space="preserve">Akrong, R., Akorsu, A. D., Jha, P., &amp; Agyenim, J. B. (2022). </w:t>
      </w:r>
      <w:r w:rsidRPr="008A7E17">
        <w:rPr>
          <w:lang w:val="en-GB" w:eastAsia="en-US"/>
        </w:rPr>
        <w:t xml:space="preserve">Assessing the trade and welfare effects of certification schemes: The case of </w:t>
      </w:r>
      <w:proofErr w:type="spellStart"/>
      <w:r w:rsidRPr="008A7E17">
        <w:rPr>
          <w:lang w:val="en-GB" w:eastAsia="en-US"/>
        </w:rPr>
        <w:t>GlobalGAP</w:t>
      </w:r>
      <w:proofErr w:type="spellEnd"/>
      <w:r w:rsidRPr="008A7E17">
        <w:rPr>
          <w:lang w:val="en-GB" w:eastAsia="en-US"/>
        </w:rPr>
        <w:t xml:space="preserve"> in Ghana’s Mango sector. Scientific African, 18, </w:t>
      </w:r>
    </w:p>
    <w:p w14:paraId="3D3F3B37" w14:textId="77777777" w:rsidR="008A7E17" w:rsidRPr="008A7E17" w:rsidRDefault="008A7E17" w:rsidP="008A7E17">
      <w:pPr>
        <w:rPr>
          <w:lang w:val="en-GB" w:eastAsia="en-US"/>
        </w:rPr>
      </w:pPr>
      <w:proofErr w:type="spellStart"/>
      <w:r w:rsidRPr="008A7E17">
        <w:rPr>
          <w:lang w:val="en-GB" w:eastAsia="en-US"/>
        </w:rPr>
        <w:t>Ambele</w:t>
      </w:r>
      <w:proofErr w:type="spellEnd"/>
      <w:r w:rsidRPr="008A7E17">
        <w:rPr>
          <w:lang w:val="en-GB" w:eastAsia="en-US"/>
        </w:rPr>
        <w:t xml:space="preserve"> C and </w:t>
      </w:r>
      <w:proofErr w:type="spellStart"/>
      <w:r w:rsidRPr="008A7E17">
        <w:rPr>
          <w:lang w:val="en-GB" w:eastAsia="en-US"/>
        </w:rPr>
        <w:t>Afreh</w:t>
      </w:r>
      <w:proofErr w:type="spellEnd"/>
      <w:r w:rsidRPr="008A7E17">
        <w:rPr>
          <w:lang w:val="en-GB" w:eastAsia="en-US"/>
        </w:rPr>
        <w:t xml:space="preserve">-Nuamah K (2012). Susceptibility of four mango varieties to the Africa Invader fly, </w:t>
      </w:r>
      <w:proofErr w:type="spellStart"/>
      <w:r w:rsidRPr="008A7E17">
        <w:rPr>
          <w:lang w:val="en-GB" w:eastAsia="en-US"/>
        </w:rPr>
        <w:t>Bactrocera</w:t>
      </w:r>
      <w:proofErr w:type="spellEnd"/>
      <w:r w:rsidRPr="008A7E17">
        <w:rPr>
          <w:lang w:val="en-GB" w:eastAsia="en-US"/>
        </w:rPr>
        <w:t xml:space="preserve"> </w:t>
      </w:r>
      <w:proofErr w:type="spellStart"/>
      <w:r w:rsidRPr="008A7E17">
        <w:rPr>
          <w:lang w:val="en-GB" w:eastAsia="en-US"/>
        </w:rPr>
        <w:t>invadens</w:t>
      </w:r>
      <w:proofErr w:type="spellEnd"/>
      <w:r w:rsidRPr="008A7E17">
        <w:rPr>
          <w:lang w:val="en-GB" w:eastAsia="en-US"/>
        </w:rPr>
        <w:t xml:space="preserve"> Drew, Tsuruta and White (Diptera: </w:t>
      </w:r>
      <w:proofErr w:type="spellStart"/>
      <w:r w:rsidRPr="008A7E17">
        <w:rPr>
          <w:lang w:val="en-GB" w:eastAsia="en-US"/>
        </w:rPr>
        <w:t>Tephritidae</w:t>
      </w:r>
      <w:proofErr w:type="spellEnd"/>
      <w:r w:rsidRPr="008A7E17">
        <w:rPr>
          <w:lang w:val="en-GB" w:eastAsia="en-US"/>
        </w:rPr>
        <w:t>) in Ghana. Journal of Applied Biosciences 49, 3425–3434</w:t>
      </w:r>
    </w:p>
    <w:p w14:paraId="3DCF8EFD" w14:textId="77777777" w:rsidR="008A7E17" w:rsidRPr="008A7E17" w:rsidRDefault="008A7E17" w:rsidP="008A7E17">
      <w:pPr>
        <w:rPr>
          <w:lang w:val="en-GB" w:eastAsia="en-US"/>
        </w:rPr>
      </w:pPr>
      <w:proofErr w:type="spellStart"/>
      <w:r w:rsidRPr="008A7E17">
        <w:rPr>
          <w:lang w:val="en-GB" w:eastAsia="en-US"/>
        </w:rPr>
        <w:t>Chikkanna</w:t>
      </w:r>
      <w:proofErr w:type="spellEnd"/>
      <w:r w:rsidRPr="008A7E17">
        <w:rPr>
          <w:lang w:val="en-GB" w:eastAsia="en-US"/>
        </w:rPr>
        <w:t>, G. S. (2022). Low-cost ripening chamber is boon to small and marginal farmers for ripening of mangoes. The Pharma Innovation Journal, 11(9), 2823–2828.n</w:t>
      </w:r>
    </w:p>
    <w:p w14:paraId="5EAD49DD" w14:textId="77777777" w:rsidR="008A7E17" w:rsidRPr="008A7E17" w:rsidRDefault="008A7E17" w:rsidP="008A7E17">
      <w:pPr>
        <w:rPr>
          <w:lang w:val="en-GB" w:eastAsia="en-US"/>
        </w:rPr>
      </w:pPr>
      <w:r w:rsidRPr="008A7E17">
        <w:rPr>
          <w:lang w:val="en-GB" w:eastAsia="en-US"/>
        </w:rPr>
        <w:t xml:space="preserve">Isabirye BE, Akol AM, </w:t>
      </w:r>
      <w:proofErr w:type="spellStart"/>
      <w:r w:rsidRPr="008A7E17">
        <w:rPr>
          <w:lang w:val="en-GB" w:eastAsia="en-US"/>
        </w:rPr>
        <w:t>Muyinza</w:t>
      </w:r>
      <w:proofErr w:type="spellEnd"/>
      <w:r w:rsidRPr="008A7E17">
        <w:rPr>
          <w:lang w:val="en-GB" w:eastAsia="en-US"/>
        </w:rPr>
        <w:t xml:space="preserve"> H, </w:t>
      </w:r>
      <w:proofErr w:type="spellStart"/>
      <w:r w:rsidRPr="008A7E17">
        <w:rPr>
          <w:lang w:val="en-GB" w:eastAsia="en-US"/>
        </w:rPr>
        <w:t>Masembe</w:t>
      </w:r>
      <w:proofErr w:type="spellEnd"/>
      <w:r w:rsidRPr="008A7E17">
        <w:rPr>
          <w:lang w:val="en-GB" w:eastAsia="en-US"/>
        </w:rPr>
        <w:t xml:space="preserve"> C, </w:t>
      </w:r>
      <w:proofErr w:type="spellStart"/>
      <w:r w:rsidRPr="008A7E17">
        <w:rPr>
          <w:lang w:val="en-GB" w:eastAsia="en-US"/>
        </w:rPr>
        <w:t>Rwomushana</w:t>
      </w:r>
      <w:proofErr w:type="spellEnd"/>
      <w:r w:rsidRPr="008A7E17">
        <w:rPr>
          <w:lang w:val="en-GB" w:eastAsia="en-US"/>
        </w:rPr>
        <w:t xml:space="preserve"> I, and Nankinga CK (2016). Fruit Fly (Diptera: </w:t>
      </w:r>
      <w:proofErr w:type="spellStart"/>
      <w:r w:rsidRPr="008A7E17">
        <w:rPr>
          <w:lang w:val="en-GB" w:eastAsia="en-US"/>
        </w:rPr>
        <w:t>Tephritidae</w:t>
      </w:r>
      <w:proofErr w:type="spellEnd"/>
      <w:r w:rsidRPr="008A7E17">
        <w:rPr>
          <w:lang w:val="en-GB" w:eastAsia="en-US"/>
        </w:rPr>
        <w:t xml:space="preserve">) Host Status and Relative Infestation of Selected Mango Cultivars in Three </w:t>
      </w:r>
      <w:proofErr w:type="spellStart"/>
      <w:r w:rsidRPr="008A7E17">
        <w:rPr>
          <w:lang w:val="en-GB" w:eastAsia="en-US"/>
        </w:rPr>
        <w:t>Agro</w:t>
      </w:r>
      <w:proofErr w:type="spellEnd"/>
      <w:r w:rsidRPr="008A7E17">
        <w:rPr>
          <w:lang w:val="en-GB" w:eastAsia="en-US"/>
        </w:rPr>
        <w:t xml:space="preserve"> Ecological Zones in Uganda. International Journal of Fruit Science, 16 (1): 23–41, </w:t>
      </w:r>
      <w:proofErr w:type="spellStart"/>
      <w:r w:rsidRPr="008A7E17">
        <w:rPr>
          <w:lang w:val="en-GB" w:eastAsia="en-US"/>
        </w:rPr>
        <w:t>doi</w:t>
      </w:r>
      <w:proofErr w:type="spellEnd"/>
      <w:r w:rsidRPr="008A7E17">
        <w:rPr>
          <w:lang w:val="en-GB" w:eastAsia="en-US"/>
        </w:rPr>
        <w:t>: 10.1080/15538362.2015.</w:t>
      </w:r>
      <w:proofErr w:type="gramStart"/>
      <w:r w:rsidRPr="008A7E17">
        <w:rPr>
          <w:lang w:val="en-GB" w:eastAsia="en-US"/>
        </w:rPr>
        <w:t>1042821;</w:t>
      </w:r>
      <w:proofErr w:type="gramEnd"/>
      <w:r w:rsidRPr="008A7E17">
        <w:rPr>
          <w:lang w:val="en-GB" w:eastAsia="en-US"/>
        </w:rPr>
        <w:t xml:space="preserve"> </w:t>
      </w:r>
    </w:p>
    <w:p w14:paraId="3282BE5C" w14:textId="68CCE4C2" w:rsidR="000C3BCF" w:rsidRDefault="000C3BCF" w:rsidP="008A7E17">
      <w:pPr>
        <w:rPr>
          <w:lang w:val="en-GB" w:eastAsia="en-US"/>
        </w:rPr>
      </w:pPr>
      <w:r w:rsidRPr="000C3BCF">
        <w:rPr>
          <w:lang w:val="en-GB" w:eastAsia="en-US"/>
        </w:rPr>
        <w:t xml:space="preserve">Kaufmann D, Kraay, AC (2024). The Worldwide Governance </w:t>
      </w:r>
      <w:proofErr w:type="gramStart"/>
      <w:r w:rsidRPr="000C3BCF">
        <w:rPr>
          <w:lang w:val="en-GB" w:eastAsia="en-US"/>
        </w:rPr>
        <w:t>Indicators :</w:t>
      </w:r>
      <w:proofErr w:type="gramEnd"/>
      <w:r w:rsidRPr="000C3BCF">
        <w:rPr>
          <w:lang w:val="en-GB" w:eastAsia="en-US"/>
        </w:rPr>
        <w:t xml:space="preserve"> Methodology and 2024 Update. Policy Research working paper </w:t>
      </w:r>
      <w:proofErr w:type="gramStart"/>
      <w:r w:rsidRPr="000C3BCF">
        <w:rPr>
          <w:lang w:val="en-GB" w:eastAsia="en-US"/>
        </w:rPr>
        <w:t>RRR;PROSPERITY</w:t>
      </w:r>
      <w:proofErr w:type="gramEnd"/>
      <w:r w:rsidRPr="000C3BCF">
        <w:rPr>
          <w:lang w:val="en-GB" w:eastAsia="en-US"/>
        </w:rPr>
        <w:t xml:space="preserve"> Washington, D.C.: World Bank Group. http://documents.worldbank.org/curated/en/099005210162424110 [</w:t>
      </w:r>
      <w:proofErr w:type="spellStart"/>
      <w:r w:rsidRPr="000C3BCF">
        <w:rPr>
          <w:lang w:val="en-GB" w:eastAsia="en-US"/>
        </w:rPr>
        <w:t>acedido</w:t>
      </w:r>
      <w:proofErr w:type="spellEnd"/>
      <w:r w:rsidRPr="000C3BCF">
        <w:rPr>
          <w:lang w:val="en-GB" w:eastAsia="en-US"/>
        </w:rPr>
        <w:t xml:space="preserve"> a 12 Jul 2025]</w:t>
      </w:r>
    </w:p>
    <w:p w14:paraId="38F787D7" w14:textId="68F5A333" w:rsidR="008A7E17" w:rsidRPr="008A7E17" w:rsidRDefault="008A7E17" w:rsidP="008A7E17">
      <w:pPr>
        <w:rPr>
          <w:lang w:val="en-GB" w:eastAsia="en-US"/>
        </w:rPr>
      </w:pPr>
      <w:r w:rsidRPr="008A7E17">
        <w:rPr>
          <w:lang w:val="en-GB" w:eastAsia="en-US"/>
        </w:rPr>
        <w:t xml:space="preserve">Ledger S, Barker L, Hofman P, Campbell J, Jones V, Holmes R, Campbell T and Weine </w:t>
      </w:r>
      <w:proofErr w:type="gramStart"/>
      <w:r w:rsidRPr="008A7E17">
        <w:rPr>
          <w:lang w:val="en-GB" w:eastAsia="en-US"/>
        </w:rPr>
        <w:t>m  (</w:t>
      </w:r>
      <w:proofErr w:type="gramEnd"/>
      <w:r w:rsidRPr="008A7E17">
        <w:rPr>
          <w:lang w:val="en-GB" w:eastAsia="en-US"/>
        </w:rPr>
        <w:t>2012). Mango Ripening Manual. The State of Queensland, Department of Agriculture Fisheries and Forestry. https://www.industry.mangoes.net.au/cmsb/uploads/mango-ripening-manual_d4-final.pdf</w:t>
      </w:r>
    </w:p>
    <w:p w14:paraId="0B2313CF" w14:textId="77777777" w:rsidR="008A7E17" w:rsidRPr="008A7E17" w:rsidRDefault="008A7E17" w:rsidP="008A7E17">
      <w:pPr>
        <w:rPr>
          <w:lang w:val="en-GB" w:eastAsia="en-US"/>
        </w:rPr>
      </w:pPr>
      <w:r w:rsidRPr="008A7E17">
        <w:rPr>
          <w:lang w:val="en-GB" w:eastAsia="en-US"/>
        </w:rPr>
        <w:t xml:space="preserve">Mokam DG, </w:t>
      </w:r>
      <w:proofErr w:type="spellStart"/>
      <w:r w:rsidRPr="008A7E17">
        <w:rPr>
          <w:lang w:val="en-GB" w:eastAsia="en-US"/>
        </w:rPr>
        <w:t>Atougour</w:t>
      </w:r>
      <w:proofErr w:type="spellEnd"/>
      <w:r w:rsidRPr="008A7E17">
        <w:rPr>
          <w:lang w:val="en-GB" w:eastAsia="en-US"/>
        </w:rPr>
        <w:t xml:space="preserve"> N, </w:t>
      </w:r>
      <w:proofErr w:type="spellStart"/>
      <w:r w:rsidRPr="008A7E17">
        <w:rPr>
          <w:lang w:val="en-GB" w:eastAsia="en-US"/>
        </w:rPr>
        <w:t>Tadu</w:t>
      </w:r>
      <w:proofErr w:type="spellEnd"/>
      <w:r w:rsidRPr="008A7E17">
        <w:rPr>
          <w:lang w:val="en-GB" w:eastAsia="en-US"/>
        </w:rPr>
        <w:t xml:space="preserve"> Z, </w:t>
      </w:r>
      <w:proofErr w:type="spellStart"/>
      <w:r w:rsidRPr="008A7E17">
        <w:rPr>
          <w:lang w:val="en-GB" w:eastAsia="en-US"/>
        </w:rPr>
        <w:t>Aléné</w:t>
      </w:r>
      <w:proofErr w:type="spellEnd"/>
      <w:r w:rsidRPr="008A7E17">
        <w:rPr>
          <w:lang w:val="en-GB" w:eastAsia="en-US"/>
        </w:rPr>
        <w:t xml:space="preserve"> DC, Awono E, </w:t>
      </w:r>
      <w:proofErr w:type="spellStart"/>
      <w:r w:rsidRPr="008A7E17">
        <w:rPr>
          <w:lang w:val="en-GB" w:eastAsia="en-US"/>
        </w:rPr>
        <w:t>Tapeo</w:t>
      </w:r>
      <w:proofErr w:type="spellEnd"/>
      <w:r w:rsidRPr="008A7E17">
        <w:rPr>
          <w:lang w:val="en-GB" w:eastAsia="en-US"/>
        </w:rPr>
        <w:t xml:space="preserve"> SL, Ngamo </w:t>
      </w:r>
      <w:proofErr w:type="spellStart"/>
      <w:r w:rsidRPr="008A7E17">
        <w:rPr>
          <w:lang w:val="en-GB" w:eastAsia="en-US"/>
        </w:rPr>
        <w:t>Tinkeu</w:t>
      </w:r>
      <w:proofErr w:type="spellEnd"/>
      <w:r w:rsidRPr="008A7E17">
        <w:rPr>
          <w:lang w:val="en-GB" w:eastAsia="en-US"/>
        </w:rPr>
        <w:t xml:space="preserve"> LSN, </w:t>
      </w:r>
      <w:proofErr w:type="spellStart"/>
      <w:r w:rsidRPr="008A7E17">
        <w:rPr>
          <w:lang w:val="en-GB" w:eastAsia="en-US"/>
        </w:rPr>
        <w:t>Djieto-Lordon</w:t>
      </w:r>
      <w:proofErr w:type="spellEnd"/>
      <w:r w:rsidRPr="008A7E17">
        <w:rPr>
          <w:lang w:val="en-GB" w:eastAsia="en-US"/>
        </w:rPr>
        <w:t xml:space="preserve"> C (2004) Susceptibility of Mangifera indica (Sapindales: </w:t>
      </w:r>
      <w:proofErr w:type="spellStart"/>
      <w:r w:rsidRPr="008A7E17">
        <w:rPr>
          <w:lang w:val="en-GB" w:eastAsia="en-US"/>
        </w:rPr>
        <w:t>Anacardiaceae</w:t>
      </w:r>
      <w:proofErr w:type="spellEnd"/>
      <w:r w:rsidRPr="008A7E17">
        <w:rPr>
          <w:lang w:val="en-GB" w:eastAsia="en-US"/>
        </w:rPr>
        <w:t xml:space="preserve">) cultivars to fruit flies (Diptera: </w:t>
      </w:r>
      <w:proofErr w:type="spellStart"/>
      <w:r w:rsidRPr="008A7E17">
        <w:rPr>
          <w:lang w:val="en-GB" w:eastAsia="en-US"/>
        </w:rPr>
        <w:t>Tephritidae</w:t>
      </w:r>
      <w:proofErr w:type="spellEnd"/>
      <w:r w:rsidRPr="008A7E17">
        <w:rPr>
          <w:lang w:val="en-GB" w:eastAsia="en-US"/>
        </w:rPr>
        <w:t>) in 2 agroecological zones of Cameroon. Journal of Insect Science, 24 (2), 9, https://doi.org/10.1093/jisesa/ieae027)</w:t>
      </w:r>
    </w:p>
    <w:p w14:paraId="5BBB915D" w14:textId="77777777" w:rsidR="008A7E17" w:rsidRPr="008A7E17" w:rsidRDefault="008A7E17" w:rsidP="008A7E17">
      <w:pPr>
        <w:rPr>
          <w:lang w:val="en-GB" w:eastAsia="en-US"/>
        </w:rPr>
      </w:pPr>
      <w:r w:rsidRPr="008A7E17">
        <w:rPr>
          <w:lang w:val="en-GB" w:eastAsia="en-US"/>
        </w:rPr>
        <w:t>Mulungu K, Muriithi BW, Kassie M and Khamis FM (2023) The economic performance of mango integrated pest management practices at different scales of production. Front. Insect Sci. 3:1180568.</w:t>
      </w:r>
    </w:p>
    <w:p w14:paraId="45C47A39" w14:textId="77777777" w:rsidR="008A7E17" w:rsidRDefault="008A7E17" w:rsidP="008A7E17">
      <w:pPr>
        <w:rPr>
          <w:lang w:eastAsia="en-US"/>
        </w:rPr>
      </w:pPr>
      <w:r w:rsidRPr="008A7E17">
        <w:rPr>
          <w:lang w:val="en-GB" w:eastAsia="en-US"/>
        </w:rPr>
        <w:t xml:space="preserve">Muriithi, B.W., </w:t>
      </w:r>
      <w:proofErr w:type="spellStart"/>
      <w:r w:rsidRPr="008A7E17">
        <w:rPr>
          <w:lang w:val="en-GB" w:eastAsia="en-US"/>
        </w:rPr>
        <w:t>Diiro</w:t>
      </w:r>
      <w:proofErr w:type="spellEnd"/>
      <w:r w:rsidRPr="008A7E17">
        <w:rPr>
          <w:lang w:val="en-GB" w:eastAsia="en-US"/>
        </w:rPr>
        <w:t xml:space="preserve">, G.M., </w:t>
      </w:r>
      <w:proofErr w:type="spellStart"/>
      <w:r w:rsidRPr="008A7E17">
        <w:rPr>
          <w:lang w:val="en-GB" w:eastAsia="en-US"/>
        </w:rPr>
        <w:t>Affognon</w:t>
      </w:r>
      <w:proofErr w:type="spellEnd"/>
      <w:r w:rsidRPr="008A7E17">
        <w:rPr>
          <w:lang w:val="en-GB" w:eastAsia="en-US"/>
        </w:rPr>
        <w:t xml:space="preserve">, H., </w:t>
      </w:r>
      <w:proofErr w:type="spellStart"/>
      <w:r w:rsidRPr="008A7E17">
        <w:rPr>
          <w:lang w:val="en-GB" w:eastAsia="en-US"/>
        </w:rPr>
        <w:t>Ekesi</w:t>
      </w:r>
      <w:proofErr w:type="spellEnd"/>
      <w:r w:rsidRPr="008A7E17">
        <w:rPr>
          <w:lang w:val="en-GB" w:eastAsia="en-US"/>
        </w:rPr>
        <w:t xml:space="preserve">, S. (2016). Economic Impact of Integrated Pest Management Strategies for the Suppression of Mango-Infesting Fruit Fly Species in Africa. In: </w:t>
      </w:r>
      <w:proofErr w:type="spellStart"/>
      <w:r w:rsidRPr="008A7E17">
        <w:rPr>
          <w:lang w:val="en-GB" w:eastAsia="en-US"/>
        </w:rPr>
        <w:t>Ekesi</w:t>
      </w:r>
      <w:proofErr w:type="spellEnd"/>
      <w:r w:rsidRPr="008A7E17">
        <w:rPr>
          <w:lang w:val="en-GB" w:eastAsia="en-US"/>
        </w:rPr>
        <w:t xml:space="preserve">, S., Mohamed, S., De Meyer, M. (eds) Fruit Fly Research and Development in Africa - Towards a Sustainable Management Strategy to Improve Horticulture. </w:t>
      </w:r>
      <w:r>
        <w:rPr>
          <w:lang w:eastAsia="en-US"/>
        </w:rPr>
        <w:t>Springer, Cham. https://doi.org/10.1007/978-3-319-43226-7_33</w:t>
      </w:r>
    </w:p>
    <w:p w14:paraId="1D91A397" w14:textId="77777777" w:rsidR="008A7E17" w:rsidRPr="008A7E17" w:rsidRDefault="008A7E17" w:rsidP="008A7E17">
      <w:pPr>
        <w:rPr>
          <w:lang w:val="en-GB" w:eastAsia="en-US"/>
        </w:rPr>
      </w:pPr>
      <w:r>
        <w:rPr>
          <w:lang w:eastAsia="en-US"/>
        </w:rPr>
        <w:t xml:space="preserve">Nasir, U., Riaz, M., Razzaq, K., Ismail, A., Hussain, A., Ameen, M., Saif, A., Ali, S., Aslam, F., &amp; Fernandes de Oliveira, C. A. (2024). </w:t>
      </w:r>
      <w:r w:rsidRPr="008A7E17">
        <w:rPr>
          <w:lang w:val="en-GB" w:eastAsia="en-US"/>
        </w:rPr>
        <w:t>Exploring fruit ripening methods: Conventional, artificial, and novel approaches for quality and health. Food Control, 165, 110626. https://doi.org/10.1016/j.foodcont.2024.110626</w:t>
      </w:r>
    </w:p>
    <w:p w14:paraId="773DAB3F" w14:textId="77777777" w:rsidR="008A7E17" w:rsidRPr="00F2258D" w:rsidRDefault="008A7E17" w:rsidP="008A7E17">
      <w:pPr>
        <w:rPr>
          <w:lang w:val="fr-FR" w:eastAsia="en-US"/>
        </w:rPr>
      </w:pPr>
      <w:r w:rsidRPr="008A7E17">
        <w:rPr>
          <w:lang w:val="en-GB" w:eastAsia="en-US"/>
        </w:rPr>
        <w:t xml:space="preserve">Ndiaye D, </w:t>
      </w:r>
      <w:proofErr w:type="spellStart"/>
      <w:r w:rsidRPr="008A7E17">
        <w:rPr>
          <w:lang w:val="en-GB" w:eastAsia="en-US"/>
        </w:rPr>
        <w:t>Brévault</w:t>
      </w:r>
      <w:proofErr w:type="spellEnd"/>
      <w:r w:rsidRPr="008A7E17">
        <w:rPr>
          <w:lang w:val="en-GB" w:eastAsia="en-US"/>
        </w:rPr>
        <w:t xml:space="preserve"> T, Muriithi BW, </w:t>
      </w:r>
      <w:proofErr w:type="spellStart"/>
      <w:r w:rsidRPr="008A7E17">
        <w:rPr>
          <w:lang w:val="en-GB" w:eastAsia="en-US"/>
        </w:rPr>
        <w:t>Zackariaou</w:t>
      </w:r>
      <w:proofErr w:type="spellEnd"/>
      <w:r w:rsidRPr="008A7E17">
        <w:rPr>
          <w:lang w:val="en-GB" w:eastAsia="en-US"/>
        </w:rPr>
        <w:t xml:space="preserve"> B, Belmin R (2024</w:t>
      </w:r>
      <w:proofErr w:type="gramStart"/>
      <w:r w:rsidRPr="008A7E17">
        <w:rPr>
          <w:lang w:val="en-GB" w:eastAsia="en-US"/>
        </w:rPr>
        <w:t>).The</w:t>
      </w:r>
      <w:proofErr w:type="gramEnd"/>
      <w:r w:rsidRPr="008A7E17">
        <w:rPr>
          <w:lang w:val="en-GB" w:eastAsia="en-US"/>
        </w:rPr>
        <w:t xml:space="preserve"> role of farming systems in the adoption of pest management practices: the case of the oriental fruit fly </w:t>
      </w:r>
      <w:proofErr w:type="spellStart"/>
      <w:r w:rsidRPr="008A7E17">
        <w:rPr>
          <w:lang w:val="en-GB" w:eastAsia="en-US"/>
        </w:rPr>
        <w:t>Bactrocera</w:t>
      </w:r>
      <w:proofErr w:type="spellEnd"/>
      <w:r w:rsidRPr="008A7E17">
        <w:rPr>
          <w:lang w:val="en-GB" w:eastAsia="en-US"/>
        </w:rPr>
        <w:t xml:space="preserve"> dorsalis in mango orchards in Senegal. </w:t>
      </w:r>
      <w:r w:rsidRPr="00F2258D">
        <w:rPr>
          <w:lang w:val="fr-FR" w:eastAsia="en-US"/>
        </w:rPr>
        <w:t>Biotechnologie, Agronomie, Société et Environnement, 28 (1</w:t>
      </w:r>
      <w:proofErr w:type="gramStart"/>
      <w:r w:rsidRPr="00F2258D">
        <w:rPr>
          <w:lang w:val="fr-FR" w:eastAsia="en-US"/>
        </w:rPr>
        <w:t>):</w:t>
      </w:r>
      <w:proofErr w:type="gramEnd"/>
      <w:r w:rsidRPr="00F2258D">
        <w:rPr>
          <w:lang w:val="fr-FR" w:eastAsia="en-US"/>
        </w:rPr>
        <w:t xml:space="preserve"> 54-68. https://doi.org/10.25518/1780-4507.20670)</w:t>
      </w:r>
    </w:p>
    <w:p w14:paraId="13DF9676" w14:textId="77777777" w:rsidR="008A7E17" w:rsidRPr="00F2258D" w:rsidRDefault="008A7E17" w:rsidP="008A7E17">
      <w:pPr>
        <w:rPr>
          <w:lang w:val="fr-FR" w:eastAsia="en-US"/>
        </w:rPr>
      </w:pPr>
      <w:r w:rsidRPr="00F2258D">
        <w:rPr>
          <w:lang w:val="fr-FR" w:eastAsia="en-US"/>
        </w:rPr>
        <w:t>Ouedraogo SN (2011). Dynamique Spatio-temporelle des mouches des fruits (</w:t>
      </w:r>
      <w:proofErr w:type="spellStart"/>
      <w:r w:rsidRPr="00F2258D">
        <w:rPr>
          <w:lang w:val="fr-FR" w:eastAsia="en-US"/>
        </w:rPr>
        <w:t>Diptera</w:t>
      </w:r>
      <w:proofErr w:type="spellEnd"/>
      <w:r w:rsidRPr="00F2258D">
        <w:rPr>
          <w:lang w:val="fr-FR" w:eastAsia="en-US"/>
        </w:rPr>
        <w:t xml:space="preserve">, </w:t>
      </w:r>
      <w:proofErr w:type="spellStart"/>
      <w:r w:rsidRPr="00F2258D">
        <w:rPr>
          <w:lang w:val="fr-FR" w:eastAsia="en-US"/>
        </w:rPr>
        <w:t>Tephritidae</w:t>
      </w:r>
      <w:proofErr w:type="spellEnd"/>
      <w:r w:rsidRPr="00F2258D">
        <w:rPr>
          <w:lang w:val="fr-FR" w:eastAsia="en-US"/>
        </w:rPr>
        <w:t xml:space="preserve">) en fonction des facteurs biotiques dans les vergers de manguiers de l’Ouest du Burkina Faso. PhD </w:t>
      </w:r>
      <w:proofErr w:type="spellStart"/>
      <w:r w:rsidRPr="00F2258D">
        <w:rPr>
          <w:lang w:val="fr-FR" w:eastAsia="en-US"/>
        </w:rPr>
        <w:t>Thesis</w:t>
      </w:r>
      <w:proofErr w:type="spellEnd"/>
      <w:r w:rsidRPr="00F2258D">
        <w:rPr>
          <w:lang w:val="fr-FR" w:eastAsia="en-US"/>
        </w:rPr>
        <w:t xml:space="preserve">.  </w:t>
      </w:r>
      <w:proofErr w:type="spellStart"/>
      <w:r w:rsidRPr="00F2258D">
        <w:rPr>
          <w:lang w:val="fr-FR" w:eastAsia="en-US"/>
        </w:rPr>
        <w:t>Universite</w:t>
      </w:r>
      <w:proofErr w:type="spellEnd"/>
      <w:r w:rsidRPr="00F2258D">
        <w:rPr>
          <w:lang w:val="fr-FR" w:eastAsia="en-US"/>
        </w:rPr>
        <w:t xml:space="preserve"> Paris Est</w:t>
      </w:r>
      <w:proofErr w:type="gramStart"/>
      <w:r w:rsidRPr="00F2258D">
        <w:rPr>
          <w:lang w:val="fr-FR" w:eastAsia="en-US"/>
        </w:rPr>
        <w:t>.;</w:t>
      </w:r>
      <w:proofErr w:type="gramEnd"/>
      <w:r w:rsidRPr="00F2258D">
        <w:rPr>
          <w:lang w:val="fr-FR" w:eastAsia="en-US"/>
        </w:rPr>
        <w:t xml:space="preserve"> </w:t>
      </w:r>
    </w:p>
    <w:p w14:paraId="039BE90A" w14:textId="77777777" w:rsidR="008A7E17" w:rsidRPr="008A7E17" w:rsidRDefault="008A7E17" w:rsidP="008A7E17">
      <w:pPr>
        <w:rPr>
          <w:lang w:val="en-GB" w:eastAsia="en-US"/>
        </w:rPr>
      </w:pPr>
      <w:proofErr w:type="spellStart"/>
      <w:r w:rsidRPr="00F2258D">
        <w:rPr>
          <w:lang w:val="fr-FR" w:eastAsia="en-US"/>
        </w:rPr>
        <w:t>Rahinatou</w:t>
      </w:r>
      <w:proofErr w:type="spellEnd"/>
      <w:r w:rsidRPr="00F2258D">
        <w:rPr>
          <w:lang w:val="fr-FR" w:eastAsia="en-US"/>
        </w:rPr>
        <w:t xml:space="preserve"> RA, </w:t>
      </w:r>
      <w:proofErr w:type="spellStart"/>
      <w:r w:rsidRPr="00F2258D">
        <w:rPr>
          <w:lang w:val="fr-FR" w:eastAsia="en-US"/>
        </w:rPr>
        <w:t>Dembélém</w:t>
      </w:r>
      <w:proofErr w:type="spellEnd"/>
      <w:r w:rsidRPr="00F2258D">
        <w:rPr>
          <w:lang w:val="fr-FR" w:eastAsia="en-US"/>
        </w:rPr>
        <w:t xml:space="preserve"> B., Keita YF, Sodio B, &amp; Coulibaly A (2020). </w:t>
      </w:r>
      <w:r w:rsidRPr="008A7E17">
        <w:rPr>
          <w:lang w:val="en-GB" w:eastAsia="en-US"/>
        </w:rPr>
        <w:t xml:space="preserve">Infestation rate of Mangifera indica fruit fly in Sudanese zone of Mali. Journal of Entomology and Nematology, 12(1), </w:t>
      </w:r>
      <w:proofErr w:type="gramStart"/>
      <w:r w:rsidRPr="008A7E17">
        <w:rPr>
          <w:lang w:val="en-GB" w:eastAsia="en-US"/>
        </w:rPr>
        <w:t>10-17;</w:t>
      </w:r>
      <w:proofErr w:type="gramEnd"/>
      <w:r w:rsidRPr="008A7E17">
        <w:rPr>
          <w:lang w:val="en-GB" w:eastAsia="en-US"/>
        </w:rPr>
        <w:t xml:space="preserve">  </w:t>
      </w:r>
    </w:p>
    <w:p w14:paraId="0F47D2A4" w14:textId="77777777" w:rsidR="008A7E17" w:rsidRPr="000C3BCF" w:rsidRDefault="008A7E17" w:rsidP="008A7E17">
      <w:pPr>
        <w:rPr>
          <w:lang w:val="en-GB" w:eastAsia="en-US"/>
        </w:rPr>
      </w:pPr>
      <w:proofErr w:type="spellStart"/>
      <w:r w:rsidRPr="008A7E17">
        <w:rPr>
          <w:lang w:val="en-GB" w:eastAsia="en-US"/>
        </w:rPr>
        <w:t>Rwomushana</w:t>
      </w:r>
      <w:proofErr w:type="spellEnd"/>
      <w:r w:rsidRPr="008A7E17">
        <w:rPr>
          <w:lang w:val="en-GB" w:eastAsia="en-US"/>
        </w:rPr>
        <w:t xml:space="preserve">, I., </w:t>
      </w:r>
      <w:proofErr w:type="spellStart"/>
      <w:r w:rsidRPr="008A7E17">
        <w:rPr>
          <w:lang w:val="en-GB" w:eastAsia="en-US"/>
        </w:rPr>
        <w:t>Ekesi</w:t>
      </w:r>
      <w:proofErr w:type="spellEnd"/>
      <w:r w:rsidRPr="008A7E17">
        <w:rPr>
          <w:lang w:val="en-GB" w:eastAsia="en-US"/>
        </w:rPr>
        <w:t xml:space="preserve">, S., Gordon, I. &amp; Ogol, C.K.P.O. (2008a) Host plants and host plant preference studies for </w:t>
      </w:r>
      <w:proofErr w:type="spellStart"/>
      <w:r w:rsidRPr="008A7E17">
        <w:rPr>
          <w:lang w:val="en-GB" w:eastAsia="en-US"/>
        </w:rPr>
        <w:t>Bactrocera</w:t>
      </w:r>
      <w:proofErr w:type="spellEnd"/>
      <w:r w:rsidRPr="008A7E17">
        <w:rPr>
          <w:lang w:val="en-GB" w:eastAsia="en-US"/>
        </w:rPr>
        <w:t xml:space="preserve"> </w:t>
      </w:r>
      <w:proofErr w:type="spellStart"/>
      <w:r w:rsidRPr="008A7E17">
        <w:rPr>
          <w:lang w:val="en-GB" w:eastAsia="en-US"/>
        </w:rPr>
        <w:t>invadens</w:t>
      </w:r>
      <w:proofErr w:type="spellEnd"/>
      <w:r w:rsidRPr="008A7E17">
        <w:rPr>
          <w:lang w:val="en-GB" w:eastAsia="en-US"/>
        </w:rPr>
        <w:t xml:space="preserve"> (Diptera: </w:t>
      </w:r>
      <w:proofErr w:type="spellStart"/>
      <w:r w:rsidRPr="008A7E17">
        <w:rPr>
          <w:lang w:val="en-GB" w:eastAsia="en-US"/>
        </w:rPr>
        <w:t>Tephritidae</w:t>
      </w:r>
      <w:proofErr w:type="spellEnd"/>
      <w:r w:rsidRPr="008A7E17">
        <w:rPr>
          <w:lang w:val="en-GB" w:eastAsia="en-US"/>
        </w:rPr>
        <w:t xml:space="preserve">) in Kenya, a new invasive fruit fly species in Africa. </w:t>
      </w:r>
      <w:r w:rsidRPr="000C3BCF">
        <w:rPr>
          <w:lang w:val="en-GB" w:eastAsia="en-US"/>
        </w:rPr>
        <w:t>Annals of the Entomological Society of America, 101, 331-340.</w:t>
      </w:r>
    </w:p>
    <w:p w14:paraId="31FB6CDB" w14:textId="0797073F" w:rsidR="000C3BCF" w:rsidRDefault="000C3BCF" w:rsidP="008A7E17">
      <w:pPr>
        <w:rPr>
          <w:lang w:val="en-GB" w:eastAsia="en-US"/>
        </w:rPr>
      </w:pPr>
      <w:r w:rsidRPr="00F2258D">
        <w:rPr>
          <w:lang w:val="en-GB" w:eastAsia="en-US"/>
        </w:rPr>
        <w:t xml:space="preserve">Saldarriaga G, Sfez P, Yildirim H, Buriticá AM, Dabat M-H (2023). </w:t>
      </w:r>
      <w:r w:rsidRPr="000C3BCF">
        <w:rPr>
          <w:lang w:val="en-GB" w:eastAsia="en-US"/>
        </w:rPr>
        <w:t xml:space="preserve">The Role of Governance in the Performance of the Domestic Coffee Value Chains in Honduras, Ecuador, Tanzania, Angola. Synthesis for the VCA4D Conference: </w:t>
      </w:r>
      <w:r w:rsidRPr="000C3BCF">
        <w:rPr>
          <w:lang w:val="en-GB" w:eastAsia="en-US"/>
        </w:rPr>
        <w:lastRenderedPageBreak/>
        <w:t>Value Chain Analysis for Development: Providing evidence for better policies and operations in agricultural value chains 18-19 January 2023.</w:t>
      </w:r>
    </w:p>
    <w:p w14:paraId="20CFF5F2" w14:textId="50B7B083" w:rsidR="0060525B" w:rsidRDefault="008A7E17" w:rsidP="008A7E17">
      <w:pPr>
        <w:rPr>
          <w:lang w:eastAsia="en-US"/>
        </w:rPr>
      </w:pPr>
      <w:proofErr w:type="spellStart"/>
      <w:r w:rsidRPr="00F2258D">
        <w:rPr>
          <w:lang w:val="fr-FR" w:eastAsia="en-US"/>
        </w:rPr>
        <w:t>Vayssières</w:t>
      </w:r>
      <w:proofErr w:type="spellEnd"/>
      <w:r w:rsidRPr="00F2258D">
        <w:rPr>
          <w:lang w:val="fr-FR" w:eastAsia="en-US"/>
        </w:rPr>
        <w:t xml:space="preserve"> J-F, Sanogo F, </w:t>
      </w:r>
      <w:proofErr w:type="spellStart"/>
      <w:r w:rsidRPr="00F2258D">
        <w:rPr>
          <w:lang w:val="fr-FR" w:eastAsia="en-US"/>
        </w:rPr>
        <w:t>Noussourou</w:t>
      </w:r>
      <w:proofErr w:type="spellEnd"/>
      <w:r w:rsidRPr="00F2258D">
        <w:rPr>
          <w:lang w:val="fr-FR" w:eastAsia="en-US"/>
        </w:rPr>
        <w:t xml:space="preserve"> M (2004). Inventaire des espèces de mouches des fruits (</w:t>
      </w:r>
      <w:proofErr w:type="spellStart"/>
      <w:r w:rsidRPr="00F2258D">
        <w:rPr>
          <w:lang w:val="fr-FR" w:eastAsia="en-US"/>
        </w:rPr>
        <w:t>Diptera</w:t>
      </w:r>
      <w:proofErr w:type="spellEnd"/>
      <w:r w:rsidRPr="00F2258D">
        <w:rPr>
          <w:lang w:val="fr-FR" w:eastAsia="en-US"/>
        </w:rPr>
        <w:t xml:space="preserve"> : </w:t>
      </w:r>
      <w:proofErr w:type="spellStart"/>
      <w:r w:rsidRPr="00F2258D">
        <w:rPr>
          <w:lang w:val="fr-FR" w:eastAsia="en-US"/>
        </w:rPr>
        <w:t>Tephritidae</w:t>
      </w:r>
      <w:proofErr w:type="spellEnd"/>
      <w:r w:rsidRPr="00F2258D">
        <w:rPr>
          <w:lang w:val="fr-FR" w:eastAsia="en-US"/>
        </w:rPr>
        <w:t xml:space="preserve">) inféodées au manguier au Mali et essais de lutte raisonnée. </w:t>
      </w:r>
      <w:r>
        <w:rPr>
          <w:lang w:eastAsia="en-US"/>
        </w:rPr>
        <w:t>Fruits, 59 (1): 3–16. doi: 10.1051/FRUITS:2004001.:</w:t>
      </w:r>
    </w:p>
    <w:p w14:paraId="2E247D3C" w14:textId="1DA13F71" w:rsidR="00324CFB" w:rsidRDefault="00324CFB" w:rsidP="0060525B">
      <w:pPr>
        <w:rPr>
          <w:lang w:eastAsia="en-US"/>
        </w:rPr>
      </w:pPr>
      <w:r>
        <w:rPr>
          <w:lang w:eastAsia="en-US"/>
        </w:rPr>
        <w:br w:type="page"/>
      </w:r>
    </w:p>
    <w:p w14:paraId="1C890EED" w14:textId="3499FC42" w:rsidR="00BE50C2" w:rsidRDefault="00BE50C2" w:rsidP="00815270">
      <w:pPr>
        <w:pStyle w:val="Heading1"/>
      </w:pPr>
      <w:bookmarkStart w:id="267" w:name="_Toc220507563"/>
      <w:r w:rsidRPr="00324CFB">
        <w:lastRenderedPageBreak/>
        <w:t>Anexo</w:t>
      </w:r>
      <w:bookmarkEnd w:id="267"/>
    </w:p>
    <w:p w14:paraId="7899B60A" w14:textId="3DB60D96" w:rsidR="00A17EC8" w:rsidRPr="00E042D7" w:rsidRDefault="00A17EC8" w:rsidP="00324CFB">
      <w:pPr>
        <w:rPr>
          <w:rFonts w:ascii="Open Sans" w:hAnsi="Open Sans" w:cs="Open Sans"/>
          <w:color w:val="336666"/>
          <w:sz w:val="24"/>
        </w:rPr>
      </w:pPr>
      <w:r w:rsidRPr="00E042D7">
        <w:rPr>
          <w:rFonts w:ascii="Open Sans" w:hAnsi="Open Sans" w:cs="Open Sans"/>
          <w:color w:val="336666"/>
          <w:sz w:val="24"/>
        </w:rPr>
        <w:t>INFORMAÇÕES SOBRE A METODOLOGIA DE CONSTRUÇÃO DO SISTEMA DE ACV DA MANGA GUINÉ-BISSAU.</w:t>
      </w:r>
    </w:p>
    <w:p w14:paraId="2C63164F"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1.1.</w:t>
      </w:r>
      <w:r w:rsidRPr="002A3E0D">
        <w:rPr>
          <w:rFonts w:asciiTheme="minorHAnsi" w:hAnsiTheme="minorHAnsi" w:cstheme="minorHAnsi"/>
          <w:szCs w:val="20"/>
        </w:rPr>
        <w:tab/>
        <w:t xml:space="preserve">ÂMBITO DO ESTUDO </w:t>
      </w:r>
    </w:p>
    <w:p w14:paraId="705BA23F"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A cadeia de valor da manga apresenta-se estruturalmente muito semelhante à analisada de 2017. No entanto, ocorreram duas modificações que acarretaram uma redefinição do âmbito da ACV, a saber:</w:t>
      </w:r>
    </w:p>
    <w:p w14:paraId="066C4B05"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ab/>
        <w:t>- o surgimento de atividades de transformação agro-industrial, conduzidas por micro-transformadores em três regiões do país;</w:t>
      </w:r>
    </w:p>
    <w:p w14:paraId="0386A34F"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ab/>
        <w:t>- o quase desaparecimento da exportação de manga fresca para o Senegal.</w:t>
      </w:r>
    </w:p>
    <w:p w14:paraId="5F33D2C8"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 xml:space="preserve">A ACV da manga na GNB é agora do “berço ao mercado (interno)” e abrange a produção de manga, o seu processamento/transformação, seguido de transporte até ao destino final no espaço da GNB.  Os pressupostos básicos relativos ao sistema de produção de manga, abrangendo os aspetos de produção, processamento e distribuição encontram-se descritos nas secções 2.2 e 2.3. </w:t>
      </w:r>
    </w:p>
    <w:p w14:paraId="622A2EA0"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Os limites do sistema apenas sofreram alterações relativas à inclusão da atividade de transformação da manga por micro-processadores com colocação do produto transformado no mercado nacional, e à exclusão da atividade de exportação de manga fresca para o Senegal. Na atualização do estudo de ACV da fileira da manga foram incluídas as entradas de materiais/energia ou emissões de CO2 relacionados com o balanço hídrico e as alterações do uso do solo, mantendo-se a exclusão de infraestruturas envolvidas nos diversos processos</w:t>
      </w:r>
    </w:p>
    <w:p w14:paraId="074BA684"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 xml:space="preserve">Do ponto de vista tecnológico, não ocorreram alterações significativas ao cultivo da manga desde 2017, ou seja, os sistemas agrários de produção, do grande produtor ao agricultor de subsistência, continuam a ser de baixa intensidade tecnológica. Assim, manteve-se o racional, seguido no estudo anterior, de que os produtores de manga podem ser considerados como relativamente homogéneos sob o ponto de vista ambiental. </w:t>
      </w:r>
    </w:p>
    <w:p w14:paraId="7C3FC920"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A referência temporal para este estudo é o ano de 2025, dado que o período de colheita de manga já havia terminado no momento do estudo. A cobertura geográfica não sofreu alterações.</w:t>
      </w:r>
    </w:p>
    <w:p w14:paraId="3613D327"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A publicação, desde 2017, de informação associada a ACVs da produção agrícola de manga em vários países, justifica a inclusão, no presente estudo, de uma análise incidindo especificamente sobre o sistema agrícola de produção de manga na GNB.</w:t>
      </w:r>
    </w:p>
    <w:p w14:paraId="319842D4"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No que respeita à Função do Produto e Unidade Funcional (UF), mantêm-a UF considerada no estudo anterior relativamente à cadeia de valor da manga, havendo no entanto uma redefinição do conceito de mercado que passa a abranger também lumos e mercados regionais,e que deixa de incluir a componente internacional.</w:t>
      </w:r>
    </w:p>
    <w:p w14:paraId="394899AE"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w:t>
      </w:r>
      <w:r w:rsidRPr="002A3E0D">
        <w:rPr>
          <w:rFonts w:asciiTheme="minorHAnsi" w:hAnsiTheme="minorHAnsi" w:cstheme="minorHAnsi"/>
          <w:szCs w:val="20"/>
        </w:rPr>
        <w:tab/>
        <w:t xml:space="preserve">1 kg de manga, fresca ou equivalente transformado, à porta do mercado (APM): (Guiné-Bissau, mercado interno), 2025. </w:t>
      </w:r>
    </w:p>
    <w:p w14:paraId="313C79CF"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São ainda consideradas duas novas UFs, referentes a dois tipos de produto:: (i) manga fresca, produzida na GNB; (ii) sumo de manga , produzido na GNB e colocado no mercado interno, especificamente no mercado de Bissau. As duas novas UFs são:</w:t>
      </w:r>
    </w:p>
    <w:p w14:paraId="7819CC9E"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w:t>
      </w:r>
      <w:r w:rsidRPr="002A3E0D">
        <w:rPr>
          <w:rFonts w:asciiTheme="minorHAnsi" w:hAnsiTheme="minorHAnsi" w:cstheme="minorHAnsi"/>
          <w:szCs w:val="20"/>
        </w:rPr>
        <w:tab/>
        <w:t>1 kg de manga à porta da propriedade agrícola (APPA)</w:t>
      </w:r>
    </w:p>
    <w:p w14:paraId="10CBC21C"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w:t>
      </w:r>
      <w:r w:rsidRPr="002A3E0D">
        <w:rPr>
          <w:rFonts w:asciiTheme="minorHAnsi" w:hAnsiTheme="minorHAnsi" w:cstheme="minorHAnsi"/>
          <w:szCs w:val="20"/>
        </w:rPr>
        <w:tab/>
        <w:t xml:space="preserve">1 litro de sumo de manga à porta do mercado de Bissau (APMB)  </w:t>
      </w:r>
    </w:p>
    <w:p w14:paraId="73E2779F"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lastRenderedPageBreak/>
        <w:t>A fim de responder às questões estruturantes - o impacto potencial da cadeia de valor das pescas no esgotamento dos recursos, na qualidade dos ecossistemas e na saúde humana - são examinados os seguintes aspetos:</w:t>
      </w:r>
    </w:p>
    <w:p w14:paraId="52140B97"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a) Os impactos diferenciados nas três áreas de proteção por kg de manga produzida pelos produtores da GNB;</w:t>
      </w:r>
    </w:p>
    <w:p w14:paraId="660D915F"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b) Os impactos diferenciados nas três áreas de proteção por kg de sumo de manga produzida pelos microprocessadores.</w:t>
      </w:r>
    </w:p>
    <w:p w14:paraId="318ECA78" w14:textId="77777777" w:rsidR="002A3E0D" w:rsidRPr="002A3E0D" w:rsidRDefault="002A3E0D" w:rsidP="002A3E0D">
      <w:pPr>
        <w:rPr>
          <w:rFonts w:asciiTheme="minorHAnsi" w:hAnsiTheme="minorHAnsi" w:cstheme="minorHAnsi"/>
          <w:szCs w:val="20"/>
        </w:rPr>
      </w:pPr>
    </w:p>
    <w:p w14:paraId="4DFA3915"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1.2.</w:t>
      </w:r>
      <w:r w:rsidRPr="002A3E0D">
        <w:rPr>
          <w:rFonts w:asciiTheme="minorHAnsi" w:hAnsiTheme="minorHAnsi" w:cstheme="minorHAnsi"/>
          <w:szCs w:val="20"/>
        </w:rPr>
        <w:tab/>
        <w:t>CRITÉRIOS DE AFETAÇÃO E DE CORTE</w:t>
      </w:r>
    </w:p>
    <w:p w14:paraId="136CAC27"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Tal como no estudo anterior, assumiu-se o método de afetação em massa como o mais adequado para os dados primários. No entanto, foram agora atribuídos impactos às perdas de manga associadas ao estádio de distribuição, bem como aos resíduos de manga resultantes do processamento em sumo pelos micro-processadores..</w:t>
      </w:r>
    </w:p>
    <w:p w14:paraId="4B151F9F"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Não foram definidos critérios de corte para este estudo já que a fronteira do sistema foi definida com base na relevância. Para os processos incluídos no sistema, foram considerados no modelo todos os dados disponíveis sobre o fluxo de energia e de materiais. Nos casos em que não estavam disponíveis inventários de ciclo de vida correspondentes, foram aplicados dados de substituição (“proxy data”) com base em pressupostos conservadores em relação aos impactes ambientais.</w:t>
      </w:r>
    </w:p>
    <w:p w14:paraId="046AED3C" w14:textId="77777777" w:rsidR="002A3E0D" w:rsidRPr="002A3E0D" w:rsidRDefault="002A3E0D" w:rsidP="002A3E0D">
      <w:pPr>
        <w:rPr>
          <w:rFonts w:asciiTheme="minorHAnsi" w:hAnsiTheme="minorHAnsi" w:cstheme="minorHAnsi"/>
          <w:szCs w:val="20"/>
        </w:rPr>
      </w:pPr>
    </w:p>
    <w:p w14:paraId="151BBB71"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1.3.</w:t>
      </w:r>
      <w:r w:rsidRPr="002A3E0D">
        <w:rPr>
          <w:rFonts w:asciiTheme="minorHAnsi" w:hAnsiTheme="minorHAnsi" w:cstheme="minorHAnsi"/>
          <w:szCs w:val="20"/>
        </w:rPr>
        <w:tab/>
        <w:t>SELEÇÃO DA METODOLOGIA AICV E DAS CATEGORIAS DE IMPACTE</w:t>
      </w:r>
    </w:p>
    <w:p w14:paraId="63F28AB5"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 xml:space="preserve">O método de AICV selecionado para avaliar os impactes ambientais manteve-se, agora na versão ReCiPe 2016 v.01.04 Endpoint World H/A . </w:t>
      </w:r>
    </w:p>
    <w:p w14:paraId="6AC0257B"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Foi ainda incluída a metodologia Potencial de Aquecimento Global devido à sua relevância para as alterações climáticas e a eficiência energética, ambas fortemente interligadas, de elevado interesse público e institucional, e consideradas uma das questões ambientais mais prementes do nosso tempo. A categoria de impacto do potencial de aquecimento global é avaliada com base nos fatores de caraterização do IPCC 2021, retirados do 6º Relatório de Avaliação (IPCC, 2021) para um período de 100 anos (GWP100), uma vez que esta é atualmente a métrica mais utilizada.</w:t>
      </w:r>
    </w:p>
    <w:p w14:paraId="686AD6D1" w14:textId="77777777" w:rsidR="002A3E0D" w:rsidRPr="002A3E0D" w:rsidRDefault="002A3E0D" w:rsidP="002A3E0D">
      <w:pPr>
        <w:rPr>
          <w:rFonts w:asciiTheme="minorHAnsi" w:hAnsiTheme="minorHAnsi" w:cstheme="minorHAnsi"/>
          <w:szCs w:val="20"/>
        </w:rPr>
      </w:pPr>
      <w:r w:rsidRPr="002A3E0D">
        <w:rPr>
          <w:rFonts w:asciiTheme="minorHAnsi" w:hAnsiTheme="minorHAnsi" w:cstheme="minorHAnsi"/>
          <w:szCs w:val="20"/>
        </w:rPr>
        <w:t xml:space="preserve">O modelo de ACV foi criado utilizando o sistema de software Simapro (versão 10.2.0,1) desenvolvido pela Pré Sustainability. A base de dados ecoinvent 3.11 forneceu os dados do inventário do ciclo de vida para os processos relativos a várias matérias-primas e materiais integrantes do sistema analisado. Esta atualização de versão da metodologia, arquitetura do software e base de dados, normal num hiato de oito anos, condiciona fortemente a comparação direta dos resultados agora obtidos com os resultados do estudo anterior. </w:t>
      </w:r>
    </w:p>
    <w:p w14:paraId="2FF327F9" w14:textId="0929335F" w:rsidR="00A17EC8" w:rsidRPr="000A50E7" w:rsidRDefault="000A50E7" w:rsidP="00324CFB">
      <w:pPr>
        <w:rPr>
          <w:rFonts w:asciiTheme="minorHAnsi" w:hAnsiTheme="minorHAnsi" w:cstheme="minorHAnsi"/>
          <w:sz w:val="18"/>
          <w:szCs w:val="18"/>
        </w:rPr>
      </w:pPr>
      <w:bookmarkStart w:id="268" w:name="_Hlk215150305"/>
      <w:r w:rsidRPr="000A50E7">
        <w:rPr>
          <w:rFonts w:ascii="Open Sans" w:hAnsi="Open Sans" w:cs="Open Sans"/>
          <w:color w:val="336666"/>
          <w:sz w:val="24"/>
        </w:rPr>
        <w:t>RESULTADOS DETALHADOS DA ACV</w:t>
      </w:r>
    </w:p>
    <w:bookmarkEnd w:id="268"/>
    <w:p w14:paraId="2163F7CC" w14:textId="0DAFE50F" w:rsidR="00324CFB" w:rsidRDefault="00324CFB" w:rsidP="00324CFB">
      <w:pPr>
        <w:rPr>
          <w:rFonts w:asciiTheme="minorHAnsi" w:hAnsiTheme="minorHAnsi" w:cstheme="minorHAnsi"/>
          <w:szCs w:val="20"/>
        </w:rPr>
      </w:pPr>
      <w:r>
        <w:rPr>
          <w:rFonts w:asciiTheme="minorHAnsi" w:hAnsiTheme="minorHAnsi" w:cstheme="minorHAnsi"/>
          <w:szCs w:val="20"/>
        </w:rPr>
        <w:t>Cadeia de Valor da Manga na Guiné-Bissau</w:t>
      </w:r>
    </w:p>
    <w:p w14:paraId="132611D2" w14:textId="77777777" w:rsidR="00324CFB" w:rsidRDefault="00324CFB" w:rsidP="00324CFB">
      <w:pPr>
        <w:rPr>
          <w:rFonts w:asciiTheme="minorHAnsi" w:hAnsiTheme="minorHAnsi" w:cstheme="minorHAnsi"/>
          <w:szCs w:val="20"/>
        </w:rPr>
      </w:pPr>
      <w:r w:rsidRPr="000E659A">
        <w:rPr>
          <w:noProof/>
        </w:rPr>
        <w:drawing>
          <wp:inline distT="0" distB="0" distL="0" distR="0" wp14:anchorId="3C485ED9" wp14:editId="3F6B7FCD">
            <wp:extent cx="5382986" cy="732959"/>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55380" cy="742816"/>
                    </a:xfrm>
                    <a:prstGeom prst="rect">
                      <a:avLst/>
                    </a:prstGeom>
                    <a:noFill/>
                    <a:ln>
                      <a:noFill/>
                    </a:ln>
                  </pic:spPr>
                </pic:pic>
              </a:graphicData>
            </a:graphic>
          </wp:inline>
        </w:drawing>
      </w:r>
    </w:p>
    <w:p w14:paraId="36866E6C" w14:textId="77777777" w:rsidR="00324CFB" w:rsidRDefault="00324CFB" w:rsidP="00324CFB">
      <w:pPr>
        <w:rPr>
          <w:rFonts w:asciiTheme="minorHAnsi" w:hAnsiTheme="minorHAnsi" w:cstheme="minorHAnsi"/>
          <w:szCs w:val="20"/>
        </w:rPr>
      </w:pPr>
      <w:r>
        <w:rPr>
          <w:rFonts w:asciiTheme="minorHAnsi" w:hAnsiTheme="minorHAnsi" w:cstheme="minorHAnsi"/>
          <w:szCs w:val="20"/>
        </w:rPr>
        <w:t>Quadro A.1 – Avaliação dos impactes, por área de proteção, da cadeia de valor da manga [UF: 1 kg de manga fresca ou equivalente transformado, APM]</w:t>
      </w:r>
    </w:p>
    <w:p w14:paraId="5E46E380" w14:textId="77777777" w:rsidR="00324CFB" w:rsidRDefault="00324CFB" w:rsidP="00324CFB">
      <w:pPr>
        <w:rPr>
          <w:rFonts w:asciiTheme="minorHAnsi" w:hAnsiTheme="minorHAnsi" w:cstheme="minorHAnsi"/>
          <w:szCs w:val="20"/>
        </w:rPr>
      </w:pPr>
    </w:p>
    <w:p w14:paraId="60927D2A" w14:textId="77777777" w:rsidR="00324CFB" w:rsidRDefault="00324CFB" w:rsidP="00324CFB">
      <w:pPr>
        <w:rPr>
          <w:rFonts w:asciiTheme="minorHAnsi" w:hAnsiTheme="minorHAnsi" w:cstheme="minorHAnsi"/>
          <w:szCs w:val="20"/>
        </w:rPr>
      </w:pPr>
      <w:r w:rsidRPr="005136DE">
        <w:rPr>
          <w:noProof/>
        </w:rPr>
        <w:drawing>
          <wp:inline distT="0" distB="0" distL="0" distR="0" wp14:anchorId="1A12B491" wp14:editId="5AA5D107">
            <wp:extent cx="5731510" cy="2854960"/>
            <wp:effectExtent l="0" t="0" r="254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2854960"/>
                    </a:xfrm>
                    <a:prstGeom prst="rect">
                      <a:avLst/>
                    </a:prstGeom>
                    <a:noFill/>
                    <a:ln>
                      <a:noFill/>
                    </a:ln>
                  </pic:spPr>
                </pic:pic>
              </a:graphicData>
            </a:graphic>
          </wp:inline>
        </w:drawing>
      </w:r>
    </w:p>
    <w:p w14:paraId="6ED8A206" w14:textId="77777777" w:rsidR="00324CFB" w:rsidRDefault="00324CFB" w:rsidP="00324CFB">
      <w:pPr>
        <w:rPr>
          <w:rFonts w:asciiTheme="minorHAnsi" w:hAnsiTheme="minorHAnsi" w:cstheme="minorHAnsi"/>
          <w:szCs w:val="20"/>
        </w:rPr>
      </w:pPr>
      <w:r>
        <w:rPr>
          <w:rFonts w:asciiTheme="minorHAnsi" w:hAnsiTheme="minorHAnsi" w:cstheme="minorHAnsi"/>
          <w:szCs w:val="20"/>
        </w:rPr>
        <w:t>Quadro A.2 – Impactes potenciais por categoria de impacte, da cadeia de valor da manga na GNB, discriminada nas suas componentes, e expressos por 1 kg de manga fresca ou equivalente transformada APM.</w:t>
      </w:r>
    </w:p>
    <w:p w14:paraId="07CCC45B" w14:textId="77777777" w:rsidR="00324CFB" w:rsidRDefault="00324CFB" w:rsidP="00324CFB">
      <w:pPr>
        <w:rPr>
          <w:rFonts w:asciiTheme="minorHAnsi" w:hAnsiTheme="minorHAnsi" w:cstheme="minorHAnsi"/>
          <w:szCs w:val="20"/>
        </w:rPr>
      </w:pPr>
    </w:p>
    <w:p w14:paraId="55959A6B" w14:textId="77777777" w:rsidR="00324CFB" w:rsidRDefault="00324CFB" w:rsidP="00324CFB">
      <w:pPr>
        <w:rPr>
          <w:rFonts w:asciiTheme="minorHAnsi" w:hAnsiTheme="minorHAnsi" w:cstheme="minorHAnsi"/>
          <w:szCs w:val="20"/>
        </w:rPr>
      </w:pPr>
      <w:r>
        <w:rPr>
          <w:rFonts w:asciiTheme="minorHAnsi" w:hAnsiTheme="minorHAnsi" w:cstheme="minorHAnsi"/>
          <w:szCs w:val="20"/>
        </w:rPr>
        <w:br w:type="page"/>
      </w:r>
    </w:p>
    <w:p w14:paraId="51573A00" w14:textId="77777777" w:rsidR="00324CFB" w:rsidRDefault="00324CFB" w:rsidP="00324CFB">
      <w:pPr>
        <w:rPr>
          <w:rFonts w:asciiTheme="minorHAnsi" w:hAnsiTheme="minorHAnsi" w:cstheme="minorHAnsi"/>
          <w:szCs w:val="20"/>
        </w:rPr>
      </w:pPr>
    </w:p>
    <w:p w14:paraId="1A59005F" w14:textId="77777777" w:rsidR="00324CFB" w:rsidRDefault="00324CFB" w:rsidP="00324CFB">
      <w:pPr>
        <w:rPr>
          <w:rFonts w:asciiTheme="minorHAnsi" w:hAnsiTheme="minorHAnsi" w:cstheme="minorHAnsi"/>
          <w:szCs w:val="20"/>
        </w:rPr>
      </w:pPr>
      <w:r>
        <w:rPr>
          <w:rFonts w:asciiTheme="minorHAnsi" w:hAnsiTheme="minorHAnsi" w:cstheme="minorHAnsi"/>
          <w:szCs w:val="20"/>
        </w:rPr>
        <w:t>Produção de manga</w:t>
      </w:r>
    </w:p>
    <w:p w14:paraId="63700557" w14:textId="77777777" w:rsidR="00324CFB" w:rsidRDefault="00324CFB" w:rsidP="00324CFB">
      <w:pPr>
        <w:rPr>
          <w:rFonts w:asciiTheme="minorHAnsi" w:hAnsiTheme="minorHAnsi" w:cstheme="minorHAnsi"/>
          <w:szCs w:val="20"/>
        </w:rPr>
      </w:pPr>
      <w:r w:rsidRPr="002F6AD6">
        <w:rPr>
          <w:noProof/>
        </w:rPr>
        <w:drawing>
          <wp:inline distT="0" distB="0" distL="0" distR="0" wp14:anchorId="2650D5C8" wp14:editId="06262424">
            <wp:extent cx="5731510" cy="604893"/>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731510" cy="604893"/>
                    </a:xfrm>
                    <a:prstGeom prst="rect">
                      <a:avLst/>
                    </a:prstGeom>
                    <a:noFill/>
                    <a:ln>
                      <a:noFill/>
                    </a:ln>
                  </pic:spPr>
                </pic:pic>
              </a:graphicData>
            </a:graphic>
          </wp:inline>
        </w:drawing>
      </w:r>
    </w:p>
    <w:p w14:paraId="5B89C9B9" w14:textId="77777777" w:rsidR="00324CFB" w:rsidRDefault="00324CFB" w:rsidP="00324CFB">
      <w:pPr>
        <w:rPr>
          <w:rFonts w:asciiTheme="minorHAnsi" w:hAnsiTheme="minorHAnsi" w:cstheme="minorHAnsi"/>
          <w:szCs w:val="20"/>
        </w:rPr>
      </w:pPr>
      <w:r>
        <w:rPr>
          <w:rFonts w:asciiTheme="minorHAnsi" w:hAnsiTheme="minorHAnsi" w:cstheme="minorHAnsi"/>
          <w:szCs w:val="20"/>
        </w:rPr>
        <w:t>Quadro A.3 – Impactes potenciais nas três áreas de proteção ambiental</w:t>
      </w:r>
      <w:r w:rsidRPr="00A353A2">
        <w:rPr>
          <w:rFonts w:asciiTheme="minorHAnsi" w:hAnsiTheme="minorHAnsi" w:cstheme="minorHAnsi"/>
          <w:szCs w:val="20"/>
        </w:rPr>
        <w:t xml:space="preserve"> </w:t>
      </w:r>
      <w:r>
        <w:rPr>
          <w:rFonts w:asciiTheme="minorHAnsi" w:hAnsiTheme="minorHAnsi" w:cstheme="minorHAnsi"/>
          <w:szCs w:val="20"/>
        </w:rPr>
        <w:t>da produção de 1 kg de manga no produtor</w:t>
      </w:r>
      <w:r w:rsidRPr="00A353A2">
        <w:rPr>
          <w:rFonts w:asciiTheme="minorHAnsi" w:hAnsiTheme="minorHAnsi" w:cstheme="minorHAnsi"/>
          <w:szCs w:val="20"/>
        </w:rPr>
        <w:t xml:space="preserve"> </w:t>
      </w:r>
      <w:r>
        <w:rPr>
          <w:rFonts w:asciiTheme="minorHAnsi" w:hAnsiTheme="minorHAnsi" w:cstheme="minorHAnsi"/>
          <w:szCs w:val="20"/>
        </w:rPr>
        <w:t>na GNB, descriminados por componente do sistema agrícola do cultivo da manga.</w:t>
      </w:r>
    </w:p>
    <w:p w14:paraId="500CA65B" w14:textId="77777777" w:rsidR="00324CFB" w:rsidRDefault="00324CFB" w:rsidP="00324CFB">
      <w:pPr>
        <w:rPr>
          <w:rFonts w:asciiTheme="minorHAnsi" w:hAnsiTheme="minorHAnsi" w:cstheme="minorHAnsi"/>
          <w:szCs w:val="20"/>
        </w:rPr>
      </w:pPr>
    </w:p>
    <w:p w14:paraId="1056DD55" w14:textId="77777777" w:rsidR="00324CFB" w:rsidRDefault="00324CFB" w:rsidP="00324CFB">
      <w:pPr>
        <w:rPr>
          <w:rFonts w:asciiTheme="minorHAnsi" w:hAnsiTheme="minorHAnsi" w:cstheme="minorHAnsi"/>
          <w:szCs w:val="20"/>
        </w:rPr>
      </w:pPr>
      <w:r w:rsidRPr="004017C6">
        <w:rPr>
          <w:noProof/>
        </w:rPr>
        <w:drawing>
          <wp:inline distT="0" distB="0" distL="0" distR="0" wp14:anchorId="00451B53" wp14:editId="7635F300">
            <wp:extent cx="5806967" cy="261776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5806967" cy="2617761"/>
                    </a:xfrm>
                    <a:prstGeom prst="rect">
                      <a:avLst/>
                    </a:prstGeom>
                    <a:noFill/>
                    <a:ln>
                      <a:noFill/>
                    </a:ln>
                  </pic:spPr>
                </pic:pic>
              </a:graphicData>
            </a:graphic>
          </wp:inline>
        </w:drawing>
      </w:r>
    </w:p>
    <w:p w14:paraId="6F75CB69" w14:textId="77777777" w:rsidR="00324CFB" w:rsidRDefault="00324CFB" w:rsidP="00324CFB">
      <w:pPr>
        <w:rPr>
          <w:rFonts w:asciiTheme="minorHAnsi" w:hAnsiTheme="minorHAnsi" w:cstheme="minorHAnsi"/>
          <w:szCs w:val="20"/>
        </w:rPr>
      </w:pPr>
      <w:r>
        <w:rPr>
          <w:rFonts w:asciiTheme="minorHAnsi" w:hAnsiTheme="minorHAnsi" w:cstheme="minorHAnsi"/>
          <w:szCs w:val="20"/>
        </w:rPr>
        <w:t>Quadro A.4 – Danos ambientai potenciais, por categoria de impacte, da produção de 1 kg de manga APP. descriminados por componente do sistema agrícola de cultivo da manga.</w:t>
      </w:r>
    </w:p>
    <w:p w14:paraId="15096A91" w14:textId="77777777" w:rsidR="00324CFB" w:rsidRDefault="00324CFB" w:rsidP="00324CFB">
      <w:pPr>
        <w:rPr>
          <w:rFonts w:asciiTheme="minorHAnsi" w:hAnsiTheme="minorHAnsi" w:cstheme="minorHAnsi"/>
          <w:szCs w:val="20"/>
        </w:rPr>
      </w:pPr>
    </w:p>
    <w:p w14:paraId="2549F40D" w14:textId="77777777" w:rsidR="00324CFB" w:rsidRDefault="00324CFB" w:rsidP="00324CFB">
      <w:pPr>
        <w:rPr>
          <w:rFonts w:asciiTheme="minorHAnsi" w:hAnsiTheme="minorHAnsi" w:cstheme="minorHAnsi"/>
          <w:szCs w:val="20"/>
        </w:rPr>
      </w:pPr>
      <w:r w:rsidRPr="00934EDA">
        <w:rPr>
          <w:noProof/>
        </w:rPr>
        <w:drawing>
          <wp:inline distT="0" distB="0" distL="0" distR="0" wp14:anchorId="0EB83B85" wp14:editId="4CD00A33">
            <wp:extent cx="3554970" cy="1548765"/>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3595203" cy="1566293"/>
                    </a:xfrm>
                    <a:prstGeom prst="rect">
                      <a:avLst/>
                    </a:prstGeom>
                    <a:noFill/>
                    <a:ln>
                      <a:noFill/>
                    </a:ln>
                  </pic:spPr>
                </pic:pic>
              </a:graphicData>
            </a:graphic>
          </wp:inline>
        </w:drawing>
      </w:r>
    </w:p>
    <w:p w14:paraId="2124531E" w14:textId="77777777" w:rsidR="00324CFB" w:rsidRDefault="00324CFB" w:rsidP="00324CFB">
      <w:pPr>
        <w:rPr>
          <w:rFonts w:asciiTheme="minorHAnsi" w:hAnsiTheme="minorHAnsi" w:cstheme="minorHAnsi"/>
          <w:szCs w:val="20"/>
        </w:rPr>
      </w:pPr>
      <w:r>
        <w:rPr>
          <w:rFonts w:asciiTheme="minorHAnsi" w:hAnsiTheme="minorHAnsi" w:cstheme="minorHAnsi"/>
          <w:szCs w:val="20"/>
        </w:rPr>
        <w:t>Quadro A.5 – Comparação dos impactos ambientais nas três áreas de proteção, da produção de 1 kg de manga APP na Guiné-Bissau e no Brasil.</w:t>
      </w:r>
    </w:p>
    <w:p w14:paraId="099568D0" w14:textId="77777777" w:rsidR="00324CFB" w:rsidRDefault="00324CFB" w:rsidP="00324CFB">
      <w:pPr>
        <w:rPr>
          <w:rFonts w:asciiTheme="minorHAnsi" w:hAnsiTheme="minorHAnsi" w:cstheme="minorHAnsi"/>
          <w:szCs w:val="20"/>
        </w:rPr>
      </w:pPr>
    </w:p>
    <w:p w14:paraId="43E2AEE8" w14:textId="77777777" w:rsidR="00324CFB" w:rsidRDefault="00324CFB" w:rsidP="00324CFB">
      <w:pPr>
        <w:rPr>
          <w:rFonts w:asciiTheme="minorHAnsi" w:hAnsiTheme="minorHAnsi" w:cstheme="minorHAnsi"/>
          <w:szCs w:val="20"/>
        </w:rPr>
      </w:pPr>
      <w:r>
        <w:rPr>
          <w:rFonts w:asciiTheme="minorHAnsi" w:hAnsiTheme="minorHAnsi" w:cstheme="minorHAnsi"/>
          <w:szCs w:val="20"/>
        </w:rPr>
        <w:br w:type="page"/>
      </w:r>
    </w:p>
    <w:p w14:paraId="6D996270" w14:textId="77777777" w:rsidR="00324CFB" w:rsidRDefault="00324CFB" w:rsidP="00324CFB">
      <w:pPr>
        <w:rPr>
          <w:rFonts w:asciiTheme="minorHAnsi" w:hAnsiTheme="minorHAnsi" w:cstheme="minorHAnsi"/>
          <w:szCs w:val="20"/>
        </w:rPr>
      </w:pPr>
      <w:r>
        <w:rPr>
          <w:rFonts w:asciiTheme="minorHAnsi" w:hAnsiTheme="minorHAnsi" w:cstheme="minorHAnsi"/>
          <w:szCs w:val="20"/>
        </w:rPr>
        <w:lastRenderedPageBreak/>
        <w:t>Transformação de manga</w:t>
      </w:r>
    </w:p>
    <w:p w14:paraId="30624871" w14:textId="77777777" w:rsidR="00324CFB" w:rsidRPr="00CD283A" w:rsidRDefault="00324CFB" w:rsidP="00324CFB">
      <w:pPr>
        <w:rPr>
          <w:rFonts w:asciiTheme="minorHAnsi" w:hAnsiTheme="minorHAnsi" w:cstheme="minorHAnsi"/>
          <w:szCs w:val="20"/>
        </w:rPr>
      </w:pPr>
      <w:r w:rsidRPr="00CD283A">
        <w:rPr>
          <w:noProof/>
        </w:rPr>
        <w:drawing>
          <wp:inline distT="0" distB="0" distL="0" distR="0" wp14:anchorId="642418CC" wp14:editId="57D834E2">
            <wp:extent cx="5731510" cy="624205"/>
            <wp:effectExtent l="0" t="0" r="254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1510" cy="624205"/>
                    </a:xfrm>
                    <a:prstGeom prst="rect">
                      <a:avLst/>
                    </a:prstGeom>
                    <a:noFill/>
                    <a:ln>
                      <a:noFill/>
                    </a:ln>
                  </pic:spPr>
                </pic:pic>
              </a:graphicData>
            </a:graphic>
          </wp:inline>
        </w:drawing>
      </w:r>
    </w:p>
    <w:p w14:paraId="4581E44D" w14:textId="77777777" w:rsidR="00324CFB" w:rsidRDefault="00324CFB" w:rsidP="00324CFB">
      <w:pPr>
        <w:rPr>
          <w:rFonts w:asciiTheme="minorHAnsi" w:hAnsiTheme="minorHAnsi" w:cstheme="minorHAnsi"/>
          <w:szCs w:val="20"/>
        </w:rPr>
      </w:pPr>
      <w:r w:rsidRPr="00CD283A">
        <w:rPr>
          <w:rFonts w:asciiTheme="minorHAnsi" w:hAnsiTheme="minorHAnsi" w:cstheme="minorHAnsi"/>
          <w:szCs w:val="20"/>
        </w:rPr>
        <w:t>Quadro A</w:t>
      </w:r>
      <w:r>
        <w:rPr>
          <w:rFonts w:asciiTheme="minorHAnsi" w:hAnsiTheme="minorHAnsi" w:cstheme="minorHAnsi"/>
          <w:szCs w:val="20"/>
        </w:rPr>
        <w:t>.6</w:t>
      </w:r>
      <w:r w:rsidRPr="00CD283A">
        <w:rPr>
          <w:rFonts w:asciiTheme="minorHAnsi" w:hAnsiTheme="minorHAnsi" w:cstheme="minorHAnsi"/>
          <w:szCs w:val="20"/>
        </w:rPr>
        <w:t xml:space="preserve"> – Impactes potenciais, nas três áreas de proteção ambiental, de de 1 litro de sumo de manga APM, descriminados por componente do sistema de produção.</w:t>
      </w:r>
    </w:p>
    <w:p w14:paraId="2320423B" w14:textId="77777777" w:rsidR="00324CFB" w:rsidRDefault="00324CFB" w:rsidP="00324CFB">
      <w:pPr>
        <w:rPr>
          <w:rFonts w:asciiTheme="minorHAnsi" w:hAnsiTheme="minorHAnsi" w:cstheme="minorHAnsi"/>
          <w:szCs w:val="20"/>
        </w:rPr>
      </w:pPr>
    </w:p>
    <w:p w14:paraId="27998643" w14:textId="77777777" w:rsidR="00324CFB" w:rsidRDefault="00324CFB" w:rsidP="00324CFB">
      <w:pPr>
        <w:rPr>
          <w:rFonts w:asciiTheme="minorHAnsi" w:hAnsiTheme="minorHAnsi" w:cstheme="minorHAnsi"/>
          <w:szCs w:val="20"/>
        </w:rPr>
      </w:pPr>
      <w:r w:rsidRPr="00AF6784">
        <w:rPr>
          <w:noProof/>
        </w:rPr>
        <w:drawing>
          <wp:inline distT="0" distB="0" distL="0" distR="0" wp14:anchorId="1C7195B9" wp14:editId="4C89A8F5">
            <wp:extent cx="5731510" cy="2334260"/>
            <wp:effectExtent l="0" t="0" r="254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1510" cy="2334260"/>
                    </a:xfrm>
                    <a:prstGeom prst="rect">
                      <a:avLst/>
                    </a:prstGeom>
                    <a:noFill/>
                    <a:ln>
                      <a:noFill/>
                    </a:ln>
                  </pic:spPr>
                </pic:pic>
              </a:graphicData>
            </a:graphic>
          </wp:inline>
        </w:drawing>
      </w:r>
    </w:p>
    <w:p w14:paraId="47C06DFD" w14:textId="77777777" w:rsidR="00324CFB" w:rsidRDefault="00324CFB" w:rsidP="00324CFB">
      <w:pPr>
        <w:rPr>
          <w:rFonts w:asciiTheme="minorHAnsi" w:hAnsiTheme="minorHAnsi" w:cstheme="minorHAnsi"/>
          <w:szCs w:val="20"/>
        </w:rPr>
      </w:pPr>
      <w:r>
        <w:rPr>
          <w:rFonts w:asciiTheme="minorHAnsi" w:hAnsiTheme="minorHAnsi" w:cstheme="minorHAnsi"/>
          <w:szCs w:val="20"/>
        </w:rPr>
        <w:t>Quadro A.7 – Impactes potenciais por categoria de impacte, de litro de sumo de manga APM, descriminados por componente do sistema de produção.</w:t>
      </w:r>
    </w:p>
    <w:p w14:paraId="126F2D59" w14:textId="4E2B70BE" w:rsidR="00324CFB" w:rsidRDefault="00324CFB" w:rsidP="00324CFB">
      <w:pPr>
        <w:rPr>
          <w:lang w:eastAsia="en-US"/>
        </w:rPr>
      </w:pPr>
    </w:p>
    <w:p w14:paraId="739118D0" w14:textId="77777777" w:rsidR="00324CFB" w:rsidRPr="00324CFB" w:rsidRDefault="00324CFB" w:rsidP="00324CFB">
      <w:pPr>
        <w:rPr>
          <w:lang w:eastAsia="en-US"/>
        </w:rPr>
      </w:pPr>
    </w:p>
    <w:sectPr w:rsidR="00324CFB" w:rsidRPr="00324CFB" w:rsidSect="00DE1950">
      <w:type w:val="continuous"/>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24195" w14:textId="77777777" w:rsidR="00C53E3B" w:rsidRDefault="00C53E3B">
      <w:pPr>
        <w:spacing w:after="0" w:line="240" w:lineRule="auto"/>
      </w:pPr>
      <w:r>
        <w:separator/>
      </w:r>
    </w:p>
  </w:endnote>
  <w:endnote w:type="continuationSeparator" w:id="0">
    <w:p w14:paraId="0A82887D" w14:textId="77777777" w:rsidR="00C53E3B" w:rsidRDefault="00C53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default"/>
  </w:font>
  <w:font w:name="Open Sans">
    <w:panose1 w:val="020B0806030504020204"/>
    <w:charset w:val="00"/>
    <w:family w:val="swiss"/>
    <w:pitch w:val="variable"/>
    <w:sig w:usb0="E00002EF" w:usb1="4000205B" w:usb2="00000028"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8504790"/>
      <w:docPartObj>
        <w:docPartGallery w:val="Page Numbers (Bottom of Page)"/>
        <w:docPartUnique/>
      </w:docPartObj>
    </w:sdtPr>
    <w:sdtEndPr>
      <w:rPr>
        <w:rStyle w:val="PageNumber"/>
      </w:rPr>
    </w:sdtEndPr>
    <w:sdtContent>
      <w:p w14:paraId="64B53F5F" w14:textId="6BBDC4E7" w:rsidR="00CC2947" w:rsidRDefault="00CC2947" w:rsidP="00CA6C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E65BE">
          <w:rPr>
            <w:rStyle w:val="PageNumber"/>
            <w:noProof/>
          </w:rPr>
          <w:t>3</w:t>
        </w:r>
        <w:r>
          <w:rPr>
            <w:rStyle w:val="PageNumber"/>
          </w:rPr>
          <w:fldChar w:fldCharType="end"/>
        </w:r>
      </w:p>
    </w:sdtContent>
  </w:sdt>
  <w:p w14:paraId="3D46EB14" w14:textId="77777777" w:rsidR="00CC2947" w:rsidRDefault="00CC2947" w:rsidP="00CC29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6029655"/>
      <w:docPartObj>
        <w:docPartGallery w:val="Page Numbers (Bottom of Page)"/>
        <w:docPartUnique/>
      </w:docPartObj>
    </w:sdtPr>
    <w:sdtEndPr>
      <w:rPr>
        <w:rStyle w:val="PageNumber"/>
      </w:rPr>
    </w:sdtEndPr>
    <w:sdtContent>
      <w:p w14:paraId="7EA4333E" w14:textId="3EF7CFF1" w:rsidR="00CC2947" w:rsidRDefault="00CC2947" w:rsidP="00CA6C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1A20FD5A" w14:textId="77777777" w:rsidR="00CC2947" w:rsidRDefault="00CC2947" w:rsidP="00CC294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5F570" w14:textId="77777777" w:rsidR="00C53E3B" w:rsidRDefault="00C53E3B">
      <w:pPr>
        <w:spacing w:after="0" w:line="240" w:lineRule="auto"/>
      </w:pPr>
      <w:r>
        <w:separator/>
      </w:r>
    </w:p>
  </w:footnote>
  <w:footnote w:type="continuationSeparator" w:id="0">
    <w:p w14:paraId="0D6B860C" w14:textId="77777777" w:rsidR="00C53E3B" w:rsidRDefault="00C53E3B">
      <w:pPr>
        <w:spacing w:after="0" w:line="240" w:lineRule="auto"/>
      </w:pPr>
      <w:r>
        <w:continuationSeparator/>
      </w:r>
    </w:p>
  </w:footnote>
  <w:footnote w:id="1">
    <w:p w14:paraId="1970724E" w14:textId="01D51228" w:rsidR="006E474A" w:rsidRPr="006F7AE6" w:rsidRDefault="008D3D04">
      <w:pPr>
        <w:rPr>
          <w:sz w:val="16"/>
          <w:szCs w:val="16"/>
        </w:rPr>
      </w:pPr>
      <w:r w:rsidRPr="0002268B">
        <w:rPr>
          <w:sz w:val="16"/>
          <w:szCs w:val="16"/>
          <w:vertAlign w:val="superscript"/>
        </w:rPr>
        <w:footnoteRef/>
      </w:r>
      <w:r w:rsidRPr="0002268B">
        <w:rPr>
          <w:sz w:val="16"/>
          <w:szCs w:val="16"/>
          <w:vertAlign w:val="superscript"/>
        </w:rPr>
        <w:t xml:space="preserve"> </w:t>
      </w:r>
      <w:r w:rsidR="00553172">
        <w:rPr>
          <w:sz w:val="16"/>
          <w:szCs w:val="16"/>
          <w:vertAlign w:val="superscript"/>
        </w:rPr>
        <w:t xml:space="preserve"> </w:t>
      </w:r>
      <w:r w:rsidRPr="0002268B">
        <w:rPr>
          <w:sz w:val="16"/>
          <w:szCs w:val="16"/>
        </w:rPr>
        <w:t>A DUE está preparando um projeto de € 2</w:t>
      </w:r>
      <w:r w:rsidR="00F70065" w:rsidRPr="00553172">
        <w:rPr>
          <w:sz w:val="16"/>
          <w:szCs w:val="16"/>
        </w:rPr>
        <w:t>0</w:t>
      </w:r>
      <w:r w:rsidRPr="006F7AE6">
        <w:rPr>
          <w:sz w:val="16"/>
          <w:szCs w:val="16"/>
        </w:rPr>
        <w:t xml:space="preserve"> milhões para apoiar as cadeias de valor do caju, manga, pesca e arroz, com o apoio da Expertise France e do Instituto Camões.</w:t>
      </w:r>
    </w:p>
  </w:footnote>
  <w:footnote w:id="2">
    <w:p w14:paraId="0487BEB4" w14:textId="0ECCA8FD" w:rsidR="006E474A" w:rsidRPr="00882731" w:rsidRDefault="008D3D04" w:rsidP="005059EA">
      <w:pPr>
        <w:spacing w:after="0" w:line="240" w:lineRule="auto"/>
        <w:ind w:left="708" w:hanging="708"/>
        <w:rPr>
          <w:rFonts w:ascii="Calibri Light" w:hAnsi="Calibri Light" w:cs="Calibri Light"/>
          <w:sz w:val="16"/>
          <w:szCs w:val="16"/>
        </w:rPr>
      </w:pPr>
      <w:r w:rsidRPr="006F7AE6">
        <w:rPr>
          <w:sz w:val="16"/>
          <w:szCs w:val="16"/>
        </w:rPr>
        <w:footnoteRef/>
      </w:r>
      <w:r w:rsidRPr="00882731">
        <w:rPr>
          <w:rFonts w:ascii="Calibri Light" w:hAnsi="Calibri Light" w:cs="Calibri Light"/>
          <w:sz w:val="16"/>
          <w:szCs w:val="16"/>
        </w:rPr>
        <w:t xml:space="preserve"> </w:t>
      </w:r>
      <w:r>
        <w:rPr>
          <w:rFonts w:ascii="Calibri Light" w:hAnsi="Calibri Light" w:cs="Calibri Light"/>
          <w:sz w:val="16"/>
          <w:szCs w:val="16"/>
        </w:rPr>
        <w:t xml:space="preserve"> Na </w:t>
      </w:r>
      <w:r w:rsidRPr="00882731">
        <w:rPr>
          <w:rFonts w:ascii="Calibri Light" w:hAnsi="Calibri Light" w:cs="Calibri Light"/>
          <w:sz w:val="16"/>
          <w:szCs w:val="16"/>
        </w:rPr>
        <w:t>Guiné-Bissau e em várias regiões da África Ocidental, refere-se a um mercado tradicional rural ou regional, muitas vezes com</w:t>
      </w:r>
    </w:p>
    <w:p w14:paraId="66ABBA95" w14:textId="77777777" w:rsidR="006E474A" w:rsidRPr="00882731" w:rsidRDefault="008D3D04" w:rsidP="005059EA">
      <w:pPr>
        <w:spacing w:after="0" w:line="240" w:lineRule="auto"/>
        <w:ind w:left="708" w:hanging="708"/>
        <w:rPr>
          <w:rFonts w:ascii="Calibri Light" w:hAnsi="Calibri Light" w:cs="Calibri Light"/>
          <w:sz w:val="16"/>
          <w:szCs w:val="16"/>
        </w:rPr>
      </w:pPr>
      <w:r w:rsidRPr="00882731">
        <w:rPr>
          <w:rFonts w:ascii="Calibri Light" w:hAnsi="Calibri Light" w:cs="Calibri Light"/>
          <w:sz w:val="16"/>
          <w:szCs w:val="16"/>
        </w:rPr>
        <w:t xml:space="preserve">periodicidade fixa (semanal), onde se reúnem produtores, comerciantes e consumidores para a compra e venda de </w:t>
      </w:r>
    </w:p>
    <w:p w14:paraId="6521D2FF" w14:textId="77777777" w:rsidR="006E474A" w:rsidRPr="00882731" w:rsidRDefault="008D3D04" w:rsidP="005059EA">
      <w:pPr>
        <w:spacing w:after="0" w:line="240" w:lineRule="auto"/>
        <w:ind w:left="708" w:hanging="708"/>
        <w:rPr>
          <w:rFonts w:ascii="Calibri Light" w:hAnsi="Calibri Light" w:cs="Calibri Light"/>
          <w:sz w:val="16"/>
          <w:szCs w:val="16"/>
        </w:rPr>
      </w:pPr>
      <w:r w:rsidRPr="00882731">
        <w:rPr>
          <w:rFonts w:ascii="Calibri Light" w:hAnsi="Calibri Light" w:cs="Calibri Light"/>
          <w:sz w:val="16"/>
          <w:szCs w:val="16"/>
        </w:rPr>
        <w:t>produtos agrícolas, bens de consumo e outros serviços.</w:t>
      </w:r>
    </w:p>
  </w:footnote>
  <w:footnote w:id="3">
    <w:p w14:paraId="5B9E7E84" w14:textId="3138FCDE" w:rsidR="0049151F" w:rsidRPr="00D327B4" w:rsidRDefault="0049151F" w:rsidP="0049151F">
      <w:pPr>
        <w:pStyle w:val="FootnoteText"/>
        <w:rPr>
          <w:sz w:val="16"/>
          <w:szCs w:val="16"/>
          <w:lang w:val="en-GB"/>
        </w:rPr>
      </w:pPr>
      <w:r w:rsidRPr="00BA42ED">
        <w:rPr>
          <w:rStyle w:val="FootnoteReference"/>
          <w:sz w:val="16"/>
          <w:szCs w:val="16"/>
        </w:rPr>
        <w:footnoteRef/>
      </w:r>
      <w:r w:rsidRPr="00BA42ED">
        <w:rPr>
          <w:sz w:val="16"/>
          <w:szCs w:val="16"/>
          <w:vertAlign w:val="superscript"/>
          <w:lang w:val="en-GB"/>
        </w:rPr>
        <w:t xml:space="preserve"> </w:t>
      </w:r>
      <w:r w:rsidR="00BA42ED">
        <w:rPr>
          <w:sz w:val="16"/>
          <w:szCs w:val="16"/>
          <w:vertAlign w:val="superscript"/>
          <w:lang w:val="en-GB"/>
        </w:rPr>
        <w:t xml:space="preserve"> </w:t>
      </w:r>
      <w:r w:rsidR="00C4639E" w:rsidRPr="00BA42ED">
        <w:rPr>
          <w:sz w:val="16"/>
          <w:szCs w:val="16"/>
          <w:lang w:val="en-GB"/>
        </w:rPr>
        <w:t>c</w:t>
      </w:r>
      <w:r w:rsidRPr="00BA42ED">
        <w:rPr>
          <w:sz w:val="16"/>
          <w:szCs w:val="16"/>
          <w:lang w:val="en-GB"/>
        </w:rPr>
        <w:t>f. Grohmann, P., Dietze, V., Krämer, C., &amp; Feindt, P. H. (2023). Governance and trust in sustainability-based agri-food value chains. A</w:t>
      </w:r>
      <w:r w:rsidRPr="003936E9">
        <w:rPr>
          <w:sz w:val="16"/>
          <w:szCs w:val="16"/>
          <w:lang w:val="en-GB"/>
        </w:rPr>
        <w:t xml:space="preserve"> comparative analysis of five cases in Germany. </w:t>
      </w:r>
      <w:r w:rsidRPr="00D327B4">
        <w:rPr>
          <w:sz w:val="16"/>
          <w:szCs w:val="16"/>
          <w:lang w:val="en-GB"/>
        </w:rPr>
        <w:t>Frontiers in Sustainable Food Systems, 7. https://doi.org/10.3389/fsufs.2023.1130895</w:t>
      </w:r>
    </w:p>
  </w:footnote>
  <w:footnote w:id="4">
    <w:p w14:paraId="50B67DFD" w14:textId="30778491" w:rsidR="00C4639E" w:rsidRPr="00D327B4" w:rsidRDefault="00C4639E" w:rsidP="00C4639E">
      <w:pPr>
        <w:pStyle w:val="FootnoteText"/>
        <w:rPr>
          <w:sz w:val="16"/>
          <w:szCs w:val="16"/>
          <w:lang w:val="en-GB"/>
        </w:rPr>
      </w:pPr>
      <w:r w:rsidRPr="00BA42ED">
        <w:rPr>
          <w:rStyle w:val="FootnoteReference"/>
          <w:sz w:val="16"/>
          <w:szCs w:val="16"/>
        </w:rPr>
        <w:footnoteRef/>
      </w:r>
      <w:r w:rsidRPr="00BA42ED">
        <w:rPr>
          <w:sz w:val="16"/>
          <w:szCs w:val="16"/>
          <w:lang w:val="en-GB"/>
        </w:rPr>
        <w:t xml:space="preserve"> cf. Moreno-Miranda, C. and Dries, L. (2025), The Role of Coordination Mechanisms and Transaction Costs Promoting Sustainability</w:t>
      </w:r>
      <w:r w:rsidRPr="00C4639E">
        <w:rPr>
          <w:sz w:val="16"/>
          <w:szCs w:val="16"/>
          <w:lang w:val="en-GB"/>
        </w:rPr>
        <w:t xml:space="preserve"> Performance in Agri-Food Supply Chains: Evidence </w:t>
      </w:r>
      <w:r w:rsidR="00102D05" w:rsidRPr="00C4639E">
        <w:rPr>
          <w:sz w:val="16"/>
          <w:szCs w:val="16"/>
          <w:lang w:val="en-GB"/>
        </w:rPr>
        <w:t>from</w:t>
      </w:r>
      <w:r w:rsidRPr="00C4639E">
        <w:rPr>
          <w:sz w:val="16"/>
          <w:szCs w:val="16"/>
          <w:lang w:val="en-GB"/>
        </w:rPr>
        <w:t xml:space="preserve"> Ecuador. </w:t>
      </w:r>
      <w:r w:rsidRPr="00D327B4">
        <w:rPr>
          <w:sz w:val="16"/>
          <w:szCs w:val="16"/>
          <w:lang w:val="en-GB"/>
        </w:rPr>
        <w:t xml:space="preserve">Agribusiness. https://doi.org/10.1002/agr.22003e </w:t>
      </w:r>
    </w:p>
  </w:footnote>
  <w:footnote w:id="5">
    <w:p w14:paraId="2F67D1EB" w14:textId="4B1FC713" w:rsidR="00BA42ED" w:rsidRPr="00D327B4" w:rsidRDefault="00BA42ED" w:rsidP="00BA42ED">
      <w:pPr>
        <w:pStyle w:val="FootnoteText"/>
        <w:rPr>
          <w:sz w:val="16"/>
          <w:szCs w:val="16"/>
          <w:lang w:val="en-GB"/>
        </w:rPr>
      </w:pPr>
      <w:r w:rsidRPr="00BA42ED">
        <w:rPr>
          <w:rStyle w:val="FootnoteReference"/>
          <w:sz w:val="16"/>
          <w:szCs w:val="16"/>
        </w:rPr>
        <w:footnoteRef/>
      </w:r>
      <w:r w:rsidRPr="00BA42ED">
        <w:rPr>
          <w:sz w:val="16"/>
          <w:szCs w:val="16"/>
          <w:lang w:val="en-GB"/>
        </w:rPr>
        <w:t xml:space="preserve"> </w:t>
      </w:r>
      <w:r>
        <w:rPr>
          <w:sz w:val="16"/>
          <w:szCs w:val="16"/>
          <w:lang w:val="en-GB"/>
        </w:rPr>
        <w:t xml:space="preserve">cf. </w:t>
      </w:r>
      <w:r w:rsidRPr="00BA42ED">
        <w:rPr>
          <w:sz w:val="16"/>
          <w:szCs w:val="16"/>
          <w:lang w:val="en-GB"/>
        </w:rPr>
        <w:t>Kissi, E. A., &amp; Herzig, C. (2024). The implications of governance factors for economic and</w:t>
      </w:r>
      <w:r>
        <w:rPr>
          <w:sz w:val="16"/>
          <w:szCs w:val="16"/>
          <w:lang w:val="en-GB"/>
        </w:rPr>
        <w:t xml:space="preserve"> </w:t>
      </w:r>
      <w:r w:rsidRPr="00BA42ED">
        <w:rPr>
          <w:sz w:val="16"/>
          <w:szCs w:val="16"/>
          <w:lang w:val="en-GB"/>
        </w:rPr>
        <w:t xml:space="preserve">social upgrading in </w:t>
      </w:r>
      <w:r>
        <w:rPr>
          <w:sz w:val="16"/>
          <w:szCs w:val="16"/>
          <w:lang w:val="en-GB"/>
        </w:rPr>
        <w:t>G</w:t>
      </w:r>
      <w:r w:rsidRPr="00BA42ED">
        <w:rPr>
          <w:sz w:val="16"/>
          <w:szCs w:val="16"/>
          <w:lang w:val="en-GB"/>
        </w:rPr>
        <w:t>hana’s cocoa value chain. Agricultural and Food Economics, 12</w:t>
      </w:r>
      <w:r>
        <w:rPr>
          <w:sz w:val="16"/>
          <w:szCs w:val="16"/>
          <w:lang w:val="en-GB"/>
        </w:rPr>
        <w:t>(1)</w:t>
      </w:r>
      <w:r w:rsidRPr="00BA42ED">
        <w:rPr>
          <w:sz w:val="16"/>
          <w:szCs w:val="16"/>
          <w:lang w:val="en-GB"/>
        </w:rPr>
        <w:t>. https://doi.org/10.1186/s40100-024-00295-w</w:t>
      </w:r>
      <w:r>
        <w:rPr>
          <w:sz w:val="16"/>
          <w:szCs w:val="16"/>
          <w:lang w:val="en-GB"/>
        </w:rPr>
        <w:t xml:space="preserve">; </w:t>
      </w:r>
      <w:r w:rsidRPr="00BA42ED">
        <w:rPr>
          <w:sz w:val="16"/>
          <w:szCs w:val="16"/>
          <w:lang w:val="en-GB"/>
        </w:rPr>
        <w:t xml:space="preserve">Tallontire, A., Opondo, M. and Nelson, V. (2014), Contingent spaces for smallholder participation in </w:t>
      </w:r>
      <w:r w:rsidR="00102D05" w:rsidRPr="00BA42ED">
        <w:rPr>
          <w:sz w:val="16"/>
          <w:szCs w:val="16"/>
          <w:lang w:val="en-GB"/>
        </w:rPr>
        <w:t>GlobalGAP</w:t>
      </w:r>
      <w:r w:rsidR="00102D05" w:rsidRPr="00730B8C">
        <w:rPr>
          <w:lang w:val="en-GB"/>
        </w:rPr>
        <w:t>:</w:t>
      </w:r>
      <w:r w:rsidRPr="00BA42ED">
        <w:rPr>
          <w:sz w:val="16"/>
          <w:szCs w:val="16"/>
          <w:lang w:val="en-GB"/>
        </w:rPr>
        <w:t xml:space="preserve"> insights from Kenyan horticulture value chains. </w:t>
      </w:r>
      <w:r w:rsidRPr="00D327B4">
        <w:rPr>
          <w:sz w:val="16"/>
          <w:szCs w:val="16"/>
          <w:lang w:val="en-GB"/>
        </w:rPr>
        <w:t>The Geographical Journal, 180: 353-364. https://doi.org/10.1111/geoj.12047</w:t>
      </w:r>
      <w:r w:rsidR="00730B8C" w:rsidRPr="00D327B4">
        <w:rPr>
          <w:sz w:val="16"/>
          <w:szCs w:val="16"/>
          <w:lang w:val="en-GB"/>
        </w:rPr>
        <w:t>.</w:t>
      </w:r>
    </w:p>
  </w:footnote>
  <w:footnote w:id="6">
    <w:p w14:paraId="1D99DC35" w14:textId="3BE15710" w:rsidR="00E61AC0" w:rsidRPr="00E61AC0" w:rsidRDefault="00E61AC0" w:rsidP="00E61AC0">
      <w:pPr>
        <w:pStyle w:val="FootnoteText"/>
        <w:rPr>
          <w:sz w:val="16"/>
          <w:szCs w:val="16"/>
          <w:lang w:val="en-GB"/>
        </w:rPr>
      </w:pPr>
      <w:r w:rsidRPr="00E61AC0">
        <w:rPr>
          <w:rStyle w:val="FootnoteReference"/>
          <w:sz w:val="16"/>
          <w:szCs w:val="16"/>
        </w:rPr>
        <w:footnoteRef/>
      </w:r>
      <w:r w:rsidRPr="00E61AC0">
        <w:rPr>
          <w:sz w:val="16"/>
          <w:szCs w:val="16"/>
          <w:lang w:val="en-GB"/>
        </w:rPr>
        <w:t xml:space="preserve"> </w:t>
      </w:r>
      <w:r w:rsidR="005930C8">
        <w:rPr>
          <w:sz w:val="16"/>
          <w:szCs w:val="16"/>
          <w:lang w:val="en-GB"/>
        </w:rPr>
        <w:t>c</w:t>
      </w:r>
      <w:r w:rsidRPr="00E61AC0">
        <w:rPr>
          <w:sz w:val="16"/>
          <w:szCs w:val="16"/>
          <w:lang w:val="en-GB"/>
        </w:rPr>
        <w:t xml:space="preserve">f. Rasool A, Badar H, Blare TD, Ghafoor A, Mushtaq K. </w:t>
      </w:r>
      <w:r w:rsidR="005930C8">
        <w:rPr>
          <w:sz w:val="16"/>
          <w:szCs w:val="16"/>
          <w:lang w:val="en-GB"/>
        </w:rPr>
        <w:t xml:space="preserve">(2023) </w:t>
      </w:r>
      <w:r w:rsidRPr="00E61AC0">
        <w:rPr>
          <w:sz w:val="16"/>
          <w:szCs w:val="16"/>
          <w:lang w:val="en-GB"/>
        </w:rPr>
        <w:t>Farm productivity and social sustainability in formalized value chain governance: the case of the potato industry in Pakistan. Renewable Agriculture and Food Systems</w:t>
      </w:r>
      <w:r w:rsidR="005930C8">
        <w:rPr>
          <w:sz w:val="16"/>
          <w:szCs w:val="16"/>
          <w:lang w:val="en-GB"/>
        </w:rPr>
        <w:t xml:space="preserve"> </w:t>
      </w:r>
      <w:r w:rsidR="00102D05" w:rsidRPr="00E61AC0">
        <w:rPr>
          <w:sz w:val="16"/>
          <w:szCs w:val="16"/>
          <w:lang w:val="en-GB"/>
        </w:rPr>
        <w:t>38: e</w:t>
      </w:r>
      <w:r w:rsidRPr="00E61AC0">
        <w:rPr>
          <w:sz w:val="16"/>
          <w:szCs w:val="16"/>
          <w:lang w:val="en-GB"/>
        </w:rPr>
        <w:t>52. doi:10.1017/S174217052300042X</w:t>
      </w:r>
    </w:p>
  </w:footnote>
  <w:footnote w:id="7">
    <w:p w14:paraId="70D73CA1" w14:textId="624D5B4C" w:rsidR="001854AA" w:rsidRPr="001854AA" w:rsidRDefault="001854AA" w:rsidP="001854AA">
      <w:pPr>
        <w:pStyle w:val="FootnoteText"/>
        <w:rPr>
          <w:sz w:val="16"/>
          <w:szCs w:val="16"/>
          <w:lang w:val="en-GB"/>
        </w:rPr>
      </w:pPr>
      <w:r w:rsidRPr="001854AA">
        <w:rPr>
          <w:rStyle w:val="FootnoteReference"/>
          <w:sz w:val="16"/>
          <w:szCs w:val="16"/>
        </w:rPr>
        <w:footnoteRef/>
      </w:r>
      <w:r w:rsidRPr="00D327B4">
        <w:rPr>
          <w:sz w:val="16"/>
          <w:szCs w:val="16"/>
          <w:lang w:val="en-GB"/>
        </w:rPr>
        <w:t xml:space="preserve"> </w:t>
      </w:r>
      <w:r w:rsidR="005930C8" w:rsidRPr="00D327B4">
        <w:rPr>
          <w:sz w:val="16"/>
          <w:szCs w:val="16"/>
          <w:lang w:val="en-GB"/>
        </w:rPr>
        <w:t xml:space="preserve">cf. </w:t>
      </w:r>
      <w:r w:rsidRPr="00D327B4">
        <w:rPr>
          <w:sz w:val="16"/>
          <w:szCs w:val="16"/>
          <w:lang w:val="en-GB"/>
        </w:rPr>
        <w:t xml:space="preserve">Ponte, S., Nair, R. D., &amp; </w:t>
      </w:r>
      <w:r w:rsidRPr="00D327B4">
        <w:rPr>
          <w:sz w:val="16"/>
          <w:szCs w:val="16"/>
          <w:lang w:val="en-GB"/>
        </w:rPr>
        <w:t xml:space="preserve">Chisoro, S. (2023). </w:t>
      </w:r>
      <w:r w:rsidRPr="001854AA">
        <w:rPr>
          <w:sz w:val="16"/>
          <w:szCs w:val="16"/>
          <w:lang w:val="en-GB"/>
        </w:rPr>
        <w:t>Is sustainability governance abetting inequality?</w:t>
      </w:r>
      <w:r>
        <w:rPr>
          <w:sz w:val="16"/>
          <w:szCs w:val="16"/>
          <w:lang w:val="en-GB"/>
        </w:rPr>
        <w:t xml:space="preserve"> </w:t>
      </w:r>
      <w:r w:rsidRPr="001854AA">
        <w:rPr>
          <w:sz w:val="16"/>
          <w:szCs w:val="16"/>
          <w:lang w:val="en-GB"/>
        </w:rPr>
        <w:t xml:space="preserve">Reflections from the </w:t>
      </w:r>
      <w:r>
        <w:rPr>
          <w:sz w:val="16"/>
          <w:szCs w:val="16"/>
          <w:lang w:val="en-GB"/>
        </w:rPr>
        <w:t>S</w:t>
      </w:r>
      <w:r w:rsidRPr="001854AA">
        <w:rPr>
          <w:sz w:val="16"/>
          <w:szCs w:val="16"/>
          <w:lang w:val="en-GB"/>
        </w:rPr>
        <w:t xml:space="preserve">outh </w:t>
      </w:r>
      <w:r>
        <w:rPr>
          <w:sz w:val="16"/>
          <w:szCs w:val="16"/>
          <w:lang w:val="en-GB"/>
        </w:rPr>
        <w:t>A</w:t>
      </w:r>
      <w:r w:rsidRPr="001854AA">
        <w:rPr>
          <w:sz w:val="16"/>
          <w:szCs w:val="16"/>
          <w:lang w:val="en-GB"/>
        </w:rPr>
        <w:t>frican wine value chain. Geoforum</w:t>
      </w:r>
      <w:r>
        <w:rPr>
          <w:sz w:val="16"/>
          <w:szCs w:val="16"/>
          <w:lang w:val="en-GB"/>
        </w:rPr>
        <w:t xml:space="preserve">, 147, </w:t>
      </w:r>
      <w:r w:rsidRPr="001854AA">
        <w:rPr>
          <w:sz w:val="16"/>
          <w:szCs w:val="16"/>
          <w:lang w:val="en-GB"/>
        </w:rPr>
        <w:t>103877. https://doi.org/10.1016/j.geoforum.2023.103877</w:t>
      </w:r>
    </w:p>
  </w:footnote>
  <w:footnote w:id="8">
    <w:p w14:paraId="48E57DBC" w14:textId="10EDD80C" w:rsidR="00D43836" w:rsidRPr="00D43836" w:rsidRDefault="00D43836">
      <w:pPr>
        <w:pStyle w:val="FootnoteText"/>
        <w:rPr>
          <w:sz w:val="16"/>
          <w:szCs w:val="16"/>
        </w:rPr>
      </w:pPr>
      <w:r w:rsidRPr="00D43836">
        <w:rPr>
          <w:rStyle w:val="FootnoteReference"/>
          <w:sz w:val="16"/>
          <w:szCs w:val="16"/>
        </w:rPr>
        <w:footnoteRef/>
      </w:r>
      <w:r w:rsidRPr="00D43836">
        <w:rPr>
          <w:sz w:val="16"/>
          <w:szCs w:val="16"/>
        </w:rPr>
        <w:t xml:space="preserve"> Os Indicadores Mundiais de Governança (Worldwide Governance Indicators - WGI) do Banco Mundial avaliam a qualidade da governança de mais de 200 países, combinando dados de diversas fontes para compor seis dimensões-chave</w:t>
      </w:r>
      <w:r>
        <w:rPr>
          <w:sz w:val="16"/>
          <w:szCs w:val="16"/>
        </w:rPr>
        <w:t>:</w:t>
      </w:r>
      <w:r>
        <w:rPr>
          <w:rStyle w:val="FootnoteReference"/>
          <w:sz w:val="16"/>
          <w:szCs w:val="16"/>
        </w:rPr>
        <w:t>:</w:t>
      </w:r>
      <w:r>
        <w:rPr>
          <w:sz w:val="16"/>
          <w:szCs w:val="16"/>
        </w:rPr>
        <w:t xml:space="preserve"> </w:t>
      </w:r>
      <w:r w:rsidRPr="00D43836">
        <w:rPr>
          <w:sz w:val="16"/>
          <w:szCs w:val="16"/>
        </w:rPr>
        <w:t>Voz e Responsabilização, Estabilidade Política e Ausência de Violência/Terrorismo, Eficácia do Governo, Qualidade Regulatória, Estado de Direito e Controle da Corrupção. As fontes utilizadas incluem organizações não governamentais, grupos de peritos, organizações internacionais e empresas privadas. Os indicadores WGI, expressoss numa escala de −2,5 (menos eficaz) a +2,5 (mais eficaz), são divulgados anualmente, permitindo o acompanhamento e a análise do desempenho da governância dos países bem como a sua evolução ao longo do tempo.</w:t>
      </w:r>
      <w:r>
        <w:rPr>
          <w:sz w:val="16"/>
          <w:szCs w:val="16"/>
        </w:rPr>
        <w:t xml:space="preserve"> Para uma </w:t>
      </w:r>
      <w:r w:rsidR="00A535B3">
        <w:rPr>
          <w:sz w:val="16"/>
          <w:szCs w:val="16"/>
        </w:rPr>
        <w:t>análise dos indicadores detalhada dos WGI</w:t>
      </w:r>
      <w:r>
        <w:rPr>
          <w:sz w:val="16"/>
          <w:szCs w:val="16"/>
        </w:rPr>
        <w:t xml:space="preserve"> </w:t>
      </w:r>
      <w:r w:rsidR="00A535B3">
        <w:rPr>
          <w:sz w:val="16"/>
          <w:szCs w:val="16"/>
        </w:rPr>
        <w:t>bem como da metodologia utilizada, ver</w:t>
      </w:r>
      <w:r>
        <w:rPr>
          <w:sz w:val="16"/>
          <w:szCs w:val="16"/>
        </w:rPr>
        <w:t xml:space="preserve"> </w:t>
      </w:r>
      <w:r w:rsidRPr="00D43836">
        <w:rPr>
          <w:sz w:val="16"/>
          <w:szCs w:val="16"/>
        </w:rPr>
        <w:t xml:space="preserve">Kaufman &amp; Kraay, </w:t>
      </w:r>
      <w:r w:rsidR="00A535B3">
        <w:rPr>
          <w:sz w:val="16"/>
          <w:szCs w:val="16"/>
        </w:rPr>
        <w:t>(</w:t>
      </w:r>
      <w:r w:rsidRPr="00D43836">
        <w:rPr>
          <w:sz w:val="16"/>
          <w:szCs w:val="16"/>
        </w:rPr>
        <w:t>2024)</w:t>
      </w:r>
      <w:r w:rsidR="00A535B3">
        <w:rPr>
          <w:sz w:val="16"/>
          <w:szCs w:val="16"/>
        </w:rPr>
        <w:t xml:space="preserve">. </w:t>
      </w:r>
    </w:p>
  </w:footnote>
  <w:footnote w:id="9">
    <w:p w14:paraId="5DD1B979" w14:textId="77777777" w:rsidR="00BF4113" w:rsidRPr="002E68F9" w:rsidRDefault="00BF4113" w:rsidP="00BF4113">
      <w:pPr>
        <w:pStyle w:val="FootnoteText"/>
      </w:pPr>
      <w:r w:rsidRPr="002E68F9">
        <w:rPr>
          <w:rStyle w:val="FootnoteReference"/>
        </w:rPr>
        <w:footnoteRef/>
      </w:r>
      <w:r w:rsidRPr="002E68F9">
        <w:t xml:space="preserve"> </w:t>
      </w:r>
      <w:r w:rsidRPr="002E68F9">
        <w:rPr>
          <w:sz w:val="16"/>
          <w:szCs w:val="16"/>
        </w:rPr>
        <w:t>Tomou-se como referência um PIB de 1.249.680 milhões de francos CFA e um PIB agrícola de 459.760 milhões de FCFA em 2025.</w:t>
      </w:r>
    </w:p>
  </w:footnote>
  <w:footnote w:id="10">
    <w:p w14:paraId="3ED9C909" w14:textId="77777777" w:rsidR="00C66FBD" w:rsidRPr="00F2258D" w:rsidRDefault="00C66FBD" w:rsidP="00C66FBD">
      <w:pPr>
        <w:pStyle w:val="FootnoteText"/>
        <w:rPr>
          <w:sz w:val="16"/>
          <w:szCs w:val="16"/>
          <w:lang w:val="fr-FR"/>
        </w:rPr>
      </w:pPr>
      <w:r w:rsidRPr="00C572B9">
        <w:rPr>
          <w:rStyle w:val="FootnoteReference"/>
          <w:sz w:val="16"/>
          <w:szCs w:val="16"/>
        </w:rPr>
        <w:footnoteRef/>
      </w:r>
      <w:r w:rsidRPr="00C572B9">
        <w:rPr>
          <w:sz w:val="16"/>
          <w:szCs w:val="16"/>
        </w:rPr>
        <w:t xml:space="preserve"> A metanálise realizada foi baseada em estudos que decorreram no</w:t>
      </w:r>
      <w:r w:rsidRPr="00C572B9">
        <w:rPr>
          <w:rFonts w:cs="Calibri"/>
          <w:sz w:val="16"/>
          <w:szCs w:val="16"/>
        </w:rPr>
        <w:t xml:space="preserve"> Gana, nos Camarões, no Mali e no Benim</w:t>
      </w:r>
      <w:r w:rsidRPr="00C572B9">
        <w:rPr>
          <w:sz w:val="16"/>
          <w:szCs w:val="16"/>
        </w:rPr>
        <w:t xml:space="preserve"> (cf. Rahinatou </w:t>
      </w:r>
      <w:r>
        <w:rPr>
          <w:sz w:val="16"/>
          <w:szCs w:val="16"/>
        </w:rPr>
        <w:t xml:space="preserve"> et al.</w:t>
      </w:r>
      <w:r w:rsidRPr="00C572B9">
        <w:rPr>
          <w:sz w:val="16"/>
          <w:szCs w:val="16"/>
        </w:rPr>
        <w:t xml:space="preserve"> </w:t>
      </w:r>
      <w:r w:rsidRPr="00F2258D">
        <w:rPr>
          <w:sz w:val="16"/>
          <w:szCs w:val="16"/>
          <w:lang w:val="fr-FR"/>
        </w:rPr>
        <w:t>(2020). Ouedraogo (2011</w:t>
      </w:r>
      <w:r w:rsidRPr="00F2258D">
        <w:rPr>
          <w:sz w:val="16"/>
          <w:szCs w:val="16"/>
          <w:lang w:val="fr-FR"/>
        </w:rPr>
        <w:t xml:space="preserve">); </w:t>
      </w:r>
      <w:r w:rsidRPr="00F2258D">
        <w:rPr>
          <w:sz w:val="16"/>
          <w:szCs w:val="16"/>
          <w:lang w:val="fr-FR"/>
        </w:rPr>
        <w:t>Ambele et al. (2012); Isabirye et al. (2016); Vayssières et al. (2004); Mokam  et al. (2004))</w:t>
      </w:r>
    </w:p>
  </w:footnote>
  <w:footnote w:id="11">
    <w:p w14:paraId="44023C28" w14:textId="77777777" w:rsidR="00C66FBD" w:rsidRPr="002A0E99" w:rsidRDefault="00C66FBD" w:rsidP="00C66FBD">
      <w:pPr>
        <w:pStyle w:val="FootnoteText"/>
        <w:rPr>
          <w:rFonts w:cstheme="minorHAnsi"/>
          <w:sz w:val="16"/>
          <w:szCs w:val="16"/>
          <w:lang w:val="fr-FR"/>
        </w:rPr>
      </w:pPr>
      <w:r w:rsidRPr="00C572B9">
        <w:rPr>
          <w:rStyle w:val="FootnoteReference"/>
          <w:rFonts w:cstheme="minorHAnsi"/>
          <w:sz w:val="16"/>
          <w:szCs w:val="16"/>
        </w:rPr>
        <w:footnoteRef/>
      </w:r>
      <w:r w:rsidRPr="002A0E99">
        <w:rPr>
          <w:rFonts w:cstheme="minorHAnsi"/>
          <w:sz w:val="16"/>
          <w:szCs w:val="16"/>
          <w:lang w:val="fr-FR"/>
        </w:rPr>
        <w:t xml:space="preserve"> cf. </w:t>
      </w:r>
      <w:hyperlink r:id="rId1" w:history="1">
        <w:r w:rsidRPr="002A0E99">
          <w:rPr>
            <w:rStyle w:val="Hyperlink"/>
            <w:rFonts w:cstheme="minorHAnsi"/>
            <w:sz w:val="16"/>
            <w:szCs w:val="16"/>
            <w:lang w:val="fr-FR"/>
          </w:rPr>
          <w:t>https://et</w:t>
        </w:r>
      </w:hyperlink>
      <w:r w:rsidRPr="002A0E99">
        <w:rPr>
          <w:rFonts w:cstheme="minorHAnsi"/>
          <w:sz w:val="16"/>
          <w:szCs w:val="16"/>
          <w:lang w:val="fr-FR"/>
        </w:rPr>
        <w:t xml:space="preserve"> al.www.araa.org/pt/projets/sistema-regional-inovador-de-gestao-da-mosca-da-fruta-na-africa-ocidental-syrimao</w:t>
      </w:r>
    </w:p>
  </w:footnote>
  <w:footnote w:id="12">
    <w:p w14:paraId="24CAABDD" w14:textId="77777777" w:rsidR="00C66FBD" w:rsidRPr="00C572B9" w:rsidRDefault="00C66FBD" w:rsidP="00C66FBD">
      <w:pPr>
        <w:pStyle w:val="FootnoteText"/>
        <w:rPr>
          <w:rFonts w:cstheme="minorHAnsi"/>
          <w:sz w:val="16"/>
          <w:szCs w:val="16"/>
        </w:rPr>
      </w:pPr>
      <w:r w:rsidRPr="00C572B9">
        <w:rPr>
          <w:rStyle w:val="FootnoteReference"/>
          <w:rFonts w:cstheme="minorHAnsi"/>
          <w:sz w:val="16"/>
          <w:szCs w:val="16"/>
        </w:rPr>
        <w:footnoteRef/>
      </w:r>
      <w:r w:rsidRPr="00C572B9">
        <w:rPr>
          <w:rFonts w:cstheme="minorHAnsi"/>
          <w:sz w:val="16"/>
          <w:szCs w:val="16"/>
        </w:rPr>
        <w:t xml:space="preserve"> Um mapa da distribuição e densidade de armadilhas instaladas nos vários países da CEDEAO pode ser consultado no relatório anual do projeto para o ano de 2023 (https://www.araa.org/sites/default/files/2024-07/Rapport%20annuel%202023..pdf)</w:t>
      </w:r>
    </w:p>
  </w:footnote>
  <w:footnote w:id="13">
    <w:p w14:paraId="0E301541" w14:textId="77777777" w:rsidR="00C66FBD" w:rsidRPr="00C572B9" w:rsidRDefault="00C66FBD" w:rsidP="00C66FBD">
      <w:pPr>
        <w:pStyle w:val="NormalWeb"/>
        <w:spacing w:before="0" w:beforeAutospacing="0" w:after="0" w:afterAutospacing="0"/>
        <w:rPr>
          <w:rFonts w:asciiTheme="minorHAnsi" w:hAnsiTheme="minorHAnsi" w:cstheme="minorHAnsi"/>
          <w:sz w:val="16"/>
          <w:szCs w:val="16"/>
          <w:lang w:val="pt-PT"/>
        </w:rPr>
      </w:pPr>
      <w:r w:rsidRPr="00C572B9">
        <w:rPr>
          <w:rStyle w:val="FootnoteReference"/>
          <w:rFonts w:asciiTheme="minorHAnsi" w:hAnsiTheme="minorHAnsi" w:cstheme="minorHAnsi"/>
          <w:sz w:val="16"/>
          <w:szCs w:val="16"/>
        </w:rPr>
        <w:footnoteRef/>
      </w:r>
      <w:r w:rsidRPr="00C572B9">
        <w:rPr>
          <w:rFonts w:asciiTheme="minorHAnsi" w:hAnsiTheme="minorHAnsi" w:cstheme="minorHAnsi"/>
          <w:sz w:val="16"/>
          <w:szCs w:val="16"/>
          <w:lang w:val="pt-PT"/>
        </w:rPr>
        <w:t xml:space="preserve"> Ndiaye et </w:t>
      </w:r>
      <w:r>
        <w:rPr>
          <w:rFonts w:asciiTheme="minorHAnsi" w:hAnsiTheme="minorHAnsi" w:cstheme="minorHAnsi"/>
          <w:sz w:val="16"/>
          <w:szCs w:val="16"/>
          <w:lang w:val="pt-PT"/>
        </w:rPr>
        <w:t xml:space="preserve">(2024) </w:t>
      </w:r>
      <w:r w:rsidRPr="00C572B9">
        <w:rPr>
          <w:rFonts w:asciiTheme="minorHAnsi" w:hAnsiTheme="minorHAnsi" w:cstheme="minorHAnsi"/>
          <w:sz w:val="16"/>
          <w:szCs w:val="16"/>
          <w:lang w:val="pt-PT"/>
        </w:rPr>
        <w:t>exploraram os fatores que influenciam o compromisso dos produtores de manga no combate à praga, partindo da hipótese de que a diversidade dos sistemas de produção influencia o combate geral no setor de manga senegalês contra a mosca-da-fruta. Os autores concluíram que, em África, o sucesso dos programas de gestão de pragas da manga depende da diversificação de estratégias definidas em função da tipologia de sistemas agrícolas coexistentes numa determinada área de intervenção, para garantir a adoção, a eficácia operacional e a sustentabilidade das ferramentas de controlo de pragas em condições reais.</w:t>
      </w:r>
    </w:p>
  </w:footnote>
  <w:footnote w:id="14">
    <w:p w14:paraId="49DE3A56" w14:textId="77777777" w:rsidR="00C66FBD" w:rsidRPr="00C572B9" w:rsidRDefault="00C66FBD" w:rsidP="00C66FBD">
      <w:pPr>
        <w:pStyle w:val="FootnoteText"/>
        <w:rPr>
          <w:sz w:val="16"/>
          <w:szCs w:val="16"/>
        </w:rPr>
      </w:pPr>
      <w:r w:rsidRPr="00C572B9">
        <w:rPr>
          <w:rStyle w:val="FootnoteReference"/>
          <w:sz w:val="16"/>
          <w:szCs w:val="16"/>
        </w:rPr>
        <w:footnoteRef/>
      </w:r>
      <w:r w:rsidRPr="00C572B9">
        <w:rPr>
          <w:sz w:val="16"/>
          <w:szCs w:val="16"/>
        </w:rPr>
        <w:t xml:space="preserve"> Por definição, um pacote de medidas de gestão integrada para o controlo de uma praga consiste numa combinação de intervenções que se complementam, em vez de cada uma funcionar como uma ferramenta autónoma de gestão de pragas. Na prática, os produtores adotam apenas algumas das componentes, por conjunto de razões como as analisados no Senegal, na região de Casaman</w:t>
      </w:r>
      <w:r w:rsidRPr="00F15FCB">
        <w:rPr>
          <w:sz w:val="16"/>
          <w:szCs w:val="16"/>
        </w:rPr>
        <w:t>ce (ver nota 30).</w:t>
      </w:r>
    </w:p>
  </w:footnote>
  <w:footnote w:id="15">
    <w:p w14:paraId="6D70D945" w14:textId="77777777" w:rsidR="00C66FBD" w:rsidRPr="00C572B9" w:rsidRDefault="00C66FBD" w:rsidP="00C66FBD">
      <w:pPr>
        <w:spacing w:after="0" w:line="240" w:lineRule="auto"/>
        <w:rPr>
          <w:sz w:val="16"/>
          <w:szCs w:val="16"/>
        </w:rPr>
      </w:pPr>
      <w:r w:rsidRPr="00C572B9">
        <w:rPr>
          <w:rStyle w:val="FootnoteReference"/>
          <w:sz w:val="16"/>
          <w:szCs w:val="16"/>
        </w:rPr>
        <w:footnoteRef/>
      </w:r>
      <w:r w:rsidRPr="00C572B9">
        <w:rPr>
          <w:sz w:val="16"/>
          <w:szCs w:val="16"/>
        </w:rPr>
        <w:t xml:space="preserve"> Outra prática de higienização do pomar de manga, consiste na colocação dos frutos infestados em sacos plásticos pretos selados que são deixados expostos à luz solar direta por 3-5 dias. O calor acumulado mata as larvas e pupas dentro dos sacos. Os sacos são reutilizados num novo ciclo. Uma prática equivalente é a do enterramento das mangas podres, a uma profundidade mínima de 50 cm.</w:t>
      </w:r>
    </w:p>
  </w:footnote>
  <w:footnote w:id="16">
    <w:p w14:paraId="1D4C18B7" w14:textId="77777777" w:rsidR="00C66FBD" w:rsidRPr="00C572B9" w:rsidRDefault="00C66FBD" w:rsidP="00C66FBD">
      <w:pPr>
        <w:pStyle w:val="FootnoteText"/>
        <w:rPr>
          <w:sz w:val="16"/>
          <w:szCs w:val="16"/>
        </w:rPr>
      </w:pPr>
      <w:r w:rsidRPr="00C572B9">
        <w:rPr>
          <w:rStyle w:val="FootnoteReference"/>
          <w:sz w:val="16"/>
          <w:szCs w:val="16"/>
        </w:rPr>
        <w:footnoteRef/>
      </w:r>
      <w:r w:rsidRPr="00C572B9">
        <w:rPr>
          <w:sz w:val="16"/>
          <w:szCs w:val="16"/>
        </w:rPr>
        <w:t xml:space="preserve"> Prática de higienização dos pomares, envolve o uso de </w:t>
      </w:r>
      <w:r w:rsidRPr="00C572B9">
        <w:rPr>
          <w:i/>
          <w:iCs/>
          <w:sz w:val="16"/>
          <w:szCs w:val="16"/>
        </w:rPr>
        <w:t>augmentorium</w:t>
      </w:r>
      <w:r w:rsidRPr="00C572B9">
        <w:rPr>
          <w:sz w:val="16"/>
          <w:szCs w:val="16"/>
        </w:rPr>
        <w:t>, que são estruturas semelhantes a tendas feitas de material de rede dupla com tela de arame. Os frutos atacados caídos são recolhidos do campo e colocados dentro da estrutura; os parasitóides que emergem das moscas-da-fruta dentro dos frutos podres conseguem escapar através da malha de rede, mas as moscas-das-frutas são demasiado grandes e ficam presas no interior.</w:t>
      </w:r>
    </w:p>
  </w:footnote>
  <w:footnote w:id="17">
    <w:p w14:paraId="0B5CE6A5" w14:textId="77777777" w:rsidR="00C66FBD" w:rsidRPr="00101698" w:rsidRDefault="00C66FBD" w:rsidP="00C66FBD">
      <w:pPr>
        <w:autoSpaceDE w:val="0"/>
        <w:autoSpaceDN w:val="0"/>
        <w:adjustRightInd w:val="0"/>
        <w:spacing w:after="0" w:line="240" w:lineRule="auto"/>
        <w:rPr>
          <w:rFonts w:cstheme="minorHAnsi"/>
          <w:sz w:val="16"/>
          <w:szCs w:val="16"/>
        </w:rPr>
      </w:pPr>
      <w:r w:rsidRPr="00C572B9">
        <w:rPr>
          <w:rStyle w:val="FootnoteReference"/>
          <w:rFonts w:cstheme="minorHAnsi"/>
          <w:sz w:val="16"/>
          <w:szCs w:val="16"/>
        </w:rPr>
        <w:footnoteRef/>
      </w:r>
      <w:r w:rsidRPr="00C572B9">
        <w:rPr>
          <w:rFonts w:cstheme="minorHAnsi"/>
          <w:sz w:val="16"/>
          <w:szCs w:val="16"/>
        </w:rPr>
        <w:t xml:space="preserve"> Muriithi et al. (2016) reporta uma adesão de apenas 0.4% no Burkina Faso, enquanto que no Quénia foram registadas taxas de adesão elevadas para todas as tipologias de produtores ( cf. </w:t>
      </w:r>
      <w:bookmarkStart w:id="215" w:name="_Hlk215144844"/>
      <w:r w:rsidRPr="00C572B9">
        <w:rPr>
          <w:rFonts w:cstheme="minorHAnsi"/>
          <w:color w:val="272727"/>
          <w:sz w:val="16"/>
          <w:szCs w:val="16"/>
        </w:rPr>
        <w:t xml:space="preserve">Mulungu </w:t>
      </w:r>
      <w:r>
        <w:rPr>
          <w:rFonts w:cstheme="minorHAnsi"/>
          <w:color w:val="272727"/>
          <w:sz w:val="16"/>
          <w:szCs w:val="16"/>
        </w:rPr>
        <w:t>et al</w:t>
      </w:r>
      <w:r w:rsidRPr="00C572B9">
        <w:rPr>
          <w:rFonts w:cstheme="minorHAnsi"/>
          <w:color w:val="272727"/>
          <w:sz w:val="16"/>
          <w:szCs w:val="16"/>
        </w:rPr>
        <w:t xml:space="preserve"> (2023)</w:t>
      </w:r>
      <w:r w:rsidRPr="00101698">
        <w:rPr>
          <w:rFonts w:cstheme="minorHAnsi"/>
          <w:color w:val="272727"/>
          <w:sz w:val="16"/>
          <w:szCs w:val="16"/>
        </w:rPr>
        <w:t>.</w:t>
      </w:r>
    </w:p>
    <w:bookmarkEnd w:id="215"/>
  </w:footnote>
  <w:footnote w:id="18">
    <w:p w14:paraId="06090A55" w14:textId="77777777" w:rsidR="00C66FBD" w:rsidRPr="00101698" w:rsidRDefault="00C66FBD" w:rsidP="00C66FBD">
      <w:pPr>
        <w:pStyle w:val="FootnoteText"/>
        <w:rPr>
          <w:sz w:val="16"/>
          <w:szCs w:val="16"/>
        </w:rPr>
      </w:pPr>
      <w:r w:rsidRPr="00C572B9">
        <w:rPr>
          <w:rStyle w:val="FootnoteReference"/>
          <w:sz w:val="16"/>
          <w:szCs w:val="16"/>
        </w:rPr>
        <w:footnoteRef/>
      </w:r>
      <w:r w:rsidRPr="00101698">
        <w:rPr>
          <w:sz w:val="16"/>
          <w:szCs w:val="16"/>
        </w:rPr>
        <w:t xml:space="preserve"> cf. </w:t>
      </w:r>
      <w:bookmarkStart w:id="216" w:name="_Hlk215144968"/>
      <w:r w:rsidRPr="00101698">
        <w:rPr>
          <w:sz w:val="16"/>
          <w:szCs w:val="16"/>
        </w:rPr>
        <w:t xml:space="preserve">Muriithi </w:t>
      </w:r>
      <w:r>
        <w:rPr>
          <w:sz w:val="16"/>
          <w:szCs w:val="16"/>
        </w:rPr>
        <w:t>et al. (2016)</w:t>
      </w:r>
      <w:bookmarkEnd w:id="216"/>
    </w:p>
  </w:footnote>
  <w:footnote w:id="19">
    <w:p w14:paraId="229D61D3" w14:textId="77777777" w:rsidR="00F75BD4" w:rsidRPr="00FE5FFB" w:rsidRDefault="00F75BD4" w:rsidP="00F75BD4">
      <w:pPr>
        <w:pStyle w:val="FootnoteText"/>
        <w:rPr>
          <w:sz w:val="16"/>
          <w:szCs w:val="16"/>
        </w:rPr>
      </w:pPr>
      <w:r w:rsidRPr="00FE5FFB">
        <w:rPr>
          <w:rStyle w:val="FootnoteReference"/>
          <w:sz w:val="16"/>
          <w:szCs w:val="16"/>
        </w:rPr>
        <w:footnoteRef/>
      </w:r>
      <w:r w:rsidRPr="00FE5FFB">
        <w:rPr>
          <w:sz w:val="16"/>
          <w:szCs w:val="16"/>
        </w:rPr>
        <w:t xml:space="preserve"> </w:t>
      </w:r>
      <w:r w:rsidRPr="00FE5FFB">
        <w:rPr>
          <w:rStyle w:val="rynqvb"/>
          <w:sz w:val="16"/>
          <w:szCs w:val="16"/>
        </w:rPr>
        <w:t>árvores de porte baixo, com copa pequena, natureza não competitiva, rotação curta, produzem frutos cedo e proporcionam um retorno económico. (ex. goiaba, o limão, papaia, fruta-do-conde)</w:t>
      </w:r>
      <w:r>
        <w:rPr>
          <w:rStyle w:val="rynqvb"/>
          <w:sz w:val="16"/>
          <w:szCs w:val="16"/>
        </w:rPr>
        <w:t>;</w:t>
      </w:r>
      <w:r w:rsidRPr="00FE5FFB">
        <w:rPr>
          <w:rStyle w:val="rynqvb"/>
          <w:sz w:val="16"/>
          <w:szCs w:val="16"/>
        </w:rPr>
        <w:t xml:space="preserve"> </w:t>
      </w:r>
      <w:r>
        <w:rPr>
          <w:rStyle w:val="rynqvb"/>
          <w:sz w:val="16"/>
          <w:szCs w:val="16"/>
        </w:rPr>
        <w:t>s</w:t>
      </w:r>
      <w:r w:rsidRPr="00FE5FFB">
        <w:rPr>
          <w:rStyle w:val="rynqvb"/>
          <w:sz w:val="16"/>
          <w:szCs w:val="16"/>
        </w:rPr>
        <w:t>ão removidas quando começa a ocorrer competição com as árvores de manga.</w:t>
      </w:r>
    </w:p>
  </w:footnote>
  <w:footnote w:id="20">
    <w:p w14:paraId="0ABEA1DD" w14:textId="77777777" w:rsidR="00F75BD4" w:rsidRPr="005D047F" w:rsidRDefault="00F75BD4" w:rsidP="00F75BD4">
      <w:pPr>
        <w:pStyle w:val="FootnoteText"/>
        <w:rPr>
          <w:rFonts w:cs="Calibri"/>
          <w:sz w:val="16"/>
          <w:szCs w:val="16"/>
        </w:rPr>
      </w:pPr>
      <w:r w:rsidRPr="00FE5FFB">
        <w:rPr>
          <w:rStyle w:val="FootnoteReference"/>
          <w:sz w:val="16"/>
          <w:szCs w:val="16"/>
        </w:rPr>
        <w:footnoteRef/>
      </w:r>
      <w:r w:rsidRPr="00FE5FFB">
        <w:rPr>
          <w:sz w:val="16"/>
          <w:szCs w:val="16"/>
        </w:rPr>
        <w:t xml:space="preserve"> </w:t>
      </w:r>
      <w:r w:rsidRPr="00FE5FFB">
        <w:rPr>
          <w:rFonts w:cstheme="minorHAnsi"/>
          <w:color w:val="000000"/>
          <w:sz w:val="16"/>
          <w:szCs w:val="16"/>
        </w:rPr>
        <w:t>culturas que não cresçam demasiado alto ou que não exija muita irrigação e que requerem muita luz (ex. leguminosas, como ervilha-de-pombo, feijão-</w:t>
      </w:r>
      <w:r w:rsidRPr="005D047F">
        <w:rPr>
          <w:rFonts w:cs="Calibri"/>
          <w:color w:val="000000"/>
          <w:sz w:val="16"/>
          <w:szCs w:val="16"/>
        </w:rPr>
        <w:t>preto, feijão-frade, feijão-verde, e oleaginosas como o amendoim, podem ser cultivadas em sequeiro; culturas de alto valor, como hortaliças ou flores, podem ser cultivadas em condições de irrigação.</w:t>
      </w:r>
    </w:p>
  </w:footnote>
  <w:footnote w:id="21">
    <w:p w14:paraId="4E545654" w14:textId="77777777" w:rsidR="00F75BD4" w:rsidRPr="005B7304" w:rsidRDefault="00F75BD4" w:rsidP="00815270">
      <w:pPr>
        <w:pStyle w:val="Heading1"/>
      </w:pPr>
      <w:r w:rsidRPr="005D047F">
        <w:rPr>
          <w:rStyle w:val="FootnoteReference"/>
          <w:color w:val="auto"/>
          <w:sz w:val="16"/>
          <w:szCs w:val="16"/>
        </w:rPr>
        <w:footnoteRef/>
      </w:r>
      <w:r w:rsidRPr="00F75BD4">
        <w:rPr>
          <w:lang w:val="en-GB"/>
        </w:rPr>
        <w:t xml:space="preserve"> </w:t>
      </w:r>
      <w:r w:rsidRPr="002A2405">
        <w:rPr>
          <w:rFonts w:eastAsiaTheme="minorHAnsi"/>
          <w:lang w:val="en-GB"/>
        </w:rPr>
        <w:t xml:space="preserve">“Sustainable intensification of food production through resilient farming systems in West &amp; North Africa”;  Duração - Setembro 2020 a Agosto 2025;. </w:t>
      </w:r>
      <w:r w:rsidRPr="00F15FCB">
        <w:rPr>
          <w:rFonts w:eastAsiaTheme="minorHAnsi"/>
        </w:rPr>
        <w:t>Financiamento - 6,997,330 euros  - Programa Horizon 2020 ; (https://cordis.europa.eu/project/id/861924/en)</w:t>
      </w:r>
    </w:p>
    <w:p w14:paraId="1480B374" w14:textId="77777777" w:rsidR="00F75BD4" w:rsidRPr="005B7304" w:rsidRDefault="00F75BD4" w:rsidP="00F75BD4">
      <w:pPr>
        <w:pStyle w:val="FootnoteText"/>
        <w:rPr>
          <w:rFonts w:cs="Calibri"/>
          <w:sz w:val="16"/>
          <w:szCs w:val="16"/>
        </w:rPr>
      </w:pPr>
    </w:p>
  </w:footnote>
  <w:footnote w:id="22">
    <w:p w14:paraId="52BF106D" w14:textId="77777777" w:rsidR="00B0336E" w:rsidRPr="00A94752" w:rsidRDefault="00B0336E" w:rsidP="00B0336E">
      <w:pPr>
        <w:pStyle w:val="FootnoteText"/>
        <w:rPr>
          <w:rFonts w:cstheme="minorHAnsi"/>
          <w:sz w:val="16"/>
          <w:szCs w:val="16"/>
        </w:rPr>
      </w:pPr>
      <w:r w:rsidRPr="00A94752">
        <w:rPr>
          <w:rStyle w:val="FootnoteReference"/>
          <w:rFonts w:cstheme="minorHAnsi"/>
          <w:sz w:val="16"/>
          <w:szCs w:val="16"/>
        </w:rPr>
        <w:footnoteRef/>
      </w:r>
      <w:r w:rsidRPr="00A94752">
        <w:rPr>
          <w:rFonts w:cstheme="minorHAnsi"/>
          <w:sz w:val="16"/>
          <w:szCs w:val="16"/>
        </w:rPr>
        <w:t xml:space="preserve"> O carbeto de cálcio liberta acetileno quando exposto à humidade (gás induz o amadurecimento artificial da manga, provocando o seu amarelecimento da casca e amolecimento dos tecidos), mas pode deixar resíduos perigosos nos frutos, tais como como arsénico e fósforo, com efeitos nocivos imediatos na saúde humana (incluindo problemas respiratórios e gastrointestinais) e potencial cancerígeno.</w:t>
      </w:r>
    </w:p>
  </w:footnote>
  <w:footnote w:id="23">
    <w:p w14:paraId="06E5FBB2" w14:textId="77777777" w:rsidR="00B0336E" w:rsidRPr="00A94752" w:rsidRDefault="00B0336E" w:rsidP="00B0336E">
      <w:pPr>
        <w:pStyle w:val="FootnoteText"/>
        <w:rPr>
          <w:rFonts w:cstheme="minorHAnsi"/>
          <w:sz w:val="16"/>
          <w:szCs w:val="16"/>
        </w:rPr>
      </w:pPr>
      <w:r w:rsidRPr="00A94752">
        <w:rPr>
          <w:rStyle w:val="FootnoteReference"/>
          <w:rFonts w:cstheme="minorHAnsi"/>
          <w:sz w:val="16"/>
          <w:szCs w:val="16"/>
        </w:rPr>
        <w:footnoteRef/>
      </w:r>
      <w:r w:rsidRPr="00A94752">
        <w:rPr>
          <w:rFonts w:cstheme="minorHAnsi"/>
          <w:sz w:val="16"/>
          <w:szCs w:val="16"/>
        </w:rPr>
        <w:t xml:space="preserve"> O etileno é uma hormona vegetal que é emitida naturalmente pelas plantas.</w:t>
      </w:r>
    </w:p>
  </w:footnote>
  <w:footnote w:id="24">
    <w:p w14:paraId="3FF583D3" w14:textId="77777777" w:rsidR="00B0336E" w:rsidRPr="002A0E99" w:rsidRDefault="00B0336E" w:rsidP="00B0336E">
      <w:pPr>
        <w:spacing w:after="0" w:line="240" w:lineRule="auto"/>
        <w:rPr>
          <w:rFonts w:cstheme="minorHAnsi"/>
          <w:sz w:val="16"/>
          <w:szCs w:val="16"/>
          <w:lang w:val="fr-FR"/>
        </w:rPr>
      </w:pPr>
      <w:r w:rsidRPr="00A94752">
        <w:rPr>
          <w:rStyle w:val="FootnoteReference"/>
          <w:rFonts w:cstheme="minorHAnsi"/>
          <w:sz w:val="16"/>
          <w:szCs w:val="16"/>
        </w:rPr>
        <w:footnoteRef/>
      </w:r>
      <w:r w:rsidRPr="00A94752">
        <w:rPr>
          <w:rFonts w:cstheme="minorHAnsi"/>
          <w:sz w:val="16"/>
          <w:szCs w:val="16"/>
        </w:rPr>
        <w:t xml:space="preserve"> Esta técnica requer câmaras isoladas termicamente, com sistema de ventilação forçada, injeção e extração de gases e controlo de temperatura e humidade. A concentração de etileno utilizada na maturação da manga é de 100-150 ppm durante 18-48 horas. Os três fatores críticos do processo são a temperatura dos frutos, e a humidade e o nível de CO2 na câmara de amadurecimento.  </w:t>
      </w:r>
      <w:bookmarkStart w:id="219" w:name="_Hlk215144304"/>
      <w:r w:rsidRPr="002A0E99">
        <w:rPr>
          <w:rFonts w:cstheme="minorHAnsi"/>
          <w:sz w:val="16"/>
          <w:szCs w:val="16"/>
          <w:lang w:val="fr-FR"/>
        </w:rPr>
        <w:t>(</w:t>
      </w:r>
      <w:r w:rsidRPr="002A0E99">
        <w:rPr>
          <w:rFonts w:cstheme="minorHAnsi"/>
          <w:sz w:val="16"/>
          <w:szCs w:val="16"/>
          <w:lang w:val="fr-FR"/>
        </w:rPr>
        <w:t>cf. Ledger et al., 2012)</w:t>
      </w:r>
    </w:p>
    <w:bookmarkEnd w:id="219"/>
  </w:footnote>
  <w:footnote w:id="25">
    <w:p w14:paraId="48CF1D47" w14:textId="77777777" w:rsidR="00B0336E" w:rsidRPr="002A0E99" w:rsidRDefault="00B0336E" w:rsidP="00B0336E">
      <w:pPr>
        <w:pStyle w:val="FootnoteText"/>
        <w:rPr>
          <w:rFonts w:cstheme="minorHAnsi"/>
          <w:sz w:val="16"/>
          <w:szCs w:val="16"/>
          <w:lang w:val="fr-FR"/>
        </w:rPr>
      </w:pPr>
      <w:r w:rsidRPr="00A94752">
        <w:rPr>
          <w:rStyle w:val="FootnoteReference"/>
          <w:rFonts w:cstheme="minorHAnsi"/>
          <w:sz w:val="16"/>
          <w:szCs w:val="16"/>
        </w:rPr>
        <w:footnoteRef/>
      </w:r>
      <w:r w:rsidRPr="002A0E99">
        <w:rPr>
          <w:rFonts w:cstheme="minorHAnsi"/>
          <w:sz w:val="16"/>
          <w:szCs w:val="16"/>
          <w:lang w:val="fr-FR"/>
        </w:rPr>
        <w:t xml:space="preserve"> cf. N</w:t>
      </w:r>
      <w:r w:rsidRPr="002A0E99">
        <w:rPr>
          <w:rStyle w:val="author"/>
          <w:rFonts w:cstheme="minorHAnsi"/>
          <w:sz w:val="16"/>
          <w:szCs w:val="16"/>
          <w:lang w:val="fr-FR"/>
        </w:rPr>
        <w:t>asir et al., (2024)</w:t>
      </w:r>
    </w:p>
  </w:footnote>
  <w:footnote w:id="26">
    <w:p w14:paraId="4CA30EA6" w14:textId="77777777" w:rsidR="00B0336E" w:rsidRPr="002A0E99" w:rsidRDefault="00B0336E" w:rsidP="00B0336E">
      <w:pPr>
        <w:pStyle w:val="FootnoteText"/>
        <w:rPr>
          <w:rFonts w:cstheme="minorHAnsi"/>
          <w:sz w:val="16"/>
          <w:szCs w:val="16"/>
          <w:lang w:val="fr-FR"/>
        </w:rPr>
      </w:pPr>
      <w:r w:rsidRPr="00A94752">
        <w:rPr>
          <w:rStyle w:val="FootnoteReference"/>
          <w:rFonts w:cstheme="minorHAnsi"/>
          <w:sz w:val="16"/>
          <w:szCs w:val="16"/>
        </w:rPr>
        <w:footnoteRef/>
      </w:r>
      <w:r w:rsidRPr="002A0E99">
        <w:rPr>
          <w:rFonts w:cstheme="minorHAnsi"/>
          <w:sz w:val="16"/>
          <w:szCs w:val="16"/>
          <w:lang w:val="fr-FR"/>
        </w:rPr>
        <w:t xml:space="preserve"> </w:t>
      </w:r>
      <w:r w:rsidRPr="002A0E99">
        <w:rPr>
          <w:rFonts w:cstheme="minorHAnsi"/>
          <w:sz w:val="16"/>
          <w:szCs w:val="16"/>
          <w:lang w:val="fr-FR"/>
        </w:rPr>
        <w:t xml:space="preserve">cf </w:t>
      </w:r>
      <w:bookmarkStart w:id="220" w:name="_Hlk215144501"/>
      <w:r w:rsidRPr="002A0E99">
        <w:rPr>
          <w:rFonts w:cstheme="minorHAnsi"/>
          <w:sz w:val="16"/>
          <w:szCs w:val="16"/>
          <w:lang w:val="fr-FR"/>
        </w:rPr>
        <w:t>Chikkanna (2022)</w:t>
      </w:r>
    </w:p>
    <w:bookmarkEnd w:id="220"/>
  </w:footnote>
  <w:footnote w:id="27">
    <w:p w14:paraId="2675D8B0" w14:textId="77777777" w:rsidR="00B0336E" w:rsidRPr="00A94752" w:rsidRDefault="00B0336E" w:rsidP="00B0336E">
      <w:pPr>
        <w:pStyle w:val="FootnoteText"/>
        <w:rPr>
          <w:rFonts w:cstheme="minorHAnsi"/>
          <w:sz w:val="16"/>
          <w:szCs w:val="16"/>
        </w:rPr>
      </w:pPr>
      <w:r w:rsidRPr="00A94752">
        <w:rPr>
          <w:rStyle w:val="FootnoteReference"/>
          <w:rFonts w:cstheme="minorHAnsi"/>
          <w:sz w:val="16"/>
          <w:szCs w:val="16"/>
        </w:rPr>
        <w:footnoteRef/>
      </w:r>
      <w:r w:rsidRPr="00A94752">
        <w:rPr>
          <w:rFonts w:cstheme="minorHAnsi"/>
          <w:sz w:val="16"/>
          <w:szCs w:val="16"/>
        </w:rPr>
        <w:t xml:space="preserve"> O etefão (ácido 2-cloroetilfosfónico) é uma substância ativa autorizada para uso na UE. A sua aprovação foi renovada pelo Regulamento de Execução (EU) 2023/2591 da Comissão até 31 de janeiro de 2039, com um âmbito mais amplo do que o seu uso anterior exclusivamente como regulador de crescimento na EU – utilização em frutas para promover o amadurecimento pré e pós-colheita. Os resíduos de etefão na fruta podem causar vários riscos à saúde, como danos ao fígado e aos rins (Nasir et al., 2024). </w:t>
      </w:r>
    </w:p>
  </w:footnote>
  <w:footnote w:id="28">
    <w:p w14:paraId="58A043A5" w14:textId="77777777" w:rsidR="00096206" w:rsidRPr="00430071" w:rsidRDefault="00096206" w:rsidP="00096206">
      <w:pPr>
        <w:pStyle w:val="FootnoteText"/>
      </w:pPr>
      <w:r>
        <w:rPr>
          <w:rStyle w:val="FootnoteReference"/>
        </w:rPr>
        <w:footnoteRef/>
      </w:r>
      <w:r>
        <w:t xml:space="preserve"> </w:t>
      </w:r>
      <w:r w:rsidRPr="00430071">
        <w:rPr>
          <w:rFonts w:asciiTheme="majorHAnsi" w:hAnsiTheme="majorHAnsi" w:cstheme="majorHAnsi"/>
          <w:sz w:val="16"/>
          <w:szCs w:val="16"/>
        </w:rPr>
        <w:t>Dependendo do tipo de tecnologia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70702"/>
    <w:multiLevelType w:val="hybridMultilevel"/>
    <w:tmpl w:val="304896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28846DF"/>
    <w:multiLevelType w:val="hybridMultilevel"/>
    <w:tmpl w:val="41B8C328"/>
    <w:lvl w:ilvl="0" w:tplc="0D5A98D4">
      <w:numFmt w:val="bullet"/>
      <w:lvlText w:val="-"/>
      <w:lvlJc w:val="left"/>
      <w:pPr>
        <w:ind w:left="720" w:hanging="360"/>
      </w:pPr>
      <w:rPr>
        <w:rFonts w:ascii="Calibri" w:eastAsiaTheme="minorEastAsia"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E0ADE"/>
    <w:multiLevelType w:val="multilevel"/>
    <w:tmpl w:val="AFCE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E1C2D"/>
    <w:multiLevelType w:val="hybridMultilevel"/>
    <w:tmpl w:val="47A4AE9C"/>
    <w:lvl w:ilvl="0" w:tplc="0D5A98D4">
      <w:numFmt w:val="bullet"/>
      <w:lvlText w:val="-"/>
      <w:lvlJc w:val="left"/>
      <w:pPr>
        <w:ind w:left="1344" w:hanging="360"/>
      </w:pPr>
      <w:rPr>
        <w:rFonts w:ascii="Calibri" w:eastAsiaTheme="minorEastAsia" w:hAnsi="Calibri" w:cstheme="minorHAnsi"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4" w15:restartNumberingAfterBreak="0">
    <w:nsid w:val="0C363117"/>
    <w:multiLevelType w:val="multilevel"/>
    <w:tmpl w:val="F6E0B7B0"/>
    <w:lvl w:ilvl="0">
      <w:start w:val="5"/>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0036D7C"/>
    <w:multiLevelType w:val="multilevel"/>
    <w:tmpl w:val="8ACE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372B8C"/>
    <w:multiLevelType w:val="hybridMultilevel"/>
    <w:tmpl w:val="B366F91E"/>
    <w:lvl w:ilvl="0" w:tplc="001CA980">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130B33AC"/>
    <w:multiLevelType w:val="hybridMultilevel"/>
    <w:tmpl w:val="F0EE5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6E72FB"/>
    <w:multiLevelType w:val="hybridMultilevel"/>
    <w:tmpl w:val="9C281508"/>
    <w:lvl w:ilvl="0" w:tplc="0D5A98D4">
      <w:numFmt w:val="bullet"/>
      <w:lvlText w:val="-"/>
      <w:lvlJc w:val="left"/>
      <w:pPr>
        <w:ind w:left="1344" w:hanging="360"/>
      </w:pPr>
      <w:rPr>
        <w:rFonts w:ascii="Calibri" w:eastAsiaTheme="minorEastAsia" w:hAnsi="Calibri" w:cstheme="minorHAnsi"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9" w15:restartNumberingAfterBreak="0">
    <w:nsid w:val="17E430AC"/>
    <w:multiLevelType w:val="multilevel"/>
    <w:tmpl w:val="79E6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557FC7"/>
    <w:multiLevelType w:val="hybridMultilevel"/>
    <w:tmpl w:val="76DEB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63761C"/>
    <w:multiLevelType w:val="multilevel"/>
    <w:tmpl w:val="B4F6D342"/>
    <w:lvl w:ilvl="0">
      <w:start w:val="3"/>
      <w:numFmt w:val="decimal"/>
      <w:lvlText w:val="%1"/>
      <w:lvlJc w:val="left"/>
      <w:pPr>
        <w:ind w:left="420" w:hanging="420"/>
      </w:pPr>
      <w:rPr>
        <w:rFonts w:hint="default"/>
        <w:color w:val="4C94D8" w:themeColor="text2" w:themeTint="80"/>
      </w:rPr>
    </w:lvl>
    <w:lvl w:ilvl="1">
      <w:start w:val="1"/>
      <w:numFmt w:val="decimal"/>
      <w:lvlText w:val="%1.%2"/>
      <w:lvlJc w:val="left"/>
      <w:pPr>
        <w:ind w:left="420" w:hanging="420"/>
      </w:pPr>
      <w:rPr>
        <w:rFonts w:hint="default"/>
        <w:color w:val="4C94D8" w:themeColor="text2" w:themeTint="80"/>
      </w:rPr>
    </w:lvl>
    <w:lvl w:ilvl="2">
      <w:start w:val="1"/>
      <w:numFmt w:val="decimal"/>
      <w:lvlText w:val="%1.%2.%3"/>
      <w:lvlJc w:val="left"/>
      <w:pPr>
        <w:ind w:left="720" w:hanging="720"/>
      </w:pPr>
      <w:rPr>
        <w:rFonts w:hint="default"/>
        <w:color w:val="4C94D8" w:themeColor="text2" w:themeTint="80"/>
      </w:rPr>
    </w:lvl>
    <w:lvl w:ilvl="3">
      <w:start w:val="1"/>
      <w:numFmt w:val="decimal"/>
      <w:lvlText w:val="%1.%2.%3.%4"/>
      <w:lvlJc w:val="left"/>
      <w:pPr>
        <w:ind w:left="720" w:hanging="720"/>
      </w:pPr>
      <w:rPr>
        <w:rFonts w:hint="default"/>
        <w:color w:val="4C94D8" w:themeColor="text2" w:themeTint="80"/>
      </w:rPr>
    </w:lvl>
    <w:lvl w:ilvl="4">
      <w:start w:val="1"/>
      <w:numFmt w:val="decimal"/>
      <w:lvlText w:val="%1.%2.%3.%4.%5"/>
      <w:lvlJc w:val="left"/>
      <w:pPr>
        <w:ind w:left="720" w:hanging="720"/>
      </w:pPr>
      <w:rPr>
        <w:rFonts w:hint="default"/>
        <w:color w:val="4C94D8" w:themeColor="text2" w:themeTint="80"/>
      </w:rPr>
    </w:lvl>
    <w:lvl w:ilvl="5">
      <w:start w:val="1"/>
      <w:numFmt w:val="decimal"/>
      <w:lvlText w:val="%1.%2.%3.%4.%5.%6"/>
      <w:lvlJc w:val="left"/>
      <w:pPr>
        <w:ind w:left="1080" w:hanging="1080"/>
      </w:pPr>
      <w:rPr>
        <w:rFonts w:hint="default"/>
        <w:color w:val="4C94D8" w:themeColor="text2" w:themeTint="80"/>
      </w:rPr>
    </w:lvl>
    <w:lvl w:ilvl="6">
      <w:start w:val="1"/>
      <w:numFmt w:val="decimal"/>
      <w:lvlText w:val="%1.%2.%3.%4.%5.%6.%7"/>
      <w:lvlJc w:val="left"/>
      <w:pPr>
        <w:ind w:left="1080" w:hanging="1080"/>
      </w:pPr>
      <w:rPr>
        <w:rFonts w:hint="default"/>
        <w:color w:val="4C94D8" w:themeColor="text2" w:themeTint="80"/>
      </w:rPr>
    </w:lvl>
    <w:lvl w:ilvl="7">
      <w:start w:val="1"/>
      <w:numFmt w:val="decimal"/>
      <w:lvlText w:val="%1.%2.%3.%4.%5.%6.%7.%8"/>
      <w:lvlJc w:val="left"/>
      <w:pPr>
        <w:ind w:left="1440" w:hanging="1440"/>
      </w:pPr>
      <w:rPr>
        <w:rFonts w:hint="default"/>
        <w:color w:val="4C94D8" w:themeColor="text2" w:themeTint="80"/>
      </w:rPr>
    </w:lvl>
    <w:lvl w:ilvl="8">
      <w:start w:val="1"/>
      <w:numFmt w:val="decimal"/>
      <w:lvlText w:val="%1.%2.%3.%4.%5.%6.%7.%8.%9"/>
      <w:lvlJc w:val="left"/>
      <w:pPr>
        <w:ind w:left="1440" w:hanging="1440"/>
      </w:pPr>
      <w:rPr>
        <w:rFonts w:hint="default"/>
        <w:color w:val="4C94D8" w:themeColor="text2" w:themeTint="80"/>
      </w:rPr>
    </w:lvl>
  </w:abstractNum>
  <w:abstractNum w:abstractNumId="12" w15:restartNumberingAfterBreak="0">
    <w:nsid w:val="1B472679"/>
    <w:multiLevelType w:val="multilevel"/>
    <w:tmpl w:val="438A8336"/>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1B500CD7"/>
    <w:multiLevelType w:val="hybridMultilevel"/>
    <w:tmpl w:val="A600C456"/>
    <w:lvl w:ilvl="0" w:tplc="0D5A98D4">
      <w:numFmt w:val="bullet"/>
      <w:lvlText w:val="-"/>
      <w:lvlJc w:val="left"/>
      <w:pPr>
        <w:ind w:left="1344" w:hanging="360"/>
      </w:pPr>
      <w:rPr>
        <w:rFonts w:ascii="Calibri" w:eastAsiaTheme="minorEastAsia" w:hAnsi="Calibri" w:cstheme="minorHAnsi"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14" w15:restartNumberingAfterBreak="0">
    <w:nsid w:val="1CCE3372"/>
    <w:multiLevelType w:val="multilevel"/>
    <w:tmpl w:val="9C063F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D7C4CE1"/>
    <w:multiLevelType w:val="hybridMultilevel"/>
    <w:tmpl w:val="0FDE0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4753E5"/>
    <w:multiLevelType w:val="hybridMultilevel"/>
    <w:tmpl w:val="2CCE1FE4"/>
    <w:lvl w:ilvl="0" w:tplc="0D5A98D4">
      <w:numFmt w:val="bullet"/>
      <w:lvlText w:val="-"/>
      <w:lvlJc w:val="left"/>
      <w:pPr>
        <w:ind w:left="1428" w:hanging="360"/>
      </w:pPr>
      <w:rPr>
        <w:rFonts w:ascii="Calibri" w:eastAsiaTheme="minorEastAsia" w:hAnsi="Calibri" w:cstheme="minorHAnsi"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7" w15:restartNumberingAfterBreak="0">
    <w:nsid w:val="1E8D46CD"/>
    <w:multiLevelType w:val="multilevel"/>
    <w:tmpl w:val="11707A58"/>
    <w:lvl w:ilvl="0">
      <w:start w:val="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F4B3417"/>
    <w:multiLevelType w:val="hybridMultilevel"/>
    <w:tmpl w:val="3AB6B4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20EF2EE6"/>
    <w:multiLevelType w:val="multilevel"/>
    <w:tmpl w:val="8ACE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9011B5"/>
    <w:multiLevelType w:val="hybridMultilevel"/>
    <w:tmpl w:val="E9DAF2C2"/>
    <w:lvl w:ilvl="0" w:tplc="001CA980">
      <w:numFmt w:val="bullet"/>
      <w:lvlText w:val="-"/>
      <w:lvlJc w:val="left"/>
      <w:pPr>
        <w:ind w:left="1495" w:hanging="360"/>
      </w:pPr>
      <w:rPr>
        <w:rFonts w:ascii="Calibri" w:eastAsiaTheme="minorHAnsi" w:hAnsi="Calibri" w:cs="Calibri" w:hint="default"/>
      </w:rPr>
    </w:lvl>
    <w:lvl w:ilvl="1" w:tplc="08160003" w:tentative="1">
      <w:start w:val="1"/>
      <w:numFmt w:val="bullet"/>
      <w:lvlText w:val="o"/>
      <w:lvlJc w:val="left"/>
      <w:pPr>
        <w:ind w:left="2215" w:hanging="360"/>
      </w:pPr>
      <w:rPr>
        <w:rFonts w:ascii="Courier New" w:hAnsi="Courier New" w:hint="default"/>
      </w:rPr>
    </w:lvl>
    <w:lvl w:ilvl="2" w:tplc="08160005" w:tentative="1">
      <w:start w:val="1"/>
      <w:numFmt w:val="bullet"/>
      <w:lvlText w:val=""/>
      <w:lvlJc w:val="left"/>
      <w:pPr>
        <w:ind w:left="2935" w:hanging="360"/>
      </w:pPr>
      <w:rPr>
        <w:rFonts w:ascii="Wingdings" w:hAnsi="Wingdings" w:hint="default"/>
      </w:rPr>
    </w:lvl>
    <w:lvl w:ilvl="3" w:tplc="08160001" w:tentative="1">
      <w:start w:val="1"/>
      <w:numFmt w:val="bullet"/>
      <w:lvlText w:val=""/>
      <w:lvlJc w:val="left"/>
      <w:pPr>
        <w:ind w:left="3655" w:hanging="360"/>
      </w:pPr>
      <w:rPr>
        <w:rFonts w:ascii="Symbol" w:hAnsi="Symbol" w:hint="default"/>
      </w:rPr>
    </w:lvl>
    <w:lvl w:ilvl="4" w:tplc="08160003" w:tentative="1">
      <w:start w:val="1"/>
      <w:numFmt w:val="bullet"/>
      <w:lvlText w:val="o"/>
      <w:lvlJc w:val="left"/>
      <w:pPr>
        <w:ind w:left="4375" w:hanging="360"/>
      </w:pPr>
      <w:rPr>
        <w:rFonts w:ascii="Courier New" w:hAnsi="Courier New" w:hint="default"/>
      </w:rPr>
    </w:lvl>
    <w:lvl w:ilvl="5" w:tplc="08160005" w:tentative="1">
      <w:start w:val="1"/>
      <w:numFmt w:val="bullet"/>
      <w:lvlText w:val=""/>
      <w:lvlJc w:val="left"/>
      <w:pPr>
        <w:ind w:left="5095" w:hanging="360"/>
      </w:pPr>
      <w:rPr>
        <w:rFonts w:ascii="Wingdings" w:hAnsi="Wingdings" w:hint="default"/>
      </w:rPr>
    </w:lvl>
    <w:lvl w:ilvl="6" w:tplc="08160001" w:tentative="1">
      <w:start w:val="1"/>
      <w:numFmt w:val="bullet"/>
      <w:lvlText w:val=""/>
      <w:lvlJc w:val="left"/>
      <w:pPr>
        <w:ind w:left="5815" w:hanging="360"/>
      </w:pPr>
      <w:rPr>
        <w:rFonts w:ascii="Symbol" w:hAnsi="Symbol" w:hint="default"/>
      </w:rPr>
    </w:lvl>
    <w:lvl w:ilvl="7" w:tplc="08160003" w:tentative="1">
      <w:start w:val="1"/>
      <w:numFmt w:val="bullet"/>
      <w:lvlText w:val="o"/>
      <w:lvlJc w:val="left"/>
      <w:pPr>
        <w:ind w:left="6535" w:hanging="360"/>
      </w:pPr>
      <w:rPr>
        <w:rFonts w:ascii="Courier New" w:hAnsi="Courier New" w:hint="default"/>
      </w:rPr>
    </w:lvl>
    <w:lvl w:ilvl="8" w:tplc="08160005" w:tentative="1">
      <w:start w:val="1"/>
      <w:numFmt w:val="bullet"/>
      <w:lvlText w:val=""/>
      <w:lvlJc w:val="left"/>
      <w:pPr>
        <w:ind w:left="7255" w:hanging="360"/>
      </w:pPr>
      <w:rPr>
        <w:rFonts w:ascii="Wingdings" w:hAnsi="Wingdings" w:hint="default"/>
      </w:rPr>
    </w:lvl>
  </w:abstractNum>
  <w:abstractNum w:abstractNumId="21" w15:restartNumberingAfterBreak="0">
    <w:nsid w:val="27483917"/>
    <w:multiLevelType w:val="multilevel"/>
    <w:tmpl w:val="D5468A5A"/>
    <w:lvl w:ilvl="0">
      <w:numFmt w:val="bullet"/>
      <w:lvlText w:val="-"/>
      <w:lvlJc w:val="left"/>
      <w:pPr>
        <w:tabs>
          <w:tab w:val="num" w:pos="993"/>
        </w:tabs>
        <w:ind w:left="993" w:hanging="360"/>
      </w:pPr>
      <w:rPr>
        <w:rFonts w:ascii="Calibri" w:eastAsiaTheme="minorEastAsia" w:hAnsi="Calibri" w:cstheme="minorHAnsi" w:hint="default"/>
        <w:sz w:val="20"/>
      </w:rPr>
    </w:lvl>
    <w:lvl w:ilvl="1" w:tentative="1">
      <w:start w:val="1"/>
      <w:numFmt w:val="bullet"/>
      <w:lvlText w:val="o"/>
      <w:lvlJc w:val="left"/>
      <w:pPr>
        <w:tabs>
          <w:tab w:val="num" w:pos="1713"/>
        </w:tabs>
        <w:ind w:left="1713" w:hanging="360"/>
      </w:pPr>
      <w:rPr>
        <w:rFonts w:ascii="Courier New" w:hAnsi="Courier New" w:hint="default"/>
        <w:sz w:val="20"/>
      </w:rPr>
    </w:lvl>
    <w:lvl w:ilvl="2" w:tentative="1">
      <w:start w:val="1"/>
      <w:numFmt w:val="bullet"/>
      <w:lvlText w:val=""/>
      <w:lvlJc w:val="left"/>
      <w:pPr>
        <w:tabs>
          <w:tab w:val="num" w:pos="2433"/>
        </w:tabs>
        <w:ind w:left="2433" w:hanging="360"/>
      </w:pPr>
      <w:rPr>
        <w:rFonts w:ascii="Wingdings" w:hAnsi="Wingdings" w:hint="default"/>
        <w:sz w:val="20"/>
      </w:rPr>
    </w:lvl>
    <w:lvl w:ilvl="3" w:tentative="1">
      <w:start w:val="1"/>
      <w:numFmt w:val="bullet"/>
      <w:lvlText w:val=""/>
      <w:lvlJc w:val="left"/>
      <w:pPr>
        <w:tabs>
          <w:tab w:val="num" w:pos="3153"/>
        </w:tabs>
        <w:ind w:left="3153" w:hanging="360"/>
      </w:pPr>
      <w:rPr>
        <w:rFonts w:ascii="Wingdings" w:hAnsi="Wingdings" w:hint="default"/>
        <w:sz w:val="20"/>
      </w:rPr>
    </w:lvl>
    <w:lvl w:ilvl="4" w:tentative="1">
      <w:start w:val="1"/>
      <w:numFmt w:val="bullet"/>
      <w:lvlText w:val=""/>
      <w:lvlJc w:val="left"/>
      <w:pPr>
        <w:tabs>
          <w:tab w:val="num" w:pos="3873"/>
        </w:tabs>
        <w:ind w:left="3873" w:hanging="360"/>
      </w:pPr>
      <w:rPr>
        <w:rFonts w:ascii="Wingdings" w:hAnsi="Wingdings" w:hint="default"/>
        <w:sz w:val="20"/>
      </w:rPr>
    </w:lvl>
    <w:lvl w:ilvl="5" w:tentative="1">
      <w:start w:val="1"/>
      <w:numFmt w:val="bullet"/>
      <w:lvlText w:val=""/>
      <w:lvlJc w:val="left"/>
      <w:pPr>
        <w:tabs>
          <w:tab w:val="num" w:pos="4593"/>
        </w:tabs>
        <w:ind w:left="4593" w:hanging="360"/>
      </w:pPr>
      <w:rPr>
        <w:rFonts w:ascii="Wingdings" w:hAnsi="Wingdings" w:hint="default"/>
        <w:sz w:val="20"/>
      </w:rPr>
    </w:lvl>
    <w:lvl w:ilvl="6" w:tentative="1">
      <w:start w:val="1"/>
      <w:numFmt w:val="bullet"/>
      <w:lvlText w:val=""/>
      <w:lvlJc w:val="left"/>
      <w:pPr>
        <w:tabs>
          <w:tab w:val="num" w:pos="5313"/>
        </w:tabs>
        <w:ind w:left="5313" w:hanging="360"/>
      </w:pPr>
      <w:rPr>
        <w:rFonts w:ascii="Wingdings" w:hAnsi="Wingdings" w:hint="default"/>
        <w:sz w:val="20"/>
      </w:rPr>
    </w:lvl>
    <w:lvl w:ilvl="7" w:tentative="1">
      <w:start w:val="1"/>
      <w:numFmt w:val="bullet"/>
      <w:lvlText w:val=""/>
      <w:lvlJc w:val="left"/>
      <w:pPr>
        <w:tabs>
          <w:tab w:val="num" w:pos="6033"/>
        </w:tabs>
        <w:ind w:left="6033" w:hanging="360"/>
      </w:pPr>
      <w:rPr>
        <w:rFonts w:ascii="Wingdings" w:hAnsi="Wingdings" w:hint="default"/>
        <w:sz w:val="20"/>
      </w:rPr>
    </w:lvl>
    <w:lvl w:ilvl="8" w:tentative="1">
      <w:start w:val="1"/>
      <w:numFmt w:val="bullet"/>
      <w:lvlText w:val=""/>
      <w:lvlJc w:val="left"/>
      <w:pPr>
        <w:tabs>
          <w:tab w:val="num" w:pos="6753"/>
        </w:tabs>
        <w:ind w:left="6753" w:hanging="360"/>
      </w:pPr>
      <w:rPr>
        <w:rFonts w:ascii="Wingdings" w:hAnsi="Wingdings" w:hint="default"/>
        <w:sz w:val="20"/>
      </w:rPr>
    </w:lvl>
  </w:abstractNum>
  <w:abstractNum w:abstractNumId="22" w15:restartNumberingAfterBreak="0">
    <w:nsid w:val="2CE0442A"/>
    <w:multiLevelType w:val="multilevel"/>
    <w:tmpl w:val="8836E106"/>
    <w:lvl w:ilvl="0">
      <w:numFmt w:val="bullet"/>
      <w:lvlText w:val="-"/>
      <w:lvlJc w:val="left"/>
      <w:pPr>
        <w:ind w:left="720" w:hanging="360"/>
      </w:pPr>
      <w:rPr>
        <w:rFonts w:ascii="Calibri" w:eastAsiaTheme="minorEastAsia" w:hAnsi="Calibri" w:cs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2F455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1110AEA"/>
    <w:multiLevelType w:val="multilevel"/>
    <w:tmpl w:val="A8BA6A42"/>
    <w:lvl w:ilvl="0">
      <w:start w:val="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18B4CD6"/>
    <w:multiLevelType w:val="multilevel"/>
    <w:tmpl w:val="8F181852"/>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6" w15:restartNumberingAfterBreak="0">
    <w:nsid w:val="31FA05AD"/>
    <w:multiLevelType w:val="multilevel"/>
    <w:tmpl w:val="91588330"/>
    <w:styleLink w:val="Listaactual2"/>
    <w:lvl w:ilvl="0">
      <w:start w:val="1"/>
      <w:numFmt w:val="decimal"/>
      <w:lvlText w:val="%1."/>
      <w:lvlJc w:val="left"/>
      <w:pPr>
        <w:ind w:left="0" w:firstLine="0"/>
      </w:pPr>
      <w:rPr>
        <w:rFonts w:hint="default"/>
      </w:rPr>
    </w:lvl>
    <w:lvl w:ilvl="1">
      <w:start w:val="1"/>
      <w:numFmt w:val="decimal"/>
      <w:lvlText w:val="%1.%2."/>
      <w:lvlJc w:val="left"/>
      <w:pPr>
        <w:ind w:left="0" w:firstLine="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2813901"/>
    <w:multiLevelType w:val="hybridMultilevel"/>
    <w:tmpl w:val="D0C0F2DA"/>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43F2437"/>
    <w:multiLevelType w:val="multilevel"/>
    <w:tmpl w:val="10DC1B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50E061F"/>
    <w:multiLevelType w:val="hybridMultilevel"/>
    <w:tmpl w:val="14A8E850"/>
    <w:lvl w:ilvl="0" w:tplc="001CA980">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370905B0"/>
    <w:multiLevelType w:val="multilevel"/>
    <w:tmpl w:val="C1661958"/>
    <w:lvl w:ilvl="0">
      <w:start w:val="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37587A25"/>
    <w:multiLevelType w:val="multilevel"/>
    <w:tmpl w:val="64D471AA"/>
    <w:lvl w:ilvl="0">
      <w:numFmt w:val="bullet"/>
      <w:lvlText w:val="-"/>
      <w:lvlJc w:val="left"/>
      <w:pPr>
        <w:tabs>
          <w:tab w:val="num" w:pos="720"/>
        </w:tabs>
        <w:ind w:left="720" w:hanging="360"/>
      </w:pPr>
      <w:rPr>
        <w:rFonts w:ascii="Calibri" w:eastAsiaTheme="minorEastAsia" w:hAnsi="Calibri" w:cstheme="minorHAns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704AAA"/>
    <w:multiLevelType w:val="multilevel"/>
    <w:tmpl w:val="16784458"/>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heme="minorEastAsia" w:hAnsi="Calibri" w:cstheme="minorHAnsi"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D6D44F3"/>
    <w:multiLevelType w:val="hybridMultilevel"/>
    <w:tmpl w:val="B4A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837818"/>
    <w:multiLevelType w:val="hybridMultilevel"/>
    <w:tmpl w:val="FF40CAB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DDF5BF7"/>
    <w:multiLevelType w:val="multilevel"/>
    <w:tmpl w:val="CCEC2A6A"/>
    <w:lvl w:ilvl="0">
      <w:start w:val="1"/>
      <w:numFmt w:val="decimal"/>
      <w:pStyle w:val="Heading2"/>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6" w15:restartNumberingAfterBreak="0">
    <w:nsid w:val="3E383244"/>
    <w:multiLevelType w:val="hybridMultilevel"/>
    <w:tmpl w:val="0CBAA9DA"/>
    <w:lvl w:ilvl="0" w:tplc="0D5A98D4">
      <w:numFmt w:val="bullet"/>
      <w:lvlText w:val="-"/>
      <w:lvlJc w:val="left"/>
      <w:pPr>
        <w:ind w:left="720" w:hanging="360"/>
      </w:pPr>
      <w:rPr>
        <w:rFonts w:ascii="Calibri" w:eastAsiaTheme="minorEastAsia" w:hAnsi="Calibri" w:cstheme="minorHAns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419A7BA9"/>
    <w:multiLevelType w:val="multilevel"/>
    <w:tmpl w:val="9EC46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723F00"/>
    <w:multiLevelType w:val="multilevel"/>
    <w:tmpl w:val="58A88908"/>
    <w:lvl w:ilvl="0">
      <w:numFmt w:val="bullet"/>
      <w:lvlText w:val="-"/>
      <w:lvlJc w:val="left"/>
      <w:pPr>
        <w:tabs>
          <w:tab w:val="num" w:pos="720"/>
        </w:tabs>
        <w:ind w:left="720" w:hanging="360"/>
      </w:pPr>
      <w:rPr>
        <w:rFonts w:ascii="Calibri" w:eastAsiaTheme="minorEastAsia" w:hAnsi="Calibri" w:cstheme="minorHAns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44A0098"/>
    <w:multiLevelType w:val="hybridMultilevel"/>
    <w:tmpl w:val="796CA1A8"/>
    <w:lvl w:ilvl="0" w:tplc="040A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Aptos" w:eastAsia="Aptos" w:hAnsi="Aptos"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7FD089D"/>
    <w:multiLevelType w:val="hybridMultilevel"/>
    <w:tmpl w:val="65805C6C"/>
    <w:lvl w:ilvl="0" w:tplc="0D5A98D4">
      <w:numFmt w:val="bullet"/>
      <w:lvlText w:val="-"/>
      <w:lvlJc w:val="left"/>
      <w:pPr>
        <w:ind w:left="720" w:hanging="360"/>
      </w:pPr>
      <w:rPr>
        <w:rFonts w:ascii="Calibri" w:eastAsiaTheme="minorEastAsia" w:hAnsi="Calibri" w:cstheme="minorHAns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1" w15:restartNumberingAfterBreak="0">
    <w:nsid w:val="4C4B19D6"/>
    <w:multiLevelType w:val="multilevel"/>
    <w:tmpl w:val="EBBAFC92"/>
    <w:styleLink w:val="Listaactual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4C6C0843"/>
    <w:multiLevelType w:val="hybridMultilevel"/>
    <w:tmpl w:val="49964D2C"/>
    <w:lvl w:ilvl="0" w:tplc="FFFFFFFF">
      <w:numFmt w:val="bullet"/>
      <w:lvlText w:val="-"/>
      <w:lvlJc w:val="left"/>
      <w:pPr>
        <w:ind w:left="720" w:hanging="360"/>
      </w:pPr>
      <w:rPr>
        <w:rFonts w:ascii="Calibri" w:eastAsiaTheme="minorEastAsia" w:hAnsi="Calibri" w:cstheme="minorHAnsi" w:hint="default"/>
      </w:rPr>
    </w:lvl>
    <w:lvl w:ilvl="1" w:tplc="0D5A98D4">
      <w:numFmt w:val="bullet"/>
      <w:lvlText w:val="-"/>
      <w:lvlJc w:val="left"/>
      <w:pPr>
        <w:ind w:left="1440" w:hanging="360"/>
      </w:pPr>
      <w:rPr>
        <w:rFonts w:ascii="Calibri" w:eastAsiaTheme="minorEastAsia" w:hAnsi="Calibri" w:cstheme="minorHAns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E7E7EF2"/>
    <w:multiLevelType w:val="hybridMultilevel"/>
    <w:tmpl w:val="B49C4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2D408A"/>
    <w:multiLevelType w:val="multilevel"/>
    <w:tmpl w:val="76D0A0EA"/>
    <w:lvl w:ilvl="0">
      <w:start w:val="5"/>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4F5A7917"/>
    <w:multiLevelType w:val="multilevel"/>
    <w:tmpl w:val="9774B4E0"/>
    <w:lvl w:ilvl="0">
      <w:start w:val="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54156FD8"/>
    <w:multiLevelType w:val="hybridMultilevel"/>
    <w:tmpl w:val="FEBCFB02"/>
    <w:lvl w:ilvl="0" w:tplc="0D5A98D4">
      <w:numFmt w:val="bullet"/>
      <w:lvlText w:val="-"/>
      <w:lvlJc w:val="left"/>
      <w:pPr>
        <w:ind w:left="720" w:hanging="360"/>
      </w:pPr>
      <w:rPr>
        <w:rFonts w:ascii="Calibri" w:eastAsiaTheme="minorEastAsia" w:hAnsi="Calibri" w:cstheme="minorHAns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7" w15:restartNumberingAfterBreak="0">
    <w:nsid w:val="563A2B74"/>
    <w:multiLevelType w:val="multilevel"/>
    <w:tmpl w:val="8B4EC1D4"/>
    <w:lvl w:ilvl="0">
      <w:numFmt w:val="bullet"/>
      <w:lvlText w:val="-"/>
      <w:lvlJc w:val="left"/>
      <w:pPr>
        <w:tabs>
          <w:tab w:val="num" w:pos="720"/>
        </w:tabs>
        <w:ind w:left="720" w:hanging="360"/>
      </w:pPr>
      <w:rPr>
        <w:rFonts w:ascii="Calibri" w:eastAsiaTheme="minorEastAsia" w:hAnsi="Calibri" w:cstheme="minorHAns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BBE5AB8"/>
    <w:multiLevelType w:val="hybridMultilevel"/>
    <w:tmpl w:val="1E420E3A"/>
    <w:lvl w:ilvl="0" w:tplc="0D5A98D4">
      <w:numFmt w:val="bullet"/>
      <w:lvlText w:val="-"/>
      <w:lvlJc w:val="left"/>
      <w:pPr>
        <w:ind w:left="1344" w:hanging="360"/>
      </w:pPr>
      <w:rPr>
        <w:rFonts w:ascii="Calibri" w:eastAsiaTheme="minorEastAsia" w:hAnsi="Calibri" w:cstheme="minorHAnsi"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49" w15:restartNumberingAfterBreak="0">
    <w:nsid w:val="5EFD6DB2"/>
    <w:multiLevelType w:val="hybridMultilevel"/>
    <w:tmpl w:val="78A6150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01C5515"/>
    <w:multiLevelType w:val="hybridMultilevel"/>
    <w:tmpl w:val="B9EAF0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2E404BA"/>
    <w:multiLevelType w:val="hybridMultilevel"/>
    <w:tmpl w:val="0E18340E"/>
    <w:lvl w:ilvl="0" w:tplc="FFFFFFFF">
      <w:numFmt w:val="bullet"/>
      <w:lvlText w:val="-"/>
      <w:lvlJc w:val="left"/>
      <w:pPr>
        <w:ind w:left="720" w:hanging="360"/>
      </w:pPr>
      <w:rPr>
        <w:rFonts w:ascii="Calibri" w:eastAsiaTheme="minorHAnsi" w:hAnsi="Calibri" w:cs="Calibri" w:hint="default"/>
      </w:rPr>
    </w:lvl>
    <w:lvl w:ilvl="1" w:tplc="001CA980">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600595A"/>
    <w:multiLevelType w:val="hybridMultilevel"/>
    <w:tmpl w:val="2C24A640"/>
    <w:lvl w:ilvl="0" w:tplc="001CA980">
      <w:numFmt w:val="bullet"/>
      <w:lvlText w:val="-"/>
      <w:lvlJc w:val="left"/>
      <w:pPr>
        <w:ind w:left="1428" w:hanging="360"/>
      </w:pPr>
      <w:rPr>
        <w:rFonts w:ascii="Calibri" w:eastAsiaTheme="minorHAnsi" w:hAnsi="Calibri" w:cs="Calibri" w:hint="default"/>
      </w:rPr>
    </w:lvl>
    <w:lvl w:ilvl="1" w:tplc="08160003" w:tentative="1">
      <w:start w:val="1"/>
      <w:numFmt w:val="bullet"/>
      <w:lvlText w:val="o"/>
      <w:lvlJc w:val="left"/>
      <w:pPr>
        <w:ind w:left="2148" w:hanging="360"/>
      </w:pPr>
      <w:rPr>
        <w:rFonts w:ascii="Courier New" w:hAnsi="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53" w15:restartNumberingAfterBreak="0">
    <w:nsid w:val="66E64A3E"/>
    <w:multiLevelType w:val="multilevel"/>
    <w:tmpl w:val="4C887C12"/>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heme="minorEastAsia" w:hAnsi="Calibri" w:cstheme="minorHAns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DD549FB"/>
    <w:multiLevelType w:val="hybridMultilevel"/>
    <w:tmpl w:val="DA9AC3AA"/>
    <w:lvl w:ilvl="0" w:tplc="0D5A98D4">
      <w:numFmt w:val="bullet"/>
      <w:lvlText w:val="-"/>
      <w:lvlJc w:val="left"/>
      <w:pPr>
        <w:ind w:left="1344" w:hanging="360"/>
      </w:pPr>
      <w:rPr>
        <w:rFonts w:ascii="Calibri" w:eastAsiaTheme="minorEastAsia" w:hAnsi="Calibri" w:cstheme="minorHAnsi"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55" w15:restartNumberingAfterBreak="0">
    <w:nsid w:val="6F6A1347"/>
    <w:multiLevelType w:val="multilevel"/>
    <w:tmpl w:val="64347AA8"/>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heme="minorEastAsia" w:hAnsi="Calibri" w:cstheme="minorHAns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2D118FE"/>
    <w:multiLevelType w:val="hybridMultilevel"/>
    <w:tmpl w:val="1DAE1F5A"/>
    <w:lvl w:ilvl="0" w:tplc="0D5A98D4">
      <w:numFmt w:val="bullet"/>
      <w:lvlText w:val="-"/>
      <w:lvlJc w:val="left"/>
      <w:pPr>
        <w:ind w:left="1344" w:hanging="360"/>
      </w:pPr>
      <w:rPr>
        <w:rFonts w:ascii="Calibri" w:eastAsiaTheme="minorEastAsia" w:hAnsi="Calibri" w:cstheme="minorHAnsi"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57" w15:restartNumberingAfterBreak="0">
    <w:nsid w:val="772761D8"/>
    <w:multiLevelType w:val="multilevel"/>
    <w:tmpl w:val="6770C272"/>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772E74DB"/>
    <w:multiLevelType w:val="multilevel"/>
    <w:tmpl w:val="040A001D"/>
    <w:styleLink w:val="Listaactual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77AB355F"/>
    <w:multiLevelType w:val="multilevel"/>
    <w:tmpl w:val="8E26CBEC"/>
    <w:lvl w:ilvl="0">
      <w:start w:val="2"/>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794B7E20"/>
    <w:multiLevelType w:val="hybridMultilevel"/>
    <w:tmpl w:val="209435AA"/>
    <w:lvl w:ilvl="0" w:tplc="03ECD62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B0B24F7"/>
    <w:multiLevelType w:val="hybridMultilevel"/>
    <w:tmpl w:val="ABD6D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B22268D"/>
    <w:multiLevelType w:val="hybridMultilevel"/>
    <w:tmpl w:val="5AB2DD56"/>
    <w:lvl w:ilvl="0" w:tplc="0D5A98D4">
      <w:numFmt w:val="bullet"/>
      <w:lvlText w:val="-"/>
      <w:lvlJc w:val="left"/>
      <w:pPr>
        <w:ind w:left="1344" w:hanging="360"/>
      </w:pPr>
      <w:rPr>
        <w:rFonts w:ascii="Calibri" w:eastAsiaTheme="minorEastAsia" w:hAnsi="Calibri" w:cstheme="minorHAnsi"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63" w15:restartNumberingAfterBreak="0">
    <w:nsid w:val="7B7E7631"/>
    <w:multiLevelType w:val="multilevel"/>
    <w:tmpl w:val="40FA3136"/>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heme="minorEastAsia" w:hAnsi="Calibri" w:cstheme="minorHAns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FA7787F"/>
    <w:multiLevelType w:val="hybridMultilevel"/>
    <w:tmpl w:val="001A3DD6"/>
    <w:lvl w:ilvl="0" w:tplc="0D5A98D4">
      <w:numFmt w:val="bullet"/>
      <w:lvlText w:val="-"/>
      <w:lvlJc w:val="left"/>
      <w:pPr>
        <w:ind w:left="720" w:hanging="360"/>
      </w:pPr>
      <w:rPr>
        <w:rFonts w:ascii="Calibri" w:eastAsiaTheme="minorEastAsia" w:hAnsi="Calibri" w:cstheme="minorHAns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262907901">
    <w:abstractNumId w:val="57"/>
  </w:num>
  <w:num w:numId="2" w16cid:durableId="996424156">
    <w:abstractNumId w:val="57"/>
  </w:num>
  <w:num w:numId="3" w16cid:durableId="1992519875">
    <w:abstractNumId w:val="20"/>
  </w:num>
  <w:num w:numId="4" w16cid:durableId="509417279">
    <w:abstractNumId w:val="51"/>
  </w:num>
  <w:num w:numId="5" w16cid:durableId="335958215">
    <w:abstractNumId w:val="6"/>
  </w:num>
  <w:num w:numId="6" w16cid:durableId="1022393375">
    <w:abstractNumId w:val="52"/>
  </w:num>
  <w:num w:numId="7" w16cid:durableId="44179723">
    <w:abstractNumId w:val="29"/>
  </w:num>
  <w:num w:numId="8" w16cid:durableId="1863981262">
    <w:abstractNumId w:val="63"/>
  </w:num>
  <w:num w:numId="9" w16cid:durableId="748502320">
    <w:abstractNumId w:val="53"/>
  </w:num>
  <w:num w:numId="10" w16cid:durableId="910433667">
    <w:abstractNumId w:val="55"/>
  </w:num>
  <w:num w:numId="11" w16cid:durableId="114637437">
    <w:abstractNumId w:val="32"/>
  </w:num>
  <w:num w:numId="12" w16cid:durableId="1473980851">
    <w:abstractNumId w:val="42"/>
  </w:num>
  <w:num w:numId="13" w16cid:durableId="1884948267">
    <w:abstractNumId w:val="16"/>
  </w:num>
  <w:num w:numId="14" w16cid:durableId="32506760">
    <w:abstractNumId w:val="38"/>
  </w:num>
  <w:num w:numId="15" w16cid:durableId="211617812">
    <w:abstractNumId w:val="31"/>
  </w:num>
  <w:num w:numId="16" w16cid:durableId="765929728">
    <w:abstractNumId w:val="21"/>
  </w:num>
  <w:num w:numId="17" w16cid:durableId="697656502">
    <w:abstractNumId w:val="22"/>
  </w:num>
  <w:num w:numId="18" w16cid:durableId="1772699591">
    <w:abstractNumId w:val="47"/>
  </w:num>
  <w:num w:numId="19" w16cid:durableId="417560310">
    <w:abstractNumId w:val="1"/>
  </w:num>
  <w:num w:numId="20" w16cid:durableId="1617325210">
    <w:abstractNumId w:val="13"/>
  </w:num>
  <w:num w:numId="21" w16cid:durableId="1292662789">
    <w:abstractNumId w:val="3"/>
  </w:num>
  <w:num w:numId="22" w16cid:durableId="1022634408">
    <w:abstractNumId w:val="56"/>
  </w:num>
  <w:num w:numId="23" w16cid:durableId="157501868">
    <w:abstractNumId w:val="64"/>
  </w:num>
  <w:num w:numId="24" w16cid:durableId="39863316">
    <w:abstractNumId w:val="62"/>
  </w:num>
  <w:num w:numId="25" w16cid:durableId="1308437863">
    <w:abstractNumId w:val="8"/>
  </w:num>
  <w:num w:numId="26" w16cid:durableId="182980941">
    <w:abstractNumId w:val="54"/>
  </w:num>
  <w:num w:numId="27" w16cid:durableId="1335065366">
    <w:abstractNumId w:val="48"/>
  </w:num>
  <w:num w:numId="28" w16cid:durableId="42142411">
    <w:abstractNumId w:val="40"/>
  </w:num>
  <w:num w:numId="29" w16cid:durableId="523328818">
    <w:abstractNumId w:val="36"/>
  </w:num>
  <w:num w:numId="30" w16cid:durableId="782118641">
    <w:abstractNumId w:val="46"/>
  </w:num>
  <w:num w:numId="31" w16cid:durableId="536430383">
    <w:abstractNumId w:val="41"/>
  </w:num>
  <w:num w:numId="32" w16cid:durableId="282545249">
    <w:abstractNumId w:val="17"/>
  </w:num>
  <w:num w:numId="33" w16cid:durableId="423499385">
    <w:abstractNumId w:val="26"/>
  </w:num>
  <w:num w:numId="34" w16cid:durableId="1449813206">
    <w:abstractNumId w:val="45"/>
  </w:num>
  <w:num w:numId="35" w16cid:durableId="246817255">
    <w:abstractNumId w:val="59"/>
  </w:num>
  <w:num w:numId="36" w16cid:durableId="1981840804">
    <w:abstractNumId w:val="11"/>
  </w:num>
  <w:num w:numId="37" w16cid:durableId="359163428">
    <w:abstractNumId w:val="30"/>
  </w:num>
  <w:num w:numId="38" w16cid:durableId="778262158">
    <w:abstractNumId w:val="24"/>
  </w:num>
  <w:num w:numId="39" w16cid:durableId="1847937990">
    <w:abstractNumId w:val="44"/>
  </w:num>
  <w:num w:numId="40" w16cid:durableId="904295792">
    <w:abstractNumId w:val="4"/>
  </w:num>
  <w:num w:numId="41" w16cid:durableId="142310820">
    <w:abstractNumId w:val="14"/>
  </w:num>
  <w:num w:numId="42" w16cid:durableId="949051590">
    <w:abstractNumId w:val="28"/>
  </w:num>
  <w:num w:numId="43" w16cid:durableId="1125542402">
    <w:abstractNumId w:val="39"/>
  </w:num>
  <w:num w:numId="44" w16cid:durableId="489563113">
    <w:abstractNumId w:val="27"/>
  </w:num>
  <w:num w:numId="45" w16cid:durableId="1634368504">
    <w:abstractNumId w:val="18"/>
  </w:num>
  <w:num w:numId="46" w16cid:durableId="1124930344">
    <w:abstractNumId w:val="0"/>
  </w:num>
  <w:num w:numId="47" w16cid:durableId="631912278">
    <w:abstractNumId w:val="25"/>
  </w:num>
  <w:num w:numId="48" w16cid:durableId="1655256136">
    <w:abstractNumId w:val="58"/>
  </w:num>
  <w:num w:numId="49" w16cid:durableId="427585744">
    <w:abstractNumId w:val="34"/>
  </w:num>
  <w:num w:numId="50" w16cid:durableId="1759668212">
    <w:abstractNumId w:val="19"/>
  </w:num>
  <w:num w:numId="51" w16cid:durableId="1568612841">
    <w:abstractNumId w:val="5"/>
  </w:num>
  <w:num w:numId="52" w16cid:durableId="1875650693">
    <w:abstractNumId w:val="9"/>
  </w:num>
  <w:num w:numId="53" w16cid:durableId="1253390558">
    <w:abstractNumId w:val="37"/>
  </w:num>
  <w:num w:numId="54" w16cid:durableId="603727479">
    <w:abstractNumId w:val="2"/>
  </w:num>
  <w:num w:numId="55" w16cid:durableId="1503355500">
    <w:abstractNumId w:val="10"/>
  </w:num>
  <w:num w:numId="56" w16cid:durableId="579868194">
    <w:abstractNumId w:val="43"/>
  </w:num>
  <w:num w:numId="57" w16cid:durableId="385491006">
    <w:abstractNumId w:val="15"/>
  </w:num>
  <w:num w:numId="58" w16cid:durableId="1956596113">
    <w:abstractNumId w:val="7"/>
  </w:num>
  <w:num w:numId="59" w16cid:durableId="249510246">
    <w:abstractNumId w:val="33"/>
  </w:num>
  <w:num w:numId="60" w16cid:durableId="1138257032">
    <w:abstractNumId w:val="61"/>
  </w:num>
  <w:num w:numId="61" w16cid:durableId="166940238">
    <w:abstractNumId w:val="49"/>
  </w:num>
  <w:num w:numId="62" w16cid:durableId="986401711">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440027054">
    <w:abstractNumId w:val="25"/>
    <w:lvlOverride w:ilvl="0">
      <w:startOverride w:val="2"/>
    </w:lvlOverride>
    <w:lvlOverride w:ilvl="1">
      <w:startOverride w:val="1"/>
    </w:lvlOverride>
  </w:num>
  <w:num w:numId="64" w16cid:durableId="698551004">
    <w:abstractNumId w:val="25"/>
    <w:lvlOverride w:ilvl="0">
      <w:startOverride w:val="2"/>
    </w:lvlOverride>
    <w:lvlOverride w:ilvl="1">
      <w:startOverride w:val="1"/>
    </w:lvlOverride>
  </w:num>
  <w:num w:numId="65" w16cid:durableId="955604867">
    <w:abstractNumId w:val="60"/>
  </w:num>
  <w:num w:numId="66" w16cid:durableId="443623702">
    <w:abstractNumId w:val="60"/>
    <w:lvlOverride w:ilvl="0">
      <w:startOverride w:val="1"/>
    </w:lvlOverride>
  </w:num>
  <w:num w:numId="67" w16cid:durableId="1607499340">
    <w:abstractNumId w:val="57"/>
  </w:num>
  <w:num w:numId="68" w16cid:durableId="757292127">
    <w:abstractNumId w:val="57"/>
    <w:lvlOverride w:ilvl="0">
      <w:startOverride w:val="2"/>
    </w:lvlOverride>
  </w:num>
  <w:num w:numId="69" w16cid:durableId="1459953706">
    <w:abstractNumId w:val="25"/>
    <w:lvlOverride w:ilvl="0">
      <w:startOverride w:val="2"/>
    </w:lvlOverride>
    <w:lvlOverride w:ilvl="1">
      <w:startOverride w:val="1"/>
    </w:lvlOverride>
  </w:num>
  <w:num w:numId="70" w16cid:durableId="298850633">
    <w:abstractNumId w:val="35"/>
  </w:num>
  <w:num w:numId="71" w16cid:durableId="410781411">
    <w:abstractNumId w:val="12"/>
  </w:num>
  <w:num w:numId="72" w16cid:durableId="1886215469">
    <w:abstractNumId w:val="50"/>
  </w:num>
  <w:num w:numId="73" w16cid:durableId="1587037589">
    <w:abstractNumId w:val="2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D3F"/>
    <w:rsid w:val="000047D4"/>
    <w:rsid w:val="00005A08"/>
    <w:rsid w:val="00014B0F"/>
    <w:rsid w:val="00014F0D"/>
    <w:rsid w:val="00014F76"/>
    <w:rsid w:val="000210BF"/>
    <w:rsid w:val="000222F7"/>
    <w:rsid w:val="0002268B"/>
    <w:rsid w:val="00023CF8"/>
    <w:rsid w:val="000326CF"/>
    <w:rsid w:val="0003340B"/>
    <w:rsid w:val="00035A1B"/>
    <w:rsid w:val="00035F5E"/>
    <w:rsid w:val="00037998"/>
    <w:rsid w:val="00037AAC"/>
    <w:rsid w:val="0004591D"/>
    <w:rsid w:val="00057113"/>
    <w:rsid w:val="00061766"/>
    <w:rsid w:val="00071B8B"/>
    <w:rsid w:val="00073B5A"/>
    <w:rsid w:val="00074905"/>
    <w:rsid w:val="00096206"/>
    <w:rsid w:val="000A50E7"/>
    <w:rsid w:val="000A5A6C"/>
    <w:rsid w:val="000B289F"/>
    <w:rsid w:val="000B767C"/>
    <w:rsid w:val="000C11A6"/>
    <w:rsid w:val="000C37AB"/>
    <w:rsid w:val="000C3BCF"/>
    <w:rsid w:val="000C4DAF"/>
    <w:rsid w:val="000D207D"/>
    <w:rsid w:val="000D3AED"/>
    <w:rsid w:val="000E0E62"/>
    <w:rsid w:val="000E1689"/>
    <w:rsid w:val="000E5A65"/>
    <w:rsid w:val="000F0F7D"/>
    <w:rsid w:val="000F123F"/>
    <w:rsid w:val="000F226D"/>
    <w:rsid w:val="000F34E7"/>
    <w:rsid w:val="000F7148"/>
    <w:rsid w:val="0010043B"/>
    <w:rsid w:val="00100FCC"/>
    <w:rsid w:val="001018FE"/>
    <w:rsid w:val="00102D05"/>
    <w:rsid w:val="00103C14"/>
    <w:rsid w:val="00105E3E"/>
    <w:rsid w:val="00116219"/>
    <w:rsid w:val="00131515"/>
    <w:rsid w:val="00134850"/>
    <w:rsid w:val="00137AFF"/>
    <w:rsid w:val="00140666"/>
    <w:rsid w:val="00141C20"/>
    <w:rsid w:val="00143807"/>
    <w:rsid w:val="00144CCE"/>
    <w:rsid w:val="0015064B"/>
    <w:rsid w:val="00155BDD"/>
    <w:rsid w:val="00157BE7"/>
    <w:rsid w:val="00166436"/>
    <w:rsid w:val="001700BB"/>
    <w:rsid w:val="001701CA"/>
    <w:rsid w:val="001741F6"/>
    <w:rsid w:val="00174353"/>
    <w:rsid w:val="001765DF"/>
    <w:rsid w:val="00177ABC"/>
    <w:rsid w:val="001854AA"/>
    <w:rsid w:val="00191467"/>
    <w:rsid w:val="001A06BD"/>
    <w:rsid w:val="001A2444"/>
    <w:rsid w:val="001B1790"/>
    <w:rsid w:val="001B3AC1"/>
    <w:rsid w:val="001C136C"/>
    <w:rsid w:val="001C2839"/>
    <w:rsid w:val="001C45D2"/>
    <w:rsid w:val="001D694B"/>
    <w:rsid w:val="001F34CA"/>
    <w:rsid w:val="001F413C"/>
    <w:rsid w:val="001F4F0B"/>
    <w:rsid w:val="00202A36"/>
    <w:rsid w:val="00204815"/>
    <w:rsid w:val="00204ACB"/>
    <w:rsid w:val="00205834"/>
    <w:rsid w:val="00213219"/>
    <w:rsid w:val="0021476B"/>
    <w:rsid w:val="00214CE9"/>
    <w:rsid w:val="00215586"/>
    <w:rsid w:val="00222F4C"/>
    <w:rsid w:val="002231CE"/>
    <w:rsid w:val="002245F8"/>
    <w:rsid w:val="002253CE"/>
    <w:rsid w:val="00226516"/>
    <w:rsid w:val="00244A36"/>
    <w:rsid w:val="00244ED9"/>
    <w:rsid w:val="0024578C"/>
    <w:rsid w:val="00246BB5"/>
    <w:rsid w:val="00247379"/>
    <w:rsid w:val="002501B3"/>
    <w:rsid w:val="002550D5"/>
    <w:rsid w:val="00262C6A"/>
    <w:rsid w:val="0026442C"/>
    <w:rsid w:val="002738F1"/>
    <w:rsid w:val="0027476E"/>
    <w:rsid w:val="00283A72"/>
    <w:rsid w:val="0028479C"/>
    <w:rsid w:val="0028603C"/>
    <w:rsid w:val="00287F82"/>
    <w:rsid w:val="002900D1"/>
    <w:rsid w:val="00290AF1"/>
    <w:rsid w:val="00290CB8"/>
    <w:rsid w:val="00292FC8"/>
    <w:rsid w:val="00294423"/>
    <w:rsid w:val="00295B10"/>
    <w:rsid w:val="002A0E99"/>
    <w:rsid w:val="002A2405"/>
    <w:rsid w:val="002A2BE8"/>
    <w:rsid w:val="002A3D3C"/>
    <w:rsid w:val="002A3E0D"/>
    <w:rsid w:val="002A451A"/>
    <w:rsid w:val="002A64E5"/>
    <w:rsid w:val="002B07E7"/>
    <w:rsid w:val="002B0812"/>
    <w:rsid w:val="002B2EF8"/>
    <w:rsid w:val="002C035B"/>
    <w:rsid w:val="002D7FF7"/>
    <w:rsid w:val="002E1022"/>
    <w:rsid w:val="002E37E3"/>
    <w:rsid w:val="002E53A5"/>
    <w:rsid w:val="002E5B5A"/>
    <w:rsid w:val="002F3A6B"/>
    <w:rsid w:val="00300A38"/>
    <w:rsid w:val="0030694D"/>
    <w:rsid w:val="00307AF2"/>
    <w:rsid w:val="00315C08"/>
    <w:rsid w:val="00315D5E"/>
    <w:rsid w:val="00317281"/>
    <w:rsid w:val="0031778F"/>
    <w:rsid w:val="00321208"/>
    <w:rsid w:val="003212EA"/>
    <w:rsid w:val="00321C6C"/>
    <w:rsid w:val="003221C4"/>
    <w:rsid w:val="00324CFB"/>
    <w:rsid w:val="00333F01"/>
    <w:rsid w:val="00343345"/>
    <w:rsid w:val="00345056"/>
    <w:rsid w:val="0034568C"/>
    <w:rsid w:val="00346258"/>
    <w:rsid w:val="00346DAF"/>
    <w:rsid w:val="00347850"/>
    <w:rsid w:val="003518E4"/>
    <w:rsid w:val="00354F83"/>
    <w:rsid w:val="00366EAB"/>
    <w:rsid w:val="00367D6F"/>
    <w:rsid w:val="00372F76"/>
    <w:rsid w:val="003736AB"/>
    <w:rsid w:val="003772A4"/>
    <w:rsid w:val="0038342E"/>
    <w:rsid w:val="0038380A"/>
    <w:rsid w:val="0038640C"/>
    <w:rsid w:val="00386F21"/>
    <w:rsid w:val="003872AD"/>
    <w:rsid w:val="00387CA0"/>
    <w:rsid w:val="00391121"/>
    <w:rsid w:val="00392230"/>
    <w:rsid w:val="003936E9"/>
    <w:rsid w:val="00396373"/>
    <w:rsid w:val="0039680F"/>
    <w:rsid w:val="003B09F3"/>
    <w:rsid w:val="003C091E"/>
    <w:rsid w:val="003C1EB0"/>
    <w:rsid w:val="003D64C2"/>
    <w:rsid w:val="003D7175"/>
    <w:rsid w:val="003D73B9"/>
    <w:rsid w:val="003E1B9C"/>
    <w:rsid w:val="003E3E53"/>
    <w:rsid w:val="003E5F93"/>
    <w:rsid w:val="003E6B3C"/>
    <w:rsid w:val="003F08E3"/>
    <w:rsid w:val="003F178A"/>
    <w:rsid w:val="003F1A0A"/>
    <w:rsid w:val="003F6476"/>
    <w:rsid w:val="003F6B66"/>
    <w:rsid w:val="003F7356"/>
    <w:rsid w:val="00405579"/>
    <w:rsid w:val="004150A5"/>
    <w:rsid w:val="0041605F"/>
    <w:rsid w:val="004204EB"/>
    <w:rsid w:val="0042095F"/>
    <w:rsid w:val="00421494"/>
    <w:rsid w:val="00422675"/>
    <w:rsid w:val="0042591E"/>
    <w:rsid w:val="004326DA"/>
    <w:rsid w:val="00436CE0"/>
    <w:rsid w:val="0044380B"/>
    <w:rsid w:val="00451217"/>
    <w:rsid w:val="004541E2"/>
    <w:rsid w:val="00454ABC"/>
    <w:rsid w:val="004566C3"/>
    <w:rsid w:val="00463721"/>
    <w:rsid w:val="004647D5"/>
    <w:rsid w:val="00476AB2"/>
    <w:rsid w:val="00476FCF"/>
    <w:rsid w:val="00476FED"/>
    <w:rsid w:val="004770A1"/>
    <w:rsid w:val="00481240"/>
    <w:rsid w:val="0048396B"/>
    <w:rsid w:val="0048543B"/>
    <w:rsid w:val="0048760E"/>
    <w:rsid w:val="0049151F"/>
    <w:rsid w:val="00491CB7"/>
    <w:rsid w:val="00495E07"/>
    <w:rsid w:val="004A0E8D"/>
    <w:rsid w:val="004A723E"/>
    <w:rsid w:val="004B1676"/>
    <w:rsid w:val="004B4B06"/>
    <w:rsid w:val="004B615F"/>
    <w:rsid w:val="004B6B4A"/>
    <w:rsid w:val="004C0526"/>
    <w:rsid w:val="004C2E63"/>
    <w:rsid w:val="004C5ADC"/>
    <w:rsid w:val="004C5CB4"/>
    <w:rsid w:val="004D086E"/>
    <w:rsid w:val="004D2DCF"/>
    <w:rsid w:val="004D4354"/>
    <w:rsid w:val="004D697B"/>
    <w:rsid w:val="004D6CCB"/>
    <w:rsid w:val="004D7345"/>
    <w:rsid w:val="004E2C33"/>
    <w:rsid w:val="004E65BE"/>
    <w:rsid w:val="004E7E73"/>
    <w:rsid w:val="004F0615"/>
    <w:rsid w:val="004F1F64"/>
    <w:rsid w:val="004F4D3F"/>
    <w:rsid w:val="005059EA"/>
    <w:rsid w:val="00523B57"/>
    <w:rsid w:val="00526A6E"/>
    <w:rsid w:val="0052743E"/>
    <w:rsid w:val="0052770B"/>
    <w:rsid w:val="00532B03"/>
    <w:rsid w:val="005349E9"/>
    <w:rsid w:val="0053594E"/>
    <w:rsid w:val="00536F05"/>
    <w:rsid w:val="00547483"/>
    <w:rsid w:val="00551E09"/>
    <w:rsid w:val="00553172"/>
    <w:rsid w:val="005668E5"/>
    <w:rsid w:val="005710CC"/>
    <w:rsid w:val="00575536"/>
    <w:rsid w:val="0058027C"/>
    <w:rsid w:val="00580B17"/>
    <w:rsid w:val="005872CE"/>
    <w:rsid w:val="00591A7D"/>
    <w:rsid w:val="0059296A"/>
    <w:rsid w:val="005930C8"/>
    <w:rsid w:val="00596812"/>
    <w:rsid w:val="005A0378"/>
    <w:rsid w:val="005A1727"/>
    <w:rsid w:val="005A17C2"/>
    <w:rsid w:val="005A287F"/>
    <w:rsid w:val="005B2447"/>
    <w:rsid w:val="005B5138"/>
    <w:rsid w:val="005C006E"/>
    <w:rsid w:val="005C1DED"/>
    <w:rsid w:val="005C4203"/>
    <w:rsid w:val="005C5265"/>
    <w:rsid w:val="005D0FA9"/>
    <w:rsid w:val="005D1D22"/>
    <w:rsid w:val="005D268F"/>
    <w:rsid w:val="005E2908"/>
    <w:rsid w:val="005E47BB"/>
    <w:rsid w:val="005E6542"/>
    <w:rsid w:val="005F0992"/>
    <w:rsid w:val="005F0F7C"/>
    <w:rsid w:val="005F1DBA"/>
    <w:rsid w:val="005F2F80"/>
    <w:rsid w:val="005F79AC"/>
    <w:rsid w:val="00600556"/>
    <w:rsid w:val="00600CFD"/>
    <w:rsid w:val="006027E8"/>
    <w:rsid w:val="0060525B"/>
    <w:rsid w:val="0060643E"/>
    <w:rsid w:val="006072D0"/>
    <w:rsid w:val="006122A4"/>
    <w:rsid w:val="006237A3"/>
    <w:rsid w:val="00625745"/>
    <w:rsid w:val="006266DA"/>
    <w:rsid w:val="00627E03"/>
    <w:rsid w:val="00631DD6"/>
    <w:rsid w:val="00634955"/>
    <w:rsid w:val="0063599B"/>
    <w:rsid w:val="006416A2"/>
    <w:rsid w:val="00643523"/>
    <w:rsid w:val="0064414A"/>
    <w:rsid w:val="00651DD1"/>
    <w:rsid w:val="0065225C"/>
    <w:rsid w:val="00654781"/>
    <w:rsid w:val="006615B8"/>
    <w:rsid w:val="00662003"/>
    <w:rsid w:val="0066211A"/>
    <w:rsid w:val="00665292"/>
    <w:rsid w:val="00665647"/>
    <w:rsid w:val="006668AE"/>
    <w:rsid w:val="00672A2F"/>
    <w:rsid w:val="0067653E"/>
    <w:rsid w:val="0067703B"/>
    <w:rsid w:val="006813F7"/>
    <w:rsid w:val="00682AB8"/>
    <w:rsid w:val="006A38FC"/>
    <w:rsid w:val="006A7756"/>
    <w:rsid w:val="006A7B3C"/>
    <w:rsid w:val="006A7E5D"/>
    <w:rsid w:val="006B01D2"/>
    <w:rsid w:val="006B0212"/>
    <w:rsid w:val="006B066F"/>
    <w:rsid w:val="006B0B0D"/>
    <w:rsid w:val="006B2109"/>
    <w:rsid w:val="006B2E3A"/>
    <w:rsid w:val="006B4751"/>
    <w:rsid w:val="006B7E24"/>
    <w:rsid w:val="006C04D6"/>
    <w:rsid w:val="006C6E5E"/>
    <w:rsid w:val="006D0828"/>
    <w:rsid w:val="006D7275"/>
    <w:rsid w:val="006D78A9"/>
    <w:rsid w:val="006E314A"/>
    <w:rsid w:val="006E39DD"/>
    <w:rsid w:val="006E474A"/>
    <w:rsid w:val="006E7301"/>
    <w:rsid w:val="006F02E4"/>
    <w:rsid w:val="006F34F8"/>
    <w:rsid w:val="006F4305"/>
    <w:rsid w:val="006F7AE6"/>
    <w:rsid w:val="00703ED4"/>
    <w:rsid w:val="00707F3E"/>
    <w:rsid w:val="00710FB7"/>
    <w:rsid w:val="00713645"/>
    <w:rsid w:val="007204F2"/>
    <w:rsid w:val="0072352B"/>
    <w:rsid w:val="0072363D"/>
    <w:rsid w:val="00724632"/>
    <w:rsid w:val="007258C9"/>
    <w:rsid w:val="00730B8C"/>
    <w:rsid w:val="00733C53"/>
    <w:rsid w:val="00736190"/>
    <w:rsid w:val="00745AF1"/>
    <w:rsid w:val="00746641"/>
    <w:rsid w:val="0074746C"/>
    <w:rsid w:val="007527D8"/>
    <w:rsid w:val="007532FA"/>
    <w:rsid w:val="00754C86"/>
    <w:rsid w:val="0075587F"/>
    <w:rsid w:val="00756418"/>
    <w:rsid w:val="00760ECE"/>
    <w:rsid w:val="0076328B"/>
    <w:rsid w:val="00771747"/>
    <w:rsid w:val="00773CEE"/>
    <w:rsid w:val="00775718"/>
    <w:rsid w:val="00776555"/>
    <w:rsid w:val="007819B9"/>
    <w:rsid w:val="0078292B"/>
    <w:rsid w:val="00791FF7"/>
    <w:rsid w:val="007A7858"/>
    <w:rsid w:val="007B0B6C"/>
    <w:rsid w:val="007B130F"/>
    <w:rsid w:val="007B27F4"/>
    <w:rsid w:val="007B3529"/>
    <w:rsid w:val="007C22AF"/>
    <w:rsid w:val="007C29D3"/>
    <w:rsid w:val="007C2E67"/>
    <w:rsid w:val="007C3308"/>
    <w:rsid w:val="007C3915"/>
    <w:rsid w:val="007C3D58"/>
    <w:rsid w:val="007C62DF"/>
    <w:rsid w:val="007D026B"/>
    <w:rsid w:val="007D04C5"/>
    <w:rsid w:val="007D3A26"/>
    <w:rsid w:val="007D4335"/>
    <w:rsid w:val="007D51AE"/>
    <w:rsid w:val="007D5792"/>
    <w:rsid w:val="007E73C8"/>
    <w:rsid w:val="007F522C"/>
    <w:rsid w:val="00800AF0"/>
    <w:rsid w:val="00814075"/>
    <w:rsid w:val="00815270"/>
    <w:rsid w:val="008153C1"/>
    <w:rsid w:val="00815A07"/>
    <w:rsid w:val="00815AF8"/>
    <w:rsid w:val="0081785E"/>
    <w:rsid w:val="0082506A"/>
    <w:rsid w:val="00832EB8"/>
    <w:rsid w:val="008349ED"/>
    <w:rsid w:val="00836FEB"/>
    <w:rsid w:val="008406AE"/>
    <w:rsid w:val="00844CA2"/>
    <w:rsid w:val="0085097E"/>
    <w:rsid w:val="00852014"/>
    <w:rsid w:val="008662FD"/>
    <w:rsid w:val="00866DAA"/>
    <w:rsid w:val="0087228A"/>
    <w:rsid w:val="00873F5F"/>
    <w:rsid w:val="00874309"/>
    <w:rsid w:val="00880C21"/>
    <w:rsid w:val="008843E5"/>
    <w:rsid w:val="008861D8"/>
    <w:rsid w:val="008874BF"/>
    <w:rsid w:val="0089144E"/>
    <w:rsid w:val="00893DA7"/>
    <w:rsid w:val="00894757"/>
    <w:rsid w:val="00895BC1"/>
    <w:rsid w:val="008966BC"/>
    <w:rsid w:val="008A3264"/>
    <w:rsid w:val="008A34A4"/>
    <w:rsid w:val="008A6816"/>
    <w:rsid w:val="008A7E17"/>
    <w:rsid w:val="008B2E00"/>
    <w:rsid w:val="008B475B"/>
    <w:rsid w:val="008B5787"/>
    <w:rsid w:val="008C12A8"/>
    <w:rsid w:val="008D174F"/>
    <w:rsid w:val="008D1809"/>
    <w:rsid w:val="008D1B5C"/>
    <w:rsid w:val="008D2F50"/>
    <w:rsid w:val="008D3D04"/>
    <w:rsid w:val="008D5FBE"/>
    <w:rsid w:val="008E5E20"/>
    <w:rsid w:val="008F644C"/>
    <w:rsid w:val="009016A9"/>
    <w:rsid w:val="00901834"/>
    <w:rsid w:val="00902EC2"/>
    <w:rsid w:val="00903505"/>
    <w:rsid w:val="009052A5"/>
    <w:rsid w:val="00911671"/>
    <w:rsid w:val="009136D2"/>
    <w:rsid w:val="009217ED"/>
    <w:rsid w:val="00922C5F"/>
    <w:rsid w:val="009257BA"/>
    <w:rsid w:val="00927C01"/>
    <w:rsid w:val="00936995"/>
    <w:rsid w:val="0094392E"/>
    <w:rsid w:val="00956457"/>
    <w:rsid w:val="00956BCD"/>
    <w:rsid w:val="009614C4"/>
    <w:rsid w:val="00964565"/>
    <w:rsid w:val="009668F3"/>
    <w:rsid w:val="00971F2F"/>
    <w:rsid w:val="009735E3"/>
    <w:rsid w:val="0097641B"/>
    <w:rsid w:val="00980BCB"/>
    <w:rsid w:val="00982C85"/>
    <w:rsid w:val="00986149"/>
    <w:rsid w:val="00996208"/>
    <w:rsid w:val="009A44A3"/>
    <w:rsid w:val="009A58D1"/>
    <w:rsid w:val="009A5F11"/>
    <w:rsid w:val="009B09EC"/>
    <w:rsid w:val="009B3A7B"/>
    <w:rsid w:val="009B3F9C"/>
    <w:rsid w:val="009B5F4E"/>
    <w:rsid w:val="009C5B17"/>
    <w:rsid w:val="009C64D5"/>
    <w:rsid w:val="009C6989"/>
    <w:rsid w:val="009D1D97"/>
    <w:rsid w:val="009D26DC"/>
    <w:rsid w:val="009D5F86"/>
    <w:rsid w:val="009D6197"/>
    <w:rsid w:val="009E0E25"/>
    <w:rsid w:val="009E25B0"/>
    <w:rsid w:val="009E48B0"/>
    <w:rsid w:val="009E4C27"/>
    <w:rsid w:val="009E701A"/>
    <w:rsid w:val="009F4FE4"/>
    <w:rsid w:val="009F584B"/>
    <w:rsid w:val="009F7CB7"/>
    <w:rsid w:val="00A015AB"/>
    <w:rsid w:val="00A03DD5"/>
    <w:rsid w:val="00A06709"/>
    <w:rsid w:val="00A17EC8"/>
    <w:rsid w:val="00A26315"/>
    <w:rsid w:val="00A31DCB"/>
    <w:rsid w:val="00A3343B"/>
    <w:rsid w:val="00A34CF0"/>
    <w:rsid w:val="00A42CE8"/>
    <w:rsid w:val="00A4305F"/>
    <w:rsid w:val="00A4419B"/>
    <w:rsid w:val="00A535B3"/>
    <w:rsid w:val="00A56C01"/>
    <w:rsid w:val="00A57680"/>
    <w:rsid w:val="00A57A6D"/>
    <w:rsid w:val="00A6019B"/>
    <w:rsid w:val="00A740AB"/>
    <w:rsid w:val="00A81250"/>
    <w:rsid w:val="00A85BB1"/>
    <w:rsid w:val="00A923F5"/>
    <w:rsid w:val="00AA07C6"/>
    <w:rsid w:val="00AA1663"/>
    <w:rsid w:val="00AA44FA"/>
    <w:rsid w:val="00AB2912"/>
    <w:rsid w:val="00AB434C"/>
    <w:rsid w:val="00AB530B"/>
    <w:rsid w:val="00AB75F2"/>
    <w:rsid w:val="00AC3D53"/>
    <w:rsid w:val="00AD0F8F"/>
    <w:rsid w:val="00AD2815"/>
    <w:rsid w:val="00AD3787"/>
    <w:rsid w:val="00AD4C67"/>
    <w:rsid w:val="00AD6252"/>
    <w:rsid w:val="00AD663F"/>
    <w:rsid w:val="00AE1400"/>
    <w:rsid w:val="00AE25C0"/>
    <w:rsid w:val="00AE474C"/>
    <w:rsid w:val="00AE7D51"/>
    <w:rsid w:val="00AF1252"/>
    <w:rsid w:val="00AF4B62"/>
    <w:rsid w:val="00B01D6E"/>
    <w:rsid w:val="00B0336E"/>
    <w:rsid w:val="00B05958"/>
    <w:rsid w:val="00B11AE5"/>
    <w:rsid w:val="00B166C9"/>
    <w:rsid w:val="00B1761E"/>
    <w:rsid w:val="00B23A93"/>
    <w:rsid w:val="00B2577C"/>
    <w:rsid w:val="00B25E7A"/>
    <w:rsid w:val="00B33935"/>
    <w:rsid w:val="00B42058"/>
    <w:rsid w:val="00B42966"/>
    <w:rsid w:val="00B44922"/>
    <w:rsid w:val="00B45E08"/>
    <w:rsid w:val="00B554D7"/>
    <w:rsid w:val="00B567A7"/>
    <w:rsid w:val="00B60D29"/>
    <w:rsid w:val="00B6106B"/>
    <w:rsid w:val="00B636BD"/>
    <w:rsid w:val="00B654F2"/>
    <w:rsid w:val="00B728B7"/>
    <w:rsid w:val="00B73AC7"/>
    <w:rsid w:val="00B82160"/>
    <w:rsid w:val="00B82BFC"/>
    <w:rsid w:val="00B8430D"/>
    <w:rsid w:val="00B8527E"/>
    <w:rsid w:val="00B903AE"/>
    <w:rsid w:val="00B9714B"/>
    <w:rsid w:val="00B97265"/>
    <w:rsid w:val="00BA2082"/>
    <w:rsid w:val="00BA42ED"/>
    <w:rsid w:val="00BB05D6"/>
    <w:rsid w:val="00BB4393"/>
    <w:rsid w:val="00BB5CB1"/>
    <w:rsid w:val="00BB71AF"/>
    <w:rsid w:val="00BB770D"/>
    <w:rsid w:val="00BC1CBC"/>
    <w:rsid w:val="00BC39E8"/>
    <w:rsid w:val="00BC646B"/>
    <w:rsid w:val="00BC76CA"/>
    <w:rsid w:val="00BD678D"/>
    <w:rsid w:val="00BE50C2"/>
    <w:rsid w:val="00BF39F8"/>
    <w:rsid w:val="00BF4113"/>
    <w:rsid w:val="00BF7579"/>
    <w:rsid w:val="00C026AA"/>
    <w:rsid w:val="00C05C88"/>
    <w:rsid w:val="00C13213"/>
    <w:rsid w:val="00C305EC"/>
    <w:rsid w:val="00C45457"/>
    <w:rsid w:val="00C4639E"/>
    <w:rsid w:val="00C47F31"/>
    <w:rsid w:val="00C53E3B"/>
    <w:rsid w:val="00C55FF9"/>
    <w:rsid w:val="00C57356"/>
    <w:rsid w:val="00C658E3"/>
    <w:rsid w:val="00C66FBD"/>
    <w:rsid w:val="00C71143"/>
    <w:rsid w:val="00C73FAD"/>
    <w:rsid w:val="00C74BF3"/>
    <w:rsid w:val="00C76EF4"/>
    <w:rsid w:val="00C81F23"/>
    <w:rsid w:val="00C8273F"/>
    <w:rsid w:val="00C83E99"/>
    <w:rsid w:val="00C845E7"/>
    <w:rsid w:val="00C84915"/>
    <w:rsid w:val="00C929EE"/>
    <w:rsid w:val="00C941C7"/>
    <w:rsid w:val="00C94D78"/>
    <w:rsid w:val="00C9561F"/>
    <w:rsid w:val="00C962E9"/>
    <w:rsid w:val="00CA0C57"/>
    <w:rsid w:val="00CA10A1"/>
    <w:rsid w:val="00CA1DD9"/>
    <w:rsid w:val="00CB1A0D"/>
    <w:rsid w:val="00CB3366"/>
    <w:rsid w:val="00CB582F"/>
    <w:rsid w:val="00CB6452"/>
    <w:rsid w:val="00CB72B5"/>
    <w:rsid w:val="00CC2947"/>
    <w:rsid w:val="00CC3103"/>
    <w:rsid w:val="00CC7169"/>
    <w:rsid w:val="00CD241D"/>
    <w:rsid w:val="00CE14E5"/>
    <w:rsid w:val="00CE5896"/>
    <w:rsid w:val="00CE673A"/>
    <w:rsid w:val="00CF2A6D"/>
    <w:rsid w:val="00CF6049"/>
    <w:rsid w:val="00CF6FF5"/>
    <w:rsid w:val="00D03A05"/>
    <w:rsid w:val="00D10CAB"/>
    <w:rsid w:val="00D146BA"/>
    <w:rsid w:val="00D15FBF"/>
    <w:rsid w:val="00D30328"/>
    <w:rsid w:val="00D327B4"/>
    <w:rsid w:val="00D375BD"/>
    <w:rsid w:val="00D40C88"/>
    <w:rsid w:val="00D4310F"/>
    <w:rsid w:val="00D43836"/>
    <w:rsid w:val="00D46BC1"/>
    <w:rsid w:val="00D47B5A"/>
    <w:rsid w:val="00D535C8"/>
    <w:rsid w:val="00D536C2"/>
    <w:rsid w:val="00D600F0"/>
    <w:rsid w:val="00D60267"/>
    <w:rsid w:val="00D664ED"/>
    <w:rsid w:val="00D67AF4"/>
    <w:rsid w:val="00D70693"/>
    <w:rsid w:val="00D72D8B"/>
    <w:rsid w:val="00D80D17"/>
    <w:rsid w:val="00D832BC"/>
    <w:rsid w:val="00D8431C"/>
    <w:rsid w:val="00D8542B"/>
    <w:rsid w:val="00D9253E"/>
    <w:rsid w:val="00D979DB"/>
    <w:rsid w:val="00D97AA9"/>
    <w:rsid w:val="00DA1F04"/>
    <w:rsid w:val="00DA2B8B"/>
    <w:rsid w:val="00DA70A3"/>
    <w:rsid w:val="00DA79A8"/>
    <w:rsid w:val="00DC2F5F"/>
    <w:rsid w:val="00DC4D6E"/>
    <w:rsid w:val="00DC79A9"/>
    <w:rsid w:val="00DD058B"/>
    <w:rsid w:val="00DD4B32"/>
    <w:rsid w:val="00DD4B65"/>
    <w:rsid w:val="00DD58A3"/>
    <w:rsid w:val="00DD79E0"/>
    <w:rsid w:val="00DE1460"/>
    <w:rsid w:val="00DE1653"/>
    <w:rsid w:val="00DE1950"/>
    <w:rsid w:val="00DE634D"/>
    <w:rsid w:val="00DF5C88"/>
    <w:rsid w:val="00E02732"/>
    <w:rsid w:val="00E0396E"/>
    <w:rsid w:val="00E042D7"/>
    <w:rsid w:val="00E06E3A"/>
    <w:rsid w:val="00E16573"/>
    <w:rsid w:val="00E17489"/>
    <w:rsid w:val="00E27877"/>
    <w:rsid w:val="00E34338"/>
    <w:rsid w:val="00E36527"/>
    <w:rsid w:val="00E40D4B"/>
    <w:rsid w:val="00E41C8B"/>
    <w:rsid w:val="00E47914"/>
    <w:rsid w:val="00E525F1"/>
    <w:rsid w:val="00E52B28"/>
    <w:rsid w:val="00E557EA"/>
    <w:rsid w:val="00E569C6"/>
    <w:rsid w:val="00E600CF"/>
    <w:rsid w:val="00E61AC0"/>
    <w:rsid w:val="00E6736E"/>
    <w:rsid w:val="00E7312C"/>
    <w:rsid w:val="00E76D16"/>
    <w:rsid w:val="00E821BB"/>
    <w:rsid w:val="00E827CE"/>
    <w:rsid w:val="00E8331B"/>
    <w:rsid w:val="00E843F0"/>
    <w:rsid w:val="00E84639"/>
    <w:rsid w:val="00E851F3"/>
    <w:rsid w:val="00E9158C"/>
    <w:rsid w:val="00E92ABA"/>
    <w:rsid w:val="00EA2F3C"/>
    <w:rsid w:val="00EA3226"/>
    <w:rsid w:val="00EA5501"/>
    <w:rsid w:val="00EA68AA"/>
    <w:rsid w:val="00EB0B08"/>
    <w:rsid w:val="00EB0DE3"/>
    <w:rsid w:val="00EB4B00"/>
    <w:rsid w:val="00EB6917"/>
    <w:rsid w:val="00EC1F0D"/>
    <w:rsid w:val="00EC1F80"/>
    <w:rsid w:val="00EC2C03"/>
    <w:rsid w:val="00EC4101"/>
    <w:rsid w:val="00EC6690"/>
    <w:rsid w:val="00EC68E5"/>
    <w:rsid w:val="00ED2892"/>
    <w:rsid w:val="00ED29BF"/>
    <w:rsid w:val="00ED7A0D"/>
    <w:rsid w:val="00EE22B2"/>
    <w:rsid w:val="00EE6A10"/>
    <w:rsid w:val="00EF296E"/>
    <w:rsid w:val="00EF500B"/>
    <w:rsid w:val="00F025CE"/>
    <w:rsid w:val="00F04039"/>
    <w:rsid w:val="00F043A7"/>
    <w:rsid w:val="00F11896"/>
    <w:rsid w:val="00F15FCB"/>
    <w:rsid w:val="00F163B1"/>
    <w:rsid w:val="00F163CE"/>
    <w:rsid w:val="00F2258D"/>
    <w:rsid w:val="00F234F4"/>
    <w:rsid w:val="00F24C07"/>
    <w:rsid w:val="00F27C32"/>
    <w:rsid w:val="00F31797"/>
    <w:rsid w:val="00F37AA2"/>
    <w:rsid w:val="00F37C08"/>
    <w:rsid w:val="00F54D0B"/>
    <w:rsid w:val="00F62308"/>
    <w:rsid w:val="00F64FB6"/>
    <w:rsid w:val="00F66522"/>
    <w:rsid w:val="00F70065"/>
    <w:rsid w:val="00F712A6"/>
    <w:rsid w:val="00F72E82"/>
    <w:rsid w:val="00F74FCA"/>
    <w:rsid w:val="00F75462"/>
    <w:rsid w:val="00F75BD4"/>
    <w:rsid w:val="00F81F86"/>
    <w:rsid w:val="00F820F2"/>
    <w:rsid w:val="00F83D52"/>
    <w:rsid w:val="00F91C63"/>
    <w:rsid w:val="00F936F4"/>
    <w:rsid w:val="00FA54E0"/>
    <w:rsid w:val="00FB306D"/>
    <w:rsid w:val="00FB3169"/>
    <w:rsid w:val="00FB384D"/>
    <w:rsid w:val="00FB6898"/>
    <w:rsid w:val="00FB6C79"/>
    <w:rsid w:val="00FC0DDC"/>
    <w:rsid w:val="00FC4E37"/>
    <w:rsid w:val="00FC5A3E"/>
    <w:rsid w:val="00FC64B2"/>
    <w:rsid w:val="00FC6AD5"/>
    <w:rsid w:val="00FC7912"/>
    <w:rsid w:val="00FE0162"/>
    <w:rsid w:val="00FE19F5"/>
    <w:rsid w:val="00FE2C9D"/>
    <w:rsid w:val="00FE4ADE"/>
    <w:rsid w:val="00FF4D0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9FB324"/>
  <w15:docId w15:val="{42B0987F-8E01-3145-9F22-0B020FBE5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PT" w:eastAsia="pt-P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2B5"/>
    <w:pPr>
      <w:spacing w:line="259" w:lineRule="auto"/>
      <w:jc w:val="both"/>
    </w:pPr>
    <w:rPr>
      <w:rFonts w:ascii="Calibri" w:hAnsi="Calibri"/>
      <w:sz w:val="20"/>
    </w:rPr>
  </w:style>
  <w:style w:type="paragraph" w:styleId="Heading1">
    <w:name w:val="heading 1"/>
    <w:basedOn w:val="Normal"/>
    <w:next w:val="Normal"/>
    <w:link w:val="Heading1Char"/>
    <w:autoRedefine/>
    <w:uiPriority w:val="9"/>
    <w:qFormat/>
    <w:rsid w:val="00815270"/>
    <w:pPr>
      <w:widowControl w:val="0"/>
      <w:numPr>
        <w:numId w:val="2"/>
      </w:numPr>
      <w:spacing w:before="440" w:after="360"/>
      <w:outlineLvl w:val="0"/>
    </w:pPr>
    <w:rPr>
      <w:rFonts w:eastAsiaTheme="majorEastAsia" w:cs="Calibri"/>
      <w:b/>
      <w:bCs/>
      <w:color w:val="336666"/>
      <w:kern w:val="0"/>
      <w:sz w:val="28"/>
      <w:szCs w:val="28"/>
      <w:lang w:eastAsia="en-US"/>
      <w14:ligatures w14:val="none"/>
    </w:rPr>
  </w:style>
  <w:style w:type="paragraph" w:styleId="Heading2">
    <w:name w:val="heading 2"/>
    <w:basedOn w:val="Normal"/>
    <w:next w:val="Normal"/>
    <w:link w:val="Heading2Char"/>
    <w:autoRedefine/>
    <w:uiPriority w:val="9"/>
    <w:unhideWhenUsed/>
    <w:qFormat/>
    <w:rsid w:val="00815270"/>
    <w:pPr>
      <w:keepNext/>
      <w:keepLines/>
      <w:numPr>
        <w:numId w:val="70"/>
      </w:numPr>
      <w:spacing w:before="320" w:after="320"/>
      <w:jc w:val="left"/>
      <w:outlineLvl w:val="1"/>
    </w:pPr>
    <w:rPr>
      <w:rFonts w:eastAsiaTheme="majorEastAsia" w:cstheme="minorHAnsi"/>
      <w:b/>
      <w:bCs/>
      <w:color w:val="336666"/>
      <w:kern w:val="0"/>
      <w:sz w:val="22"/>
      <w:szCs w:val="22"/>
      <w:lang w:val="pt-BR" w:eastAsia="en-US"/>
      <w14:ligatures w14:val="none"/>
    </w:rPr>
  </w:style>
  <w:style w:type="paragraph" w:styleId="Heading3">
    <w:name w:val="heading 3"/>
    <w:basedOn w:val="Normal"/>
    <w:next w:val="Normal"/>
    <w:link w:val="Heading3Char"/>
    <w:autoRedefine/>
    <w:uiPriority w:val="9"/>
    <w:unhideWhenUsed/>
    <w:qFormat/>
    <w:rsid w:val="00DE1950"/>
    <w:pPr>
      <w:keepNext/>
      <w:keepLines/>
      <w:numPr>
        <w:ilvl w:val="2"/>
        <w:numId w:val="32"/>
      </w:numPr>
      <w:spacing w:before="320" w:after="240"/>
      <w:outlineLvl w:val="2"/>
    </w:pPr>
    <w:rPr>
      <w:rFonts w:eastAsia="Calibri" w:cstheme="majorBidi"/>
      <w:b/>
      <w:color w:val="336666"/>
      <w:kern w:val="0"/>
      <w:szCs w:val="20"/>
      <w:lang w:eastAsia="en-US"/>
      <w14:ligatures w14:val="none"/>
    </w:rPr>
  </w:style>
  <w:style w:type="paragraph" w:styleId="Heading4">
    <w:name w:val="heading 4"/>
    <w:basedOn w:val="Normal"/>
    <w:next w:val="Normal"/>
    <w:link w:val="Heading4Char"/>
    <w:uiPriority w:val="9"/>
    <w:unhideWhenUsed/>
    <w:qFormat/>
    <w:rsid w:val="00625745"/>
    <w:pPr>
      <w:keepNext/>
      <w:keepLines/>
      <w:spacing w:before="200" w:after="0" w:line="240" w:lineRule="auto"/>
      <w:outlineLvl w:val="3"/>
    </w:pPr>
    <w:rPr>
      <w:rFonts w:asciiTheme="majorHAnsi" w:eastAsiaTheme="majorEastAsia" w:hAnsiTheme="majorHAnsi" w:cstheme="majorBidi"/>
      <w:b/>
      <w:bCs/>
      <w:iCs/>
      <w:color w:val="156082" w:themeColor="accent1"/>
      <w:kern w:val="0"/>
      <w:szCs w:val="20"/>
      <w:lang w:eastAsia="en-US"/>
      <w14:ligatures w14:val="none"/>
    </w:rPr>
  </w:style>
  <w:style w:type="paragraph" w:styleId="Heading5">
    <w:name w:val="heading 5"/>
    <w:basedOn w:val="Normal"/>
    <w:next w:val="Normal"/>
    <w:link w:val="Heading5Char"/>
    <w:uiPriority w:val="9"/>
    <w:unhideWhenUsed/>
    <w:qFormat/>
    <w:rsid w:val="00625745"/>
    <w:pPr>
      <w:keepNext/>
      <w:keepLines/>
      <w:spacing w:before="40" w:after="0" w:line="276" w:lineRule="auto"/>
      <w:outlineLvl w:val="4"/>
    </w:pPr>
    <w:rPr>
      <w:rFonts w:asciiTheme="majorHAnsi" w:eastAsiaTheme="majorEastAsia" w:hAnsiTheme="majorHAnsi" w:cstheme="majorBidi"/>
      <w:color w:val="0F4761" w:themeColor="accent1" w:themeShade="BF"/>
      <w:kern w:val="0"/>
      <w:lang w:eastAsia="en-US"/>
      <w14:ligatures w14:val="none"/>
    </w:rPr>
  </w:style>
  <w:style w:type="paragraph" w:styleId="Heading6">
    <w:name w:val="heading 6"/>
    <w:basedOn w:val="Normal"/>
    <w:next w:val="Normal"/>
    <w:link w:val="Heading6Char"/>
    <w:uiPriority w:val="9"/>
    <w:unhideWhenUsed/>
    <w:qFormat/>
    <w:rsid w:val="00625745"/>
    <w:pPr>
      <w:keepNext/>
      <w:keepLines/>
      <w:spacing w:before="40" w:after="0" w:line="276" w:lineRule="auto"/>
      <w:outlineLvl w:val="5"/>
    </w:pPr>
    <w:rPr>
      <w:rFonts w:asciiTheme="majorHAnsi" w:eastAsiaTheme="majorEastAsia" w:hAnsiTheme="majorHAnsi" w:cstheme="majorBidi"/>
      <w:b/>
      <w:kern w:val="0"/>
      <w:lang w:eastAsia="en-US"/>
      <w14:ligatures w14:val="none"/>
    </w:rPr>
  </w:style>
  <w:style w:type="paragraph" w:styleId="Heading7">
    <w:name w:val="heading 7"/>
    <w:basedOn w:val="Normal"/>
    <w:next w:val="Normal"/>
    <w:link w:val="Heading7Char"/>
    <w:uiPriority w:val="9"/>
    <w:semiHidden/>
    <w:unhideWhenUsed/>
    <w:qFormat/>
    <w:rsid w:val="00625745"/>
    <w:pPr>
      <w:keepNext/>
      <w:keepLines/>
      <w:spacing w:before="40" w:after="0" w:line="276" w:lineRule="auto"/>
      <w:outlineLvl w:val="6"/>
    </w:pPr>
    <w:rPr>
      <w:rFonts w:asciiTheme="majorHAnsi" w:eastAsiaTheme="majorEastAsia" w:hAnsiTheme="majorHAnsi" w:cstheme="majorBidi"/>
      <w:i/>
      <w:iCs/>
      <w:color w:val="0A2F40" w:themeColor="accent1" w:themeShade="7F"/>
      <w:kern w:val="0"/>
      <w:sz w:val="22"/>
      <w:lang w:val="en-GB" w:eastAsia="en-US"/>
      <w14:ligatures w14:val="none"/>
    </w:rPr>
  </w:style>
  <w:style w:type="paragraph" w:styleId="Heading8">
    <w:name w:val="heading 8"/>
    <w:basedOn w:val="Normal"/>
    <w:next w:val="Normal"/>
    <w:link w:val="Heading8Char"/>
    <w:uiPriority w:val="9"/>
    <w:semiHidden/>
    <w:unhideWhenUsed/>
    <w:qFormat/>
    <w:rsid w:val="00625745"/>
    <w:pPr>
      <w:keepNext/>
      <w:keepLines/>
      <w:spacing w:before="40" w:after="0" w:line="276" w:lineRule="auto"/>
      <w:outlineLvl w:val="7"/>
    </w:pPr>
    <w:rPr>
      <w:rFonts w:asciiTheme="majorHAnsi" w:eastAsiaTheme="majorEastAsia" w:hAnsiTheme="majorHAnsi" w:cstheme="majorBidi"/>
      <w:color w:val="272727" w:themeColor="text1" w:themeTint="D8"/>
      <w:kern w:val="0"/>
      <w:sz w:val="21"/>
      <w:szCs w:val="21"/>
      <w:lang w:val="en-GB" w:eastAsia="en-US"/>
      <w14:ligatures w14:val="none"/>
    </w:rPr>
  </w:style>
  <w:style w:type="paragraph" w:styleId="Heading9">
    <w:name w:val="heading 9"/>
    <w:basedOn w:val="Normal"/>
    <w:next w:val="Normal"/>
    <w:link w:val="Heading9Char"/>
    <w:uiPriority w:val="9"/>
    <w:semiHidden/>
    <w:unhideWhenUsed/>
    <w:qFormat/>
    <w:rsid w:val="00625745"/>
    <w:pPr>
      <w:keepNext/>
      <w:keepLines/>
      <w:spacing w:before="40" w:after="0" w:line="276" w:lineRule="auto"/>
      <w:outlineLvl w:val="8"/>
    </w:pPr>
    <w:rPr>
      <w:rFonts w:asciiTheme="majorHAnsi" w:eastAsiaTheme="majorEastAsia" w:hAnsiTheme="majorHAnsi" w:cstheme="majorBidi"/>
      <w:i/>
      <w:iCs/>
      <w:color w:val="272727" w:themeColor="text1" w:themeTint="D8"/>
      <w:kern w:val="0"/>
      <w:sz w:val="21"/>
      <w:szCs w:val="21"/>
      <w:lang w:val="en-GB"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E1022"/>
    <w:rPr>
      <w:sz w:val="16"/>
      <w:szCs w:val="16"/>
    </w:rPr>
  </w:style>
  <w:style w:type="paragraph" w:styleId="CommentText">
    <w:name w:val="annotation text"/>
    <w:basedOn w:val="Normal"/>
    <w:link w:val="CommentTextChar"/>
    <w:uiPriority w:val="99"/>
    <w:semiHidden/>
    <w:unhideWhenUsed/>
    <w:rsid w:val="002E1022"/>
    <w:pPr>
      <w:spacing w:line="240" w:lineRule="auto"/>
    </w:pPr>
    <w:rPr>
      <w:szCs w:val="20"/>
    </w:rPr>
  </w:style>
  <w:style w:type="character" w:customStyle="1" w:styleId="CommentTextChar">
    <w:name w:val="Comment Text Char"/>
    <w:basedOn w:val="DefaultParagraphFont"/>
    <w:link w:val="CommentText"/>
    <w:uiPriority w:val="99"/>
    <w:semiHidden/>
    <w:rsid w:val="002E1022"/>
    <w:rPr>
      <w:sz w:val="20"/>
      <w:szCs w:val="20"/>
    </w:rPr>
  </w:style>
  <w:style w:type="paragraph" w:styleId="CommentSubject">
    <w:name w:val="annotation subject"/>
    <w:basedOn w:val="CommentText"/>
    <w:next w:val="CommentText"/>
    <w:link w:val="CommentSubjectChar"/>
    <w:uiPriority w:val="99"/>
    <w:semiHidden/>
    <w:unhideWhenUsed/>
    <w:rsid w:val="002E1022"/>
    <w:rPr>
      <w:b/>
      <w:bCs/>
    </w:rPr>
  </w:style>
  <w:style w:type="character" w:customStyle="1" w:styleId="CommentSubjectChar">
    <w:name w:val="Comment Subject Char"/>
    <w:basedOn w:val="CommentTextChar"/>
    <w:link w:val="CommentSubject"/>
    <w:uiPriority w:val="99"/>
    <w:semiHidden/>
    <w:rsid w:val="002E1022"/>
    <w:rPr>
      <w:b/>
      <w:bCs/>
      <w:sz w:val="20"/>
      <w:szCs w:val="20"/>
    </w:rPr>
  </w:style>
  <w:style w:type="paragraph" w:styleId="Revision">
    <w:name w:val="Revision"/>
    <w:hidden/>
    <w:uiPriority w:val="99"/>
    <w:semiHidden/>
    <w:rsid w:val="00F24C07"/>
    <w:pPr>
      <w:spacing w:after="0" w:line="240" w:lineRule="auto"/>
    </w:pPr>
  </w:style>
  <w:style w:type="paragraph" w:styleId="ListParagraph">
    <w:name w:val="List Paragraph"/>
    <w:aliases w:val="List Paragraph (numbered (a)),heading 6,List Paragraph1,Bullets"/>
    <w:basedOn w:val="Normal"/>
    <w:link w:val="ListParagraphChar"/>
    <w:uiPriority w:val="34"/>
    <w:qFormat/>
    <w:rsid w:val="00575536"/>
    <w:pPr>
      <w:ind w:left="720"/>
      <w:contextualSpacing/>
    </w:pPr>
  </w:style>
  <w:style w:type="paragraph" w:customStyle="1" w:styleId="p1">
    <w:name w:val="p1"/>
    <w:basedOn w:val="Normal"/>
    <w:rsid w:val="00710FB7"/>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FootnoteText">
    <w:name w:val="footnote text"/>
    <w:basedOn w:val="Normal"/>
    <w:link w:val="FootnoteTextChar"/>
    <w:uiPriority w:val="99"/>
    <w:unhideWhenUsed/>
    <w:rsid w:val="00713645"/>
    <w:pPr>
      <w:spacing w:after="0" w:line="240" w:lineRule="auto"/>
    </w:pPr>
    <w:rPr>
      <w:rFonts w:eastAsiaTheme="minorHAnsi"/>
      <w:szCs w:val="20"/>
      <w:lang w:eastAsia="en-US"/>
    </w:rPr>
  </w:style>
  <w:style w:type="character" w:customStyle="1" w:styleId="FootnoteTextChar">
    <w:name w:val="Footnote Text Char"/>
    <w:basedOn w:val="DefaultParagraphFont"/>
    <w:link w:val="FootnoteText"/>
    <w:uiPriority w:val="99"/>
    <w:rsid w:val="00713645"/>
    <w:rPr>
      <w:rFonts w:eastAsiaTheme="minorHAnsi"/>
      <w:sz w:val="20"/>
      <w:szCs w:val="20"/>
      <w:lang w:eastAsia="en-US"/>
    </w:rPr>
  </w:style>
  <w:style w:type="character" w:styleId="FootnoteReference">
    <w:name w:val="footnote reference"/>
    <w:aliases w:val="ftref,note bp,Error-Fußnotenzeichen5,Error-Fußnotenzeichen6,Error-Fußnotenzeichen3"/>
    <w:basedOn w:val="DefaultParagraphFont"/>
    <w:uiPriority w:val="99"/>
    <w:unhideWhenUsed/>
    <w:rsid w:val="00713645"/>
    <w:rPr>
      <w:vertAlign w:val="superscript"/>
    </w:rPr>
  </w:style>
  <w:style w:type="character" w:customStyle="1" w:styleId="apple-converted-space">
    <w:name w:val="apple-converted-space"/>
    <w:basedOn w:val="DefaultParagraphFont"/>
    <w:rsid w:val="00E06E3A"/>
  </w:style>
  <w:style w:type="character" w:customStyle="1" w:styleId="s1">
    <w:name w:val="s1"/>
    <w:basedOn w:val="DefaultParagraphFont"/>
    <w:rsid w:val="00FF4D0C"/>
  </w:style>
  <w:style w:type="character" w:customStyle="1" w:styleId="ListParagraphChar">
    <w:name w:val="List Paragraph Char"/>
    <w:aliases w:val="List Paragraph (numbered (a)) Char,heading 6 Char,List Paragraph1 Char,Bullets Char"/>
    <w:link w:val="ListParagraph"/>
    <w:uiPriority w:val="34"/>
    <w:rsid w:val="0039680F"/>
  </w:style>
  <w:style w:type="character" w:customStyle="1" w:styleId="Heading1Char">
    <w:name w:val="Heading 1 Char"/>
    <w:basedOn w:val="DefaultParagraphFont"/>
    <w:link w:val="Heading1"/>
    <w:uiPriority w:val="9"/>
    <w:rsid w:val="00815270"/>
    <w:rPr>
      <w:rFonts w:ascii="Calibri" w:eastAsiaTheme="majorEastAsia" w:hAnsi="Calibri" w:cs="Calibri"/>
      <w:b/>
      <w:bCs/>
      <w:color w:val="336666"/>
      <w:kern w:val="0"/>
      <w:sz w:val="28"/>
      <w:szCs w:val="28"/>
      <w:lang w:eastAsia="en-US"/>
      <w14:ligatures w14:val="none"/>
    </w:rPr>
  </w:style>
  <w:style w:type="character" w:customStyle="1" w:styleId="Heading2Char">
    <w:name w:val="Heading 2 Char"/>
    <w:basedOn w:val="DefaultParagraphFont"/>
    <w:link w:val="Heading2"/>
    <w:uiPriority w:val="9"/>
    <w:rsid w:val="00815270"/>
    <w:rPr>
      <w:rFonts w:ascii="Calibri" w:eastAsiaTheme="majorEastAsia" w:hAnsi="Calibri" w:cstheme="minorHAnsi"/>
      <w:b/>
      <w:bCs/>
      <w:color w:val="336666"/>
      <w:kern w:val="0"/>
      <w:sz w:val="22"/>
      <w:szCs w:val="22"/>
      <w:lang w:val="pt-BR" w:eastAsia="en-US"/>
      <w14:ligatures w14:val="none"/>
    </w:rPr>
  </w:style>
  <w:style w:type="character" w:customStyle="1" w:styleId="Heading3Char">
    <w:name w:val="Heading 3 Char"/>
    <w:basedOn w:val="DefaultParagraphFont"/>
    <w:link w:val="Heading3"/>
    <w:uiPriority w:val="9"/>
    <w:rsid w:val="00DE1950"/>
    <w:rPr>
      <w:rFonts w:ascii="Calibri" w:eastAsia="Calibri" w:hAnsi="Calibri" w:cstheme="majorBidi"/>
      <w:b/>
      <w:color w:val="336666"/>
      <w:kern w:val="0"/>
      <w:sz w:val="20"/>
      <w:szCs w:val="20"/>
      <w:lang w:eastAsia="en-US"/>
      <w14:ligatures w14:val="none"/>
    </w:rPr>
  </w:style>
  <w:style w:type="character" w:customStyle="1" w:styleId="Heading4Char">
    <w:name w:val="Heading 4 Char"/>
    <w:basedOn w:val="DefaultParagraphFont"/>
    <w:link w:val="Heading4"/>
    <w:uiPriority w:val="9"/>
    <w:rsid w:val="00600556"/>
    <w:rPr>
      <w:rFonts w:asciiTheme="majorHAnsi" w:eastAsiaTheme="majorEastAsia" w:hAnsiTheme="majorHAnsi" w:cstheme="majorBidi"/>
      <w:b/>
      <w:bCs/>
      <w:iCs/>
      <w:color w:val="156082" w:themeColor="accent1"/>
      <w:kern w:val="0"/>
      <w:sz w:val="20"/>
      <w:szCs w:val="20"/>
      <w:lang w:eastAsia="en-US"/>
      <w14:ligatures w14:val="none"/>
    </w:rPr>
  </w:style>
  <w:style w:type="character" w:customStyle="1" w:styleId="Heading5Char">
    <w:name w:val="Heading 5 Char"/>
    <w:basedOn w:val="DefaultParagraphFont"/>
    <w:link w:val="Heading5"/>
    <w:uiPriority w:val="9"/>
    <w:rsid w:val="00600556"/>
    <w:rPr>
      <w:rFonts w:asciiTheme="majorHAnsi" w:eastAsiaTheme="majorEastAsia" w:hAnsiTheme="majorHAnsi" w:cstheme="majorBidi"/>
      <w:color w:val="0F4761" w:themeColor="accent1" w:themeShade="BF"/>
      <w:kern w:val="0"/>
      <w:sz w:val="20"/>
      <w:lang w:eastAsia="en-US"/>
      <w14:ligatures w14:val="none"/>
    </w:rPr>
  </w:style>
  <w:style w:type="character" w:customStyle="1" w:styleId="Heading6Char">
    <w:name w:val="Heading 6 Char"/>
    <w:basedOn w:val="DefaultParagraphFont"/>
    <w:link w:val="Heading6"/>
    <w:uiPriority w:val="9"/>
    <w:rsid w:val="00600556"/>
    <w:rPr>
      <w:rFonts w:asciiTheme="majorHAnsi" w:eastAsiaTheme="majorEastAsia" w:hAnsiTheme="majorHAnsi" w:cstheme="majorBidi"/>
      <w:b/>
      <w:kern w:val="0"/>
      <w:sz w:val="20"/>
      <w:lang w:eastAsia="en-US"/>
      <w14:ligatures w14:val="none"/>
    </w:rPr>
  </w:style>
  <w:style w:type="character" w:customStyle="1" w:styleId="Heading7Char">
    <w:name w:val="Heading 7 Char"/>
    <w:basedOn w:val="DefaultParagraphFont"/>
    <w:link w:val="Heading7"/>
    <w:uiPriority w:val="9"/>
    <w:semiHidden/>
    <w:rsid w:val="00600556"/>
    <w:rPr>
      <w:rFonts w:asciiTheme="majorHAnsi" w:eastAsiaTheme="majorEastAsia" w:hAnsiTheme="majorHAnsi" w:cstheme="majorBidi"/>
      <w:i/>
      <w:iCs/>
      <w:color w:val="0A2F40" w:themeColor="accent1" w:themeShade="7F"/>
      <w:kern w:val="0"/>
      <w:sz w:val="22"/>
      <w:lang w:val="en-GB" w:eastAsia="en-US"/>
      <w14:ligatures w14:val="none"/>
    </w:rPr>
  </w:style>
  <w:style w:type="character" w:customStyle="1" w:styleId="Heading8Char">
    <w:name w:val="Heading 8 Char"/>
    <w:basedOn w:val="DefaultParagraphFont"/>
    <w:link w:val="Heading8"/>
    <w:uiPriority w:val="9"/>
    <w:semiHidden/>
    <w:rsid w:val="00600556"/>
    <w:rPr>
      <w:rFonts w:asciiTheme="majorHAnsi" w:eastAsiaTheme="majorEastAsia" w:hAnsiTheme="majorHAnsi" w:cstheme="majorBidi"/>
      <w:color w:val="272727" w:themeColor="text1" w:themeTint="D8"/>
      <w:kern w:val="0"/>
      <w:sz w:val="21"/>
      <w:szCs w:val="21"/>
      <w:lang w:val="en-GB" w:eastAsia="en-US"/>
      <w14:ligatures w14:val="none"/>
    </w:rPr>
  </w:style>
  <w:style w:type="character" w:customStyle="1" w:styleId="Heading9Char">
    <w:name w:val="Heading 9 Char"/>
    <w:basedOn w:val="DefaultParagraphFont"/>
    <w:link w:val="Heading9"/>
    <w:uiPriority w:val="9"/>
    <w:semiHidden/>
    <w:rsid w:val="00600556"/>
    <w:rPr>
      <w:rFonts w:asciiTheme="majorHAnsi" w:eastAsiaTheme="majorEastAsia" w:hAnsiTheme="majorHAnsi" w:cstheme="majorBidi"/>
      <w:i/>
      <w:iCs/>
      <w:color w:val="272727" w:themeColor="text1" w:themeTint="D8"/>
      <w:kern w:val="0"/>
      <w:sz w:val="21"/>
      <w:szCs w:val="21"/>
      <w:lang w:val="en-GB" w:eastAsia="en-US"/>
      <w14:ligatures w14:val="none"/>
    </w:rPr>
  </w:style>
  <w:style w:type="table" w:styleId="TableGrid">
    <w:name w:val="Table Grid"/>
    <w:basedOn w:val="TableNormal"/>
    <w:uiPriority w:val="39"/>
    <w:rsid w:val="00600556"/>
    <w:pPr>
      <w:spacing w:after="0" w:line="240" w:lineRule="auto"/>
    </w:pPr>
    <w:rPr>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7D3A26"/>
    <w:pPr>
      <w:spacing w:before="160"/>
      <w:jc w:val="center"/>
    </w:pPr>
    <w:rPr>
      <w:rFonts w:eastAsiaTheme="minorHAnsi" w:cs="Calibri"/>
      <w:i/>
      <w:kern w:val="0"/>
      <w:szCs w:val="20"/>
      <w:lang w:eastAsia="en-US"/>
      <w14:ligatures w14:val="none"/>
    </w:rPr>
  </w:style>
  <w:style w:type="paragraph" w:customStyle="1" w:styleId="p2">
    <w:name w:val="p2"/>
    <w:basedOn w:val="Normal"/>
    <w:rsid w:val="004D2DCF"/>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3">
    <w:name w:val="p3"/>
    <w:basedOn w:val="Normal"/>
    <w:rsid w:val="00037AAC"/>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2">
    <w:name w:val="s2"/>
    <w:basedOn w:val="DefaultParagraphFont"/>
    <w:rsid w:val="00F936F4"/>
  </w:style>
  <w:style w:type="character" w:styleId="Hyperlink">
    <w:name w:val="Hyperlink"/>
    <w:basedOn w:val="DefaultParagraphFont"/>
    <w:uiPriority w:val="99"/>
    <w:unhideWhenUsed/>
    <w:rsid w:val="00014F76"/>
    <w:rPr>
      <w:color w:val="467886" w:themeColor="hyperlink"/>
      <w:u w:val="single"/>
    </w:rPr>
  </w:style>
  <w:style w:type="character" w:styleId="UnresolvedMention">
    <w:name w:val="Unresolved Mention"/>
    <w:basedOn w:val="DefaultParagraphFont"/>
    <w:uiPriority w:val="99"/>
    <w:semiHidden/>
    <w:unhideWhenUsed/>
    <w:rsid w:val="00C4639E"/>
    <w:rPr>
      <w:color w:val="605E5C"/>
      <w:shd w:val="clear" w:color="auto" w:fill="E1DFDD"/>
    </w:rPr>
  </w:style>
  <w:style w:type="paragraph" w:styleId="Header">
    <w:name w:val="header"/>
    <w:basedOn w:val="Normal"/>
    <w:link w:val="HeaderChar"/>
    <w:uiPriority w:val="99"/>
    <w:unhideWhenUsed/>
    <w:rsid w:val="00A535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35B3"/>
    <w:rPr>
      <w:rFonts w:ascii="Calibri" w:hAnsi="Calibri"/>
      <w:sz w:val="20"/>
    </w:rPr>
  </w:style>
  <w:style w:type="paragraph" w:styleId="Footer">
    <w:name w:val="footer"/>
    <w:basedOn w:val="Normal"/>
    <w:link w:val="FooterChar"/>
    <w:uiPriority w:val="99"/>
    <w:unhideWhenUsed/>
    <w:rsid w:val="00A535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5B3"/>
    <w:rPr>
      <w:rFonts w:ascii="Calibri" w:hAnsi="Calibri"/>
      <w:sz w:val="20"/>
    </w:rPr>
  </w:style>
  <w:style w:type="paragraph" w:styleId="TOCHeading">
    <w:name w:val="TOC Heading"/>
    <w:basedOn w:val="Heading1"/>
    <w:next w:val="Normal"/>
    <w:uiPriority w:val="39"/>
    <w:unhideWhenUsed/>
    <w:qFormat/>
    <w:rsid w:val="00CB3366"/>
    <w:pPr>
      <w:keepNext/>
      <w:keepLines/>
      <w:widowControl/>
      <w:spacing w:before="240" w:after="0"/>
      <w:jc w:val="left"/>
      <w:outlineLvl w:val="9"/>
    </w:pPr>
    <w:rPr>
      <w:rFonts w:asciiTheme="majorHAnsi" w:hAnsiTheme="majorHAnsi"/>
      <w:b w:val="0"/>
      <w:bCs w:val="0"/>
      <w:color w:val="156082" w:themeColor="accent1"/>
      <w:sz w:val="32"/>
      <w:lang w:val="en-US"/>
      <w14:textFill>
        <w14:solidFill>
          <w14:schemeClr w14:val="accent1">
            <w14:lumMod w14:val="75000"/>
            <w14:lumMod w14:val="90000"/>
            <w14:lumOff w14:val="10000"/>
          </w14:schemeClr>
        </w14:solidFill>
      </w14:textFill>
    </w:rPr>
  </w:style>
  <w:style w:type="paragraph" w:styleId="TOC1">
    <w:name w:val="toc 1"/>
    <w:basedOn w:val="Normal"/>
    <w:next w:val="Normal"/>
    <w:autoRedefine/>
    <w:uiPriority w:val="39"/>
    <w:unhideWhenUsed/>
    <w:rsid w:val="00E042D7"/>
    <w:pPr>
      <w:tabs>
        <w:tab w:val="left" w:pos="400"/>
        <w:tab w:val="right" w:leader="dot" w:pos="9016"/>
      </w:tabs>
      <w:spacing w:after="100"/>
    </w:pPr>
    <w:rPr>
      <w:rFonts w:cs="Calibri"/>
      <w:b/>
      <w:bCs/>
      <w:noProof/>
      <w:color w:val="336666"/>
      <w:sz w:val="24"/>
    </w:rPr>
  </w:style>
  <w:style w:type="paragraph" w:styleId="TOC2">
    <w:name w:val="toc 2"/>
    <w:basedOn w:val="Normal"/>
    <w:next w:val="Normal"/>
    <w:autoRedefine/>
    <w:uiPriority w:val="39"/>
    <w:unhideWhenUsed/>
    <w:rsid w:val="00E042D7"/>
    <w:pPr>
      <w:tabs>
        <w:tab w:val="left" w:pos="960"/>
        <w:tab w:val="right" w:leader="dot" w:pos="9016"/>
      </w:tabs>
      <w:spacing w:after="100"/>
      <w:ind w:left="200"/>
    </w:pPr>
    <w:rPr>
      <w:rFonts w:eastAsiaTheme="minorHAnsi" w:cs="Calibri"/>
      <w:b/>
      <w:bCs/>
      <w:noProof/>
      <w:color w:val="336666"/>
      <w:sz w:val="22"/>
      <w:szCs w:val="22"/>
    </w:rPr>
  </w:style>
  <w:style w:type="paragraph" w:styleId="TOC3">
    <w:name w:val="toc 3"/>
    <w:basedOn w:val="Normal"/>
    <w:next w:val="Normal"/>
    <w:autoRedefine/>
    <w:uiPriority w:val="39"/>
    <w:unhideWhenUsed/>
    <w:rsid w:val="00CB3366"/>
    <w:pPr>
      <w:spacing w:after="100"/>
      <w:ind w:left="400"/>
    </w:pPr>
  </w:style>
  <w:style w:type="paragraph" w:styleId="TableofFigures">
    <w:name w:val="table of figures"/>
    <w:aliases w:val="TABELA DE FIGURAS"/>
    <w:basedOn w:val="Normal"/>
    <w:next w:val="Normal"/>
    <w:autoRedefine/>
    <w:uiPriority w:val="99"/>
    <w:unhideWhenUsed/>
    <w:rsid w:val="004E65BE"/>
    <w:pPr>
      <w:tabs>
        <w:tab w:val="right" w:leader="dot" w:pos="9016"/>
      </w:tabs>
      <w:spacing w:before="120" w:after="120"/>
    </w:pPr>
  </w:style>
  <w:style w:type="paragraph" w:customStyle="1" w:styleId="Parag1">
    <w:name w:val="Parag_1"/>
    <w:basedOn w:val="Normal"/>
    <w:link w:val="Parag1Char"/>
    <w:qFormat/>
    <w:rsid w:val="00B73AC7"/>
    <w:pPr>
      <w:ind w:left="624"/>
      <w:contextualSpacing/>
    </w:pPr>
  </w:style>
  <w:style w:type="paragraph" w:customStyle="1" w:styleId="Parag1bullet">
    <w:name w:val="Parag_1 bullet"/>
    <w:basedOn w:val="Parag1"/>
    <w:link w:val="Parag1bulletChar"/>
    <w:qFormat/>
    <w:rsid w:val="00F043A7"/>
  </w:style>
  <w:style w:type="character" w:customStyle="1" w:styleId="Parag1Char">
    <w:name w:val="Parag_1 Char"/>
    <w:basedOn w:val="DefaultParagraphFont"/>
    <w:link w:val="Parag1"/>
    <w:rsid w:val="00B73AC7"/>
    <w:rPr>
      <w:rFonts w:ascii="Calibri" w:hAnsi="Calibri"/>
      <w:sz w:val="20"/>
    </w:rPr>
  </w:style>
  <w:style w:type="paragraph" w:customStyle="1" w:styleId="Parag2">
    <w:name w:val="Parag 2"/>
    <w:basedOn w:val="Parag1"/>
    <w:link w:val="Parag2Char"/>
    <w:qFormat/>
    <w:rsid w:val="00B73AC7"/>
    <w:pPr>
      <w:ind w:left="1134" w:hanging="198"/>
    </w:pPr>
  </w:style>
  <w:style w:type="character" w:customStyle="1" w:styleId="Parag1bulletChar">
    <w:name w:val="Parag_1 bullet Char"/>
    <w:basedOn w:val="Parag1Char"/>
    <w:link w:val="Parag1bullet"/>
    <w:rsid w:val="00F043A7"/>
    <w:rPr>
      <w:rFonts w:ascii="Calibri" w:hAnsi="Calibri"/>
      <w:sz w:val="20"/>
    </w:rPr>
  </w:style>
  <w:style w:type="paragraph" w:customStyle="1" w:styleId="Parag3">
    <w:name w:val="Parag_3"/>
    <w:basedOn w:val="Parag2"/>
    <w:link w:val="Parag3Char"/>
    <w:qFormat/>
    <w:rsid w:val="00B73AC7"/>
    <w:pPr>
      <w:ind w:left="2154" w:hanging="357"/>
      <w:mirrorIndents/>
    </w:pPr>
  </w:style>
  <w:style w:type="character" w:customStyle="1" w:styleId="Parag2Char">
    <w:name w:val="Parag 2 Char"/>
    <w:basedOn w:val="Parag1Char"/>
    <w:link w:val="Parag2"/>
    <w:rsid w:val="00B73AC7"/>
    <w:rPr>
      <w:rFonts w:ascii="Calibri" w:hAnsi="Calibri"/>
      <w:sz w:val="20"/>
    </w:rPr>
  </w:style>
  <w:style w:type="character" w:customStyle="1" w:styleId="Parag3Char">
    <w:name w:val="Parag_3 Char"/>
    <w:basedOn w:val="Parag2Char"/>
    <w:link w:val="Parag3"/>
    <w:rsid w:val="00B73AC7"/>
    <w:rPr>
      <w:rFonts w:ascii="Calibri" w:hAnsi="Calibri"/>
      <w:sz w:val="20"/>
    </w:rPr>
  </w:style>
  <w:style w:type="paragraph" w:styleId="Title">
    <w:name w:val="Title"/>
    <w:basedOn w:val="Normal"/>
    <w:next w:val="Normal"/>
    <w:link w:val="TitleChar"/>
    <w:uiPriority w:val="10"/>
    <w:qFormat/>
    <w:rsid w:val="00BF4113"/>
    <w:pPr>
      <w:suppressAutoHyphens/>
      <w:autoSpaceDN w:val="0"/>
      <w:spacing w:after="0" w:line="240" w:lineRule="auto"/>
      <w:contextualSpacing/>
      <w:jc w:val="left"/>
      <w:textAlignment w:val="baseline"/>
    </w:pPr>
    <w:rPr>
      <w:rFonts w:asciiTheme="majorHAnsi" w:eastAsiaTheme="majorEastAsia" w:hAnsiTheme="majorHAnsi" w:cstheme="majorBidi"/>
      <w:spacing w:val="-10"/>
      <w:kern w:val="28"/>
      <w:sz w:val="56"/>
      <w:szCs w:val="56"/>
      <w:lang w:val="es-CO" w:eastAsia="en-US"/>
      <w14:ligatures w14:val="none"/>
    </w:rPr>
  </w:style>
  <w:style w:type="character" w:customStyle="1" w:styleId="TitleChar">
    <w:name w:val="Title Char"/>
    <w:basedOn w:val="DefaultParagraphFont"/>
    <w:link w:val="Title"/>
    <w:uiPriority w:val="10"/>
    <w:rsid w:val="00BF4113"/>
    <w:rPr>
      <w:rFonts w:asciiTheme="majorHAnsi" w:eastAsiaTheme="majorEastAsia" w:hAnsiTheme="majorHAnsi" w:cstheme="majorBidi"/>
      <w:spacing w:val="-10"/>
      <w:kern w:val="28"/>
      <w:sz w:val="56"/>
      <w:szCs w:val="56"/>
      <w:lang w:val="es-CO" w:eastAsia="en-US"/>
      <w14:ligatures w14:val="none"/>
    </w:rPr>
  </w:style>
  <w:style w:type="table" w:customStyle="1" w:styleId="Tablaconcuadrcula1">
    <w:name w:val="Tabla con cuadrícula1"/>
    <w:basedOn w:val="TableNormal"/>
    <w:next w:val="TableGrid"/>
    <w:uiPriority w:val="39"/>
    <w:rsid w:val="00BF4113"/>
    <w:pPr>
      <w:spacing w:after="0" w:line="240" w:lineRule="auto"/>
    </w:pPr>
    <w:rPr>
      <w:rFonts w:ascii="Aptos" w:eastAsia="Aptos" w:hAnsi="Aptos" w:cs="Times New Roman"/>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625745"/>
    <w:pPr>
      <w:numPr>
        <w:numId w:val="31"/>
      </w:numPr>
    </w:pPr>
  </w:style>
  <w:style w:type="numbering" w:customStyle="1" w:styleId="Listaactual2">
    <w:name w:val="Lista actual2"/>
    <w:uiPriority w:val="99"/>
    <w:rsid w:val="00625745"/>
    <w:pPr>
      <w:numPr>
        <w:numId w:val="33"/>
      </w:numPr>
    </w:pPr>
  </w:style>
  <w:style w:type="character" w:styleId="PageNumber">
    <w:name w:val="page number"/>
    <w:basedOn w:val="DefaultParagraphFont"/>
    <w:uiPriority w:val="99"/>
    <w:semiHidden/>
    <w:unhideWhenUsed/>
    <w:rsid w:val="00CC2947"/>
  </w:style>
  <w:style w:type="numbering" w:customStyle="1" w:styleId="Listaactual3">
    <w:name w:val="Lista actual3"/>
    <w:uiPriority w:val="99"/>
    <w:rsid w:val="004E65BE"/>
    <w:pPr>
      <w:numPr>
        <w:numId w:val="48"/>
      </w:numPr>
    </w:pPr>
  </w:style>
  <w:style w:type="table" w:customStyle="1" w:styleId="Sombreadoclaro1">
    <w:name w:val="Sombreado claro1"/>
    <w:basedOn w:val="TableNormal"/>
    <w:next w:val="LightShading"/>
    <w:uiPriority w:val="60"/>
    <w:rsid w:val="009F584B"/>
    <w:pPr>
      <w:spacing w:after="0" w:line="240" w:lineRule="auto"/>
    </w:pPr>
    <w:rPr>
      <w:rFonts w:eastAsia="MS Mincho"/>
      <w:color w:val="000000"/>
      <w:kern w:val="0"/>
      <w:lang w:eastAsia="en-US"/>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9F584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C66FBD"/>
    <w:pPr>
      <w:spacing w:before="100" w:beforeAutospacing="1" w:after="100" w:afterAutospacing="1" w:line="240" w:lineRule="auto"/>
      <w:jc w:val="left"/>
    </w:pPr>
    <w:rPr>
      <w:rFonts w:ascii="Times New Roman" w:eastAsia="Times New Roman" w:hAnsi="Times New Roman" w:cs="Times New Roman"/>
      <w:kern w:val="0"/>
      <w:sz w:val="24"/>
      <w:lang w:val="en-GB" w:eastAsia="en-GB"/>
      <w14:ligatures w14:val="none"/>
    </w:rPr>
  </w:style>
  <w:style w:type="character" w:customStyle="1" w:styleId="author">
    <w:name w:val="author"/>
    <w:basedOn w:val="DefaultParagraphFont"/>
    <w:rsid w:val="00F75BD4"/>
  </w:style>
  <w:style w:type="character" w:customStyle="1" w:styleId="rynqvb">
    <w:name w:val="rynqvb"/>
    <w:basedOn w:val="DefaultParagraphFont"/>
    <w:rsid w:val="00F75BD4"/>
  </w:style>
  <w:style w:type="paragraph" w:customStyle="1" w:styleId="Subheading">
    <w:name w:val="Subheading"/>
    <w:basedOn w:val="Heading1"/>
    <w:link w:val="SubheadingChar"/>
    <w:qFormat/>
    <w:rsid w:val="00815270"/>
    <w:pPr>
      <w:numPr>
        <w:numId w:val="0"/>
      </w:numPr>
      <w:spacing w:before="120" w:after="120"/>
    </w:pPr>
  </w:style>
  <w:style w:type="character" w:customStyle="1" w:styleId="SubheadingChar">
    <w:name w:val="Subheading Char"/>
    <w:basedOn w:val="Heading1Char"/>
    <w:link w:val="Subheading"/>
    <w:rsid w:val="00815270"/>
    <w:rPr>
      <w:rFonts w:ascii="Calibri" w:eastAsiaTheme="majorEastAsia" w:hAnsi="Calibri" w:cs="Calibri"/>
      <w:b/>
      <w:bCs/>
      <w:color w:val="336666"/>
      <w:kern w:val="0"/>
      <w:sz w:val="28"/>
      <w:szCs w:val="28"/>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9140211">
      <w:bodyDiv w:val="1"/>
      <w:marLeft w:val="0"/>
      <w:marRight w:val="0"/>
      <w:marTop w:val="0"/>
      <w:marBottom w:val="0"/>
      <w:divBdr>
        <w:top w:val="none" w:sz="0" w:space="0" w:color="auto"/>
        <w:left w:val="none" w:sz="0" w:space="0" w:color="auto"/>
        <w:bottom w:val="none" w:sz="0" w:space="0" w:color="auto"/>
        <w:right w:val="none" w:sz="0" w:space="0" w:color="auto"/>
      </w:divBdr>
    </w:div>
    <w:div w:id="1635984406">
      <w:bodyDiv w:val="1"/>
      <w:marLeft w:val="0"/>
      <w:marRight w:val="0"/>
      <w:marTop w:val="0"/>
      <w:marBottom w:val="0"/>
      <w:divBdr>
        <w:top w:val="none" w:sz="0" w:space="0" w:color="auto"/>
        <w:left w:val="none" w:sz="0" w:space="0" w:color="auto"/>
        <w:bottom w:val="none" w:sz="0" w:space="0" w:color="auto"/>
        <w:right w:val="none" w:sz="0" w:space="0" w:color="auto"/>
      </w:divBdr>
    </w:div>
    <w:div w:id="2102338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uropa.eu/capacity4dev/value-chain-analysis-for-development-vca4d-" TargetMode="External"/><Relationship Id="rId21" Type="http://schemas.openxmlformats.org/officeDocument/2006/relationships/hyperlink" Target="https://europa.eu/capacity4dev/value-chain-analysis-for-development-vca4d-" TargetMode="External"/><Relationship Id="rId42" Type="http://schemas.openxmlformats.org/officeDocument/2006/relationships/image" Target="media/image3.jpeg"/><Relationship Id="rId47" Type="http://schemas.openxmlformats.org/officeDocument/2006/relationships/image" Target="media/image8.jpeg"/><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image" Target="media/image40.png"/><Relationship Id="rId89" Type="http://schemas.openxmlformats.org/officeDocument/2006/relationships/fontTable" Target="fontTable.xml"/><Relationship Id="rId16" Type="http://schemas.openxmlformats.org/officeDocument/2006/relationships/hyperlink" Target="http://agrinatura-eu.eu" TargetMode="External"/><Relationship Id="rId11" Type="http://schemas.openxmlformats.org/officeDocument/2006/relationships/hyperlink" Target="http://agrinatura-eu.eu" TargetMode="External"/><Relationship Id="rId32" Type="http://schemas.openxmlformats.org/officeDocument/2006/relationships/hyperlink" Target="https://europa.eu/capacity4dev/value-chain-analysis-for-development-vca4d-" TargetMode="External"/><Relationship Id="rId37" Type="http://schemas.openxmlformats.org/officeDocument/2006/relationships/hyperlink" Target="https://europa.eu/capacity4dev/value-chain-analysis-for-development-vca4d-" TargetMode="External"/><Relationship Id="rId53" Type="http://schemas.openxmlformats.org/officeDocument/2006/relationships/image" Target="media/image13.png"/><Relationship Id="rId58" Type="http://schemas.openxmlformats.org/officeDocument/2006/relationships/image" Target="media/image18.png"/><Relationship Id="rId74" Type="http://schemas.openxmlformats.org/officeDocument/2006/relationships/image" Target="media/image34.png"/><Relationship Id="rId79" Type="http://schemas.openxmlformats.org/officeDocument/2006/relationships/hyperlink" Target="https://agroplus-mali.com/index_en.php?utm_source=chatgpt.com%20e"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agrinatura-eu.eu" TargetMode="External"/><Relationship Id="rId22" Type="http://schemas.openxmlformats.org/officeDocument/2006/relationships/hyperlink" Target="https://europa.eu/capacity4dev/value-chain-analysis-for-development-vca4d-" TargetMode="External"/><Relationship Id="rId27" Type="http://schemas.openxmlformats.org/officeDocument/2006/relationships/hyperlink" Target="https://europa.eu/capacity4dev/value-chain-analysis-for-development-vca4d-" TargetMode="External"/><Relationship Id="rId30" Type="http://schemas.openxmlformats.org/officeDocument/2006/relationships/hyperlink" Target="https://europa.eu/capacity4dev/value-chain-analysis-for-development-vca4d-" TargetMode="External"/><Relationship Id="rId35" Type="http://schemas.openxmlformats.org/officeDocument/2006/relationships/hyperlink" Target="https://europa.eu/capacity4dev/value-chain-analysis-for-development-vca4d-" TargetMode="External"/><Relationship Id="rId43" Type="http://schemas.openxmlformats.org/officeDocument/2006/relationships/image" Target="media/image4.jpeg"/><Relationship Id="rId48" Type="http://schemas.openxmlformats.org/officeDocument/2006/relationships/image" Target="media/image9.png"/><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image" Target="media/image37.png"/><Relationship Id="rId8" Type="http://schemas.openxmlformats.org/officeDocument/2006/relationships/footer" Target="footer1.xml"/><Relationship Id="rId51" Type="http://schemas.openxmlformats.org/officeDocument/2006/relationships/image" Target="media/image11.jpeg"/><Relationship Id="rId72" Type="http://schemas.openxmlformats.org/officeDocument/2006/relationships/image" Target="media/image32.png"/><Relationship Id="rId80" Type="http://schemas.openxmlformats.org/officeDocument/2006/relationships/hyperlink" Target="https://www.alimenterre.org/paniers-paysans-et-certification-participative" TargetMode="External"/><Relationship Id="rId85"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agrinatura-eu.eu" TargetMode="External"/><Relationship Id="rId17" Type="http://schemas.openxmlformats.org/officeDocument/2006/relationships/hyperlink" Target="https://europa.eu/capacity4dev/value-chain-analysis-for-development-vca4d-" TargetMode="External"/><Relationship Id="rId25" Type="http://schemas.openxmlformats.org/officeDocument/2006/relationships/hyperlink" Target="https://europa.eu/capacity4dev/value-chain-analysis-for-development-vca4d-" TargetMode="External"/><Relationship Id="rId33" Type="http://schemas.openxmlformats.org/officeDocument/2006/relationships/hyperlink" Target="https://europa.eu/capacity4dev/value-chain-analysis-for-development-vca4d-" TargetMode="External"/><Relationship Id="rId38" Type="http://schemas.openxmlformats.org/officeDocument/2006/relationships/hyperlink" Target="https://europa.eu/capacity4dev/value-chain-analysis-for-development-vca4d-" TargetMode="External"/><Relationship Id="rId46" Type="http://schemas.openxmlformats.org/officeDocument/2006/relationships/image" Target="media/image7.jpeg"/><Relationship Id="rId59" Type="http://schemas.openxmlformats.org/officeDocument/2006/relationships/image" Target="media/image19.emf"/><Relationship Id="rId67" Type="http://schemas.openxmlformats.org/officeDocument/2006/relationships/image" Target="media/image27.png"/><Relationship Id="rId20" Type="http://schemas.openxmlformats.org/officeDocument/2006/relationships/hyperlink" Target="https://europa.eu/capacity4dev/value-chain-analysis-for-development-vca4d-" TargetMode="External"/><Relationship Id="rId41" Type="http://schemas.openxmlformats.org/officeDocument/2006/relationships/image" Target="media/image2.png"/><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39.emf"/><Relationship Id="rId88"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grinatura-eu.eu" TargetMode="External"/><Relationship Id="rId23" Type="http://schemas.openxmlformats.org/officeDocument/2006/relationships/hyperlink" Target="https://europa.eu/capacity4dev/value-chain-analysis-for-development-vca4d-" TargetMode="External"/><Relationship Id="rId28" Type="http://schemas.openxmlformats.org/officeDocument/2006/relationships/hyperlink" Target="https://europa.eu/capacity4dev/value-chain-analysis-for-development-vca4d-" TargetMode="External"/><Relationship Id="rId36" Type="http://schemas.openxmlformats.org/officeDocument/2006/relationships/hyperlink" Target="https://europa.eu/capacity4dev/value-chain-analysis-for-development-vca4d-" TargetMode="External"/><Relationship Id="rId49" Type="http://schemas.openxmlformats.org/officeDocument/2006/relationships/image" Target="media/image10.png"/><Relationship Id="rId57" Type="http://schemas.openxmlformats.org/officeDocument/2006/relationships/image" Target="media/image17.png"/><Relationship Id="rId10" Type="http://schemas.openxmlformats.org/officeDocument/2006/relationships/image" Target="media/image1.jpeg"/><Relationship Id="rId31" Type="http://schemas.openxmlformats.org/officeDocument/2006/relationships/hyperlink" Target="https://europa.eu/capacity4dev/value-chain-analysis-for-development-vca4d-" TargetMode="External"/><Relationship Id="rId44" Type="http://schemas.openxmlformats.org/officeDocument/2006/relationships/image" Target="media/image5.jpeg"/><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hyperlink" Target="https://cgspace.cgiar.org/server/api/core/bitstreams/75419ae3-5633-444d-8012-8ced9d0303e7/content?utm_source=chatgpt.com" TargetMode="External"/><Relationship Id="rId81" Type="http://schemas.openxmlformats.org/officeDocument/2006/relationships/hyperlink" Target="https://www.inter-reseaux.org/ressource/transformation-des-cereales-locales-fruits-et-legumes-lafao-implante-une-unite-de-production-a-rufisque/?" TargetMode="External"/><Relationship Id="rId86"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agrinatura-eu.eu" TargetMode="External"/><Relationship Id="rId18" Type="http://schemas.openxmlformats.org/officeDocument/2006/relationships/hyperlink" Target="https://europa.eu/capacity4dev/value-chain-analysis-for-development-vca4d-" TargetMode="External"/><Relationship Id="rId39" Type="http://schemas.openxmlformats.org/officeDocument/2006/relationships/hyperlink" Target="https://europa.eu/capacity4dev/value-chain-analysis-for-development-vca4d-" TargetMode="External"/><Relationship Id="rId34" Type="http://schemas.openxmlformats.org/officeDocument/2006/relationships/hyperlink" Target="https://europa.eu/capacity4dev/value-chain-analysis-for-development-vca4d-" TargetMode="External"/><Relationship Id="rId50" Type="http://schemas.openxmlformats.org/officeDocument/2006/relationships/hyperlink" Target="https://www.worldbank.org" TargetMode="External"/><Relationship Id="rId55" Type="http://schemas.openxmlformats.org/officeDocument/2006/relationships/image" Target="media/image15.png"/><Relationship Id="rId76"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hyperlink" Target="https://europa.eu/capacity4dev/value-chain-analysis-for-development-vca4d-" TargetMode="External"/><Relationship Id="rId24" Type="http://schemas.openxmlformats.org/officeDocument/2006/relationships/hyperlink" Target="https://europa.eu/capacity4dev/value-chain-analysis-for-development-vca4d-" TargetMode="External"/><Relationship Id="rId40" Type="http://schemas.openxmlformats.org/officeDocument/2006/relationships/hyperlink" Target="https://europa.eu/capacity4dev/value-chain-analysis-for-development-vca4d-" TargetMode="External"/><Relationship Id="rId45" Type="http://schemas.openxmlformats.org/officeDocument/2006/relationships/image" Target="media/image6.jpeg"/><Relationship Id="rId66" Type="http://schemas.openxmlformats.org/officeDocument/2006/relationships/image" Target="media/image26.png"/><Relationship Id="rId87" Type="http://schemas.openxmlformats.org/officeDocument/2006/relationships/image" Target="media/image43.emf"/><Relationship Id="rId61" Type="http://schemas.openxmlformats.org/officeDocument/2006/relationships/image" Target="media/image21.png"/><Relationship Id="rId82" Type="http://schemas.openxmlformats.org/officeDocument/2006/relationships/image" Target="media/image38.emf"/><Relationship Id="rId19" Type="http://schemas.openxmlformats.org/officeDocument/2006/relationships/hyperlink" Target="https://europa.eu/capacity4dev/value-chain-analysis-for-development-vca4d-"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FAO25</b:Tag>
    <b:SourceType>Report</b:SourceType>
    <b:Guid>{46839D66-C6AA-4A41-874A-2A210E39201F}</b:Guid>
    <b:Author>
      <b:Author>
        <b:NameList>
          <b:Person>
            <b:Last>FAO</b:Last>
          </b:Person>
        </b:NameList>
      </b:Author>
    </b:Author>
    <b:Title>CROISSANCE AGRICOLE EN AFRIQUE DE l'OUEST</b:Title>
    <b:Year>2015</b:Year>
    <b:City>Rome</b:City>
    <b:RefOrder>1</b:RefOrder>
  </b:Source>
</b:Sources>
</file>

<file path=customXml/itemProps1.xml><?xml version="1.0" encoding="utf-8"?>
<ds:datastoreItem xmlns:ds="http://schemas.openxmlformats.org/officeDocument/2006/customXml" ds:itemID="{A69B11E4-46BE-44B5-AE9A-7FCB45B29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66</Pages>
  <Words>23230</Words>
  <Characters>132880</Characters>
  <Application>Microsoft Office Word</Application>
  <DocSecurity>0</DocSecurity>
  <Lines>3240</Lines>
  <Paragraphs>1836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 Ramos</dc:creator>
  <cp:keywords/>
  <dc:description/>
  <cp:lastModifiedBy>Sara Baumgart</cp:lastModifiedBy>
  <cp:revision>3</cp:revision>
  <dcterms:created xsi:type="dcterms:W3CDTF">2026-01-28T14:50:00Z</dcterms:created>
  <dcterms:modified xsi:type="dcterms:W3CDTF">2026-01-29T11:27:00Z</dcterms:modified>
</cp:coreProperties>
</file>