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1AD60" w14:textId="6CADDFA2" w:rsidR="00483473" w:rsidRDefault="005C2AA9" w:rsidP="00483473">
      <w:pPr>
        <w:spacing w:after="200"/>
        <w:contextualSpacing w:val="0"/>
        <w:jc w:val="left"/>
        <w:rPr>
          <w:rFonts w:cs="Open Sans"/>
          <w:bCs/>
          <w:lang w:val="en-GB"/>
        </w:rPr>
      </w:pPr>
      <w:bookmarkStart w:id="0" w:name="_Hlk519242879"/>
      <w:r>
        <w:rPr>
          <w:noProof/>
        </w:rPr>
        <w:drawing>
          <wp:inline distT="0" distB="0" distL="0" distR="0" wp14:anchorId="3F336C9D" wp14:editId="0C2629E1">
            <wp:extent cx="7765366" cy="10058400"/>
            <wp:effectExtent l="0" t="0" r="7620" b="0"/>
            <wp:docPr id="1881097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0547" cy="10065111"/>
                    </a:xfrm>
                    <a:prstGeom prst="rect">
                      <a:avLst/>
                    </a:prstGeom>
                    <a:noFill/>
                    <a:ln>
                      <a:noFill/>
                    </a:ln>
                  </pic:spPr>
                </pic:pic>
              </a:graphicData>
            </a:graphic>
          </wp:inline>
        </w:drawing>
      </w:r>
      <w:r w:rsidR="00483473">
        <w:rPr>
          <w:rFonts w:cs="Open Sans"/>
          <w:bCs/>
          <w:lang w:val="en-GB"/>
        </w:rPr>
        <w:br w:type="page"/>
      </w:r>
    </w:p>
    <w:p w14:paraId="62E50155" w14:textId="77777777" w:rsidR="00483473" w:rsidRDefault="00483473" w:rsidP="00483473">
      <w:pPr>
        <w:spacing w:after="200"/>
        <w:contextualSpacing w:val="0"/>
        <w:jc w:val="left"/>
        <w:rPr>
          <w:rFonts w:cs="Open Sans"/>
          <w:bCs/>
          <w:lang w:val="en-GB"/>
        </w:rPr>
        <w:sectPr w:rsidR="00483473" w:rsidSect="00483473">
          <w:footerReference w:type="even" r:id="rId10"/>
          <w:footerReference w:type="default" r:id="rId11"/>
          <w:pgSz w:w="12240" w:h="15840" w:code="1"/>
          <w:pgMar w:top="0" w:right="0" w:bottom="0" w:left="0" w:header="578" w:footer="720" w:gutter="0"/>
          <w:cols w:space="720"/>
          <w:titlePg/>
          <w:docGrid w:linePitch="360"/>
        </w:sectPr>
      </w:pPr>
    </w:p>
    <w:bookmarkEnd w:id="0"/>
    <w:p w14:paraId="06710255" w14:textId="77777777" w:rsidR="00483473" w:rsidRPr="00C70FA9" w:rsidRDefault="00483473" w:rsidP="00483473">
      <w:pPr>
        <w:spacing w:after="200"/>
        <w:contextualSpacing w:val="0"/>
        <w:rPr>
          <w:rFonts w:cs="Open Sans"/>
          <w:sz w:val="20"/>
          <w:szCs w:val="20"/>
          <w:lang w:val="en-GB"/>
        </w:rPr>
      </w:pPr>
      <w:r w:rsidRPr="00C70FA9">
        <w:rPr>
          <w:rFonts w:cs="Open Sans"/>
          <w:sz w:val="20"/>
          <w:szCs w:val="20"/>
          <w:lang w:val="en-GB"/>
        </w:rPr>
        <w:lastRenderedPageBreak/>
        <w:t xml:space="preserve">Value Chain Analysis for Development (VCA4D) is a tool funded by the European Commission / INTPA and is implemented in partnership with Agrinatura. </w:t>
      </w:r>
    </w:p>
    <w:p w14:paraId="3873324C" w14:textId="77777777" w:rsidR="00483473" w:rsidRPr="00772014" w:rsidRDefault="00483473" w:rsidP="00483473">
      <w:pPr>
        <w:pStyle w:val="BasicParagraph"/>
        <w:tabs>
          <w:tab w:val="left" w:pos="283"/>
        </w:tabs>
        <w:suppressAutoHyphens/>
        <w:spacing w:before="113"/>
        <w:jc w:val="both"/>
        <w:rPr>
          <w:rFonts w:ascii="Open Sans" w:hAnsi="Open Sans" w:cs="Open Sans"/>
          <w:color w:val="auto"/>
          <w:sz w:val="20"/>
          <w:szCs w:val="20"/>
          <w:lang w:val="en-GB"/>
        </w:rPr>
      </w:pPr>
      <w:r w:rsidRPr="00772014">
        <w:rPr>
          <w:rFonts w:ascii="Open Sans" w:hAnsi="Open Sans" w:cs="Open Sans"/>
          <w:bCs/>
          <w:color w:val="auto"/>
          <w:sz w:val="20"/>
          <w:szCs w:val="20"/>
          <w:lang w:val="en-GB"/>
        </w:rPr>
        <w:t xml:space="preserve">Agrinatura </w:t>
      </w:r>
      <w:r w:rsidRPr="00772014">
        <w:rPr>
          <w:rFonts w:ascii="Open Sans" w:hAnsi="Open Sans" w:cs="Open Sans"/>
          <w:color w:val="auto"/>
          <w:sz w:val="20"/>
          <w:szCs w:val="20"/>
          <w:lang w:val="en-GB"/>
        </w:rPr>
        <w:t>(</w:t>
      </w:r>
      <w:hyperlink r:id="rId12" w:history="1">
        <w:r w:rsidRPr="00772014">
          <w:rPr>
            <w:rStyle w:val="Hyperlink"/>
            <w:rFonts w:cs="Open Sans"/>
            <w:szCs w:val="20"/>
            <w:lang w:val="en-GB"/>
          </w:rPr>
          <w:t>http://agrinatura-eu.eu</w:t>
        </w:r>
      </w:hyperlink>
      <w:r w:rsidRPr="00772014">
        <w:rPr>
          <w:rFonts w:ascii="Open Sans" w:hAnsi="Open Sans" w:cs="Open Sans"/>
          <w:color w:val="auto"/>
          <w:sz w:val="20"/>
          <w:szCs w:val="20"/>
          <w:lang w:val="en-GB"/>
        </w:rPr>
        <w:t xml:space="preserve">) is the European Alliance of Universities and Research </w:t>
      </w:r>
      <w:proofErr w:type="spellStart"/>
      <w:r w:rsidRPr="00772014">
        <w:rPr>
          <w:rFonts w:ascii="Open Sans" w:hAnsi="Open Sans" w:cs="Open Sans"/>
          <w:color w:val="auto"/>
          <w:sz w:val="20"/>
          <w:szCs w:val="20"/>
          <w:lang w:val="en-GB"/>
        </w:rPr>
        <w:t>Centers</w:t>
      </w:r>
      <w:proofErr w:type="spellEnd"/>
      <w:r w:rsidRPr="00772014">
        <w:rPr>
          <w:rFonts w:ascii="Open Sans" w:hAnsi="Open Sans" w:cs="Open Sans"/>
          <w:color w:val="auto"/>
          <w:sz w:val="20"/>
          <w:szCs w:val="20"/>
          <w:lang w:val="en-GB"/>
        </w:rPr>
        <w:t xml:space="preserve"> involved in agricultural research and capacity building for development. </w:t>
      </w:r>
    </w:p>
    <w:p w14:paraId="365D6906" w14:textId="77777777" w:rsidR="00483473" w:rsidRPr="00772014" w:rsidRDefault="00483473" w:rsidP="00483473">
      <w:pPr>
        <w:pStyle w:val="BasicParagraph"/>
        <w:tabs>
          <w:tab w:val="left" w:pos="283"/>
        </w:tabs>
        <w:suppressAutoHyphens/>
        <w:spacing w:before="113"/>
        <w:jc w:val="both"/>
        <w:rPr>
          <w:rFonts w:ascii="Open Sans" w:hAnsi="Open Sans" w:cs="Open Sans"/>
          <w:color w:val="auto"/>
          <w:sz w:val="20"/>
          <w:szCs w:val="20"/>
          <w:lang w:val="en-GB"/>
        </w:rPr>
      </w:pPr>
      <w:r w:rsidRPr="00772014">
        <w:rPr>
          <w:rFonts w:ascii="Open Sans" w:hAnsi="Open Sans" w:cs="Open Sans"/>
          <w:color w:val="auto"/>
          <w:sz w:val="20"/>
          <w:szCs w:val="20"/>
          <w:lang w:val="en-GB"/>
        </w:rPr>
        <w:t xml:space="preserve">The information and knowledge produced through the value chain studies are intended to support </w:t>
      </w:r>
      <w:r w:rsidRPr="00772014">
        <w:rPr>
          <w:rFonts w:ascii="Open Sans" w:hAnsi="Open Sans" w:cs="Open Sans"/>
          <w:bCs/>
          <w:color w:val="auto"/>
          <w:sz w:val="20"/>
          <w:szCs w:val="20"/>
          <w:lang w:val="en-GB"/>
        </w:rPr>
        <w:t xml:space="preserve">the Delegations of the European Union </w:t>
      </w:r>
      <w:r w:rsidRPr="00772014">
        <w:rPr>
          <w:rFonts w:ascii="Open Sans" w:hAnsi="Open Sans" w:cs="Open Sans"/>
          <w:color w:val="auto"/>
          <w:sz w:val="20"/>
          <w:szCs w:val="20"/>
          <w:lang w:val="en-GB"/>
        </w:rPr>
        <w:t>and their partners in improving policy dialogue, investing in value chains and better understanding the changes linked to their actions</w:t>
      </w:r>
    </w:p>
    <w:p w14:paraId="3892D5BC" w14:textId="77777777" w:rsidR="00483473" w:rsidRPr="001F3201" w:rsidRDefault="00483473" w:rsidP="00483473">
      <w:pPr>
        <w:pStyle w:val="BasicParagraph"/>
        <w:tabs>
          <w:tab w:val="left" w:pos="283"/>
        </w:tabs>
        <w:suppressAutoHyphens/>
        <w:spacing w:before="113"/>
        <w:jc w:val="both"/>
        <w:rPr>
          <w:rFonts w:ascii="Open Sans" w:hAnsi="Open Sans" w:cs="Open Sans"/>
          <w:color w:val="auto"/>
          <w:sz w:val="20"/>
          <w:szCs w:val="20"/>
          <w:u w:val="single"/>
          <w:lang w:val="en-GB"/>
        </w:rPr>
      </w:pPr>
      <w:r w:rsidRPr="00772014">
        <w:rPr>
          <w:rFonts w:ascii="Open Sans" w:hAnsi="Open Sans" w:cs="Open Sans"/>
          <w:color w:val="auto"/>
          <w:sz w:val="20"/>
          <w:szCs w:val="20"/>
          <w:lang w:val="en-GB"/>
        </w:rPr>
        <w:t xml:space="preserve">VCA4D uses a systematic methodological framework for analysing value chains in agriculture, livestock, fishery, aquaculture and agroforestry. More information including reports and communication material can be found at: </w:t>
      </w:r>
      <w:hyperlink r:id="rId13" w:history="1">
        <w:r w:rsidRPr="003D3B6E">
          <w:rPr>
            <w:rStyle w:val="Hyperlink"/>
            <w:rFonts w:cs="Open Sans"/>
            <w:szCs w:val="20"/>
            <w:lang w:val="en-GB"/>
          </w:rPr>
          <w:t>https://europa.eu/capacity4dev/value-chain-analysis-for-development-vca4d-</w:t>
        </w:r>
      </w:hyperlink>
      <w:r>
        <w:rPr>
          <w:rFonts w:ascii="Open Sans" w:hAnsi="Open Sans" w:cs="Open Sans"/>
          <w:sz w:val="20"/>
          <w:szCs w:val="20"/>
          <w:lang w:val="en-GB"/>
        </w:rPr>
        <w:t xml:space="preserve"> </w:t>
      </w:r>
    </w:p>
    <w:p w14:paraId="741E5CDE" w14:textId="77777777" w:rsidR="00483473" w:rsidRDefault="00483473" w:rsidP="00483473">
      <w:pPr>
        <w:jc w:val="left"/>
      </w:pPr>
      <w:r>
        <w:t>For this VCA4D study COLEAD (</w:t>
      </w:r>
      <w:r w:rsidRPr="00691A26">
        <w:t>https://www.colead.link/</w:t>
      </w:r>
      <w:r>
        <w:t xml:space="preserve">) has provided information on market trends on national, regional and international markets and useful complementary elements or sources.    </w:t>
      </w:r>
    </w:p>
    <w:p w14:paraId="4BDDAD1B" w14:textId="77777777" w:rsidR="00483473" w:rsidRDefault="00483473" w:rsidP="00483473">
      <w:pPr>
        <w:jc w:val="left"/>
      </w:pPr>
    </w:p>
    <w:p w14:paraId="1246B369" w14:textId="77777777" w:rsidR="00483473" w:rsidRDefault="00483473" w:rsidP="00483473">
      <w:pPr>
        <w:jc w:val="left"/>
      </w:pPr>
    </w:p>
    <w:p w14:paraId="3D5D8B60" w14:textId="77777777" w:rsidR="00483473" w:rsidRDefault="00483473" w:rsidP="00483473">
      <w:pPr>
        <w:jc w:val="left"/>
      </w:pPr>
    </w:p>
    <w:p w14:paraId="25BACF29" w14:textId="77777777" w:rsidR="00483473" w:rsidRDefault="00483473" w:rsidP="00483473">
      <w:pPr>
        <w:rPr>
          <w:color w:val="4472C4" w:themeColor="accent1"/>
        </w:rPr>
      </w:pPr>
    </w:p>
    <w:p w14:paraId="0AAA2274" w14:textId="77777777" w:rsidR="00483473" w:rsidRDefault="00483473" w:rsidP="00483473">
      <w:pPr>
        <w:rPr>
          <w:color w:val="4472C4" w:themeColor="accent1"/>
        </w:rPr>
      </w:pPr>
    </w:p>
    <w:p w14:paraId="3BF8655A" w14:textId="77777777" w:rsidR="00483473" w:rsidRDefault="00483473" w:rsidP="00483473">
      <w:pPr>
        <w:rPr>
          <w:color w:val="4472C4" w:themeColor="accent1"/>
        </w:rPr>
      </w:pPr>
    </w:p>
    <w:p w14:paraId="435503CA" w14:textId="77777777" w:rsidR="00483473" w:rsidRDefault="00483473" w:rsidP="00483473">
      <w:pPr>
        <w:rPr>
          <w:color w:val="4472C4" w:themeColor="accent1"/>
        </w:rPr>
      </w:pPr>
    </w:p>
    <w:p w14:paraId="2F7F2AE9" w14:textId="77777777" w:rsidR="00483473" w:rsidRDefault="00483473" w:rsidP="00483473">
      <w:pPr>
        <w:rPr>
          <w:color w:val="4472C4" w:themeColor="accent1"/>
        </w:rPr>
      </w:pPr>
    </w:p>
    <w:p w14:paraId="3C9DEDE8" w14:textId="77777777" w:rsidR="00483473" w:rsidRDefault="00483473" w:rsidP="00483473">
      <w:pPr>
        <w:rPr>
          <w:color w:val="4472C4" w:themeColor="accent1"/>
        </w:rPr>
      </w:pPr>
    </w:p>
    <w:p w14:paraId="11BCBF24" w14:textId="77777777" w:rsidR="00483473" w:rsidRDefault="00483473" w:rsidP="00483473">
      <w:pPr>
        <w:rPr>
          <w:color w:val="4472C4" w:themeColor="accent1"/>
        </w:rPr>
      </w:pPr>
    </w:p>
    <w:p w14:paraId="10FD8419" w14:textId="77777777" w:rsidR="00483473" w:rsidRDefault="00483473" w:rsidP="00483473">
      <w:pPr>
        <w:rPr>
          <w:color w:val="4472C4" w:themeColor="accent1"/>
        </w:rPr>
      </w:pPr>
    </w:p>
    <w:p w14:paraId="68C17983" w14:textId="77777777" w:rsidR="00483473" w:rsidRDefault="00483473" w:rsidP="00483473">
      <w:pPr>
        <w:rPr>
          <w:color w:val="4472C4" w:themeColor="accent1"/>
        </w:rPr>
      </w:pPr>
    </w:p>
    <w:p w14:paraId="615F8CE6" w14:textId="77777777" w:rsidR="00483473" w:rsidRPr="009D5123" w:rsidRDefault="00483473" w:rsidP="00483473">
      <w:pPr>
        <w:rPr>
          <w:color w:val="4472C4" w:themeColor="accent1"/>
          <w:lang w:val="en-GB"/>
        </w:rPr>
      </w:pPr>
      <w:r>
        <w:rPr>
          <w:color w:val="4472C4" w:themeColor="accent1"/>
        </w:rPr>
        <w:t>T</w:t>
      </w:r>
      <w:proofErr w:type="spellStart"/>
      <w:r w:rsidRPr="009D5123">
        <w:rPr>
          <w:color w:val="4472C4" w:themeColor="accent1"/>
          <w:lang w:val="en-GB"/>
        </w:rPr>
        <w:t>eam</w:t>
      </w:r>
      <w:proofErr w:type="spellEnd"/>
      <w:r w:rsidRPr="009D5123">
        <w:rPr>
          <w:color w:val="4472C4" w:themeColor="accent1"/>
          <w:lang w:val="en-GB"/>
        </w:rPr>
        <w:t xml:space="preserve"> Composition </w:t>
      </w:r>
    </w:p>
    <w:p w14:paraId="29AD4C7E" w14:textId="77777777" w:rsidR="00483473" w:rsidRPr="003D0A7C" w:rsidRDefault="00483473" w:rsidP="00483473">
      <w:pPr>
        <w:rPr>
          <w:rFonts w:cs="Open Sans"/>
          <w:b/>
          <w:lang w:val="en-GB"/>
        </w:rPr>
      </w:pPr>
      <w:r>
        <w:rPr>
          <w:rFonts w:cs="Open Sans"/>
          <w:b/>
          <w:lang w:val="en-GB"/>
        </w:rPr>
        <w:softHyphen/>
      </w:r>
    </w:p>
    <w:p w14:paraId="785C37B1" w14:textId="77777777" w:rsidR="00483473" w:rsidRDefault="00483473" w:rsidP="00483473">
      <w:pPr>
        <w:rPr>
          <w:rFonts w:cs="Open Sans"/>
          <w:lang w:val="en-GB"/>
        </w:rPr>
      </w:pPr>
      <w:r>
        <w:rPr>
          <w:rFonts w:cs="Open Sans"/>
          <w:lang w:val="en-GB"/>
        </w:rPr>
        <w:t xml:space="preserve">Economist and Team Leader: Apurba </w:t>
      </w:r>
      <w:proofErr w:type="spellStart"/>
      <w:r>
        <w:rPr>
          <w:rFonts w:cs="Open Sans"/>
          <w:lang w:val="en-GB"/>
        </w:rPr>
        <w:t>Shee</w:t>
      </w:r>
      <w:proofErr w:type="spellEnd"/>
      <w:r>
        <w:rPr>
          <w:rFonts w:cs="Open Sans"/>
          <w:lang w:val="en-GB"/>
        </w:rPr>
        <w:t>, Natural Resources Institute, University of Greenwich, UK</w:t>
      </w:r>
    </w:p>
    <w:p w14:paraId="04D16ACE" w14:textId="48D5B4EA" w:rsidR="00483473" w:rsidRDefault="00483473" w:rsidP="00483473">
      <w:pPr>
        <w:rPr>
          <w:rFonts w:cs="Open Sans"/>
          <w:lang w:val="en-GB"/>
        </w:rPr>
      </w:pPr>
      <w:r>
        <w:rPr>
          <w:rFonts w:cs="Open Sans"/>
          <w:lang w:val="en-GB"/>
        </w:rPr>
        <w:t xml:space="preserve">Social Expert: </w:t>
      </w:r>
      <w:r w:rsidRPr="00C40882">
        <w:rPr>
          <w:rFonts w:cs="Open Sans"/>
          <w:lang w:val="en-GB"/>
        </w:rPr>
        <w:t>Jana Mazancova</w:t>
      </w:r>
      <w:r>
        <w:rPr>
          <w:rFonts w:cs="Open Sans"/>
          <w:lang w:val="en-GB"/>
        </w:rPr>
        <w:t xml:space="preserve">, </w:t>
      </w:r>
      <w:r w:rsidRPr="00C40882">
        <w:rPr>
          <w:rFonts w:cs="Open Sans"/>
          <w:lang w:val="en-GB"/>
        </w:rPr>
        <w:t>Czech University of Life Sciences Prague</w:t>
      </w:r>
      <w:r w:rsidR="005223D5">
        <w:rPr>
          <w:rFonts w:cs="Open Sans"/>
          <w:lang w:val="en-GB"/>
        </w:rPr>
        <w:t>, Czech Republic</w:t>
      </w:r>
    </w:p>
    <w:p w14:paraId="70FB0AB8" w14:textId="77777777" w:rsidR="00483473" w:rsidRPr="00925E02" w:rsidRDefault="00483473" w:rsidP="00483473">
      <w:pPr>
        <w:rPr>
          <w:rFonts w:cs="Open Sans"/>
          <w:lang w:val="en-GB"/>
        </w:rPr>
      </w:pPr>
      <w:r w:rsidRPr="00925E02">
        <w:rPr>
          <w:rFonts w:cs="Open Sans"/>
          <w:lang w:val="en-GB"/>
        </w:rPr>
        <w:t xml:space="preserve">Environmental Expert: </w:t>
      </w:r>
      <w:r w:rsidRPr="00C40882">
        <w:rPr>
          <w:rFonts w:cs="Open Sans"/>
          <w:lang w:val="en-GB"/>
        </w:rPr>
        <w:t>Conor Walsh</w:t>
      </w:r>
      <w:r w:rsidRPr="00925E02">
        <w:rPr>
          <w:rFonts w:cs="Open Sans"/>
          <w:lang w:val="en-GB"/>
        </w:rPr>
        <w:t xml:space="preserve">, </w:t>
      </w:r>
      <w:r w:rsidRPr="00C40882">
        <w:rPr>
          <w:rFonts w:cs="Open Sans"/>
          <w:lang w:val="en-GB"/>
        </w:rPr>
        <w:t>Natural Resources Institute, University of Greenwich, UK</w:t>
      </w:r>
    </w:p>
    <w:p w14:paraId="69D72349" w14:textId="77777777" w:rsidR="00483473" w:rsidRPr="00D52692" w:rsidRDefault="00483473" w:rsidP="00483473">
      <w:pPr>
        <w:rPr>
          <w:rFonts w:cs="Open Sans"/>
          <w:lang w:val="es-ES"/>
        </w:rPr>
      </w:pPr>
      <w:proofErr w:type="spellStart"/>
      <w:r w:rsidRPr="00D52692">
        <w:rPr>
          <w:rFonts w:cs="Open Sans"/>
          <w:lang w:val="es-ES"/>
        </w:rPr>
        <w:t>National</w:t>
      </w:r>
      <w:proofErr w:type="spellEnd"/>
      <w:r w:rsidRPr="00D52692">
        <w:rPr>
          <w:rFonts w:cs="Open Sans"/>
          <w:lang w:val="es-ES"/>
        </w:rPr>
        <w:t xml:space="preserve"> </w:t>
      </w:r>
      <w:proofErr w:type="spellStart"/>
      <w:r w:rsidRPr="00D52692">
        <w:rPr>
          <w:rFonts w:cs="Open Sans"/>
          <w:lang w:val="es-ES"/>
        </w:rPr>
        <w:t>expert</w:t>
      </w:r>
      <w:proofErr w:type="spellEnd"/>
      <w:r w:rsidRPr="00D52692">
        <w:rPr>
          <w:rFonts w:cs="Open Sans"/>
          <w:lang w:val="es-ES"/>
        </w:rPr>
        <w:t>: Prince M Kamara, Sierra Leone</w:t>
      </w:r>
    </w:p>
    <w:p w14:paraId="7D719DD4" w14:textId="77777777" w:rsidR="00483473" w:rsidRPr="00D52692" w:rsidRDefault="00483473" w:rsidP="00483473">
      <w:pPr>
        <w:rPr>
          <w:rFonts w:cs="Open Sans"/>
          <w:lang w:val="es-ES"/>
        </w:rPr>
      </w:pPr>
    </w:p>
    <w:p w14:paraId="0AC0C6F4" w14:textId="77777777" w:rsidR="00483473" w:rsidRPr="00D52692" w:rsidRDefault="00483473" w:rsidP="00483473">
      <w:pPr>
        <w:rPr>
          <w:rFonts w:cs="Open Sans"/>
          <w:lang w:val="es-ES"/>
        </w:rPr>
      </w:pPr>
    </w:p>
    <w:p w14:paraId="209D38B6" w14:textId="77777777" w:rsidR="00483473" w:rsidRPr="00D52692" w:rsidRDefault="00483473" w:rsidP="00483473">
      <w:pPr>
        <w:rPr>
          <w:rFonts w:cs="Open Sans"/>
          <w:lang w:val="es-ES"/>
        </w:rPr>
      </w:pPr>
    </w:p>
    <w:p w14:paraId="4A956F30" w14:textId="77777777" w:rsidR="00483473" w:rsidRDefault="00483473" w:rsidP="00483473">
      <w:pPr>
        <w:rPr>
          <w:rFonts w:asciiTheme="minorHAnsi" w:hAnsiTheme="minorHAnsi"/>
        </w:rPr>
      </w:pPr>
      <w:r>
        <w:t xml:space="preserve">The report was produced through the financial support of the European Union. Its content is the sole responsibility of its authors and does not necessarily reflect the views of the European Union.  </w:t>
      </w:r>
    </w:p>
    <w:p w14:paraId="61D772CE" w14:textId="77777777" w:rsidR="00483473" w:rsidRDefault="00483473" w:rsidP="00483473"/>
    <w:p w14:paraId="215C3808" w14:textId="0E8AE377" w:rsidR="00483473" w:rsidRDefault="00483473" w:rsidP="00483473">
      <w:r>
        <w:t xml:space="preserve">The report has been </w:t>
      </w:r>
      <w:proofErr w:type="spellStart"/>
      <w:r>
        <w:t>realised</w:t>
      </w:r>
      <w:proofErr w:type="spellEnd"/>
      <w:r>
        <w:t xml:space="preserve"> within a project financed by the European Union (VCA4D CTR </w:t>
      </w:r>
      <w:r w:rsidRPr="00C70FA9">
        <w:t>201</w:t>
      </w:r>
      <w:r w:rsidR="005C2AA9">
        <w:t>8</w:t>
      </w:r>
      <w:r>
        <w:t>/</w:t>
      </w:r>
      <w:r w:rsidRPr="00C70FA9">
        <w:t>392</w:t>
      </w:r>
      <w:r>
        <w:t>-</w:t>
      </w:r>
      <w:r w:rsidRPr="00C70FA9">
        <w:t>416</w:t>
      </w:r>
      <w:r>
        <w:t>).</w:t>
      </w:r>
    </w:p>
    <w:p w14:paraId="69DE53A9" w14:textId="77777777" w:rsidR="00483473" w:rsidRDefault="00483473" w:rsidP="00483473"/>
    <w:p w14:paraId="113C628C" w14:textId="795B809C" w:rsidR="00483473" w:rsidRDefault="00483473" w:rsidP="00483473">
      <w:r>
        <w:t xml:space="preserve">Citation of this report: </w:t>
      </w:r>
      <w:proofErr w:type="spellStart"/>
      <w:r>
        <w:t>Shee</w:t>
      </w:r>
      <w:proofErr w:type="spellEnd"/>
      <w:r>
        <w:t xml:space="preserve">, A., </w:t>
      </w:r>
      <w:proofErr w:type="spellStart"/>
      <w:r w:rsidRPr="00BF5C8D">
        <w:t>Mazancova</w:t>
      </w:r>
      <w:proofErr w:type="spellEnd"/>
      <w:r>
        <w:t xml:space="preserve">, J., </w:t>
      </w:r>
      <w:r w:rsidRPr="00BF5C8D">
        <w:t>Walsh</w:t>
      </w:r>
      <w:r>
        <w:t xml:space="preserve">, C., </w:t>
      </w:r>
      <w:r w:rsidRPr="00BF5C8D">
        <w:t>Kamara</w:t>
      </w:r>
      <w:r>
        <w:t>, P.M., 2026. Cocoa Value Chain Analysis in Sierra Leone</w:t>
      </w:r>
      <w:r>
        <w:rPr>
          <w:lang w:val="en-GB"/>
        </w:rPr>
        <w:t>.</w:t>
      </w:r>
      <w:r>
        <w:t xml:space="preserve"> Report for the European Union, DG-INTPA Value Chain Analysis for Development Project (VCA4D CTR </w:t>
      </w:r>
      <w:r w:rsidRPr="00C70FA9">
        <w:t>201</w:t>
      </w:r>
      <w:r w:rsidR="00541739">
        <w:t>8</w:t>
      </w:r>
      <w:r>
        <w:t>/</w:t>
      </w:r>
      <w:r w:rsidRPr="00C70FA9">
        <w:t>392</w:t>
      </w:r>
      <w:r>
        <w:t>-</w:t>
      </w:r>
      <w:r w:rsidRPr="00C70FA9">
        <w:t>41</w:t>
      </w:r>
      <w:r>
        <w:t xml:space="preserve">7), </w:t>
      </w:r>
      <w:r w:rsidR="00541739">
        <w:t>109</w:t>
      </w:r>
      <w:r>
        <w:t xml:space="preserve"> + annexes. </w:t>
      </w:r>
    </w:p>
    <w:p w14:paraId="33AFFD1A" w14:textId="77777777" w:rsidR="00483473" w:rsidRDefault="00483473" w:rsidP="00483473"/>
    <w:p w14:paraId="018D9781" w14:textId="77777777" w:rsidR="00483473" w:rsidRDefault="00483473" w:rsidP="00483473"/>
    <w:p w14:paraId="2FF9E729" w14:textId="67EACE56" w:rsidR="00483473" w:rsidRDefault="00483473" w:rsidP="00483473">
      <w:pPr>
        <w:spacing w:before="120" w:after="120"/>
        <w:rPr>
          <w:rFonts w:eastAsia="Corbel" w:cs="Open Sans"/>
          <w:b/>
          <w:bCs/>
          <w:color w:val="FF0000"/>
          <w:sz w:val="20"/>
          <w:szCs w:val="20"/>
        </w:rPr>
      </w:pPr>
      <w:r w:rsidRPr="00BF7183">
        <w:rPr>
          <w:rFonts w:eastAsia="Corbel" w:cs="Open Sans"/>
          <w:b/>
          <w:bCs/>
          <w:color w:val="336666"/>
          <w:sz w:val="20"/>
          <w:szCs w:val="20"/>
        </w:rPr>
        <w:t>VCA4D Project Management Unit</w:t>
      </w:r>
      <w:r>
        <w:rPr>
          <w:rFonts w:eastAsia="Corbel" w:cs="Open Sans"/>
          <w:b/>
          <w:bCs/>
          <w:color w:val="336666"/>
          <w:sz w:val="20"/>
          <w:szCs w:val="20"/>
        </w:rPr>
        <w:t xml:space="preserve"> Support </w:t>
      </w:r>
    </w:p>
    <w:p w14:paraId="14927882" w14:textId="2C73249D" w:rsidR="001B6883" w:rsidRPr="001B6883" w:rsidRDefault="001B6883" w:rsidP="001B6883">
      <w:pPr>
        <w:spacing w:before="120" w:after="120"/>
        <w:rPr>
          <w:rFonts w:eastAsia="Corbel" w:cs="Open Sans"/>
          <w:szCs w:val="20"/>
        </w:rPr>
      </w:pPr>
      <w:r w:rsidRPr="001B6883">
        <w:rPr>
          <w:rFonts w:eastAsia="Corbel" w:cs="Open Sans"/>
          <w:szCs w:val="20"/>
        </w:rPr>
        <w:t xml:space="preserve">Frédéric </w:t>
      </w:r>
      <w:proofErr w:type="spellStart"/>
      <w:r w:rsidRPr="001B6883">
        <w:rPr>
          <w:rFonts w:eastAsia="Corbel" w:cs="Open Sans"/>
          <w:szCs w:val="20"/>
        </w:rPr>
        <w:t>Lançon</w:t>
      </w:r>
      <w:proofErr w:type="spellEnd"/>
      <w:r>
        <w:rPr>
          <w:rFonts w:eastAsia="Corbel" w:cs="Open Sans"/>
          <w:szCs w:val="20"/>
        </w:rPr>
        <w:t>, Heval Yildirim</w:t>
      </w:r>
      <w:r w:rsidRPr="001B6883">
        <w:rPr>
          <w:rFonts w:eastAsia="Corbel" w:cs="Open Sans"/>
          <w:szCs w:val="20"/>
        </w:rPr>
        <w:t xml:space="preserve"> | Methodology and economic analysis software (AFA) </w:t>
      </w:r>
    </w:p>
    <w:p w14:paraId="5225C92D" w14:textId="77777777" w:rsidR="001B6883" w:rsidRPr="001B6883" w:rsidRDefault="001B6883" w:rsidP="001B6883">
      <w:pPr>
        <w:spacing w:before="120" w:after="120"/>
        <w:rPr>
          <w:rFonts w:eastAsia="Corbel" w:cs="Open Sans"/>
          <w:szCs w:val="20"/>
        </w:rPr>
      </w:pPr>
      <w:r w:rsidRPr="001B6883">
        <w:rPr>
          <w:rFonts w:eastAsia="Corbel" w:cs="Open Sans"/>
          <w:szCs w:val="20"/>
        </w:rPr>
        <w:t>Giorgia Mei, Sara Baumgart| Project Management and Graphic Design</w:t>
      </w:r>
    </w:p>
    <w:p w14:paraId="69B854FD" w14:textId="77777777" w:rsidR="001B6883" w:rsidRPr="00BF7183" w:rsidRDefault="001B6883" w:rsidP="00483473">
      <w:pPr>
        <w:spacing w:before="120" w:after="120"/>
        <w:rPr>
          <w:rFonts w:eastAsia="Corbel" w:cs="Open Sans"/>
          <w:b/>
          <w:bCs/>
          <w:color w:val="336666"/>
          <w:sz w:val="20"/>
          <w:szCs w:val="20"/>
        </w:rPr>
      </w:pPr>
    </w:p>
    <w:bookmarkStart w:id="1" w:name="_Toc228700980" w:displacedByCustomXml="next"/>
    <w:sdt>
      <w:sdtPr>
        <w:rPr>
          <w:rFonts w:eastAsiaTheme="minorEastAsia" w:cstheme="minorBidi"/>
          <w:b w:val="0"/>
          <w:bCs w:val="0"/>
          <w:color w:val="auto"/>
          <w:spacing w:val="0"/>
          <w:sz w:val="22"/>
          <w:szCs w:val="22"/>
          <w:lang w:bidi="ar-SA"/>
        </w:rPr>
        <w:id w:val="-2076731695"/>
        <w:docPartObj>
          <w:docPartGallery w:val="Table of Contents"/>
          <w:docPartUnique/>
        </w:docPartObj>
      </w:sdtPr>
      <w:sdtEndPr>
        <w:rPr>
          <w:noProof/>
          <w:sz w:val="18"/>
          <w:szCs w:val="18"/>
        </w:rPr>
      </w:sdtEndPr>
      <w:sdtContent>
        <w:p w14:paraId="7D13FB98" w14:textId="77777777" w:rsidR="00C81B6A" w:rsidRDefault="008250AB" w:rsidP="00C04F15">
          <w:pPr>
            <w:pStyle w:val="Non-numberedheading"/>
          </w:pPr>
          <w:r>
            <w:t>T</w:t>
          </w:r>
          <w:r w:rsidR="005619EA">
            <w:t>ABLE OF CONTENTS</w:t>
          </w:r>
          <w:bookmarkEnd w:id="1"/>
        </w:p>
        <w:p w14:paraId="18DCDCEA" w14:textId="37DD809F" w:rsidR="00652843" w:rsidRDefault="00C81B6A">
          <w:pPr>
            <w:pStyle w:val="TOC1"/>
            <w:tabs>
              <w:tab w:val="right" w:leader="dot" w:pos="9350"/>
            </w:tabs>
            <w:rPr>
              <w:rFonts w:eastAsiaTheme="minorEastAsia"/>
              <w:b w:val="0"/>
              <w:bCs w:val="0"/>
              <w:caps w:val="0"/>
              <w:noProof/>
              <w:kern w:val="2"/>
              <w:sz w:val="24"/>
              <w:szCs w:val="24"/>
              <w:lang w:val="en-GB" w:eastAsia="en-GB"/>
              <w14:ligatures w14:val="standardContextual"/>
            </w:rPr>
          </w:pPr>
          <w:r w:rsidRPr="004838C6">
            <w:rPr>
              <w:rFonts w:ascii="Open Sans" w:hAnsi="Open Sans" w:cs="Open Sans"/>
              <w:caps w:val="0"/>
            </w:rPr>
            <w:fldChar w:fldCharType="begin"/>
          </w:r>
          <w:r w:rsidRPr="004838C6">
            <w:rPr>
              <w:rFonts w:ascii="Open Sans" w:hAnsi="Open Sans" w:cs="Open Sans"/>
              <w:caps w:val="0"/>
            </w:rPr>
            <w:instrText xml:space="preserve"> TOC \o "1-3" \h \z \u </w:instrText>
          </w:r>
          <w:r w:rsidRPr="004838C6">
            <w:rPr>
              <w:rFonts w:ascii="Open Sans" w:hAnsi="Open Sans" w:cs="Open Sans"/>
              <w:caps w:val="0"/>
            </w:rPr>
            <w:fldChar w:fldCharType="separate"/>
          </w:r>
          <w:hyperlink w:anchor="_Toc228700980" w:history="1">
            <w:r w:rsidR="00652843" w:rsidRPr="000F7DFE">
              <w:rPr>
                <w:rStyle w:val="Hyperlink"/>
                <w:noProof/>
                <w:lang w:bidi="hi-IN"/>
              </w:rPr>
              <w:t>TABLE OF CONTENTS</w:t>
            </w:r>
            <w:r w:rsidR="00652843">
              <w:rPr>
                <w:noProof/>
                <w:webHidden/>
              </w:rPr>
              <w:tab/>
            </w:r>
            <w:r w:rsidR="00652843">
              <w:rPr>
                <w:noProof/>
                <w:webHidden/>
              </w:rPr>
              <w:fldChar w:fldCharType="begin"/>
            </w:r>
            <w:r w:rsidR="00652843">
              <w:rPr>
                <w:noProof/>
                <w:webHidden/>
              </w:rPr>
              <w:instrText xml:space="preserve"> PAGEREF _Toc228700980 \h </w:instrText>
            </w:r>
            <w:r w:rsidR="00652843">
              <w:rPr>
                <w:noProof/>
                <w:webHidden/>
              </w:rPr>
            </w:r>
            <w:r w:rsidR="00652843">
              <w:rPr>
                <w:noProof/>
                <w:webHidden/>
              </w:rPr>
              <w:fldChar w:fldCharType="separate"/>
            </w:r>
            <w:r w:rsidR="00541739">
              <w:rPr>
                <w:noProof/>
                <w:webHidden/>
              </w:rPr>
              <w:t>3</w:t>
            </w:r>
            <w:r w:rsidR="00652843">
              <w:rPr>
                <w:noProof/>
                <w:webHidden/>
              </w:rPr>
              <w:fldChar w:fldCharType="end"/>
            </w:r>
          </w:hyperlink>
        </w:p>
        <w:p w14:paraId="6C13BF04" w14:textId="4A8061CB" w:rsidR="00652843" w:rsidRDefault="00652843">
          <w:pPr>
            <w:pStyle w:val="TOC1"/>
            <w:tabs>
              <w:tab w:val="right" w:leader="dot" w:pos="9350"/>
            </w:tabs>
            <w:rPr>
              <w:rFonts w:eastAsiaTheme="minorEastAsia"/>
              <w:b w:val="0"/>
              <w:bCs w:val="0"/>
              <w:caps w:val="0"/>
              <w:noProof/>
              <w:kern w:val="2"/>
              <w:sz w:val="24"/>
              <w:szCs w:val="24"/>
              <w:lang w:val="en-GB" w:eastAsia="en-GB"/>
              <w14:ligatures w14:val="standardContextual"/>
            </w:rPr>
          </w:pPr>
          <w:hyperlink w:anchor="_Toc228700981" w:history="1">
            <w:r w:rsidRPr="000F7DFE">
              <w:rPr>
                <w:rStyle w:val="Hyperlink"/>
                <w:noProof/>
                <w:lang w:val="en-GB" w:bidi="hi-IN"/>
              </w:rPr>
              <w:t>ACKNOWLEDGMENTS</w:t>
            </w:r>
            <w:r>
              <w:rPr>
                <w:noProof/>
                <w:webHidden/>
              </w:rPr>
              <w:tab/>
            </w:r>
            <w:r>
              <w:rPr>
                <w:noProof/>
                <w:webHidden/>
              </w:rPr>
              <w:fldChar w:fldCharType="begin"/>
            </w:r>
            <w:r>
              <w:rPr>
                <w:noProof/>
                <w:webHidden/>
              </w:rPr>
              <w:instrText xml:space="preserve"> PAGEREF _Toc228700981 \h </w:instrText>
            </w:r>
            <w:r>
              <w:rPr>
                <w:noProof/>
                <w:webHidden/>
              </w:rPr>
            </w:r>
            <w:r>
              <w:rPr>
                <w:noProof/>
                <w:webHidden/>
              </w:rPr>
              <w:fldChar w:fldCharType="separate"/>
            </w:r>
            <w:r w:rsidR="00541739">
              <w:rPr>
                <w:noProof/>
                <w:webHidden/>
              </w:rPr>
              <w:t>6</w:t>
            </w:r>
            <w:r>
              <w:rPr>
                <w:noProof/>
                <w:webHidden/>
              </w:rPr>
              <w:fldChar w:fldCharType="end"/>
            </w:r>
          </w:hyperlink>
        </w:p>
        <w:p w14:paraId="4C93FDA1" w14:textId="0CB33875" w:rsidR="00652843" w:rsidRDefault="00652843">
          <w:pPr>
            <w:pStyle w:val="TOC1"/>
            <w:tabs>
              <w:tab w:val="right" w:leader="dot" w:pos="9350"/>
            </w:tabs>
            <w:rPr>
              <w:rFonts w:eastAsiaTheme="minorEastAsia"/>
              <w:b w:val="0"/>
              <w:bCs w:val="0"/>
              <w:caps w:val="0"/>
              <w:noProof/>
              <w:kern w:val="2"/>
              <w:sz w:val="24"/>
              <w:szCs w:val="24"/>
              <w:lang w:val="en-GB" w:eastAsia="en-GB"/>
              <w14:ligatures w14:val="standardContextual"/>
            </w:rPr>
          </w:pPr>
          <w:hyperlink w:anchor="_Toc228700982" w:history="1">
            <w:r w:rsidRPr="000F7DFE">
              <w:rPr>
                <w:rStyle w:val="Hyperlink"/>
                <w:noProof/>
                <w:lang w:val="en-GB" w:bidi="hi-IN"/>
              </w:rPr>
              <w:t>ACRONYMS (in alphabetical order)</w:t>
            </w:r>
            <w:r>
              <w:rPr>
                <w:noProof/>
                <w:webHidden/>
              </w:rPr>
              <w:tab/>
            </w:r>
            <w:r>
              <w:rPr>
                <w:noProof/>
                <w:webHidden/>
              </w:rPr>
              <w:fldChar w:fldCharType="begin"/>
            </w:r>
            <w:r>
              <w:rPr>
                <w:noProof/>
                <w:webHidden/>
              </w:rPr>
              <w:instrText xml:space="preserve"> PAGEREF _Toc228700982 \h </w:instrText>
            </w:r>
            <w:r>
              <w:rPr>
                <w:noProof/>
                <w:webHidden/>
              </w:rPr>
            </w:r>
            <w:r>
              <w:rPr>
                <w:noProof/>
                <w:webHidden/>
              </w:rPr>
              <w:fldChar w:fldCharType="separate"/>
            </w:r>
            <w:r w:rsidR="00541739">
              <w:rPr>
                <w:noProof/>
                <w:webHidden/>
              </w:rPr>
              <w:t>7</w:t>
            </w:r>
            <w:r>
              <w:rPr>
                <w:noProof/>
                <w:webHidden/>
              </w:rPr>
              <w:fldChar w:fldCharType="end"/>
            </w:r>
          </w:hyperlink>
        </w:p>
        <w:p w14:paraId="6475E905" w14:textId="06742E07" w:rsidR="00652843" w:rsidRDefault="00652843">
          <w:pPr>
            <w:pStyle w:val="TOC1"/>
            <w:tabs>
              <w:tab w:val="right" w:leader="dot" w:pos="9350"/>
            </w:tabs>
            <w:rPr>
              <w:rFonts w:eastAsiaTheme="minorEastAsia"/>
              <w:b w:val="0"/>
              <w:bCs w:val="0"/>
              <w:caps w:val="0"/>
              <w:noProof/>
              <w:kern w:val="2"/>
              <w:sz w:val="24"/>
              <w:szCs w:val="24"/>
              <w:lang w:val="en-GB" w:eastAsia="en-GB"/>
              <w14:ligatures w14:val="standardContextual"/>
            </w:rPr>
          </w:pPr>
          <w:hyperlink w:anchor="_Toc228700983" w:history="1">
            <w:r w:rsidRPr="000F7DFE">
              <w:rPr>
                <w:rStyle w:val="Hyperlink"/>
                <w:noProof/>
              </w:rPr>
              <w:t>DEFINITION OF ECONOMIC TERMS</w:t>
            </w:r>
            <w:r>
              <w:rPr>
                <w:noProof/>
                <w:webHidden/>
              </w:rPr>
              <w:tab/>
            </w:r>
            <w:r>
              <w:rPr>
                <w:noProof/>
                <w:webHidden/>
              </w:rPr>
              <w:fldChar w:fldCharType="begin"/>
            </w:r>
            <w:r>
              <w:rPr>
                <w:noProof/>
                <w:webHidden/>
              </w:rPr>
              <w:instrText xml:space="preserve"> PAGEREF _Toc228700983 \h </w:instrText>
            </w:r>
            <w:r>
              <w:rPr>
                <w:noProof/>
                <w:webHidden/>
              </w:rPr>
            </w:r>
            <w:r>
              <w:rPr>
                <w:noProof/>
                <w:webHidden/>
              </w:rPr>
              <w:fldChar w:fldCharType="separate"/>
            </w:r>
            <w:r w:rsidR="00541739">
              <w:rPr>
                <w:noProof/>
                <w:webHidden/>
              </w:rPr>
              <w:t>8</w:t>
            </w:r>
            <w:r>
              <w:rPr>
                <w:noProof/>
                <w:webHidden/>
              </w:rPr>
              <w:fldChar w:fldCharType="end"/>
            </w:r>
          </w:hyperlink>
        </w:p>
        <w:p w14:paraId="1A79555C" w14:textId="222AB5F5" w:rsidR="00652843" w:rsidRDefault="00652843">
          <w:pPr>
            <w:pStyle w:val="TOC1"/>
            <w:tabs>
              <w:tab w:val="right" w:leader="dot" w:pos="9350"/>
            </w:tabs>
            <w:rPr>
              <w:rFonts w:eastAsiaTheme="minorEastAsia"/>
              <w:b w:val="0"/>
              <w:bCs w:val="0"/>
              <w:caps w:val="0"/>
              <w:noProof/>
              <w:kern w:val="2"/>
              <w:sz w:val="24"/>
              <w:szCs w:val="24"/>
              <w:lang w:val="en-GB" w:eastAsia="en-GB"/>
              <w14:ligatures w14:val="standardContextual"/>
            </w:rPr>
          </w:pPr>
          <w:hyperlink w:anchor="_Toc228700984" w:history="1">
            <w:r w:rsidRPr="000F7DFE">
              <w:rPr>
                <w:rStyle w:val="Hyperlink"/>
                <w:noProof/>
                <w:lang w:val="en-GB" w:bidi="hi-IN"/>
              </w:rPr>
              <w:t>EXECUTIVE SUMMARY</w:t>
            </w:r>
            <w:r>
              <w:rPr>
                <w:noProof/>
                <w:webHidden/>
              </w:rPr>
              <w:tab/>
            </w:r>
            <w:r>
              <w:rPr>
                <w:noProof/>
                <w:webHidden/>
              </w:rPr>
              <w:fldChar w:fldCharType="begin"/>
            </w:r>
            <w:r>
              <w:rPr>
                <w:noProof/>
                <w:webHidden/>
              </w:rPr>
              <w:instrText xml:space="preserve"> PAGEREF _Toc228700984 \h </w:instrText>
            </w:r>
            <w:r>
              <w:rPr>
                <w:noProof/>
                <w:webHidden/>
              </w:rPr>
            </w:r>
            <w:r>
              <w:rPr>
                <w:noProof/>
                <w:webHidden/>
              </w:rPr>
              <w:fldChar w:fldCharType="separate"/>
            </w:r>
            <w:r w:rsidR="00541739">
              <w:rPr>
                <w:noProof/>
                <w:webHidden/>
              </w:rPr>
              <w:t>9</w:t>
            </w:r>
            <w:r>
              <w:rPr>
                <w:noProof/>
                <w:webHidden/>
              </w:rPr>
              <w:fldChar w:fldCharType="end"/>
            </w:r>
          </w:hyperlink>
        </w:p>
        <w:p w14:paraId="3BCC7D85" w14:textId="3A08C78F" w:rsidR="00652843" w:rsidRDefault="00652843">
          <w:pPr>
            <w:pStyle w:val="TOC1"/>
            <w:tabs>
              <w:tab w:val="right" w:leader="dot" w:pos="9350"/>
            </w:tabs>
            <w:rPr>
              <w:rFonts w:eastAsiaTheme="minorEastAsia"/>
              <w:b w:val="0"/>
              <w:bCs w:val="0"/>
              <w:caps w:val="0"/>
              <w:noProof/>
              <w:kern w:val="2"/>
              <w:sz w:val="24"/>
              <w:szCs w:val="24"/>
              <w:lang w:val="en-GB" w:eastAsia="en-GB"/>
              <w14:ligatures w14:val="standardContextual"/>
            </w:rPr>
          </w:pPr>
          <w:hyperlink w:anchor="_Toc228700985" w:history="1">
            <w:r w:rsidRPr="000F7DFE">
              <w:rPr>
                <w:rStyle w:val="Hyperlink"/>
                <w:noProof/>
                <w:lang w:val="en-GB" w:bidi="hi-IN"/>
              </w:rPr>
              <w:t>INTRODUCTION</w:t>
            </w:r>
            <w:r>
              <w:rPr>
                <w:noProof/>
                <w:webHidden/>
              </w:rPr>
              <w:tab/>
            </w:r>
            <w:r>
              <w:rPr>
                <w:noProof/>
                <w:webHidden/>
              </w:rPr>
              <w:fldChar w:fldCharType="begin"/>
            </w:r>
            <w:r>
              <w:rPr>
                <w:noProof/>
                <w:webHidden/>
              </w:rPr>
              <w:instrText xml:space="preserve"> PAGEREF _Toc228700985 \h </w:instrText>
            </w:r>
            <w:r>
              <w:rPr>
                <w:noProof/>
                <w:webHidden/>
              </w:rPr>
            </w:r>
            <w:r>
              <w:rPr>
                <w:noProof/>
                <w:webHidden/>
              </w:rPr>
              <w:fldChar w:fldCharType="separate"/>
            </w:r>
            <w:r w:rsidR="00541739">
              <w:rPr>
                <w:noProof/>
                <w:webHidden/>
              </w:rPr>
              <w:t>13</w:t>
            </w:r>
            <w:r>
              <w:rPr>
                <w:noProof/>
                <w:webHidden/>
              </w:rPr>
              <w:fldChar w:fldCharType="end"/>
            </w:r>
          </w:hyperlink>
        </w:p>
        <w:p w14:paraId="2EF81BA7" w14:textId="133FD251"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0986" w:history="1">
            <w:r w:rsidRPr="000F7DFE">
              <w:rPr>
                <w:rStyle w:val="Hyperlink"/>
                <w:noProof/>
              </w:rPr>
              <w:t>1.</w:t>
            </w:r>
            <w:r>
              <w:rPr>
                <w:rFonts w:eastAsiaTheme="minorEastAsia"/>
                <w:b w:val="0"/>
                <w:bCs w:val="0"/>
                <w:caps w:val="0"/>
                <w:noProof/>
                <w:kern w:val="2"/>
                <w:sz w:val="24"/>
                <w:szCs w:val="24"/>
                <w:lang w:val="en-GB" w:eastAsia="en-GB"/>
                <w14:ligatures w14:val="standardContextual"/>
              </w:rPr>
              <w:tab/>
            </w:r>
            <w:r w:rsidRPr="000F7DFE">
              <w:rPr>
                <w:rStyle w:val="Hyperlink"/>
                <w:noProof/>
              </w:rPr>
              <w:t>FUNCTIONAL ANALYSIS</w:t>
            </w:r>
            <w:r>
              <w:rPr>
                <w:noProof/>
                <w:webHidden/>
              </w:rPr>
              <w:tab/>
            </w:r>
            <w:r>
              <w:rPr>
                <w:noProof/>
                <w:webHidden/>
              </w:rPr>
              <w:fldChar w:fldCharType="begin"/>
            </w:r>
            <w:r>
              <w:rPr>
                <w:noProof/>
                <w:webHidden/>
              </w:rPr>
              <w:instrText xml:space="preserve"> PAGEREF _Toc228700986 \h </w:instrText>
            </w:r>
            <w:r>
              <w:rPr>
                <w:noProof/>
                <w:webHidden/>
              </w:rPr>
            </w:r>
            <w:r>
              <w:rPr>
                <w:noProof/>
                <w:webHidden/>
              </w:rPr>
              <w:fldChar w:fldCharType="separate"/>
            </w:r>
            <w:r w:rsidR="00541739">
              <w:rPr>
                <w:noProof/>
                <w:webHidden/>
              </w:rPr>
              <w:t>15</w:t>
            </w:r>
            <w:r>
              <w:rPr>
                <w:noProof/>
                <w:webHidden/>
              </w:rPr>
              <w:fldChar w:fldCharType="end"/>
            </w:r>
          </w:hyperlink>
        </w:p>
        <w:p w14:paraId="7F49A251" w14:textId="0AA3A0AA"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0987" w:history="1">
            <w:r w:rsidRPr="000F7DFE">
              <w:rPr>
                <w:rStyle w:val="Hyperlink"/>
                <w:noProof/>
              </w:rPr>
              <w:t>1.1</w:t>
            </w:r>
            <w:r>
              <w:rPr>
                <w:rFonts w:eastAsiaTheme="minorEastAsia"/>
                <w:smallCaps w:val="0"/>
                <w:noProof/>
                <w:kern w:val="2"/>
                <w:sz w:val="24"/>
                <w:szCs w:val="24"/>
                <w:lang w:val="en-GB" w:eastAsia="en-GB"/>
                <w14:ligatures w14:val="standardContextual"/>
              </w:rPr>
              <w:tab/>
            </w:r>
            <w:r w:rsidRPr="000F7DFE">
              <w:rPr>
                <w:rStyle w:val="Hyperlink"/>
                <w:noProof/>
              </w:rPr>
              <w:t>Cocoa Production Profile</w:t>
            </w:r>
            <w:r>
              <w:rPr>
                <w:noProof/>
                <w:webHidden/>
              </w:rPr>
              <w:tab/>
            </w:r>
            <w:r>
              <w:rPr>
                <w:noProof/>
                <w:webHidden/>
              </w:rPr>
              <w:fldChar w:fldCharType="begin"/>
            </w:r>
            <w:r>
              <w:rPr>
                <w:noProof/>
                <w:webHidden/>
              </w:rPr>
              <w:instrText xml:space="preserve"> PAGEREF _Toc228700987 \h </w:instrText>
            </w:r>
            <w:r>
              <w:rPr>
                <w:noProof/>
                <w:webHidden/>
              </w:rPr>
            </w:r>
            <w:r>
              <w:rPr>
                <w:noProof/>
                <w:webHidden/>
              </w:rPr>
              <w:fldChar w:fldCharType="separate"/>
            </w:r>
            <w:r w:rsidR="00541739">
              <w:rPr>
                <w:noProof/>
                <w:webHidden/>
              </w:rPr>
              <w:t>15</w:t>
            </w:r>
            <w:r>
              <w:rPr>
                <w:noProof/>
                <w:webHidden/>
              </w:rPr>
              <w:fldChar w:fldCharType="end"/>
            </w:r>
          </w:hyperlink>
        </w:p>
        <w:p w14:paraId="46E4F6A9" w14:textId="2B31FD59"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88" w:history="1">
            <w:r w:rsidRPr="000F7DFE">
              <w:rPr>
                <w:rStyle w:val="Hyperlink"/>
                <w:noProof/>
              </w:rPr>
              <w:t>1.1.1</w:t>
            </w:r>
            <w:r>
              <w:rPr>
                <w:rFonts w:eastAsiaTheme="minorEastAsia"/>
                <w:i w:val="0"/>
                <w:iCs w:val="0"/>
                <w:noProof/>
                <w:kern w:val="2"/>
                <w:sz w:val="24"/>
                <w:szCs w:val="24"/>
                <w:lang w:val="en-GB" w:eastAsia="en-GB"/>
                <w14:ligatures w14:val="standardContextual"/>
              </w:rPr>
              <w:tab/>
            </w:r>
            <w:r w:rsidRPr="000F7DFE">
              <w:rPr>
                <w:rStyle w:val="Hyperlink"/>
                <w:noProof/>
              </w:rPr>
              <w:t>National Production Volume</w:t>
            </w:r>
            <w:r>
              <w:rPr>
                <w:noProof/>
                <w:webHidden/>
              </w:rPr>
              <w:tab/>
            </w:r>
            <w:r>
              <w:rPr>
                <w:noProof/>
                <w:webHidden/>
              </w:rPr>
              <w:fldChar w:fldCharType="begin"/>
            </w:r>
            <w:r>
              <w:rPr>
                <w:noProof/>
                <w:webHidden/>
              </w:rPr>
              <w:instrText xml:space="preserve"> PAGEREF _Toc228700988 \h </w:instrText>
            </w:r>
            <w:r>
              <w:rPr>
                <w:noProof/>
                <w:webHidden/>
              </w:rPr>
            </w:r>
            <w:r>
              <w:rPr>
                <w:noProof/>
                <w:webHidden/>
              </w:rPr>
              <w:fldChar w:fldCharType="separate"/>
            </w:r>
            <w:r w:rsidR="00541739">
              <w:rPr>
                <w:noProof/>
                <w:webHidden/>
              </w:rPr>
              <w:t>15</w:t>
            </w:r>
            <w:r>
              <w:rPr>
                <w:noProof/>
                <w:webHidden/>
              </w:rPr>
              <w:fldChar w:fldCharType="end"/>
            </w:r>
          </w:hyperlink>
        </w:p>
        <w:p w14:paraId="58D78756" w14:textId="6A4F8F35"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89" w:history="1">
            <w:r w:rsidRPr="000F7DFE">
              <w:rPr>
                <w:rStyle w:val="Hyperlink"/>
                <w:noProof/>
              </w:rPr>
              <w:t>1.1.2</w:t>
            </w:r>
            <w:r>
              <w:rPr>
                <w:rFonts w:eastAsiaTheme="minorEastAsia"/>
                <w:i w:val="0"/>
                <w:iCs w:val="0"/>
                <w:noProof/>
                <w:kern w:val="2"/>
                <w:sz w:val="24"/>
                <w:szCs w:val="24"/>
                <w:lang w:val="en-GB" w:eastAsia="en-GB"/>
                <w14:ligatures w14:val="standardContextual"/>
              </w:rPr>
              <w:tab/>
            </w:r>
            <w:r w:rsidRPr="000F7DFE">
              <w:rPr>
                <w:rStyle w:val="Hyperlink"/>
                <w:noProof/>
              </w:rPr>
              <w:t>Low-Yield Drivers</w:t>
            </w:r>
            <w:r>
              <w:rPr>
                <w:noProof/>
                <w:webHidden/>
              </w:rPr>
              <w:tab/>
            </w:r>
            <w:r>
              <w:rPr>
                <w:noProof/>
                <w:webHidden/>
              </w:rPr>
              <w:fldChar w:fldCharType="begin"/>
            </w:r>
            <w:r>
              <w:rPr>
                <w:noProof/>
                <w:webHidden/>
              </w:rPr>
              <w:instrText xml:space="preserve"> PAGEREF _Toc228700989 \h </w:instrText>
            </w:r>
            <w:r>
              <w:rPr>
                <w:noProof/>
                <w:webHidden/>
              </w:rPr>
            </w:r>
            <w:r>
              <w:rPr>
                <w:noProof/>
                <w:webHidden/>
              </w:rPr>
              <w:fldChar w:fldCharType="separate"/>
            </w:r>
            <w:r w:rsidR="00541739">
              <w:rPr>
                <w:noProof/>
                <w:webHidden/>
              </w:rPr>
              <w:t>17</w:t>
            </w:r>
            <w:r>
              <w:rPr>
                <w:noProof/>
                <w:webHidden/>
              </w:rPr>
              <w:fldChar w:fldCharType="end"/>
            </w:r>
          </w:hyperlink>
        </w:p>
        <w:p w14:paraId="5F6FD531" w14:textId="7208FF81"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0" w:history="1">
            <w:r w:rsidRPr="000F7DFE">
              <w:rPr>
                <w:rStyle w:val="Hyperlink"/>
                <w:noProof/>
              </w:rPr>
              <w:t>1.1.3</w:t>
            </w:r>
            <w:r>
              <w:rPr>
                <w:rFonts w:eastAsiaTheme="minorEastAsia"/>
                <w:i w:val="0"/>
                <w:iCs w:val="0"/>
                <w:noProof/>
                <w:kern w:val="2"/>
                <w:sz w:val="24"/>
                <w:szCs w:val="24"/>
                <w:lang w:val="en-GB" w:eastAsia="en-GB"/>
                <w14:ligatures w14:val="standardContextual"/>
              </w:rPr>
              <w:tab/>
            </w:r>
            <w:r w:rsidRPr="000F7DFE">
              <w:rPr>
                <w:rStyle w:val="Hyperlink"/>
                <w:noProof/>
              </w:rPr>
              <w:t>Regional Production Dynamics and Strategic Importance</w:t>
            </w:r>
            <w:r>
              <w:rPr>
                <w:noProof/>
                <w:webHidden/>
              </w:rPr>
              <w:tab/>
            </w:r>
            <w:r>
              <w:rPr>
                <w:noProof/>
                <w:webHidden/>
              </w:rPr>
              <w:fldChar w:fldCharType="begin"/>
            </w:r>
            <w:r>
              <w:rPr>
                <w:noProof/>
                <w:webHidden/>
              </w:rPr>
              <w:instrText xml:space="preserve"> PAGEREF _Toc228700990 \h </w:instrText>
            </w:r>
            <w:r>
              <w:rPr>
                <w:noProof/>
                <w:webHidden/>
              </w:rPr>
            </w:r>
            <w:r>
              <w:rPr>
                <w:noProof/>
                <w:webHidden/>
              </w:rPr>
              <w:fldChar w:fldCharType="separate"/>
            </w:r>
            <w:r w:rsidR="00541739">
              <w:rPr>
                <w:noProof/>
                <w:webHidden/>
              </w:rPr>
              <w:t>18</w:t>
            </w:r>
            <w:r>
              <w:rPr>
                <w:noProof/>
                <w:webHidden/>
              </w:rPr>
              <w:fldChar w:fldCharType="end"/>
            </w:r>
          </w:hyperlink>
        </w:p>
        <w:p w14:paraId="6052A8AB" w14:textId="2D331EC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1" w:history="1">
            <w:r w:rsidRPr="000F7DFE">
              <w:rPr>
                <w:rStyle w:val="Hyperlink"/>
                <w:noProof/>
              </w:rPr>
              <w:t>1.1.4</w:t>
            </w:r>
            <w:r>
              <w:rPr>
                <w:rFonts w:eastAsiaTheme="minorEastAsia"/>
                <w:i w:val="0"/>
                <w:iCs w:val="0"/>
                <w:noProof/>
                <w:kern w:val="2"/>
                <w:sz w:val="24"/>
                <w:szCs w:val="24"/>
                <w:lang w:val="en-GB" w:eastAsia="en-GB"/>
                <w14:ligatures w14:val="standardContextual"/>
              </w:rPr>
              <w:tab/>
            </w:r>
            <w:r w:rsidRPr="000F7DFE">
              <w:rPr>
                <w:rStyle w:val="Hyperlink"/>
                <w:noProof/>
              </w:rPr>
              <w:t>Farmer Typology and Livelihoods</w:t>
            </w:r>
            <w:r>
              <w:rPr>
                <w:noProof/>
                <w:webHidden/>
              </w:rPr>
              <w:tab/>
            </w:r>
            <w:r>
              <w:rPr>
                <w:noProof/>
                <w:webHidden/>
              </w:rPr>
              <w:fldChar w:fldCharType="begin"/>
            </w:r>
            <w:r>
              <w:rPr>
                <w:noProof/>
                <w:webHidden/>
              </w:rPr>
              <w:instrText xml:space="preserve"> PAGEREF _Toc228700991 \h </w:instrText>
            </w:r>
            <w:r>
              <w:rPr>
                <w:noProof/>
                <w:webHidden/>
              </w:rPr>
            </w:r>
            <w:r>
              <w:rPr>
                <w:noProof/>
                <w:webHidden/>
              </w:rPr>
              <w:fldChar w:fldCharType="separate"/>
            </w:r>
            <w:r w:rsidR="00541739">
              <w:rPr>
                <w:noProof/>
                <w:webHidden/>
              </w:rPr>
              <w:t>20</w:t>
            </w:r>
            <w:r>
              <w:rPr>
                <w:noProof/>
                <w:webHidden/>
              </w:rPr>
              <w:fldChar w:fldCharType="end"/>
            </w:r>
          </w:hyperlink>
        </w:p>
        <w:p w14:paraId="5E1D893A" w14:textId="7D4BC5BF"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2" w:history="1">
            <w:r w:rsidRPr="000F7DFE">
              <w:rPr>
                <w:rStyle w:val="Hyperlink"/>
                <w:noProof/>
              </w:rPr>
              <w:t>1.1.5</w:t>
            </w:r>
            <w:r>
              <w:rPr>
                <w:rFonts w:eastAsiaTheme="minorEastAsia"/>
                <w:i w:val="0"/>
                <w:iCs w:val="0"/>
                <w:noProof/>
                <w:kern w:val="2"/>
                <w:sz w:val="24"/>
                <w:szCs w:val="24"/>
                <w:lang w:val="en-GB" w:eastAsia="en-GB"/>
                <w14:ligatures w14:val="standardContextual"/>
              </w:rPr>
              <w:tab/>
            </w:r>
            <w:r w:rsidRPr="000F7DFE">
              <w:rPr>
                <w:rStyle w:val="Hyperlink"/>
                <w:noProof/>
              </w:rPr>
              <w:t>Deforestation and EUDR</w:t>
            </w:r>
            <w:r>
              <w:rPr>
                <w:noProof/>
                <w:webHidden/>
              </w:rPr>
              <w:tab/>
            </w:r>
            <w:r>
              <w:rPr>
                <w:noProof/>
                <w:webHidden/>
              </w:rPr>
              <w:fldChar w:fldCharType="begin"/>
            </w:r>
            <w:r>
              <w:rPr>
                <w:noProof/>
                <w:webHidden/>
              </w:rPr>
              <w:instrText xml:space="preserve"> PAGEREF _Toc228700992 \h </w:instrText>
            </w:r>
            <w:r>
              <w:rPr>
                <w:noProof/>
                <w:webHidden/>
              </w:rPr>
            </w:r>
            <w:r>
              <w:rPr>
                <w:noProof/>
                <w:webHidden/>
              </w:rPr>
              <w:fldChar w:fldCharType="separate"/>
            </w:r>
            <w:r w:rsidR="00541739">
              <w:rPr>
                <w:noProof/>
                <w:webHidden/>
              </w:rPr>
              <w:t>23</w:t>
            </w:r>
            <w:r>
              <w:rPr>
                <w:noProof/>
                <w:webHidden/>
              </w:rPr>
              <w:fldChar w:fldCharType="end"/>
            </w:r>
          </w:hyperlink>
        </w:p>
        <w:p w14:paraId="2E265F7F" w14:textId="70C859AD"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0993" w:history="1">
            <w:r w:rsidRPr="000F7DFE">
              <w:rPr>
                <w:rStyle w:val="Hyperlink"/>
                <w:noProof/>
              </w:rPr>
              <w:t>1.2</w:t>
            </w:r>
            <w:r>
              <w:rPr>
                <w:rFonts w:eastAsiaTheme="minorEastAsia"/>
                <w:smallCaps w:val="0"/>
                <w:noProof/>
                <w:kern w:val="2"/>
                <w:sz w:val="24"/>
                <w:szCs w:val="24"/>
                <w:lang w:val="en-GB" w:eastAsia="en-GB"/>
                <w14:ligatures w14:val="standardContextual"/>
              </w:rPr>
              <w:tab/>
            </w:r>
            <w:r w:rsidRPr="000F7DFE">
              <w:rPr>
                <w:rStyle w:val="Hyperlink"/>
                <w:noProof/>
              </w:rPr>
              <w:t>Cocoa Economics and Market Performance</w:t>
            </w:r>
            <w:r>
              <w:rPr>
                <w:noProof/>
                <w:webHidden/>
              </w:rPr>
              <w:tab/>
            </w:r>
            <w:r>
              <w:rPr>
                <w:noProof/>
                <w:webHidden/>
              </w:rPr>
              <w:fldChar w:fldCharType="begin"/>
            </w:r>
            <w:r>
              <w:rPr>
                <w:noProof/>
                <w:webHidden/>
              </w:rPr>
              <w:instrText xml:space="preserve"> PAGEREF _Toc228700993 \h </w:instrText>
            </w:r>
            <w:r>
              <w:rPr>
                <w:noProof/>
                <w:webHidden/>
              </w:rPr>
            </w:r>
            <w:r>
              <w:rPr>
                <w:noProof/>
                <w:webHidden/>
              </w:rPr>
              <w:fldChar w:fldCharType="separate"/>
            </w:r>
            <w:r w:rsidR="00541739">
              <w:rPr>
                <w:noProof/>
                <w:webHidden/>
              </w:rPr>
              <w:t>24</w:t>
            </w:r>
            <w:r>
              <w:rPr>
                <w:noProof/>
                <w:webHidden/>
              </w:rPr>
              <w:fldChar w:fldCharType="end"/>
            </w:r>
          </w:hyperlink>
        </w:p>
        <w:p w14:paraId="112A546B" w14:textId="18E31268"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4" w:history="1">
            <w:r w:rsidRPr="000F7DFE">
              <w:rPr>
                <w:rStyle w:val="Hyperlink"/>
                <w:noProof/>
              </w:rPr>
              <w:t>1.2.1</w:t>
            </w:r>
            <w:r>
              <w:rPr>
                <w:rFonts w:eastAsiaTheme="minorEastAsia"/>
                <w:i w:val="0"/>
                <w:iCs w:val="0"/>
                <w:noProof/>
                <w:kern w:val="2"/>
                <w:sz w:val="24"/>
                <w:szCs w:val="24"/>
                <w:lang w:val="en-GB" w:eastAsia="en-GB"/>
                <w14:ligatures w14:val="standardContextual"/>
              </w:rPr>
              <w:tab/>
            </w:r>
            <w:r w:rsidRPr="000F7DFE">
              <w:rPr>
                <w:rStyle w:val="Hyperlink"/>
                <w:noProof/>
              </w:rPr>
              <w:t>Global Price Transmission and Volatility</w:t>
            </w:r>
            <w:r>
              <w:rPr>
                <w:noProof/>
                <w:webHidden/>
              </w:rPr>
              <w:tab/>
            </w:r>
            <w:r>
              <w:rPr>
                <w:noProof/>
                <w:webHidden/>
              </w:rPr>
              <w:fldChar w:fldCharType="begin"/>
            </w:r>
            <w:r>
              <w:rPr>
                <w:noProof/>
                <w:webHidden/>
              </w:rPr>
              <w:instrText xml:space="preserve"> PAGEREF _Toc228700994 \h </w:instrText>
            </w:r>
            <w:r>
              <w:rPr>
                <w:noProof/>
                <w:webHidden/>
              </w:rPr>
            </w:r>
            <w:r>
              <w:rPr>
                <w:noProof/>
                <w:webHidden/>
              </w:rPr>
              <w:fldChar w:fldCharType="separate"/>
            </w:r>
            <w:r w:rsidR="00541739">
              <w:rPr>
                <w:noProof/>
                <w:webHidden/>
              </w:rPr>
              <w:t>24</w:t>
            </w:r>
            <w:r>
              <w:rPr>
                <w:noProof/>
                <w:webHidden/>
              </w:rPr>
              <w:fldChar w:fldCharType="end"/>
            </w:r>
          </w:hyperlink>
        </w:p>
        <w:p w14:paraId="1FF55913" w14:textId="463BE053"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5" w:history="1">
            <w:r w:rsidRPr="000F7DFE">
              <w:rPr>
                <w:rStyle w:val="Hyperlink"/>
                <w:noProof/>
              </w:rPr>
              <w:t>1.2.2</w:t>
            </w:r>
            <w:r>
              <w:rPr>
                <w:rFonts w:eastAsiaTheme="minorEastAsia"/>
                <w:i w:val="0"/>
                <w:iCs w:val="0"/>
                <w:noProof/>
                <w:kern w:val="2"/>
                <w:sz w:val="24"/>
                <w:szCs w:val="24"/>
                <w:lang w:val="en-GB" w:eastAsia="en-GB"/>
                <w14:ligatures w14:val="standardContextual"/>
              </w:rPr>
              <w:tab/>
            </w:r>
            <w:r w:rsidRPr="000F7DFE">
              <w:rPr>
                <w:rStyle w:val="Hyperlink"/>
                <w:noProof/>
              </w:rPr>
              <w:t>Contribution of Cocoa to Public Revenues</w:t>
            </w:r>
            <w:r>
              <w:rPr>
                <w:noProof/>
                <w:webHidden/>
              </w:rPr>
              <w:tab/>
            </w:r>
            <w:r>
              <w:rPr>
                <w:noProof/>
                <w:webHidden/>
              </w:rPr>
              <w:fldChar w:fldCharType="begin"/>
            </w:r>
            <w:r>
              <w:rPr>
                <w:noProof/>
                <w:webHidden/>
              </w:rPr>
              <w:instrText xml:space="preserve"> PAGEREF _Toc228700995 \h </w:instrText>
            </w:r>
            <w:r>
              <w:rPr>
                <w:noProof/>
                <w:webHidden/>
              </w:rPr>
            </w:r>
            <w:r>
              <w:rPr>
                <w:noProof/>
                <w:webHidden/>
              </w:rPr>
              <w:fldChar w:fldCharType="separate"/>
            </w:r>
            <w:r w:rsidR="00541739">
              <w:rPr>
                <w:noProof/>
                <w:webHidden/>
              </w:rPr>
              <w:t>25</w:t>
            </w:r>
            <w:r>
              <w:rPr>
                <w:noProof/>
                <w:webHidden/>
              </w:rPr>
              <w:fldChar w:fldCharType="end"/>
            </w:r>
          </w:hyperlink>
        </w:p>
        <w:p w14:paraId="2266FD54" w14:textId="3044884C"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6" w:history="1">
            <w:r w:rsidRPr="000F7DFE">
              <w:rPr>
                <w:rStyle w:val="Hyperlink"/>
                <w:noProof/>
              </w:rPr>
              <w:t>1.2.3</w:t>
            </w:r>
            <w:r>
              <w:rPr>
                <w:rFonts w:eastAsiaTheme="minorEastAsia"/>
                <w:i w:val="0"/>
                <w:iCs w:val="0"/>
                <w:noProof/>
                <w:kern w:val="2"/>
                <w:sz w:val="24"/>
                <w:szCs w:val="24"/>
                <w:lang w:val="en-GB" w:eastAsia="en-GB"/>
                <w14:ligatures w14:val="standardContextual"/>
              </w:rPr>
              <w:tab/>
            </w:r>
            <w:r w:rsidRPr="000F7DFE">
              <w:rPr>
                <w:rStyle w:val="Hyperlink"/>
                <w:noProof/>
              </w:rPr>
              <w:t>International buyer priorities</w:t>
            </w:r>
            <w:r>
              <w:rPr>
                <w:noProof/>
                <w:webHidden/>
              </w:rPr>
              <w:tab/>
            </w:r>
            <w:r>
              <w:rPr>
                <w:noProof/>
                <w:webHidden/>
              </w:rPr>
              <w:fldChar w:fldCharType="begin"/>
            </w:r>
            <w:r>
              <w:rPr>
                <w:noProof/>
                <w:webHidden/>
              </w:rPr>
              <w:instrText xml:space="preserve"> PAGEREF _Toc228700996 \h </w:instrText>
            </w:r>
            <w:r>
              <w:rPr>
                <w:noProof/>
                <w:webHidden/>
              </w:rPr>
            </w:r>
            <w:r>
              <w:rPr>
                <w:noProof/>
                <w:webHidden/>
              </w:rPr>
              <w:fldChar w:fldCharType="separate"/>
            </w:r>
            <w:r w:rsidR="00541739">
              <w:rPr>
                <w:noProof/>
                <w:webHidden/>
              </w:rPr>
              <w:t>26</w:t>
            </w:r>
            <w:r>
              <w:rPr>
                <w:noProof/>
                <w:webHidden/>
              </w:rPr>
              <w:fldChar w:fldCharType="end"/>
            </w:r>
          </w:hyperlink>
        </w:p>
        <w:p w14:paraId="641147AB" w14:textId="7F7C549E"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0997" w:history="1">
            <w:r w:rsidRPr="000F7DFE">
              <w:rPr>
                <w:rStyle w:val="Hyperlink"/>
                <w:noProof/>
              </w:rPr>
              <w:t>1.3</w:t>
            </w:r>
            <w:r>
              <w:rPr>
                <w:rFonts w:eastAsiaTheme="minorEastAsia"/>
                <w:smallCaps w:val="0"/>
                <w:noProof/>
                <w:kern w:val="2"/>
                <w:sz w:val="24"/>
                <w:szCs w:val="24"/>
                <w:lang w:val="en-GB" w:eastAsia="en-GB"/>
                <w14:ligatures w14:val="standardContextual"/>
              </w:rPr>
              <w:tab/>
            </w:r>
            <w:r w:rsidRPr="000F7DFE">
              <w:rPr>
                <w:rStyle w:val="Hyperlink"/>
                <w:noProof/>
              </w:rPr>
              <w:t>Governmental Policies, Regulation, and Institutional Framework</w:t>
            </w:r>
            <w:r>
              <w:rPr>
                <w:noProof/>
                <w:webHidden/>
              </w:rPr>
              <w:tab/>
            </w:r>
            <w:r>
              <w:rPr>
                <w:noProof/>
                <w:webHidden/>
              </w:rPr>
              <w:fldChar w:fldCharType="begin"/>
            </w:r>
            <w:r>
              <w:rPr>
                <w:noProof/>
                <w:webHidden/>
              </w:rPr>
              <w:instrText xml:space="preserve"> PAGEREF _Toc228700997 \h </w:instrText>
            </w:r>
            <w:r>
              <w:rPr>
                <w:noProof/>
                <w:webHidden/>
              </w:rPr>
            </w:r>
            <w:r>
              <w:rPr>
                <w:noProof/>
                <w:webHidden/>
              </w:rPr>
              <w:fldChar w:fldCharType="separate"/>
            </w:r>
            <w:r w:rsidR="00541739">
              <w:rPr>
                <w:noProof/>
                <w:webHidden/>
              </w:rPr>
              <w:t>26</w:t>
            </w:r>
            <w:r>
              <w:rPr>
                <w:noProof/>
                <w:webHidden/>
              </w:rPr>
              <w:fldChar w:fldCharType="end"/>
            </w:r>
          </w:hyperlink>
        </w:p>
        <w:p w14:paraId="05F76841" w14:textId="75B5CA7C"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8" w:history="1">
            <w:r w:rsidRPr="000F7DFE">
              <w:rPr>
                <w:rStyle w:val="Hyperlink"/>
                <w:noProof/>
              </w:rPr>
              <w:t>1.3.1</w:t>
            </w:r>
            <w:r>
              <w:rPr>
                <w:rFonts w:eastAsiaTheme="minorEastAsia"/>
                <w:i w:val="0"/>
                <w:iCs w:val="0"/>
                <w:noProof/>
                <w:kern w:val="2"/>
                <w:sz w:val="24"/>
                <w:szCs w:val="24"/>
                <w:lang w:val="en-GB" w:eastAsia="en-GB"/>
                <w14:ligatures w14:val="standardContextual"/>
              </w:rPr>
              <w:tab/>
            </w:r>
            <w:r w:rsidRPr="000F7DFE">
              <w:rPr>
                <w:rStyle w:val="Hyperlink"/>
                <w:noProof/>
              </w:rPr>
              <w:t>Role and Mandate of the Produce Monitoring Board (PMB)</w:t>
            </w:r>
            <w:r>
              <w:rPr>
                <w:noProof/>
                <w:webHidden/>
              </w:rPr>
              <w:tab/>
            </w:r>
            <w:r>
              <w:rPr>
                <w:noProof/>
                <w:webHidden/>
              </w:rPr>
              <w:fldChar w:fldCharType="begin"/>
            </w:r>
            <w:r>
              <w:rPr>
                <w:noProof/>
                <w:webHidden/>
              </w:rPr>
              <w:instrText xml:space="preserve"> PAGEREF _Toc228700998 \h </w:instrText>
            </w:r>
            <w:r>
              <w:rPr>
                <w:noProof/>
                <w:webHidden/>
              </w:rPr>
            </w:r>
            <w:r>
              <w:rPr>
                <w:noProof/>
                <w:webHidden/>
              </w:rPr>
              <w:fldChar w:fldCharType="separate"/>
            </w:r>
            <w:r w:rsidR="00541739">
              <w:rPr>
                <w:noProof/>
                <w:webHidden/>
              </w:rPr>
              <w:t>26</w:t>
            </w:r>
            <w:r>
              <w:rPr>
                <w:noProof/>
                <w:webHidden/>
              </w:rPr>
              <w:fldChar w:fldCharType="end"/>
            </w:r>
          </w:hyperlink>
        </w:p>
        <w:p w14:paraId="7F67461F" w14:textId="7D2C4856"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0999" w:history="1">
            <w:r w:rsidRPr="000F7DFE">
              <w:rPr>
                <w:rStyle w:val="Hyperlink"/>
                <w:noProof/>
              </w:rPr>
              <w:t>1.3.2</w:t>
            </w:r>
            <w:r>
              <w:rPr>
                <w:rFonts w:eastAsiaTheme="minorEastAsia"/>
                <w:i w:val="0"/>
                <w:iCs w:val="0"/>
                <w:noProof/>
                <w:kern w:val="2"/>
                <w:sz w:val="24"/>
                <w:szCs w:val="24"/>
                <w:lang w:val="en-GB" w:eastAsia="en-GB"/>
                <w14:ligatures w14:val="standardContextual"/>
              </w:rPr>
              <w:tab/>
            </w:r>
            <w:r w:rsidRPr="000F7DFE">
              <w:rPr>
                <w:rStyle w:val="Hyperlink"/>
                <w:noProof/>
              </w:rPr>
              <w:t>Research, Development, and Extension Services</w:t>
            </w:r>
            <w:r>
              <w:rPr>
                <w:noProof/>
                <w:webHidden/>
              </w:rPr>
              <w:tab/>
            </w:r>
            <w:r>
              <w:rPr>
                <w:noProof/>
                <w:webHidden/>
              </w:rPr>
              <w:fldChar w:fldCharType="begin"/>
            </w:r>
            <w:r>
              <w:rPr>
                <w:noProof/>
                <w:webHidden/>
              </w:rPr>
              <w:instrText xml:space="preserve"> PAGEREF _Toc228700999 \h </w:instrText>
            </w:r>
            <w:r>
              <w:rPr>
                <w:noProof/>
                <w:webHidden/>
              </w:rPr>
            </w:r>
            <w:r>
              <w:rPr>
                <w:noProof/>
                <w:webHidden/>
              </w:rPr>
              <w:fldChar w:fldCharType="separate"/>
            </w:r>
            <w:r w:rsidR="00541739">
              <w:rPr>
                <w:noProof/>
                <w:webHidden/>
              </w:rPr>
              <w:t>27</w:t>
            </w:r>
            <w:r>
              <w:rPr>
                <w:noProof/>
                <w:webHidden/>
              </w:rPr>
              <w:fldChar w:fldCharType="end"/>
            </w:r>
          </w:hyperlink>
        </w:p>
        <w:p w14:paraId="37FA2287" w14:textId="7B8B8D16"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00" w:history="1">
            <w:r w:rsidRPr="000F7DFE">
              <w:rPr>
                <w:rStyle w:val="Hyperlink"/>
                <w:noProof/>
              </w:rPr>
              <w:t>1.3.3</w:t>
            </w:r>
            <w:r>
              <w:rPr>
                <w:rFonts w:eastAsiaTheme="minorEastAsia"/>
                <w:i w:val="0"/>
                <w:iCs w:val="0"/>
                <w:noProof/>
                <w:kern w:val="2"/>
                <w:sz w:val="24"/>
                <w:szCs w:val="24"/>
                <w:lang w:val="en-GB" w:eastAsia="en-GB"/>
                <w14:ligatures w14:val="standardContextual"/>
              </w:rPr>
              <w:tab/>
            </w:r>
            <w:r w:rsidRPr="000F7DFE">
              <w:rPr>
                <w:rStyle w:val="Hyperlink"/>
                <w:noProof/>
              </w:rPr>
              <w:t>Customary Land Rights and FPIC Requirements</w:t>
            </w:r>
            <w:r>
              <w:rPr>
                <w:noProof/>
                <w:webHidden/>
              </w:rPr>
              <w:tab/>
            </w:r>
            <w:r>
              <w:rPr>
                <w:noProof/>
                <w:webHidden/>
              </w:rPr>
              <w:fldChar w:fldCharType="begin"/>
            </w:r>
            <w:r>
              <w:rPr>
                <w:noProof/>
                <w:webHidden/>
              </w:rPr>
              <w:instrText xml:space="preserve"> PAGEREF _Toc228701000 \h </w:instrText>
            </w:r>
            <w:r>
              <w:rPr>
                <w:noProof/>
                <w:webHidden/>
              </w:rPr>
            </w:r>
            <w:r>
              <w:rPr>
                <w:noProof/>
                <w:webHidden/>
              </w:rPr>
              <w:fldChar w:fldCharType="separate"/>
            </w:r>
            <w:r w:rsidR="00541739">
              <w:rPr>
                <w:noProof/>
                <w:webHidden/>
              </w:rPr>
              <w:t>27</w:t>
            </w:r>
            <w:r>
              <w:rPr>
                <w:noProof/>
                <w:webHidden/>
              </w:rPr>
              <w:fldChar w:fldCharType="end"/>
            </w:r>
          </w:hyperlink>
        </w:p>
        <w:p w14:paraId="120B53E9" w14:textId="1634BE04"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01" w:history="1">
            <w:r w:rsidRPr="000F7DFE">
              <w:rPr>
                <w:rStyle w:val="Hyperlink"/>
                <w:noProof/>
              </w:rPr>
              <w:t>1.4</w:t>
            </w:r>
            <w:r>
              <w:rPr>
                <w:rFonts w:eastAsiaTheme="minorEastAsia"/>
                <w:smallCaps w:val="0"/>
                <w:noProof/>
                <w:kern w:val="2"/>
                <w:sz w:val="24"/>
                <w:szCs w:val="24"/>
                <w:lang w:val="en-GB" w:eastAsia="en-GB"/>
                <w14:ligatures w14:val="standardContextual"/>
              </w:rPr>
              <w:tab/>
            </w:r>
            <w:r w:rsidRPr="000F7DFE">
              <w:rPr>
                <w:rStyle w:val="Hyperlink"/>
                <w:noProof/>
              </w:rPr>
              <w:t>The Cocoa Value Chain Structure</w:t>
            </w:r>
            <w:r>
              <w:rPr>
                <w:noProof/>
                <w:webHidden/>
              </w:rPr>
              <w:tab/>
            </w:r>
            <w:r>
              <w:rPr>
                <w:noProof/>
                <w:webHidden/>
              </w:rPr>
              <w:fldChar w:fldCharType="begin"/>
            </w:r>
            <w:r>
              <w:rPr>
                <w:noProof/>
                <w:webHidden/>
              </w:rPr>
              <w:instrText xml:space="preserve"> PAGEREF _Toc228701001 \h </w:instrText>
            </w:r>
            <w:r>
              <w:rPr>
                <w:noProof/>
                <w:webHidden/>
              </w:rPr>
            </w:r>
            <w:r>
              <w:rPr>
                <w:noProof/>
                <w:webHidden/>
              </w:rPr>
              <w:fldChar w:fldCharType="separate"/>
            </w:r>
            <w:r w:rsidR="00541739">
              <w:rPr>
                <w:noProof/>
                <w:webHidden/>
              </w:rPr>
              <w:t>27</w:t>
            </w:r>
            <w:r>
              <w:rPr>
                <w:noProof/>
                <w:webHidden/>
              </w:rPr>
              <w:fldChar w:fldCharType="end"/>
            </w:r>
          </w:hyperlink>
        </w:p>
        <w:p w14:paraId="579ED454" w14:textId="094CEE06"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02" w:history="1">
            <w:r w:rsidRPr="000F7DFE">
              <w:rPr>
                <w:rStyle w:val="Hyperlink"/>
                <w:noProof/>
              </w:rPr>
              <w:t>1.4.1</w:t>
            </w:r>
            <w:r>
              <w:rPr>
                <w:rFonts w:eastAsiaTheme="minorEastAsia"/>
                <w:i w:val="0"/>
                <w:iCs w:val="0"/>
                <w:noProof/>
                <w:kern w:val="2"/>
                <w:sz w:val="24"/>
                <w:szCs w:val="24"/>
                <w:lang w:val="en-GB" w:eastAsia="en-GB"/>
                <w14:ligatures w14:val="standardContextual"/>
              </w:rPr>
              <w:tab/>
            </w:r>
            <w:r w:rsidRPr="000F7DFE">
              <w:rPr>
                <w:rStyle w:val="Hyperlink"/>
                <w:noProof/>
              </w:rPr>
              <w:t>Value Chain Mapping: Actors and Relationships</w:t>
            </w:r>
            <w:r>
              <w:rPr>
                <w:noProof/>
                <w:webHidden/>
              </w:rPr>
              <w:tab/>
            </w:r>
            <w:r>
              <w:rPr>
                <w:noProof/>
                <w:webHidden/>
              </w:rPr>
              <w:fldChar w:fldCharType="begin"/>
            </w:r>
            <w:r>
              <w:rPr>
                <w:noProof/>
                <w:webHidden/>
              </w:rPr>
              <w:instrText xml:space="preserve"> PAGEREF _Toc228701002 \h </w:instrText>
            </w:r>
            <w:r>
              <w:rPr>
                <w:noProof/>
                <w:webHidden/>
              </w:rPr>
            </w:r>
            <w:r>
              <w:rPr>
                <w:noProof/>
                <w:webHidden/>
              </w:rPr>
              <w:fldChar w:fldCharType="separate"/>
            </w:r>
            <w:r w:rsidR="00541739">
              <w:rPr>
                <w:noProof/>
                <w:webHidden/>
              </w:rPr>
              <w:t>27</w:t>
            </w:r>
            <w:r>
              <w:rPr>
                <w:noProof/>
                <w:webHidden/>
              </w:rPr>
              <w:fldChar w:fldCharType="end"/>
            </w:r>
          </w:hyperlink>
        </w:p>
        <w:p w14:paraId="03448DAF" w14:textId="2205B962"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03" w:history="1">
            <w:r w:rsidRPr="000F7DFE">
              <w:rPr>
                <w:rStyle w:val="Hyperlink"/>
                <w:noProof/>
              </w:rPr>
              <w:t>1.4.2</w:t>
            </w:r>
            <w:r>
              <w:rPr>
                <w:rFonts w:eastAsiaTheme="minorEastAsia"/>
                <w:i w:val="0"/>
                <w:iCs w:val="0"/>
                <w:noProof/>
                <w:kern w:val="2"/>
                <w:sz w:val="24"/>
                <w:szCs w:val="24"/>
                <w:lang w:val="en-GB" w:eastAsia="en-GB"/>
                <w14:ligatures w14:val="standardContextual"/>
              </w:rPr>
              <w:tab/>
            </w:r>
            <w:r w:rsidRPr="000F7DFE">
              <w:rPr>
                <w:rStyle w:val="Hyperlink"/>
                <w:noProof/>
              </w:rPr>
              <w:t>Input Provision and Finance</w:t>
            </w:r>
            <w:r>
              <w:rPr>
                <w:noProof/>
                <w:webHidden/>
              </w:rPr>
              <w:tab/>
            </w:r>
            <w:r>
              <w:rPr>
                <w:noProof/>
                <w:webHidden/>
              </w:rPr>
              <w:fldChar w:fldCharType="begin"/>
            </w:r>
            <w:r>
              <w:rPr>
                <w:noProof/>
                <w:webHidden/>
              </w:rPr>
              <w:instrText xml:space="preserve"> PAGEREF _Toc228701003 \h </w:instrText>
            </w:r>
            <w:r>
              <w:rPr>
                <w:noProof/>
                <w:webHidden/>
              </w:rPr>
            </w:r>
            <w:r>
              <w:rPr>
                <w:noProof/>
                <w:webHidden/>
              </w:rPr>
              <w:fldChar w:fldCharType="separate"/>
            </w:r>
            <w:r w:rsidR="00541739">
              <w:rPr>
                <w:noProof/>
                <w:webHidden/>
              </w:rPr>
              <w:t>29</w:t>
            </w:r>
            <w:r>
              <w:rPr>
                <w:noProof/>
                <w:webHidden/>
              </w:rPr>
              <w:fldChar w:fldCharType="end"/>
            </w:r>
          </w:hyperlink>
        </w:p>
        <w:p w14:paraId="77FC2D04" w14:textId="7F518032"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04" w:history="1">
            <w:r w:rsidRPr="000F7DFE">
              <w:rPr>
                <w:rStyle w:val="Hyperlink"/>
                <w:noProof/>
              </w:rPr>
              <w:t>1.4.3</w:t>
            </w:r>
            <w:r>
              <w:rPr>
                <w:rFonts w:eastAsiaTheme="minorEastAsia"/>
                <w:i w:val="0"/>
                <w:iCs w:val="0"/>
                <w:noProof/>
                <w:kern w:val="2"/>
                <w:sz w:val="24"/>
                <w:szCs w:val="24"/>
                <w:lang w:val="en-GB" w:eastAsia="en-GB"/>
                <w14:ligatures w14:val="standardContextual"/>
              </w:rPr>
              <w:tab/>
            </w:r>
            <w:r w:rsidRPr="000F7DFE">
              <w:rPr>
                <w:rStyle w:val="Hyperlink"/>
                <w:noProof/>
              </w:rPr>
              <w:t>Processing and Quality Control</w:t>
            </w:r>
            <w:r>
              <w:rPr>
                <w:noProof/>
                <w:webHidden/>
              </w:rPr>
              <w:tab/>
            </w:r>
            <w:r>
              <w:rPr>
                <w:noProof/>
                <w:webHidden/>
              </w:rPr>
              <w:fldChar w:fldCharType="begin"/>
            </w:r>
            <w:r>
              <w:rPr>
                <w:noProof/>
                <w:webHidden/>
              </w:rPr>
              <w:instrText xml:space="preserve"> PAGEREF _Toc228701004 \h </w:instrText>
            </w:r>
            <w:r>
              <w:rPr>
                <w:noProof/>
                <w:webHidden/>
              </w:rPr>
            </w:r>
            <w:r>
              <w:rPr>
                <w:noProof/>
                <w:webHidden/>
              </w:rPr>
              <w:fldChar w:fldCharType="separate"/>
            </w:r>
            <w:r w:rsidR="00541739">
              <w:rPr>
                <w:noProof/>
                <w:webHidden/>
              </w:rPr>
              <w:t>30</w:t>
            </w:r>
            <w:r>
              <w:rPr>
                <w:noProof/>
                <w:webHidden/>
              </w:rPr>
              <w:fldChar w:fldCharType="end"/>
            </w:r>
          </w:hyperlink>
        </w:p>
        <w:p w14:paraId="2057E65F" w14:textId="1F9B83DD"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05" w:history="1">
            <w:r w:rsidRPr="000F7DFE">
              <w:rPr>
                <w:rStyle w:val="Hyperlink"/>
                <w:noProof/>
              </w:rPr>
              <w:t>1.4.4</w:t>
            </w:r>
            <w:r>
              <w:rPr>
                <w:rFonts w:eastAsiaTheme="minorEastAsia"/>
                <w:i w:val="0"/>
                <w:iCs w:val="0"/>
                <w:noProof/>
                <w:kern w:val="2"/>
                <w:sz w:val="24"/>
                <w:szCs w:val="24"/>
                <w:lang w:val="en-GB" w:eastAsia="en-GB"/>
                <w14:ligatures w14:val="standardContextual"/>
              </w:rPr>
              <w:tab/>
            </w:r>
            <w:r w:rsidRPr="000F7DFE">
              <w:rPr>
                <w:rStyle w:val="Hyperlink"/>
                <w:noProof/>
              </w:rPr>
              <w:t>Aggregation and Export</w:t>
            </w:r>
            <w:r>
              <w:rPr>
                <w:noProof/>
                <w:webHidden/>
              </w:rPr>
              <w:tab/>
            </w:r>
            <w:r>
              <w:rPr>
                <w:noProof/>
                <w:webHidden/>
              </w:rPr>
              <w:fldChar w:fldCharType="begin"/>
            </w:r>
            <w:r>
              <w:rPr>
                <w:noProof/>
                <w:webHidden/>
              </w:rPr>
              <w:instrText xml:space="preserve"> PAGEREF _Toc228701005 \h </w:instrText>
            </w:r>
            <w:r>
              <w:rPr>
                <w:noProof/>
                <w:webHidden/>
              </w:rPr>
            </w:r>
            <w:r>
              <w:rPr>
                <w:noProof/>
                <w:webHidden/>
              </w:rPr>
              <w:fldChar w:fldCharType="separate"/>
            </w:r>
            <w:r w:rsidR="00541739">
              <w:rPr>
                <w:noProof/>
                <w:webHidden/>
              </w:rPr>
              <w:t>31</w:t>
            </w:r>
            <w:r>
              <w:rPr>
                <w:noProof/>
                <w:webHidden/>
              </w:rPr>
              <w:fldChar w:fldCharType="end"/>
            </w:r>
          </w:hyperlink>
        </w:p>
        <w:p w14:paraId="672D94EA" w14:textId="29C7A2EC"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06" w:history="1">
            <w:r w:rsidRPr="000F7DFE">
              <w:rPr>
                <w:rStyle w:val="Hyperlink"/>
                <w:noProof/>
              </w:rPr>
              <w:t>2.</w:t>
            </w:r>
            <w:r>
              <w:rPr>
                <w:rFonts w:eastAsiaTheme="minorEastAsia"/>
                <w:b w:val="0"/>
                <w:bCs w:val="0"/>
                <w:caps w:val="0"/>
                <w:noProof/>
                <w:kern w:val="2"/>
                <w:sz w:val="24"/>
                <w:szCs w:val="24"/>
                <w:lang w:val="en-GB" w:eastAsia="en-GB"/>
                <w14:ligatures w14:val="standardContextual"/>
              </w:rPr>
              <w:tab/>
            </w:r>
            <w:r w:rsidRPr="000F7DFE">
              <w:rPr>
                <w:rStyle w:val="Hyperlink"/>
                <w:noProof/>
              </w:rPr>
              <w:t>WHAT IS THE CONTRIBUTION OF THE VALUE CHAIN TO ECONOMIC GROWTH?</w:t>
            </w:r>
            <w:r>
              <w:rPr>
                <w:noProof/>
                <w:webHidden/>
              </w:rPr>
              <w:tab/>
            </w:r>
            <w:r>
              <w:rPr>
                <w:noProof/>
                <w:webHidden/>
              </w:rPr>
              <w:fldChar w:fldCharType="begin"/>
            </w:r>
            <w:r>
              <w:rPr>
                <w:noProof/>
                <w:webHidden/>
              </w:rPr>
              <w:instrText xml:space="preserve"> PAGEREF _Toc228701006 \h </w:instrText>
            </w:r>
            <w:r>
              <w:rPr>
                <w:noProof/>
                <w:webHidden/>
              </w:rPr>
            </w:r>
            <w:r>
              <w:rPr>
                <w:noProof/>
                <w:webHidden/>
              </w:rPr>
              <w:fldChar w:fldCharType="separate"/>
            </w:r>
            <w:r w:rsidR="00541739">
              <w:rPr>
                <w:noProof/>
                <w:webHidden/>
              </w:rPr>
              <w:t>32</w:t>
            </w:r>
            <w:r>
              <w:rPr>
                <w:noProof/>
                <w:webHidden/>
              </w:rPr>
              <w:fldChar w:fldCharType="end"/>
            </w:r>
          </w:hyperlink>
        </w:p>
        <w:p w14:paraId="5AB6BD02" w14:textId="2F09EA07"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07" w:history="1">
            <w:r w:rsidRPr="000F7DFE">
              <w:rPr>
                <w:rStyle w:val="Hyperlink"/>
                <w:noProof/>
              </w:rPr>
              <w:t>2.1</w:t>
            </w:r>
            <w:r>
              <w:rPr>
                <w:rFonts w:eastAsiaTheme="minorEastAsia"/>
                <w:smallCaps w:val="0"/>
                <w:noProof/>
                <w:kern w:val="2"/>
                <w:sz w:val="24"/>
                <w:szCs w:val="24"/>
                <w:lang w:val="en-GB" w:eastAsia="en-GB"/>
                <w14:ligatures w14:val="standardContextual"/>
              </w:rPr>
              <w:tab/>
            </w:r>
            <w:r w:rsidRPr="000F7DFE">
              <w:rPr>
                <w:rStyle w:val="Hyperlink"/>
                <w:noProof/>
              </w:rPr>
              <w:t>Introduction</w:t>
            </w:r>
            <w:r>
              <w:rPr>
                <w:noProof/>
                <w:webHidden/>
              </w:rPr>
              <w:tab/>
            </w:r>
            <w:r>
              <w:rPr>
                <w:noProof/>
                <w:webHidden/>
              </w:rPr>
              <w:fldChar w:fldCharType="begin"/>
            </w:r>
            <w:r>
              <w:rPr>
                <w:noProof/>
                <w:webHidden/>
              </w:rPr>
              <w:instrText xml:space="preserve"> PAGEREF _Toc228701007 \h </w:instrText>
            </w:r>
            <w:r>
              <w:rPr>
                <w:noProof/>
                <w:webHidden/>
              </w:rPr>
            </w:r>
            <w:r>
              <w:rPr>
                <w:noProof/>
                <w:webHidden/>
              </w:rPr>
              <w:fldChar w:fldCharType="separate"/>
            </w:r>
            <w:r w:rsidR="00541739">
              <w:rPr>
                <w:noProof/>
                <w:webHidden/>
              </w:rPr>
              <w:t>32</w:t>
            </w:r>
            <w:r>
              <w:rPr>
                <w:noProof/>
                <w:webHidden/>
              </w:rPr>
              <w:fldChar w:fldCharType="end"/>
            </w:r>
          </w:hyperlink>
        </w:p>
        <w:p w14:paraId="2F7DD410" w14:textId="54FC531A"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08" w:history="1">
            <w:r w:rsidRPr="000F7DFE">
              <w:rPr>
                <w:rStyle w:val="Hyperlink"/>
                <w:noProof/>
              </w:rPr>
              <w:t>2.2</w:t>
            </w:r>
            <w:r>
              <w:rPr>
                <w:rFonts w:eastAsiaTheme="minorEastAsia"/>
                <w:smallCaps w:val="0"/>
                <w:noProof/>
                <w:kern w:val="2"/>
                <w:sz w:val="24"/>
                <w:szCs w:val="24"/>
                <w:lang w:val="en-GB" w:eastAsia="en-GB"/>
                <w14:ligatures w14:val="standardContextual"/>
              </w:rPr>
              <w:tab/>
            </w:r>
            <w:r w:rsidRPr="000F7DFE">
              <w:rPr>
                <w:rStyle w:val="Hyperlink"/>
                <w:noProof/>
              </w:rPr>
              <w:t>Data and Construction of Operating accounts</w:t>
            </w:r>
            <w:r>
              <w:rPr>
                <w:noProof/>
                <w:webHidden/>
              </w:rPr>
              <w:tab/>
            </w:r>
            <w:r>
              <w:rPr>
                <w:noProof/>
                <w:webHidden/>
              </w:rPr>
              <w:fldChar w:fldCharType="begin"/>
            </w:r>
            <w:r>
              <w:rPr>
                <w:noProof/>
                <w:webHidden/>
              </w:rPr>
              <w:instrText xml:space="preserve"> PAGEREF _Toc228701008 \h </w:instrText>
            </w:r>
            <w:r>
              <w:rPr>
                <w:noProof/>
                <w:webHidden/>
              </w:rPr>
            </w:r>
            <w:r>
              <w:rPr>
                <w:noProof/>
                <w:webHidden/>
              </w:rPr>
              <w:fldChar w:fldCharType="separate"/>
            </w:r>
            <w:r w:rsidR="00541739">
              <w:rPr>
                <w:noProof/>
                <w:webHidden/>
              </w:rPr>
              <w:t>32</w:t>
            </w:r>
            <w:r>
              <w:rPr>
                <w:noProof/>
                <w:webHidden/>
              </w:rPr>
              <w:fldChar w:fldCharType="end"/>
            </w:r>
          </w:hyperlink>
        </w:p>
        <w:p w14:paraId="093D3797" w14:textId="5DCB861A"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09" w:history="1">
            <w:r w:rsidRPr="000F7DFE">
              <w:rPr>
                <w:rStyle w:val="Hyperlink"/>
                <w:noProof/>
              </w:rPr>
              <w:t>2.3</w:t>
            </w:r>
            <w:r>
              <w:rPr>
                <w:rFonts w:eastAsiaTheme="minorEastAsia"/>
                <w:smallCaps w:val="0"/>
                <w:noProof/>
                <w:kern w:val="2"/>
                <w:sz w:val="24"/>
                <w:szCs w:val="24"/>
                <w:lang w:val="en-GB" w:eastAsia="en-GB"/>
                <w14:ligatures w14:val="standardContextual"/>
              </w:rPr>
              <w:tab/>
            </w:r>
            <w:r w:rsidRPr="000F7DFE">
              <w:rPr>
                <w:rStyle w:val="Hyperlink"/>
                <w:noProof/>
              </w:rPr>
              <w:t>Financial Analysis and Actor-Level Profitability</w:t>
            </w:r>
            <w:r>
              <w:rPr>
                <w:noProof/>
                <w:webHidden/>
              </w:rPr>
              <w:tab/>
            </w:r>
            <w:r>
              <w:rPr>
                <w:noProof/>
                <w:webHidden/>
              </w:rPr>
              <w:fldChar w:fldCharType="begin"/>
            </w:r>
            <w:r>
              <w:rPr>
                <w:noProof/>
                <w:webHidden/>
              </w:rPr>
              <w:instrText xml:space="preserve"> PAGEREF _Toc228701009 \h </w:instrText>
            </w:r>
            <w:r>
              <w:rPr>
                <w:noProof/>
                <w:webHidden/>
              </w:rPr>
            </w:r>
            <w:r>
              <w:rPr>
                <w:noProof/>
                <w:webHidden/>
              </w:rPr>
              <w:fldChar w:fldCharType="separate"/>
            </w:r>
            <w:r w:rsidR="00541739">
              <w:rPr>
                <w:noProof/>
                <w:webHidden/>
              </w:rPr>
              <w:t>33</w:t>
            </w:r>
            <w:r>
              <w:rPr>
                <w:noProof/>
                <w:webHidden/>
              </w:rPr>
              <w:fldChar w:fldCharType="end"/>
            </w:r>
          </w:hyperlink>
        </w:p>
        <w:p w14:paraId="0C8A642A" w14:textId="50C232D7"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0" w:history="1">
            <w:r w:rsidRPr="000F7DFE">
              <w:rPr>
                <w:rStyle w:val="Hyperlink"/>
                <w:noProof/>
              </w:rPr>
              <w:t>2.3.1</w:t>
            </w:r>
            <w:r>
              <w:rPr>
                <w:rFonts w:eastAsiaTheme="minorEastAsia"/>
                <w:i w:val="0"/>
                <w:iCs w:val="0"/>
                <w:noProof/>
                <w:kern w:val="2"/>
                <w:sz w:val="24"/>
                <w:szCs w:val="24"/>
                <w:lang w:val="en-GB" w:eastAsia="en-GB"/>
                <w14:ligatures w14:val="standardContextual"/>
              </w:rPr>
              <w:tab/>
            </w:r>
            <w:r w:rsidRPr="000F7DFE">
              <w:rPr>
                <w:rStyle w:val="Hyperlink"/>
                <w:noProof/>
              </w:rPr>
              <w:t>Operating accounts per actor</w:t>
            </w:r>
            <w:r>
              <w:rPr>
                <w:noProof/>
                <w:webHidden/>
              </w:rPr>
              <w:tab/>
            </w:r>
            <w:r>
              <w:rPr>
                <w:noProof/>
                <w:webHidden/>
              </w:rPr>
              <w:fldChar w:fldCharType="begin"/>
            </w:r>
            <w:r>
              <w:rPr>
                <w:noProof/>
                <w:webHidden/>
              </w:rPr>
              <w:instrText xml:space="preserve"> PAGEREF _Toc228701010 \h </w:instrText>
            </w:r>
            <w:r>
              <w:rPr>
                <w:noProof/>
                <w:webHidden/>
              </w:rPr>
            </w:r>
            <w:r>
              <w:rPr>
                <w:noProof/>
                <w:webHidden/>
              </w:rPr>
              <w:fldChar w:fldCharType="separate"/>
            </w:r>
            <w:r w:rsidR="00541739">
              <w:rPr>
                <w:noProof/>
                <w:webHidden/>
              </w:rPr>
              <w:t>33</w:t>
            </w:r>
            <w:r>
              <w:rPr>
                <w:noProof/>
                <w:webHidden/>
              </w:rPr>
              <w:fldChar w:fldCharType="end"/>
            </w:r>
          </w:hyperlink>
        </w:p>
        <w:p w14:paraId="34315D99" w14:textId="4331254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1" w:history="1">
            <w:r w:rsidRPr="000F7DFE">
              <w:rPr>
                <w:rStyle w:val="Hyperlink"/>
                <w:noProof/>
              </w:rPr>
              <w:t>2.3.2</w:t>
            </w:r>
            <w:r>
              <w:rPr>
                <w:rFonts w:eastAsiaTheme="minorEastAsia"/>
                <w:i w:val="0"/>
                <w:iCs w:val="0"/>
                <w:noProof/>
                <w:kern w:val="2"/>
                <w:sz w:val="24"/>
                <w:szCs w:val="24"/>
                <w:lang w:val="en-GB" w:eastAsia="en-GB"/>
                <w14:ligatures w14:val="standardContextual"/>
              </w:rPr>
              <w:tab/>
            </w:r>
            <w:r w:rsidRPr="000F7DFE">
              <w:rPr>
                <w:rStyle w:val="Hyperlink"/>
                <w:noProof/>
              </w:rPr>
              <w:t>Distribution of Value Added</w:t>
            </w:r>
            <w:r>
              <w:rPr>
                <w:noProof/>
                <w:webHidden/>
              </w:rPr>
              <w:tab/>
            </w:r>
            <w:r>
              <w:rPr>
                <w:noProof/>
                <w:webHidden/>
              </w:rPr>
              <w:fldChar w:fldCharType="begin"/>
            </w:r>
            <w:r>
              <w:rPr>
                <w:noProof/>
                <w:webHidden/>
              </w:rPr>
              <w:instrText xml:space="preserve"> PAGEREF _Toc228701011 \h </w:instrText>
            </w:r>
            <w:r>
              <w:rPr>
                <w:noProof/>
                <w:webHidden/>
              </w:rPr>
            </w:r>
            <w:r>
              <w:rPr>
                <w:noProof/>
                <w:webHidden/>
              </w:rPr>
              <w:fldChar w:fldCharType="separate"/>
            </w:r>
            <w:r w:rsidR="00541739">
              <w:rPr>
                <w:noProof/>
                <w:webHidden/>
              </w:rPr>
              <w:t>35</w:t>
            </w:r>
            <w:r>
              <w:rPr>
                <w:noProof/>
                <w:webHidden/>
              </w:rPr>
              <w:fldChar w:fldCharType="end"/>
            </w:r>
          </w:hyperlink>
        </w:p>
        <w:p w14:paraId="64E09537" w14:textId="25564866"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12" w:history="1">
            <w:r w:rsidRPr="000F7DFE">
              <w:rPr>
                <w:rStyle w:val="Hyperlink"/>
                <w:noProof/>
              </w:rPr>
              <w:t>2.4</w:t>
            </w:r>
            <w:r>
              <w:rPr>
                <w:rFonts w:eastAsiaTheme="minorEastAsia"/>
                <w:smallCaps w:val="0"/>
                <w:noProof/>
                <w:kern w:val="2"/>
                <w:sz w:val="24"/>
                <w:szCs w:val="24"/>
                <w:lang w:val="en-GB" w:eastAsia="en-GB"/>
                <w14:ligatures w14:val="standardContextual"/>
              </w:rPr>
              <w:tab/>
            </w:r>
            <w:r w:rsidRPr="000F7DFE">
              <w:rPr>
                <w:rStyle w:val="Hyperlink"/>
                <w:noProof/>
              </w:rPr>
              <w:t>Total Effects within the National Economy</w:t>
            </w:r>
            <w:r>
              <w:rPr>
                <w:noProof/>
                <w:webHidden/>
              </w:rPr>
              <w:tab/>
            </w:r>
            <w:r>
              <w:rPr>
                <w:noProof/>
                <w:webHidden/>
              </w:rPr>
              <w:fldChar w:fldCharType="begin"/>
            </w:r>
            <w:r>
              <w:rPr>
                <w:noProof/>
                <w:webHidden/>
              </w:rPr>
              <w:instrText xml:space="preserve"> PAGEREF _Toc228701012 \h </w:instrText>
            </w:r>
            <w:r>
              <w:rPr>
                <w:noProof/>
                <w:webHidden/>
              </w:rPr>
            </w:r>
            <w:r>
              <w:rPr>
                <w:noProof/>
                <w:webHidden/>
              </w:rPr>
              <w:fldChar w:fldCharType="separate"/>
            </w:r>
            <w:r w:rsidR="00541739">
              <w:rPr>
                <w:noProof/>
                <w:webHidden/>
              </w:rPr>
              <w:t>37</w:t>
            </w:r>
            <w:r>
              <w:rPr>
                <w:noProof/>
                <w:webHidden/>
              </w:rPr>
              <w:fldChar w:fldCharType="end"/>
            </w:r>
          </w:hyperlink>
        </w:p>
        <w:p w14:paraId="16C948A2" w14:textId="5A016B67"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3" w:history="1">
            <w:r w:rsidRPr="000F7DFE">
              <w:rPr>
                <w:rStyle w:val="Hyperlink"/>
                <w:rFonts w:eastAsia="Google Sans"/>
                <w:i/>
                <w:noProof/>
              </w:rPr>
              <w:t>2.4.1</w:t>
            </w:r>
            <w:r>
              <w:rPr>
                <w:rFonts w:eastAsiaTheme="minorEastAsia"/>
                <w:i w:val="0"/>
                <w:iCs w:val="0"/>
                <w:noProof/>
                <w:kern w:val="2"/>
                <w:sz w:val="24"/>
                <w:szCs w:val="24"/>
                <w:lang w:val="en-GB" w:eastAsia="en-GB"/>
                <w14:ligatures w14:val="standardContextual"/>
              </w:rPr>
              <w:tab/>
            </w:r>
            <w:r w:rsidRPr="000F7DFE">
              <w:rPr>
                <w:rStyle w:val="Hyperlink"/>
                <w:rFonts w:eastAsia="Google Sans"/>
                <w:noProof/>
              </w:rPr>
              <w:t>Value Added Generation</w:t>
            </w:r>
            <w:r>
              <w:rPr>
                <w:noProof/>
                <w:webHidden/>
              </w:rPr>
              <w:tab/>
            </w:r>
            <w:r>
              <w:rPr>
                <w:noProof/>
                <w:webHidden/>
              </w:rPr>
              <w:fldChar w:fldCharType="begin"/>
            </w:r>
            <w:r>
              <w:rPr>
                <w:noProof/>
                <w:webHidden/>
              </w:rPr>
              <w:instrText xml:space="preserve"> PAGEREF _Toc228701013 \h </w:instrText>
            </w:r>
            <w:r>
              <w:rPr>
                <w:noProof/>
                <w:webHidden/>
              </w:rPr>
            </w:r>
            <w:r>
              <w:rPr>
                <w:noProof/>
                <w:webHidden/>
              </w:rPr>
              <w:fldChar w:fldCharType="separate"/>
            </w:r>
            <w:r w:rsidR="00541739">
              <w:rPr>
                <w:noProof/>
                <w:webHidden/>
              </w:rPr>
              <w:t>37</w:t>
            </w:r>
            <w:r>
              <w:rPr>
                <w:noProof/>
                <w:webHidden/>
              </w:rPr>
              <w:fldChar w:fldCharType="end"/>
            </w:r>
          </w:hyperlink>
        </w:p>
        <w:p w14:paraId="42F426AC" w14:textId="334F3DA6"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4" w:history="1">
            <w:r w:rsidRPr="000F7DFE">
              <w:rPr>
                <w:rStyle w:val="Hyperlink"/>
                <w:rFonts w:eastAsia="Google Sans"/>
                <w:i/>
                <w:noProof/>
              </w:rPr>
              <w:t>2.4.2</w:t>
            </w:r>
            <w:r>
              <w:rPr>
                <w:rFonts w:eastAsiaTheme="minorEastAsia"/>
                <w:i w:val="0"/>
                <w:iCs w:val="0"/>
                <w:noProof/>
                <w:kern w:val="2"/>
                <w:sz w:val="24"/>
                <w:szCs w:val="24"/>
                <w:lang w:val="en-GB" w:eastAsia="en-GB"/>
                <w14:ligatures w14:val="standardContextual"/>
              </w:rPr>
              <w:tab/>
            </w:r>
            <w:r w:rsidRPr="000F7DFE">
              <w:rPr>
                <w:rStyle w:val="Hyperlink"/>
                <w:rFonts w:eastAsia="Google Sans"/>
                <w:noProof/>
              </w:rPr>
              <w:t>Contribution to Gross Domestic Product (GDP)</w:t>
            </w:r>
            <w:r>
              <w:rPr>
                <w:noProof/>
                <w:webHidden/>
              </w:rPr>
              <w:tab/>
            </w:r>
            <w:r>
              <w:rPr>
                <w:noProof/>
                <w:webHidden/>
              </w:rPr>
              <w:fldChar w:fldCharType="begin"/>
            </w:r>
            <w:r>
              <w:rPr>
                <w:noProof/>
                <w:webHidden/>
              </w:rPr>
              <w:instrText xml:space="preserve"> PAGEREF _Toc228701014 \h </w:instrText>
            </w:r>
            <w:r>
              <w:rPr>
                <w:noProof/>
                <w:webHidden/>
              </w:rPr>
            </w:r>
            <w:r>
              <w:rPr>
                <w:noProof/>
                <w:webHidden/>
              </w:rPr>
              <w:fldChar w:fldCharType="separate"/>
            </w:r>
            <w:r w:rsidR="00541739">
              <w:rPr>
                <w:noProof/>
                <w:webHidden/>
              </w:rPr>
              <w:t>38</w:t>
            </w:r>
            <w:r>
              <w:rPr>
                <w:noProof/>
                <w:webHidden/>
              </w:rPr>
              <w:fldChar w:fldCharType="end"/>
            </w:r>
          </w:hyperlink>
        </w:p>
        <w:p w14:paraId="2B7C7AB0" w14:textId="5D9194E3"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5" w:history="1">
            <w:r w:rsidRPr="000F7DFE">
              <w:rPr>
                <w:rStyle w:val="Hyperlink"/>
                <w:rFonts w:eastAsia="Google Sans"/>
                <w:i/>
                <w:noProof/>
              </w:rPr>
              <w:t>2.4.3</w:t>
            </w:r>
            <w:r>
              <w:rPr>
                <w:rFonts w:eastAsiaTheme="minorEastAsia"/>
                <w:i w:val="0"/>
                <w:iCs w:val="0"/>
                <w:noProof/>
                <w:kern w:val="2"/>
                <w:sz w:val="24"/>
                <w:szCs w:val="24"/>
                <w:lang w:val="en-GB" w:eastAsia="en-GB"/>
                <w14:ligatures w14:val="standardContextual"/>
              </w:rPr>
              <w:tab/>
            </w:r>
            <w:r w:rsidRPr="000F7DFE">
              <w:rPr>
                <w:rStyle w:val="Hyperlink"/>
                <w:rFonts w:eastAsia="Google Sans"/>
                <w:noProof/>
              </w:rPr>
              <w:t>Economic Integration and Driving Effects</w:t>
            </w:r>
            <w:r>
              <w:rPr>
                <w:noProof/>
                <w:webHidden/>
              </w:rPr>
              <w:tab/>
            </w:r>
            <w:r>
              <w:rPr>
                <w:noProof/>
                <w:webHidden/>
              </w:rPr>
              <w:fldChar w:fldCharType="begin"/>
            </w:r>
            <w:r>
              <w:rPr>
                <w:noProof/>
                <w:webHidden/>
              </w:rPr>
              <w:instrText xml:space="preserve"> PAGEREF _Toc228701015 \h </w:instrText>
            </w:r>
            <w:r>
              <w:rPr>
                <w:noProof/>
                <w:webHidden/>
              </w:rPr>
            </w:r>
            <w:r>
              <w:rPr>
                <w:noProof/>
                <w:webHidden/>
              </w:rPr>
              <w:fldChar w:fldCharType="separate"/>
            </w:r>
            <w:r w:rsidR="00541739">
              <w:rPr>
                <w:noProof/>
                <w:webHidden/>
              </w:rPr>
              <w:t>38</w:t>
            </w:r>
            <w:r>
              <w:rPr>
                <w:noProof/>
                <w:webHidden/>
              </w:rPr>
              <w:fldChar w:fldCharType="end"/>
            </w:r>
          </w:hyperlink>
        </w:p>
        <w:p w14:paraId="617B827C" w14:textId="5147C91C"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6" w:history="1">
            <w:r w:rsidRPr="000F7DFE">
              <w:rPr>
                <w:rStyle w:val="Hyperlink"/>
                <w:rFonts w:eastAsia="Google Sans"/>
                <w:i/>
                <w:noProof/>
              </w:rPr>
              <w:t>2.4.4</w:t>
            </w:r>
            <w:r>
              <w:rPr>
                <w:rFonts w:eastAsiaTheme="minorEastAsia"/>
                <w:i w:val="0"/>
                <w:iCs w:val="0"/>
                <w:noProof/>
                <w:kern w:val="2"/>
                <w:sz w:val="24"/>
                <w:szCs w:val="24"/>
                <w:lang w:val="en-GB" w:eastAsia="en-GB"/>
                <w14:ligatures w14:val="standardContextual"/>
              </w:rPr>
              <w:tab/>
            </w:r>
            <w:r w:rsidRPr="000F7DFE">
              <w:rPr>
                <w:rStyle w:val="Hyperlink"/>
                <w:rFonts w:eastAsia="Google Sans"/>
                <w:noProof/>
              </w:rPr>
              <w:t>Contribution to Public Finances</w:t>
            </w:r>
            <w:r>
              <w:rPr>
                <w:noProof/>
                <w:webHidden/>
              </w:rPr>
              <w:tab/>
            </w:r>
            <w:r>
              <w:rPr>
                <w:noProof/>
                <w:webHidden/>
              </w:rPr>
              <w:fldChar w:fldCharType="begin"/>
            </w:r>
            <w:r>
              <w:rPr>
                <w:noProof/>
                <w:webHidden/>
              </w:rPr>
              <w:instrText xml:space="preserve"> PAGEREF _Toc228701016 \h </w:instrText>
            </w:r>
            <w:r>
              <w:rPr>
                <w:noProof/>
                <w:webHidden/>
              </w:rPr>
            </w:r>
            <w:r>
              <w:rPr>
                <w:noProof/>
                <w:webHidden/>
              </w:rPr>
              <w:fldChar w:fldCharType="separate"/>
            </w:r>
            <w:r w:rsidR="00541739">
              <w:rPr>
                <w:noProof/>
                <w:webHidden/>
              </w:rPr>
              <w:t>39</w:t>
            </w:r>
            <w:r>
              <w:rPr>
                <w:noProof/>
                <w:webHidden/>
              </w:rPr>
              <w:fldChar w:fldCharType="end"/>
            </w:r>
          </w:hyperlink>
        </w:p>
        <w:p w14:paraId="5A49B300" w14:textId="3F7AD541"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7" w:history="1">
            <w:r w:rsidRPr="000F7DFE">
              <w:rPr>
                <w:rStyle w:val="Hyperlink"/>
                <w:noProof/>
              </w:rPr>
              <w:t>2.4.5</w:t>
            </w:r>
            <w:r>
              <w:rPr>
                <w:rFonts w:eastAsiaTheme="minorEastAsia"/>
                <w:i w:val="0"/>
                <w:iCs w:val="0"/>
                <w:noProof/>
                <w:kern w:val="2"/>
                <w:sz w:val="24"/>
                <w:szCs w:val="24"/>
                <w:lang w:val="en-GB" w:eastAsia="en-GB"/>
                <w14:ligatures w14:val="standardContextual"/>
              </w:rPr>
              <w:tab/>
            </w:r>
            <w:r w:rsidRPr="000F7DFE">
              <w:rPr>
                <w:rStyle w:val="Hyperlink"/>
                <w:noProof/>
              </w:rPr>
              <w:t>Contribution to the Balance of Trade</w:t>
            </w:r>
            <w:r>
              <w:rPr>
                <w:noProof/>
                <w:webHidden/>
              </w:rPr>
              <w:tab/>
            </w:r>
            <w:r>
              <w:rPr>
                <w:noProof/>
                <w:webHidden/>
              </w:rPr>
              <w:fldChar w:fldCharType="begin"/>
            </w:r>
            <w:r>
              <w:rPr>
                <w:noProof/>
                <w:webHidden/>
              </w:rPr>
              <w:instrText xml:space="preserve"> PAGEREF _Toc228701017 \h </w:instrText>
            </w:r>
            <w:r>
              <w:rPr>
                <w:noProof/>
                <w:webHidden/>
              </w:rPr>
            </w:r>
            <w:r>
              <w:rPr>
                <w:noProof/>
                <w:webHidden/>
              </w:rPr>
              <w:fldChar w:fldCharType="separate"/>
            </w:r>
            <w:r w:rsidR="00541739">
              <w:rPr>
                <w:noProof/>
                <w:webHidden/>
              </w:rPr>
              <w:t>39</w:t>
            </w:r>
            <w:r>
              <w:rPr>
                <w:noProof/>
                <w:webHidden/>
              </w:rPr>
              <w:fldChar w:fldCharType="end"/>
            </w:r>
          </w:hyperlink>
        </w:p>
        <w:p w14:paraId="5864ECAD" w14:textId="3DCB732F"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18" w:history="1">
            <w:r w:rsidRPr="000F7DFE">
              <w:rPr>
                <w:rStyle w:val="Hyperlink"/>
                <w:noProof/>
              </w:rPr>
              <w:t>2.4.6</w:t>
            </w:r>
            <w:r>
              <w:rPr>
                <w:rFonts w:eastAsiaTheme="minorEastAsia"/>
                <w:i w:val="0"/>
                <w:iCs w:val="0"/>
                <w:noProof/>
                <w:kern w:val="2"/>
                <w:sz w:val="24"/>
                <w:szCs w:val="24"/>
                <w:lang w:val="en-GB" w:eastAsia="en-GB"/>
                <w14:ligatures w14:val="standardContextual"/>
              </w:rPr>
              <w:tab/>
            </w:r>
            <w:r w:rsidRPr="000F7DFE">
              <w:rPr>
                <w:rStyle w:val="Hyperlink"/>
                <w:noProof/>
              </w:rPr>
              <w:t>Competitiveness and Viability within the International Economy</w:t>
            </w:r>
            <w:r>
              <w:rPr>
                <w:noProof/>
                <w:webHidden/>
              </w:rPr>
              <w:tab/>
            </w:r>
            <w:r>
              <w:rPr>
                <w:noProof/>
                <w:webHidden/>
              </w:rPr>
              <w:fldChar w:fldCharType="begin"/>
            </w:r>
            <w:r>
              <w:rPr>
                <w:noProof/>
                <w:webHidden/>
              </w:rPr>
              <w:instrText xml:space="preserve"> PAGEREF _Toc228701018 \h </w:instrText>
            </w:r>
            <w:r>
              <w:rPr>
                <w:noProof/>
                <w:webHidden/>
              </w:rPr>
            </w:r>
            <w:r>
              <w:rPr>
                <w:noProof/>
                <w:webHidden/>
              </w:rPr>
              <w:fldChar w:fldCharType="separate"/>
            </w:r>
            <w:r w:rsidR="00541739">
              <w:rPr>
                <w:noProof/>
                <w:webHidden/>
              </w:rPr>
              <w:t>40</w:t>
            </w:r>
            <w:r>
              <w:rPr>
                <w:noProof/>
                <w:webHidden/>
              </w:rPr>
              <w:fldChar w:fldCharType="end"/>
            </w:r>
          </w:hyperlink>
        </w:p>
        <w:p w14:paraId="32D89558" w14:textId="6B89DA4E"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19" w:history="1">
            <w:r w:rsidRPr="000F7DFE">
              <w:rPr>
                <w:rStyle w:val="Hyperlink"/>
                <w:noProof/>
              </w:rPr>
              <w:t>2.5</w:t>
            </w:r>
            <w:r>
              <w:rPr>
                <w:rFonts w:eastAsiaTheme="minorEastAsia"/>
                <w:smallCaps w:val="0"/>
                <w:noProof/>
                <w:kern w:val="2"/>
                <w:sz w:val="24"/>
                <w:szCs w:val="24"/>
                <w:lang w:val="en-GB" w:eastAsia="en-GB"/>
                <w14:ligatures w14:val="standardContextual"/>
              </w:rPr>
              <w:tab/>
            </w:r>
            <w:r w:rsidRPr="000F7DFE">
              <w:rPr>
                <w:rStyle w:val="Hyperlink"/>
                <w:noProof/>
              </w:rPr>
              <w:t>Summary of economic indicators for framing question 1</w:t>
            </w:r>
            <w:r>
              <w:rPr>
                <w:noProof/>
                <w:webHidden/>
              </w:rPr>
              <w:tab/>
            </w:r>
            <w:r>
              <w:rPr>
                <w:noProof/>
                <w:webHidden/>
              </w:rPr>
              <w:fldChar w:fldCharType="begin"/>
            </w:r>
            <w:r>
              <w:rPr>
                <w:noProof/>
                <w:webHidden/>
              </w:rPr>
              <w:instrText xml:space="preserve"> PAGEREF _Toc228701019 \h </w:instrText>
            </w:r>
            <w:r>
              <w:rPr>
                <w:noProof/>
                <w:webHidden/>
              </w:rPr>
            </w:r>
            <w:r>
              <w:rPr>
                <w:noProof/>
                <w:webHidden/>
              </w:rPr>
              <w:fldChar w:fldCharType="separate"/>
            </w:r>
            <w:r w:rsidR="00541739">
              <w:rPr>
                <w:noProof/>
                <w:webHidden/>
              </w:rPr>
              <w:t>42</w:t>
            </w:r>
            <w:r>
              <w:rPr>
                <w:noProof/>
                <w:webHidden/>
              </w:rPr>
              <w:fldChar w:fldCharType="end"/>
            </w:r>
          </w:hyperlink>
        </w:p>
        <w:p w14:paraId="39E62B68" w14:textId="77A142E0"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20" w:history="1">
            <w:r w:rsidRPr="000F7DFE">
              <w:rPr>
                <w:rStyle w:val="Hyperlink"/>
                <w:noProof/>
              </w:rPr>
              <w:t>3.</w:t>
            </w:r>
            <w:r>
              <w:rPr>
                <w:rFonts w:eastAsiaTheme="minorEastAsia"/>
                <w:b w:val="0"/>
                <w:bCs w:val="0"/>
                <w:caps w:val="0"/>
                <w:noProof/>
                <w:kern w:val="2"/>
                <w:sz w:val="24"/>
                <w:szCs w:val="24"/>
                <w:lang w:val="en-GB" w:eastAsia="en-GB"/>
                <w14:ligatures w14:val="standardContextual"/>
              </w:rPr>
              <w:tab/>
            </w:r>
            <w:r w:rsidRPr="000F7DFE">
              <w:rPr>
                <w:rStyle w:val="Hyperlink"/>
                <w:noProof/>
              </w:rPr>
              <w:t>IS THIS ECONOMIC GROWTH INCLUSIVE?</w:t>
            </w:r>
            <w:r>
              <w:rPr>
                <w:noProof/>
                <w:webHidden/>
              </w:rPr>
              <w:tab/>
            </w:r>
            <w:r>
              <w:rPr>
                <w:noProof/>
                <w:webHidden/>
              </w:rPr>
              <w:fldChar w:fldCharType="begin"/>
            </w:r>
            <w:r>
              <w:rPr>
                <w:noProof/>
                <w:webHidden/>
              </w:rPr>
              <w:instrText xml:space="preserve"> PAGEREF _Toc228701020 \h </w:instrText>
            </w:r>
            <w:r>
              <w:rPr>
                <w:noProof/>
                <w:webHidden/>
              </w:rPr>
            </w:r>
            <w:r>
              <w:rPr>
                <w:noProof/>
                <w:webHidden/>
              </w:rPr>
              <w:fldChar w:fldCharType="separate"/>
            </w:r>
            <w:r w:rsidR="00541739">
              <w:rPr>
                <w:noProof/>
                <w:webHidden/>
              </w:rPr>
              <w:t>44</w:t>
            </w:r>
            <w:r>
              <w:rPr>
                <w:noProof/>
                <w:webHidden/>
              </w:rPr>
              <w:fldChar w:fldCharType="end"/>
            </w:r>
          </w:hyperlink>
        </w:p>
        <w:p w14:paraId="4E1C17D6" w14:textId="1C8EAE3D"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21" w:history="1">
            <w:r w:rsidRPr="000F7DFE">
              <w:rPr>
                <w:rStyle w:val="Hyperlink"/>
                <w:noProof/>
              </w:rPr>
              <w:t>3.1</w:t>
            </w:r>
            <w:r>
              <w:rPr>
                <w:rFonts w:eastAsiaTheme="minorEastAsia"/>
                <w:smallCaps w:val="0"/>
                <w:noProof/>
                <w:kern w:val="2"/>
                <w:sz w:val="24"/>
                <w:szCs w:val="24"/>
                <w:lang w:val="en-GB" w:eastAsia="en-GB"/>
                <w14:ligatures w14:val="standardContextual"/>
              </w:rPr>
              <w:tab/>
            </w:r>
            <w:r w:rsidRPr="000F7DFE">
              <w:rPr>
                <w:rStyle w:val="Hyperlink"/>
                <w:noProof/>
              </w:rPr>
              <w:t>Income Distribution Across Actors</w:t>
            </w:r>
            <w:r>
              <w:rPr>
                <w:noProof/>
                <w:webHidden/>
              </w:rPr>
              <w:tab/>
            </w:r>
            <w:r>
              <w:rPr>
                <w:noProof/>
                <w:webHidden/>
              </w:rPr>
              <w:fldChar w:fldCharType="begin"/>
            </w:r>
            <w:r>
              <w:rPr>
                <w:noProof/>
                <w:webHidden/>
              </w:rPr>
              <w:instrText xml:space="preserve"> PAGEREF _Toc228701021 \h </w:instrText>
            </w:r>
            <w:r>
              <w:rPr>
                <w:noProof/>
                <w:webHidden/>
              </w:rPr>
            </w:r>
            <w:r>
              <w:rPr>
                <w:noProof/>
                <w:webHidden/>
              </w:rPr>
              <w:fldChar w:fldCharType="separate"/>
            </w:r>
            <w:r w:rsidR="00541739">
              <w:rPr>
                <w:noProof/>
                <w:webHidden/>
              </w:rPr>
              <w:t>44</w:t>
            </w:r>
            <w:r>
              <w:rPr>
                <w:noProof/>
                <w:webHidden/>
              </w:rPr>
              <w:fldChar w:fldCharType="end"/>
            </w:r>
          </w:hyperlink>
        </w:p>
        <w:p w14:paraId="26CB4B87" w14:textId="467D8C3D"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22" w:history="1">
            <w:r w:rsidRPr="000F7DFE">
              <w:rPr>
                <w:rStyle w:val="Hyperlink"/>
                <w:noProof/>
              </w:rPr>
              <w:t>3.1.1</w:t>
            </w:r>
            <w:r>
              <w:rPr>
                <w:rFonts w:eastAsiaTheme="minorEastAsia"/>
                <w:i w:val="0"/>
                <w:iCs w:val="0"/>
                <w:noProof/>
                <w:kern w:val="2"/>
                <w:sz w:val="24"/>
                <w:szCs w:val="24"/>
                <w:lang w:val="en-GB" w:eastAsia="en-GB"/>
                <w14:ligatures w14:val="standardContextual"/>
              </w:rPr>
              <w:tab/>
            </w:r>
            <w:r w:rsidRPr="000F7DFE">
              <w:rPr>
                <w:rStyle w:val="Hyperlink"/>
                <w:noProof/>
              </w:rPr>
              <w:t>Net Operating Profit Distribution</w:t>
            </w:r>
            <w:r>
              <w:rPr>
                <w:noProof/>
                <w:webHidden/>
              </w:rPr>
              <w:tab/>
            </w:r>
            <w:r>
              <w:rPr>
                <w:noProof/>
                <w:webHidden/>
              </w:rPr>
              <w:fldChar w:fldCharType="begin"/>
            </w:r>
            <w:r>
              <w:rPr>
                <w:noProof/>
                <w:webHidden/>
              </w:rPr>
              <w:instrText xml:space="preserve"> PAGEREF _Toc228701022 \h </w:instrText>
            </w:r>
            <w:r>
              <w:rPr>
                <w:noProof/>
                <w:webHidden/>
              </w:rPr>
            </w:r>
            <w:r>
              <w:rPr>
                <w:noProof/>
                <w:webHidden/>
              </w:rPr>
              <w:fldChar w:fldCharType="separate"/>
            </w:r>
            <w:r w:rsidR="00541739">
              <w:rPr>
                <w:noProof/>
                <w:webHidden/>
              </w:rPr>
              <w:t>44</w:t>
            </w:r>
            <w:r>
              <w:rPr>
                <w:noProof/>
                <w:webHidden/>
              </w:rPr>
              <w:fldChar w:fldCharType="end"/>
            </w:r>
          </w:hyperlink>
        </w:p>
        <w:p w14:paraId="601D4B43" w14:textId="337D6A42"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23" w:history="1">
            <w:r w:rsidRPr="000F7DFE">
              <w:rPr>
                <w:rStyle w:val="Hyperlink"/>
                <w:noProof/>
              </w:rPr>
              <w:t>3.1.2</w:t>
            </w:r>
            <w:r>
              <w:rPr>
                <w:rFonts w:eastAsiaTheme="minorEastAsia"/>
                <w:i w:val="0"/>
                <w:iCs w:val="0"/>
                <w:noProof/>
                <w:kern w:val="2"/>
                <w:sz w:val="24"/>
                <w:szCs w:val="24"/>
                <w:lang w:val="en-GB" w:eastAsia="en-GB"/>
                <w14:ligatures w14:val="standardContextual"/>
              </w:rPr>
              <w:tab/>
            </w:r>
            <w:r w:rsidRPr="000F7DFE">
              <w:rPr>
                <w:rStyle w:val="Hyperlink"/>
                <w:noProof/>
              </w:rPr>
              <w:t>Wage Employment Distribution</w:t>
            </w:r>
            <w:r>
              <w:rPr>
                <w:noProof/>
                <w:webHidden/>
              </w:rPr>
              <w:tab/>
            </w:r>
            <w:r>
              <w:rPr>
                <w:noProof/>
                <w:webHidden/>
              </w:rPr>
              <w:fldChar w:fldCharType="begin"/>
            </w:r>
            <w:r>
              <w:rPr>
                <w:noProof/>
                <w:webHidden/>
              </w:rPr>
              <w:instrText xml:space="preserve"> PAGEREF _Toc228701023 \h </w:instrText>
            </w:r>
            <w:r>
              <w:rPr>
                <w:noProof/>
                <w:webHidden/>
              </w:rPr>
            </w:r>
            <w:r>
              <w:rPr>
                <w:noProof/>
                <w:webHidden/>
              </w:rPr>
              <w:fldChar w:fldCharType="separate"/>
            </w:r>
            <w:r w:rsidR="00541739">
              <w:rPr>
                <w:noProof/>
                <w:webHidden/>
              </w:rPr>
              <w:t>45</w:t>
            </w:r>
            <w:r>
              <w:rPr>
                <w:noProof/>
                <w:webHidden/>
              </w:rPr>
              <w:fldChar w:fldCharType="end"/>
            </w:r>
          </w:hyperlink>
        </w:p>
        <w:p w14:paraId="5EDD45A5" w14:textId="6DD7FF5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24" w:history="1">
            <w:r w:rsidRPr="000F7DFE">
              <w:rPr>
                <w:rStyle w:val="Hyperlink"/>
                <w:noProof/>
              </w:rPr>
              <w:t>3.1.3</w:t>
            </w:r>
            <w:r>
              <w:rPr>
                <w:rFonts w:eastAsiaTheme="minorEastAsia"/>
                <w:i w:val="0"/>
                <w:iCs w:val="0"/>
                <w:noProof/>
                <w:kern w:val="2"/>
                <w:sz w:val="24"/>
                <w:szCs w:val="24"/>
                <w:lang w:val="en-GB" w:eastAsia="en-GB"/>
                <w14:ligatures w14:val="standardContextual"/>
              </w:rPr>
              <w:tab/>
            </w:r>
            <w:r w:rsidRPr="000F7DFE">
              <w:rPr>
                <w:rStyle w:val="Hyperlink"/>
                <w:noProof/>
              </w:rPr>
              <w:t>Distribution of Employment and Labour</w:t>
            </w:r>
            <w:r>
              <w:rPr>
                <w:noProof/>
                <w:webHidden/>
              </w:rPr>
              <w:tab/>
            </w:r>
            <w:r>
              <w:rPr>
                <w:noProof/>
                <w:webHidden/>
              </w:rPr>
              <w:fldChar w:fldCharType="begin"/>
            </w:r>
            <w:r>
              <w:rPr>
                <w:noProof/>
                <w:webHidden/>
              </w:rPr>
              <w:instrText xml:space="preserve"> PAGEREF _Toc228701024 \h </w:instrText>
            </w:r>
            <w:r>
              <w:rPr>
                <w:noProof/>
                <w:webHidden/>
              </w:rPr>
            </w:r>
            <w:r>
              <w:rPr>
                <w:noProof/>
                <w:webHidden/>
              </w:rPr>
              <w:fldChar w:fldCharType="separate"/>
            </w:r>
            <w:r w:rsidR="00541739">
              <w:rPr>
                <w:noProof/>
                <w:webHidden/>
              </w:rPr>
              <w:t>46</w:t>
            </w:r>
            <w:r>
              <w:rPr>
                <w:noProof/>
                <w:webHidden/>
              </w:rPr>
              <w:fldChar w:fldCharType="end"/>
            </w:r>
          </w:hyperlink>
        </w:p>
        <w:p w14:paraId="69C5B1E4" w14:textId="58EE0DDA"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25" w:history="1">
            <w:r w:rsidRPr="000F7DFE">
              <w:rPr>
                <w:rStyle w:val="Hyperlink"/>
                <w:noProof/>
              </w:rPr>
              <w:t>3.2</w:t>
            </w:r>
            <w:r>
              <w:rPr>
                <w:rFonts w:eastAsiaTheme="minorEastAsia"/>
                <w:smallCaps w:val="0"/>
                <w:noProof/>
                <w:kern w:val="2"/>
                <w:sz w:val="24"/>
                <w:szCs w:val="24"/>
                <w:lang w:val="en-GB" w:eastAsia="en-GB"/>
                <w14:ligatures w14:val="standardContextual"/>
              </w:rPr>
              <w:tab/>
            </w:r>
            <w:r w:rsidRPr="000F7DFE">
              <w:rPr>
                <w:rStyle w:val="Hyperlink"/>
                <w:noProof/>
              </w:rPr>
              <w:t>Income Inequality among Actors</w:t>
            </w:r>
            <w:r>
              <w:rPr>
                <w:noProof/>
                <w:webHidden/>
              </w:rPr>
              <w:tab/>
            </w:r>
            <w:r>
              <w:rPr>
                <w:noProof/>
                <w:webHidden/>
              </w:rPr>
              <w:fldChar w:fldCharType="begin"/>
            </w:r>
            <w:r>
              <w:rPr>
                <w:noProof/>
                <w:webHidden/>
              </w:rPr>
              <w:instrText xml:space="preserve"> PAGEREF _Toc228701025 \h </w:instrText>
            </w:r>
            <w:r>
              <w:rPr>
                <w:noProof/>
                <w:webHidden/>
              </w:rPr>
            </w:r>
            <w:r>
              <w:rPr>
                <w:noProof/>
                <w:webHidden/>
              </w:rPr>
              <w:fldChar w:fldCharType="separate"/>
            </w:r>
            <w:r w:rsidR="00541739">
              <w:rPr>
                <w:noProof/>
                <w:webHidden/>
              </w:rPr>
              <w:t>47</w:t>
            </w:r>
            <w:r>
              <w:rPr>
                <w:noProof/>
                <w:webHidden/>
              </w:rPr>
              <w:fldChar w:fldCharType="end"/>
            </w:r>
          </w:hyperlink>
        </w:p>
        <w:p w14:paraId="604667B2" w14:textId="047A328E"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26" w:history="1">
            <w:r w:rsidRPr="000F7DFE">
              <w:rPr>
                <w:rStyle w:val="Hyperlink"/>
                <w:noProof/>
              </w:rPr>
              <w:t>3.3</w:t>
            </w:r>
            <w:r>
              <w:rPr>
                <w:rFonts w:eastAsiaTheme="minorEastAsia"/>
                <w:smallCaps w:val="0"/>
                <w:noProof/>
                <w:kern w:val="2"/>
                <w:sz w:val="24"/>
                <w:szCs w:val="24"/>
                <w:lang w:val="en-GB" w:eastAsia="en-GB"/>
                <w14:ligatures w14:val="standardContextual"/>
              </w:rPr>
              <w:tab/>
            </w:r>
            <w:r w:rsidRPr="000F7DFE">
              <w:rPr>
                <w:rStyle w:val="Hyperlink"/>
                <w:noProof/>
              </w:rPr>
              <w:t>Participation in Value Chain Governance and Inclusion</w:t>
            </w:r>
            <w:r>
              <w:rPr>
                <w:noProof/>
                <w:webHidden/>
              </w:rPr>
              <w:tab/>
            </w:r>
            <w:r>
              <w:rPr>
                <w:noProof/>
                <w:webHidden/>
              </w:rPr>
              <w:fldChar w:fldCharType="begin"/>
            </w:r>
            <w:r>
              <w:rPr>
                <w:noProof/>
                <w:webHidden/>
              </w:rPr>
              <w:instrText xml:space="preserve"> PAGEREF _Toc228701026 \h </w:instrText>
            </w:r>
            <w:r>
              <w:rPr>
                <w:noProof/>
                <w:webHidden/>
              </w:rPr>
            </w:r>
            <w:r>
              <w:rPr>
                <w:noProof/>
                <w:webHidden/>
              </w:rPr>
              <w:fldChar w:fldCharType="separate"/>
            </w:r>
            <w:r w:rsidR="00541739">
              <w:rPr>
                <w:noProof/>
                <w:webHidden/>
              </w:rPr>
              <w:t>49</w:t>
            </w:r>
            <w:r>
              <w:rPr>
                <w:noProof/>
                <w:webHidden/>
              </w:rPr>
              <w:fldChar w:fldCharType="end"/>
            </w:r>
          </w:hyperlink>
        </w:p>
        <w:p w14:paraId="0804F8C6" w14:textId="090C196E"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27" w:history="1">
            <w:r w:rsidRPr="000F7DFE">
              <w:rPr>
                <w:rStyle w:val="Hyperlink"/>
                <w:noProof/>
              </w:rPr>
              <w:t>3.4</w:t>
            </w:r>
            <w:r>
              <w:rPr>
                <w:rFonts w:eastAsiaTheme="minorEastAsia"/>
                <w:smallCaps w:val="0"/>
                <w:noProof/>
                <w:kern w:val="2"/>
                <w:sz w:val="24"/>
                <w:szCs w:val="24"/>
                <w:lang w:val="en-GB" w:eastAsia="en-GB"/>
                <w14:ligatures w14:val="standardContextual"/>
              </w:rPr>
              <w:tab/>
            </w:r>
            <w:r w:rsidRPr="000F7DFE">
              <w:rPr>
                <w:rStyle w:val="Hyperlink"/>
                <w:noProof/>
              </w:rPr>
              <w:t>Summary of economic indicators for framing question 2</w:t>
            </w:r>
            <w:r>
              <w:rPr>
                <w:noProof/>
                <w:webHidden/>
              </w:rPr>
              <w:tab/>
            </w:r>
            <w:r>
              <w:rPr>
                <w:noProof/>
                <w:webHidden/>
              </w:rPr>
              <w:fldChar w:fldCharType="begin"/>
            </w:r>
            <w:r>
              <w:rPr>
                <w:noProof/>
                <w:webHidden/>
              </w:rPr>
              <w:instrText xml:space="preserve"> PAGEREF _Toc228701027 \h </w:instrText>
            </w:r>
            <w:r>
              <w:rPr>
                <w:noProof/>
                <w:webHidden/>
              </w:rPr>
            </w:r>
            <w:r>
              <w:rPr>
                <w:noProof/>
                <w:webHidden/>
              </w:rPr>
              <w:fldChar w:fldCharType="separate"/>
            </w:r>
            <w:r w:rsidR="00541739">
              <w:rPr>
                <w:noProof/>
                <w:webHidden/>
              </w:rPr>
              <w:t>51</w:t>
            </w:r>
            <w:r>
              <w:rPr>
                <w:noProof/>
                <w:webHidden/>
              </w:rPr>
              <w:fldChar w:fldCharType="end"/>
            </w:r>
          </w:hyperlink>
        </w:p>
        <w:p w14:paraId="41C886FE" w14:textId="79FF6A59"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28" w:history="1">
            <w:r w:rsidRPr="000F7DFE">
              <w:rPr>
                <w:rStyle w:val="Hyperlink"/>
                <w:noProof/>
              </w:rPr>
              <w:t>3.5</w:t>
            </w:r>
            <w:r>
              <w:rPr>
                <w:rFonts w:eastAsiaTheme="minorEastAsia"/>
                <w:smallCaps w:val="0"/>
                <w:noProof/>
                <w:kern w:val="2"/>
                <w:sz w:val="24"/>
                <w:szCs w:val="24"/>
                <w:lang w:val="en-GB" w:eastAsia="en-GB"/>
                <w14:ligatures w14:val="standardContextual"/>
              </w:rPr>
              <w:tab/>
            </w:r>
            <w:r w:rsidRPr="000F7DFE">
              <w:rPr>
                <w:rStyle w:val="Hyperlink"/>
                <w:noProof/>
              </w:rPr>
              <w:t>Overall Conclusion and Major Findings</w:t>
            </w:r>
            <w:r>
              <w:rPr>
                <w:noProof/>
                <w:webHidden/>
              </w:rPr>
              <w:tab/>
            </w:r>
            <w:r>
              <w:rPr>
                <w:noProof/>
                <w:webHidden/>
              </w:rPr>
              <w:fldChar w:fldCharType="begin"/>
            </w:r>
            <w:r>
              <w:rPr>
                <w:noProof/>
                <w:webHidden/>
              </w:rPr>
              <w:instrText xml:space="preserve"> PAGEREF _Toc228701028 \h </w:instrText>
            </w:r>
            <w:r>
              <w:rPr>
                <w:noProof/>
                <w:webHidden/>
              </w:rPr>
            </w:r>
            <w:r>
              <w:rPr>
                <w:noProof/>
                <w:webHidden/>
              </w:rPr>
              <w:fldChar w:fldCharType="separate"/>
            </w:r>
            <w:r w:rsidR="00541739">
              <w:rPr>
                <w:noProof/>
                <w:webHidden/>
              </w:rPr>
              <w:t>52</w:t>
            </w:r>
            <w:r>
              <w:rPr>
                <w:noProof/>
                <w:webHidden/>
              </w:rPr>
              <w:fldChar w:fldCharType="end"/>
            </w:r>
          </w:hyperlink>
        </w:p>
        <w:p w14:paraId="44EF878E" w14:textId="4B4BC813"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29" w:history="1">
            <w:r w:rsidRPr="000F7DFE">
              <w:rPr>
                <w:rStyle w:val="Hyperlink"/>
                <w:noProof/>
              </w:rPr>
              <w:t>4.</w:t>
            </w:r>
            <w:r>
              <w:rPr>
                <w:rFonts w:eastAsiaTheme="minorEastAsia"/>
                <w:b w:val="0"/>
                <w:bCs w:val="0"/>
                <w:caps w:val="0"/>
                <w:noProof/>
                <w:kern w:val="2"/>
                <w:sz w:val="24"/>
                <w:szCs w:val="24"/>
                <w:lang w:val="en-GB" w:eastAsia="en-GB"/>
                <w14:ligatures w14:val="standardContextual"/>
              </w:rPr>
              <w:tab/>
            </w:r>
            <w:r w:rsidRPr="000F7DFE">
              <w:rPr>
                <w:rStyle w:val="Hyperlink"/>
                <w:noProof/>
              </w:rPr>
              <w:t>IS THE VALUE CHAIN SOCIALLY SUSTAINABLE?</w:t>
            </w:r>
            <w:r>
              <w:rPr>
                <w:noProof/>
                <w:webHidden/>
              </w:rPr>
              <w:tab/>
            </w:r>
            <w:r>
              <w:rPr>
                <w:noProof/>
                <w:webHidden/>
              </w:rPr>
              <w:fldChar w:fldCharType="begin"/>
            </w:r>
            <w:r>
              <w:rPr>
                <w:noProof/>
                <w:webHidden/>
              </w:rPr>
              <w:instrText xml:space="preserve"> PAGEREF _Toc228701029 \h </w:instrText>
            </w:r>
            <w:r>
              <w:rPr>
                <w:noProof/>
                <w:webHidden/>
              </w:rPr>
            </w:r>
            <w:r>
              <w:rPr>
                <w:noProof/>
                <w:webHidden/>
              </w:rPr>
              <w:fldChar w:fldCharType="separate"/>
            </w:r>
            <w:r w:rsidR="00541739">
              <w:rPr>
                <w:noProof/>
                <w:webHidden/>
              </w:rPr>
              <w:t>53</w:t>
            </w:r>
            <w:r>
              <w:rPr>
                <w:noProof/>
                <w:webHidden/>
              </w:rPr>
              <w:fldChar w:fldCharType="end"/>
            </w:r>
          </w:hyperlink>
        </w:p>
        <w:p w14:paraId="34301ECA" w14:textId="0C37AACC"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0" w:history="1">
            <w:r w:rsidRPr="000F7DFE">
              <w:rPr>
                <w:rStyle w:val="Hyperlink"/>
                <w:noProof/>
              </w:rPr>
              <w:t>4.1</w:t>
            </w:r>
            <w:r>
              <w:rPr>
                <w:rFonts w:eastAsiaTheme="minorEastAsia"/>
                <w:smallCaps w:val="0"/>
                <w:noProof/>
                <w:kern w:val="2"/>
                <w:sz w:val="24"/>
                <w:szCs w:val="24"/>
                <w:lang w:val="en-GB" w:eastAsia="en-GB"/>
                <w14:ligatures w14:val="standardContextual"/>
              </w:rPr>
              <w:tab/>
            </w:r>
            <w:r w:rsidRPr="000F7DFE">
              <w:rPr>
                <w:rStyle w:val="Hyperlink"/>
                <w:noProof/>
              </w:rPr>
              <w:t>Working conditions</w:t>
            </w:r>
            <w:r>
              <w:rPr>
                <w:noProof/>
                <w:webHidden/>
              </w:rPr>
              <w:tab/>
            </w:r>
            <w:r>
              <w:rPr>
                <w:noProof/>
                <w:webHidden/>
              </w:rPr>
              <w:fldChar w:fldCharType="begin"/>
            </w:r>
            <w:r>
              <w:rPr>
                <w:noProof/>
                <w:webHidden/>
              </w:rPr>
              <w:instrText xml:space="preserve"> PAGEREF _Toc228701030 \h </w:instrText>
            </w:r>
            <w:r>
              <w:rPr>
                <w:noProof/>
                <w:webHidden/>
              </w:rPr>
            </w:r>
            <w:r>
              <w:rPr>
                <w:noProof/>
                <w:webHidden/>
              </w:rPr>
              <w:fldChar w:fldCharType="separate"/>
            </w:r>
            <w:r w:rsidR="00541739">
              <w:rPr>
                <w:noProof/>
                <w:webHidden/>
              </w:rPr>
              <w:t>53</w:t>
            </w:r>
            <w:r>
              <w:rPr>
                <w:noProof/>
                <w:webHidden/>
              </w:rPr>
              <w:fldChar w:fldCharType="end"/>
            </w:r>
          </w:hyperlink>
        </w:p>
        <w:p w14:paraId="3519FACF" w14:textId="6A924B35"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1" w:history="1">
            <w:r w:rsidRPr="000F7DFE">
              <w:rPr>
                <w:rStyle w:val="Hyperlink"/>
                <w:noProof/>
              </w:rPr>
              <w:t>4.2</w:t>
            </w:r>
            <w:r>
              <w:rPr>
                <w:rFonts w:eastAsiaTheme="minorEastAsia"/>
                <w:smallCaps w:val="0"/>
                <w:noProof/>
                <w:kern w:val="2"/>
                <w:sz w:val="24"/>
                <w:szCs w:val="24"/>
                <w:lang w:val="en-GB" w:eastAsia="en-GB"/>
                <w14:ligatures w14:val="standardContextual"/>
              </w:rPr>
              <w:tab/>
            </w:r>
            <w:r w:rsidRPr="000F7DFE">
              <w:rPr>
                <w:rStyle w:val="Hyperlink"/>
                <w:noProof/>
              </w:rPr>
              <w:t>Land and water rights</w:t>
            </w:r>
            <w:r>
              <w:rPr>
                <w:noProof/>
                <w:webHidden/>
              </w:rPr>
              <w:tab/>
            </w:r>
            <w:r>
              <w:rPr>
                <w:noProof/>
                <w:webHidden/>
              </w:rPr>
              <w:fldChar w:fldCharType="begin"/>
            </w:r>
            <w:r>
              <w:rPr>
                <w:noProof/>
                <w:webHidden/>
              </w:rPr>
              <w:instrText xml:space="preserve"> PAGEREF _Toc228701031 \h </w:instrText>
            </w:r>
            <w:r>
              <w:rPr>
                <w:noProof/>
                <w:webHidden/>
              </w:rPr>
            </w:r>
            <w:r>
              <w:rPr>
                <w:noProof/>
                <w:webHidden/>
              </w:rPr>
              <w:fldChar w:fldCharType="separate"/>
            </w:r>
            <w:r w:rsidR="00541739">
              <w:rPr>
                <w:noProof/>
                <w:webHidden/>
              </w:rPr>
              <w:t>56</w:t>
            </w:r>
            <w:r>
              <w:rPr>
                <w:noProof/>
                <w:webHidden/>
              </w:rPr>
              <w:fldChar w:fldCharType="end"/>
            </w:r>
          </w:hyperlink>
        </w:p>
        <w:p w14:paraId="40B79F5B" w14:textId="2EA8021A"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2" w:history="1">
            <w:r w:rsidRPr="000F7DFE">
              <w:rPr>
                <w:rStyle w:val="Hyperlink"/>
                <w:noProof/>
              </w:rPr>
              <w:t>4.3</w:t>
            </w:r>
            <w:r>
              <w:rPr>
                <w:rFonts w:eastAsiaTheme="minorEastAsia"/>
                <w:smallCaps w:val="0"/>
                <w:noProof/>
                <w:kern w:val="2"/>
                <w:sz w:val="24"/>
                <w:szCs w:val="24"/>
                <w:lang w:val="en-GB" w:eastAsia="en-GB"/>
                <w14:ligatures w14:val="standardContextual"/>
              </w:rPr>
              <w:tab/>
            </w:r>
            <w:r w:rsidRPr="000F7DFE">
              <w:rPr>
                <w:rStyle w:val="Hyperlink"/>
                <w:noProof/>
              </w:rPr>
              <w:t>Gender equality</w:t>
            </w:r>
            <w:r>
              <w:rPr>
                <w:noProof/>
                <w:webHidden/>
              </w:rPr>
              <w:tab/>
            </w:r>
            <w:r>
              <w:rPr>
                <w:noProof/>
                <w:webHidden/>
              </w:rPr>
              <w:fldChar w:fldCharType="begin"/>
            </w:r>
            <w:r>
              <w:rPr>
                <w:noProof/>
                <w:webHidden/>
              </w:rPr>
              <w:instrText xml:space="preserve"> PAGEREF _Toc228701032 \h </w:instrText>
            </w:r>
            <w:r>
              <w:rPr>
                <w:noProof/>
                <w:webHidden/>
              </w:rPr>
            </w:r>
            <w:r>
              <w:rPr>
                <w:noProof/>
                <w:webHidden/>
              </w:rPr>
              <w:fldChar w:fldCharType="separate"/>
            </w:r>
            <w:r w:rsidR="00541739">
              <w:rPr>
                <w:noProof/>
                <w:webHidden/>
              </w:rPr>
              <w:t>59</w:t>
            </w:r>
            <w:r>
              <w:rPr>
                <w:noProof/>
                <w:webHidden/>
              </w:rPr>
              <w:fldChar w:fldCharType="end"/>
            </w:r>
          </w:hyperlink>
        </w:p>
        <w:p w14:paraId="5F693CD3" w14:textId="151EA060"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3" w:history="1">
            <w:r w:rsidRPr="000F7DFE">
              <w:rPr>
                <w:rStyle w:val="Hyperlink"/>
                <w:noProof/>
              </w:rPr>
              <w:t>4.4</w:t>
            </w:r>
            <w:r>
              <w:rPr>
                <w:rFonts w:eastAsiaTheme="minorEastAsia"/>
                <w:smallCaps w:val="0"/>
                <w:noProof/>
                <w:kern w:val="2"/>
                <w:sz w:val="24"/>
                <w:szCs w:val="24"/>
                <w:lang w:val="en-GB" w:eastAsia="en-GB"/>
                <w14:ligatures w14:val="standardContextual"/>
              </w:rPr>
              <w:tab/>
            </w:r>
            <w:r w:rsidRPr="000F7DFE">
              <w:rPr>
                <w:rStyle w:val="Hyperlink"/>
                <w:noProof/>
              </w:rPr>
              <w:t>Food and nutrition security</w:t>
            </w:r>
            <w:r>
              <w:rPr>
                <w:noProof/>
                <w:webHidden/>
              </w:rPr>
              <w:tab/>
            </w:r>
            <w:r>
              <w:rPr>
                <w:noProof/>
                <w:webHidden/>
              </w:rPr>
              <w:fldChar w:fldCharType="begin"/>
            </w:r>
            <w:r>
              <w:rPr>
                <w:noProof/>
                <w:webHidden/>
              </w:rPr>
              <w:instrText xml:space="preserve"> PAGEREF _Toc228701033 \h </w:instrText>
            </w:r>
            <w:r>
              <w:rPr>
                <w:noProof/>
                <w:webHidden/>
              </w:rPr>
            </w:r>
            <w:r>
              <w:rPr>
                <w:noProof/>
                <w:webHidden/>
              </w:rPr>
              <w:fldChar w:fldCharType="separate"/>
            </w:r>
            <w:r w:rsidR="00541739">
              <w:rPr>
                <w:noProof/>
                <w:webHidden/>
              </w:rPr>
              <w:t>62</w:t>
            </w:r>
            <w:r>
              <w:rPr>
                <w:noProof/>
                <w:webHidden/>
              </w:rPr>
              <w:fldChar w:fldCharType="end"/>
            </w:r>
          </w:hyperlink>
        </w:p>
        <w:p w14:paraId="634F5187" w14:textId="0DED4381"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4" w:history="1">
            <w:r w:rsidRPr="000F7DFE">
              <w:rPr>
                <w:rStyle w:val="Hyperlink"/>
                <w:noProof/>
              </w:rPr>
              <w:t>4.5</w:t>
            </w:r>
            <w:r>
              <w:rPr>
                <w:rFonts w:eastAsiaTheme="minorEastAsia"/>
                <w:smallCaps w:val="0"/>
                <w:noProof/>
                <w:kern w:val="2"/>
                <w:sz w:val="24"/>
                <w:szCs w:val="24"/>
                <w:lang w:val="en-GB" w:eastAsia="en-GB"/>
                <w14:ligatures w14:val="standardContextual"/>
              </w:rPr>
              <w:tab/>
            </w:r>
            <w:r w:rsidRPr="000F7DFE">
              <w:rPr>
                <w:rStyle w:val="Hyperlink"/>
                <w:noProof/>
              </w:rPr>
              <w:t>Social capital</w:t>
            </w:r>
            <w:r>
              <w:rPr>
                <w:noProof/>
                <w:webHidden/>
              </w:rPr>
              <w:tab/>
            </w:r>
            <w:r>
              <w:rPr>
                <w:noProof/>
                <w:webHidden/>
              </w:rPr>
              <w:fldChar w:fldCharType="begin"/>
            </w:r>
            <w:r>
              <w:rPr>
                <w:noProof/>
                <w:webHidden/>
              </w:rPr>
              <w:instrText xml:space="preserve"> PAGEREF _Toc228701034 \h </w:instrText>
            </w:r>
            <w:r>
              <w:rPr>
                <w:noProof/>
                <w:webHidden/>
              </w:rPr>
            </w:r>
            <w:r>
              <w:rPr>
                <w:noProof/>
                <w:webHidden/>
              </w:rPr>
              <w:fldChar w:fldCharType="separate"/>
            </w:r>
            <w:r w:rsidR="00541739">
              <w:rPr>
                <w:noProof/>
                <w:webHidden/>
              </w:rPr>
              <w:t>65</w:t>
            </w:r>
            <w:r>
              <w:rPr>
                <w:noProof/>
                <w:webHidden/>
              </w:rPr>
              <w:fldChar w:fldCharType="end"/>
            </w:r>
          </w:hyperlink>
        </w:p>
        <w:p w14:paraId="74F790F1" w14:textId="4DEC9B6E"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5" w:history="1">
            <w:r w:rsidRPr="000F7DFE">
              <w:rPr>
                <w:rStyle w:val="Hyperlink"/>
                <w:noProof/>
              </w:rPr>
              <w:t>4.6</w:t>
            </w:r>
            <w:r>
              <w:rPr>
                <w:rFonts w:eastAsiaTheme="minorEastAsia"/>
                <w:smallCaps w:val="0"/>
                <w:noProof/>
                <w:kern w:val="2"/>
                <w:sz w:val="24"/>
                <w:szCs w:val="24"/>
                <w:lang w:val="en-GB" w:eastAsia="en-GB"/>
                <w14:ligatures w14:val="standardContextual"/>
              </w:rPr>
              <w:tab/>
            </w:r>
            <w:r w:rsidRPr="000F7DFE">
              <w:rPr>
                <w:rStyle w:val="Hyperlink"/>
                <w:noProof/>
              </w:rPr>
              <w:t>Living conditions</w:t>
            </w:r>
            <w:r>
              <w:rPr>
                <w:noProof/>
                <w:webHidden/>
              </w:rPr>
              <w:tab/>
            </w:r>
            <w:r>
              <w:rPr>
                <w:noProof/>
                <w:webHidden/>
              </w:rPr>
              <w:fldChar w:fldCharType="begin"/>
            </w:r>
            <w:r>
              <w:rPr>
                <w:noProof/>
                <w:webHidden/>
              </w:rPr>
              <w:instrText xml:space="preserve"> PAGEREF _Toc228701035 \h </w:instrText>
            </w:r>
            <w:r>
              <w:rPr>
                <w:noProof/>
                <w:webHidden/>
              </w:rPr>
            </w:r>
            <w:r>
              <w:rPr>
                <w:noProof/>
                <w:webHidden/>
              </w:rPr>
              <w:fldChar w:fldCharType="separate"/>
            </w:r>
            <w:r w:rsidR="00541739">
              <w:rPr>
                <w:noProof/>
                <w:webHidden/>
              </w:rPr>
              <w:t>68</w:t>
            </w:r>
            <w:r>
              <w:rPr>
                <w:noProof/>
                <w:webHidden/>
              </w:rPr>
              <w:fldChar w:fldCharType="end"/>
            </w:r>
          </w:hyperlink>
        </w:p>
        <w:p w14:paraId="588052C7" w14:textId="553DF4C2"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6" w:history="1">
            <w:r w:rsidRPr="000F7DFE">
              <w:rPr>
                <w:rStyle w:val="Hyperlink"/>
                <w:noProof/>
              </w:rPr>
              <w:t>4.7</w:t>
            </w:r>
            <w:r>
              <w:rPr>
                <w:rFonts w:eastAsiaTheme="minorEastAsia"/>
                <w:smallCaps w:val="0"/>
                <w:noProof/>
                <w:kern w:val="2"/>
                <w:sz w:val="24"/>
                <w:szCs w:val="24"/>
                <w:lang w:val="en-GB" w:eastAsia="en-GB"/>
                <w14:ligatures w14:val="standardContextual"/>
              </w:rPr>
              <w:tab/>
            </w:r>
            <w:r w:rsidRPr="000F7DFE">
              <w:rPr>
                <w:rStyle w:val="Hyperlink"/>
                <w:noProof/>
              </w:rPr>
              <w:t>Answer to the Framing Question 3: Is the value chain socially sustainable?</w:t>
            </w:r>
            <w:r>
              <w:rPr>
                <w:noProof/>
                <w:webHidden/>
              </w:rPr>
              <w:tab/>
            </w:r>
            <w:r>
              <w:rPr>
                <w:noProof/>
                <w:webHidden/>
              </w:rPr>
              <w:fldChar w:fldCharType="begin"/>
            </w:r>
            <w:r>
              <w:rPr>
                <w:noProof/>
                <w:webHidden/>
              </w:rPr>
              <w:instrText xml:space="preserve"> PAGEREF _Toc228701036 \h </w:instrText>
            </w:r>
            <w:r>
              <w:rPr>
                <w:noProof/>
                <w:webHidden/>
              </w:rPr>
            </w:r>
            <w:r>
              <w:rPr>
                <w:noProof/>
                <w:webHidden/>
              </w:rPr>
              <w:fldChar w:fldCharType="separate"/>
            </w:r>
            <w:r w:rsidR="00541739">
              <w:rPr>
                <w:noProof/>
                <w:webHidden/>
              </w:rPr>
              <w:t>70</w:t>
            </w:r>
            <w:r>
              <w:rPr>
                <w:noProof/>
                <w:webHidden/>
              </w:rPr>
              <w:fldChar w:fldCharType="end"/>
            </w:r>
          </w:hyperlink>
        </w:p>
        <w:p w14:paraId="4DF4856B" w14:textId="6CAADC7D"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37" w:history="1">
            <w:r w:rsidRPr="000F7DFE">
              <w:rPr>
                <w:rStyle w:val="Hyperlink"/>
                <w:noProof/>
              </w:rPr>
              <w:t>5.</w:t>
            </w:r>
            <w:r>
              <w:rPr>
                <w:rFonts w:eastAsiaTheme="minorEastAsia"/>
                <w:b w:val="0"/>
                <w:bCs w:val="0"/>
                <w:caps w:val="0"/>
                <w:noProof/>
                <w:kern w:val="2"/>
                <w:sz w:val="24"/>
                <w:szCs w:val="24"/>
                <w:lang w:val="en-GB" w:eastAsia="en-GB"/>
                <w14:ligatures w14:val="standardContextual"/>
              </w:rPr>
              <w:tab/>
            </w:r>
            <w:r w:rsidRPr="000F7DFE">
              <w:rPr>
                <w:rStyle w:val="Hyperlink"/>
                <w:noProof/>
              </w:rPr>
              <w:t>IS THE VALUE CHAIN ENVIRONMENTALLY SUSTAINABLE?</w:t>
            </w:r>
            <w:r>
              <w:rPr>
                <w:noProof/>
                <w:webHidden/>
              </w:rPr>
              <w:tab/>
            </w:r>
            <w:r>
              <w:rPr>
                <w:noProof/>
                <w:webHidden/>
              </w:rPr>
              <w:fldChar w:fldCharType="begin"/>
            </w:r>
            <w:r>
              <w:rPr>
                <w:noProof/>
                <w:webHidden/>
              </w:rPr>
              <w:instrText xml:space="preserve"> PAGEREF _Toc228701037 \h </w:instrText>
            </w:r>
            <w:r>
              <w:rPr>
                <w:noProof/>
                <w:webHidden/>
              </w:rPr>
            </w:r>
            <w:r>
              <w:rPr>
                <w:noProof/>
                <w:webHidden/>
              </w:rPr>
              <w:fldChar w:fldCharType="separate"/>
            </w:r>
            <w:r w:rsidR="00541739">
              <w:rPr>
                <w:noProof/>
                <w:webHidden/>
              </w:rPr>
              <w:t>74</w:t>
            </w:r>
            <w:r>
              <w:rPr>
                <w:noProof/>
                <w:webHidden/>
              </w:rPr>
              <w:fldChar w:fldCharType="end"/>
            </w:r>
          </w:hyperlink>
        </w:p>
        <w:p w14:paraId="38AF2DA4" w14:textId="41BBB4ED"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8" w:history="1">
            <w:r w:rsidRPr="000F7DFE">
              <w:rPr>
                <w:rStyle w:val="Hyperlink"/>
                <w:noProof/>
              </w:rPr>
              <w:t>5.1</w:t>
            </w:r>
            <w:r>
              <w:rPr>
                <w:rFonts w:eastAsiaTheme="minorEastAsia"/>
                <w:smallCaps w:val="0"/>
                <w:noProof/>
                <w:kern w:val="2"/>
                <w:sz w:val="24"/>
                <w:szCs w:val="24"/>
                <w:lang w:val="en-GB" w:eastAsia="en-GB"/>
                <w14:ligatures w14:val="standardContextual"/>
              </w:rPr>
              <w:tab/>
            </w:r>
            <w:r w:rsidRPr="000F7DFE">
              <w:rPr>
                <w:rStyle w:val="Hyperlink"/>
                <w:noProof/>
              </w:rPr>
              <w:t>Introduction and Framing Questions</w:t>
            </w:r>
            <w:r>
              <w:rPr>
                <w:noProof/>
                <w:webHidden/>
              </w:rPr>
              <w:tab/>
            </w:r>
            <w:r>
              <w:rPr>
                <w:noProof/>
                <w:webHidden/>
              </w:rPr>
              <w:fldChar w:fldCharType="begin"/>
            </w:r>
            <w:r>
              <w:rPr>
                <w:noProof/>
                <w:webHidden/>
              </w:rPr>
              <w:instrText xml:space="preserve"> PAGEREF _Toc228701038 \h </w:instrText>
            </w:r>
            <w:r>
              <w:rPr>
                <w:noProof/>
                <w:webHidden/>
              </w:rPr>
            </w:r>
            <w:r>
              <w:rPr>
                <w:noProof/>
                <w:webHidden/>
              </w:rPr>
              <w:fldChar w:fldCharType="separate"/>
            </w:r>
            <w:r w:rsidR="00541739">
              <w:rPr>
                <w:noProof/>
                <w:webHidden/>
              </w:rPr>
              <w:t>74</w:t>
            </w:r>
            <w:r>
              <w:rPr>
                <w:noProof/>
                <w:webHidden/>
              </w:rPr>
              <w:fldChar w:fldCharType="end"/>
            </w:r>
          </w:hyperlink>
        </w:p>
        <w:p w14:paraId="3376C944" w14:textId="25C96661"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39" w:history="1">
            <w:r w:rsidRPr="000F7DFE">
              <w:rPr>
                <w:rStyle w:val="Hyperlink"/>
                <w:noProof/>
              </w:rPr>
              <w:t>5.2</w:t>
            </w:r>
            <w:r>
              <w:rPr>
                <w:rFonts w:eastAsiaTheme="minorEastAsia"/>
                <w:smallCaps w:val="0"/>
                <w:noProof/>
                <w:kern w:val="2"/>
                <w:sz w:val="24"/>
                <w:szCs w:val="24"/>
                <w:lang w:val="en-GB" w:eastAsia="en-GB"/>
                <w14:ligatures w14:val="standardContextual"/>
              </w:rPr>
              <w:tab/>
            </w:r>
            <w:r w:rsidRPr="000F7DFE">
              <w:rPr>
                <w:rStyle w:val="Hyperlink"/>
                <w:noProof/>
              </w:rPr>
              <w:t>Framing Questions within LCA</w:t>
            </w:r>
            <w:r>
              <w:rPr>
                <w:noProof/>
                <w:webHidden/>
              </w:rPr>
              <w:tab/>
            </w:r>
            <w:r>
              <w:rPr>
                <w:noProof/>
                <w:webHidden/>
              </w:rPr>
              <w:fldChar w:fldCharType="begin"/>
            </w:r>
            <w:r>
              <w:rPr>
                <w:noProof/>
                <w:webHidden/>
              </w:rPr>
              <w:instrText xml:space="preserve"> PAGEREF _Toc228701039 \h </w:instrText>
            </w:r>
            <w:r>
              <w:rPr>
                <w:noProof/>
                <w:webHidden/>
              </w:rPr>
            </w:r>
            <w:r>
              <w:rPr>
                <w:noProof/>
                <w:webHidden/>
              </w:rPr>
              <w:fldChar w:fldCharType="separate"/>
            </w:r>
            <w:r w:rsidR="00541739">
              <w:rPr>
                <w:noProof/>
                <w:webHidden/>
              </w:rPr>
              <w:t>74</w:t>
            </w:r>
            <w:r>
              <w:rPr>
                <w:noProof/>
                <w:webHidden/>
              </w:rPr>
              <w:fldChar w:fldCharType="end"/>
            </w:r>
          </w:hyperlink>
        </w:p>
        <w:p w14:paraId="6F1403A0" w14:textId="76CB4479"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0" w:history="1">
            <w:r w:rsidRPr="000F7DFE">
              <w:rPr>
                <w:rStyle w:val="Hyperlink"/>
                <w:noProof/>
              </w:rPr>
              <w:t>5.2.1</w:t>
            </w:r>
            <w:r>
              <w:rPr>
                <w:rFonts w:eastAsiaTheme="minorEastAsia"/>
                <w:i w:val="0"/>
                <w:iCs w:val="0"/>
                <w:noProof/>
                <w:kern w:val="2"/>
                <w:sz w:val="24"/>
                <w:szCs w:val="24"/>
                <w:lang w:val="en-GB" w:eastAsia="en-GB"/>
                <w14:ligatures w14:val="standardContextual"/>
              </w:rPr>
              <w:tab/>
            </w:r>
            <w:r w:rsidRPr="000F7DFE">
              <w:rPr>
                <w:rStyle w:val="Hyperlink"/>
                <w:noProof/>
              </w:rPr>
              <w:t>Goals and Scope</w:t>
            </w:r>
            <w:r>
              <w:rPr>
                <w:noProof/>
                <w:webHidden/>
              </w:rPr>
              <w:tab/>
            </w:r>
            <w:r>
              <w:rPr>
                <w:noProof/>
                <w:webHidden/>
              </w:rPr>
              <w:fldChar w:fldCharType="begin"/>
            </w:r>
            <w:r>
              <w:rPr>
                <w:noProof/>
                <w:webHidden/>
              </w:rPr>
              <w:instrText xml:space="preserve"> PAGEREF _Toc228701040 \h </w:instrText>
            </w:r>
            <w:r>
              <w:rPr>
                <w:noProof/>
                <w:webHidden/>
              </w:rPr>
            </w:r>
            <w:r>
              <w:rPr>
                <w:noProof/>
                <w:webHidden/>
              </w:rPr>
              <w:fldChar w:fldCharType="separate"/>
            </w:r>
            <w:r w:rsidR="00541739">
              <w:rPr>
                <w:noProof/>
                <w:webHidden/>
              </w:rPr>
              <w:t>74</w:t>
            </w:r>
            <w:r>
              <w:rPr>
                <w:noProof/>
                <w:webHidden/>
              </w:rPr>
              <w:fldChar w:fldCharType="end"/>
            </w:r>
          </w:hyperlink>
        </w:p>
        <w:p w14:paraId="6DDC0DBA" w14:textId="273AB4A5"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41" w:history="1">
            <w:r w:rsidRPr="000F7DFE">
              <w:rPr>
                <w:rStyle w:val="Hyperlink"/>
                <w:noProof/>
              </w:rPr>
              <w:t>5.3</w:t>
            </w:r>
            <w:r>
              <w:rPr>
                <w:rFonts w:eastAsiaTheme="minorEastAsia"/>
                <w:smallCaps w:val="0"/>
                <w:noProof/>
                <w:kern w:val="2"/>
                <w:sz w:val="24"/>
                <w:szCs w:val="24"/>
                <w:lang w:val="en-GB" w:eastAsia="en-GB"/>
                <w14:ligatures w14:val="standardContextual"/>
              </w:rPr>
              <w:tab/>
            </w:r>
            <w:r w:rsidRPr="000F7DFE">
              <w:rPr>
                <w:rStyle w:val="Hyperlink"/>
                <w:noProof/>
              </w:rPr>
              <w:t>Case Studies</w:t>
            </w:r>
            <w:r>
              <w:rPr>
                <w:noProof/>
                <w:webHidden/>
              </w:rPr>
              <w:tab/>
            </w:r>
            <w:r>
              <w:rPr>
                <w:noProof/>
                <w:webHidden/>
              </w:rPr>
              <w:fldChar w:fldCharType="begin"/>
            </w:r>
            <w:r>
              <w:rPr>
                <w:noProof/>
                <w:webHidden/>
              </w:rPr>
              <w:instrText xml:space="preserve"> PAGEREF _Toc228701041 \h </w:instrText>
            </w:r>
            <w:r>
              <w:rPr>
                <w:noProof/>
                <w:webHidden/>
              </w:rPr>
            </w:r>
            <w:r>
              <w:rPr>
                <w:noProof/>
                <w:webHidden/>
              </w:rPr>
              <w:fldChar w:fldCharType="separate"/>
            </w:r>
            <w:r w:rsidR="00541739">
              <w:rPr>
                <w:noProof/>
                <w:webHidden/>
              </w:rPr>
              <w:t>75</w:t>
            </w:r>
            <w:r>
              <w:rPr>
                <w:noProof/>
                <w:webHidden/>
              </w:rPr>
              <w:fldChar w:fldCharType="end"/>
            </w:r>
          </w:hyperlink>
        </w:p>
        <w:p w14:paraId="2E079B79" w14:textId="76DBBC29"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42" w:history="1">
            <w:r w:rsidRPr="000F7DFE">
              <w:rPr>
                <w:rStyle w:val="Hyperlink"/>
                <w:noProof/>
              </w:rPr>
              <w:t>5.4</w:t>
            </w:r>
            <w:r>
              <w:rPr>
                <w:rFonts w:eastAsiaTheme="minorEastAsia"/>
                <w:smallCaps w:val="0"/>
                <w:noProof/>
                <w:kern w:val="2"/>
                <w:sz w:val="24"/>
                <w:szCs w:val="24"/>
                <w:lang w:val="en-GB" w:eastAsia="en-GB"/>
                <w14:ligatures w14:val="standardContextual"/>
              </w:rPr>
              <w:tab/>
            </w:r>
            <w:r w:rsidRPr="000F7DFE">
              <w:rPr>
                <w:rStyle w:val="Hyperlink"/>
                <w:noProof/>
              </w:rPr>
              <w:t>Agroforestry and Carbon</w:t>
            </w:r>
            <w:r>
              <w:rPr>
                <w:noProof/>
                <w:webHidden/>
              </w:rPr>
              <w:tab/>
            </w:r>
            <w:r>
              <w:rPr>
                <w:noProof/>
                <w:webHidden/>
              </w:rPr>
              <w:fldChar w:fldCharType="begin"/>
            </w:r>
            <w:r>
              <w:rPr>
                <w:noProof/>
                <w:webHidden/>
              </w:rPr>
              <w:instrText xml:space="preserve"> PAGEREF _Toc228701042 \h </w:instrText>
            </w:r>
            <w:r>
              <w:rPr>
                <w:noProof/>
                <w:webHidden/>
              </w:rPr>
            </w:r>
            <w:r>
              <w:rPr>
                <w:noProof/>
                <w:webHidden/>
              </w:rPr>
              <w:fldChar w:fldCharType="separate"/>
            </w:r>
            <w:r w:rsidR="00541739">
              <w:rPr>
                <w:noProof/>
                <w:webHidden/>
              </w:rPr>
              <w:t>76</w:t>
            </w:r>
            <w:r>
              <w:rPr>
                <w:noProof/>
                <w:webHidden/>
              </w:rPr>
              <w:fldChar w:fldCharType="end"/>
            </w:r>
          </w:hyperlink>
        </w:p>
        <w:p w14:paraId="74E43105" w14:textId="16297C9C"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43" w:history="1">
            <w:r w:rsidRPr="000F7DFE">
              <w:rPr>
                <w:rStyle w:val="Hyperlink"/>
                <w:noProof/>
              </w:rPr>
              <w:t>5.5</w:t>
            </w:r>
            <w:r>
              <w:rPr>
                <w:rFonts w:eastAsiaTheme="minorEastAsia"/>
                <w:smallCaps w:val="0"/>
                <w:noProof/>
                <w:kern w:val="2"/>
                <w:sz w:val="24"/>
                <w:szCs w:val="24"/>
                <w:lang w:val="en-GB" w:eastAsia="en-GB"/>
                <w14:ligatures w14:val="standardContextual"/>
              </w:rPr>
              <w:tab/>
            </w:r>
            <w:r w:rsidRPr="000F7DFE">
              <w:rPr>
                <w:rStyle w:val="Hyperlink"/>
                <w:noProof/>
              </w:rPr>
              <w:t>Farm-level Carbon Balance</w:t>
            </w:r>
            <w:r>
              <w:rPr>
                <w:noProof/>
                <w:webHidden/>
              </w:rPr>
              <w:tab/>
            </w:r>
            <w:r>
              <w:rPr>
                <w:noProof/>
                <w:webHidden/>
              </w:rPr>
              <w:fldChar w:fldCharType="begin"/>
            </w:r>
            <w:r>
              <w:rPr>
                <w:noProof/>
                <w:webHidden/>
              </w:rPr>
              <w:instrText xml:space="preserve"> PAGEREF _Toc228701043 \h </w:instrText>
            </w:r>
            <w:r>
              <w:rPr>
                <w:noProof/>
                <w:webHidden/>
              </w:rPr>
            </w:r>
            <w:r>
              <w:rPr>
                <w:noProof/>
                <w:webHidden/>
              </w:rPr>
              <w:fldChar w:fldCharType="separate"/>
            </w:r>
            <w:r w:rsidR="00541739">
              <w:rPr>
                <w:noProof/>
                <w:webHidden/>
              </w:rPr>
              <w:t>76</w:t>
            </w:r>
            <w:r>
              <w:rPr>
                <w:noProof/>
                <w:webHidden/>
              </w:rPr>
              <w:fldChar w:fldCharType="end"/>
            </w:r>
          </w:hyperlink>
        </w:p>
        <w:p w14:paraId="71397244" w14:textId="617FD2B8"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4" w:history="1">
            <w:r w:rsidRPr="000F7DFE">
              <w:rPr>
                <w:rStyle w:val="Hyperlink"/>
                <w:noProof/>
              </w:rPr>
              <w:t>5.5.1</w:t>
            </w:r>
            <w:r>
              <w:rPr>
                <w:rFonts w:eastAsiaTheme="minorEastAsia"/>
                <w:i w:val="0"/>
                <w:iCs w:val="0"/>
                <w:noProof/>
                <w:kern w:val="2"/>
                <w:sz w:val="24"/>
                <w:szCs w:val="24"/>
                <w:lang w:val="en-GB" w:eastAsia="en-GB"/>
                <w14:ligatures w14:val="standardContextual"/>
              </w:rPr>
              <w:tab/>
            </w:r>
            <w:r w:rsidRPr="000F7DFE">
              <w:rPr>
                <w:rStyle w:val="Hyperlink"/>
                <w:noProof/>
              </w:rPr>
              <w:t>Other Farm Sources</w:t>
            </w:r>
            <w:r>
              <w:rPr>
                <w:noProof/>
                <w:webHidden/>
              </w:rPr>
              <w:tab/>
            </w:r>
            <w:r>
              <w:rPr>
                <w:noProof/>
                <w:webHidden/>
              </w:rPr>
              <w:fldChar w:fldCharType="begin"/>
            </w:r>
            <w:r>
              <w:rPr>
                <w:noProof/>
                <w:webHidden/>
              </w:rPr>
              <w:instrText xml:space="preserve"> PAGEREF _Toc228701044 \h </w:instrText>
            </w:r>
            <w:r>
              <w:rPr>
                <w:noProof/>
                <w:webHidden/>
              </w:rPr>
            </w:r>
            <w:r>
              <w:rPr>
                <w:noProof/>
                <w:webHidden/>
              </w:rPr>
              <w:fldChar w:fldCharType="separate"/>
            </w:r>
            <w:r w:rsidR="00541739">
              <w:rPr>
                <w:noProof/>
                <w:webHidden/>
              </w:rPr>
              <w:t>78</w:t>
            </w:r>
            <w:r>
              <w:rPr>
                <w:noProof/>
                <w:webHidden/>
              </w:rPr>
              <w:fldChar w:fldCharType="end"/>
            </w:r>
          </w:hyperlink>
        </w:p>
        <w:p w14:paraId="43E198CF" w14:textId="1515A8C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5" w:history="1">
            <w:r w:rsidRPr="000F7DFE">
              <w:rPr>
                <w:rStyle w:val="Hyperlink"/>
                <w:noProof/>
              </w:rPr>
              <w:t>5.5.2</w:t>
            </w:r>
            <w:r>
              <w:rPr>
                <w:rFonts w:eastAsiaTheme="minorEastAsia"/>
                <w:i w:val="0"/>
                <w:iCs w:val="0"/>
                <w:noProof/>
                <w:kern w:val="2"/>
                <w:sz w:val="24"/>
                <w:szCs w:val="24"/>
                <w:lang w:val="en-GB" w:eastAsia="en-GB"/>
                <w14:ligatures w14:val="standardContextual"/>
              </w:rPr>
              <w:tab/>
            </w:r>
            <w:r w:rsidRPr="000F7DFE">
              <w:rPr>
                <w:rStyle w:val="Hyperlink"/>
                <w:noProof/>
              </w:rPr>
              <w:t>Post-farm Transport and Drying</w:t>
            </w:r>
            <w:r>
              <w:rPr>
                <w:noProof/>
                <w:webHidden/>
              </w:rPr>
              <w:tab/>
            </w:r>
            <w:r>
              <w:rPr>
                <w:noProof/>
                <w:webHidden/>
              </w:rPr>
              <w:fldChar w:fldCharType="begin"/>
            </w:r>
            <w:r>
              <w:rPr>
                <w:noProof/>
                <w:webHidden/>
              </w:rPr>
              <w:instrText xml:space="preserve"> PAGEREF _Toc228701045 \h </w:instrText>
            </w:r>
            <w:r>
              <w:rPr>
                <w:noProof/>
                <w:webHidden/>
              </w:rPr>
            </w:r>
            <w:r>
              <w:rPr>
                <w:noProof/>
                <w:webHidden/>
              </w:rPr>
              <w:fldChar w:fldCharType="separate"/>
            </w:r>
            <w:r w:rsidR="00541739">
              <w:rPr>
                <w:noProof/>
                <w:webHidden/>
              </w:rPr>
              <w:t>79</w:t>
            </w:r>
            <w:r>
              <w:rPr>
                <w:noProof/>
                <w:webHidden/>
              </w:rPr>
              <w:fldChar w:fldCharType="end"/>
            </w:r>
          </w:hyperlink>
        </w:p>
        <w:p w14:paraId="40B00BA6" w14:textId="3DCB07C9"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46" w:history="1">
            <w:r w:rsidRPr="000F7DFE">
              <w:rPr>
                <w:rStyle w:val="Hyperlink"/>
                <w:noProof/>
              </w:rPr>
              <w:t>5.6</w:t>
            </w:r>
            <w:r>
              <w:rPr>
                <w:rFonts w:eastAsiaTheme="minorEastAsia"/>
                <w:smallCaps w:val="0"/>
                <w:noProof/>
                <w:kern w:val="2"/>
                <w:sz w:val="24"/>
                <w:szCs w:val="24"/>
                <w:lang w:val="en-GB" w:eastAsia="en-GB"/>
                <w14:ligatures w14:val="standardContextual"/>
              </w:rPr>
              <w:tab/>
            </w:r>
            <w:r w:rsidRPr="000F7DFE">
              <w:rPr>
                <w:rStyle w:val="Hyperlink"/>
                <w:noProof/>
              </w:rPr>
              <w:t>Environmental Impacts of Cocoa Agroforestry</w:t>
            </w:r>
            <w:r>
              <w:rPr>
                <w:noProof/>
                <w:webHidden/>
              </w:rPr>
              <w:tab/>
            </w:r>
            <w:r>
              <w:rPr>
                <w:noProof/>
                <w:webHidden/>
              </w:rPr>
              <w:fldChar w:fldCharType="begin"/>
            </w:r>
            <w:r>
              <w:rPr>
                <w:noProof/>
                <w:webHidden/>
              </w:rPr>
              <w:instrText xml:space="preserve"> PAGEREF _Toc228701046 \h </w:instrText>
            </w:r>
            <w:r>
              <w:rPr>
                <w:noProof/>
                <w:webHidden/>
              </w:rPr>
            </w:r>
            <w:r>
              <w:rPr>
                <w:noProof/>
                <w:webHidden/>
              </w:rPr>
              <w:fldChar w:fldCharType="separate"/>
            </w:r>
            <w:r w:rsidR="00541739">
              <w:rPr>
                <w:noProof/>
                <w:webHidden/>
              </w:rPr>
              <w:t>82</w:t>
            </w:r>
            <w:r>
              <w:rPr>
                <w:noProof/>
                <w:webHidden/>
              </w:rPr>
              <w:fldChar w:fldCharType="end"/>
            </w:r>
          </w:hyperlink>
        </w:p>
        <w:p w14:paraId="3CBBBFF6" w14:textId="793682BC"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7" w:history="1">
            <w:r w:rsidRPr="000F7DFE">
              <w:rPr>
                <w:rStyle w:val="Hyperlink"/>
                <w:noProof/>
              </w:rPr>
              <w:t>5.6.1</w:t>
            </w:r>
            <w:r>
              <w:rPr>
                <w:rFonts w:eastAsiaTheme="minorEastAsia"/>
                <w:i w:val="0"/>
                <w:iCs w:val="0"/>
                <w:noProof/>
                <w:kern w:val="2"/>
                <w:sz w:val="24"/>
                <w:szCs w:val="24"/>
                <w:lang w:val="en-GB" w:eastAsia="en-GB"/>
                <w14:ligatures w14:val="standardContextual"/>
              </w:rPr>
              <w:tab/>
            </w:r>
            <w:r w:rsidRPr="000F7DFE">
              <w:rPr>
                <w:rStyle w:val="Hyperlink"/>
                <w:noProof/>
              </w:rPr>
              <w:t>Carbon Neutrality and Productivity</w:t>
            </w:r>
            <w:r>
              <w:rPr>
                <w:noProof/>
                <w:webHidden/>
              </w:rPr>
              <w:tab/>
            </w:r>
            <w:r>
              <w:rPr>
                <w:noProof/>
                <w:webHidden/>
              </w:rPr>
              <w:fldChar w:fldCharType="begin"/>
            </w:r>
            <w:r>
              <w:rPr>
                <w:noProof/>
                <w:webHidden/>
              </w:rPr>
              <w:instrText xml:space="preserve"> PAGEREF _Toc228701047 \h </w:instrText>
            </w:r>
            <w:r>
              <w:rPr>
                <w:noProof/>
                <w:webHidden/>
              </w:rPr>
            </w:r>
            <w:r>
              <w:rPr>
                <w:noProof/>
                <w:webHidden/>
              </w:rPr>
              <w:fldChar w:fldCharType="separate"/>
            </w:r>
            <w:r w:rsidR="00541739">
              <w:rPr>
                <w:noProof/>
                <w:webHidden/>
              </w:rPr>
              <w:t>82</w:t>
            </w:r>
            <w:r>
              <w:rPr>
                <w:noProof/>
                <w:webHidden/>
              </w:rPr>
              <w:fldChar w:fldCharType="end"/>
            </w:r>
          </w:hyperlink>
        </w:p>
        <w:p w14:paraId="09C02659" w14:textId="79A2F970"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8" w:history="1">
            <w:r w:rsidRPr="000F7DFE">
              <w:rPr>
                <w:rStyle w:val="Hyperlink"/>
                <w:noProof/>
              </w:rPr>
              <w:t>5.6.2</w:t>
            </w:r>
            <w:r>
              <w:rPr>
                <w:rFonts w:eastAsiaTheme="minorEastAsia"/>
                <w:i w:val="0"/>
                <w:iCs w:val="0"/>
                <w:noProof/>
                <w:kern w:val="2"/>
                <w:sz w:val="24"/>
                <w:szCs w:val="24"/>
                <w:lang w:val="en-GB" w:eastAsia="en-GB"/>
                <w14:ligatures w14:val="standardContextual"/>
              </w:rPr>
              <w:tab/>
            </w:r>
            <w:r w:rsidRPr="000F7DFE">
              <w:rPr>
                <w:rStyle w:val="Hyperlink"/>
                <w:noProof/>
              </w:rPr>
              <w:t>Health, Ecosystem and Resource Use Impacts Sun-dried Cocoa</w:t>
            </w:r>
            <w:r>
              <w:rPr>
                <w:noProof/>
                <w:webHidden/>
              </w:rPr>
              <w:tab/>
            </w:r>
            <w:r>
              <w:rPr>
                <w:noProof/>
                <w:webHidden/>
              </w:rPr>
              <w:fldChar w:fldCharType="begin"/>
            </w:r>
            <w:r>
              <w:rPr>
                <w:noProof/>
                <w:webHidden/>
              </w:rPr>
              <w:instrText xml:space="preserve"> PAGEREF _Toc228701048 \h </w:instrText>
            </w:r>
            <w:r>
              <w:rPr>
                <w:noProof/>
                <w:webHidden/>
              </w:rPr>
            </w:r>
            <w:r>
              <w:rPr>
                <w:noProof/>
                <w:webHidden/>
              </w:rPr>
              <w:fldChar w:fldCharType="separate"/>
            </w:r>
            <w:r w:rsidR="00541739">
              <w:rPr>
                <w:noProof/>
                <w:webHidden/>
              </w:rPr>
              <w:t>83</w:t>
            </w:r>
            <w:r>
              <w:rPr>
                <w:noProof/>
                <w:webHidden/>
              </w:rPr>
              <w:fldChar w:fldCharType="end"/>
            </w:r>
          </w:hyperlink>
        </w:p>
        <w:p w14:paraId="2B8BDFFA" w14:textId="7AC30243"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49" w:history="1">
            <w:r w:rsidRPr="000F7DFE">
              <w:rPr>
                <w:rStyle w:val="Hyperlink"/>
                <w:noProof/>
              </w:rPr>
              <w:t>5.6.3</w:t>
            </w:r>
            <w:r>
              <w:rPr>
                <w:rFonts w:eastAsiaTheme="minorEastAsia"/>
                <w:i w:val="0"/>
                <w:iCs w:val="0"/>
                <w:noProof/>
                <w:kern w:val="2"/>
                <w:sz w:val="24"/>
                <w:szCs w:val="24"/>
                <w:lang w:val="en-GB" w:eastAsia="en-GB"/>
                <w14:ligatures w14:val="standardContextual"/>
              </w:rPr>
              <w:tab/>
            </w:r>
            <w:r w:rsidRPr="000F7DFE">
              <w:rPr>
                <w:rStyle w:val="Hyperlink"/>
                <w:noProof/>
              </w:rPr>
              <w:t>Impacts associated with Drying</w:t>
            </w:r>
            <w:r>
              <w:rPr>
                <w:noProof/>
                <w:webHidden/>
              </w:rPr>
              <w:tab/>
            </w:r>
            <w:r>
              <w:rPr>
                <w:noProof/>
                <w:webHidden/>
              </w:rPr>
              <w:fldChar w:fldCharType="begin"/>
            </w:r>
            <w:r>
              <w:rPr>
                <w:noProof/>
                <w:webHidden/>
              </w:rPr>
              <w:instrText xml:space="preserve"> PAGEREF _Toc228701049 \h </w:instrText>
            </w:r>
            <w:r>
              <w:rPr>
                <w:noProof/>
                <w:webHidden/>
              </w:rPr>
            </w:r>
            <w:r>
              <w:rPr>
                <w:noProof/>
                <w:webHidden/>
              </w:rPr>
              <w:fldChar w:fldCharType="separate"/>
            </w:r>
            <w:r w:rsidR="00541739">
              <w:rPr>
                <w:noProof/>
                <w:webHidden/>
              </w:rPr>
              <w:t>85</w:t>
            </w:r>
            <w:r>
              <w:rPr>
                <w:noProof/>
                <w:webHidden/>
              </w:rPr>
              <w:fldChar w:fldCharType="end"/>
            </w:r>
          </w:hyperlink>
        </w:p>
        <w:p w14:paraId="301C43C7" w14:textId="39534612"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50" w:history="1">
            <w:r w:rsidRPr="000F7DFE">
              <w:rPr>
                <w:rStyle w:val="Hyperlink"/>
                <w:noProof/>
              </w:rPr>
              <w:t>5.7</w:t>
            </w:r>
            <w:r>
              <w:rPr>
                <w:rFonts w:eastAsiaTheme="minorEastAsia"/>
                <w:smallCaps w:val="0"/>
                <w:noProof/>
                <w:kern w:val="2"/>
                <w:sz w:val="24"/>
                <w:szCs w:val="24"/>
                <w:lang w:val="en-GB" w:eastAsia="en-GB"/>
                <w14:ligatures w14:val="standardContextual"/>
              </w:rPr>
              <w:tab/>
            </w:r>
            <w:r w:rsidRPr="000F7DFE">
              <w:rPr>
                <w:rStyle w:val="Hyperlink"/>
                <w:noProof/>
              </w:rPr>
              <w:t>Biodiversity</w:t>
            </w:r>
            <w:r>
              <w:rPr>
                <w:noProof/>
                <w:webHidden/>
              </w:rPr>
              <w:tab/>
            </w:r>
            <w:r>
              <w:rPr>
                <w:noProof/>
                <w:webHidden/>
              </w:rPr>
              <w:fldChar w:fldCharType="begin"/>
            </w:r>
            <w:r>
              <w:rPr>
                <w:noProof/>
                <w:webHidden/>
              </w:rPr>
              <w:instrText xml:space="preserve"> PAGEREF _Toc228701050 \h </w:instrText>
            </w:r>
            <w:r>
              <w:rPr>
                <w:noProof/>
                <w:webHidden/>
              </w:rPr>
            </w:r>
            <w:r>
              <w:rPr>
                <w:noProof/>
                <w:webHidden/>
              </w:rPr>
              <w:fldChar w:fldCharType="separate"/>
            </w:r>
            <w:r w:rsidR="00541739">
              <w:rPr>
                <w:noProof/>
                <w:webHidden/>
              </w:rPr>
              <w:t>88</w:t>
            </w:r>
            <w:r>
              <w:rPr>
                <w:noProof/>
                <w:webHidden/>
              </w:rPr>
              <w:fldChar w:fldCharType="end"/>
            </w:r>
          </w:hyperlink>
        </w:p>
        <w:p w14:paraId="4760E77C" w14:textId="7237F3D6"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51" w:history="1">
            <w:r w:rsidRPr="000F7DFE">
              <w:rPr>
                <w:rStyle w:val="Hyperlink"/>
                <w:noProof/>
              </w:rPr>
              <w:t>5.7.1</w:t>
            </w:r>
            <w:r>
              <w:rPr>
                <w:rFonts w:eastAsiaTheme="minorEastAsia"/>
                <w:i w:val="0"/>
                <w:iCs w:val="0"/>
                <w:noProof/>
                <w:kern w:val="2"/>
                <w:sz w:val="24"/>
                <w:szCs w:val="24"/>
                <w:lang w:val="en-GB" w:eastAsia="en-GB"/>
                <w14:ligatures w14:val="standardContextual"/>
              </w:rPr>
              <w:tab/>
            </w:r>
            <w:r w:rsidRPr="000F7DFE">
              <w:rPr>
                <w:rStyle w:val="Hyperlink"/>
                <w:noProof/>
              </w:rPr>
              <w:t>How do farmers view biodiversity</w:t>
            </w:r>
            <w:r>
              <w:rPr>
                <w:noProof/>
                <w:webHidden/>
              </w:rPr>
              <w:tab/>
            </w:r>
            <w:r>
              <w:rPr>
                <w:noProof/>
                <w:webHidden/>
              </w:rPr>
              <w:fldChar w:fldCharType="begin"/>
            </w:r>
            <w:r>
              <w:rPr>
                <w:noProof/>
                <w:webHidden/>
              </w:rPr>
              <w:instrText xml:space="preserve"> PAGEREF _Toc228701051 \h </w:instrText>
            </w:r>
            <w:r>
              <w:rPr>
                <w:noProof/>
                <w:webHidden/>
              </w:rPr>
            </w:r>
            <w:r>
              <w:rPr>
                <w:noProof/>
                <w:webHidden/>
              </w:rPr>
              <w:fldChar w:fldCharType="separate"/>
            </w:r>
            <w:r w:rsidR="00541739">
              <w:rPr>
                <w:noProof/>
                <w:webHidden/>
              </w:rPr>
              <w:t>89</w:t>
            </w:r>
            <w:r>
              <w:rPr>
                <w:noProof/>
                <w:webHidden/>
              </w:rPr>
              <w:fldChar w:fldCharType="end"/>
            </w:r>
          </w:hyperlink>
        </w:p>
        <w:p w14:paraId="6B9D50BE" w14:textId="70859A76"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52" w:history="1">
            <w:r w:rsidRPr="000F7DFE">
              <w:rPr>
                <w:rStyle w:val="Hyperlink"/>
                <w:noProof/>
              </w:rPr>
              <w:t>5.8</w:t>
            </w:r>
            <w:r>
              <w:rPr>
                <w:rFonts w:eastAsiaTheme="minorEastAsia"/>
                <w:smallCaps w:val="0"/>
                <w:noProof/>
                <w:kern w:val="2"/>
                <w:sz w:val="24"/>
                <w:szCs w:val="24"/>
                <w:lang w:val="en-GB" w:eastAsia="en-GB"/>
                <w14:ligatures w14:val="standardContextual"/>
              </w:rPr>
              <w:tab/>
            </w:r>
            <w:r w:rsidRPr="000F7DFE">
              <w:rPr>
                <w:rStyle w:val="Hyperlink"/>
                <w:noProof/>
              </w:rPr>
              <w:t>Implications for Cocoa Sector</w:t>
            </w:r>
            <w:r>
              <w:rPr>
                <w:noProof/>
                <w:webHidden/>
              </w:rPr>
              <w:tab/>
            </w:r>
            <w:r>
              <w:rPr>
                <w:noProof/>
                <w:webHidden/>
              </w:rPr>
              <w:fldChar w:fldCharType="begin"/>
            </w:r>
            <w:r>
              <w:rPr>
                <w:noProof/>
                <w:webHidden/>
              </w:rPr>
              <w:instrText xml:space="preserve"> PAGEREF _Toc228701052 \h </w:instrText>
            </w:r>
            <w:r>
              <w:rPr>
                <w:noProof/>
                <w:webHidden/>
              </w:rPr>
            </w:r>
            <w:r>
              <w:rPr>
                <w:noProof/>
                <w:webHidden/>
              </w:rPr>
              <w:fldChar w:fldCharType="separate"/>
            </w:r>
            <w:r w:rsidR="00541739">
              <w:rPr>
                <w:noProof/>
                <w:webHidden/>
              </w:rPr>
              <w:t>90</w:t>
            </w:r>
            <w:r>
              <w:rPr>
                <w:noProof/>
                <w:webHidden/>
              </w:rPr>
              <w:fldChar w:fldCharType="end"/>
            </w:r>
          </w:hyperlink>
        </w:p>
        <w:p w14:paraId="0D2F7AEB" w14:textId="608B521D"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53" w:history="1">
            <w:r w:rsidRPr="000F7DFE">
              <w:rPr>
                <w:rStyle w:val="Hyperlink"/>
                <w:noProof/>
              </w:rPr>
              <w:t>5.8.1</w:t>
            </w:r>
            <w:r>
              <w:rPr>
                <w:rFonts w:eastAsiaTheme="minorEastAsia"/>
                <w:i w:val="0"/>
                <w:iCs w:val="0"/>
                <w:noProof/>
                <w:kern w:val="2"/>
                <w:sz w:val="24"/>
                <w:szCs w:val="24"/>
                <w:lang w:val="en-GB" w:eastAsia="en-GB"/>
                <w14:ligatures w14:val="standardContextual"/>
              </w:rPr>
              <w:tab/>
            </w:r>
            <w:r w:rsidRPr="000F7DFE">
              <w:rPr>
                <w:rStyle w:val="Hyperlink"/>
                <w:noProof/>
              </w:rPr>
              <w:t>Contrasting the climate impacts and benefits</w:t>
            </w:r>
            <w:r>
              <w:rPr>
                <w:noProof/>
                <w:webHidden/>
              </w:rPr>
              <w:tab/>
            </w:r>
            <w:r>
              <w:rPr>
                <w:noProof/>
                <w:webHidden/>
              </w:rPr>
              <w:fldChar w:fldCharType="begin"/>
            </w:r>
            <w:r>
              <w:rPr>
                <w:noProof/>
                <w:webHidden/>
              </w:rPr>
              <w:instrText xml:space="preserve"> PAGEREF _Toc228701053 \h </w:instrText>
            </w:r>
            <w:r>
              <w:rPr>
                <w:noProof/>
                <w:webHidden/>
              </w:rPr>
            </w:r>
            <w:r>
              <w:rPr>
                <w:noProof/>
                <w:webHidden/>
              </w:rPr>
              <w:fldChar w:fldCharType="separate"/>
            </w:r>
            <w:r w:rsidR="00541739">
              <w:rPr>
                <w:noProof/>
                <w:webHidden/>
              </w:rPr>
              <w:t>90</w:t>
            </w:r>
            <w:r>
              <w:rPr>
                <w:noProof/>
                <w:webHidden/>
              </w:rPr>
              <w:fldChar w:fldCharType="end"/>
            </w:r>
          </w:hyperlink>
        </w:p>
        <w:p w14:paraId="718B4071" w14:textId="5996284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54" w:history="1">
            <w:r w:rsidRPr="000F7DFE">
              <w:rPr>
                <w:rStyle w:val="Hyperlink"/>
                <w:noProof/>
              </w:rPr>
              <w:t>5.8.2</w:t>
            </w:r>
            <w:r>
              <w:rPr>
                <w:rFonts w:eastAsiaTheme="minorEastAsia"/>
                <w:i w:val="0"/>
                <w:iCs w:val="0"/>
                <w:noProof/>
                <w:kern w:val="2"/>
                <w:sz w:val="24"/>
                <w:szCs w:val="24"/>
                <w:lang w:val="en-GB" w:eastAsia="en-GB"/>
                <w14:ligatures w14:val="standardContextual"/>
              </w:rPr>
              <w:tab/>
            </w:r>
            <w:r w:rsidRPr="000F7DFE">
              <w:rPr>
                <w:rStyle w:val="Hyperlink"/>
                <w:noProof/>
              </w:rPr>
              <w:t>How does this relate to the EUDR</w:t>
            </w:r>
            <w:r>
              <w:rPr>
                <w:noProof/>
                <w:webHidden/>
              </w:rPr>
              <w:tab/>
            </w:r>
            <w:r>
              <w:rPr>
                <w:noProof/>
                <w:webHidden/>
              </w:rPr>
              <w:fldChar w:fldCharType="begin"/>
            </w:r>
            <w:r>
              <w:rPr>
                <w:noProof/>
                <w:webHidden/>
              </w:rPr>
              <w:instrText xml:space="preserve"> PAGEREF _Toc228701054 \h </w:instrText>
            </w:r>
            <w:r>
              <w:rPr>
                <w:noProof/>
                <w:webHidden/>
              </w:rPr>
            </w:r>
            <w:r>
              <w:rPr>
                <w:noProof/>
                <w:webHidden/>
              </w:rPr>
              <w:fldChar w:fldCharType="separate"/>
            </w:r>
            <w:r w:rsidR="00541739">
              <w:rPr>
                <w:noProof/>
                <w:webHidden/>
              </w:rPr>
              <w:t>92</w:t>
            </w:r>
            <w:r>
              <w:rPr>
                <w:noProof/>
                <w:webHidden/>
              </w:rPr>
              <w:fldChar w:fldCharType="end"/>
            </w:r>
          </w:hyperlink>
        </w:p>
        <w:p w14:paraId="06341C4D" w14:textId="0C6671AF"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55" w:history="1">
            <w:r w:rsidRPr="000F7DFE">
              <w:rPr>
                <w:rStyle w:val="Hyperlink"/>
                <w:noProof/>
              </w:rPr>
              <w:t>5.8.3</w:t>
            </w:r>
            <w:r>
              <w:rPr>
                <w:rFonts w:eastAsiaTheme="minorEastAsia"/>
                <w:i w:val="0"/>
                <w:iCs w:val="0"/>
                <w:noProof/>
                <w:kern w:val="2"/>
                <w:sz w:val="24"/>
                <w:szCs w:val="24"/>
                <w:lang w:val="en-GB" w:eastAsia="en-GB"/>
                <w14:ligatures w14:val="standardContextual"/>
              </w:rPr>
              <w:tab/>
            </w:r>
            <w:r w:rsidRPr="000F7DFE">
              <w:rPr>
                <w:rStyle w:val="Hyperlink"/>
                <w:noProof/>
              </w:rPr>
              <w:t>Contamination Risks</w:t>
            </w:r>
            <w:r>
              <w:rPr>
                <w:noProof/>
                <w:webHidden/>
              </w:rPr>
              <w:tab/>
            </w:r>
            <w:r>
              <w:rPr>
                <w:noProof/>
                <w:webHidden/>
              </w:rPr>
              <w:fldChar w:fldCharType="begin"/>
            </w:r>
            <w:r>
              <w:rPr>
                <w:noProof/>
                <w:webHidden/>
              </w:rPr>
              <w:instrText xml:space="preserve"> PAGEREF _Toc228701055 \h </w:instrText>
            </w:r>
            <w:r>
              <w:rPr>
                <w:noProof/>
                <w:webHidden/>
              </w:rPr>
            </w:r>
            <w:r>
              <w:rPr>
                <w:noProof/>
                <w:webHidden/>
              </w:rPr>
              <w:fldChar w:fldCharType="separate"/>
            </w:r>
            <w:r w:rsidR="00541739">
              <w:rPr>
                <w:noProof/>
                <w:webHidden/>
              </w:rPr>
              <w:t>92</w:t>
            </w:r>
            <w:r>
              <w:rPr>
                <w:noProof/>
                <w:webHidden/>
              </w:rPr>
              <w:fldChar w:fldCharType="end"/>
            </w:r>
          </w:hyperlink>
        </w:p>
        <w:p w14:paraId="182E6328" w14:textId="6A87AA0D"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56" w:history="1">
            <w:r w:rsidRPr="000F7DFE">
              <w:rPr>
                <w:rStyle w:val="Hyperlink"/>
                <w:noProof/>
              </w:rPr>
              <w:t>5.9</w:t>
            </w:r>
            <w:r>
              <w:rPr>
                <w:rFonts w:eastAsiaTheme="minorEastAsia"/>
                <w:smallCaps w:val="0"/>
                <w:noProof/>
                <w:kern w:val="2"/>
                <w:sz w:val="24"/>
                <w:szCs w:val="24"/>
                <w:lang w:val="en-GB" w:eastAsia="en-GB"/>
                <w14:ligatures w14:val="standardContextual"/>
              </w:rPr>
              <w:tab/>
            </w:r>
            <w:r w:rsidRPr="000F7DFE">
              <w:rPr>
                <w:rStyle w:val="Hyperlink"/>
                <w:noProof/>
              </w:rPr>
              <w:t>Conclusions</w:t>
            </w:r>
            <w:r>
              <w:rPr>
                <w:noProof/>
                <w:webHidden/>
              </w:rPr>
              <w:tab/>
            </w:r>
            <w:r>
              <w:rPr>
                <w:noProof/>
                <w:webHidden/>
              </w:rPr>
              <w:fldChar w:fldCharType="begin"/>
            </w:r>
            <w:r>
              <w:rPr>
                <w:noProof/>
                <w:webHidden/>
              </w:rPr>
              <w:instrText xml:space="preserve"> PAGEREF _Toc228701056 \h </w:instrText>
            </w:r>
            <w:r>
              <w:rPr>
                <w:noProof/>
                <w:webHidden/>
              </w:rPr>
            </w:r>
            <w:r>
              <w:rPr>
                <w:noProof/>
                <w:webHidden/>
              </w:rPr>
              <w:fldChar w:fldCharType="separate"/>
            </w:r>
            <w:r w:rsidR="00541739">
              <w:rPr>
                <w:noProof/>
                <w:webHidden/>
              </w:rPr>
              <w:t>93</w:t>
            </w:r>
            <w:r>
              <w:rPr>
                <w:noProof/>
                <w:webHidden/>
              </w:rPr>
              <w:fldChar w:fldCharType="end"/>
            </w:r>
          </w:hyperlink>
        </w:p>
        <w:p w14:paraId="469EBD50" w14:textId="46A2A709"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57" w:history="1">
            <w:r w:rsidRPr="000F7DFE">
              <w:rPr>
                <w:rStyle w:val="Hyperlink"/>
                <w:noProof/>
              </w:rPr>
              <w:t>6.</w:t>
            </w:r>
            <w:r>
              <w:rPr>
                <w:rFonts w:eastAsiaTheme="minorEastAsia"/>
                <w:b w:val="0"/>
                <w:bCs w:val="0"/>
                <w:caps w:val="0"/>
                <w:noProof/>
                <w:kern w:val="2"/>
                <w:sz w:val="24"/>
                <w:szCs w:val="24"/>
                <w:lang w:val="en-GB" w:eastAsia="en-GB"/>
                <w14:ligatures w14:val="standardContextual"/>
              </w:rPr>
              <w:tab/>
            </w:r>
            <w:r w:rsidRPr="000F7DFE">
              <w:rPr>
                <w:rStyle w:val="Hyperlink"/>
                <w:noProof/>
              </w:rPr>
              <w:t>SYNTHESIS &amp; RECOMMENDATIONS</w:t>
            </w:r>
            <w:r>
              <w:rPr>
                <w:noProof/>
                <w:webHidden/>
              </w:rPr>
              <w:tab/>
            </w:r>
            <w:r>
              <w:rPr>
                <w:noProof/>
                <w:webHidden/>
              </w:rPr>
              <w:fldChar w:fldCharType="begin"/>
            </w:r>
            <w:r>
              <w:rPr>
                <w:noProof/>
                <w:webHidden/>
              </w:rPr>
              <w:instrText xml:space="preserve"> PAGEREF _Toc228701057 \h </w:instrText>
            </w:r>
            <w:r>
              <w:rPr>
                <w:noProof/>
                <w:webHidden/>
              </w:rPr>
            </w:r>
            <w:r>
              <w:rPr>
                <w:noProof/>
                <w:webHidden/>
              </w:rPr>
              <w:fldChar w:fldCharType="separate"/>
            </w:r>
            <w:r w:rsidR="00541739">
              <w:rPr>
                <w:noProof/>
                <w:webHidden/>
              </w:rPr>
              <w:t>95</w:t>
            </w:r>
            <w:r>
              <w:rPr>
                <w:noProof/>
                <w:webHidden/>
              </w:rPr>
              <w:fldChar w:fldCharType="end"/>
            </w:r>
          </w:hyperlink>
        </w:p>
        <w:p w14:paraId="52D1805A" w14:textId="2C6A4543"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58" w:history="1">
            <w:r w:rsidRPr="000F7DFE">
              <w:rPr>
                <w:rStyle w:val="Hyperlink"/>
                <w:noProof/>
              </w:rPr>
              <w:t>6.1</w:t>
            </w:r>
            <w:r>
              <w:rPr>
                <w:rFonts w:eastAsiaTheme="minorEastAsia"/>
                <w:smallCaps w:val="0"/>
                <w:noProof/>
                <w:kern w:val="2"/>
                <w:sz w:val="24"/>
                <w:szCs w:val="24"/>
                <w:lang w:val="en-GB" w:eastAsia="en-GB"/>
                <w14:ligatures w14:val="standardContextual"/>
              </w:rPr>
              <w:tab/>
            </w:r>
            <w:r w:rsidRPr="000F7DFE">
              <w:rPr>
                <w:rStyle w:val="Hyperlink"/>
                <w:noProof/>
              </w:rPr>
              <w:t>Summary of Main Findings</w:t>
            </w:r>
            <w:r>
              <w:rPr>
                <w:noProof/>
                <w:webHidden/>
              </w:rPr>
              <w:tab/>
            </w:r>
            <w:r>
              <w:rPr>
                <w:noProof/>
                <w:webHidden/>
              </w:rPr>
              <w:fldChar w:fldCharType="begin"/>
            </w:r>
            <w:r>
              <w:rPr>
                <w:noProof/>
                <w:webHidden/>
              </w:rPr>
              <w:instrText xml:space="preserve"> PAGEREF _Toc228701058 \h </w:instrText>
            </w:r>
            <w:r>
              <w:rPr>
                <w:noProof/>
                <w:webHidden/>
              </w:rPr>
            </w:r>
            <w:r>
              <w:rPr>
                <w:noProof/>
                <w:webHidden/>
              </w:rPr>
              <w:fldChar w:fldCharType="separate"/>
            </w:r>
            <w:r w:rsidR="00541739">
              <w:rPr>
                <w:noProof/>
                <w:webHidden/>
              </w:rPr>
              <w:t>95</w:t>
            </w:r>
            <w:r>
              <w:rPr>
                <w:noProof/>
                <w:webHidden/>
              </w:rPr>
              <w:fldChar w:fldCharType="end"/>
            </w:r>
          </w:hyperlink>
        </w:p>
        <w:p w14:paraId="4A35D1D0" w14:textId="263F072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59" w:history="1">
            <w:r w:rsidRPr="000F7DFE">
              <w:rPr>
                <w:rStyle w:val="Hyperlink"/>
                <w:noProof/>
              </w:rPr>
              <w:t>6.1.1</w:t>
            </w:r>
            <w:r>
              <w:rPr>
                <w:rFonts w:eastAsiaTheme="minorEastAsia"/>
                <w:i w:val="0"/>
                <w:iCs w:val="0"/>
                <w:noProof/>
                <w:kern w:val="2"/>
                <w:sz w:val="24"/>
                <w:szCs w:val="24"/>
                <w:lang w:val="en-GB" w:eastAsia="en-GB"/>
                <w14:ligatures w14:val="standardContextual"/>
              </w:rPr>
              <w:tab/>
            </w:r>
            <w:r w:rsidRPr="000F7DFE">
              <w:rPr>
                <w:rStyle w:val="Hyperlink"/>
                <w:noProof/>
              </w:rPr>
              <w:t>Economic Analysis: Contribution to Growth and Inclusiveness</w:t>
            </w:r>
            <w:r>
              <w:rPr>
                <w:noProof/>
                <w:webHidden/>
              </w:rPr>
              <w:tab/>
            </w:r>
            <w:r>
              <w:rPr>
                <w:noProof/>
                <w:webHidden/>
              </w:rPr>
              <w:fldChar w:fldCharType="begin"/>
            </w:r>
            <w:r>
              <w:rPr>
                <w:noProof/>
                <w:webHidden/>
              </w:rPr>
              <w:instrText xml:space="preserve"> PAGEREF _Toc228701059 \h </w:instrText>
            </w:r>
            <w:r>
              <w:rPr>
                <w:noProof/>
                <w:webHidden/>
              </w:rPr>
            </w:r>
            <w:r>
              <w:rPr>
                <w:noProof/>
                <w:webHidden/>
              </w:rPr>
              <w:fldChar w:fldCharType="separate"/>
            </w:r>
            <w:r w:rsidR="00541739">
              <w:rPr>
                <w:noProof/>
                <w:webHidden/>
              </w:rPr>
              <w:t>95</w:t>
            </w:r>
            <w:r>
              <w:rPr>
                <w:noProof/>
                <w:webHidden/>
              </w:rPr>
              <w:fldChar w:fldCharType="end"/>
            </w:r>
          </w:hyperlink>
        </w:p>
        <w:p w14:paraId="0DBEFF98" w14:textId="0BF4BCC4"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60" w:history="1">
            <w:r w:rsidRPr="000F7DFE">
              <w:rPr>
                <w:rStyle w:val="Hyperlink"/>
                <w:noProof/>
              </w:rPr>
              <w:t>6.1.2</w:t>
            </w:r>
            <w:r>
              <w:rPr>
                <w:rFonts w:eastAsiaTheme="minorEastAsia"/>
                <w:i w:val="0"/>
                <w:iCs w:val="0"/>
                <w:noProof/>
                <w:kern w:val="2"/>
                <w:sz w:val="24"/>
                <w:szCs w:val="24"/>
                <w:lang w:val="en-GB" w:eastAsia="en-GB"/>
                <w14:ligatures w14:val="standardContextual"/>
              </w:rPr>
              <w:tab/>
            </w:r>
            <w:r w:rsidRPr="000F7DFE">
              <w:rPr>
                <w:rStyle w:val="Hyperlink"/>
                <w:noProof/>
              </w:rPr>
              <w:t>Social Analysis: Social Sustainability</w:t>
            </w:r>
            <w:r>
              <w:rPr>
                <w:noProof/>
                <w:webHidden/>
              </w:rPr>
              <w:tab/>
            </w:r>
            <w:r>
              <w:rPr>
                <w:noProof/>
                <w:webHidden/>
              </w:rPr>
              <w:fldChar w:fldCharType="begin"/>
            </w:r>
            <w:r>
              <w:rPr>
                <w:noProof/>
                <w:webHidden/>
              </w:rPr>
              <w:instrText xml:space="preserve"> PAGEREF _Toc228701060 \h </w:instrText>
            </w:r>
            <w:r>
              <w:rPr>
                <w:noProof/>
                <w:webHidden/>
              </w:rPr>
            </w:r>
            <w:r>
              <w:rPr>
                <w:noProof/>
                <w:webHidden/>
              </w:rPr>
              <w:fldChar w:fldCharType="separate"/>
            </w:r>
            <w:r w:rsidR="00541739">
              <w:rPr>
                <w:noProof/>
                <w:webHidden/>
              </w:rPr>
              <w:t>95</w:t>
            </w:r>
            <w:r>
              <w:rPr>
                <w:noProof/>
                <w:webHidden/>
              </w:rPr>
              <w:fldChar w:fldCharType="end"/>
            </w:r>
          </w:hyperlink>
        </w:p>
        <w:p w14:paraId="73601453" w14:textId="0D17D602"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61" w:history="1">
            <w:r w:rsidRPr="000F7DFE">
              <w:rPr>
                <w:rStyle w:val="Hyperlink"/>
                <w:noProof/>
              </w:rPr>
              <w:t>6.1.3</w:t>
            </w:r>
            <w:r>
              <w:rPr>
                <w:rFonts w:eastAsiaTheme="minorEastAsia"/>
                <w:i w:val="0"/>
                <w:iCs w:val="0"/>
                <w:noProof/>
                <w:kern w:val="2"/>
                <w:sz w:val="24"/>
                <w:szCs w:val="24"/>
                <w:lang w:val="en-GB" w:eastAsia="en-GB"/>
                <w14:ligatures w14:val="standardContextual"/>
              </w:rPr>
              <w:tab/>
            </w:r>
            <w:r w:rsidRPr="000F7DFE">
              <w:rPr>
                <w:rStyle w:val="Hyperlink"/>
                <w:noProof/>
              </w:rPr>
              <w:t>Environmental Analysis: Environmental Sustainability</w:t>
            </w:r>
            <w:r>
              <w:rPr>
                <w:noProof/>
                <w:webHidden/>
              </w:rPr>
              <w:tab/>
            </w:r>
            <w:r>
              <w:rPr>
                <w:noProof/>
                <w:webHidden/>
              </w:rPr>
              <w:fldChar w:fldCharType="begin"/>
            </w:r>
            <w:r>
              <w:rPr>
                <w:noProof/>
                <w:webHidden/>
              </w:rPr>
              <w:instrText xml:space="preserve"> PAGEREF _Toc228701061 \h </w:instrText>
            </w:r>
            <w:r>
              <w:rPr>
                <w:noProof/>
                <w:webHidden/>
              </w:rPr>
            </w:r>
            <w:r>
              <w:rPr>
                <w:noProof/>
                <w:webHidden/>
              </w:rPr>
              <w:fldChar w:fldCharType="separate"/>
            </w:r>
            <w:r w:rsidR="00541739">
              <w:rPr>
                <w:noProof/>
                <w:webHidden/>
              </w:rPr>
              <w:t>96</w:t>
            </w:r>
            <w:r>
              <w:rPr>
                <w:noProof/>
                <w:webHidden/>
              </w:rPr>
              <w:fldChar w:fldCharType="end"/>
            </w:r>
          </w:hyperlink>
        </w:p>
        <w:p w14:paraId="47F8B780" w14:textId="68D0138F"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62" w:history="1">
            <w:r w:rsidRPr="000F7DFE">
              <w:rPr>
                <w:rStyle w:val="Hyperlink"/>
                <w:noProof/>
              </w:rPr>
              <w:t>6.2</w:t>
            </w:r>
            <w:r>
              <w:rPr>
                <w:rFonts w:eastAsiaTheme="minorEastAsia"/>
                <w:smallCaps w:val="0"/>
                <w:noProof/>
                <w:kern w:val="2"/>
                <w:sz w:val="24"/>
                <w:szCs w:val="24"/>
                <w:lang w:val="en-GB" w:eastAsia="en-GB"/>
                <w14:ligatures w14:val="standardContextual"/>
              </w:rPr>
              <w:tab/>
            </w:r>
            <w:r w:rsidRPr="000F7DFE">
              <w:rPr>
                <w:rStyle w:val="Hyperlink"/>
                <w:noProof/>
              </w:rPr>
              <w:t>Risk Analysis</w:t>
            </w:r>
            <w:r>
              <w:rPr>
                <w:noProof/>
                <w:webHidden/>
              </w:rPr>
              <w:tab/>
            </w:r>
            <w:r>
              <w:rPr>
                <w:noProof/>
                <w:webHidden/>
              </w:rPr>
              <w:fldChar w:fldCharType="begin"/>
            </w:r>
            <w:r>
              <w:rPr>
                <w:noProof/>
                <w:webHidden/>
              </w:rPr>
              <w:instrText xml:space="preserve"> PAGEREF _Toc228701062 \h </w:instrText>
            </w:r>
            <w:r>
              <w:rPr>
                <w:noProof/>
                <w:webHidden/>
              </w:rPr>
            </w:r>
            <w:r>
              <w:rPr>
                <w:noProof/>
                <w:webHidden/>
              </w:rPr>
              <w:fldChar w:fldCharType="separate"/>
            </w:r>
            <w:r w:rsidR="00541739">
              <w:rPr>
                <w:noProof/>
                <w:webHidden/>
              </w:rPr>
              <w:t>97</w:t>
            </w:r>
            <w:r>
              <w:rPr>
                <w:noProof/>
                <w:webHidden/>
              </w:rPr>
              <w:fldChar w:fldCharType="end"/>
            </w:r>
          </w:hyperlink>
        </w:p>
        <w:p w14:paraId="2BA49360" w14:textId="2696EA23" w:rsidR="00652843" w:rsidRDefault="00652843">
          <w:pPr>
            <w:pStyle w:val="TOC2"/>
            <w:tabs>
              <w:tab w:val="left" w:pos="880"/>
              <w:tab w:val="right" w:leader="dot" w:pos="9350"/>
            </w:tabs>
            <w:rPr>
              <w:rFonts w:eastAsiaTheme="minorEastAsia"/>
              <w:smallCaps w:val="0"/>
              <w:noProof/>
              <w:kern w:val="2"/>
              <w:sz w:val="24"/>
              <w:szCs w:val="24"/>
              <w:lang w:val="en-GB" w:eastAsia="en-GB"/>
              <w14:ligatures w14:val="standardContextual"/>
            </w:rPr>
          </w:pPr>
          <w:hyperlink w:anchor="_Toc228701063" w:history="1">
            <w:r w:rsidRPr="000F7DFE">
              <w:rPr>
                <w:rStyle w:val="Hyperlink"/>
                <w:noProof/>
              </w:rPr>
              <w:t>6.3</w:t>
            </w:r>
            <w:r>
              <w:rPr>
                <w:rFonts w:eastAsiaTheme="minorEastAsia"/>
                <w:smallCaps w:val="0"/>
                <w:noProof/>
                <w:kern w:val="2"/>
                <w:sz w:val="24"/>
                <w:szCs w:val="24"/>
                <w:lang w:val="en-GB" w:eastAsia="en-GB"/>
                <w14:ligatures w14:val="standardContextual"/>
              </w:rPr>
              <w:tab/>
            </w:r>
            <w:r w:rsidRPr="000F7DFE">
              <w:rPr>
                <w:rStyle w:val="Hyperlink"/>
                <w:noProof/>
              </w:rPr>
              <w:t>Recommendations</w:t>
            </w:r>
            <w:r>
              <w:rPr>
                <w:noProof/>
                <w:webHidden/>
              </w:rPr>
              <w:tab/>
            </w:r>
            <w:r>
              <w:rPr>
                <w:noProof/>
                <w:webHidden/>
              </w:rPr>
              <w:fldChar w:fldCharType="begin"/>
            </w:r>
            <w:r>
              <w:rPr>
                <w:noProof/>
                <w:webHidden/>
              </w:rPr>
              <w:instrText xml:space="preserve"> PAGEREF _Toc228701063 \h </w:instrText>
            </w:r>
            <w:r>
              <w:rPr>
                <w:noProof/>
                <w:webHidden/>
              </w:rPr>
            </w:r>
            <w:r>
              <w:rPr>
                <w:noProof/>
                <w:webHidden/>
              </w:rPr>
              <w:fldChar w:fldCharType="separate"/>
            </w:r>
            <w:r w:rsidR="00541739">
              <w:rPr>
                <w:noProof/>
                <w:webHidden/>
              </w:rPr>
              <w:t>98</w:t>
            </w:r>
            <w:r>
              <w:rPr>
                <w:noProof/>
                <w:webHidden/>
              </w:rPr>
              <w:fldChar w:fldCharType="end"/>
            </w:r>
          </w:hyperlink>
        </w:p>
        <w:p w14:paraId="63B6969A" w14:textId="6D6D8C4A"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64" w:history="1">
            <w:r w:rsidRPr="000F7DFE">
              <w:rPr>
                <w:rStyle w:val="Hyperlink"/>
                <w:rFonts w:eastAsia="Times New Roman" w:cs="Times New Roman"/>
                <w:b/>
                <w:noProof/>
              </w:rPr>
              <w:t>6.3.1</w:t>
            </w:r>
            <w:r>
              <w:rPr>
                <w:rFonts w:eastAsiaTheme="minorEastAsia"/>
                <w:i w:val="0"/>
                <w:iCs w:val="0"/>
                <w:noProof/>
                <w:kern w:val="2"/>
                <w:sz w:val="24"/>
                <w:szCs w:val="24"/>
                <w:lang w:val="en-GB" w:eastAsia="en-GB"/>
                <w14:ligatures w14:val="standardContextual"/>
              </w:rPr>
              <w:tab/>
            </w:r>
            <w:r w:rsidRPr="000F7DFE">
              <w:rPr>
                <w:rStyle w:val="Hyperlink"/>
                <w:rFonts w:eastAsia="Times New Roman" w:cs="Times New Roman"/>
                <w:b/>
                <w:noProof/>
              </w:rPr>
              <w:t>Strengthening production and governance foundations</w:t>
            </w:r>
            <w:r>
              <w:rPr>
                <w:noProof/>
                <w:webHidden/>
              </w:rPr>
              <w:tab/>
            </w:r>
            <w:r>
              <w:rPr>
                <w:noProof/>
                <w:webHidden/>
              </w:rPr>
              <w:fldChar w:fldCharType="begin"/>
            </w:r>
            <w:r>
              <w:rPr>
                <w:noProof/>
                <w:webHidden/>
              </w:rPr>
              <w:instrText xml:space="preserve"> PAGEREF _Toc228701064 \h </w:instrText>
            </w:r>
            <w:r>
              <w:rPr>
                <w:noProof/>
                <w:webHidden/>
              </w:rPr>
            </w:r>
            <w:r>
              <w:rPr>
                <w:noProof/>
                <w:webHidden/>
              </w:rPr>
              <w:fldChar w:fldCharType="separate"/>
            </w:r>
            <w:r w:rsidR="00541739">
              <w:rPr>
                <w:noProof/>
                <w:webHidden/>
              </w:rPr>
              <w:t>99</w:t>
            </w:r>
            <w:r>
              <w:rPr>
                <w:noProof/>
                <w:webHidden/>
              </w:rPr>
              <w:fldChar w:fldCharType="end"/>
            </w:r>
          </w:hyperlink>
        </w:p>
        <w:p w14:paraId="6EBC6BC8" w14:textId="44B92ED4"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65" w:history="1">
            <w:r w:rsidRPr="000F7DFE">
              <w:rPr>
                <w:rStyle w:val="Hyperlink"/>
                <w:rFonts w:eastAsia="Times New Roman" w:cs="Times New Roman"/>
                <w:b/>
                <w:noProof/>
              </w:rPr>
              <w:t>6.3.2</w:t>
            </w:r>
            <w:r>
              <w:rPr>
                <w:rFonts w:eastAsiaTheme="minorEastAsia"/>
                <w:i w:val="0"/>
                <w:iCs w:val="0"/>
                <w:noProof/>
                <w:kern w:val="2"/>
                <w:sz w:val="24"/>
                <w:szCs w:val="24"/>
                <w:lang w:val="en-GB" w:eastAsia="en-GB"/>
                <w14:ligatures w14:val="standardContextual"/>
              </w:rPr>
              <w:tab/>
            </w:r>
            <w:r w:rsidRPr="000F7DFE">
              <w:rPr>
                <w:rStyle w:val="Hyperlink"/>
                <w:rFonts w:eastAsia="Times New Roman" w:cs="Times New Roman"/>
                <w:b/>
                <w:noProof/>
              </w:rPr>
              <w:t>Enhancing financial resilience and investment</w:t>
            </w:r>
            <w:r>
              <w:rPr>
                <w:noProof/>
                <w:webHidden/>
              </w:rPr>
              <w:tab/>
            </w:r>
            <w:r>
              <w:rPr>
                <w:noProof/>
                <w:webHidden/>
              </w:rPr>
              <w:fldChar w:fldCharType="begin"/>
            </w:r>
            <w:r>
              <w:rPr>
                <w:noProof/>
                <w:webHidden/>
              </w:rPr>
              <w:instrText xml:space="preserve"> PAGEREF _Toc228701065 \h </w:instrText>
            </w:r>
            <w:r>
              <w:rPr>
                <w:noProof/>
                <w:webHidden/>
              </w:rPr>
            </w:r>
            <w:r>
              <w:rPr>
                <w:noProof/>
                <w:webHidden/>
              </w:rPr>
              <w:fldChar w:fldCharType="separate"/>
            </w:r>
            <w:r w:rsidR="00541739">
              <w:rPr>
                <w:noProof/>
                <w:webHidden/>
              </w:rPr>
              <w:t>101</w:t>
            </w:r>
            <w:r>
              <w:rPr>
                <w:noProof/>
                <w:webHidden/>
              </w:rPr>
              <w:fldChar w:fldCharType="end"/>
            </w:r>
          </w:hyperlink>
        </w:p>
        <w:p w14:paraId="4D7FCFB1" w14:textId="159A251C" w:rsidR="00652843" w:rsidRDefault="00652843">
          <w:pPr>
            <w:pStyle w:val="TOC3"/>
            <w:tabs>
              <w:tab w:val="left" w:pos="1100"/>
              <w:tab w:val="right" w:leader="dot" w:pos="9350"/>
            </w:tabs>
            <w:rPr>
              <w:rFonts w:eastAsiaTheme="minorEastAsia"/>
              <w:i w:val="0"/>
              <w:iCs w:val="0"/>
              <w:noProof/>
              <w:kern w:val="2"/>
              <w:sz w:val="24"/>
              <w:szCs w:val="24"/>
              <w:lang w:val="en-GB" w:eastAsia="en-GB"/>
              <w14:ligatures w14:val="standardContextual"/>
            </w:rPr>
          </w:pPr>
          <w:hyperlink w:anchor="_Toc228701066" w:history="1">
            <w:r w:rsidRPr="000F7DFE">
              <w:rPr>
                <w:rStyle w:val="Hyperlink"/>
                <w:rFonts w:eastAsia="Times New Roman" w:cs="Times New Roman"/>
                <w:b/>
                <w:noProof/>
              </w:rPr>
              <w:t>6.3.3</w:t>
            </w:r>
            <w:r>
              <w:rPr>
                <w:rFonts w:eastAsiaTheme="minorEastAsia"/>
                <w:i w:val="0"/>
                <w:iCs w:val="0"/>
                <w:noProof/>
                <w:kern w:val="2"/>
                <w:sz w:val="24"/>
                <w:szCs w:val="24"/>
                <w:lang w:val="en-GB" w:eastAsia="en-GB"/>
                <w14:ligatures w14:val="standardContextual"/>
              </w:rPr>
              <w:tab/>
            </w:r>
            <w:r w:rsidRPr="000F7DFE">
              <w:rPr>
                <w:rStyle w:val="Hyperlink"/>
                <w:rFonts w:eastAsia="Times New Roman" w:cs="Times New Roman"/>
                <w:b/>
                <w:noProof/>
              </w:rPr>
              <w:t>Improving market access and trade competitiveness</w:t>
            </w:r>
            <w:r>
              <w:rPr>
                <w:noProof/>
                <w:webHidden/>
              </w:rPr>
              <w:tab/>
            </w:r>
            <w:r>
              <w:rPr>
                <w:noProof/>
                <w:webHidden/>
              </w:rPr>
              <w:fldChar w:fldCharType="begin"/>
            </w:r>
            <w:r>
              <w:rPr>
                <w:noProof/>
                <w:webHidden/>
              </w:rPr>
              <w:instrText xml:space="preserve"> PAGEREF _Toc228701066 \h </w:instrText>
            </w:r>
            <w:r>
              <w:rPr>
                <w:noProof/>
                <w:webHidden/>
              </w:rPr>
            </w:r>
            <w:r>
              <w:rPr>
                <w:noProof/>
                <w:webHidden/>
              </w:rPr>
              <w:fldChar w:fldCharType="separate"/>
            </w:r>
            <w:r w:rsidR="00541739">
              <w:rPr>
                <w:noProof/>
                <w:webHidden/>
              </w:rPr>
              <w:t>101</w:t>
            </w:r>
            <w:r>
              <w:rPr>
                <w:noProof/>
                <w:webHidden/>
              </w:rPr>
              <w:fldChar w:fldCharType="end"/>
            </w:r>
          </w:hyperlink>
        </w:p>
        <w:p w14:paraId="3B4F92D7" w14:textId="4F7C9D0A" w:rsidR="00652843" w:rsidRDefault="00652843">
          <w:pPr>
            <w:pStyle w:val="TOC1"/>
            <w:tabs>
              <w:tab w:val="left" w:pos="440"/>
              <w:tab w:val="right" w:leader="dot" w:pos="9350"/>
            </w:tabs>
            <w:rPr>
              <w:rFonts w:eastAsiaTheme="minorEastAsia"/>
              <w:b w:val="0"/>
              <w:bCs w:val="0"/>
              <w:caps w:val="0"/>
              <w:noProof/>
              <w:kern w:val="2"/>
              <w:sz w:val="24"/>
              <w:szCs w:val="24"/>
              <w:lang w:val="en-GB" w:eastAsia="en-GB"/>
              <w14:ligatures w14:val="standardContextual"/>
            </w:rPr>
          </w:pPr>
          <w:hyperlink w:anchor="_Toc228701067" w:history="1">
            <w:r w:rsidRPr="000F7DFE">
              <w:rPr>
                <w:rStyle w:val="Hyperlink"/>
                <w:noProof/>
              </w:rPr>
              <w:t>7.</w:t>
            </w:r>
            <w:r>
              <w:rPr>
                <w:rFonts w:eastAsiaTheme="minorEastAsia"/>
                <w:b w:val="0"/>
                <w:bCs w:val="0"/>
                <w:caps w:val="0"/>
                <w:noProof/>
                <w:kern w:val="2"/>
                <w:sz w:val="24"/>
                <w:szCs w:val="24"/>
                <w:lang w:val="en-GB" w:eastAsia="en-GB"/>
                <w14:ligatures w14:val="standardContextual"/>
              </w:rPr>
              <w:tab/>
            </w:r>
            <w:r w:rsidRPr="000F7DFE">
              <w:rPr>
                <w:rStyle w:val="Hyperlink"/>
                <w:noProof/>
              </w:rPr>
              <w:t>REFERENCES</w:t>
            </w:r>
            <w:r>
              <w:rPr>
                <w:noProof/>
                <w:webHidden/>
              </w:rPr>
              <w:tab/>
            </w:r>
            <w:r>
              <w:rPr>
                <w:noProof/>
                <w:webHidden/>
              </w:rPr>
              <w:fldChar w:fldCharType="begin"/>
            </w:r>
            <w:r>
              <w:rPr>
                <w:noProof/>
                <w:webHidden/>
              </w:rPr>
              <w:instrText xml:space="preserve"> PAGEREF _Toc228701067 \h </w:instrText>
            </w:r>
            <w:r>
              <w:rPr>
                <w:noProof/>
                <w:webHidden/>
              </w:rPr>
            </w:r>
            <w:r>
              <w:rPr>
                <w:noProof/>
                <w:webHidden/>
              </w:rPr>
              <w:fldChar w:fldCharType="separate"/>
            </w:r>
            <w:r w:rsidR="00541739">
              <w:rPr>
                <w:noProof/>
                <w:webHidden/>
              </w:rPr>
              <w:t>104</w:t>
            </w:r>
            <w:r>
              <w:rPr>
                <w:noProof/>
                <w:webHidden/>
              </w:rPr>
              <w:fldChar w:fldCharType="end"/>
            </w:r>
          </w:hyperlink>
        </w:p>
        <w:p w14:paraId="47AC19A4" w14:textId="76C11E44" w:rsidR="00C267A2" w:rsidRPr="00C512DC" w:rsidRDefault="00C81B6A" w:rsidP="00C50698">
          <w:pPr>
            <w:rPr>
              <w:rFonts w:cs="Open Sans"/>
            </w:rPr>
          </w:pPr>
          <w:r w:rsidRPr="004838C6">
            <w:rPr>
              <w:rFonts w:cs="Open Sans"/>
              <w:caps/>
              <w:szCs w:val="20"/>
            </w:rPr>
            <w:fldChar w:fldCharType="end"/>
          </w:r>
        </w:p>
      </w:sdtContent>
    </w:sdt>
    <w:p w14:paraId="30608C3C" w14:textId="77777777" w:rsidR="00C267A2" w:rsidRDefault="00C267A2" w:rsidP="00C50698">
      <w:pPr>
        <w:rPr>
          <w:b/>
          <w:color w:val="4472C4" w:themeColor="accent1"/>
          <w:sz w:val="24"/>
          <w:szCs w:val="24"/>
          <w:lang w:bidi="hi-IN"/>
        </w:rPr>
      </w:pPr>
    </w:p>
    <w:p w14:paraId="02F0A39B" w14:textId="08437E8A" w:rsidR="00C50698" w:rsidRDefault="00B70172" w:rsidP="00C50698">
      <w:pPr>
        <w:rPr>
          <w:b/>
          <w:color w:val="4472C4" w:themeColor="accent1"/>
          <w:sz w:val="24"/>
          <w:szCs w:val="24"/>
          <w:lang w:bidi="hi-IN"/>
        </w:rPr>
      </w:pPr>
      <w:r>
        <w:rPr>
          <w:b/>
          <w:color w:val="4472C4" w:themeColor="accent1"/>
          <w:sz w:val="24"/>
          <w:szCs w:val="24"/>
          <w:lang w:bidi="hi-IN"/>
        </w:rPr>
        <w:t>List</w:t>
      </w:r>
      <w:r w:rsidR="005619EA">
        <w:rPr>
          <w:b/>
          <w:color w:val="4472C4" w:themeColor="accent1"/>
          <w:sz w:val="24"/>
          <w:szCs w:val="24"/>
          <w:lang w:bidi="hi-IN"/>
        </w:rPr>
        <w:t xml:space="preserve"> of Tables</w:t>
      </w:r>
    </w:p>
    <w:p w14:paraId="64C1218F" w14:textId="77777777" w:rsidR="00C357DA" w:rsidRPr="00C357DA" w:rsidRDefault="00C357DA" w:rsidP="00C50698">
      <w:pPr>
        <w:rPr>
          <w:b/>
          <w:color w:val="4472C4" w:themeColor="accent1"/>
          <w:sz w:val="24"/>
          <w:szCs w:val="24"/>
          <w:lang w:bidi="hi-IN"/>
        </w:rPr>
      </w:pPr>
    </w:p>
    <w:p w14:paraId="72ABE050" w14:textId="3421E69D" w:rsidR="00652843" w:rsidRDefault="00F652E4">
      <w:pPr>
        <w:pStyle w:val="TableofFigures"/>
        <w:tabs>
          <w:tab w:val="right" w:leader="dot" w:pos="9350"/>
        </w:tabs>
        <w:rPr>
          <w:rFonts w:asciiTheme="minorHAnsi" w:eastAsiaTheme="minorEastAsia" w:hAnsiTheme="minorHAnsi"/>
          <w:noProof/>
          <w:kern w:val="2"/>
          <w:sz w:val="24"/>
          <w:szCs w:val="24"/>
          <w:lang w:eastAsia="en-GB"/>
          <w14:ligatures w14:val="standardContextual"/>
        </w:rPr>
      </w:pPr>
      <w:r>
        <w:rPr>
          <w:bCs/>
        </w:rPr>
        <w:fldChar w:fldCharType="begin"/>
      </w:r>
      <w:r>
        <w:rPr>
          <w:bCs/>
        </w:rPr>
        <w:instrText xml:space="preserve"> TOC \h \z \c "Table" </w:instrText>
      </w:r>
      <w:r>
        <w:rPr>
          <w:bCs/>
        </w:rPr>
        <w:fldChar w:fldCharType="separate"/>
      </w:r>
      <w:hyperlink w:anchor="_Toc228701068" w:history="1">
        <w:r w:rsidR="00652843" w:rsidRPr="009B0BD6">
          <w:rPr>
            <w:rStyle w:val="Hyperlink"/>
            <w:noProof/>
            <w:lang w:bidi="hi-IN"/>
          </w:rPr>
          <w:t>Table 1</w:t>
        </w:r>
        <w:r w:rsidR="00652843" w:rsidRPr="009B0BD6">
          <w:rPr>
            <w:rStyle w:val="Hyperlink"/>
            <w:noProof/>
            <w:lang w:bidi="hi-IN"/>
          </w:rPr>
          <w:noBreakHyphen/>
          <w:t>1 COCOA DISTRICTS CHARACTERISTICS</w:t>
        </w:r>
        <w:r w:rsidR="00652843">
          <w:rPr>
            <w:noProof/>
            <w:webHidden/>
          </w:rPr>
          <w:tab/>
        </w:r>
        <w:r w:rsidR="00652843">
          <w:rPr>
            <w:noProof/>
            <w:webHidden/>
          </w:rPr>
          <w:fldChar w:fldCharType="begin"/>
        </w:r>
        <w:r w:rsidR="00652843">
          <w:rPr>
            <w:noProof/>
            <w:webHidden/>
          </w:rPr>
          <w:instrText xml:space="preserve"> PAGEREF _Toc228701068 \h </w:instrText>
        </w:r>
        <w:r w:rsidR="00652843">
          <w:rPr>
            <w:noProof/>
            <w:webHidden/>
          </w:rPr>
        </w:r>
        <w:r w:rsidR="00652843">
          <w:rPr>
            <w:noProof/>
            <w:webHidden/>
          </w:rPr>
          <w:fldChar w:fldCharType="separate"/>
        </w:r>
        <w:r w:rsidR="00652843">
          <w:rPr>
            <w:noProof/>
            <w:webHidden/>
          </w:rPr>
          <w:t>18</w:t>
        </w:r>
        <w:r w:rsidR="00652843">
          <w:rPr>
            <w:noProof/>
            <w:webHidden/>
          </w:rPr>
          <w:fldChar w:fldCharType="end"/>
        </w:r>
      </w:hyperlink>
    </w:p>
    <w:p w14:paraId="46C95D1D" w14:textId="6D501633"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69" w:history="1">
        <w:r w:rsidRPr="009B0BD6">
          <w:rPr>
            <w:rStyle w:val="Hyperlink"/>
            <w:noProof/>
            <w:lang w:bidi="hi-IN"/>
          </w:rPr>
          <w:t>Table 1</w:t>
        </w:r>
        <w:r w:rsidRPr="009B0BD6">
          <w:rPr>
            <w:rStyle w:val="Hyperlink"/>
            <w:noProof/>
            <w:lang w:bidi="hi-IN"/>
          </w:rPr>
          <w:noBreakHyphen/>
          <w:t>3 OVERVIEW OF STAKEHOLDERS IN COCOA SECTOR</w:t>
        </w:r>
        <w:r>
          <w:rPr>
            <w:noProof/>
            <w:webHidden/>
          </w:rPr>
          <w:tab/>
        </w:r>
        <w:r>
          <w:rPr>
            <w:noProof/>
            <w:webHidden/>
          </w:rPr>
          <w:fldChar w:fldCharType="begin"/>
        </w:r>
        <w:r>
          <w:rPr>
            <w:noProof/>
            <w:webHidden/>
          </w:rPr>
          <w:instrText xml:space="preserve"> PAGEREF _Toc228701069 \h </w:instrText>
        </w:r>
        <w:r>
          <w:rPr>
            <w:noProof/>
            <w:webHidden/>
          </w:rPr>
        </w:r>
        <w:r>
          <w:rPr>
            <w:noProof/>
            <w:webHidden/>
          </w:rPr>
          <w:fldChar w:fldCharType="separate"/>
        </w:r>
        <w:r>
          <w:rPr>
            <w:noProof/>
            <w:webHidden/>
          </w:rPr>
          <w:t>27</w:t>
        </w:r>
        <w:r>
          <w:rPr>
            <w:noProof/>
            <w:webHidden/>
          </w:rPr>
          <w:fldChar w:fldCharType="end"/>
        </w:r>
      </w:hyperlink>
    </w:p>
    <w:p w14:paraId="36060BB6" w14:textId="5DF7CA8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0" w:history="1">
        <w:r w:rsidRPr="009B0BD6">
          <w:rPr>
            <w:rStyle w:val="Hyperlink"/>
            <w:noProof/>
            <w:lang w:bidi="hi-IN"/>
          </w:rPr>
          <w:t>Table 2</w:t>
        </w:r>
        <w:r w:rsidRPr="009B0BD6">
          <w:rPr>
            <w:rStyle w:val="Hyperlink"/>
            <w:noProof/>
            <w:lang w:bidi="hi-IN"/>
          </w:rPr>
          <w:noBreakHyphen/>
          <w:t>1 INDIVIDUAL ACTOR ACCOUNT AND FINANCIAL INDICATORS</w:t>
        </w:r>
        <w:r>
          <w:rPr>
            <w:noProof/>
            <w:webHidden/>
          </w:rPr>
          <w:tab/>
        </w:r>
        <w:r>
          <w:rPr>
            <w:noProof/>
            <w:webHidden/>
          </w:rPr>
          <w:fldChar w:fldCharType="begin"/>
        </w:r>
        <w:r>
          <w:rPr>
            <w:noProof/>
            <w:webHidden/>
          </w:rPr>
          <w:instrText xml:space="preserve"> PAGEREF _Toc228701070 \h </w:instrText>
        </w:r>
        <w:r>
          <w:rPr>
            <w:noProof/>
            <w:webHidden/>
          </w:rPr>
        </w:r>
        <w:r>
          <w:rPr>
            <w:noProof/>
            <w:webHidden/>
          </w:rPr>
          <w:fldChar w:fldCharType="separate"/>
        </w:r>
        <w:r>
          <w:rPr>
            <w:noProof/>
            <w:webHidden/>
          </w:rPr>
          <w:t>33</w:t>
        </w:r>
        <w:r>
          <w:rPr>
            <w:noProof/>
            <w:webHidden/>
          </w:rPr>
          <w:fldChar w:fldCharType="end"/>
        </w:r>
      </w:hyperlink>
    </w:p>
    <w:p w14:paraId="20FC075B" w14:textId="34ADC437"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1" w:history="1">
        <w:r w:rsidRPr="009B0BD6">
          <w:rPr>
            <w:rStyle w:val="Hyperlink"/>
            <w:noProof/>
            <w:lang w:bidi="hi-IN"/>
          </w:rPr>
          <w:t>Table 2</w:t>
        </w:r>
        <w:r w:rsidRPr="009B0BD6">
          <w:rPr>
            <w:rStyle w:val="Hyperlink"/>
            <w:noProof/>
            <w:lang w:bidi="hi-IN"/>
          </w:rPr>
          <w:noBreakHyphen/>
          <w:t>2 OPERATING ACCOUNTS PER ACTOR AND THE VALUE CHAIN</w:t>
        </w:r>
        <w:r>
          <w:rPr>
            <w:noProof/>
            <w:webHidden/>
          </w:rPr>
          <w:tab/>
        </w:r>
        <w:r>
          <w:rPr>
            <w:noProof/>
            <w:webHidden/>
          </w:rPr>
          <w:fldChar w:fldCharType="begin"/>
        </w:r>
        <w:r>
          <w:rPr>
            <w:noProof/>
            <w:webHidden/>
          </w:rPr>
          <w:instrText xml:space="preserve"> PAGEREF _Toc228701071 \h </w:instrText>
        </w:r>
        <w:r>
          <w:rPr>
            <w:noProof/>
            <w:webHidden/>
          </w:rPr>
        </w:r>
        <w:r>
          <w:rPr>
            <w:noProof/>
            <w:webHidden/>
          </w:rPr>
          <w:fldChar w:fldCharType="separate"/>
        </w:r>
        <w:r>
          <w:rPr>
            <w:noProof/>
            <w:webHidden/>
          </w:rPr>
          <w:t>34</w:t>
        </w:r>
        <w:r>
          <w:rPr>
            <w:noProof/>
            <w:webHidden/>
          </w:rPr>
          <w:fldChar w:fldCharType="end"/>
        </w:r>
      </w:hyperlink>
    </w:p>
    <w:p w14:paraId="7FB2F769" w14:textId="712C9975"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2" w:history="1">
        <w:r w:rsidRPr="009B0BD6">
          <w:rPr>
            <w:rStyle w:val="Hyperlink"/>
            <w:noProof/>
            <w:lang w:bidi="hi-IN"/>
          </w:rPr>
          <w:t>Table 2</w:t>
        </w:r>
        <w:r w:rsidRPr="009B0BD6">
          <w:rPr>
            <w:rStyle w:val="Hyperlink"/>
            <w:noProof/>
            <w:lang w:bidi="hi-IN"/>
          </w:rPr>
          <w:noBreakHyphen/>
          <w:t>3 DIRECT AND INDIRECT EFFECTS</w:t>
        </w:r>
        <w:r>
          <w:rPr>
            <w:noProof/>
            <w:webHidden/>
          </w:rPr>
          <w:tab/>
        </w:r>
        <w:r>
          <w:rPr>
            <w:noProof/>
            <w:webHidden/>
          </w:rPr>
          <w:fldChar w:fldCharType="begin"/>
        </w:r>
        <w:r>
          <w:rPr>
            <w:noProof/>
            <w:webHidden/>
          </w:rPr>
          <w:instrText xml:space="preserve"> PAGEREF _Toc228701072 \h </w:instrText>
        </w:r>
        <w:r>
          <w:rPr>
            <w:noProof/>
            <w:webHidden/>
          </w:rPr>
        </w:r>
        <w:r>
          <w:rPr>
            <w:noProof/>
            <w:webHidden/>
          </w:rPr>
          <w:fldChar w:fldCharType="separate"/>
        </w:r>
        <w:r>
          <w:rPr>
            <w:noProof/>
            <w:webHidden/>
          </w:rPr>
          <w:t>37</w:t>
        </w:r>
        <w:r>
          <w:rPr>
            <w:noProof/>
            <w:webHidden/>
          </w:rPr>
          <w:fldChar w:fldCharType="end"/>
        </w:r>
      </w:hyperlink>
    </w:p>
    <w:p w14:paraId="0FCA70AE" w14:textId="69384AD0"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3" w:history="1">
        <w:r w:rsidRPr="009B0BD6">
          <w:rPr>
            <w:rStyle w:val="Hyperlink"/>
            <w:noProof/>
            <w:lang w:bidi="hi-IN"/>
          </w:rPr>
          <w:t>Table 2</w:t>
        </w:r>
        <w:r w:rsidRPr="009B0BD6">
          <w:rPr>
            <w:rStyle w:val="Hyperlink"/>
            <w:noProof/>
            <w:lang w:bidi="hi-IN"/>
          </w:rPr>
          <w:noBreakHyphen/>
          <w:t>4 COMPARATIVE BALANCE OF TRADE (EXPORTS VS. IMPORTS)</w:t>
        </w:r>
        <w:r>
          <w:rPr>
            <w:noProof/>
            <w:webHidden/>
          </w:rPr>
          <w:tab/>
        </w:r>
        <w:r>
          <w:rPr>
            <w:noProof/>
            <w:webHidden/>
          </w:rPr>
          <w:fldChar w:fldCharType="begin"/>
        </w:r>
        <w:r>
          <w:rPr>
            <w:noProof/>
            <w:webHidden/>
          </w:rPr>
          <w:instrText xml:space="preserve"> PAGEREF _Toc228701073 \h </w:instrText>
        </w:r>
        <w:r>
          <w:rPr>
            <w:noProof/>
            <w:webHidden/>
          </w:rPr>
        </w:r>
        <w:r>
          <w:rPr>
            <w:noProof/>
            <w:webHidden/>
          </w:rPr>
          <w:fldChar w:fldCharType="separate"/>
        </w:r>
        <w:r>
          <w:rPr>
            <w:noProof/>
            <w:webHidden/>
          </w:rPr>
          <w:t>39</w:t>
        </w:r>
        <w:r>
          <w:rPr>
            <w:noProof/>
            <w:webHidden/>
          </w:rPr>
          <w:fldChar w:fldCharType="end"/>
        </w:r>
      </w:hyperlink>
    </w:p>
    <w:p w14:paraId="64518EA9" w14:textId="67163048"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4" w:history="1">
        <w:r w:rsidRPr="009B0BD6">
          <w:rPr>
            <w:rStyle w:val="Hyperlink"/>
            <w:noProof/>
            <w:lang w:bidi="hi-IN"/>
          </w:rPr>
          <w:t>Table 2</w:t>
        </w:r>
        <w:r w:rsidRPr="009B0BD6">
          <w:rPr>
            <w:rStyle w:val="Hyperlink"/>
            <w:noProof/>
            <w:lang w:bidi="hi-IN"/>
          </w:rPr>
          <w:noBreakHyphen/>
          <w:t>5 INTERNATIONAL VIABILITY INDICATORS (NPC, DRC)</w:t>
        </w:r>
        <w:r>
          <w:rPr>
            <w:noProof/>
            <w:webHidden/>
          </w:rPr>
          <w:tab/>
        </w:r>
        <w:r>
          <w:rPr>
            <w:noProof/>
            <w:webHidden/>
          </w:rPr>
          <w:fldChar w:fldCharType="begin"/>
        </w:r>
        <w:r>
          <w:rPr>
            <w:noProof/>
            <w:webHidden/>
          </w:rPr>
          <w:instrText xml:space="preserve"> PAGEREF _Toc228701074 \h </w:instrText>
        </w:r>
        <w:r>
          <w:rPr>
            <w:noProof/>
            <w:webHidden/>
          </w:rPr>
        </w:r>
        <w:r>
          <w:rPr>
            <w:noProof/>
            <w:webHidden/>
          </w:rPr>
          <w:fldChar w:fldCharType="separate"/>
        </w:r>
        <w:r>
          <w:rPr>
            <w:noProof/>
            <w:webHidden/>
          </w:rPr>
          <w:t>40</w:t>
        </w:r>
        <w:r>
          <w:rPr>
            <w:noProof/>
            <w:webHidden/>
          </w:rPr>
          <w:fldChar w:fldCharType="end"/>
        </w:r>
      </w:hyperlink>
    </w:p>
    <w:p w14:paraId="27DAE63A" w14:textId="1BF8943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5" w:history="1">
        <w:r w:rsidRPr="009B0BD6">
          <w:rPr>
            <w:rStyle w:val="Hyperlink"/>
            <w:noProof/>
            <w:lang w:bidi="hi-IN"/>
          </w:rPr>
          <w:t>Table 2</w:t>
        </w:r>
        <w:r w:rsidRPr="009B0BD6">
          <w:rPr>
            <w:rStyle w:val="Hyperlink"/>
            <w:noProof/>
            <w:lang w:bidi="hi-IN"/>
          </w:rPr>
          <w:noBreakHyphen/>
          <w:t>6 SUMMARY TABLE OF INDICATORS FOR FRAMING QUESTION 1</w:t>
        </w:r>
        <w:r>
          <w:rPr>
            <w:noProof/>
            <w:webHidden/>
          </w:rPr>
          <w:tab/>
        </w:r>
        <w:r>
          <w:rPr>
            <w:noProof/>
            <w:webHidden/>
          </w:rPr>
          <w:fldChar w:fldCharType="begin"/>
        </w:r>
        <w:r>
          <w:rPr>
            <w:noProof/>
            <w:webHidden/>
          </w:rPr>
          <w:instrText xml:space="preserve"> PAGEREF _Toc228701075 \h </w:instrText>
        </w:r>
        <w:r>
          <w:rPr>
            <w:noProof/>
            <w:webHidden/>
          </w:rPr>
        </w:r>
        <w:r>
          <w:rPr>
            <w:noProof/>
            <w:webHidden/>
          </w:rPr>
          <w:fldChar w:fldCharType="separate"/>
        </w:r>
        <w:r>
          <w:rPr>
            <w:noProof/>
            <w:webHidden/>
          </w:rPr>
          <w:t>40</w:t>
        </w:r>
        <w:r>
          <w:rPr>
            <w:noProof/>
            <w:webHidden/>
          </w:rPr>
          <w:fldChar w:fldCharType="end"/>
        </w:r>
      </w:hyperlink>
    </w:p>
    <w:p w14:paraId="13BF0A14" w14:textId="6E98043E"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6" w:history="1">
        <w:r w:rsidRPr="009B0BD6">
          <w:rPr>
            <w:rStyle w:val="Hyperlink"/>
            <w:noProof/>
            <w:lang w:bidi="hi-IN"/>
          </w:rPr>
          <w:t>Table 3</w:t>
        </w:r>
        <w:r w:rsidRPr="009B0BD6">
          <w:rPr>
            <w:rStyle w:val="Hyperlink"/>
            <w:noProof/>
            <w:lang w:bidi="hi-IN"/>
          </w:rPr>
          <w:noBreakHyphen/>
          <w:t>1 FULL-TIME EQUIVALENT (FTE) LABOUR PER CATEGORY OF JOB BY VC ACTORS</w:t>
        </w:r>
        <w:r>
          <w:rPr>
            <w:noProof/>
            <w:webHidden/>
          </w:rPr>
          <w:tab/>
        </w:r>
        <w:r>
          <w:rPr>
            <w:noProof/>
            <w:webHidden/>
          </w:rPr>
          <w:fldChar w:fldCharType="begin"/>
        </w:r>
        <w:r>
          <w:rPr>
            <w:noProof/>
            <w:webHidden/>
          </w:rPr>
          <w:instrText xml:space="preserve"> PAGEREF _Toc228701076 \h </w:instrText>
        </w:r>
        <w:r>
          <w:rPr>
            <w:noProof/>
            <w:webHidden/>
          </w:rPr>
        </w:r>
        <w:r>
          <w:rPr>
            <w:noProof/>
            <w:webHidden/>
          </w:rPr>
          <w:fldChar w:fldCharType="separate"/>
        </w:r>
        <w:r>
          <w:rPr>
            <w:noProof/>
            <w:webHidden/>
          </w:rPr>
          <w:t>46</w:t>
        </w:r>
        <w:r>
          <w:rPr>
            <w:noProof/>
            <w:webHidden/>
          </w:rPr>
          <w:fldChar w:fldCharType="end"/>
        </w:r>
      </w:hyperlink>
    </w:p>
    <w:p w14:paraId="22F24DED" w14:textId="4BB82C5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7" w:history="1">
        <w:r w:rsidRPr="009B0BD6">
          <w:rPr>
            <w:rStyle w:val="Hyperlink"/>
            <w:noProof/>
            <w:lang w:bidi="hi-IN"/>
          </w:rPr>
          <w:t>Table 3</w:t>
        </w:r>
        <w:r w:rsidRPr="009B0BD6">
          <w:rPr>
            <w:rStyle w:val="Hyperlink"/>
            <w:noProof/>
            <w:lang w:bidi="hi-IN"/>
          </w:rPr>
          <w:noBreakHyphen/>
          <w:t>2 DISTRIBUTION OF NET OPERATING PROFIT</w:t>
        </w:r>
        <w:r>
          <w:rPr>
            <w:noProof/>
            <w:webHidden/>
          </w:rPr>
          <w:tab/>
        </w:r>
        <w:r>
          <w:rPr>
            <w:noProof/>
            <w:webHidden/>
          </w:rPr>
          <w:fldChar w:fldCharType="begin"/>
        </w:r>
        <w:r>
          <w:rPr>
            <w:noProof/>
            <w:webHidden/>
          </w:rPr>
          <w:instrText xml:space="preserve"> PAGEREF _Toc228701077 \h </w:instrText>
        </w:r>
        <w:r>
          <w:rPr>
            <w:noProof/>
            <w:webHidden/>
          </w:rPr>
        </w:r>
        <w:r>
          <w:rPr>
            <w:noProof/>
            <w:webHidden/>
          </w:rPr>
          <w:fldChar w:fldCharType="separate"/>
        </w:r>
        <w:r>
          <w:rPr>
            <w:noProof/>
            <w:webHidden/>
          </w:rPr>
          <w:t>47</w:t>
        </w:r>
        <w:r>
          <w:rPr>
            <w:noProof/>
            <w:webHidden/>
          </w:rPr>
          <w:fldChar w:fldCharType="end"/>
        </w:r>
      </w:hyperlink>
    </w:p>
    <w:p w14:paraId="44A43A77" w14:textId="716C342E"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8" w:history="1">
        <w:r w:rsidRPr="009B0BD6">
          <w:rPr>
            <w:rStyle w:val="Hyperlink"/>
            <w:noProof/>
            <w:lang w:bidi="hi-IN"/>
          </w:rPr>
          <w:t>Table 3</w:t>
        </w:r>
        <w:r w:rsidRPr="009B0BD6">
          <w:rPr>
            <w:rStyle w:val="Hyperlink"/>
            <w:noProof/>
            <w:lang w:bidi="hi-IN"/>
          </w:rPr>
          <w:noBreakHyphen/>
          <w:t>3 SUMMARY TABLE OF INDICATORS FOR FRAMING QUESTION 2</w:t>
        </w:r>
        <w:r>
          <w:rPr>
            <w:noProof/>
            <w:webHidden/>
          </w:rPr>
          <w:tab/>
        </w:r>
        <w:r>
          <w:rPr>
            <w:noProof/>
            <w:webHidden/>
          </w:rPr>
          <w:fldChar w:fldCharType="begin"/>
        </w:r>
        <w:r>
          <w:rPr>
            <w:noProof/>
            <w:webHidden/>
          </w:rPr>
          <w:instrText xml:space="preserve"> PAGEREF _Toc228701078 \h </w:instrText>
        </w:r>
        <w:r>
          <w:rPr>
            <w:noProof/>
            <w:webHidden/>
          </w:rPr>
        </w:r>
        <w:r>
          <w:rPr>
            <w:noProof/>
            <w:webHidden/>
          </w:rPr>
          <w:fldChar w:fldCharType="separate"/>
        </w:r>
        <w:r>
          <w:rPr>
            <w:noProof/>
            <w:webHidden/>
          </w:rPr>
          <w:t>49</w:t>
        </w:r>
        <w:r>
          <w:rPr>
            <w:noProof/>
            <w:webHidden/>
          </w:rPr>
          <w:fldChar w:fldCharType="end"/>
        </w:r>
      </w:hyperlink>
    </w:p>
    <w:p w14:paraId="6B63B800" w14:textId="1F4A656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79" w:history="1">
        <w:r w:rsidRPr="009B0BD6">
          <w:rPr>
            <w:rStyle w:val="Hyperlink"/>
            <w:noProof/>
            <w:lang w:bidi="hi-IN"/>
          </w:rPr>
          <w:t>Table 4</w:t>
        </w:r>
        <w:r w:rsidRPr="009B0BD6">
          <w:rPr>
            <w:rStyle w:val="Hyperlink"/>
            <w:noProof/>
            <w:lang w:bidi="hi-IN"/>
          </w:rPr>
          <w:noBreakHyphen/>
          <w:t>1 Traffic Light Assessment of Working Conditions</w:t>
        </w:r>
        <w:r>
          <w:rPr>
            <w:noProof/>
            <w:webHidden/>
          </w:rPr>
          <w:tab/>
        </w:r>
        <w:r>
          <w:rPr>
            <w:noProof/>
            <w:webHidden/>
          </w:rPr>
          <w:fldChar w:fldCharType="begin"/>
        </w:r>
        <w:r>
          <w:rPr>
            <w:noProof/>
            <w:webHidden/>
          </w:rPr>
          <w:instrText xml:space="preserve"> PAGEREF _Toc228701079 \h </w:instrText>
        </w:r>
        <w:r>
          <w:rPr>
            <w:noProof/>
            <w:webHidden/>
          </w:rPr>
        </w:r>
        <w:r>
          <w:rPr>
            <w:noProof/>
            <w:webHidden/>
          </w:rPr>
          <w:fldChar w:fldCharType="separate"/>
        </w:r>
        <w:r>
          <w:rPr>
            <w:noProof/>
            <w:webHidden/>
          </w:rPr>
          <w:t>54</w:t>
        </w:r>
        <w:r>
          <w:rPr>
            <w:noProof/>
            <w:webHidden/>
          </w:rPr>
          <w:fldChar w:fldCharType="end"/>
        </w:r>
      </w:hyperlink>
    </w:p>
    <w:p w14:paraId="6B96D0DB" w14:textId="7665D84A"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0" w:history="1">
        <w:r w:rsidRPr="009B0BD6">
          <w:rPr>
            <w:rStyle w:val="Hyperlink"/>
            <w:noProof/>
            <w:lang w:bidi="hi-IN"/>
          </w:rPr>
          <w:t>Table 4</w:t>
        </w:r>
        <w:r w:rsidRPr="009B0BD6">
          <w:rPr>
            <w:rStyle w:val="Hyperlink"/>
            <w:noProof/>
            <w:lang w:bidi="hi-IN"/>
          </w:rPr>
          <w:noBreakHyphen/>
          <w:t>2 Traffic Light Assessment of Land and Water Rights</w:t>
        </w:r>
        <w:r>
          <w:rPr>
            <w:noProof/>
            <w:webHidden/>
          </w:rPr>
          <w:tab/>
        </w:r>
        <w:r>
          <w:rPr>
            <w:noProof/>
            <w:webHidden/>
          </w:rPr>
          <w:fldChar w:fldCharType="begin"/>
        </w:r>
        <w:r>
          <w:rPr>
            <w:noProof/>
            <w:webHidden/>
          </w:rPr>
          <w:instrText xml:space="preserve"> PAGEREF _Toc228701080 \h </w:instrText>
        </w:r>
        <w:r>
          <w:rPr>
            <w:noProof/>
            <w:webHidden/>
          </w:rPr>
        </w:r>
        <w:r>
          <w:rPr>
            <w:noProof/>
            <w:webHidden/>
          </w:rPr>
          <w:fldChar w:fldCharType="separate"/>
        </w:r>
        <w:r>
          <w:rPr>
            <w:noProof/>
            <w:webHidden/>
          </w:rPr>
          <w:t>57</w:t>
        </w:r>
        <w:r>
          <w:rPr>
            <w:noProof/>
            <w:webHidden/>
          </w:rPr>
          <w:fldChar w:fldCharType="end"/>
        </w:r>
      </w:hyperlink>
    </w:p>
    <w:p w14:paraId="13D76150" w14:textId="5216CE6E"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1" w:history="1">
        <w:r w:rsidRPr="009B0BD6">
          <w:rPr>
            <w:rStyle w:val="Hyperlink"/>
            <w:noProof/>
            <w:lang w:bidi="hi-IN"/>
          </w:rPr>
          <w:t>Table 4</w:t>
        </w:r>
        <w:r w:rsidRPr="009B0BD6">
          <w:rPr>
            <w:rStyle w:val="Hyperlink"/>
            <w:noProof/>
            <w:lang w:bidi="hi-IN"/>
          </w:rPr>
          <w:noBreakHyphen/>
          <w:t>3 Traffic Light Assessment of Gender Equality</w:t>
        </w:r>
        <w:r>
          <w:rPr>
            <w:noProof/>
            <w:webHidden/>
          </w:rPr>
          <w:tab/>
        </w:r>
        <w:r>
          <w:rPr>
            <w:noProof/>
            <w:webHidden/>
          </w:rPr>
          <w:fldChar w:fldCharType="begin"/>
        </w:r>
        <w:r>
          <w:rPr>
            <w:noProof/>
            <w:webHidden/>
          </w:rPr>
          <w:instrText xml:space="preserve"> PAGEREF _Toc228701081 \h </w:instrText>
        </w:r>
        <w:r>
          <w:rPr>
            <w:noProof/>
            <w:webHidden/>
          </w:rPr>
        </w:r>
        <w:r>
          <w:rPr>
            <w:noProof/>
            <w:webHidden/>
          </w:rPr>
          <w:fldChar w:fldCharType="separate"/>
        </w:r>
        <w:r>
          <w:rPr>
            <w:noProof/>
            <w:webHidden/>
          </w:rPr>
          <w:t>59</w:t>
        </w:r>
        <w:r>
          <w:rPr>
            <w:noProof/>
            <w:webHidden/>
          </w:rPr>
          <w:fldChar w:fldCharType="end"/>
        </w:r>
      </w:hyperlink>
    </w:p>
    <w:p w14:paraId="48BD085D" w14:textId="4B274C6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2" w:history="1">
        <w:r w:rsidRPr="009B0BD6">
          <w:rPr>
            <w:rStyle w:val="Hyperlink"/>
            <w:noProof/>
            <w:lang w:bidi="hi-IN"/>
          </w:rPr>
          <w:t>Table 4</w:t>
        </w:r>
        <w:r w:rsidRPr="009B0BD6">
          <w:rPr>
            <w:rStyle w:val="Hyperlink"/>
            <w:noProof/>
            <w:lang w:bidi="hi-IN"/>
          </w:rPr>
          <w:noBreakHyphen/>
          <w:t>4 Traffic Light Assessment of Food and Nutrition Security</w:t>
        </w:r>
        <w:r>
          <w:rPr>
            <w:noProof/>
            <w:webHidden/>
          </w:rPr>
          <w:tab/>
        </w:r>
        <w:r>
          <w:rPr>
            <w:noProof/>
            <w:webHidden/>
          </w:rPr>
          <w:fldChar w:fldCharType="begin"/>
        </w:r>
        <w:r>
          <w:rPr>
            <w:noProof/>
            <w:webHidden/>
          </w:rPr>
          <w:instrText xml:space="preserve"> PAGEREF _Toc228701082 \h </w:instrText>
        </w:r>
        <w:r>
          <w:rPr>
            <w:noProof/>
            <w:webHidden/>
          </w:rPr>
        </w:r>
        <w:r>
          <w:rPr>
            <w:noProof/>
            <w:webHidden/>
          </w:rPr>
          <w:fldChar w:fldCharType="separate"/>
        </w:r>
        <w:r>
          <w:rPr>
            <w:noProof/>
            <w:webHidden/>
          </w:rPr>
          <w:t>63</w:t>
        </w:r>
        <w:r>
          <w:rPr>
            <w:noProof/>
            <w:webHidden/>
          </w:rPr>
          <w:fldChar w:fldCharType="end"/>
        </w:r>
      </w:hyperlink>
    </w:p>
    <w:p w14:paraId="16F6AA82" w14:textId="3BCB6989"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3" w:history="1">
        <w:r w:rsidRPr="009B0BD6">
          <w:rPr>
            <w:rStyle w:val="Hyperlink"/>
            <w:noProof/>
            <w:lang w:bidi="hi-IN"/>
          </w:rPr>
          <w:t>Table 4</w:t>
        </w:r>
        <w:r w:rsidRPr="009B0BD6">
          <w:rPr>
            <w:rStyle w:val="Hyperlink"/>
            <w:noProof/>
            <w:lang w:bidi="hi-IN"/>
          </w:rPr>
          <w:noBreakHyphen/>
          <w:t>5 Traffic Light Assessment of Social Capital</w:t>
        </w:r>
        <w:r>
          <w:rPr>
            <w:noProof/>
            <w:webHidden/>
          </w:rPr>
          <w:tab/>
        </w:r>
        <w:r>
          <w:rPr>
            <w:noProof/>
            <w:webHidden/>
          </w:rPr>
          <w:fldChar w:fldCharType="begin"/>
        </w:r>
        <w:r>
          <w:rPr>
            <w:noProof/>
            <w:webHidden/>
          </w:rPr>
          <w:instrText xml:space="preserve"> PAGEREF _Toc228701083 \h </w:instrText>
        </w:r>
        <w:r>
          <w:rPr>
            <w:noProof/>
            <w:webHidden/>
          </w:rPr>
        </w:r>
        <w:r>
          <w:rPr>
            <w:noProof/>
            <w:webHidden/>
          </w:rPr>
          <w:fldChar w:fldCharType="separate"/>
        </w:r>
        <w:r>
          <w:rPr>
            <w:noProof/>
            <w:webHidden/>
          </w:rPr>
          <w:t>66</w:t>
        </w:r>
        <w:r>
          <w:rPr>
            <w:noProof/>
            <w:webHidden/>
          </w:rPr>
          <w:fldChar w:fldCharType="end"/>
        </w:r>
      </w:hyperlink>
    </w:p>
    <w:p w14:paraId="0FF80516" w14:textId="607A852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4" w:history="1">
        <w:r w:rsidRPr="009B0BD6">
          <w:rPr>
            <w:rStyle w:val="Hyperlink"/>
            <w:noProof/>
            <w:lang w:bidi="hi-IN"/>
          </w:rPr>
          <w:t>Table 4</w:t>
        </w:r>
        <w:r w:rsidRPr="009B0BD6">
          <w:rPr>
            <w:rStyle w:val="Hyperlink"/>
            <w:noProof/>
            <w:lang w:bidi="hi-IN"/>
          </w:rPr>
          <w:noBreakHyphen/>
          <w:t>6 Traffic Light Assessment of Living Conditions</w:t>
        </w:r>
        <w:r>
          <w:rPr>
            <w:noProof/>
            <w:webHidden/>
          </w:rPr>
          <w:tab/>
        </w:r>
        <w:r>
          <w:rPr>
            <w:noProof/>
            <w:webHidden/>
          </w:rPr>
          <w:fldChar w:fldCharType="begin"/>
        </w:r>
        <w:r>
          <w:rPr>
            <w:noProof/>
            <w:webHidden/>
          </w:rPr>
          <w:instrText xml:space="preserve"> PAGEREF _Toc228701084 \h </w:instrText>
        </w:r>
        <w:r>
          <w:rPr>
            <w:noProof/>
            <w:webHidden/>
          </w:rPr>
        </w:r>
        <w:r>
          <w:rPr>
            <w:noProof/>
            <w:webHidden/>
          </w:rPr>
          <w:fldChar w:fldCharType="separate"/>
        </w:r>
        <w:r>
          <w:rPr>
            <w:noProof/>
            <w:webHidden/>
          </w:rPr>
          <w:t>68</w:t>
        </w:r>
        <w:r>
          <w:rPr>
            <w:noProof/>
            <w:webHidden/>
          </w:rPr>
          <w:fldChar w:fldCharType="end"/>
        </w:r>
      </w:hyperlink>
    </w:p>
    <w:p w14:paraId="38E7D7E3" w14:textId="03F2252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5" w:history="1">
        <w:r w:rsidRPr="009B0BD6">
          <w:rPr>
            <w:rStyle w:val="Hyperlink"/>
            <w:noProof/>
            <w:lang w:bidi="hi-IN"/>
          </w:rPr>
          <w:t>Table 4</w:t>
        </w:r>
        <w:r w:rsidRPr="009B0BD6">
          <w:rPr>
            <w:rStyle w:val="Hyperlink"/>
            <w:noProof/>
            <w:lang w:bidi="hi-IN"/>
          </w:rPr>
          <w:noBreakHyphen/>
          <w:t>7 Overview of key issues and mitigation measures</w:t>
        </w:r>
        <w:r>
          <w:rPr>
            <w:noProof/>
            <w:webHidden/>
          </w:rPr>
          <w:tab/>
        </w:r>
        <w:r>
          <w:rPr>
            <w:noProof/>
            <w:webHidden/>
          </w:rPr>
          <w:fldChar w:fldCharType="begin"/>
        </w:r>
        <w:r>
          <w:rPr>
            <w:noProof/>
            <w:webHidden/>
          </w:rPr>
          <w:instrText xml:space="preserve"> PAGEREF _Toc228701085 \h </w:instrText>
        </w:r>
        <w:r>
          <w:rPr>
            <w:noProof/>
            <w:webHidden/>
          </w:rPr>
        </w:r>
        <w:r>
          <w:rPr>
            <w:noProof/>
            <w:webHidden/>
          </w:rPr>
          <w:fldChar w:fldCharType="separate"/>
        </w:r>
        <w:r>
          <w:rPr>
            <w:noProof/>
            <w:webHidden/>
          </w:rPr>
          <w:t>70</w:t>
        </w:r>
        <w:r>
          <w:rPr>
            <w:noProof/>
            <w:webHidden/>
          </w:rPr>
          <w:fldChar w:fldCharType="end"/>
        </w:r>
      </w:hyperlink>
    </w:p>
    <w:p w14:paraId="3151F077" w14:textId="255F77E4"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6" w:history="1">
        <w:r w:rsidRPr="009B0BD6">
          <w:rPr>
            <w:rStyle w:val="Hyperlink"/>
            <w:noProof/>
            <w:lang w:bidi="hi-IN"/>
          </w:rPr>
          <w:t>Table 5</w:t>
        </w:r>
        <w:r w:rsidRPr="009B0BD6">
          <w:rPr>
            <w:rStyle w:val="Hyperlink"/>
            <w:noProof/>
            <w:lang w:bidi="hi-IN"/>
          </w:rPr>
          <w:noBreakHyphen/>
          <w:t>1:Summary of indicative crop system case study assumptions</w:t>
        </w:r>
        <w:r>
          <w:rPr>
            <w:noProof/>
            <w:webHidden/>
          </w:rPr>
          <w:tab/>
        </w:r>
        <w:r>
          <w:rPr>
            <w:noProof/>
            <w:webHidden/>
          </w:rPr>
          <w:fldChar w:fldCharType="begin"/>
        </w:r>
        <w:r>
          <w:rPr>
            <w:noProof/>
            <w:webHidden/>
          </w:rPr>
          <w:instrText xml:space="preserve"> PAGEREF _Toc228701086 \h </w:instrText>
        </w:r>
        <w:r>
          <w:rPr>
            <w:noProof/>
            <w:webHidden/>
          </w:rPr>
        </w:r>
        <w:r>
          <w:rPr>
            <w:noProof/>
            <w:webHidden/>
          </w:rPr>
          <w:fldChar w:fldCharType="separate"/>
        </w:r>
        <w:r>
          <w:rPr>
            <w:noProof/>
            <w:webHidden/>
          </w:rPr>
          <w:t>74</w:t>
        </w:r>
        <w:r>
          <w:rPr>
            <w:noProof/>
            <w:webHidden/>
          </w:rPr>
          <w:fldChar w:fldCharType="end"/>
        </w:r>
      </w:hyperlink>
    </w:p>
    <w:p w14:paraId="2F82C645" w14:textId="0E103DEC"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7" w:history="1">
        <w:r w:rsidRPr="009B0BD6">
          <w:rPr>
            <w:rStyle w:val="Hyperlink"/>
            <w:noProof/>
            <w:lang w:bidi="hi-IN"/>
          </w:rPr>
          <w:t>Table 5</w:t>
        </w:r>
        <w:r w:rsidRPr="009B0BD6">
          <w:rPr>
            <w:rStyle w:val="Hyperlink"/>
            <w:noProof/>
            <w:lang w:bidi="hi-IN"/>
          </w:rPr>
          <w:noBreakHyphen/>
          <w:t>2 Summary of Carbon stocks (t C/ha) accumulated from prior land use, above ground biomass (AGB), below ground biomass (BGB) and top soil up to the 20 cm depth</w:t>
        </w:r>
        <w:r>
          <w:rPr>
            <w:noProof/>
            <w:webHidden/>
          </w:rPr>
          <w:tab/>
        </w:r>
        <w:r>
          <w:rPr>
            <w:noProof/>
            <w:webHidden/>
          </w:rPr>
          <w:fldChar w:fldCharType="begin"/>
        </w:r>
        <w:r>
          <w:rPr>
            <w:noProof/>
            <w:webHidden/>
          </w:rPr>
          <w:instrText xml:space="preserve"> PAGEREF _Toc228701087 \h </w:instrText>
        </w:r>
        <w:r>
          <w:rPr>
            <w:noProof/>
            <w:webHidden/>
          </w:rPr>
        </w:r>
        <w:r>
          <w:rPr>
            <w:noProof/>
            <w:webHidden/>
          </w:rPr>
          <w:fldChar w:fldCharType="separate"/>
        </w:r>
        <w:r>
          <w:rPr>
            <w:noProof/>
            <w:webHidden/>
          </w:rPr>
          <w:t>76</w:t>
        </w:r>
        <w:r>
          <w:rPr>
            <w:noProof/>
            <w:webHidden/>
          </w:rPr>
          <w:fldChar w:fldCharType="end"/>
        </w:r>
      </w:hyperlink>
    </w:p>
    <w:p w14:paraId="46FD1205" w14:textId="29B4717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8" w:history="1">
        <w:r w:rsidRPr="009B0BD6">
          <w:rPr>
            <w:rStyle w:val="Hyperlink"/>
            <w:noProof/>
            <w:lang w:bidi="hi-IN"/>
          </w:rPr>
          <w:t>Table 5</w:t>
        </w:r>
        <w:r w:rsidRPr="009B0BD6">
          <w:rPr>
            <w:rStyle w:val="Hyperlink"/>
            <w:noProof/>
            <w:lang w:bidi="hi-IN"/>
          </w:rPr>
          <w:noBreakHyphen/>
          <w:t>3 SUMMARY OF CARBON IMPLICATION OF CHOSEN CASE STUDY LAND USE TRANSITIONS</w:t>
        </w:r>
        <w:r>
          <w:rPr>
            <w:noProof/>
            <w:webHidden/>
          </w:rPr>
          <w:tab/>
        </w:r>
        <w:r>
          <w:rPr>
            <w:noProof/>
            <w:webHidden/>
          </w:rPr>
          <w:fldChar w:fldCharType="begin"/>
        </w:r>
        <w:r>
          <w:rPr>
            <w:noProof/>
            <w:webHidden/>
          </w:rPr>
          <w:instrText xml:space="preserve"> PAGEREF _Toc228701088 \h </w:instrText>
        </w:r>
        <w:r>
          <w:rPr>
            <w:noProof/>
            <w:webHidden/>
          </w:rPr>
        </w:r>
        <w:r>
          <w:rPr>
            <w:noProof/>
            <w:webHidden/>
          </w:rPr>
          <w:fldChar w:fldCharType="separate"/>
        </w:r>
        <w:r>
          <w:rPr>
            <w:noProof/>
            <w:webHidden/>
          </w:rPr>
          <w:t>77</w:t>
        </w:r>
        <w:r>
          <w:rPr>
            <w:noProof/>
            <w:webHidden/>
          </w:rPr>
          <w:fldChar w:fldCharType="end"/>
        </w:r>
      </w:hyperlink>
    </w:p>
    <w:p w14:paraId="75A91232" w14:textId="41865E1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89" w:history="1">
        <w:r w:rsidRPr="009B0BD6">
          <w:rPr>
            <w:rStyle w:val="Hyperlink"/>
            <w:noProof/>
            <w:lang w:bidi="hi-IN"/>
          </w:rPr>
          <w:t>Table 5</w:t>
        </w:r>
        <w:r w:rsidRPr="009B0BD6">
          <w:rPr>
            <w:rStyle w:val="Hyperlink"/>
            <w:noProof/>
            <w:lang w:bidi="hi-IN"/>
          </w:rPr>
          <w:noBreakHyphen/>
          <w:t>4 SUMMARY OF MAIN CASE STUDY ASSUMPTIONS FROM THE FARM</w:t>
        </w:r>
        <w:r>
          <w:rPr>
            <w:noProof/>
            <w:webHidden/>
          </w:rPr>
          <w:tab/>
        </w:r>
        <w:r>
          <w:rPr>
            <w:noProof/>
            <w:webHidden/>
          </w:rPr>
          <w:fldChar w:fldCharType="begin"/>
        </w:r>
        <w:r>
          <w:rPr>
            <w:noProof/>
            <w:webHidden/>
          </w:rPr>
          <w:instrText xml:space="preserve"> PAGEREF _Toc228701089 \h </w:instrText>
        </w:r>
        <w:r>
          <w:rPr>
            <w:noProof/>
            <w:webHidden/>
          </w:rPr>
        </w:r>
        <w:r>
          <w:rPr>
            <w:noProof/>
            <w:webHidden/>
          </w:rPr>
          <w:fldChar w:fldCharType="separate"/>
        </w:r>
        <w:r>
          <w:rPr>
            <w:noProof/>
            <w:webHidden/>
          </w:rPr>
          <w:t>80</w:t>
        </w:r>
        <w:r>
          <w:rPr>
            <w:noProof/>
            <w:webHidden/>
          </w:rPr>
          <w:fldChar w:fldCharType="end"/>
        </w:r>
      </w:hyperlink>
    </w:p>
    <w:p w14:paraId="722BF3D5" w14:textId="7EB55DE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0" w:history="1">
        <w:r w:rsidRPr="009B0BD6">
          <w:rPr>
            <w:rStyle w:val="Hyperlink"/>
            <w:noProof/>
            <w:lang w:bidi="hi-IN"/>
          </w:rPr>
          <w:t>Table 5</w:t>
        </w:r>
        <w:r w:rsidRPr="009B0BD6">
          <w:rPr>
            <w:rStyle w:val="Hyperlink"/>
            <w:noProof/>
            <w:lang w:bidi="hi-IN"/>
          </w:rPr>
          <w:noBreakHyphen/>
          <w:t>5 Carbon results of 1 kg of sundried cocoa at the port in kg CO</w:t>
        </w:r>
        <w:r w:rsidRPr="009B0BD6">
          <w:rPr>
            <w:rStyle w:val="Hyperlink"/>
            <w:rFonts w:ascii="Cambria Math" w:hAnsi="Cambria Math" w:cs="Cambria Math"/>
            <w:noProof/>
            <w:lang w:bidi="hi-IN"/>
          </w:rPr>
          <w:t>₂</w:t>
        </w:r>
        <w:r w:rsidRPr="009B0BD6">
          <w:rPr>
            <w:rStyle w:val="Hyperlink"/>
            <w:noProof/>
            <w:lang w:bidi="hi-IN"/>
          </w:rPr>
          <w:t>e/kg dry beans</w:t>
        </w:r>
        <w:r>
          <w:rPr>
            <w:noProof/>
            <w:webHidden/>
          </w:rPr>
          <w:tab/>
        </w:r>
        <w:r>
          <w:rPr>
            <w:noProof/>
            <w:webHidden/>
          </w:rPr>
          <w:fldChar w:fldCharType="begin"/>
        </w:r>
        <w:r>
          <w:rPr>
            <w:noProof/>
            <w:webHidden/>
          </w:rPr>
          <w:instrText xml:space="preserve"> PAGEREF _Toc228701090 \h </w:instrText>
        </w:r>
        <w:r>
          <w:rPr>
            <w:noProof/>
            <w:webHidden/>
          </w:rPr>
        </w:r>
        <w:r>
          <w:rPr>
            <w:noProof/>
            <w:webHidden/>
          </w:rPr>
          <w:fldChar w:fldCharType="separate"/>
        </w:r>
        <w:r>
          <w:rPr>
            <w:noProof/>
            <w:webHidden/>
          </w:rPr>
          <w:t>81</w:t>
        </w:r>
        <w:r>
          <w:rPr>
            <w:noProof/>
            <w:webHidden/>
          </w:rPr>
          <w:fldChar w:fldCharType="end"/>
        </w:r>
      </w:hyperlink>
    </w:p>
    <w:p w14:paraId="1B363355" w14:textId="3486F41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1" w:history="1">
        <w:r w:rsidRPr="009B0BD6">
          <w:rPr>
            <w:rStyle w:val="Hyperlink"/>
            <w:noProof/>
            <w:lang w:bidi="hi-IN"/>
          </w:rPr>
          <w:t>Table 5</w:t>
        </w:r>
        <w:r w:rsidRPr="009B0BD6">
          <w:rPr>
            <w:rStyle w:val="Hyperlink"/>
            <w:noProof/>
            <w:lang w:bidi="hi-IN"/>
          </w:rPr>
          <w:noBreakHyphen/>
          <w:t>6 HEALTH, ECOSYSTEM AND RESOURCE USE IMPACTS PER DRY COCOA KG AT PORT AS CALCULATED USING RECIPE 2016 ENDPOINT € V1.11 / WORLD (2010) E/A</w:t>
        </w:r>
        <w:r>
          <w:rPr>
            <w:noProof/>
            <w:webHidden/>
          </w:rPr>
          <w:tab/>
        </w:r>
        <w:r>
          <w:rPr>
            <w:noProof/>
            <w:webHidden/>
          </w:rPr>
          <w:fldChar w:fldCharType="begin"/>
        </w:r>
        <w:r>
          <w:rPr>
            <w:noProof/>
            <w:webHidden/>
          </w:rPr>
          <w:instrText xml:space="preserve"> PAGEREF _Toc228701091 \h </w:instrText>
        </w:r>
        <w:r>
          <w:rPr>
            <w:noProof/>
            <w:webHidden/>
          </w:rPr>
        </w:r>
        <w:r>
          <w:rPr>
            <w:noProof/>
            <w:webHidden/>
          </w:rPr>
          <w:fldChar w:fldCharType="separate"/>
        </w:r>
        <w:r>
          <w:rPr>
            <w:noProof/>
            <w:webHidden/>
          </w:rPr>
          <w:t>82</w:t>
        </w:r>
        <w:r>
          <w:rPr>
            <w:noProof/>
            <w:webHidden/>
          </w:rPr>
          <w:fldChar w:fldCharType="end"/>
        </w:r>
      </w:hyperlink>
    </w:p>
    <w:p w14:paraId="095C0E96" w14:textId="24B7EF1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2" w:history="1">
        <w:r w:rsidRPr="009B0BD6">
          <w:rPr>
            <w:rStyle w:val="Hyperlink"/>
            <w:noProof/>
            <w:lang w:bidi="hi-IN"/>
          </w:rPr>
          <w:t>Table 5</w:t>
        </w:r>
        <w:r w:rsidRPr="009B0BD6">
          <w:rPr>
            <w:rStyle w:val="Hyperlink"/>
            <w:noProof/>
            <w:lang w:bidi="hi-IN"/>
          </w:rPr>
          <w:noBreakHyphen/>
          <w:t>7 RELATIVE CONTRIBUTION OF CULTIVATION AND TRANSPORT FOR HEALTH AND ECOSYSTEM IMPACT</w:t>
        </w:r>
        <w:r>
          <w:rPr>
            <w:noProof/>
            <w:webHidden/>
          </w:rPr>
          <w:tab/>
        </w:r>
        <w:r>
          <w:rPr>
            <w:noProof/>
            <w:webHidden/>
          </w:rPr>
          <w:fldChar w:fldCharType="begin"/>
        </w:r>
        <w:r>
          <w:rPr>
            <w:noProof/>
            <w:webHidden/>
          </w:rPr>
          <w:instrText xml:space="preserve"> PAGEREF _Toc228701092 \h </w:instrText>
        </w:r>
        <w:r>
          <w:rPr>
            <w:noProof/>
            <w:webHidden/>
          </w:rPr>
        </w:r>
        <w:r>
          <w:rPr>
            <w:noProof/>
            <w:webHidden/>
          </w:rPr>
          <w:fldChar w:fldCharType="separate"/>
        </w:r>
        <w:r>
          <w:rPr>
            <w:noProof/>
            <w:webHidden/>
          </w:rPr>
          <w:t>83</w:t>
        </w:r>
        <w:r>
          <w:rPr>
            <w:noProof/>
            <w:webHidden/>
          </w:rPr>
          <w:fldChar w:fldCharType="end"/>
        </w:r>
      </w:hyperlink>
    </w:p>
    <w:p w14:paraId="2BA847A4" w14:textId="2759DAA3"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3" w:history="1">
        <w:r w:rsidRPr="009B0BD6">
          <w:rPr>
            <w:rStyle w:val="Hyperlink"/>
            <w:noProof/>
            <w:lang w:bidi="hi-IN"/>
          </w:rPr>
          <w:t>Table 5</w:t>
        </w:r>
        <w:r w:rsidRPr="009B0BD6">
          <w:rPr>
            <w:rStyle w:val="Hyperlink"/>
            <w:noProof/>
            <w:lang w:bidi="hi-IN"/>
          </w:rPr>
          <w:noBreakHyphen/>
          <w:t>8 CLIMATE CHANGE IMPACT SCORE MEASURES IN KG CO</w:t>
        </w:r>
        <w:r w:rsidRPr="009B0BD6">
          <w:rPr>
            <w:rStyle w:val="Hyperlink"/>
            <w:rFonts w:ascii="Cambria Math" w:hAnsi="Cambria Math" w:cs="Cambria Math"/>
            <w:noProof/>
            <w:lang w:bidi="hi-IN"/>
          </w:rPr>
          <w:t>₂</w:t>
        </w:r>
        <w:r w:rsidRPr="009B0BD6">
          <w:rPr>
            <w:rStyle w:val="Hyperlink"/>
            <w:noProof/>
            <w:lang w:bidi="hi-IN"/>
          </w:rPr>
          <w:t>E PER KG DRY BEANS AT THE PORT</w:t>
        </w:r>
        <w:r>
          <w:rPr>
            <w:noProof/>
            <w:webHidden/>
          </w:rPr>
          <w:tab/>
        </w:r>
        <w:r>
          <w:rPr>
            <w:noProof/>
            <w:webHidden/>
          </w:rPr>
          <w:fldChar w:fldCharType="begin"/>
        </w:r>
        <w:r>
          <w:rPr>
            <w:noProof/>
            <w:webHidden/>
          </w:rPr>
          <w:instrText xml:space="preserve"> PAGEREF _Toc228701093 \h </w:instrText>
        </w:r>
        <w:r>
          <w:rPr>
            <w:noProof/>
            <w:webHidden/>
          </w:rPr>
        </w:r>
        <w:r>
          <w:rPr>
            <w:noProof/>
            <w:webHidden/>
          </w:rPr>
          <w:fldChar w:fldCharType="separate"/>
        </w:r>
        <w:r>
          <w:rPr>
            <w:noProof/>
            <w:webHidden/>
          </w:rPr>
          <w:t>84</w:t>
        </w:r>
        <w:r>
          <w:rPr>
            <w:noProof/>
            <w:webHidden/>
          </w:rPr>
          <w:fldChar w:fldCharType="end"/>
        </w:r>
      </w:hyperlink>
    </w:p>
    <w:p w14:paraId="71D12C6D" w14:textId="61B03F1C"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4" w:history="1">
        <w:r w:rsidRPr="009B0BD6">
          <w:rPr>
            <w:rStyle w:val="Hyperlink"/>
            <w:noProof/>
            <w:lang w:bidi="hi-IN"/>
          </w:rPr>
          <w:t>Table 5</w:t>
        </w:r>
        <w:r w:rsidRPr="009B0BD6">
          <w:rPr>
            <w:rStyle w:val="Hyperlink"/>
            <w:noProof/>
            <w:lang w:bidi="hi-IN"/>
          </w:rPr>
          <w:noBreakHyphen/>
          <w:t>9  Alternative Climate Change Impact score for high drying scenario</w:t>
        </w:r>
        <w:r>
          <w:rPr>
            <w:noProof/>
            <w:webHidden/>
          </w:rPr>
          <w:tab/>
        </w:r>
        <w:r>
          <w:rPr>
            <w:noProof/>
            <w:webHidden/>
          </w:rPr>
          <w:fldChar w:fldCharType="begin"/>
        </w:r>
        <w:r>
          <w:rPr>
            <w:noProof/>
            <w:webHidden/>
          </w:rPr>
          <w:instrText xml:space="preserve"> PAGEREF _Toc228701094 \h </w:instrText>
        </w:r>
        <w:r>
          <w:rPr>
            <w:noProof/>
            <w:webHidden/>
          </w:rPr>
        </w:r>
        <w:r>
          <w:rPr>
            <w:noProof/>
            <w:webHidden/>
          </w:rPr>
          <w:fldChar w:fldCharType="separate"/>
        </w:r>
        <w:r>
          <w:rPr>
            <w:noProof/>
            <w:webHidden/>
          </w:rPr>
          <w:t>85</w:t>
        </w:r>
        <w:r>
          <w:rPr>
            <w:noProof/>
            <w:webHidden/>
          </w:rPr>
          <w:fldChar w:fldCharType="end"/>
        </w:r>
      </w:hyperlink>
    </w:p>
    <w:p w14:paraId="00A2473D" w14:textId="4D8319E3"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5" w:history="1">
        <w:r w:rsidRPr="009B0BD6">
          <w:rPr>
            <w:rStyle w:val="Hyperlink"/>
            <w:noProof/>
            <w:lang w:bidi="hi-IN"/>
          </w:rPr>
          <w:t>Table 5</w:t>
        </w:r>
        <w:r w:rsidRPr="009B0BD6">
          <w:rPr>
            <w:rStyle w:val="Hyperlink"/>
            <w:noProof/>
            <w:lang w:bidi="hi-IN"/>
          </w:rPr>
          <w:noBreakHyphen/>
          <w:t>10: Summary relative scores per dry kg, i) per value chain, ii) per value chain stage and iii)  including comparison against sun dried beans based on different calculation boundaries</w:t>
        </w:r>
        <w:r>
          <w:rPr>
            <w:noProof/>
            <w:webHidden/>
          </w:rPr>
          <w:tab/>
        </w:r>
        <w:r>
          <w:rPr>
            <w:noProof/>
            <w:webHidden/>
          </w:rPr>
          <w:fldChar w:fldCharType="begin"/>
        </w:r>
        <w:r>
          <w:rPr>
            <w:noProof/>
            <w:webHidden/>
          </w:rPr>
          <w:instrText xml:space="preserve"> PAGEREF _Toc228701095 \h </w:instrText>
        </w:r>
        <w:r>
          <w:rPr>
            <w:noProof/>
            <w:webHidden/>
          </w:rPr>
        </w:r>
        <w:r>
          <w:rPr>
            <w:noProof/>
            <w:webHidden/>
          </w:rPr>
          <w:fldChar w:fldCharType="separate"/>
        </w:r>
        <w:r>
          <w:rPr>
            <w:noProof/>
            <w:webHidden/>
          </w:rPr>
          <w:t>86</w:t>
        </w:r>
        <w:r>
          <w:rPr>
            <w:noProof/>
            <w:webHidden/>
          </w:rPr>
          <w:fldChar w:fldCharType="end"/>
        </w:r>
      </w:hyperlink>
    </w:p>
    <w:p w14:paraId="6C93A987" w14:textId="3D769D80"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6" w:history="1">
        <w:r w:rsidRPr="009B0BD6">
          <w:rPr>
            <w:rStyle w:val="Hyperlink"/>
            <w:noProof/>
            <w:lang w:bidi="hi-IN"/>
          </w:rPr>
          <w:t>Table 6</w:t>
        </w:r>
        <w:r w:rsidRPr="009B0BD6">
          <w:rPr>
            <w:rStyle w:val="Hyperlink"/>
            <w:noProof/>
            <w:lang w:bidi="hi-IN"/>
          </w:rPr>
          <w:noBreakHyphen/>
          <w:t>1 PRESENTATION OF KEY RISKS</w:t>
        </w:r>
        <w:r>
          <w:rPr>
            <w:noProof/>
            <w:webHidden/>
          </w:rPr>
          <w:tab/>
        </w:r>
        <w:r>
          <w:rPr>
            <w:noProof/>
            <w:webHidden/>
          </w:rPr>
          <w:fldChar w:fldCharType="begin"/>
        </w:r>
        <w:r>
          <w:rPr>
            <w:noProof/>
            <w:webHidden/>
          </w:rPr>
          <w:instrText xml:space="preserve"> PAGEREF _Toc228701096 \h </w:instrText>
        </w:r>
        <w:r>
          <w:rPr>
            <w:noProof/>
            <w:webHidden/>
          </w:rPr>
        </w:r>
        <w:r>
          <w:rPr>
            <w:noProof/>
            <w:webHidden/>
          </w:rPr>
          <w:fldChar w:fldCharType="separate"/>
        </w:r>
        <w:r>
          <w:rPr>
            <w:noProof/>
            <w:webHidden/>
          </w:rPr>
          <w:t>95</w:t>
        </w:r>
        <w:r>
          <w:rPr>
            <w:noProof/>
            <w:webHidden/>
          </w:rPr>
          <w:fldChar w:fldCharType="end"/>
        </w:r>
      </w:hyperlink>
    </w:p>
    <w:p w14:paraId="62C62165" w14:textId="77DB8CFD" w:rsidR="00C357DA" w:rsidRDefault="00F652E4" w:rsidP="00C357DA">
      <w:pPr>
        <w:rPr>
          <w:bCs/>
          <w:lang w:val="en-GB"/>
        </w:rPr>
      </w:pPr>
      <w:r>
        <w:rPr>
          <w:bCs/>
          <w:lang w:val="en-GB"/>
        </w:rPr>
        <w:fldChar w:fldCharType="end"/>
      </w:r>
    </w:p>
    <w:p w14:paraId="65FBFB1A" w14:textId="77777777" w:rsidR="00C357DA" w:rsidRDefault="00C357DA" w:rsidP="00C357DA">
      <w:pPr>
        <w:rPr>
          <w:bCs/>
          <w:lang w:val="en-GB"/>
        </w:rPr>
      </w:pPr>
    </w:p>
    <w:p w14:paraId="0EDD055E" w14:textId="74B102D1" w:rsidR="00C357DA" w:rsidRDefault="00B70172" w:rsidP="00C357DA">
      <w:pPr>
        <w:rPr>
          <w:b/>
          <w:color w:val="4472C4" w:themeColor="accent1"/>
          <w:sz w:val="24"/>
          <w:szCs w:val="24"/>
          <w:lang w:bidi="hi-IN"/>
        </w:rPr>
      </w:pPr>
      <w:r>
        <w:rPr>
          <w:b/>
          <w:color w:val="4472C4" w:themeColor="accent1"/>
          <w:sz w:val="24"/>
          <w:szCs w:val="24"/>
          <w:lang w:bidi="hi-IN"/>
        </w:rPr>
        <w:t>List</w:t>
      </w:r>
      <w:r w:rsidR="005619EA">
        <w:rPr>
          <w:b/>
          <w:color w:val="4472C4" w:themeColor="accent1"/>
          <w:sz w:val="24"/>
          <w:szCs w:val="24"/>
          <w:lang w:bidi="hi-IN"/>
        </w:rPr>
        <w:t xml:space="preserve"> of Figures</w:t>
      </w:r>
      <w:r w:rsidR="00133779">
        <w:rPr>
          <w:b/>
          <w:color w:val="4472C4" w:themeColor="accent1"/>
          <w:sz w:val="24"/>
          <w:szCs w:val="24"/>
          <w:lang w:bidi="hi-IN"/>
        </w:rPr>
        <w:t xml:space="preserve"> </w:t>
      </w:r>
    </w:p>
    <w:p w14:paraId="5023905C" w14:textId="77777777" w:rsidR="00C357DA" w:rsidRPr="00C50698" w:rsidRDefault="00C357DA" w:rsidP="00C357DA">
      <w:pPr>
        <w:rPr>
          <w:b/>
          <w:color w:val="4472C4" w:themeColor="accent1"/>
          <w:sz w:val="24"/>
          <w:szCs w:val="24"/>
          <w:lang w:bidi="hi-IN"/>
        </w:rPr>
      </w:pPr>
    </w:p>
    <w:p w14:paraId="2F3B3B03" w14:textId="51ED3A17" w:rsidR="00652843" w:rsidRDefault="00F652E4">
      <w:pPr>
        <w:pStyle w:val="TableofFigures"/>
        <w:tabs>
          <w:tab w:val="right" w:leader="dot" w:pos="9350"/>
        </w:tabs>
        <w:rPr>
          <w:rFonts w:asciiTheme="minorHAnsi" w:eastAsiaTheme="minorEastAsia" w:hAnsiTheme="minorHAnsi"/>
          <w:noProof/>
          <w:kern w:val="2"/>
          <w:sz w:val="24"/>
          <w:szCs w:val="24"/>
          <w:lang w:eastAsia="en-GB"/>
          <w14:ligatures w14:val="standardContextual"/>
        </w:rPr>
      </w:pPr>
      <w:r>
        <w:fldChar w:fldCharType="begin"/>
      </w:r>
      <w:r>
        <w:instrText xml:space="preserve"> TOC \h \z \c "Figure" </w:instrText>
      </w:r>
      <w:r>
        <w:fldChar w:fldCharType="separate"/>
      </w:r>
      <w:hyperlink w:anchor="_Toc228701097" w:history="1">
        <w:r w:rsidR="00652843" w:rsidRPr="005D30EB">
          <w:rPr>
            <w:rStyle w:val="Hyperlink"/>
            <w:iCs/>
            <w:noProof/>
            <w:lang w:bidi="hi-IN"/>
          </w:rPr>
          <w:t>Figure 1.1 Sierra Leone cocoa production (tonnes) and cultivated area (hectares) from 2000 to 2023</w:t>
        </w:r>
        <w:r w:rsidR="00652843">
          <w:rPr>
            <w:noProof/>
            <w:webHidden/>
          </w:rPr>
          <w:tab/>
        </w:r>
        <w:r w:rsidR="00652843">
          <w:rPr>
            <w:noProof/>
            <w:webHidden/>
          </w:rPr>
          <w:fldChar w:fldCharType="begin"/>
        </w:r>
        <w:r w:rsidR="00652843">
          <w:rPr>
            <w:noProof/>
            <w:webHidden/>
          </w:rPr>
          <w:instrText xml:space="preserve"> PAGEREF _Toc228701097 \h </w:instrText>
        </w:r>
        <w:r w:rsidR="00652843">
          <w:rPr>
            <w:noProof/>
            <w:webHidden/>
          </w:rPr>
        </w:r>
        <w:r w:rsidR="00652843">
          <w:rPr>
            <w:noProof/>
            <w:webHidden/>
          </w:rPr>
          <w:fldChar w:fldCharType="separate"/>
        </w:r>
        <w:r w:rsidR="00652843">
          <w:rPr>
            <w:noProof/>
            <w:webHidden/>
          </w:rPr>
          <w:t>15</w:t>
        </w:r>
        <w:r w:rsidR="00652843">
          <w:rPr>
            <w:noProof/>
            <w:webHidden/>
          </w:rPr>
          <w:fldChar w:fldCharType="end"/>
        </w:r>
      </w:hyperlink>
    </w:p>
    <w:p w14:paraId="0E53BB42" w14:textId="17094519"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8" w:history="1">
        <w:r w:rsidRPr="005D30EB">
          <w:rPr>
            <w:rStyle w:val="Hyperlink"/>
            <w:noProof/>
            <w:lang w:bidi="hi-IN"/>
          </w:rPr>
          <w:t>Figure 1.2 COMPARISON OF PRODUCTION AND EXPORT QUANTITY INDICES</w:t>
        </w:r>
        <w:r>
          <w:rPr>
            <w:noProof/>
            <w:webHidden/>
          </w:rPr>
          <w:tab/>
        </w:r>
        <w:r>
          <w:rPr>
            <w:noProof/>
            <w:webHidden/>
          </w:rPr>
          <w:fldChar w:fldCharType="begin"/>
        </w:r>
        <w:r>
          <w:rPr>
            <w:noProof/>
            <w:webHidden/>
          </w:rPr>
          <w:instrText xml:space="preserve"> PAGEREF _Toc228701098 \h </w:instrText>
        </w:r>
        <w:r>
          <w:rPr>
            <w:noProof/>
            <w:webHidden/>
          </w:rPr>
        </w:r>
        <w:r>
          <w:rPr>
            <w:noProof/>
            <w:webHidden/>
          </w:rPr>
          <w:fldChar w:fldCharType="separate"/>
        </w:r>
        <w:r>
          <w:rPr>
            <w:noProof/>
            <w:webHidden/>
          </w:rPr>
          <w:t>16</w:t>
        </w:r>
        <w:r>
          <w:rPr>
            <w:noProof/>
            <w:webHidden/>
          </w:rPr>
          <w:fldChar w:fldCharType="end"/>
        </w:r>
      </w:hyperlink>
    </w:p>
    <w:p w14:paraId="3D438C4C" w14:textId="4E112AA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099" w:history="1">
        <w:r w:rsidRPr="005D30EB">
          <w:rPr>
            <w:rStyle w:val="Hyperlink"/>
            <w:noProof/>
            <w:lang w:bidi="hi-IN"/>
          </w:rPr>
          <w:t>Figure 1.3 COMPARATIVE EVOLUTION OF COCOA YIELDS, 2000–2023</w:t>
        </w:r>
        <w:r>
          <w:rPr>
            <w:noProof/>
            <w:webHidden/>
          </w:rPr>
          <w:tab/>
        </w:r>
        <w:r>
          <w:rPr>
            <w:noProof/>
            <w:webHidden/>
          </w:rPr>
          <w:fldChar w:fldCharType="begin"/>
        </w:r>
        <w:r>
          <w:rPr>
            <w:noProof/>
            <w:webHidden/>
          </w:rPr>
          <w:instrText xml:space="preserve"> PAGEREF _Toc228701099 \h </w:instrText>
        </w:r>
        <w:r>
          <w:rPr>
            <w:noProof/>
            <w:webHidden/>
          </w:rPr>
        </w:r>
        <w:r>
          <w:rPr>
            <w:noProof/>
            <w:webHidden/>
          </w:rPr>
          <w:fldChar w:fldCharType="separate"/>
        </w:r>
        <w:r>
          <w:rPr>
            <w:noProof/>
            <w:webHidden/>
          </w:rPr>
          <w:t>17</w:t>
        </w:r>
        <w:r>
          <w:rPr>
            <w:noProof/>
            <w:webHidden/>
          </w:rPr>
          <w:fldChar w:fldCharType="end"/>
        </w:r>
      </w:hyperlink>
    </w:p>
    <w:p w14:paraId="636A17B9" w14:textId="618B0A55"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0" w:history="1">
        <w:r w:rsidRPr="005D30EB">
          <w:rPr>
            <w:rStyle w:val="Hyperlink"/>
            <w:noProof/>
            <w:lang w:bidi="hi-IN"/>
          </w:rPr>
          <w:t>Figure 1.4 MAJOR COCOA-PRODUCING DISTRICTS IN SIERRA LEONE</w:t>
        </w:r>
        <w:r>
          <w:rPr>
            <w:noProof/>
            <w:webHidden/>
          </w:rPr>
          <w:tab/>
        </w:r>
        <w:r>
          <w:rPr>
            <w:noProof/>
            <w:webHidden/>
          </w:rPr>
          <w:fldChar w:fldCharType="begin"/>
        </w:r>
        <w:r>
          <w:rPr>
            <w:noProof/>
            <w:webHidden/>
          </w:rPr>
          <w:instrText xml:space="preserve"> PAGEREF _Toc228701100 \h </w:instrText>
        </w:r>
        <w:r>
          <w:rPr>
            <w:noProof/>
            <w:webHidden/>
          </w:rPr>
        </w:r>
        <w:r>
          <w:rPr>
            <w:noProof/>
            <w:webHidden/>
          </w:rPr>
          <w:fldChar w:fldCharType="separate"/>
        </w:r>
        <w:r>
          <w:rPr>
            <w:noProof/>
            <w:webHidden/>
          </w:rPr>
          <w:t>19</w:t>
        </w:r>
        <w:r>
          <w:rPr>
            <w:noProof/>
            <w:webHidden/>
          </w:rPr>
          <w:fldChar w:fldCharType="end"/>
        </w:r>
      </w:hyperlink>
    </w:p>
    <w:p w14:paraId="781D056C" w14:textId="74B1A094"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1" w:history="1">
        <w:r w:rsidRPr="005D30EB">
          <w:rPr>
            <w:rStyle w:val="Hyperlink"/>
            <w:noProof/>
            <w:lang w:bidi="hi-IN"/>
          </w:rPr>
          <w:t>Figure 1.5 Integrated economic and environmental typology</w:t>
        </w:r>
        <w:r>
          <w:rPr>
            <w:noProof/>
            <w:webHidden/>
          </w:rPr>
          <w:tab/>
        </w:r>
        <w:r>
          <w:rPr>
            <w:noProof/>
            <w:webHidden/>
          </w:rPr>
          <w:fldChar w:fldCharType="begin"/>
        </w:r>
        <w:r>
          <w:rPr>
            <w:noProof/>
            <w:webHidden/>
          </w:rPr>
          <w:instrText xml:space="preserve"> PAGEREF _Toc228701101 \h </w:instrText>
        </w:r>
        <w:r>
          <w:rPr>
            <w:noProof/>
            <w:webHidden/>
          </w:rPr>
        </w:r>
        <w:r>
          <w:rPr>
            <w:noProof/>
            <w:webHidden/>
          </w:rPr>
          <w:fldChar w:fldCharType="separate"/>
        </w:r>
        <w:r>
          <w:rPr>
            <w:noProof/>
            <w:webHidden/>
          </w:rPr>
          <w:t>20</w:t>
        </w:r>
        <w:r>
          <w:rPr>
            <w:noProof/>
            <w:webHidden/>
          </w:rPr>
          <w:fldChar w:fldCharType="end"/>
        </w:r>
      </w:hyperlink>
    </w:p>
    <w:p w14:paraId="0C65EBAF" w14:textId="5101C311"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2" w:history="1">
        <w:r w:rsidRPr="005D30EB">
          <w:rPr>
            <w:rStyle w:val="Hyperlink"/>
            <w:noProof/>
            <w:lang w:val="it-IT" w:bidi="hi-IN"/>
          </w:rPr>
          <w:t>Figure 1.6 SIERRA LEONE COCOA PRICE TREND ($ PER TONNE), 2023–2025</w:t>
        </w:r>
        <w:r>
          <w:rPr>
            <w:noProof/>
            <w:webHidden/>
          </w:rPr>
          <w:tab/>
        </w:r>
        <w:r>
          <w:rPr>
            <w:noProof/>
            <w:webHidden/>
          </w:rPr>
          <w:fldChar w:fldCharType="begin"/>
        </w:r>
        <w:r>
          <w:rPr>
            <w:noProof/>
            <w:webHidden/>
          </w:rPr>
          <w:instrText xml:space="preserve"> PAGEREF _Toc228701102 \h </w:instrText>
        </w:r>
        <w:r>
          <w:rPr>
            <w:noProof/>
            <w:webHidden/>
          </w:rPr>
        </w:r>
        <w:r>
          <w:rPr>
            <w:noProof/>
            <w:webHidden/>
          </w:rPr>
          <w:fldChar w:fldCharType="separate"/>
        </w:r>
        <w:r>
          <w:rPr>
            <w:noProof/>
            <w:webHidden/>
          </w:rPr>
          <w:t>23</w:t>
        </w:r>
        <w:r>
          <w:rPr>
            <w:noProof/>
            <w:webHidden/>
          </w:rPr>
          <w:fldChar w:fldCharType="end"/>
        </w:r>
      </w:hyperlink>
    </w:p>
    <w:p w14:paraId="3D0F5E55" w14:textId="1D0E7508"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3" w:history="1">
        <w:r w:rsidRPr="005D30EB">
          <w:rPr>
            <w:rStyle w:val="Hyperlink"/>
            <w:noProof/>
            <w:lang w:bidi="hi-IN"/>
          </w:rPr>
          <w:t>Figure 1.7 GLOBAL PRICE: COCOA FUTURES PRICES, IN USD PER TONNE</w:t>
        </w:r>
        <w:r>
          <w:rPr>
            <w:noProof/>
            <w:webHidden/>
          </w:rPr>
          <w:tab/>
        </w:r>
        <w:r>
          <w:rPr>
            <w:noProof/>
            <w:webHidden/>
          </w:rPr>
          <w:fldChar w:fldCharType="begin"/>
        </w:r>
        <w:r>
          <w:rPr>
            <w:noProof/>
            <w:webHidden/>
          </w:rPr>
          <w:instrText xml:space="preserve"> PAGEREF _Toc228701103 \h </w:instrText>
        </w:r>
        <w:r>
          <w:rPr>
            <w:noProof/>
            <w:webHidden/>
          </w:rPr>
        </w:r>
        <w:r>
          <w:rPr>
            <w:noProof/>
            <w:webHidden/>
          </w:rPr>
          <w:fldChar w:fldCharType="separate"/>
        </w:r>
        <w:r>
          <w:rPr>
            <w:noProof/>
            <w:webHidden/>
          </w:rPr>
          <w:t>24</w:t>
        </w:r>
        <w:r>
          <w:rPr>
            <w:noProof/>
            <w:webHidden/>
          </w:rPr>
          <w:fldChar w:fldCharType="end"/>
        </w:r>
      </w:hyperlink>
    </w:p>
    <w:p w14:paraId="11A2C0D8" w14:textId="4B485B4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4" w:history="1">
        <w:r w:rsidRPr="005D30EB">
          <w:rPr>
            <w:rStyle w:val="Hyperlink"/>
            <w:noProof/>
            <w:lang w:bidi="hi-IN"/>
          </w:rPr>
          <w:t>Figure 1.8 VALUE CHAIN FUNCTIONAL MAPPING (REFERENCE YEAR 2025)</w:t>
        </w:r>
        <w:r>
          <w:rPr>
            <w:noProof/>
            <w:webHidden/>
          </w:rPr>
          <w:tab/>
        </w:r>
        <w:r>
          <w:rPr>
            <w:noProof/>
            <w:webHidden/>
          </w:rPr>
          <w:fldChar w:fldCharType="begin"/>
        </w:r>
        <w:r>
          <w:rPr>
            <w:noProof/>
            <w:webHidden/>
          </w:rPr>
          <w:instrText xml:space="preserve"> PAGEREF _Toc228701104 \h </w:instrText>
        </w:r>
        <w:r>
          <w:rPr>
            <w:noProof/>
            <w:webHidden/>
          </w:rPr>
        </w:r>
        <w:r>
          <w:rPr>
            <w:noProof/>
            <w:webHidden/>
          </w:rPr>
          <w:fldChar w:fldCharType="separate"/>
        </w:r>
        <w:r>
          <w:rPr>
            <w:noProof/>
            <w:webHidden/>
          </w:rPr>
          <w:t>27</w:t>
        </w:r>
        <w:r>
          <w:rPr>
            <w:noProof/>
            <w:webHidden/>
          </w:rPr>
          <w:fldChar w:fldCharType="end"/>
        </w:r>
      </w:hyperlink>
    </w:p>
    <w:p w14:paraId="2BCCC967" w14:textId="40108D5D"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5" w:history="1">
        <w:r w:rsidRPr="005D30EB">
          <w:rPr>
            <w:rStyle w:val="Hyperlink"/>
            <w:noProof/>
            <w:lang w:bidi="hi-IN"/>
          </w:rPr>
          <w:t>Figure 2.1 RETURN ON TURNOVER BY INDIVIDUAL ACTOR</w:t>
        </w:r>
        <w:r>
          <w:rPr>
            <w:noProof/>
            <w:webHidden/>
          </w:rPr>
          <w:tab/>
        </w:r>
        <w:r>
          <w:rPr>
            <w:noProof/>
            <w:webHidden/>
          </w:rPr>
          <w:fldChar w:fldCharType="begin"/>
        </w:r>
        <w:r>
          <w:rPr>
            <w:noProof/>
            <w:webHidden/>
          </w:rPr>
          <w:instrText xml:space="preserve"> PAGEREF _Toc228701105 \h </w:instrText>
        </w:r>
        <w:r>
          <w:rPr>
            <w:noProof/>
            <w:webHidden/>
          </w:rPr>
        </w:r>
        <w:r>
          <w:rPr>
            <w:noProof/>
            <w:webHidden/>
          </w:rPr>
          <w:fldChar w:fldCharType="separate"/>
        </w:r>
        <w:r>
          <w:rPr>
            <w:noProof/>
            <w:webHidden/>
          </w:rPr>
          <w:t>33</w:t>
        </w:r>
        <w:r>
          <w:rPr>
            <w:noProof/>
            <w:webHidden/>
          </w:rPr>
          <w:fldChar w:fldCharType="end"/>
        </w:r>
      </w:hyperlink>
    </w:p>
    <w:p w14:paraId="6A575154" w14:textId="24E4B04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6" w:history="1">
        <w:r w:rsidRPr="005D30EB">
          <w:rPr>
            <w:rStyle w:val="Hyperlink"/>
            <w:noProof/>
            <w:lang w:bidi="hi-IN"/>
          </w:rPr>
          <w:t>Figure 2.2 DISTRIBUTION OF DIRECT VALUE ADDED (%) AMONG ACTORS IN THE SIERRA LEONE COCOA VALUE CHAINS</w:t>
        </w:r>
        <w:r>
          <w:rPr>
            <w:noProof/>
            <w:webHidden/>
          </w:rPr>
          <w:tab/>
        </w:r>
        <w:r>
          <w:rPr>
            <w:noProof/>
            <w:webHidden/>
          </w:rPr>
          <w:fldChar w:fldCharType="begin"/>
        </w:r>
        <w:r>
          <w:rPr>
            <w:noProof/>
            <w:webHidden/>
          </w:rPr>
          <w:instrText xml:space="preserve"> PAGEREF _Toc228701106 \h </w:instrText>
        </w:r>
        <w:r>
          <w:rPr>
            <w:noProof/>
            <w:webHidden/>
          </w:rPr>
        </w:r>
        <w:r>
          <w:rPr>
            <w:noProof/>
            <w:webHidden/>
          </w:rPr>
          <w:fldChar w:fldCharType="separate"/>
        </w:r>
        <w:r>
          <w:rPr>
            <w:noProof/>
            <w:webHidden/>
          </w:rPr>
          <w:t>35</w:t>
        </w:r>
        <w:r>
          <w:rPr>
            <w:noProof/>
            <w:webHidden/>
          </w:rPr>
          <w:fldChar w:fldCharType="end"/>
        </w:r>
      </w:hyperlink>
    </w:p>
    <w:p w14:paraId="32D7E659" w14:textId="0530E84E"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7" w:history="1">
        <w:r w:rsidRPr="005D30EB">
          <w:rPr>
            <w:rStyle w:val="Hyperlink"/>
            <w:noProof/>
            <w:lang w:bidi="hi-IN"/>
          </w:rPr>
          <w:t>Figure 2.3 COST DISTRIBUTION SHARE IN TOTAL COST</w:t>
        </w:r>
        <w:r>
          <w:rPr>
            <w:noProof/>
            <w:webHidden/>
          </w:rPr>
          <w:tab/>
        </w:r>
        <w:r>
          <w:rPr>
            <w:noProof/>
            <w:webHidden/>
          </w:rPr>
          <w:fldChar w:fldCharType="begin"/>
        </w:r>
        <w:r>
          <w:rPr>
            <w:noProof/>
            <w:webHidden/>
          </w:rPr>
          <w:instrText xml:space="preserve"> PAGEREF _Toc228701107 \h </w:instrText>
        </w:r>
        <w:r>
          <w:rPr>
            <w:noProof/>
            <w:webHidden/>
          </w:rPr>
        </w:r>
        <w:r>
          <w:rPr>
            <w:noProof/>
            <w:webHidden/>
          </w:rPr>
          <w:fldChar w:fldCharType="separate"/>
        </w:r>
        <w:r>
          <w:rPr>
            <w:noProof/>
            <w:webHidden/>
          </w:rPr>
          <w:t>36</w:t>
        </w:r>
        <w:r>
          <w:rPr>
            <w:noProof/>
            <w:webHidden/>
          </w:rPr>
          <w:fldChar w:fldCharType="end"/>
        </w:r>
      </w:hyperlink>
    </w:p>
    <w:p w14:paraId="1FACAE37" w14:textId="58CF9794"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8" w:history="1">
        <w:r w:rsidRPr="005D30EB">
          <w:rPr>
            <w:rStyle w:val="Hyperlink"/>
            <w:noProof/>
            <w:lang w:bidi="hi-IN"/>
          </w:rPr>
          <w:t>Figure 3.1 DISTRIBUTION OF NET OPERATING PROFIT BY ACTOR IN THE COCOA VALUE CHAIN</w:t>
        </w:r>
        <w:r>
          <w:rPr>
            <w:noProof/>
            <w:webHidden/>
          </w:rPr>
          <w:tab/>
        </w:r>
        <w:r>
          <w:rPr>
            <w:noProof/>
            <w:webHidden/>
          </w:rPr>
          <w:fldChar w:fldCharType="begin"/>
        </w:r>
        <w:r>
          <w:rPr>
            <w:noProof/>
            <w:webHidden/>
          </w:rPr>
          <w:instrText xml:space="preserve"> PAGEREF _Toc228701108 \h </w:instrText>
        </w:r>
        <w:r>
          <w:rPr>
            <w:noProof/>
            <w:webHidden/>
          </w:rPr>
        </w:r>
        <w:r>
          <w:rPr>
            <w:noProof/>
            <w:webHidden/>
          </w:rPr>
          <w:fldChar w:fldCharType="separate"/>
        </w:r>
        <w:r>
          <w:rPr>
            <w:noProof/>
            <w:webHidden/>
          </w:rPr>
          <w:t>44</w:t>
        </w:r>
        <w:r>
          <w:rPr>
            <w:noProof/>
            <w:webHidden/>
          </w:rPr>
          <w:fldChar w:fldCharType="end"/>
        </w:r>
      </w:hyperlink>
    </w:p>
    <w:p w14:paraId="3EA42B34" w14:textId="51125DF6"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09" w:history="1">
        <w:r w:rsidRPr="005D30EB">
          <w:rPr>
            <w:rStyle w:val="Hyperlink"/>
            <w:noProof/>
            <w:lang w:bidi="hi-IN"/>
          </w:rPr>
          <w:t>Figure 3.2 DISTRIBUTION OF TOTAL WAGES PAID (%) BY EACH ACTOR CATEGORY</w:t>
        </w:r>
        <w:r>
          <w:rPr>
            <w:noProof/>
            <w:webHidden/>
          </w:rPr>
          <w:tab/>
        </w:r>
        <w:r>
          <w:rPr>
            <w:noProof/>
            <w:webHidden/>
          </w:rPr>
          <w:fldChar w:fldCharType="begin"/>
        </w:r>
        <w:r>
          <w:rPr>
            <w:noProof/>
            <w:webHidden/>
          </w:rPr>
          <w:instrText xml:space="preserve"> PAGEREF _Toc228701109 \h </w:instrText>
        </w:r>
        <w:r>
          <w:rPr>
            <w:noProof/>
            <w:webHidden/>
          </w:rPr>
        </w:r>
        <w:r>
          <w:rPr>
            <w:noProof/>
            <w:webHidden/>
          </w:rPr>
          <w:fldChar w:fldCharType="separate"/>
        </w:r>
        <w:r>
          <w:rPr>
            <w:noProof/>
            <w:webHidden/>
          </w:rPr>
          <w:t>44</w:t>
        </w:r>
        <w:r>
          <w:rPr>
            <w:noProof/>
            <w:webHidden/>
          </w:rPr>
          <w:fldChar w:fldCharType="end"/>
        </w:r>
      </w:hyperlink>
    </w:p>
    <w:p w14:paraId="3B1A3EB6" w14:textId="78452D3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0" w:history="1">
        <w:r w:rsidRPr="005D30EB">
          <w:rPr>
            <w:rStyle w:val="Hyperlink"/>
            <w:noProof/>
            <w:lang w:bidi="hi-IN"/>
          </w:rPr>
          <w:t>Figure 3.3 DISTRIBUTION OF FULL-TIME EQUIVALENT (FTE) LABOUR BY ACTOR AND GENDER</w:t>
        </w:r>
        <w:r>
          <w:rPr>
            <w:noProof/>
            <w:webHidden/>
          </w:rPr>
          <w:tab/>
        </w:r>
        <w:r>
          <w:rPr>
            <w:noProof/>
            <w:webHidden/>
          </w:rPr>
          <w:fldChar w:fldCharType="begin"/>
        </w:r>
        <w:r>
          <w:rPr>
            <w:noProof/>
            <w:webHidden/>
          </w:rPr>
          <w:instrText xml:space="preserve"> PAGEREF _Toc228701110 \h </w:instrText>
        </w:r>
        <w:r>
          <w:rPr>
            <w:noProof/>
            <w:webHidden/>
          </w:rPr>
        </w:r>
        <w:r>
          <w:rPr>
            <w:noProof/>
            <w:webHidden/>
          </w:rPr>
          <w:fldChar w:fldCharType="separate"/>
        </w:r>
        <w:r>
          <w:rPr>
            <w:noProof/>
            <w:webHidden/>
          </w:rPr>
          <w:t>45</w:t>
        </w:r>
        <w:r>
          <w:rPr>
            <w:noProof/>
            <w:webHidden/>
          </w:rPr>
          <w:fldChar w:fldCharType="end"/>
        </w:r>
      </w:hyperlink>
    </w:p>
    <w:p w14:paraId="78E49744" w14:textId="0F73C6C7"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1" w:history="1">
        <w:r w:rsidRPr="005D30EB">
          <w:rPr>
            <w:rStyle w:val="Hyperlink"/>
            <w:noProof/>
            <w:lang w:bidi="hi-IN"/>
          </w:rPr>
          <w:t>Figure 3.4 GINI COEFFICIENT (0.62) FOR THE COCOA VALUE CHAIN</w:t>
        </w:r>
        <w:r>
          <w:rPr>
            <w:noProof/>
            <w:webHidden/>
          </w:rPr>
          <w:tab/>
        </w:r>
        <w:r>
          <w:rPr>
            <w:noProof/>
            <w:webHidden/>
          </w:rPr>
          <w:fldChar w:fldCharType="begin"/>
        </w:r>
        <w:r>
          <w:rPr>
            <w:noProof/>
            <w:webHidden/>
          </w:rPr>
          <w:instrText xml:space="preserve"> PAGEREF _Toc228701111 \h </w:instrText>
        </w:r>
        <w:r>
          <w:rPr>
            <w:noProof/>
            <w:webHidden/>
          </w:rPr>
        </w:r>
        <w:r>
          <w:rPr>
            <w:noProof/>
            <w:webHidden/>
          </w:rPr>
          <w:fldChar w:fldCharType="separate"/>
        </w:r>
        <w:r>
          <w:rPr>
            <w:noProof/>
            <w:webHidden/>
          </w:rPr>
          <w:t>47</w:t>
        </w:r>
        <w:r>
          <w:rPr>
            <w:noProof/>
            <w:webHidden/>
          </w:rPr>
          <w:fldChar w:fldCharType="end"/>
        </w:r>
      </w:hyperlink>
    </w:p>
    <w:p w14:paraId="748C1305" w14:textId="20B0E43F"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2" w:history="1">
        <w:r w:rsidRPr="005D30EB">
          <w:rPr>
            <w:rStyle w:val="Hyperlink"/>
            <w:noProof/>
            <w:lang w:bidi="hi-IN"/>
          </w:rPr>
          <w:t>Figure 4.1 Food Consumption Score (FCS) Profile of Cocoa Districts</w:t>
        </w:r>
        <w:r>
          <w:rPr>
            <w:noProof/>
            <w:webHidden/>
          </w:rPr>
          <w:tab/>
        </w:r>
        <w:r>
          <w:rPr>
            <w:noProof/>
            <w:webHidden/>
          </w:rPr>
          <w:fldChar w:fldCharType="begin"/>
        </w:r>
        <w:r>
          <w:rPr>
            <w:noProof/>
            <w:webHidden/>
          </w:rPr>
          <w:instrText xml:space="preserve"> PAGEREF _Toc228701112 \h </w:instrText>
        </w:r>
        <w:r>
          <w:rPr>
            <w:noProof/>
            <w:webHidden/>
          </w:rPr>
        </w:r>
        <w:r>
          <w:rPr>
            <w:noProof/>
            <w:webHidden/>
          </w:rPr>
          <w:fldChar w:fldCharType="separate"/>
        </w:r>
        <w:r>
          <w:rPr>
            <w:noProof/>
            <w:webHidden/>
          </w:rPr>
          <w:t>61</w:t>
        </w:r>
        <w:r>
          <w:rPr>
            <w:noProof/>
            <w:webHidden/>
          </w:rPr>
          <w:fldChar w:fldCharType="end"/>
        </w:r>
      </w:hyperlink>
    </w:p>
    <w:p w14:paraId="3CC2A8D1" w14:textId="1CFC5F35"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3" w:history="1">
        <w:r w:rsidRPr="005D30EB">
          <w:rPr>
            <w:rStyle w:val="Hyperlink"/>
            <w:noProof/>
            <w:lang w:bidi="hi-IN"/>
          </w:rPr>
          <w:t>Figure 4.2  Short-term Coping Stress (rCSI) in Cocoa Districts</w:t>
        </w:r>
        <w:r>
          <w:rPr>
            <w:noProof/>
            <w:webHidden/>
          </w:rPr>
          <w:tab/>
        </w:r>
        <w:r>
          <w:rPr>
            <w:noProof/>
            <w:webHidden/>
          </w:rPr>
          <w:fldChar w:fldCharType="begin"/>
        </w:r>
        <w:r>
          <w:rPr>
            <w:noProof/>
            <w:webHidden/>
          </w:rPr>
          <w:instrText xml:space="preserve"> PAGEREF _Toc228701113 \h </w:instrText>
        </w:r>
        <w:r>
          <w:rPr>
            <w:noProof/>
            <w:webHidden/>
          </w:rPr>
        </w:r>
        <w:r>
          <w:rPr>
            <w:noProof/>
            <w:webHidden/>
          </w:rPr>
          <w:fldChar w:fldCharType="separate"/>
        </w:r>
        <w:r>
          <w:rPr>
            <w:noProof/>
            <w:webHidden/>
          </w:rPr>
          <w:t>61</w:t>
        </w:r>
        <w:r>
          <w:rPr>
            <w:noProof/>
            <w:webHidden/>
          </w:rPr>
          <w:fldChar w:fldCharType="end"/>
        </w:r>
      </w:hyperlink>
    </w:p>
    <w:p w14:paraId="12D33976" w14:textId="78555693"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4" w:history="1">
        <w:r w:rsidRPr="005D30EB">
          <w:rPr>
            <w:rStyle w:val="Hyperlink"/>
            <w:noProof/>
            <w:lang w:bidi="hi-IN"/>
          </w:rPr>
          <w:t>Figure 4.3 RADAR CHART OF THE CVC SOCIAL PROFILE</w:t>
        </w:r>
        <w:r>
          <w:rPr>
            <w:noProof/>
            <w:webHidden/>
          </w:rPr>
          <w:tab/>
        </w:r>
        <w:r>
          <w:rPr>
            <w:noProof/>
            <w:webHidden/>
          </w:rPr>
          <w:fldChar w:fldCharType="begin"/>
        </w:r>
        <w:r>
          <w:rPr>
            <w:noProof/>
            <w:webHidden/>
          </w:rPr>
          <w:instrText xml:space="preserve"> PAGEREF _Toc228701114 \h </w:instrText>
        </w:r>
        <w:r>
          <w:rPr>
            <w:noProof/>
            <w:webHidden/>
          </w:rPr>
        </w:r>
        <w:r>
          <w:rPr>
            <w:noProof/>
            <w:webHidden/>
          </w:rPr>
          <w:fldChar w:fldCharType="separate"/>
        </w:r>
        <w:r>
          <w:rPr>
            <w:noProof/>
            <w:webHidden/>
          </w:rPr>
          <w:t>69</w:t>
        </w:r>
        <w:r>
          <w:rPr>
            <w:noProof/>
            <w:webHidden/>
          </w:rPr>
          <w:fldChar w:fldCharType="end"/>
        </w:r>
      </w:hyperlink>
    </w:p>
    <w:p w14:paraId="4C502E0C" w14:textId="4F633D42" w:rsidR="00652843" w:rsidRDefault="00652843">
      <w:pPr>
        <w:pStyle w:val="TableofFigures"/>
        <w:tabs>
          <w:tab w:val="right" w:leader="dot" w:pos="9350"/>
        </w:tabs>
        <w:rPr>
          <w:rFonts w:asciiTheme="minorHAnsi" w:eastAsiaTheme="minorEastAsia" w:hAnsiTheme="minorHAnsi"/>
          <w:noProof/>
          <w:kern w:val="2"/>
          <w:sz w:val="24"/>
          <w:szCs w:val="24"/>
          <w:lang w:eastAsia="en-GB"/>
          <w14:ligatures w14:val="standardContextual"/>
        </w:rPr>
      </w:pPr>
      <w:hyperlink w:anchor="_Toc228701115" w:history="1">
        <w:r w:rsidRPr="005D30EB">
          <w:rPr>
            <w:rStyle w:val="Hyperlink"/>
            <w:noProof/>
            <w:lang w:bidi="hi-IN"/>
          </w:rPr>
          <w:t>Figure 6.1 Strategic recommendations</w:t>
        </w:r>
        <w:r>
          <w:rPr>
            <w:noProof/>
            <w:webHidden/>
          </w:rPr>
          <w:tab/>
        </w:r>
        <w:r>
          <w:rPr>
            <w:noProof/>
            <w:webHidden/>
          </w:rPr>
          <w:fldChar w:fldCharType="begin"/>
        </w:r>
        <w:r>
          <w:rPr>
            <w:noProof/>
            <w:webHidden/>
          </w:rPr>
          <w:instrText xml:space="preserve"> PAGEREF _Toc228701115 \h </w:instrText>
        </w:r>
        <w:r>
          <w:rPr>
            <w:noProof/>
            <w:webHidden/>
          </w:rPr>
        </w:r>
        <w:r>
          <w:rPr>
            <w:noProof/>
            <w:webHidden/>
          </w:rPr>
          <w:fldChar w:fldCharType="separate"/>
        </w:r>
        <w:r>
          <w:rPr>
            <w:noProof/>
            <w:webHidden/>
          </w:rPr>
          <w:t>96</w:t>
        </w:r>
        <w:r>
          <w:rPr>
            <w:noProof/>
            <w:webHidden/>
          </w:rPr>
          <w:fldChar w:fldCharType="end"/>
        </w:r>
      </w:hyperlink>
    </w:p>
    <w:p w14:paraId="13C7626A" w14:textId="3B035575" w:rsidR="00105C60" w:rsidRDefault="00F652E4">
      <w:pPr>
        <w:spacing w:after="200"/>
        <w:contextualSpacing w:val="0"/>
        <w:jc w:val="left"/>
      </w:pPr>
      <w:r>
        <w:rPr>
          <w:lang w:val="en-GB"/>
        </w:rPr>
        <w:fldChar w:fldCharType="end"/>
      </w:r>
    </w:p>
    <w:p w14:paraId="0B7EC963" w14:textId="77777777" w:rsidR="00105C60" w:rsidRDefault="00105C60">
      <w:pPr>
        <w:spacing w:after="200"/>
        <w:contextualSpacing w:val="0"/>
        <w:jc w:val="left"/>
      </w:pPr>
    </w:p>
    <w:p w14:paraId="65B554F2" w14:textId="171FFCAF" w:rsidR="00890B37" w:rsidRPr="008E013F" w:rsidRDefault="005619EA" w:rsidP="00B64174">
      <w:pPr>
        <w:pStyle w:val="Non-numberedheading"/>
        <w:rPr>
          <w:lang w:val="en-GB"/>
        </w:rPr>
      </w:pPr>
      <w:bookmarkStart w:id="2" w:name="_Toc228700981"/>
      <w:r w:rsidRPr="008E013F">
        <w:rPr>
          <w:lang w:val="en-GB"/>
        </w:rPr>
        <w:t>ACKNOWLEDGMENTS</w:t>
      </w:r>
      <w:bookmarkEnd w:id="2"/>
    </w:p>
    <w:p w14:paraId="02802F21" w14:textId="04C8DA77" w:rsidR="006D7C34" w:rsidRPr="006D7C34" w:rsidRDefault="00C20B23" w:rsidP="006D7C34">
      <w:pPr>
        <w:rPr>
          <w:sz w:val="20"/>
          <w:szCs w:val="20"/>
        </w:rPr>
      </w:pPr>
      <w:r w:rsidRPr="00C20B23">
        <w:rPr>
          <w:sz w:val="20"/>
          <w:szCs w:val="20"/>
        </w:rPr>
        <w:t>The authors would like to express their sincere gratitude to all stakeholders in the Sierra Leone cocoa value chain who generously contributed their time, knowledge, and insights to this study. Their openness and engagement were essential to the depth and quality of the analysis</w:t>
      </w:r>
      <w:r w:rsidR="006D7C34" w:rsidRPr="006D7C34">
        <w:rPr>
          <w:sz w:val="20"/>
          <w:szCs w:val="20"/>
        </w:rPr>
        <w:t>.</w:t>
      </w:r>
    </w:p>
    <w:p w14:paraId="0A9CB22C" w14:textId="77777777" w:rsidR="006D7C34" w:rsidRPr="006D7C34" w:rsidRDefault="006D7C34" w:rsidP="006D7C34">
      <w:pPr>
        <w:rPr>
          <w:sz w:val="20"/>
          <w:szCs w:val="20"/>
        </w:rPr>
      </w:pPr>
    </w:p>
    <w:p w14:paraId="386C09C5" w14:textId="35C703A1" w:rsidR="006D7C34" w:rsidRPr="006D7C34" w:rsidRDefault="00C20B23" w:rsidP="006D7C34">
      <w:pPr>
        <w:rPr>
          <w:sz w:val="20"/>
          <w:szCs w:val="20"/>
        </w:rPr>
      </w:pPr>
      <w:r w:rsidRPr="00C20B23">
        <w:rPr>
          <w:sz w:val="20"/>
          <w:szCs w:val="20"/>
        </w:rPr>
        <w:t>We extend our special appreciation to the Ministry of Agriculture, the Ministry of Trade and Industry, and the Produce Monitoring Board for their guidance and institutional support. We are particularly grateful to the staff of the District Offices in Kenema, Kailahun, and Kono for their cooperation and facilitation during fieldwork. We also acknowledge the valuable support provided by the European Union Delegation in Freetown</w:t>
      </w:r>
      <w:r w:rsidR="006D7C34" w:rsidRPr="006D7C34">
        <w:rPr>
          <w:sz w:val="20"/>
          <w:szCs w:val="20"/>
        </w:rPr>
        <w:t>.</w:t>
      </w:r>
    </w:p>
    <w:p w14:paraId="23BF957D" w14:textId="77777777" w:rsidR="006D7C34" w:rsidRPr="006D7C34" w:rsidRDefault="006D7C34" w:rsidP="006D7C34">
      <w:pPr>
        <w:rPr>
          <w:sz w:val="20"/>
          <w:szCs w:val="20"/>
        </w:rPr>
      </w:pPr>
    </w:p>
    <w:p w14:paraId="07D6992E" w14:textId="6437085C" w:rsidR="006D7C34" w:rsidRPr="006D7C34" w:rsidRDefault="00C20B23" w:rsidP="006D7C34">
      <w:pPr>
        <w:rPr>
          <w:sz w:val="20"/>
          <w:szCs w:val="20"/>
        </w:rPr>
      </w:pPr>
      <w:r w:rsidRPr="00C20B23">
        <w:rPr>
          <w:sz w:val="20"/>
          <w:szCs w:val="20"/>
        </w:rPr>
        <w:t>The successful implementation of field data collection, including interviews and focus group discussions, was made possible through the dedicated efforts of cooperative leaders and local partners. We gratefully acknowledge the contribution of Andrew Kojo Morrison of Solidaridad, whose support was instrumental throughout the process</w:t>
      </w:r>
      <w:r w:rsidR="006F220F">
        <w:rPr>
          <w:sz w:val="20"/>
          <w:szCs w:val="20"/>
        </w:rPr>
        <w:t>.</w:t>
      </w:r>
    </w:p>
    <w:p w14:paraId="4EBF391A" w14:textId="77777777" w:rsidR="006D7C34" w:rsidRPr="006D7C34" w:rsidRDefault="006D7C34" w:rsidP="006D7C34">
      <w:pPr>
        <w:rPr>
          <w:sz w:val="20"/>
          <w:szCs w:val="20"/>
        </w:rPr>
      </w:pPr>
    </w:p>
    <w:p w14:paraId="7888A9C4" w14:textId="36A69454" w:rsidR="00BD4E67" w:rsidRPr="006D7C34" w:rsidRDefault="000E0974" w:rsidP="006D7C34">
      <w:pPr>
        <w:rPr>
          <w:sz w:val="20"/>
          <w:szCs w:val="20"/>
        </w:rPr>
      </w:pPr>
      <w:r w:rsidRPr="000E0974">
        <w:rPr>
          <w:sz w:val="20"/>
          <w:szCs w:val="20"/>
        </w:rPr>
        <w:t xml:space="preserve">Finally, we are deeply thankful to the farmers, cooperative members, agents, local NGO representatives, and cocoa exporters who shared their experiences and perspectives. Their hospitality and willingness to engage candidly have greatly enriched this report, and we hope that their voices are accurately and respectfully reflected in </w:t>
      </w:r>
      <w:proofErr w:type="gramStart"/>
      <w:r w:rsidRPr="000E0974">
        <w:rPr>
          <w:sz w:val="20"/>
          <w:szCs w:val="20"/>
        </w:rPr>
        <w:t>its</w:t>
      </w:r>
      <w:proofErr w:type="gramEnd"/>
      <w:r w:rsidRPr="000E0974">
        <w:rPr>
          <w:sz w:val="20"/>
          <w:szCs w:val="20"/>
        </w:rPr>
        <w:t xml:space="preserve"> findings</w:t>
      </w:r>
      <w:r w:rsidR="006D7C34" w:rsidRPr="006D7C34">
        <w:rPr>
          <w:sz w:val="20"/>
          <w:szCs w:val="20"/>
        </w:rPr>
        <w:t xml:space="preserve">. </w:t>
      </w:r>
    </w:p>
    <w:p w14:paraId="2DE5CCF3" w14:textId="77777777" w:rsidR="00890B37" w:rsidRPr="00BD4E67" w:rsidRDefault="00BD4E67" w:rsidP="00BD4E67">
      <w:r w:rsidRPr="00B04780">
        <w:br w:type="page"/>
      </w:r>
    </w:p>
    <w:p w14:paraId="63F44CC8" w14:textId="615755EF" w:rsidR="00235D6E" w:rsidRPr="00EE1327" w:rsidRDefault="00020BBB" w:rsidP="00C04F15">
      <w:pPr>
        <w:pStyle w:val="Non-numberedheading"/>
        <w:rPr>
          <w:color w:val="7030A0"/>
          <w:lang w:val="en-GB"/>
        </w:rPr>
      </w:pPr>
      <w:bookmarkStart w:id="3" w:name="_Toc228700982"/>
      <w:r w:rsidRPr="008E013F">
        <w:rPr>
          <w:lang w:val="en-GB"/>
        </w:rPr>
        <w:lastRenderedPageBreak/>
        <w:t xml:space="preserve">ACRONYMS </w:t>
      </w:r>
      <w:r w:rsidR="002630B5" w:rsidRPr="00853F2A">
        <w:rPr>
          <w:lang w:val="en-GB"/>
        </w:rPr>
        <w:t>(in alphabetical order)</w:t>
      </w:r>
      <w:bookmarkEnd w:id="3"/>
    </w:p>
    <w:p w14:paraId="41197163" w14:textId="77777777" w:rsidR="00796204" w:rsidRPr="00796204" w:rsidRDefault="00796204" w:rsidP="00796204">
      <w:pPr>
        <w:rPr>
          <w:sz w:val="20"/>
          <w:szCs w:val="20"/>
        </w:rPr>
      </w:pPr>
      <w:r w:rsidRPr="00796204">
        <w:rPr>
          <w:sz w:val="20"/>
          <w:szCs w:val="20"/>
        </w:rPr>
        <w:t>AGB: Above Ground Biomass</w:t>
      </w:r>
    </w:p>
    <w:p w14:paraId="081FAA60" w14:textId="77777777" w:rsidR="00796204" w:rsidRPr="00796204" w:rsidRDefault="00796204" w:rsidP="00796204">
      <w:pPr>
        <w:rPr>
          <w:sz w:val="20"/>
          <w:szCs w:val="20"/>
        </w:rPr>
      </w:pPr>
      <w:r w:rsidRPr="00796204">
        <w:rPr>
          <w:sz w:val="20"/>
          <w:szCs w:val="20"/>
        </w:rPr>
        <w:t>BGB: Below Ground Biomass</w:t>
      </w:r>
    </w:p>
    <w:p w14:paraId="41D7DC52" w14:textId="77777777" w:rsidR="00796204" w:rsidRPr="00796204" w:rsidRDefault="00796204" w:rsidP="00796204">
      <w:pPr>
        <w:rPr>
          <w:sz w:val="20"/>
          <w:szCs w:val="20"/>
        </w:rPr>
      </w:pPr>
      <w:r w:rsidRPr="00796204">
        <w:rPr>
          <w:sz w:val="20"/>
          <w:szCs w:val="20"/>
        </w:rPr>
        <w:t>CLRA: Customary Land Rights Act (2022)</w:t>
      </w:r>
    </w:p>
    <w:p w14:paraId="112C1F84" w14:textId="77777777" w:rsidR="00796204" w:rsidRPr="00796204" w:rsidRDefault="00796204" w:rsidP="00796204">
      <w:pPr>
        <w:rPr>
          <w:sz w:val="20"/>
          <w:szCs w:val="20"/>
        </w:rPr>
      </w:pPr>
      <w:r w:rsidRPr="00796204">
        <w:rPr>
          <w:sz w:val="20"/>
          <w:szCs w:val="20"/>
        </w:rPr>
        <w:t>COI: Certificate of Inspection</w:t>
      </w:r>
    </w:p>
    <w:p w14:paraId="6ACBAD17" w14:textId="68C46E9C" w:rsidR="00B15EF0" w:rsidRDefault="00B15EF0" w:rsidP="00796204">
      <w:pPr>
        <w:rPr>
          <w:sz w:val="20"/>
          <w:szCs w:val="20"/>
        </w:rPr>
      </w:pPr>
      <w:r>
        <w:rPr>
          <w:sz w:val="20"/>
          <w:szCs w:val="20"/>
        </w:rPr>
        <w:t>CVC: Cocoa Value Chain</w:t>
      </w:r>
    </w:p>
    <w:p w14:paraId="64C1C9BE" w14:textId="4E7B49D1" w:rsidR="00796204" w:rsidRPr="00796204" w:rsidRDefault="00796204" w:rsidP="00796204">
      <w:pPr>
        <w:rPr>
          <w:sz w:val="20"/>
          <w:szCs w:val="20"/>
        </w:rPr>
      </w:pPr>
      <w:r w:rsidRPr="00796204">
        <w:rPr>
          <w:sz w:val="20"/>
          <w:szCs w:val="20"/>
        </w:rPr>
        <w:t>DRC: Domestic Resource Cost</w:t>
      </w:r>
    </w:p>
    <w:p w14:paraId="7965601A" w14:textId="77777777" w:rsidR="00796204" w:rsidRPr="00796204" w:rsidRDefault="00796204" w:rsidP="00796204">
      <w:pPr>
        <w:rPr>
          <w:sz w:val="20"/>
          <w:szCs w:val="20"/>
        </w:rPr>
      </w:pPr>
      <w:r w:rsidRPr="00796204">
        <w:rPr>
          <w:sz w:val="20"/>
          <w:szCs w:val="20"/>
        </w:rPr>
        <w:t>EUDR: EU Deforestation Regulation</w:t>
      </w:r>
    </w:p>
    <w:p w14:paraId="4124BCBB" w14:textId="77777777" w:rsidR="00796204" w:rsidRPr="00796204" w:rsidRDefault="00796204" w:rsidP="00796204">
      <w:pPr>
        <w:rPr>
          <w:sz w:val="20"/>
          <w:szCs w:val="20"/>
        </w:rPr>
      </w:pPr>
      <w:r w:rsidRPr="00796204">
        <w:rPr>
          <w:sz w:val="20"/>
          <w:szCs w:val="20"/>
        </w:rPr>
        <w:t>FAO: Food and Agriculture Organization</w:t>
      </w:r>
    </w:p>
    <w:p w14:paraId="3969325E" w14:textId="77777777" w:rsidR="00796204" w:rsidRPr="00796204" w:rsidRDefault="00796204" w:rsidP="00796204">
      <w:pPr>
        <w:rPr>
          <w:sz w:val="20"/>
          <w:szCs w:val="20"/>
        </w:rPr>
      </w:pPr>
      <w:r w:rsidRPr="00796204">
        <w:rPr>
          <w:sz w:val="20"/>
          <w:szCs w:val="20"/>
        </w:rPr>
        <w:t xml:space="preserve">FBO: Farmer-Based </w:t>
      </w:r>
      <w:proofErr w:type="spellStart"/>
      <w:r w:rsidRPr="00796204">
        <w:rPr>
          <w:sz w:val="20"/>
          <w:szCs w:val="20"/>
        </w:rPr>
        <w:t>Organisation</w:t>
      </w:r>
      <w:proofErr w:type="spellEnd"/>
    </w:p>
    <w:p w14:paraId="13BE1139" w14:textId="77777777" w:rsidR="00796204" w:rsidRPr="00796204" w:rsidRDefault="00796204" w:rsidP="00796204">
      <w:pPr>
        <w:rPr>
          <w:sz w:val="20"/>
          <w:szCs w:val="20"/>
        </w:rPr>
      </w:pPr>
      <w:r w:rsidRPr="00796204">
        <w:rPr>
          <w:sz w:val="20"/>
          <w:szCs w:val="20"/>
        </w:rPr>
        <w:t>FGD: Focus Group Discussion</w:t>
      </w:r>
    </w:p>
    <w:p w14:paraId="7DA77FB6" w14:textId="77777777" w:rsidR="00796204" w:rsidRPr="00796204" w:rsidRDefault="00796204" w:rsidP="00796204">
      <w:pPr>
        <w:rPr>
          <w:sz w:val="20"/>
          <w:szCs w:val="20"/>
        </w:rPr>
      </w:pPr>
      <w:r w:rsidRPr="00796204">
        <w:rPr>
          <w:sz w:val="20"/>
          <w:szCs w:val="20"/>
        </w:rPr>
        <w:t>FI: Financial Institution</w:t>
      </w:r>
    </w:p>
    <w:p w14:paraId="1DDB5850" w14:textId="77777777" w:rsidR="00796204" w:rsidRDefault="00796204" w:rsidP="00796204">
      <w:pPr>
        <w:rPr>
          <w:sz w:val="20"/>
          <w:szCs w:val="20"/>
        </w:rPr>
      </w:pPr>
      <w:r w:rsidRPr="3821A05B">
        <w:rPr>
          <w:sz w:val="20"/>
          <w:szCs w:val="20"/>
        </w:rPr>
        <w:t>FPIC: Free Prior and Informed Consent</w:t>
      </w:r>
    </w:p>
    <w:p w14:paraId="390439FF" w14:textId="59469178" w:rsidR="00BC666A" w:rsidRPr="00796204" w:rsidRDefault="00BC666A" w:rsidP="00796204">
      <w:pPr>
        <w:rPr>
          <w:sz w:val="20"/>
          <w:szCs w:val="20"/>
        </w:rPr>
      </w:pPr>
      <w:r w:rsidRPr="3821A05B">
        <w:rPr>
          <w:sz w:val="20"/>
          <w:szCs w:val="20"/>
        </w:rPr>
        <w:t>FTE: Full Time Equivalent</w:t>
      </w:r>
    </w:p>
    <w:p w14:paraId="02D7BDD2" w14:textId="77777777" w:rsidR="00796204" w:rsidRPr="00796204" w:rsidRDefault="00796204" w:rsidP="00796204">
      <w:pPr>
        <w:rPr>
          <w:sz w:val="20"/>
          <w:szCs w:val="20"/>
        </w:rPr>
      </w:pPr>
      <w:r w:rsidRPr="00796204">
        <w:rPr>
          <w:sz w:val="20"/>
          <w:szCs w:val="20"/>
        </w:rPr>
        <w:t>GIS: Geographic Information System</w:t>
      </w:r>
    </w:p>
    <w:p w14:paraId="2999E314" w14:textId="77777777" w:rsidR="00796204" w:rsidRPr="00796204" w:rsidRDefault="00796204" w:rsidP="00796204">
      <w:pPr>
        <w:rPr>
          <w:sz w:val="20"/>
          <w:szCs w:val="20"/>
        </w:rPr>
      </w:pPr>
      <w:r w:rsidRPr="00796204">
        <w:rPr>
          <w:sz w:val="20"/>
          <w:szCs w:val="20"/>
        </w:rPr>
        <w:t>ICS: Internal Control System</w:t>
      </w:r>
    </w:p>
    <w:p w14:paraId="0FA93C2E" w14:textId="77777777" w:rsidR="00796204" w:rsidRPr="00796204" w:rsidRDefault="00796204" w:rsidP="00796204">
      <w:pPr>
        <w:rPr>
          <w:sz w:val="20"/>
          <w:szCs w:val="20"/>
        </w:rPr>
      </w:pPr>
      <w:r w:rsidRPr="00796204">
        <w:rPr>
          <w:sz w:val="20"/>
          <w:szCs w:val="20"/>
        </w:rPr>
        <w:t>IGS: Intermediate Goods and Services</w:t>
      </w:r>
    </w:p>
    <w:p w14:paraId="6A7666E2" w14:textId="77777777" w:rsidR="00796204" w:rsidRPr="00796204" w:rsidRDefault="00796204" w:rsidP="00796204">
      <w:pPr>
        <w:rPr>
          <w:sz w:val="20"/>
          <w:szCs w:val="20"/>
        </w:rPr>
      </w:pPr>
      <w:r w:rsidRPr="00796204">
        <w:rPr>
          <w:sz w:val="20"/>
          <w:szCs w:val="20"/>
        </w:rPr>
        <w:t>LBC: Licensed Buying Company</w:t>
      </w:r>
    </w:p>
    <w:p w14:paraId="5B55D274" w14:textId="77777777" w:rsidR="00796204" w:rsidRPr="00796204" w:rsidRDefault="00796204" w:rsidP="00796204">
      <w:pPr>
        <w:rPr>
          <w:sz w:val="20"/>
          <w:szCs w:val="20"/>
        </w:rPr>
      </w:pPr>
      <w:r w:rsidRPr="00796204">
        <w:rPr>
          <w:sz w:val="20"/>
          <w:szCs w:val="20"/>
        </w:rPr>
        <w:t>LCA: Life Cycle Assessment</w:t>
      </w:r>
    </w:p>
    <w:p w14:paraId="06778AA1" w14:textId="77777777" w:rsidR="00796204" w:rsidRPr="00796204" w:rsidRDefault="00796204" w:rsidP="00796204">
      <w:pPr>
        <w:rPr>
          <w:sz w:val="20"/>
          <w:szCs w:val="20"/>
        </w:rPr>
      </w:pPr>
      <w:r w:rsidRPr="00796204">
        <w:rPr>
          <w:sz w:val="20"/>
          <w:szCs w:val="20"/>
        </w:rPr>
        <w:t>LIB: Living Income Benchmark</w:t>
      </w:r>
    </w:p>
    <w:p w14:paraId="330DF7D7" w14:textId="77777777" w:rsidR="00796204" w:rsidRPr="00796204" w:rsidRDefault="00796204" w:rsidP="00796204">
      <w:pPr>
        <w:rPr>
          <w:sz w:val="20"/>
          <w:szCs w:val="20"/>
        </w:rPr>
      </w:pPr>
      <w:r w:rsidRPr="00796204">
        <w:rPr>
          <w:sz w:val="20"/>
          <w:szCs w:val="20"/>
        </w:rPr>
        <w:t>MAF: Ministry of Agriculture and Forestry</w:t>
      </w:r>
    </w:p>
    <w:p w14:paraId="39E9B32B" w14:textId="77777777" w:rsidR="00796204" w:rsidRPr="00796204" w:rsidRDefault="00796204" w:rsidP="00796204">
      <w:pPr>
        <w:rPr>
          <w:sz w:val="20"/>
          <w:szCs w:val="20"/>
        </w:rPr>
      </w:pPr>
      <w:r w:rsidRPr="00796204">
        <w:rPr>
          <w:sz w:val="20"/>
          <w:szCs w:val="20"/>
        </w:rPr>
        <w:t>MAFS: Ministry of Agriculture and Food Security</w:t>
      </w:r>
    </w:p>
    <w:p w14:paraId="558B5E13" w14:textId="77777777" w:rsidR="00796204" w:rsidRPr="00B022A8" w:rsidRDefault="00796204" w:rsidP="00796204">
      <w:pPr>
        <w:rPr>
          <w:sz w:val="20"/>
          <w:szCs w:val="20"/>
          <w:lang w:val="fr-BE"/>
        </w:rPr>
      </w:pPr>
      <w:proofErr w:type="gramStart"/>
      <w:r w:rsidRPr="00B022A8">
        <w:rPr>
          <w:sz w:val="20"/>
          <w:szCs w:val="20"/>
          <w:lang w:val="fr-BE"/>
        </w:rPr>
        <w:t>MSLE:</w:t>
      </w:r>
      <w:proofErr w:type="gramEnd"/>
      <w:r w:rsidRPr="00B022A8">
        <w:rPr>
          <w:sz w:val="20"/>
          <w:szCs w:val="20"/>
          <w:lang w:val="fr-BE"/>
        </w:rPr>
        <w:t xml:space="preserve"> Million Sierra </w:t>
      </w:r>
      <w:proofErr w:type="spellStart"/>
      <w:r w:rsidRPr="00B022A8">
        <w:rPr>
          <w:sz w:val="20"/>
          <w:szCs w:val="20"/>
          <w:lang w:val="fr-BE"/>
        </w:rPr>
        <w:t>Leonean</w:t>
      </w:r>
      <w:proofErr w:type="spellEnd"/>
      <w:r w:rsidRPr="00B022A8">
        <w:rPr>
          <w:sz w:val="20"/>
          <w:szCs w:val="20"/>
          <w:lang w:val="fr-BE"/>
        </w:rPr>
        <w:t xml:space="preserve"> Leone</w:t>
      </w:r>
    </w:p>
    <w:p w14:paraId="5EA4D67E" w14:textId="77777777" w:rsidR="00796204" w:rsidRPr="00B022A8" w:rsidRDefault="00796204" w:rsidP="00796204">
      <w:pPr>
        <w:rPr>
          <w:sz w:val="20"/>
          <w:szCs w:val="20"/>
          <w:lang w:val="fr-BE"/>
        </w:rPr>
      </w:pPr>
      <w:proofErr w:type="gramStart"/>
      <w:r w:rsidRPr="00B022A8">
        <w:rPr>
          <w:sz w:val="20"/>
          <w:szCs w:val="20"/>
          <w:lang w:val="fr-BE"/>
        </w:rPr>
        <w:t>MT:</w:t>
      </w:r>
      <w:proofErr w:type="gramEnd"/>
      <w:r w:rsidRPr="00B022A8">
        <w:rPr>
          <w:sz w:val="20"/>
          <w:szCs w:val="20"/>
          <w:lang w:val="fr-BE"/>
        </w:rPr>
        <w:t xml:space="preserve"> </w:t>
      </w:r>
      <w:proofErr w:type="spellStart"/>
      <w:r w:rsidRPr="00B022A8">
        <w:rPr>
          <w:sz w:val="20"/>
          <w:szCs w:val="20"/>
          <w:lang w:val="fr-BE"/>
        </w:rPr>
        <w:t>Metric</w:t>
      </w:r>
      <w:proofErr w:type="spellEnd"/>
      <w:r w:rsidRPr="00B022A8">
        <w:rPr>
          <w:sz w:val="20"/>
          <w:szCs w:val="20"/>
          <w:lang w:val="fr-BE"/>
        </w:rPr>
        <w:t xml:space="preserve"> Tonnes</w:t>
      </w:r>
    </w:p>
    <w:p w14:paraId="74C58692" w14:textId="77777777" w:rsidR="00796204" w:rsidRPr="00796204" w:rsidRDefault="00796204" w:rsidP="00796204">
      <w:pPr>
        <w:rPr>
          <w:sz w:val="20"/>
          <w:szCs w:val="20"/>
        </w:rPr>
      </w:pPr>
      <w:r w:rsidRPr="00796204">
        <w:rPr>
          <w:sz w:val="20"/>
          <w:szCs w:val="20"/>
        </w:rPr>
        <w:t>MTI: Ministry of Trade and Industry</w:t>
      </w:r>
    </w:p>
    <w:p w14:paraId="58C89755" w14:textId="77777777" w:rsidR="00796204" w:rsidRPr="00796204" w:rsidRDefault="00796204" w:rsidP="00796204">
      <w:pPr>
        <w:rPr>
          <w:sz w:val="20"/>
          <w:szCs w:val="20"/>
        </w:rPr>
      </w:pPr>
      <w:r w:rsidRPr="00796204">
        <w:rPr>
          <w:sz w:val="20"/>
          <w:szCs w:val="20"/>
        </w:rPr>
        <w:t xml:space="preserve">NGO: Non-Governmental </w:t>
      </w:r>
      <w:proofErr w:type="spellStart"/>
      <w:r w:rsidRPr="00796204">
        <w:rPr>
          <w:sz w:val="20"/>
          <w:szCs w:val="20"/>
        </w:rPr>
        <w:t>Organisation</w:t>
      </w:r>
      <w:proofErr w:type="spellEnd"/>
    </w:p>
    <w:p w14:paraId="2262814E" w14:textId="77777777" w:rsidR="00796204" w:rsidRPr="00796204" w:rsidRDefault="00796204" w:rsidP="00796204">
      <w:pPr>
        <w:rPr>
          <w:sz w:val="20"/>
          <w:szCs w:val="20"/>
        </w:rPr>
      </w:pPr>
      <w:r w:rsidRPr="00796204">
        <w:rPr>
          <w:sz w:val="20"/>
          <w:szCs w:val="20"/>
        </w:rPr>
        <w:t>NOP: Net Operating Profit</w:t>
      </w:r>
    </w:p>
    <w:p w14:paraId="3807569E" w14:textId="77777777" w:rsidR="00796204" w:rsidRPr="00796204" w:rsidRDefault="00796204" w:rsidP="00796204">
      <w:pPr>
        <w:rPr>
          <w:sz w:val="20"/>
          <w:szCs w:val="20"/>
        </w:rPr>
      </w:pPr>
      <w:r w:rsidRPr="00796204">
        <w:rPr>
          <w:sz w:val="20"/>
          <w:szCs w:val="20"/>
        </w:rPr>
        <w:t>NPC: Nominal Protection Coefficient</w:t>
      </w:r>
    </w:p>
    <w:p w14:paraId="0C92B79B" w14:textId="77777777" w:rsidR="00796204" w:rsidRPr="00796204" w:rsidRDefault="00796204" w:rsidP="00796204">
      <w:pPr>
        <w:rPr>
          <w:sz w:val="20"/>
          <w:szCs w:val="20"/>
        </w:rPr>
      </w:pPr>
      <w:r w:rsidRPr="00796204">
        <w:rPr>
          <w:sz w:val="20"/>
          <w:szCs w:val="20"/>
        </w:rPr>
        <w:t>NSB: National Standards Bureau</w:t>
      </w:r>
    </w:p>
    <w:p w14:paraId="739A5E5E" w14:textId="77777777" w:rsidR="00796204" w:rsidRPr="00796204" w:rsidRDefault="00796204" w:rsidP="00796204">
      <w:pPr>
        <w:rPr>
          <w:sz w:val="20"/>
          <w:szCs w:val="20"/>
        </w:rPr>
      </w:pPr>
      <w:r w:rsidRPr="00796204">
        <w:rPr>
          <w:sz w:val="20"/>
          <w:szCs w:val="20"/>
        </w:rPr>
        <w:t>OEC: Observatory of Economic Complexity</w:t>
      </w:r>
    </w:p>
    <w:p w14:paraId="04232AAC" w14:textId="77777777" w:rsidR="00796204" w:rsidRPr="00796204" w:rsidRDefault="00796204" w:rsidP="00796204">
      <w:pPr>
        <w:rPr>
          <w:sz w:val="20"/>
          <w:szCs w:val="20"/>
        </w:rPr>
      </w:pPr>
      <w:r w:rsidRPr="00796204">
        <w:rPr>
          <w:sz w:val="20"/>
          <w:szCs w:val="20"/>
        </w:rPr>
        <w:t>PMB: Produce Monitoring Board</w:t>
      </w:r>
    </w:p>
    <w:p w14:paraId="5428B8F6" w14:textId="77777777" w:rsidR="00796204" w:rsidRPr="00796204" w:rsidRDefault="00796204" w:rsidP="00796204">
      <w:pPr>
        <w:rPr>
          <w:sz w:val="20"/>
          <w:szCs w:val="20"/>
        </w:rPr>
      </w:pPr>
      <w:r w:rsidRPr="00796204">
        <w:rPr>
          <w:sz w:val="20"/>
          <w:szCs w:val="20"/>
        </w:rPr>
        <w:t>SLARI: Sierra Leone Agricultural Research Institute</w:t>
      </w:r>
    </w:p>
    <w:p w14:paraId="394CA336" w14:textId="77777777" w:rsidR="00796204" w:rsidRPr="00796204" w:rsidRDefault="00796204" w:rsidP="00796204">
      <w:pPr>
        <w:rPr>
          <w:sz w:val="20"/>
          <w:szCs w:val="20"/>
        </w:rPr>
      </w:pPr>
      <w:r w:rsidRPr="00796204">
        <w:rPr>
          <w:sz w:val="20"/>
          <w:szCs w:val="20"/>
        </w:rPr>
        <w:t>SLIEPA: Sierra Leone Investment and Export Promotion Agency</w:t>
      </w:r>
    </w:p>
    <w:p w14:paraId="4C1E3365" w14:textId="77777777" w:rsidR="00796204" w:rsidRPr="00796204" w:rsidRDefault="00796204" w:rsidP="00796204">
      <w:pPr>
        <w:rPr>
          <w:sz w:val="20"/>
          <w:szCs w:val="20"/>
        </w:rPr>
      </w:pPr>
      <w:r w:rsidRPr="00796204">
        <w:rPr>
          <w:sz w:val="20"/>
          <w:szCs w:val="20"/>
        </w:rPr>
        <w:t>SME: Small and Medium-sized Enterprise</w:t>
      </w:r>
    </w:p>
    <w:p w14:paraId="3DA68F4B" w14:textId="77777777" w:rsidR="00796204" w:rsidRPr="00796204" w:rsidRDefault="00796204" w:rsidP="00796204">
      <w:pPr>
        <w:rPr>
          <w:sz w:val="20"/>
          <w:szCs w:val="20"/>
        </w:rPr>
      </w:pPr>
      <w:r w:rsidRPr="00796204">
        <w:rPr>
          <w:sz w:val="20"/>
          <w:szCs w:val="20"/>
        </w:rPr>
        <w:t>TK: Traditional Knowledge</w:t>
      </w:r>
    </w:p>
    <w:p w14:paraId="39D415C6" w14:textId="77777777" w:rsidR="00796204" w:rsidRPr="00796204" w:rsidRDefault="00796204" w:rsidP="00796204">
      <w:pPr>
        <w:rPr>
          <w:sz w:val="20"/>
          <w:szCs w:val="20"/>
        </w:rPr>
      </w:pPr>
      <w:r w:rsidRPr="00796204">
        <w:rPr>
          <w:sz w:val="20"/>
          <w:szCs w:val="20"/>
        </w:rPr>
        <w:t>VA: Value Added</w:t>
      </w:r>
    </w:p>
    <w:p w14:paraId="18542B7E" w14:textId="77777777" w:rsidR="00796204" w:rsidRPr="00796204" w:rsidRDefault="00796204" w:rsidP="00796204">
      <w:pPr>
        <w:rPr>
          <w:sz w:val="20"/>
          <w:szCs w:val="20"/>
        </w:rPr>
      </w:pPr>
      <w:r w:rsidRPr="00796204">
        <w:rPr>
          <w:sz w:val="20"/>
          <w:szCs w:val="20"/>
        </w:rPr>
        <w:t>VC: Value Chain</w:t>
      </w:r>
    </w:p>
    <w:p w14:paraId="70153D17" w14:textId="77777777" w:rsidR="00796204" w:rsidRPr="00796204" w:rsidRDefault="00796204" w:rsidP="00796204">
      <w:pPr>
        <w:rPr>
          <w:sz w:val="20"/>
          <w:szCs w:val="20"/>
        </w:rPr>
      </w:pPr>
      <w:r w:rsidRPr="00796204">
        <w:rPr>
          <w:sz w:val="20"/>
          <w:szCs w:val="20"/>
        </w:rPr>
        <w:t>VCA4D: Value Chain Analysis for Development</w:t>
      </w:r>
    </w:p>
    <w:p w14:paraId="79D57DA8" w14:textId="77777777" w:rsidR="00796204" w:rsidRPr="00796204" w:rsidRDefault="00796204" w:rsidP="00796204">
      <w:pPr>
        <w:rPr>
          <w:sz w:val="20"/>
          <w:szCs w:val="20"/>
        </w:rPr>
      </w:pPr>
      <w:r w:rsidRPr="00796204">
        <w:rPr>
          <w:sz w:val="20"/>
          <w:szCs w:val="20"/>
        </w:rPr>
        <w:t>VDC: Village Development Committee</w:t>
      </w:r>
    </w:p>
    <w:p w14:paraId="0E42A23A" w14:textId="77777777" w:rsidR="00796204" w:rsidRPr="00796204" w:rsidRDefault="00796204" w:rsidP="00796204">
      <w:pPr>
        <w:rPr>
          <w:sz w:val="20"/>
          <w:szCs w:val="20"/>
        </w:rPr>
      </w:pPr>
      <w:r w:rsidRPr="00796204">
        <w:rPr>
          <w:sz w:val="20"/>
          <w:szCs w:val="20"/>
        </w:rPr>
        <w:t>VSLA: Village Savings and Loan Association</w:t>
      </w:r>
    </w:p>
    <w:p w14:paraId="2D5638DA" w14:textId="77777777" w:rsidR="00796204" w:rsidRPr="00796204" w:rsidRDefault="00796204" w:rsidP="00796204">
      <w:pPr>
        <w:rPr>
          <w:sz w:val="20"/>
          <w:szCs w:val="20"/>
        </w:rPr>
      </w:pPr>
      <w:r w:rsidRPr="00796204">
        <w:rPr>
          <w:sz w:val="20"/>
          <w:szCs w:val="20"/>
        </w:rPr>
        <w:t>WASH: Water, Sanitation and Hygiene</w:t>
      </w:r>
    </w:p>
    <w:p w14:paraId="2732A3BD" w14:textId="77777777" w:rsidR="00796204" w:rsidRPr="00796204" w:rsidRDefault="00796204" w:rsidP="00796204">
      <w:pPr>
        <w:sectPr w:rsidR="00796204" w:rsidRPr="00796204" w:rsidSect="002E3468">
          <w:footerReference w:type="default" r:id="rId14"/>
          <w:pgSz w:w="12240" w:h="15840"/>
          <w:pgMar w:top="1440" w:right="1440" w:bottom="1440" w:left="1440" w:header="720" w:footer="720" w:gutter="0"/>
          <w:cols w:space="720"/>
          <w:docGrid w:linePitch="360"/>
        </w:sectPr>
      </w:pPr>
    </w:p>
    <w:p w14:paraId="7DFCD05E" w14:textId="232E2743" w:rsidR="00CD7C08" w:rsidRDefault="00CC687A" w:rsidP="00CC687A">
      <w:pPr>
        <w:pStyle w:val="Heading1"/>
        <w:numPr>
          <w:ilvl w:val="0"/>
          <w:numId w:val="0"/>
        </w:numPr>
      </w:pPr>
      <w:bookmarkStart w:id="4" w:name="_Toc228700983"/>
      <w:r>
        <w:lastRenderedPageBreak/>
        <w:t>DEFINITION OF ECONOMIC TERMS</w:t>
      </w:r>
      <w:bookmarkEnd w:id="4"/>
      <w:r>
        <w:t xml:space="preserve"> </w:t>
      </w:r>
    </w:p>
    <w:tbl>
      <w:tblPr>
        <w:tblStyle w:val="TableGrid"/>
        <w:tblW w:w="9781" w:type="dxa"/>
        <w:tblLook w:val="04A0" w:firstRow="1" w:lastRow="0" w:firstColumn="1" w:lastColumn="0" w:noHBand="0" w:noVBand="1"/>
      </w:tblPr>
      <w:tblGrid>
        <w:gridCol w:w="3402"/>
        <w:gridCol w:w="6379"/>
      </w:tblGrid>
      <w:tr w:rsidR="00CD7C08" w14:paraId="268F699C" w14:textId="77777777" w:rsidTr="00F370A5">
        <w:trPr>
          <w:cnfStyle w:val="100000000000" w:firstRow="1" w:lastRow="0" w:firstColumn="0" w:lastColumn="0" w:oddVBand="0" w:evenVBand="0" w:oddHBand="0" w:evenHBand="0" w:firstRowFirstColumn="0" w:firstRowLastColumn="0" w:lastRowFirstColumn="0" w:lastRowLastColumn="0"/>
        </w:trPr>
        <w:tc>
          <w:tcPr>
            <w:tcW w:w="3402" w:type="dxa"/>
          </w:tcPr>
          <w:p w14:paraId="4DDA50D7" w14:textId="77777777" w:rsidR="00CD7C08" w:rsidRDefault="00CD7C08" w:rsidP="001721F7">
            <w:pPr>
              <w:spacing w:after="200" w:line="276" w:lineRule="auto"/>
              <w:rPr>
                <w:rFonts w:eastAsia="Corbel" w:cs="Times New Roman"/>
                <w:sz w:val="20"/>
              </w:rPr>
            </w:pPr>
            <w:r>
              <w:rPr>
                <w:rFonts w:eastAsia="Corbel" w:cs="Times New Roman"/>
                <w:sz w:val="20"/>
              </w:rPr>
              <w:t xml:space="preserve">Economic terms </w:t>
            </w:r>
          </w:p>
        </w:tc>
        <w:tc>
          <w:tcPr>
            <w:tcW w:w="6379" w:type="dxa"/>
          </w:tcPr>
          <w:p w14:paraId="4B5C149B" w14:textId="77777777" w:rsidR="00CD7C08" w:rsidRDefault="00CD7C08" w:rsidP="001721F7">
            <w:pPr>
              <w:spacing w:after="200" w:line="276" w:lineRule="auto"/>
              <w:rPr>
                <w:rFonts w:eastAsia="Corbel" w:cs="Times New Roman"/>
                <w:sz w:val="20"/>
              </w:rPr>
            </w:pPr>
            <w:r>
              <w:rPr>
                <w:rFonts w:eastAsia="Corbel" w:cs="Times New Roman"/>
                <w:sz w:val="20"/>
              </w:rPr>
              <w:t>Definition</w:t>
            </w:r>
          </w:p>
        </w:tc>
      </w:tr>
      <w:tr w:rsidR="00BF13C1" w14:paraId="1CE7AF2D" w14:textId="77777777" w:rsidTr="00F370A5">
        <w:tc>
          <w:tcPr>
            <w:tcW w:w="3402" w:type="dxa"/>
          </w:tcPr>
          <w:p w14:paraId="5EB636E3" w14:textId="7379DA95" w:rsidR="00BF13C1" w:rsidRDefault="00BF13C1" w:rsidP="001721F7">
            <w:pPr>
              <w:spacing w:after="200" w:line="276" w:lineRule="auto"/>
              <w:rPr>
                <w:rFonts w:eastAsia="Corbel" w:cs="Times New Roman"/>
                <w:sz w:val="20"/>
              </w:rPr>
            </w:pPr>
            <w:r>
              <w:rPr>
                <w:rFonts w:eastAsia="Corbel" w:cs="Times New Roman"/>
                <w:sz w:val="20"/>
              </w:rPr>
              <w:t>Net operating profit (NOP)</w:t>
            </w:r>
            <w:r w:rsidR="00614C49">
              <w:rPr>
                <w:rFonts w:eastAsia="Corbel" w:cs="Times New Roman"/>
                <w:sz w:val="20"/>
              </w:rPr>
              <w:t xml:space="preserve"> (without valuing unpaid family </w:t>
            </w:r>
            <w:proofErr w:type="spellStart"/>
            <w:r w:rsidR="00614C49">
              <w:rPr>
                <w:rFonts w:eastAsia="Corbel" w:cs="Times New Roman"/>
                <w:sz w:val="20"/>
              </w:rPr>
              <w:t>labour</w:t>
            </w:r>
            <w:proofErr w:type="spellEnd"/>
            <w:r w:rsidR="00614C49">
              <w:rPr>
                <w:rFonts w:eastAsia="Corbel" w:cs="Times New Roman"/>
                <w:sz w:val="20"/>
              </w:rPr>
              <w:t>)</w:t>
            </w:r>
          </w:p>
        </w:tc>
        <w:tc>
          <w:tcPr>
            <w:tcW w:w="6379" w:type="dxa"/>
          </w:tcPr>
          <w:p w14:paraId="0F647BA2" w14:textId="12240AA1" w:rsidR="00BF13C1" w:rsidRDefault="00614C49" w:rsidP="001721F7">
            <w:pPr>
              <w:spacing w:after="200" w:line="276" w:lineRule="auto"/>
              <w:rPr>
                <w:rFonts w:eastAsia="Corbel" w:cs="Times New Roman"/>
                <w:sz w:val="20"/>
              </w:rPr>
            </w:pPr>
            <w:r>
              <w:rPr>
                <w:rFonts w:eastAsia="Corbel" w:cs="Times New Roman"/>
                <w:sz w:val="20"/>
              </w:rPr>
              <w:t xml:space="preserve">(Revenues – Expenses) – Depreciation </w:t>
            </w:r>
          </w:p>
        </w:tc>
      </w:tr>
      <w:tr w:rsidR="00CD7C08" w14:paraId="039EA397" w14:textId="77777777" w:rsidTr="00F370A5">
        <w:tc>
          <w:tcPr>
            <w:tcW w:w="3402" w:type="dxa"/>
          </w:tcPr>
          <w:p w14:paraId="66D33D57" w14:textId="77777777" w:rsidR="00CD7C08" w:rsidRDefault="00CD7C08" w:rsidP="001721F7">
            <w:pPr>
              <w:spacing w:after="200" w:line="276" w:lineRule="auto"/>
              <w:rPr>
                <w:rFonts w:eastAsia="Corbel" w:cs="Times New Roman"/>
                <w:sz w:val="20"/>
              </w:rPr>
            </w:pPr>
            <w:r>
              <w:rPr>
                <w:rFonts w:eastAsia="Corbel" w:cs="Times New Roman"/>
                <w:sz w:val="20"/>
              </w:rPr>
              <w:t>Direct value added (VA)</w:t>
            </w:r>
          </w:p>
        </w:tc>
        <w:tc>
          <w:tcPr>
            <w:tcW w:w="6379" w:type="dxa"/>
          </w:tcPr>
          <w:p w14:paraId="50E5313C" w14:textId="3C395618" w:rsidR="00CD7C08" w:rsidRDefault="00CD7C08" w:rsidP="001721F7">
            <w:pPr>
              <w:spacing w:after="200" w:line="276" w:lineRule="auto"/>
              <w:rPr>
                <w:rFonts w:eastAsia="Corbel" w:cs="Times New Roman"/>
                <w:sz w:val="20"/>
              </w:rPr>
            </w:pPr>
            <w:r w:rsidRPr="002D7800">
              <w:rPr>
                <w:rFonts w:eastAsia="Corbel" w:cs="Times New Roman"/>
                <w:sz w:val="20"/>
              </w:rPr>
              <w:t>The sum of the VA generated by all the actors operating</w:t>
            </w:r>
            <w:r>
              <w:rPr>
                <w:rFonts w:eastAsia="Corbel" w:cs="Times New Roman"/>
                <w:sz w:val="20"/>
              </w:rPr>
              <w:t xml:space="preserve"> </w:t>
            </w:r>
            <w:r w:rsidRPr="002D7800">
              <w:rPr>
                <w:rFonts w:eastAsia="Corbel" w:cs="Times New Roman"/>
                <w:sz w:val="20"/>
              </w:rPr>
              <w:t>within the VC limits (i.e. actors producing, processing or</w:t>
            </w:r>
            <w:r>
              <w:rPr>
                <w:rFonts w:eastAsia="Corbel" w:cs="Times New Roman"/>
                <w:sz w:val="20"/>
              </w:rPr>
              <w:t xml:space="preserve"> </w:t>
            </w:r>
            <w:r w:rsidR="006A66C3" w:rsidRPr="002D7800">
              <w:rPr>
                <w:rFonts w:eastAsia="Corbel" w:cs="Times New Roman"/>
                <w:sz w:val="20"/>
              </w:rPr>
              <w:t>channeling</w:t>
            </w:r>
            <w:r w:rsidRPr="002D7800">
              <w:rPr>
                <w:rFonts w:eastAsia="Corbel" w:cs="Times New Roman"/>
                <w:sz w:val="20"/>
              </w:rPr>
              <w:t xml:space="preserve"> the VC product)</w:t>
            </w:r>
          </w:p>
        </w:tc>
      </w:tr>
      <w:tr w:rsidR="00CD7C08" w14:paraId="01126806" w14:textId="77777777" w:rsidTr="00F370A5">
        <w:tc>
          <w:tcPr>
            <w:tcW w:w="3402" w:type="dxa"/>
          </w:tcPr>
          <w:p w14:paraId="77F694B2" w14:textId="77777777" w:rsidR="00CD7C08" w:rsidRDefault="00CD7C08" w:rsidP="001721F7">
            <w:pPr>
              <w:spacing w:after="200" w:line="276" w:lineRule="auto"/>
              <w:rPr>
                <w:rFonts w:eastAsia="Corbel" w:cs="Times New Roman"/>
                <w:sz w:val="20"/>
              </w:rPr>
            </w:pPr>
            <w:r>
              <w:rPr>
                <w:rFonts w:eastAsia="Corbel" w:cs="Times New Roman"/>
                <w:sz w:val="20"/>
              </w:rPr>
              <w:t>Indirect VA</w:t>
            </w:r>
          </w:p>
        </w:tc>
        <w:tc>
          <w:tcPr>
            <w:tcW w:w="6379" w:type="dxa"/>
          </w:tcPr>
          <w:p w14:paraId="49B35D62" w14:textId="77777777" w:rsidR="00CD7C08" w:rsidRDefault="00CD7C08" w:rsidP="001721F7">
            <w:pPr>
              <w:spacing w:after="200" w:line="276" w:lineRule="auto"/>
              <w:rPr>
                <w:rFonts w:eastAsia="Corbel" w:cs="Times New Roman"/>
                <w:sz w:val="20"/>
              </w:rPr>
            </w:pPr>
            <w:r w:rsidRPr="002D7800">
              <w:rPr>
                <w:rFonts w:eastAsia="Corbel" w:cs="Times New Roman"/>
                <w:sz w:val="20"/>
              </w:rPr>
              <w:t>The</w:t>
            </w:r>
            <w:r>
              <w:rPr>
                <w:rFonts w:eastAsia="Corbel" w:cs="Times New Roman"/>
                <w:sz w:val="20"/>
              </w:rPr>
              <w:t xml:space="preserve"> </w:t>
            </w:r>
            <w:r w:rsidRPr="002D7800">
              <w:rPr>
                <w:rFonts w:eastAsia="Corbel" w:cs="Times New Roman"/>
                <w:sz w:val="20"/>
              </w:rPr>
              <w:t xml:space="preserve">sum of the VA generated by all the suppliers </w:t>
            </w:r>
            <w:proofErr w:type="gramStart"/>
            <w:r w:rsidRPr="002D7800">
              <w:rPr>
                <w:rFonts w:eastAsia="Corbel" w:cs="Times New Roman"/>
                <w:sz w:val="20"/>
              </w:rPr>
              <w:t>external</w:t>
            </w:r>
            <w:proofErr w:type="gramEnd"/>
            <w:r w:rsidRPr="002D7800">
              <w:rPr>
                <w:rFonts w:eastAsia="Corbel" w:cs="Times New Roman"/>
                <w:sz w:val="20"/>
              </w:rPr>
              <w:t xml:space="preserve"> to the</w:t>
            </w:r>
            <w:r>
              <w:rPr>
                <w:rFonts w:eastAsia="Corbel" w:cs="Times New Roman"/>
                <w:sz w:val="20"/>
              </w:rPr>
              <w:t xml:space="preserve"> </w:t>
            </w:r>
            <w:r w:rsidRPr="002D7800">
              <w:rPr>
                <w:rFonts w:eastAsia="Corbel" w:cs="Times New Roman"/>
                <w:sz w:val="20"/>
              </w:rPr>
              <w:t xml:space="preserve">VC (i.e. actors providing intermediate goods and services </w:t>
            </w:r>
            <w:r>
              <w:rPr>
                <w:rFonts w:eastAsia="Corbel" w:cs="Times New Roman"/>
                <w:sz w:val="20"/>
              </w:rPr>
              <w:t>to the</w:t>
            </w:r>
            <w:r w:rsidRPr="002D7800">
              <w:rPr>
                <w:rFonts w:eastAsia="Corbel" w:cs="Times New Roman"/>
                <w:sz w:val="20"/>
              </w:rPr>
              <w:t xml:space="preserve"> VC actors, therefore not handling nor processing the VC</w:t>
            </w:r>
            <w:r>
              <w:rPr>
                <w:rFonts w:eastAsia="Corbel" w:cs="Times New Roman"/>
                <w:sz w:val="20"/>
              </w:rPr>
              <w:t xml:space="preserve"> </w:t>
            </w:r>
            <w:r w:rsidRPr="002D7800">
              <w:rPr>
                <w:rFonts w:eastAsia="Corbel" w:cs="Times New Roman"/>
                <w:sz w:val="20"/>
              </w:rPr>
              <w:t>products)</w:t>
            </w:r>
          </w:p>
        </w:tc>
      </w:tr>
      <w:tr w:rsidR="00CD7C08" w14:paraId="20EE65AC" w14:textId="77777777" w:rsidTr="00F370A5">
        <w:tc>
          <w:tcPr>
            <w:tcW w:w="3402" w:type="dxa"/>
          </w:tcPr>
          <w:p w14:paraId="3A2D657A" w14:textId="77777777" w:rsidR="00CD7C08" w:rsidRDefault="00CD7C08" w:rsidP="001721F7">
            <w:pPr>
              <w:spacing w:after="200" w:line="276" w:lineRule="auto"/>
              <w:rPr>
                <w:rFonts w:eastAsia="Corbel" w:cs="Times New Roman"/>
                <w:sz w:val="20"/>
              </w:rPr>
            </w:pPr>
            <w:r>
              <w:rPr>
                <w:rFonts w:eastAsia="Corbel" w:cs="Times New Roman"/>
                <w:sz w:val="20"/>
              </w:rPr>
              <w:t>Total VA</w:t>
            </w:r>
          </w:p>
        </w:tc>
        <w:tc>
          <w:tcPr>
            <w:tcW w:w="6379" w:type="dxa"/>
          </w:tcPr>
          <w:p w14:paraId="7A9AD51B" w14:textId="77777777" w:rsidR="00CD7C08" w:rsidRPr="002D7800" w:rsidRDefault="00CD7C08" w:rsidP="001721F7">
            <w:pPr>
              <w:spacing w:after="200" w:line="276" w:lineRule="auto"/>
              <w:rPr>
                <w:rFonts w:eastAsia="Corbel" w:cs="Times New Roman"/>
                <w:sz w:val="20"/>
              </w:rPr>
            </w:pPr>
            <w:r>
              <w:rPr>
                <w:rFonts w:eastAsia="Corbel" w:cs="Times New Roman"/>
                <w:sz w:val="20"/>
              </w:rPr>
              <w:t>The sum of the direct and indirect VA</w:t>
            </w:r>
          </w:p>
        </w:tc>
      </w:tr>
      <w:tr w:rsidR="00614C49" w14:paraId="6236AA8B" w14:textId="77777777" w:rsidTr="00F370A5">
        <w:tc>
          <w:tcPr>
            <w:tcW w:w="3402" w:type="dxa"/>
          </w:tcPr>
          <w:p w14:paraId="6C25DE5A" w14:textId="119B8B85" w:rsidR="00614C49" w:rsidRDefault="00614C49" w:rsidP="001721F7">
            <w:pPr>
              <w:spacing w:after="200" w:line="276" w:lineRule="auto"/>
              <w:rPr>
                <w:rFonts w:eastAsia="Corbel" w:cs="Times New Roman"/>
                <w:sz w:val="20"/>
              </w:rPr>
            </w:pPr>
            <w:r>
              <w:rPr>
                <w:rFonts w:eastAsia="Corbel" w:cs="Times New Roman"/>
                <w:sz w:val="20"/>
              </w:rPr>
              <w:t xml:space="preserve">Rate of integration </w:t>
            </w:r>
            <w:r w:rsidR="007B0019">
              <w:rPr>
                <w:rFonts w:eastAsia="Corbel" w:cs="Times New Roman"/>
                <w:sz w:val="20"/>
              </w:rPr>
              <w:t>within the domestic economy</w:t>
            </w:r>
          </w:p>
        </w:tc>
        <w:tc>
          <w:tcPr>
            <w:tcW w:w="6379" w:type="dxa"/>
          </w:tcPr>
          <w:p w14:paraId="443BF2D5" w14:textId="77777777" w:rsidR="00614C49" w:rsidRDefault="003F1B05" w:rsidP="003F1B05">
            <w:pPr>
              <w:spacing w:after="200" w:line="276" w:lineRule="auto"/>
              <w:rPr>
                <w:rFonts w:eastAsia="Corbel" w:cs="Times New Roman"/>
                <w:sz w:val="20"/>
                <w:lang w:val="en-GB"/>
              </w:rPr>
            </w:pPr>
            <w:r>
              <w:rPr>
                <w:rFonts w:eastAsia="Corbel" w:cs="Times New Roman"/>
                <w:sz w:val="20"/>
                <w:lang w:val="en-GB"/>
              </w:rPr>
              <w:t>T</w:t>
            </w:r>
            <w:r w:rsidRPr="003F1B05">
              <w:rPr>
                <w:rFonts w:eastAsia="Corbel" w:cs="Times New Roman"/>
                <w:sz w:val="20"/>
                <w:lang w:val="en-GB"/>
              </w:rPr>
              <w:t>he portion of the value</w:t>
            </w:r>
            <w:r>
              <w:rPr>
                <w:rFonts w:eastAsia="Corbel" w:cs="Times New Roman"/>
                <w:sz w:val="20"/>
                <w:lang w:val="en-GB"/>
              </w:rPr>
              <w:t xml:space="preserve"> </w:t>
            </w:r>
            <w:r w:rsidRPr="003F1B05">
              <w:rPr>
                <w:rFonts w:eastAsia="Corbel" w:cs="Times New Roman"/>
                <w:sz w:val="20"/>
                <w:lang w:val="en-GB"/>
              </w:rPr>
              <w:t>of the VC production which eventually remains within the</w:t>
            </w:r>
            <w:r>
              <w:rPr>
                <w:rFonts w:eastAsia="Corbel" w:cs="Times New Roman"/>
                <w:sz w:val="20"/>
                <w:lang w:val="en-GB"/>
              </w:rPr>
              <w:t xml:space="preserve"> </w:t>
            </w:r>
            <w:r w:rsidRPr="003F1B05">
              <w:rPr>
                <w:rFonts w:eastAsia="Corbel" w:cs="Times New Roman"/>
                <w:sz w:val="20"/>
                <w:lang w:val="en-GB"/>
              </w:rPr>
              <w:t>national economy</w:t>
            </w:r>
          </w:p>
          <w:p w14:paraId="03D01EB5" w14:textId="6480A8CB" w:rsidR="003F1B05" w:rsidRPr="003F1B05" w:rsidRDefault="003F1B05" w:rsidP="003F1B05">
            <w:pPr>
              <w:spacing w:after="200" w:line="276" w:lineRule="auto"/>
              <w:rPr>
                <w:rFonts w:eastAsia="Corbel" w:cs="Times New Roman"/>
                <w:sz w:val="20"/>
                <w:lang w:val="en-GB"/>
              </w:rPr>
            </w:pPr>
            <w:r>
              <w:rPr>
                <w:rFonts w:eastAsia="Corbel" w:cs="Times New Roman"/>
                <w:sz w:val="20"/>
                <w:lang w:val="en-GB"/>
              </w:rPr>
              <w:t>Rate of integration = Total VA / Production of the VC</w:t>
            </w:r>
          </w:p>
        </w:tc>
      </w:tr>
      <w:tr w:rsidR="003F1B05" w:rsidRPr="003F1B05" w14:paraId="3F7DCC0E" w14:textId="77777777" w:rsidTr="00F370A5">
        <w:tc>
          <w:tcPr>
            <w:tcW w:w="3402" w:type="dxa"/>
          </w:tcPr>
          <w:p w14:paraId="2A775188" w14:textId="2B97EBCD" w:rsidR="003F1B05" w:rsidRDefault="003F1B05" w:rsidP="001721F7">
            <w:pPr>
              <w:spacing w:after="200" w:line="276" w:lineRule="auto"/>
              <w:rPr>
                <w:rFonts w:eastAsia="Corbel" w:cs="Times New Roman"/>
                <w:sz w:val="20"/>
              </w:rPr>
            </w:pPr>
            <w:r>
              <w:rPr>
                <w:rFonts w:eastAsia="Corbel" w:cs="Times New Roman"/>
                <w:sz w:val="20"/>
              </w:rPr>
              <w:t>Driving effect ratio</w:t>
            </w:r>
          </w:p>
        </w:tc>
        <w:tc>
          <w:tcPr>
            <w:tcW w:w="6379" w:type="dxa"/>
          </w:tcPr>
          <w:p w14:paraId="61A30207" w14:textId="77777777" w:rsidR="003F1B05" w:rsidRDefault="003F1B05" w:rsidP="003F1B05">
            <w:pPr>
              <w:spacing w:after="200" w:line="276" w:lineRule="auto"/>
              <w:rPr>
                <w:rFonts w:eastAsia="Corbel" w:cs="Times New Roman"/>
                <w:sz w:val="20"/>
                <w:lang w:val="en-GB"/>
              </w:rPr>
            </w:pPr>
            <w:r>
              <w:rPr>
                <w:rFonts w:eastAsia="Corbel" w:cs="Times New Roman"/>
                <w:sz w:val="20"/>
                <w:lang w:val="en-GB"/>
              </w:rPr>
              <w:t xml:space="preserve">It informs on </w:t>
            </w:r>
            <w:r w:rsidRPr="003F1B05">
              <w:rPr>
                <w:rFonts w:eastAsia="Corbel" w:cs="Times New Roman"/>
                <w:sz w:val="20"/>
                <w:lang w:val="en-GB"/>
              </w:rPr>
              <w:t>the involvement of domestic business in supporting the</w:t>
            </w:r>
            <w:r>
              <w:rPr>
                <w:rFonts w:eastAsia="Corbel" w:cs="Times New Roman"/>
                <w:sz w:val="20"/>
                <w:lang w:val="en-GB"/>
              </w:rPr>
              <w:t xml:space="preserve"> </w:t>
            </w:r>
            <w:r w:rsidRPr="003F1B05">
              <w:rPr>
                <w:rFonts w:eastAsia="Corbel" w:cs="Times New Roman"/>
                <w:sz w:val="20"/>
                <w:lang w:val="en-GB"/>
              </w:rPr>
              <w:t>activities of the VC</w:t>
            </w:r>
            <w:r>
              <w:rPr>
                <w:rFonts w:eastAsia="Corbel" w:cs="Times New Roman"/>
                <w:sz w:val="20"/>
                <w:lang w:val="en-GB"/>
              </w:rPr>
              <w:t>.</w:t>
            </w:r>
          </w:p>
          <w:p w14:paraId="3E7F94D7" w14:textId="1F5F7DA4" w:rsidR="003F1B05" w:rsidRPr="003F1B05" w:rsidRDefault="003F1B05" w:rsidP="003F1B05">
            <w:pPr>
              <w:spacing w:after="200" w:line="276" w:lineRule="auto"/>
              <w:rPr>
                <w:rFonts w:eastAsia="Corbel" w:cs="Times New Roman"/>
                <w:sz w:val="20"/>
                <w:lang w:val="fr-FR"/>
              </w:rPr>
            </w:pPr>
            <w:r w:rsidRPr="003F1B05">
              <w:rPr>
                <w:rFonts w:eastAsia="Corbel" w:cs="Times New Roman"/>
                <w:sz w:val="20"/>
                <w:lang w:val="fr-FR"/>
              </w:rPr>
              <w:t xml:space="preserve">Driving </w:t>
            </w:r>
            <w:proofErr w:type="spellStart"/>
            <w:r w:rsidRPr="003F1B05">
              <w:rPr>
                <w:rFonts w:eastAsia="Corbel" w:cs="Times New Roman"/>
                <w:sz w:val="20"/>
                <w:lang w:val="fr-FR"/>
              </w:rPr>
              <w:t>effect</w:t>
            </w:r>
            <w:proofErr w:type="spellEnd"/>
            <w:r w:rsidRPr="003F1B05">
              <w:rPr>
                <w:rFonts w:eastAsia="Corbel" w:cs="Times New Roman"/>
                <w:sz w:val="20"/>
                <w:lang w:val="fr-FR"/>
              </w:rPr>
              <w:t xml:space="preserve"> ratio = Indirect VA / Dire</w:t>
            </w:r>
            <w:r>
              <w:rPr>
                <w:rFonts w:eastAsia="Corbel" w:cs="Times New Roman"/>
                <w:sz w:val="20"/>
                <w:lang w:val="fr-FR"/>
              </w:rPr>
              <w:t>ct VA</w:t>
            </w:r>
          </w:p>
        </w:tc>
      </w:tr>
      <w:tr w:rsidR="003F1B05" w:rsidRPr="003F1B05" w14:paraId="095E0F14" w14:textId="77777777" w:rsidTr="00F370A5">
        <w:tc>
          <w:tcPr>
            <w:tcW w:w="3402" w:type="dxa"/>
          </w:tcPr>
          <w:p w14:paraId="105E442E" w14:textId="070E353C" w:rsidR="003F1B05" w:rsidRDefault="003F1B05" w:rsidP="001721F7">
            <w:pPr>
              <w:spacing w:after="200" w:line="276" w:lineRule="auto"/>
              <w:rPr>
                <w:rFonts w:eastAsia="Corbel" w:cs="Times New Roman"/>
                <w:sz w:val="20"/>
              </w:rPr>
            </w:pPr>
            <w:r>
              <w:rPr>
                <w:rFonts w:eastAsia="Corbel" w:cs="Times New Roman"/>
                <w:sz w:val="20"/>
              </w:rPr>
              <w:t xml:space="preserve">Public funds balance </w:t>
            </w:r>
          </w:p>
        </w:tc>
        <w:tc>
          <w:tcPr>
            <w:tcW w:w="6379" w:type="dxa"/>
          </w:tcPr>
          <w:p w14:paraId="0153EBDD" w14:textId="65184535" w:rsidR="003F1B05" w:rsidRPr="003F1B05" w:rsidRDefault="003F1B05" w:rsidP="003F1B05">
            <w:pPr>
              <w:spacing w:after="200" w:line="276" w:lineRule="auto"/>
              <w:rPr>
                <w:rFonts w:eastAsia="Corbel" w:cs="Times New Roman"/>
                <w:i/>
                <w:iCs/>
                <w:sz w:val="20"/>
                <w:lang w:val="en-GB"/>
              </w:rPr>
            </w:pPr>
            <w:r>
              <w:rPr>
                <w:rFonts w:eastAsia="Corbel" w:cs="Times New Roman"/>
                <w:sz w:val="20"/>
                <w:lang w:val="en-GB"/>
              </w:rPr>
              <w:t xml:space="preserve">Impact on public funds= </w:t>
            </w:r>
            <w:r w:rsidRPr="00D844F8">
              <w:rPr>
                <w:rFonts w:eastAsia="Corbel" w:cs="Times New Roman"/>
                <w:sz w:val="20"/>
                <w:lang w:val="en-GB"/>
              </w:rPr>
              <w:t xml:space="preserve">Benefits </w:t>
            </w:r>
            <w:r w:rsidRPr="003F1B05">
              <w:rPr>
                <w:rFonts w:eastAsia="Corbel" w:cs="Times New Roman"/>
                <w:sz w:val="20"/>
                <w:lang w:val="en-GB"/>
              </w:rPr>
              <w:t>[</w:t>
            </w:r>
            <w:r w:rsidRPr="003F1B05">
              <w:rPr>
                <w:rFonts w:eastAsia="Corbel" w:cs="Times New Roman"/>
                <w:i/>
                <w:iCs/>
                <w:sz w:val="20"/>
                <w:lang w:val="en-GB"/>
              </w:rPr>
              <w:t>Total taxes + Total OP</w:t>
            </w:r>
          </w:p>
          <w:p w14:paraId="0B6A557B" w14:textId="7E8940AA" w:rsidR="003F1B05" w:rsidRPr="003F1B05" w:rsidRDefault="003F1B05" w:rsidP="003F1B05">
            <w:pPr>
              <w:spacing w:after="200" w:line="276" w:lineRule="auto"/>
              <w:rPr>
                <w:rFonts w:eastAsia="Corbel" w:cs="Times New Roman"/>
                <w:i/>
                <w:iCs/>
                <w:sz w:val="20"/>
                <w:lang w:val="en-GB"/>
              </w:rPr>
            </w:pPr>
            <w:r w:rsidRPr="003F1B05">
              <w:rPr>
                <w:rFonts w:eastAsia="Corbel" w:cs="Times New Roman"/>
                <w:i/>
                <w:iCs/>
                <w:sz w:val="20"/>
                <w:lang w:val="en-GB"/>
              </w:rPr>
              <w:t>of public companies</w:t>
            </w:r>
            <w:r w:rsidRPr="003F1B05">
              <w:rPr>
                <w:rFonts w:eastAsia="Corbel" w:cs="Times New Roman"/>
                <w:sz w:val="20"/>
                <w:lang w:val="en-GB"/>
              </w:rPr>
              <w:t>]</w:t>
            </w:r>
            <w:r>
              <w:rPr>
                <w:rFonts w:eastAsia="Corbel" w:cs="Times New Roman"/>
                <w:sz w:val="20"/>
                <w:lang w:val="en-GB"/>
              </w:rPr>
              <w:t xml:space="preserve"> - </w:t>
            </w:r>
            <w:r w:rsidRPr="00D844F8">
              <w:rPr>
                <w:rFonts w:eastAsia="Corbel" w:cs="Times New Roman"/>
                <w:sz w:val="20"/>
                <w:lang w:val="en-GB"/>
              </w:rPr>
              <w:t>Costs</w:t>
            </w:r>
            <w:r>
              <w:rPr>
                <w:rFonts w:eastAsia="Corbel" w:cs="Times New Roman"/>
                <w:i/>
                <w:iCs/>
                <w:sz w:val="20"/>
                <w:lang w:val="en-GB"/>
              </w:rPr>
              <w:t xml:space="preserve"> </w:t>
            </w:r>
            <w:r w:rsidRPr="003F1B05">
              <w:rPr>
                <w:rFonts w:eastAsia="Corbel" w:cs="Times New Roman"/>
                <w:sz w:val="20"/>
                <w:lang w:val="en-GB"/>
              </w:rPr>
              <w:t>[</w:t>
            </w:r>
            <w:r w:rsidRPr="003F1B05">
              <w:rPr>
                <w:rFonts w:eastAsia="Corbel" w:cs="Times New Roman"/>
                <w:i/>
                <w:iCs/>
                <w:sz w:val="20"/>
                <w:lang w:val="en-GB"/>
              </w:rPr>
              <w:t>Subsidies + other public outlays</w:t>
            </w:r>
            <w:r w:rsidRPr="003F1B05">
              <w:rPr>
                <w:rFonts w:eastAsia="Corbel" w:cs="Times New Roman"/>
                <w:sz w:val="20"/>
                <w:lang w:val="en-GB"/>
              </w:rPr>
              <w:t>]</w:t>
            </w:r>
          </w:p>
        </w:tc>
      </w:tr>
      <w:tr w:rsidR="00D844F8" w:rsidRPr="003F1B05" w14:paraId="0861AAF1" w14:textId="77777777" w:rsidTr="00F370A5">
        <w:tc>
          <w:tcPr>
            <w:tcW w:w="3402" w:type="dxa"/>
          </w:tcPr>
          <w:p w14:paraId="19262A83" w14:textId="651CEB1C" w:rsidR="00D844F8" w:rsidRDefault="00D844F8" w:rsidP="001721F7">
            <w:pPr>
              <w:spacing w:after="200" w:line="276" w:lineRule="auto"/>
              <w:rPr>
                <w:rFonts w:eastAsia="Corbel" w:cs="Times New Roman"/>
                <w:sz w:val="20"/>
              </w:rPr>
            </w:pPr>
            <w:r>
              <w:rPr>
                <w:rFonts w:eastAsia="Corbel" w:cs="Times New Roman"/>
                <w:sz w:val="20"/>
              </w:rPr>
              <w:t xml:space="preserve">Balance of trade </w:t>
            </w:r>
          </w:p>
        </w:tc>
        <w:tc>
          <w:tcPr>
            <w:tcW w:w="6379" w:type="dxa"/>
          </w:tcPr>
          <w:p w14:paraId="6839B1AA" w14:textId="29F54270" w:rsidR="00D844F8" w:rsidRDefault="00D844F8" w:rsidP="003F1B05">
            <w:pPr>
              <w:spacing w:after="200" w:line="276" w:lineRule="auto"/>
              <w:rPr>
                <w:rFonts w:eastAsia="Corbel" w:cs="Times New Roman"/>
                <w:sz w:val="20"/>
                <w:lang w:val="en-GB"/>
              </w:rPr>
            </w:pPr>
            <w:r>
              <w:rPr>
                <w:rFonts w:eastAsia="Corbel" w:cs="Times New Roman"/>
                <w:sz w:val="20"/>
                <w:lang w:val="en-GB"/>
              </w:rPr>
              <w:t xml:space="preserve">Impact of the VC on balance of trade = VC exports – </w:t>
            </w:r>
            <w:r w:rsidR="00CC687A">
              <w:rPr>
                <w:rFonts w:eastAsia="Corbel" w:cs="Times New Roman"/>
                <w:sz w:val="20"/>
                <w:lang w:val="en-GB"/>
              </w:rPr>
              <w:t xml:space="preserve">VC </w:t>
            </w:r>
            <w:r>
              <w:rPr>
                <w:rFonts w:eastAsia="Corbel" w:cs="Times New Roman"/>
                <w:sz w:val="20"/>
                <w:lang w:val="en-GB"/>
              </w:rPr>
              <w:t>Total imports</w:t>
            </w:r>
            <w:r w:rsidR="00CC687A">
              <w:rPr>
                <w:rFonts w:eastAsia="Corbel" w:cs="Times New Roman"/>
                <w:sz w:val="20"/>
                <w:lang w:val="en-GB"/>
              </w:rPr>
              <w:t xml:space="preserve"> (</w:t>
            </w:r>
            <w:r w:rsidR="00CC687A">
              <w:rPr>
                <w:rFonts w:ascii="Segoe UI" w:hAnsi="Segoe UI" w:cs="Segoe UI"/>
                <w:color w:val="242424"/>
                <w:sz w:val="21"/>
                <w:szCs w:val="21"/>
                <w:shd w:val="clear" w:color="auto" w:fill="FFFFFF"/>
              </w:rPr>
              <w:t>inputs/ good and services/intermediate consumptions)</w:t>
            </w:r>
          </w:p>
        </w:tc>
      </w:tr>
      <w:tr w:rsidR="00CD7C08" w14:paraId="54716130" w14:textId="77777777" w:rsidTr="00F370A5">
        <w:tc>
          <w:tcPr>
            <w:tcW w:w="3402" w:type="dxa"/>
          </w:tcPr>
          <w:p w14:paraId="74BF2A82" w14:textId="77777777" w:rsidR="00CD7C08" w:rsidRDefault="00CD7C08" w:rsidP="001721F7">
            <w:pPr>
              <w:spacing w:after="200" w:line="276" w:lineRule="auto"/>
              <w:rPr>
                <w:rFonts w:eastAsia="Corbel" w:cs="Times New Roman"/>
                <w:sz w:val="20"/>
              </w:rPr>
            </w:pPr>
            <w:r>
              <w:rPr>
                <w:rFonts w:eastAsia="Corbel" w:cs="Times New Roman"/>
                <w:sz w:val="20"/>
              </w:rPr>
              <w:t>Nominal Protection Coefficient (NPC)</w:t>
            </w:r>
          </w:p>
        </w:tc>
        <w:tc>
          <w:tcPr>
            <w:tcW w:w="6379" w:type="dxa"/>
          </w:tcPr>
          <w:p w14:paraId="64CEB1D0" w14:textId="77777777" w:rsidR="00CD7C08" w:rsidRDefault="00CD7C08" w:rsidP="001721F7">
            <w:pPr>
              <w:spacing w:after="200" w:line="276" w:lineRule="auto"/>
              <w:rPr>
                <w:rFonts w:eastAsia="Corbel" w:cs="Times New Roman"/>
                <w:sz w:val="20"/>
              </w:rPr>
            </w:pPr>
            <w:r>
              <w:rPr>
                <w:rFonts w:eastAsia="Corbel" w:cs="Times New Roman"/>
                <w:sz w:val="20"/>
              </w:rPr>
              <w:t xml:space="preserve">It </w:t>
            </w:r>
            <w:r w:rsidRPr="00A63FE9">
              <w:rPr>
                <w:rFonts w:eastAsia="Corbel" w:cs="Times New Roman"/>
                <w:sz w:val="20"/>
              </w:rPr>
              <w:t>compares the national and international prices of</w:t>
            </w:r>
            <w:r>
              <w:rPr>
                <w:rFonts w:eastAsia="Corbel" w:cs="Times New Roman"/>
                <w:sz w:val="20"/>
              </w:rPr>
              <w:t xml:space="preserve"> </w:t>
            </w:r>
            <w:r w:rsidRPr="00A63FE9">
              <w:rPr>
                <w:rFonts w:eastAsia="Corbel" w:cs="Times New Roman"/>
                <w:sz w:val="20"/>
              </w:rPr>
              <w:t>every VC product.</w:t>
            </w:r>
          </w:p>
          <w:p w14:paraId="68886AAD" w14:textId="77777777" w:rsidR="00CD7C08" w:rsidRDefault="00CD7C08" w:rsidP="001721F7">
            <w:pPr>
              <w:spacing w:after="200" w:line="276" w:lineRule="auto"/>
              <w:rPr>
                <w:rFonts w:eastAsia="Corbel" w:cs="Times New Roman"/>
                <w:sz w:val="20"/>
              </w:rPr>
            </w:pPr>
            <w:r>
              <w:rPr>
                <w:rFonts w:eastAsia="Corbel" w:cs="Times New Roman"/>
                <w:sz w:val="20"/>
              </w:rPr>
              <w:t>NPC= Domestic price of the product / International parity price of the product</w:t>
            </w:r>
          </w:p>
        </w:tc>
      </w:tr>
      <w:tr w:rsidR="00CD7C08" w14:paraId="0A82900D" w14:textId="77777777" w:rsidTr="00F370A5">
        <w:tc>
          <w:tcPr>
            <w:tcW w:w="3402" w:type="dxa"/>
          </w:tcPr>
          <w:p w14:paraId="1CAA4F52" w14:textId="77777777" w:rsidR="00CD7C08" w:rsidRDefault="00CD7C08" w:rsidP="001721F7">
            <w:pPr>
              <w:spacing w:after="200" w:line="276" w:lineRule="auto"/>
              <w:rPr>
                <w:rFonts w:eastAsia="Corbel" w:cs="Times New Roman"/>
                <w:sz w:val="20"/>
              </w:rPr>
            </w:pPr>
            <w:r>
              <w:rPr>
                <w:rFonts w:eastAsia="Corbel" w:cs="Times New Roman"/>
                <w:sz w:val="20"/>
              </w:rPr>
              <w:t>Domestic Resource Cost Ratio (DRC)</w:t>
            </w:r>
          </w:p>
        </w:tc>
        <w:tc>
          <w:tcPr>
            <w:tcW w:w="6379" w:type="dxa"/>
          </w:tcPr>
          <w:p w14:paraId="4CB1D14F" w14:textId="77777777" w:rsidR="00CD7C08" w:rsidRDefault="00CD7C08" w:rsidP="001721F7">
            <w:pPr>
              <w:spacing w:after="200" w:line="276" w:lineRule="auto"/>
              <w:rPr>
                <w:rFonts w:eastAsia="Corbel" w:cs="Times New Roman"/>
                <w:sz w:val="20"/>
              </w:rPr>
            </w:pPr>
            <w:r>
              <w:rPr>
                <w:rFonts w:eastAsia="Corbel" w:cs="Times New Roman"/>
                <w:sz w:val="20"/>
              </w:rPr>
              <w:t>It compares (</w:t>
            </w:r>
            <w:proofErr w:type="spellStart"/>
            <w:r>
              <w:rPr>
                <w:rFonts w:eastAsia="Corbel" w:cs="Times New Roman"/>
                <w:sz w:val="20"/>
              </w:rPr>
              <w:t>i</w:t>
            </w:r>
            <w:proofErr w:type="spellEnd"/>
            <w:r>
              <w:rPr>
                <w:rFonts w:eastAsia="Corbel" w:cs="Times New Roman"/>
                <w:sz w:val="20"/>
              </w:rPr>
              <w:t xml:space="preserve">) </w:t>
            </w:r>
            <w:r w:rsidRPr="00A63FE9">
              <w:rPr>
                <w:rFonts w:eastAsia="Corbel" w:cs="Times New Roman"/>
                <w:sz w:val="20"/>
              </w:rPr>
              <w:t>the actual internal cost for the economy given by the</w:t>
            </w:r>
            <w:r>
              <w:rPr>
                <w:rFonts w:eastAsia="Corbel" w:cs="Times New Roman"/>
                <w:sz w:val="20"/>
              </w:rPr>
              <w:t xml:space="preserve"> </w:t>
            </w:r>
            <w:r w:rsidRPr="00A63FE9">
              <w:rPr>
                <w:rFonts w:eastAsia="Corbel" w:cs="Times New Roman"/>
                <w:sz w:val="20"/>
              </w:rPr>
              <w:t>actual remuneration of the domestic non-tradeable</w:t>
            </w:r>
            <w:r>
              <w:rPr>
                <w:rFonts w:eastAsia="Corbel" w:cs="Times New Roman"/>
                <w:sz w:val="20"/>
              </w:rPr>
              <w:t xml:space="preserve"> </w:t>
            </w:r>
            <w:r w:rsidRPr="00A63FE9">
              <w:rPr>
                <w:rFonts w:eastAsia="Corbel" w:cs="Times New Roman"/>
                <w:sz w:val="20"/>
              </w:rPr>
              <w:t xml:space="preserve">factors (e.g. </w:t>
            </w:r>
            <w:proofErr w:type="spellStart"/>
            <w:r w:rsidRPr="00A63FE9">
              <w:rPr>
                <w:rFonts w:eastAsia="Corbel" w:cs="Times New Roman"/>
                <w:sz w:val="20"/>
              </w:rPr>
              <w:t>labour</w:t>
            </w:r>
            <w:proofErr w:type="spellEnd"/>
            <w:r w:rsidRPr="00A63FE9">
              <w:rPr>
                <w:rFonts w:eastAsia="Corbel" w:cs="Times New Roman"/>
                <w:sz w:val="20"/>
              </w:rPr>
              <w:t>, capital, land, environmental goods)</w:t>
            </w:r>
            <w:r>
              <w:rPr>
                <w:rFonts w:eastAsia="Corbel" w:cs="Times New Roman"/>
                <w:sz w:val="20"/>
              </w:rPr>
              <w:t xml:space="preserve"> </w:t>
            </w:r>
            <w:proofErr w:type="spellStart"/>
            <w:r w:rsidRPr="00A63FE9">
              <w:rPr>
                <w:rFonts w:eastAsia="Corbel" w:cs="Times New Roman"/>
                <w:sz w:val="20"/>
              </w:rPr>
              <w:t>mobilised</w:t>
            </w:r>
            <w:proofErr w:type="spellEnd"/>
            <w:r w:rsidRPr="00A63FE9">
              <w:rPr>
                <w:rFonts w:eastAsia="Corbel" w:cs="Times New Roman"/>
                <w:sz w:val="20"/>
              </w:rPr>
              <w:t xml:space="preserve"> in the VC, and</w:t>
            </w:r>
            <w:r>
              <w:rPr>
                <w:rFonts w:eastAsia="Corbel" w:cs="Times New Roman"/>
                <w:sz w:val="20"/>
              </w:rPr>
              <w:t xml:space="preserve"> (ii) </w:t>
            </w:r>
            <w:r w:rsidRPr="00A63FE9">
              <w:rPr>
                <w:rFonts w:eastAsia="Corbel" w:cs="Times New Roman"/>
                <w:sz w:val="20"/>
              </w:rPr>
              <w:t>the net value created within the economy: estimated</w:t>
            </w:r>
            <w:r>
              <w:rPr>
                <w:rFonts w:eastAsia="Corbel" w:cs="Times New Roman"/>
                <w:sz w:val="20"/>
              </w:rPr>
              <w:t xml:space="preserve"> </w:t>
            </w:r>
            <w:r w:rsidRPr="00A63FE9">
              <w:rPr>
                <w:rFonts w:eastAsia="Corbel" w:cs="Times New Roman"/>
                <w:sz w:val="20"/>
              </w:rPr>
              <w:t>using international parity prices (of IC and production),</w:t>
            </w:r>
            <w:r>
              <w:rPr>
                <w:rFonts w:eastAsia="Corbel" w:cs="Times New Roman"/>
                <w:sz w:val="20"/>
              </w:rPr>
              <w:t xml:space="preserve"> </w:t>
            </w:r>
            <w:r w:rsidRPr="00A63FE9">
              <w:rPr>
                <w:rFonts w:eastAsia="Corbel" w:cs="Times New Roman"/>
                <w:sz w:val="20"/>
              </w:rPr>
              <w:t>i.e. from the opportunity standpoint of international</w:t>
            </w:r>
            <w:r>
              <w:rPr>
                <w:rFonts w:eastAsia="Corbel" w:cs="Times New Roman"/>
                <w:sz w:val="20"/>
              </w:rPr>
              <w:t xml:space="preserve"> </w:t>
            </w:r>
            <w:r w:rsidRPr="00A63FE9">
              <w:rPr>
                <w:rFonts w:eastAsia="Corbel" w:cs="Times New Roman"/>
                <w:sz w:val="20"/>
              </w:rPr>
              <w:t>markets.</w:t>
            </w:r>
          </w:p>
          <w:p w14:paraId="5CB79957" w14:textId="77777777" w:rsidR="00CD7C08" w:rsidRDefault="00CD7C08" w:rsidP="001721F7">
            <w:pPr>
              <w:spacing w:after="200" w:line="276" w:lineRule="auto"/>
              <w:rPr>
                <w:rFonts w:eastAsia="Corbel" w:cs="Times New Roman"/>
                <w:sz w:val="20"/>
              </w:rPr>
            </w:pPr>
            <w:r>
              <w:rPr>
                <w:rFonts w:eastAsia="Corbel" w:cs="Times New Roman"/>
                <w:sz w:val="20"/>
              </w:rPr>
              <w:t xml:space="preserve">DRC= </w:t>
            </w:r>
            <w:proofErr w:type="gramStart"/>
            <w:r w:rsidRPr="00235815">
              <w:rPr>
                <w:rFonts w:eastAsia="Corbel" w:cs="Times New Roman"/>
                <w:sz w:val="20"/>
              </w:rPr>
              <w:t>Non-tradeable</w:t>
            </w:r>
            <w:proofErr w:type="gramEnd"/>
            <w:r w:rsidRPr="00235815">
              <w:rPr>
                <w:rFonts w:eastAsia="Corbel" w:cs="Times New Roman"/>
                <w:sz w:val="20"/>
              </w:rPr>
              <w:t xml:space="preserve"> domestic factors</w:t>
            </w:r>
            <w:r>
              <w:rPr>
                <w:rFonts w:eastAsia="Corbel" w:cs="Times New Roman"/>
                <w:sz w:val="20"/>
              </w:rPr>
              <w:t xml:space="preserve"> </w:t>
            </w:r>
            <w:r w:rsidRPr="00235815">
              <w:rPr>
                <w:rFonts w:eastAsia="Corbel" w:cs="Times New Roman"/>
                <w:sz w:val="20"/>
              </w:rPr>
              <w:t>at market price (ex</w:t>
            </w:r>
            <w:r>
              <w:rPr>
                <w:rFonts w:eastAsia="Corbel" w:cs="Times New Roman"/>
                <w:sz w:val="20"/>
              </w:rPr>
              <w:t>c</w:t>
            </w:r>
            <w:r w:rsidRPr="00235815">
              <w:rPr>
                <w:rFonts w:eastAsia="Corbel" w:cs="Times New Roman"/>
                <w:sz w:val="20"/>
              </w:rPr>
              <w:t>luding transfers)</w:t>
            </w:r>
            <w:r>
              <w:rPr>
                <w:rFonts w:eastAsia="Corbel" w:cs="Times New Roman"/>
                <w:sz w:val="20"/>
              </w:rPr>
              <w:t xml:space="preserve"> / (</w:t>
            </w:r>
            <w:r w:rsidRPr="00235815">
              <w:rPr>
                <w:rFonts w:eastAsia="Corbel" w:cs="Times New Roman"/>
                <w:sz w:val="20"/>
              </w:rPr>
              <w:t>Production</w:t>
            </w:r>
            <w:r>
              <w:rPr>
                <w:rFonts w:eastAsia="Corbel" w:cs="Times New Roman"/>
                <w:sz w:val="20"/>
              </w:rPr>
              <w:t xml:space="preserve"> </w:t>
            </w:r>
            <w:r w:rsidRPr="00235815">
              <w:rPr>
                <w:rFonts w:eastAsia="Corbel" w:cs="Times New Roman"/>
                <w:sz w:val="20"/>
              </w:rPr>
              <w:t>at international price</w:t>
            </w:r>
            <w:r>
              <w:rPr>
                <w:rFonts w:eastAsia="Corbel" w:cs="Times New Roman"/>
                <w:sz w:val="20"/>
              </w:rPr>
              <w:t xml:space="preserve"> – </w:t>
            </w:r>
            <w:r w:rsidRPr="00235815">
              <w:rPr>
                <w:rFonts w:eastAsia="Corbel" w:cs="Times New Roman"/>
                <w:sz w:val="20"/>
              </w:rPr>
              <w:t>Tradeable</w:t>
            </w:r>
            <w:r>
              <w:rPr>
                <w:rFonts w:eastAsia="Corbel" w:cs="Times New Roman"/>
                <w:sz w:val="20"/>
              </w:rPr>
              <w:t xml:space="preserve"> </w:t>
            </w:r>
            <w:r w:rsidRPr="00235815">
              <w:rPr>
                <w:rFonts w:eastAsia="Corbel" w:cs="Times New Roman"/>
                <w:sz w:val="20"/>
              </w:rPr>
              <w:t>intermediate</w:t>
            </w:r>
            <w:r>
              <w:rPr>
                <w:rFonts w:eastAsia="Corbel" w:cs="Times New Roman"/>
                <w:sz w:val="20"/>
              </w:rPr>
              <w:t xml:space="preserve"> </w:t>
            </w:r>
            <w:r w:rsidRPr="00235815">
              <w:rPr>
                <w:rFonts w:eastAsia="Corbel" w:cs="Times New Roman"/>
                <w:sz w:val="20"/>
              </w:rPr>
              <w:t>goods and services</w:t>
            </w:r>
            <w:r>
              <w:rPr>
                <w:rFonts w:eastAsia="Corbel" w:cs="Times New Roman"/>
                <w:sz w:val="20"/>
              </w:rPr>
              <w:t xml:space="preserve"> </w:t>
            </w:r>
            <w:r w:rsidRPr="00235815">
              <w:rPr>
                <w:rFonts w:eastAsia="Corbel" w:cs="Times New Roman"/>
                <w:sz w:val="20"/>
              </w:rPr>
              <w:t>at international prices</w:t>
            </w:r>
            <w:r>
              <w:rPr>
                <w:rFonts w:eastAsia="Corbel" w:cs="Times New Roman"/>
                <w:sz w:val="20"/>
              </w:rPr>
              <w:t>)</w:t>
            </w:r>
          </w:p>
        </w:tc>
      </w:tr>
    </w:tbl>
    <w:p w14:paraId="4DDCF659" w14:textId="77777777" w:rsidR="00CD7C08" w:rsidRDefault="00CD7C08" w:rsidP="00CD7C08">
      <w:pPr>
        <w:spacing w:after="200"/>
        <w:contextualSpacing w:val="0"/>
        <w:jc w:val="left"/>
      </w:pPr>
    </w:p>
    <w:tbl>
      <w:tblPr>
        <w:tblStyle w:val="TableGrid"/>
        <w:tblW w:w="0" w:type="auto"/>
        <w:tblLook w:val="04A0" w:firstRow="1" w:lastRow="0" w:firstColumn="1" w:lastColumn="0" w:noHBand="0" w:noVBand="1"/>
      </w:tblPr>
      <w:tblGrid>
        <w:gridCol w:w="9360"/>
      </w:tblGrid>
      <w:tr w:rsidR="00A81B40" w:rsidRPr="00105C60" w14:paraId="273C5DC1" w14:textId="77777777" w:rsidTr="3821A05B">
        <w:trPr>
          <w:cnfStyle w:val="100000000000" w:firstRow="1" w:lastRow="0" w:firstColumn="0" w:lastColumn="0" w:oddVBand="0" w:evenVBand="0" w:oddHBand="0" w:evenHBand="0" w:firstRowFirstColumn="0" w:firstRowLastColumn="0" w:lastRowFirstColumn="0" w:lastRowLastColumn="0"/>
          <w:trHeight w:val="300"/>
        </w:trPr>
        <w:tc>
          <w:tcPr>
            <w:tcW w:w="9404" w:type="dxa"/>
          </w:tcPr>
          <w:p w14:paraId="77698C68" w14:textId="77777777" w:rsidR="00A81B40" w:rsidRPr="00105C60" w:rsidRDefault="00A81B40" w:rsidP="3821A05B">
            <w:pPr>
              <w:spacing w:line="280" w:lineRule="exact"/>
              <w:rPr>
                <w:sz w:val="20"/>
                <w:szCs w:val="20"/>
                <w:lang w:val="fr-FR"/>
              </w:rPr>
            </w:pPr>
            <w:r w:rsidRPr="3821A05B">
              <w:rPr>
                <w:sz w:val="20"/>
                <w:szCs w:val="20"/>
                <w:lang w:val="fr-FR"/>
              </w:rPr>
              <w:t>Exchange rate</w:t>
            </w:r>
          </w:p>
        </w:tc>
      </w:tr>
      <w:tr w:rsidR="00A81B40" w:rsidRPr="00BA6D1C" w14:paraId="6D34491F" w14:textId="77777777" w:rsidTr="3821A05B">
        <w:trPr>
          <w:trHeight w:val="300"/>
        </w:trPr>
        <w:tc>
          <w:tcPr>
            <w:tcW w:w="9404" w:type="dxa"/>
          </w:tcPr>
          <w:p w14:paraId="51E58536" w14:textId="6065C283" w:rsidR="00A81B40" w:rsidRPr="00BA6D1C" w:rsidRDefault="00A81B40" w:rsidP="3821A05B">
            <w:pPr>
              <w:spacing w:line="280" w:lineRule="exact"/>
              <w:rPr>
                <w:lang w:val="en-GB"/>
              </w:rPr>
            </w:pPr>
            <w:r w:rsidRPr="3821A05B">
              <w:rPr>
                <w:lang w:val="en-GB"/>
              </w:rPr>
              <w:t>1</w:t>
            </w:r>
            <w:r w:rsidRPr="3821A05B">
              <w:rPr>
                <w:rFonts w:cs="Open Sans"/>
                <w:lang w:val="en-GB"/>
              </w:rPr>
              <w:t>€</w:t>
            </w:r>
            <w:r w:rsidRPr="3821A05B">
              <w:rPr>
                <w:lang w:val="en-GB"/>
              </w:rPr>
              <w:t>=</w:t>
            </w:r>
            <w:r w:rsidR="69740CE0" w:rsidRPr="3821A05B">
              <w:rPr>
                <w:lang w:val="en-GB"/>
              </w:rPr>
              <w:t>27 Leone (SLE)</w:t>
            </w:r>
          </w:p>
        </w:tc>
      </w:tr>
    </w:tbl>
    <w:p w14:paraId="02DBB7E0" w14:textId="77777777" w:rsidR="00890B37" w:rsidRPr="008E013F" w:rsidRDefault="005619EA" w:rsidP="00890B37">
      <w:pPr>
        <w:pStyle w:val="Non-numberedheading"/>
        <w:rPr>
          <w:lang w:val="en-GB"/>
        </w:rPr>
      </w:pPr>
      <w:bookmarkStart w:id="5" w:name="_Toc228700984"/>
      <w:r w:rsidRPr="008E013F">
        <w:rPr>
          <w:lang w:val="en-GB"/>
        </w:rPr>
        <w:lastRenderedPageBreak/>
        <w:t>EXECUTIVE SUMMARY</w:t>
      </w:r>
      <w:bookmarkEnd w:id="5"/>
      <w:r w:rsidRPr="008E013F">
        <w:rPr>
          <w:lang w:val="en-GB"/>
        </w:rPr>
        <w:t xml:space="preserve"> </w:t>
      </w:r>
    </w:p>
    <w:p w14:paraId="429E0A57" w14:textId="74C4D900" w:rsidR="00C23D0C" w:rsidRDefault="00C23D0C" w:rsidP="00C23D0C">
      <w:pPr>
        <w:rPr>
          <w:sz w:val="20"/>
          <w:szCs w:val="20"/>
        </w:rPr>
      </w:pPr>
      <w:bookmarkStart w:id="6" w:name="_Hlk23322712"/>
      <w:r w:rsidRPr="3821A05B">
        <w:rPr>
          <w:sz w:val="20"/>
          <w:szCs w:val="20"/>
        </w:rPr>
        <w:t>Cocoa is one of the most strategically important export commodities in Sierra Leone and a central pillar of rural livelihoods. The sector supports more than 120,000 smallholder households and is highly export-oriented, with the European Union, particularly the Netherlands, as the dominant destination market. This analysis shows that while the cocoa value chain</w:t>
      </w:r>
      <w:r w:rsidR="003834AD" w:rsidRPr="3821A05B">
        <w:rPr>
          <w:sz w:val="20"/>
          <w:szCs w:val="20"/>
        </w:rPr>
        <w:t xml:space="preserve"> (VC)</w:t>
      </w:r>
      <w:r w:rsidRPr="3821A05B">
        <w:rPr>
          <w:sz w:val="20"/>
          <w:szCs w:val="20"/>
        </w:rPr>
        <w:t xml:space="preserve"> contributes meaningfully to economic growth and foreign exchange earnings, its long-term sustainability is constrained by structural weaknesses in productivity, inclusiveness, and institutional capacity.</w:t>
      </w:r>
    </w:p>
    <w:p w14:paraId="2C4487D2" w14:textId="77777777" w:rsidR="00C23D0C" w:rsidRPr="00500146" w:rsidRDefault="00C23D0C" w:rsidP="00C23D0C">
      <w:pPr>
        <w:rPr>
          <w:sz w:val="20"/>
          <w:szCs w:val="20"/>
        </w:rPr>
      </w:pPr>
    </w:p>
    <w:p w14:paraId="43FF7675" w14:textId="77777777" w:rsidR="00C23D0C" w:rsidRPr="00500146" w:rsidRDefault="00C23D0C" w:rsidP="00C23D0C">
      <w:pPr>
        <w:rPr>
          <w:b/>
          <w:bCs/>
          <w:sz w:val="20"/>
          <w:szCs w:val="20"/>
        </w:rPr>
      </w:pPr>
      <w:r w:rsidRPr="00500146">
        <w:rPr>
          <w:b/>
          <w:bCs/>
          <w:sz w:val="20"/>
          <w:szCs w:val="20"/>
        </w:rPr>
        <w:t>Functional analysis: a structurally fragile but high-potential system</w:t>
      </w:r>
    </w:p>
    <w:p w14:paraId="0204C341" w14:textId="67EAD8AE" w:rsidR="00C23D0C" w:rsidRPr="00500146" w:rsidRDefault="00C23D0C" w:rsidP="00C23D0C">
      <w:pPr>
        <w:rPr>
          <w:sz w:val="20"/>
          <w:szCs w:val="20"/>
        </w:rPr>
      </w:pPr>
      <w:r w:rsidRPr="3821A05B">
        <w:rPr>
          <w:sz w:val="20"/>
          <w:szCs w:val="20"/>
        </w:rPr>
        <w:t xml:space="preserve">The cocoa </w:t>
      </w:r>
      <w:r w:rsidR="003834AD" w:rsidRPr="3821A05B">
        <w:rPr>
          <w:sz w:val="20"/>
          <w:szCs w:val="20"/>
        </w:rPr>
        <w:t>VC</w:t>
      </w:r>
      <w:r w:rsidRPr="3821A05B">
        <w:rPr>
          <w:sz w:val="20"/>
          <w:szCs w:val="20"/>
        </w:rPr>
        <w:t xml:space="preserve"> is dominated by smallholder farmers operating low-input agroforestry systems. This production model underpins Sierra Leone’s comparative advantage in organic and specialty cocoa markets, but it also creates a set of interconnected vulnerabilities. The most critical constraint is persistently low productivity. National output is estimated at 18,000 to 19,000 </w:t>
      </w:r>
      <w:proofErr w:type="spellStart"/>
      <w:r w:rsidRPr="3821A05B">
        <w:rPr>
          <w:sz w:val="20"/>
          <w:szCs w:val="20"/>
        </w:rPr>
        <w:t>tonnes</w:t>
      </w:r>
      <w:proofErr w:type="spellEnd"/>
      <w:r w:rsidRPr="3821A05B">
        <w:rPr>
          <w:sz w:val="20"/>
          <w:szCs w:val="20"/>
        </w:rPr>
        <w:t xml:space="preserve">, well below historical levels, with yields averaging only 0.35 to 0.40 </w:t>
      </w:r>
      <w:proofErr w:type="spellStart"/>
      <w:r w:rsidRPr="3821A05B">
        <w:rPr>
          <w:sz w:val="20"/>
          <w:szCs w:val="20"/>
        </w:rPr>
        <w:t>tonnes</w:t>
      </w:r>
      <w:proofErr w:type="spellEnd"/>
      <w:r w:rsidRPr="3821A05B">
        <w:rPr>
          <w:sz w:val="20"/>
          <w:szCs w:val="20"/>
        </w:rPr>
        <w:t xml:space="preserve"> per hectare. These low yields are largely driven by ageing tree stock, limited use of inputs, and weak farm management.</w:t>
      </w:r>
    </w:p>
    <w:p w14:paraId="11EBAA3E" w14:textId="77777777" w:rsidR="00C23D0C" w:rsidRDefault="00C23D0C" w:rsidP="00C23D0C">
      <w:pPr>
        <w:rPr>
          <w:sz w:val="20"/>
          <w:szCs w:val="20"/>
        </w:rPr>
      </w:pPr>
    </w:p>
    <w:p w14:paraId="5C38DCF8" w14:textId="337401FC" w:rsidR="00C23D0C" w:rsidRPr="00500146" w:rsidRDefault="00C23D0C" w:rsidP="00C23D0C">
      <w:pPr>
        <w:rPr>
          <w:sz w:val="20"/>
          <w:szCs w:val="20"/>
        </w:rPr>
      </w:pPr>
      <w:r w:rsidRPr="3821A05B">
        <w:rPr>
          <w:sz w:val="20"/>
          <w:szCs w:val="20"/>
        </w:rPr>
        <w:t xml:space="preserve">Importantly, low productivity is not only an agronomic issue. It directly translates into low and unstable household income. This, in turn, drives </w:t>
      </w:r>
      <w:proofErr w:type="spellStart"/>
      <w:r w:rsidRPr="3821A05B">
        <w:rPr>
          <w:sz w:val="20"/>
          <w:szCs w:val="20"/>
        </w:rPr>
        <w:t>behaviours</w:t>
      </w:r>
      <w:proofErr w:type="spellEnd"/>
      <w:r w:rsidRPr="3821A05B">
        <w:rPr>
          <w:sz w:val="20"/>
          <w:szCs w:val="20"/>
        </w:rPr>
        <w:t xml:space="preserve"> such as side-selling of semi-processed beans through informal channels. These practices undermine quality control, weaken traceability systems, and threaten the credibility of certification, particularly for organic and EU markets. Geography further shapes both risks and opportunities. Production is concentrated in the Eastern Province, particularly Kailahun, Kenema, and Kono</w:t>
      </w:r>
      <w:r w:rsidR="00154E74" w:rsidRPr="3821A05B">
        <w:rPr>
          <w:sz w:val="20"/>
          <w:szCs w:val="20"/>
        </w:rPr>
        <w:t>, each playing a distinct role in the national strategy</w:t>
      </w:r>
      <w:r w:rsidRPr="3821A05B">
        <w:rPr>
          <w:sz w:val="20"/>
          <w:szCs w:val="20"/>
        </w:rPr>
        <w:t>.</w:t>
      </w:r>
      <w:r w:rsidR="00154E74" w:rsidRPr="3821A05B">
        <w:rPr>
          <w:sz w:val="20"/>
          <w:szCs w:val="20"/>
        </w:rPr>
        <w:t xml:space="preserve"> Kailahun serves as the core organic hub, Kenema functions as the commercial and warehousing </w:t>
      </w:r>
      <w:proofErr w:type="spellStart"/>
      <w:r w:rsidR="00154E74" w:rsidRPr="3821A05B">
        <w:rPr>
          <w:sz w:val="20"/>
          <w:szCs w:val="20"/>
        </w:rPr>
        <w:t>centre</w:t>
      </w:r>
      <w:proofErr w:type="spellEnd"/>
      <w:r w:rsidR="00154E74" w:rsidRPr="3821A05B">
        <w:rPr>
          <w:sz w:val="20"/>
          <w:szCs w:val="20"/>
        </w:rPr>
        <w:t>, and Kono represents the primary zone for rehabilitation and expansion.</w:t>
      </w:r>
      <w:r w:rsidRPr="3821A05B">
        <w:rPr>
          <w:sz w:val="20"/>
          <w:szCs w:val="20"/>
        </w:rPr>
        <w:t xml:space="preserve"> Border proximity in these areas increases the risk of unrecorded cross-border inflows of cocoa, which can compromise traceability and compliance. This is especially critical in the context of the EU Deforestation Regulation</w:t>
      </w:r>
      <w:r w:rsidR="003834AD" w:rsidRPr="3821A05B">
        <w:rPr>
          <w:sz w:val="20"/>
          <w:szCs w:val="20"/>
        </w:rPr>
        <w:t xml:space="preserve"> (EUDR)</w:t>
      </w:r>
      <w:r w:rsidRPr="3821A05B">
        <w:rPr>
          <w:sz w:val="20"/>
          <w:szCs w:val="20"/>
        </w:rPr>
        <w:t>, which requires farm-level geolocation</w:t>
      </w:r>
      <w:r w:rsidR="00FF4870">
        <w:rPr>
          <w:sz w:val="20"/>
          <w:szCs w:val="20"/>
        </w:rPr>
        <w:t>, traceability and legality along the supply chain</w:t>
      </w:r>
      <w:r w:rsidRPr="3821A05B">
        <w:rPr>
          <w:sz w:val="20"/>
          <w:szCs w:val="20"/>
        </w:rPr>
        <w:t>. Currently, fewer than 30% of farms are mapped, placing the sector at significant risk of non-compliance.</w:t>
      </w:r>
    </w:p>
    <w:p w14:paraId="609A6F7D" w14:textId="77777777" w:rsidR="00C23D0C" w:rsidRDefault="00C23D0C" w:rsidP="00C23D0C">
      <w:pPr>
        <w:rPr>
          <w:sz w:val="20"/>
          <w:szCs w:val="20"/>
        </w:rPr>
      </w:pPr>
    </w:p>
    <w:p w14:paraId="73A9ADC5" w14:textId="7F85A2A3" w:rsidR="00C23D0C" w:rsidRDefault="00154E74" w:rsidP="00C23D0C">
      <w:pPr>
        <w:rPr>
          <w:sz w:val="20"/>
          <w:szCs w:val="20"/>
        </w:rPr>
      </w:pPr>
      <w:r w:rsidRPr="3821A05B">
        <w:rPr>
          <w:sz w:val="20"/>
          <w:szCs w:val="20"/>
        </w:rPr>
        <w:t xml:space="preserve">The structural </w:t>
      </w:r>
      <w:proofErr w:type="spellStart"/>
      <w:r w:rsidRPr="3821A05B">
        <w:rPr>
          <w:sz w:val="20"/>
          <w:szCs w:val="20"/>
        </w:rPr>
        <w:t>organisation</w:t>
      </w:r>
      <w:proofErr w:type="spellEnd"/>
      <w:r w:rsidRPr="3821A05B">
        <w:rPr>
          <w:sz w:val="20"/>
          <w:szCs w:val="20"/>
        </w:rPr>
        <w:t xml:space="preserve"> of the </w:t>
      </w:r>
      <w:r w:rsidR="003834AD" w:rsidRPr="3821A05B">
        <w:rPr>
          <w:sz w:val="20"/>
          <w:szCs w:val="20"/>
        </w:rPr>
        <w:t>VC</w:t>
      </w:r>
      <w:r w:rsidRPr="3821A05B">
        <w:rPr>
          <w:sz w:val="20"/>
          <w:szCs w:val="20"/>
        </w:rPr>
        <w:t xml:space="preserve"> is highly </w:t>
      </w:r>
      <w:proofErr w:type="spellStart"/>
      <w:r w:rsidRPr="3821A05B">
        <w:rPr>
          <w:sz w:val="20"/>
          <w:szCs w:val="20"/>
        </w:rPr>
        <w:t>liberalised</w:t>
      </w:r>
      <w:proofErr w:type="spellEnd"/>
      <w:r w:rsidRPr="3821A05B">
        <w:rPr>
          <w:sz w:val="20"/>
          <w:szCs w:val="20"/>
        </w:rPr>
        <w:t xml:space="preserve"> and fragmented. While cooperatives manage approximately 30% of the volume and provide the institutional backbone for organic certification, </w:t>
      </w:r>
      <w:proofErr w:type="gramStart"/>
      <w:r w:rsidRPr="3821A05B">
        <w:rPr>
          <w:sz w:val="20"/>
          <w:szCs w:val="20"/>
        </w:rPr>
        <w:t>the majority of</w:t>
      </w:r>
      <w:proofErr w:type="gramEnd"/>
      <w:r w:rsidRPr="3821A05B">
        <w:rPr>
          <w:sz w:val="20"/>
          <w:szCs w:val="20"/>
        </w:rPr>
        <w:t xml:space="preserve"> the market is controlled by individual agents (60%) and dealers (10%). </w:t>
      </w:r>
      <w:r w:rsidR="00933AFD" w:rsidRPr="3821A05B">
        <w:rPr>
          <w:sz w:val="20"/>
          <w:szCs w:val="20"/>
        </w:rPr>
        <w:t xml:space="preserve">Downstream, 20 licensed exporters consolidate the produce for the international market, with over 95% of exports destined for the European Union, primarily the Netherlands. </w:t>
      </w:r>
      <w:r w:rsidR="00C23D0C" w:rsidRPr="3821A05B">
        <w:rPr>
          <w:sz w:val="20"/>
          <w:szCs w:val="20"/>
        </w:rPr>
        <w:t xml:space="preserve">The Produce Monitoring Board plays a key regulatory role in quality control and export </w:t>
      </w:r>
      <w:proofErr w:type="gramStart"/>
      <w:r w:rsidR="00C23D0C" w:rsidRPr="3821A05B">
        <w:rPr>
          <w:sz w:val="20"/>
          <w:szCs w:val="20"/>
        </w:rPr>
        <w:t>licensing, but</w:t>
      </w:r>
      <w:proofErr w:type="gramEnd"/>
      <w:r w:rsidR="00C23D0C" w:rsidRPr="3821A05B">
        <w:rPr>
          <w:sz w:val="20"/>
          <w:szCs w:val="20"/>
        </w:rPr>
        <w:t xml:space="preserve"> does not directly intervene in price </w:t>
      </w:r>
      <w:r w:rsidRPr="3821A05B">
        <w:rPr>
          <w:sz w:val="20"/>
          <w:szCs w:val="20"/>
        </w:rPr>
        <w:t>negotiation</w:t>
      </w:r>
      <w:r w:rsidR="00C23D0C" w:rsidRPr="3821A05B">
        <w:rPr>
          <w:sz w:val="20"/>
          <w:szCs w:val="20"/>
        </w:rPr>
        <w:t>. As a result, domestic prices closely follow global market trends. While this ensures strong price transmission, it also exposes farmers to high volatility. Combined with limited access to credit, this reinforces distress sales during the pre-harvest “hungry season”. Overall, the functional analysis highlights a system with strong market positioning but weak foundations. Low productivity, liquidity constraints, and limited traceability capacity are tightly linked and must be addressed together.</w:t>
      </w:r>
    </w:p>
    <w:p w14:paraId="7451E21A" w14:textId="77777777" w:rsidR="00A81B40" w:rsidRDefault="00A81B40" w:rsidP="00C23D0C">
      <w:pPr>
        <w:rPr>
          <w:sz w:val="20"/>
          <w:szCs w:val="20"/>
        </w:rPr>
      </w:pPr>
    </w:p>
    <w:p w14:paraId="53C931CD" w14:textId="77777777" w:rsidR="00A81B40" w:rsidRDefault="00A81B40" w:rsidP="00C23D0C">
      <w:pPr>
        <w:rPr>
          <w:sz w:val="20"/>
          <w:szCs w:val="20"/>
        </w:rPr>
      </w:pPr>
    </w:p>
    <w:p w14:paraId="63D457B7" w14:textId="77777777" w:rsidR="00F370A5" w:rsidRDefault="00F370A5" w:rsidP="00C23D0C">
      <w:pPr>
        <w:rPr>
          <w:sz w:val="20"/>
          <w:szCs w:val="20"/>
        </w:rPr>
      </w:pPr>
    </w:p>
    <w:p w14:paraId="377C5159" w14:textId="77777777" w:rsidR="00F370A5" w:rsidRDefault="00F370A5" w:rsidP="00C23D0C">
      <w:pPr>
        <w:rPr>
          <w:sz w:val="20"/>
          <w:szCs w:val="20"/>
        </w:rPr>
      </w:pPr>
    </w:p>
    <w:p w14:paraId="1E11134E" w14:textId="77777777" w:rsidR="00F370A5" w:rsidRDefault="00F370A5" w:rsidP="00C23D0C">
      <w:pPr>
        <w:rPr>
          <w:sz w:val="20"/>
          <w:szCs w:val="20"/>
        </w:rPr>
      </w:pPr>
    </w:p>
    <w:p w14:paraId="782E1C71" w14:textId="77777777" w:rsidR="00F370A5" w:rsidRDefault="00F370A5" w:rsidP="00C23D0C">
      <w:pPr>
        <w:rPr>
          <w:sz w:val="20"/>
          <w:szCs w:val="20"/>
        </w:rPr>
      </w:pPr>
    </w:p>
    <w:p w14:paraId="31D7785C" w14:textId="36CC3358" w:rsidR="00F370A5" w:rsidRDefault="00F370A5" w:rsidP="00C23D0C">
      <w:pPr>
        <w:rPr>
          <w:sz w:val="20"/>
          <w:szCs w:val="20"/>
        </w:rPr>
      </w:pPr>
      <w:r>
        <w:rPr>
          <w:noProof/>
        </w:rPr>
        <w:drawing>
          <wp:inline distT="0" distB="0" distL="0" distR="0" wp14:anchorId="52DA8C16" wp14:editId="253D0F05">
            <wp:extent cx="5724525" cy="3038475"/>
            <wp:effectExtent l="0" t="0" r="0" b="0"/>
            <wp:docPr id="3018504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09436" name="Picture 463409436"/>
                    <pic:cNvPicPr/>
                  </pic:nvPicPr>
                  <pic:blipFill>
                    <a:blip r:embed="rId15">
                      <a:extLst>
                        <a:ext uri="{28A0092B-C50C-407E-A947-70E740481C1C}">
                          <a14:useLocalDpi xmlns:a14="http://schemas.microsoft.com/office/drawing/2010/main"/>
                        </a:ext>
                      </a:extLst>
                    </a:blip>
                    <a:stretch>
                      <a:fillRect/>
                    </a:stretch>
                  </pic:blipFill>
                  <pic:spPr>
                    <a:xfrm>
                      <a:off x="0" y="0"/>
                      <a:ext cx="5724525" cy="3038475"/>
                    </a:xfrm>
                    <a:prstGeom prst="rect">
                      <a:avLst/>
                    </a:prstGeom>
                  </pic:spPr>
                </pic:pic>
              </a:graphicData>
            </a:graphic>
          </wp:inline>
        </w:drawing>
      </w:r>
    </w:p>
    <w:p w14:paraId="21B9192F" w14:textId="16F82A7D" w:rsidR="00F370A5" w:rsidRDefault="00F370A5" w:rsidP="00C23D0C">
      <w:pPr>
        <w:rPr>
          <w:sz w:val="20"/>
          <w:szCs w:val="20"/>
        </w:rPr>
      </w:pPr>
      <w:r>
        <w:rPr>
          <w:sz w:val="20"/>
          <w:szCs w:val="20"/>
        </w:rPr>
        <w:t xml:space="preserve">Figure ES 1: Flow chart of the cocoa value chain in Sierra Leone </w:t>
      </w:r>
    </w:p>
    <w:p w14:paraId="2A3CE386" w14:textId="77777777" w:rsidR="00F370A5" w:rsidRDefault="00F370A5" w:rsidP="00C23D0C">
      <w:pPr>
        <w:rPr>
          <w:sz w:val="20"/>
          <w:szCs w:val="20"/>
        </w:rPr>
      </w:pPr>
    </w:p>
    <w:p w14:paraId="789C7CCB" w14:textId="77777777" w:rsidR="00C23D0C" w:rsidRPr="00500146" w:rsidRDefault="00C23D0C" w:rsidP="00C23D0C">
      <w:pPr>
        <w:rPr>
          <w:sz w:val="20"/>
          <w:szCs w:val="20"/>
        </w:rPr>
      </w:pPr>
    </w:p>
    <w:p w14:paraId="4F7C5062" w14:textId="77777777" w:rsidR="00C23D0C" w:rsidRPr="00500146" w:rsidRDefault="00C23D0C" w:rsidP="00C23D0C">
      <w:pPr>
        <w:rPr>
          <w:b/>
          <w:bCs/>
          <w:sz w:val="20"/>
          <w:szCs w:val="20"/>
        </w:rPr>
      </w:pPr>
      <w:r w:rsidRPr="00500146">
        <w:rPr>
          <w:b/>
          <w:bCs/>
          <w:sz w:val="20"/>
          <w:szCs w:val="20"/>
        </w:rPr>
        <w:t>Economic analysis: strong contribution, weak foundations</w:t>
      </w:r>
    </w:p>
    <w:p w14:paraId="6F249624" w14:textId="77777777" w:rsidR="00C23D0C" w:rsidRPr="00500146" w:rsidRDefault="00C23D0C" w:rsidP="00C23D0C">
      <w:pPr>
        <w:rPr>
          <w:sz w:val="20"/>
          <w:szCs w:val="20"/>
        </w:rPr>
      </w:pPr>
      <w:r w:rsidRPr="00500146">
        <w:rPr>
          <w:b/>
          <w:bCs/>
          <w:sz w:val="20"/>
          <w:szCs w:val="20"/>
        </w:rPr>
        <w:t>Contribution to economic growth</w:t>
      </w:r>
    </w:p>
    <w:p w14:paraId="5B0E408E" w14:textId="659E0B97" w:rsidR="00C23D0C" w:rsidRPr="00500146" w:rsidRDefault="00C23D0C" w:rsidP="3821A05B">
      <w:pPr>
        <w:rPr>
          <w:sz w:val="20"/>
          <w:szCs w:val="20"/>
        </w:rPr>
      </w:pPr>
      <w:r w:rsidRPr="3821A05B">
        <w:rPr>
          <w:sz w:val="20"/>
          <w:szCs w:val="20"/>
        </w:rPr>
        <w:t xml:space="preserve">The cocoa </w:t>
      </w:r>
      <w:r w:rsidR="003834AD" w:rsidRPr="3821A05B">
        <w:rPr>
          <w:sz w:val="20"/>
          <w:szCs w:val="20"/>
        </w:rPr>
        <w:t>VC</w:t>
      </w:r>
      <w:r w:rsidRPr="3821A05B">
        <w:rPr>
          <w:sz w:val="20"/>
          <w:szCs w:val="20"/>
        </w:rPr>
        <w:t xml:space="preserve"> makes a clear and positive contribution to the national economy. Total </w:t>
      </w:r>
      <w:r w:rsidR="003834AD" w:rsidRPr="3821A05B">
        <w:rPr>
          <w:sz w:val="20"/>
          <w:szCs w:val="20"/>
        </w:rPr>
        <w:t>value added (VA)</w:t>
      </w:r>
      <w:r w:rsidRPr="3821A05B">
        <w:rPr>
          <w:sz w:val="20"/>
          <w:szCs w:val="20"/>
        </w:rPr>
        <w:t xml:space="preserve"> is estimated at approximately 2,831 million SLE</w:t>
      </w:r>
      <w:r w:rsidR="00C42A31" w:rsidRPr="3821A05B">
        <w:rPr>
          <w:sz w:val="20"/>
          <w:szCs w:val="20"/>
        </w:rPr>
        <w:t xml:space="preserve"> (</w:t>
      </w:r>
      <w:r w:rsidR="00C42A31" w:rsidRPr="3821A05B">
        <w:rPr>
          <w:rFonts w:eastAsia="Open Sans" w:cs="Open Sans"/>
          <w:sz w:val="20"/>
          <w:szCs w:val="20"/>
        </w:rPr>
        <w:t>€104.9 million)</w:t>
      </w:r>
      <w:r w:rsidRPr="3821A05B">
        <w:rPr>
          <w:sz w:val="20"/>
          <w:szCs w:val="20"/>
        </w:rPr>
        <w:t>, equivalent to around 1.8% of national GDP</w:t>
      </w:r>
      <w:r w:rsidR="008B62B6" w:rsidRPr="3821A05B">
        <w:rPr>
          <w:sz w:val="20"/>
          <w:szCs w:val="20"/>
        </w:rPr>
        <w:t xml:space="preserve"> and 4.2% of the agricultural GDP</w:t>
      </w:r>
      <w:r w:rsidRPr="3821A05B">
        <w:rPr>
          <w:sz w:val="20"/>
          <w:szCs w:val="20"/>
        </w:rPr>
        <w:t xml:space="preserve">. The sector also shows a high level of domestic integration, with about 88.5% of value </w:t>
      </w:r>
      <w:proofErr w:type="gramStart"/>
      <w:r w:rsidRPr="3821A05B">
        <w:rPr>
          <w:sz w:val="20"/>
          <w:szCs w:val="20"/>
        </w:rPr>
        <w:t>retained</w:t>
      </w:r>
      <w:proofErr w:type="gramEnd"/>
      <w:r w:rsidRPr="3821A05B">
        <w:rPr>
          <w:sz w:val="20"/>
          <w:szCs w:val="20"/>
        </w:rPr>
        <w:t xml:space="preserve"> within the local economy. </w:t>
      </w:r>
      <w:r w:rsidR="008B62B6" w:rsidRPr="3821A05B">
        <w:rPr>
          <w:sz w:val="20"/>
          <w:szCs w:val="20"/>
        </w:rPr>
        <w:t xml:space="preserve">This high rate of integration reflects a production system that relies almost exclusively on domestic non-tradeable factors, such as rural </w:t>
      </w:r>
      <w:proofErr w:type="spellStart"/>
      <w:r w:rsidR="008B62B6" w:rsidRPr="3821A05B">
        <w:rPr>
          <w:sz w:val="20"/>
          <w:szCs w:val="20"/>
        </w:rPr>
        <w:t>labour</w:t>
      </w:r>
      <w:proofErr w:type="spellEnd"/>
      <w:r w:rsidR="008B62B6" w:rsidRPr="3821A05B">
        <w:rPr>
          <w:sz w:val="20"/>
          <w:szCs w:val="20"/>
        </w:rPr>
        <w:t xml:space="preserve"> and land, rather than imported industrial inputs. </w:t>
      </w:r>
      <w:r w:rsidRPr="3821A05B">
        <w:rPr>
          <w:sz w:val="20"/>
          <w:szCs w:val="20"/>
        </w:rPr>
        <w:t xml:space="preserve">Cocoa is a major source of foreign exchange. Export earnings are estimated at around </w:t>
      </w:r>
      <w:r w:rsidRPr="00F370A5">
        <w:rPr>
          <w:sz w:val="20"/>
          <w:szCs w:val="20"/>
        </w:rPr>
        <w:t>3,200 million SLE</w:t>
      </w:r>
      <w:r w:rsidR="3CC92C7F" w:rsidRPr="00F370A5">
        <w:rPr>
          <w:sz w:val="20"/>
          <w:szCs w:val="20"/>
        </w:rPr>
        <w:t xml:space="preserve"> (</w:t>
      </w:r>
      <w:r w:rsidR="3CC92C7F" w:rsidRPr="00F370A5">
        <w:rPr>
          <w:rFonts w:eastAsia="Open Sans" w:cs="Open Sans"/>
          <w:sz w:val="20"/>
          <w:szCs w:val="20"/>
        </w:rPr>
        <w:t>€118.5 million</w:t>
      </w:r>
      <w:r w:rsidR="3CC92C7F" w:rsidRPr="00F370A5">
        <w:rPr>
          <w:sz w:val="20"/>
          <w:szCs w:val="20"/>
        </w:rPr>
        <w:t>)</w:t>
      </w:r>
      <w:r w:rsidRPr="00F370A5">
        <w:rPr>
          <w:sz w:val="20"/>
          <w:szCs w:val="20"/>
        </w:rPr>
        <w:t>,</w:t>
      </w:r>
      <w:r w:rsidRPr="3821A05B">
        <w:rPr>
          <w:sz w:val="20"/>
          <w:szCs w:val="20"/>
        </w:rPr>
        <w:t xml:space="preserve"> with relatively low import requirements, resulting in a substantial trade surplus. The sector also contributes positively to public </w:t>
      </w:r>
      <w:proofErr w:type="gramStart"/>
      <w:r w:rsidRPr="3821A05B">
        <w:rPr>
          <w:sz w:val="20"/>
          <w:szCs w:val="20"/>
        </w:rPr>
        <w:t>finances</w:t>
      </w:r>
      <w:proofErr w:type="gramEnd"/>
      <w:r w:rsidRPr="3821A05B">
        <w:rPr>
          <w:sz w:val="20"/>
          <w:szCs w:val="20"/>
        </w:rPr>
        <w:t xml:space="preserve"> through export levies and taxation.</w:t>
      </w:r>
    </w:p>
    <w:p w14:paraId="0D00C69B" w14:textId="77777777" w:rsidR="00C23D0C" w:rsidRDefault="00C23D0C" w:rsidP="00C23D0C">
      <w:pPr>
        <w:rPr>
          <w:sz w:val="20"/>
          <w:szCs w:val="20"/>
        </w:rPr>
      </w:pPr>
    </w:p>
    <w:p w14:paraId="4E79DA7F" w14:textId="4CC82FDB" w:rsidR="00C23D0C" w:rsidRPr="00500146" w:rsidRDefault="00C23D0C" w:rsidP="00C23D0C">
      <w:pPr>
        <w:rPr>
          <w:sz w:val="20"/>
          <w:szCs w:val="20"/>
        </w:rPr>
      </w:pPr>
      <w:r w:rsidRPr="00500146">
        <w:rPr>
          <w:sz w:val="20"/>
          <w:szCs w:val="20"/>
        </w:rPr>
        <w:t>From an efficiency perspective, the sector is internationally competitive. A Domestic Resource Cost ratio well below one indicates strong comparative advantage, meaning that cocoa production generates more foreign exchange than the domestic resources it consumes.</w:t>
      </w:r>
      <w:r>
        <w:rPr>
          <w:sz w:val="20"/>
          <w:szCs w:val="20"/>
        </w:rPr>
        <w:t xml:space="preserve"> </w:t>
      </w:r>
      <w:r w:rsidRPr="00500146">
        <w:rPr>
          <w:sz w:val="20"/>
          <w:szCs w:val="20"/>
        </w:rPr>
        <w:t>Taken together, the evidence shows that cocoa is economically viable and strategically important. However, this viability rests on fragile micro-level conditions, particularly low productivity and weak investment capacity at farm level.</w:t>
      </w:r>
    </w:p>
    <w:p w14:paraId="33C01F24" w14:textId="77777777" w:rsidR="00C23D0C" w:rsidRPr="00500146" w:rsidRDefault="00C23D0C" w:rsidP="00C23D0C">
      <w:pPr>
        <w:rPr>
          <w:sz w:val="20"/>
          <w:szCs w:val="20"/>
        </w:rPr>
      </w:pPr>
      <w:r w:rsidRPr="00500146">
        <w:rPr>
          <w:b/>
          <w:bCs/>
          <w:sz w:val="20"/>
          <w:szCs w:val="20"/>
        </w:rPr>
        <w:t>Inclusiveness of economic growth</w:t>
      </w:r>
    </w:p>
    <w:p w14:paraId="3EE56FDF" w14:textId="6FE4F944" w:rsidR="00C23D0C" w:rsidRPr="00500146" w:rsidRDefault="00C23D0C" w:rsidP="00C23D0C">
      <w:pPr>
        <w:rPr>
          <w:sz w:val="20"/>
          <w:szCs w:val="20"/>
        </w:rPr>
      </w:pPr>
      <w:r w:rsidRPr="3821A05B">
        <w:rPr>
          <w:sz w:val="20"/>
          <w:szCs w:val="20"/>
        </w:rPr>
        <w:t xml:space="preserve">The </w:t>
      </w:r>
      <w:r w:rsidR="00BC666A" w:rsidRPr="3821A05B">
        <w:rPr>
          <w:sz w:val="20"/>
          <w:szCs w:val="20"/>
        </w:rPr>
        <w:t>VC</w:t>
      </w:r>
      <w:r w:rsidRPr="3821A05B">
        <w:rPr>
          <w:sz w:val="20"/>
          <w:szCs w:val="20"/>
        </w:rPr>
        <w:t xml:space="preserve"> is broadly participatory but only partially inclusive. Smallholder farmers capture a significant share of total value, but incomes remain low in absolute terms due to small farm sizes and low yields. Income distribution is highly unequal. While </w:t>
      </w:r>
      <w:proofErr w:type="gramStart"/>
      <w:r w:rsidRPr="3821A05B">
        <w:rPr>
          <w:sz w:val="20"/>
          <w:szCs w:val="20"/>
        </w:rPr>
        <w:t>the majority of</w:t>
      </w:r>
      <w:proofErr w:type="gramEnd"/>
      <w:r w:rsidRPr="3821A05B">
        <w:rPr>
          <w:sz w:val="20"/>
          <w:szCs w:val="20"/>
        </w:rPr>
        <w:t xml:space="preserve"> actors are smallholders, a relatively small number of downstream actors capture a disproportionate share of profits. The estimated Gini coefficient of around 0.62 indicates high inequality within the </w:t>
      </w:r>
      <w:r w:rsidR="00BC666A" w:rsidRPr="3821A05B">
        <w:rPr>
          <w:sz w:val="20"/>
          <w:szCs w:val="20"/>
        </w:rPr>
        <w:t>VC</w:t>
      </w:r>
      <w:r w:rsidRPr="3821A05B">
        <w:rPr>
          <w:sz w:val="20"/>
          <w:szCs w:val="20"/>
        </w:rPr>
        <w:t>.</w:t>
      </w:r>
    </w:p>
    <w:p w14:paraId="752DAEFB" w14:textId="77777777" w:rsidR="00C23D0C" w:rsidRDefault="00C23D0C" w:rsidP="00C23D0C">
      <w:pPr>
        <w:rPr>
          <w:sz w:val="20"/>
          <w:szCs w:val="20"/>
        </w:rPr>
      </w:pPr>
    </w:p>
    <w:p w14:paraId="62D7D04B" w14:textId="69715307" w:rsidR="00C23D0C" w:rsidRDefault="00C23D0C" w:rsidP="00C23D0C">
      <w:pPr>
        <w:rPr>
          <w:sz w:val="20"/>
          <w:szCs w:val="20"/>
        </w:rPr>
      </w:pPr>
      <w:r w:rsidRPr="3821A05B">
        <w:rPr>
          <w:sz w:val="20"/>
          <w:szCs w:val="20"/>
        </w:rPr>
        <w:lastRenderedPageBreak/>
        <w:t xml:space="preserve">Employment generation is substantial, but job quality is low. Most </w:t>
      </w:r>
      <w:proofErr w:type="spellStart"/>
      <w:r w:rsidRPr="3821A05B">
        <w:rPr>
          <w:sz w:val="20"/>
          <w:szCs w:val="20"/>
        </w:rPr>
        <w:t>labour</w:t>
      </w:r>
      <w:proofErr w:type="spellEnd"/>
      <w:r w:rsidRPr="3821A05B">
        <w:rPr>
          <w:sz w:val="20"/>
          <w:szCs w:val="20"/>
        </w:rPr>
        <w:t xml:space="preserve"> is seasonal, informal, and low-paid, with limited access to social protection. Women contribute significantly to </w:t>
      </w:r>
      <w:proofErr w:type="spellStart"/>
      <w:r w:rsidRPr="3821A05B">
        <w:rPr>
          <w:sz w:val="20"/>
          <w:szCs w:val="20"/>
        </w:rPr>
        <w:t>labour</w:t>
      </w:r>
      <w:proofErr w:type="spellEnd"/>
      <w:r w:rsidRPr="3821A05B">
        <w:rPr>
          <w:sz w:val="20"/>
          <w:szCs w:val="20"/>
        </w:rPr>
        <w:t>, accounting for roughly 40% of</w:t>
      </w:r>
      <w:r w:rsidR="00BC666A" w:rsidRPr="3821A05B">
        <w:rPr>
          <w:sz w:val="20"/>
          <w:szCs w:val="20"/>
        </w:rPr>
        <w:t xml:space="preserve"> Full Time Equivalent (FTE) jobs</w:t>
      </w:r>
      <w:r w:rsidRPr="3821A05B">
        <w:rPr>
          <w:sz w:val="20"/>
          <w:szCs w:val="20"/>
        </w:rPr>
        <w:t xml:space="preserve">, but face constraints in accessing higher-value roles and decision-making positions. Governance structures further limit inclusiveness. Cooperatives play an important role but remain weakly </w:t>
      </w:r>
      <w:proofErr w:type="spellStart"/>
      <w:r w:rsidRPr="3821A05B">
        <w:rPr>
          <w:sz w:val="20"/>
          <w:szCs w:val="20"/>
        </w:rPr>
        <w:t>capitalised</w:t>
      </w:r>
      <w:proofErr w:type="spellEnd"/>
      <w:r w:rsidRPr="3821A05B">
        <w:rPr>
          <w:sz w:val="20"/>
          <w:szCs w:val="20"/>
        </w:rPr>
        <w:t xml:space="preserve"> and cover only a minority of production. Most farmers rely on informal trading relationships and pre-financing from buyers, which limits bargaining power and access to premium markets. Overall, the cocoa </w:t>
      </w:r>
      <w:r w:rsidR="00BC666A" w:rsidRPr="3821A05B">
        <w:rPr>
          <w:sz w:val="20"/>
          <w:szCs w:val="20"/>
        </w:rPr>
        <w:t>VC</w:t>
      </w:r>
      <w:r w:rsidRPr="3821A05B">
        <w:rPr>
          <w:sz w:val="20"/>
          <w:szCs w:val="20"/>
        </w:rPr>
        <w:t xml:space="preserve"> supports widespread participation but does not yet deliver inclusive growth. Income inequality, low-quality employment, and weak collective </w:t>
      </w:r>
      <w:proofErr w:type="spellStart"/>
      <w:r w:rsidRPr="3821A05B">
        <w:rPr>
          <w:sz w:val="20"/>
          <w:szCs w:val="20"/>
        </w:rPr>
        <w:t>organisation</w:t>
      </w:r>
      <w:proofErr w:type="spellEnd"/>
      <w:r w:rsidRPr="3821A05B">
        <w:rPr>
          <w:sz w:val="20"/>
          <w:szCs w:val="20"/>
        </w:rPr>
        <w:t xml:space="preserve"> remain key challenges.</w:t>
      </w:r>
    </w:p>
    <w:p w14:paraId="1F73F1DE" w14:textId="77777777" w:rsidR="00C23D0C" w:rsidRPr="00500146" w:rsidRDefault="00C23D0C" w:rsidP="00C23D0C">
      <w:pPr>
        <w:rPr>
          <w:sz w:val="20"/>
          <w:szCs w:val="20"/>
        </w:rPr>
      </w:pPr>
    </w:p>
    <w:p w14:paraId="0C5EAA16" w14:textId="77777777" w:rsidR="00C23D0C" w:rsidRPr="00500146" w:rsidRDefault="00C23D0C" w:rsidP="00C23D0C">
      <w:pPr>
        <w:rPr>
          <w:b/>
          <w:bCs/>
          <w:sz w:val="20"/>
          <w:szCs w:val="20"/>
        </w:rPr>
      </w:pPr>
      <w:r w:rsidRPr="00500146">
        <w:rPr>
          <w:b/>
          <w:bCs/>
          <w:sz w:val="20"/>
          <w:szCs w:val="20"/>
        </w:rPr>
        <w:t>Social analysis: structurally constrained sustainability</w:t>
      </w:r>
    </w:p>
    <w:p w14:paraId="26AFC37E" w14:textId="5CA7F748" w:rsidR="00C23D0C" w:rsidRDefault="00C23D0C" w:rsidP="00C23D0C">
      <w:pPr>
        <w:rPr>
          <w:sz w:val="20"/>
          <w:szCs w:val="20"/>
        </w:rPr>
      </w:pPr>
      <w:r w:rsidRPr="3821A05B">
        <w:rPr>
          <w:sz w:val="20"/>
          <w:szCs w:val="20"/>
        </w:rPr>
        <w:t xml:space="preserve">The social assessment indicates that the cocoa </w:t>
      </w:r>
      <w:r w:rsidR="00BC666A" w:rsidRPr="3821A05B">
        <w:rPr>
          <w:sz w:val="20"/>
          <w:szCs w:val="20"/>
        </w:rPr>
        <w:t>VC</w:t>
      </w:r>
      <w:r w:rsidRPr="3821A05B">
        <w:rPr>
          <w:sz w:val="20"/>
          <w:szCs w:val="20"/>
        </w:rPr>
        <w:t xml:space="preserve"> is not yet socially sustainable. While it provides livelihoods for </w:t>
      </w:r>
      <w:proofErr w:type="gramStart"/>
      <w:r w:rsidRPr="3821A05B">
        <w:rPr>
          <w:sz w:val="20"/>
          <w:szCs w:val="20"/>
        </w:rPr>
        <w:t>a large number of</w:t>
      </w:r>
      <w:proofErr w:type="gramEnd"/>
      <w:r w:rsidRPr="3821A05B">
        <w:rPr>
          <w:sz w:val="20"/>
          <w:szCs w:val="20"/>
        </w:rPr>
        <w:t xml:space="preserve"> households, outcomes across key dimensions remain weak.</w:t>
      </w:r>
    </w:p>
    <w:p w14:paraId="234DDBC8" w14:textId="77777777" w:rsidR="00BC666A" w:rsidRPr="00500146" w:rsidRDefault="00BC666A" w:rsidP="00C23D0C">
      <w:pPr>
        <w:rPr>
          <w:sz w:val="20"/>
          <w:szCs w:val="20"/>
        </w:rPr>
      </w:pPr>
    </w:p>
    <w:p w14:paraId="3FEB86C6" w14:textId="77777777" w:rsidR="00C23D0C" w:rsidRPr="00500146" w:rsidRDefault="00C23D0C" w:rsidP="00C23D0C">
      <w:pPr>
        <w:rPr>
          <w:sz w:val="20"/>
          <w:szCs w:val="20"/>
        </w:rPr>
      </w:pPr>
      <w:r w:rsidRPr="3821A05B">
        <w:rPr>
          <w:b/>
          <w:bCs/>
          <w:i/>
          <w:iCs/>
          <w:sz w:val="20"/>
          <w:szCs w:val="20"/>
        </w:rPr>
        <w:t>Working conditions</w:t>
      </w:r>
      <w:r w:rsidRPr="3821A05B">
        <w:rPr>
          <w:sz w:val="20"/>
          <w:szCs w:val="20"/>
        </w:rPr>
        <w:t xml:space="preserve"> are </w:t>
      </w:r>
      <w:proofErr w:type="spellStart"/>
      <w:r w:rsidRPr="3821A05B">
        <w:rPr>
          <w:sz w:val="20"/>
          <w:szCs w:val="20"/>
        </w:rPr>
        <w:t>characterised</w:t>
      </w:r>
      <w:proofErr w:type="spellEnd"/>
      <w:r w:rsidRPr="3821A05B">
        <w:rPr>
          <w:sz w:val="20"/>
          <w:szCs w:val="20"/>
        </w:rPr>
        <w:t xml:space="preserve"> by informality and limited enforcement of </w:t>
      </w:r>
      <w:proofErr w:type="spellStart"/>
      <w:r w:rsidRPr="3821A05B">
        <w:rPr>
          <w:sz w:val="20"/>
          <w:szCs w:val="20"/>
        </w:rPr>
        <w:t>labour</w:t>
      </w:r>
      <w:proofErr w:type="spellEnd"/>
      <w:r w:rsidRPr="3821A05B">
        <w:rPr>
          <w:sz w:val="20"/>
          <w:szCs w:val="20"/>
        </w:rPr>
        <w:t xml:space="preserve"> standards. Income instability is a central issue, with most farmers reporting insufficient and highly variable earnings. This contributes to continued reliance on intra-household child </w:t>
      </w:r>
      <w:proofErr w:type="spellStart"/>
      <w:r w:rsidRPr="3821A05B">
        <w:rPr>
          <w:sz w:val="20"/>
          <w:szCs w:val="20"/>
        </w:rPr>
        <w:t>labour</w:t>
      </w:r>
      <w:proofErr w:type="spellEnd"/>
      <w:r w:rsidRPr="3821A05B">
        <w:rPr>
          <w:sz w:val="20"/>
          <w:szCs w:val="20"/>
        </w:rPr>
        <w:t xml:space="preserve"> and limited adoption of safety practices.</w:t>
      </w:r>
    </w:p>
    <w:p w14:paraId="6A1950CF" w14:textId="77777777" w:rsidR="00C23D0C" w:rsidRDefault="00C23D0C" w:rsidP="00C23D0C">
      <w:pPr>
        <w:rPr>
          <w:sz w:val="20"/>
          <w:szCs w:val="20"/>
        </w:rPr>
      </w:pPr>
    </w:p>
    <w:p w14:paraId="3A404C24" w14:textId="77777777" w:rsidR="00A81705" w:rsidRDefault="00C23D0C" w:rsidP="00C23D0C">
      <w:pPr>
        <w:rPr>
          <w:sz w:val="20"/>
          <w:szCs w:val="20"/>
        </w:rPr>
      </w:pPr>
      <w:r w:rsidRPr="3821A05B">
        <w:rPr>
          <w:b/>
          <w:bCs/>
          <w:i/>
          <w:iCs/>
          <w:sz w:val="20"/>
          <w:szCs w:val="20"/>
        </w:rPr>
        <w:t>Land tenure</w:t>
      </w:r>
      <w:r w:rsidRPr="3821A05B">
        <w:rPr>
          <w:sz w:val="20"/>
          <w:szCs w:val="20"/>
        </w:rPr>
        <w:t xml:space="preserve"> systems are evolving but remain uneven in practice. Women face </w:t>
      </w:r>
      <w:proofErr w:type="gramStart"/>
      <w:r w:rsidRPr="3821A05B">
        <w:rPr>
          <w:sz w:val="20"/>
          <w:szCs w:val="20"/>
        </w:rPr>
        <w:t>particular disadvantages</w:t>
      </w:r>
      <w:proofErr w:type="gramEnd"/>
      <w:r w:rsidRPr="3821A05B">
        <w:rPr>
          <w:sz w:val="20"/>
          <w:szCs w:val="20"/>
        </w:rPr>
        <w:t xml:space="preserve"> in land ownership and access to resources, which </w:t>
      </w:r>
      <w:r w:rsidR="007826A4" w:rsidRPr="3821A05B">
        <w:rPr>
          <w:sz w:val="20"/>
          <w:szCs w:val="20"/>
        </w:rPr>
        <w:t>constrain</w:t>
      </w:r>
      <w:r w:rsidRPr="3821A05B">
        <w:rPr>
          <w:sz w:val="20"/>
          <w:szCs w:val="20"/>
        </w:rPr>
        <w:t xml:space="preserve"> their ability to invest and participate fully in the</w:t>
      </w:r>
      <w:r w:rsidR="00563A0B" w:rsidRPr="3821A05B">
        <w:rPr>
          <w:sz w:val="20"/>
          <w:szCs w:val="20"/>
        </w:rPr>
        <w:t xml:space="preserve"> VC</w:t>
      </w:r>
      <w:r w:rsidRPr="3821A05B">
        <w:rPr>
          <w:sz w:val="20"/>
          <w:szCs w:val="20"/>
        </w:rPr>
        <w:t xml:space="preserve">. </w:t>
      </w:r>
    </w:p>
    <w:p w14:paraId="36719B37" w14:textId="77777777" w:rsidR="00A81705" w:rsidRDefault="00A81705" w:rsidP="00C23D0C">
      <w:pPr>
        <w:rPr>
          <w:sz w:val="20"/>
          <w:szCs w:val="20"/>
        </w:rPr>
      </w:pPr>
    </w:p>
    <w:p w14:paraId="5310A93A" w14:textId="77777777" w:rsidR="00A81705" w:rsidRDefault="00C23D0C" w:rsidP="00C23D0C">
      <w:pPr>
        <w:rPr>
          <w:sz w:val="20"/>
          <w:szCs w:val="20"/>
        </w:rPr>
      </w:pPr>
      <w:r w:rsidRPr="3821A05B">
        <w:rPr>
          <w:b/>
          <w:bCs/>
          <w:i/>
          <w:iCs/>
          <w:sz w:val="20"/>
          <w:szCs w:val="20"/>
        </w:rPr>
        <w:t>Gender inequality</w:t>
      </w:r>
      <w:r w:rsidRPr="3821A05B">
        <w:rPr>
          <w:sz w:val="20"/>
          <w:szCs w:val="20"/>
        </w:rPr>
        <w:t xml:space="preserve"> is a defining feature. Women play a major role in production and post-harvest activities but have limited control over income and decision-making. Representation in leadership positions remains low. </w:t>
      </w:r>
    </w:p>
    <w:p w14:paraId="5975BBC9" w14:textId="77777777" w:rsidR="00A81705" w:rsidRDefault="00A81705" w:rsidP="00C23D0C">
      <w:pPr>
        <w:rPr>
          <w:sz w:val="20"/>
          <w:szCs w:val="20"/>
        </w:rPr>
      </w:pPr>
    </w:p>
    <w:p w14:paraId="4A9F40A1" w14:textId="12D6E757" w:rsidR="00C23D0C" w:rsidRDefault="00C23D0C" w:rsidP="00C23D0C">
      <w:pPr>
        <w:rPr>
          <w:sz w:val="20"/>
          <w:szCs w:val="20"/>
        </w:rPr>
      </w:pPr>
      <w:r w:rsidRPr="3821A05B">
        <w:rPr>
          <w:b/>
          <w:bCs/>
          <w:i/>
          <w:iCs/>
          <w:sz w:val="20"/>
          <w:szCs w:val="20"/>
        </w:rPr>
        <w:t>Food and nutrition security</w:t>
      </w:r>
      <w:r w:rsidRPr="3821A05B">
        <w:rPr>
          <w:sz w:val="20"/>
          <w:szCs w:val="20"/>
        </w:rPr>
        <w:t xml:space="preserve"> are major concerns. Cocoa households face pronounced seasonal food shortages and </w:t>
      </w:r>
      <w:proofErr w:type="gramStart"/>
      <w:r w:rsidRPr="3821A05B">
        <w:rPr>
          <w:sz w:val="20"/>
          <w:szCs w:val="20"/>
        </w:rPr>
        <w:t>rely</w:t>
      </w:r>
      <w:proofErr w:type="gramEnd"/>
      <w:r w:rsidRPr="3821A05B">
        <w:rPr>
          <w:sz w:val="20"/>
          <w:szCs w:val="20"/>
        </w:rPr>
        <w:t xml:space="preserve"> heavily on credit during the pre-harvest period. This reinforces cycles of vulnerability rather than building resilience.</w:t>
      </w:r>
    </w:p>
    <w:p w14:paraId="05184A4D" w14:textId="77777777" w:rsidR="00C23D0C" w:rsidRPr="00500146" w:rsidRDefault="00C23D0C" w:rsidP="00C23D0C">
      <w:pPr>
        <w:rPr>
          <w:sz w:val="20"/>
          <w:szCs w:val="20"/>
        </w:rPr>
      </w:pPr>
    </w:p>
    <w:p w14:paraId="15432E74" w14:textId="77777777" w:rsidR="00A81705" w:rsidRDefault="007E5120" w:rsidP="00C23D0C">
      <w:pPr>
        <w:rPr>
          <w:sz w:val="20"/>
          <w:szCs w:val="20"/>
        </w:rPr>
      </w:pPr>
      <w:r w:rsidRPr="3821A05B">
        <w:rPr>
          <w:b/>
          <w:bCs/>
          <w:i/>
          <w:iCs/>
          <w:sz w:val="20"/>
          <w:szCs w:val="20"/>
        </w:rPr>
        <w:t>Social capital</w:t>
      </w:r>
      <w:r w:rsidRPr="3821A05B">
        <w:rPr>
          <w:sz w:val="20"/>
          <w:szCs w:val="20"/>
        </w:rPr>
        <w:t xml:space="preserve"> is locally strong within Village Savings and Loan Associations (VSLAs), but cooperatives lack the institutional bargaining power to influence market prices or coordinate effectively against exporters</w:t>
      </w:r>
      <w:r w:rsidR="00C23D0C" w:rsidRPr="3821A05B">
        <w:rPr>
          <w:sz w:val="20"/>
          <w:szCs w:val="20"/>
        </w:rPr>
        <w:t>.</w:t>
      </w:r>
      <w:r w:rsidRPr="3821A05B">
        <w:rPr>
          <w:sz w:val="20"/>
          <w:szCs w:val="20"/>
        </w:rPr>
        <w:t xml:space="preserve"> </w:t>
      </w:r>
    </w:p>
    <w:p w14:paraId="29BFCC8A" w14:textId="77777777" w:rsidR="00A81705" w:rsidRDefault="00A81705" w:rsidP="00C23D0C">
      <w:pPr>
        <w:rPr>
          <w:sz w:val="20"/>
          <w:szCs w:val="20"/>
        </w:rPr>
      </w:pPr>
    </w:p>
    <w:p w14:paraId="448739E0" w14:textId="5FADCDDF" w:rsidR="00563A0B" w:rsidRDefault="00C23D0C" w:rsidP="00C23D0C">
      <w:pPr>
        <w:rPr>
          <w:sz w:val="20"/>
          <w:szCs w:val="20"/>
        </w:rPr>
      </w:pPr>
      <w:r w:rsidRPr="3821A05B">
        <w:rPr>
          <w:b/>
          <w:bCs/>
          <w:i/>
          <w:iCs/>
          <w:sz w:val="20"/>
          <w:szCs w:val="20"/>
        </w:rPr>
        <w:t>Living conditions</w:t>
      </w:r>
      <w:r w:rsidRPr="3821A05B">
        <w:rPr>
          <w:sz w:val="20"/>
          <w:szCs w:val="20"/>
        </w:rPr>
        <w:t xml:space="preserve"> are also constrained by limited access to basic services such as healthcare, infrastructure, and education. In summary, the social challenges of the cocoa value chain are closely linked to low and unstable incomes. Without improving farm-level </w:t>
      </w:r>
      <w:r w:rsidR="007E5120" w:rsidRPr="3821A05B">
        <w:rPr>
          <w:sz w:val="20"/>
          <w:szCs w:val="20"/>
        </w:rPr>
        <w:t>productivity and scale</w:t>
      </w:r>
      <w:r w:rsidRPr="3821A05B">
        <w:rPr>
          <w:sz w:val="20"/>
          <w:szCs w:val="20"/>
        </w:rPr>
        <w:t xml:space="preserve">, progress in </w:t>
      </w:r>
      <w:proofErr w:type="spellStart"/>
      <w:r w:rsidRPr="3821A05B">
        <w:rPr>
          <w:sz w:val="20"/>
          <w:szCs w:val="20"/>
        </w:rPr>
        <w:t>labour</w:t>
      </w:r>
      <w:proofErr w:type="spellEnd"/>
      <w:r w:rsidRPr="3821A05B">
        <w:rPr>
          <w:sz w:val="20"/>
          <w:szCs w:val="20"/>
        </w:rPr>
        <w:t xml:space="preserve"> conditions, gender equality, and food security will remain limited.</w:t>
      </w:r>
    </w:p>
    <w:p w14:paraId="2BC20BD4" w14:textId="3A7B1A67" w:rsidR="00563A0B" w:rsidRDefault="00563A0B" w:rsidP="001D10CE">
      <w:pPr>
        <w:jc w:val="center"/>
        <w:rPr>
          <w:sz w:val="20"/>
          <w:szCs w:val="20"/>
        </w:rPr>
      </w:pPr>
      <w:r>
        <w:rPr>
          <w:noProof/>
        </w:rPr>
        <w:lastRenderedPageBreak/>
        <w:drawing>
          <wp:inline distT="0" distB="0" distL="0" distR="0" wp14:anchorId="5D3EBF9A" wp14:editId="5894EDBD">
            <wp:extent cx="2747365" cy="2620450"/>
            <wp:effectExtent l="0" t="0" r="0" b="8890"/>
            <wp:docPr id="1119466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00923" name=""/>
                    <pic:cNvPicPr/>
                  </pic:nvPicPr>
                  <pic:blipFill>
                    <a:blip r:embed="rId16"/>
                    <a:stretch>
                      <a:fillRect/>
                    </a:stretch>
                  </pic:blipFill>
                  <pic:spPr>
                    <a:xfrm>
                      <a:off x="0" y="0"/>
                      <a:ext cx="2758382" cy="2630958"/>
                    </a:xfrm>
                    <a:prstGeom prst="rect">
                      <a:avLst/>
                    </a:prstGeom>
                  </pic:spPr>
                </pic:pic>
              </a:graphicData>
            </a:graphic>
          </wp:inline>
        </w:drawing>
      </w:r>
    </w:p>
    <w:p w14:paraId="1C5671B2" w14:textId="647157A1" w:rsidR="00C23D0C" w:rsidRPr="001D10CE" w:rsidRDefault="00A55AE3" w:rsidP="001D10CE">
      <w:pPr>
        <w:jc w:val="center"/>
        <w:rPr>
          <w:i/>
          <w:iCs/>
          <w:szCs w:val="18"/>
          <w:lang w:val="en-GB"/>
        </w:rPr>
      </w:pPr>
      <w:r w:rsidRPr="001D10CE">
        <w:rPr>
          <w:i/>
          <w:iCs/>
          <w:szCs w:val="18"/>
          <w:lang w:val="en-GB"/>
        </w:rPr>
        <w:t>Figure ES 2: Social Profile of the Cocoa Value Chain in Sierra Leone</w:t>
      </w:r>
    </w:p>
    <w:p w14:paraId="07A7D6BA" w14:textId="77777777" w:rsidR="00D52692" w:rsidRDefault="00D52692" w:rsidP="00C23D0C">
      <w:pPr>
        <w:rPr>
          <w:b/>
          <w:bCs/>
          <w:sz w:val="20"/>
          <w:szCs w:val="20"/>
        </w:rPr>
      </w:pPr>
    </w:p>
    <w:p w14:paraId="6A54ED6F" w14:textId="62A5A495" w:rsidR="00C23D0C" w:rsidRPr="00500146" w:rsidRDefault="00C23D0C" w:rsidP="00C23D0C">
      <w:pPr>
        <w:rPr>
          <w:b/>
          <w:bCs/>
          <w:sz w:val="20"/>
          <w:szCs w:val="20"/>
        </w:rPr>
      </w:pPr>
      <w:r w:rsidRPr="00500146">
        <w:rPr>
          <w:b/>
          <w:bCs/>
          <w:sz w:val="20"/>
          <w:szCs w:val="20"/>
        </w:rPr>
        <w:t>Environmental analysis: conditional sustainability</w:t>
      </w:r>
    </w:p>
    <w:p w14:paraId="38F63BFE" w14:textId="2A321DAB" w:rsidR="00EF771C" w:rsidRDefault="00EF771C" w:rsidP="00EF771C">
      <w:pPr>
        <w:rPr>
          <w:sz w:val="20"/>
          <w:szCs w:val="20"/>
        </w:rPr>
      </w:pPr>
      <w:r w:rsidRPr="3821A05B">
        <w:rPr>
          <w:sz w:val="20"/>
          <w:szCs w:val="20"/>
        </w:rPr>
        <w:t xml:space="preserve">The environmental performance of the cocoa </w:t>
      </w:r>
      <w:r w:rsidR="00563A0B" w:rsidRPr="3821A05B">
        <w:rPr>
          <w:sz w:val="20"/>
          <w:szCs w:val="20"/>
        </w:rPr>
        <w:t>VC</w:t>
      </w:r>
      <w:r w:rsidRPr="3821A05B">
        <w:rPr>
          <w:sz w:val="20"/>
          <w:szCs w:val="20"/>
        </w:rPr>
        <w:t xml:space="preserve"> presents both challenges and opportunities. On the positive side, cocoa is predominantly grown under agroforestry systems, which can provide important ecosystem services, including carbon storage, biodiversity conservation, and soil protection. When maintained on existing agricultural land (i.e. land with low shade levels), these systems can be environmentally sustainable and even </w:t>
      </w:r>
      <w:proofErr w:type="gramStart"/>
      <w:r w:rsidRPr="3821A05B">
        <w:rPr>
          <w:sz w:val="20"/>
          <w:szCs w:val="20"/>
        </w:rPr>
        <w:t>climate-positive</w:t>
      </w:r>
      <w:proofErr w:type="gramEnd"/>
      <w:r w:rsidRPr="3821A05B">
        <w:rPr>
          <w:sz w:val="20"/>
          <w:szCs w:val="20"/>
        </w:rPr>
        <w:t xml:space="preserve">. </w:t>
      </w:r>
    </w:p>
    <w:p w14:paraId="59683F43" w14:textId="77777777" w:rsidR="00EF771C" w:rsidRDefault="00EF771C" w:rsidP="00EF771C">
      <w:pPr>
        <w:rPr>
          <w:sz w:val="20"/>
          <w:szCs w:val="20"/>
        </w:rPr>
      </w:pPr>
    </w:p>
    <w:p w14:paraId="0F4FCBD4" w14:textId="351ED7B9" w:rsidR="00EF771C" w:rsidRDefault="00EF771C" w:rsidP="00EF771C">
      <w:pPr>
        <w:rPr>
          <w:sz w:val="20"/>
          <w:szCs w:val="20"/>
        </w:rPr>
      </w:pPr>
      <w:r w:rsidRPr="00F261BC">
        <w:rPr>
          <w:sz w:val="20"/>
          <w:szCs w:val="20"/>
        </w:rPr>
        <w:t xml:space="preserve">However, </w:t>
      </w:r>
      <w:r w:rsidR="00B022A8">
        <w:rPr>
          <w:sz w:val="20"/>
          <w:szCs w:val="20"/>
        </w:rPr>
        <w:t>this sector</w:t>
      </w:r>
      <w:r w:rsidR="00470C35">
        <w:rPr>
          <w:sz w:val="20"/>
          <w:szCs w:val="20"/>
        </w:rPr>
        <w:t xml:space="preserve"> is</w:t>
      </w:r>
      <w:r w:rsidR="00B022A8">
        <w:rPr>
          <w:sz w:val="20"/>
          <w:szCs w:val="20"/>
        </w:rPr>
        <w:t xml:space="preserve"> facing </w:t>
      </w:r>
      <w:r w:rsidRPr="00F261BC">
        <w:rPr>
          <w:sz w:val="20"/>
          <w:szCs w:val="20"/>
        </w:rPr>
        <w:t xml:space="preserve">two critical factors: </w:t>
      </w:r>
      <w:r w:rsidR="00470C35" w:rsidRPr="00F261BC">
        <w:rPr>
          <w:sz w:val="20"/>
          <w:szCs w:val="20"/>
        </w:rPr>
        <w:t>compliance</w:t>
      </w:r>
      <w:r w:rsidR="00470C35">
        <w:rPr>
          <w:sz w:val="20"/>
          <w:szCs w:val="20"/>
        </w:rPr>
        <w:t xml:space="preserve"> </w:t>
      </w:r>
      <w:proofErr w:type="gramStart"/>
      <w:r w:rsidR="00470C35">
        <w:rPr>
          <w:sz w:val="20"/>
          <w:szCs w:val="20"/>
        </w:rPr>
        <w:t>to</w:t>
      </w:r>
      <w:proofErr w:type="gramEnd"/>
      <w:r w:rsidR="00470C35">
        <w:rPr>
          <w:sz w:val="20"/>
          <w:szCs w:val="20"/>
        </w:rPr>
        <w:t xml:space="preserve"> </w:t>
      </w:r>
      <w:r w:rsidRPr="00F261BC">
        <w:rPr>
          <w:sz w:val="20"/>
          <w:szCs w:val="20"/>
        </w:rPr>
        <w:t xml:space="preserve">EUDR and post-harvest processing. With less than 30% of farms currently geolocated, the sector faces a catastrophic risk of exclusion from the EU market if </w:t>
      </w:r>
      <w:r w:rsidR="00470C35">
        <w:rPr>
          <w:sz w:val="20"/>
          <w:szCs w:val="20"/>
        </w:rPr>
        <w:t xml:space="preserve">compliance to EU Regulation on deforestation and degradation </w:t>
      </w:r>
      <w:r w:rsidR="003676D2">
        <w:rPr>
          <w:sz w:val="20"/>
          <w:szCs w:val="20"/>
        </w:rPr>
        <w:t>of forests</w:t>
      </w:r>
      <w:r w:rsidR="00470C35">
        <w:rPr>
          <w:sz w:val="20"/>
          <w:szCs w:val="20"/>
        </w:rPr>
        <w:t xml:space="preserve"> </w:t>
      </w:r>
      <w:r w:rsidR="003676D2">
        <w:rPr>
          <w:sz w:val="20"/>
          <w:szCs w:val="20"/>
        </w:rPr>
        <w:t>(geolocation of plots, traceability and legality components)</w:t>
      </w:r>
      <w:r w:rsidRPr="00F261BC">
        <w:rPr>
          <w:sz w:val="20"/>
          <w:szCs w:val="20"/>
        </w:rPr>
        <w:t xml:space="preserve"> is not urgently </w:t>
      </w:r>
      <w:proofErr w:type="gramStart"/>
      <w:r w:rsidRPr="00F261BC">
        <w:rPr>
          <w:sz w:val="20"/>
          <w:szCs w:val="20"/>
        </w:rPr>
        <w:t>accelerated</w:t>
      </w:r>
      <w:r w:rsidRPr="00500146">
        <w:rPr>
          <w:sz w:val="20"/>
          <w:szCs w:val="20"/>
        </w:rPr>
        <w:t>.</w:t>
      </w:r>
      <w:r>
        <w:rPr>
          <w:sz w:val="20"/>
          <w:szCs w:val="20"/>
        </w:rPr>
        <w:t>.</w:t>
      </w:r>
      <w:proofErr w:type="gramEnd"/>
      <w:r>
        <w:rPr>
          <w:sz w:val="20"/>
          <w:szCs w:val="20"/>
        </w:rPr>
        <w:t xml:space="preserve">  </w:t>
      </w:r>
      <w:r w:rsidRPr="00500146">
        <w:rPr>
          <w:sz w:val="20"/>
          <w:szCs w:val="20"/>
        </w:rPr>
        <w:t>Post-harvest practices also play an important role. Traditional sun-drying methods have relatively low environmental impact, whereas mechanical drying using fossil fuels significantly increases emissions and resource use.</w:t>
      </w:r>
      <w:r>
        <w:rPr>
          <w:sz w:val="20"/>
          <w:szCs w:val="20"/>
        </w:rPr>
        <w:t xml:space="preserve"> </w:t>
      </w:r>
      <w:r w:rsidRPr="00500146">
        <w:rPr>
          <w:sz w:val="20"/>
          <w:szCs w:val="20"/>
        </w:rPr>
        <w:t>The analysis also highlights risks related to contamination, including pesticide residues and heavy metals, which can affect both environmental outcomes and market access, particularly for organic cocoa.</w:t>
      </w:r>
    </w:p>
    <w:p w14:paraId="034B395E" w14:textId="77777777" w:rsidR="00EF771C" w:rsidRPr="00500146" w:rsidRDefault="00EF771C" w:rsidP="00EF771C">
      <w:pPr>
        <w:rPr>
          <w:sz w:val="20"/>
          <w:szCs w:val="20"/>
        </w:rPr>
      </w:pPr>
    </w:p>
    <w:p w14:paraId="77E48B36" w14:textId="04BB62F1" w:rsidR="00EF771C" w:rsidRDefault="00EF771C" w:rsidP="00EF771C">
      <w:pPr>
        <w:rPr>
          <w:sz w:val="20"/>
          <w:szCs w:val="20"/>
        </w:rPr>
      </w:pPr>
      <w:r w:rsidRPr="3821A05B">
        <w:rPr>
          <w:sz w:val="20"/>
          <w:szCs w:val="20"/>
        </w:rPr>
        <w:t xml:space="preserve">Overall, the cocoa </w:t>
      </w:r>
      <w:r w:rsidR="00563A0B" w:rsidRPr="3821A05B">
        <w:rPr>
          <w:sz w:val="20"/>
          <w:szCs w:val="20"/>
        </w:rPr>
        <w:t>VC</w:t>
      </w:r>
      <w:r w:rsidRPr="3821A05B">
        <w:rPr>
          <w:sz w:val="20"/>
          <w:szCs w:val="20"/>
        </w:rPr>
        <w:t xml:space="preserve"> can be environmentally sustainable, but only under specific conditions. These include maintaining agroforestry systems, avoiding deforestation, ensuring replacement of aging cocoa with other high shade systems and supporting low-emission post-harvest technologies. Some elements (such as organic fertilizer use through improved composting) can be implemented relatively readily. Without </w:t>
      </w:r>
      <w:proofErr w:type="gramStart"/>
      <w:r w:rsidRPr="3821A05B">
        <w:rPr>
          <w:sz w:val="20"/>
          <w:szCs w:val="20"/>
        </w:rPr>
        <w:t>these</w:t>
      </w:r>
      <w:proofErr w:type="gramEnd"/>
      <w:r w:rsidRPr="3821A05B">
        <w:rPr>
          <w:sz w:val="20"/>
          <w:szCs w:val="20"/>
        </w:rPr>
        <w:t>, environmental performance deteriorates rapidly.</w:t>
      </w:r>
    </w:p>
    <w:p w14:paraId="0831B180" w14:textId="77777777" w:rsidR="00C23D0C" w:rsidRPr="00500146" w:rsidRDefault="00C23D0C" w:rsidP="00C23D0C">
      <w:pPr>
        <w:rPr>
          <w:sz w:val="20"/>
          <w:szCs w:val="20"/>
        </w:rPr>
      </w:pPr>
    </w:p>
    <w:p w14:paraId="251A49B9" w14:textId="77777777" w:rsidR="00C23D0C" w:rsidRPr="00500146" w:rsidRDefault="00C23D0C" w:rsidP="00C23D0C">
      <w:pPr>
        <w:rPr>
          <w:b/>
          <w:bCs/>
          <w:sz w:val="20"/>
          <w:szCs w:val="20"/>
        </w:rPr>
      </w:pPr>
      <w:r w:rsidRPr="00500146">
        <w:rPr>
          <w:b/>
          <w:bCs/>
          <w:sz w:val="20"/>
          <w:szCs w:val="20"/>
        </w:rPr>
        <w:t>Overall conclusion</w:t>
      </w:r>
    </w:p>
    <w:p w14:paraId="67E80EAB" w14:textId="5EC5EA07" w:rsidR="00EF771C" w:rsidRPr="00500146" w:rsidRDefault="00EF771C" w:rsidP="00EF771C">
      <w:pPr>
        <w:rPr>
          <w:sz w:val="20"/>
          <w:szCs w:val="20"/>
        </w:rPr>
      </w:pPr>
      <w:r w:rsidRPr="3821A05B">
        <w:rPr>
          <w:sz w:val="20"/>
          <w:szCs w:val="20"/>
        </w:rPr>
        <w:t xml:space="preserve">The Sierra Leone cocoa </w:t>
      </w:r>
      <w:r w:rsidR="00563A0B" w:rsidRPr="3821A05B">
        <w:rPr>
          <w:sz w:val="20"/>
          <w:szCs w:val="20"/>
        </w:rPr>
        <w:t>VC</w:t>
      </w:r>
      <w:r w:rsidRPr="3821A05B">
        <w:rPr>
          <w:sz w:val="20"/>
          <w:szCs w:val="20"/>
        </w:rPr>
        <w:t xml:space="preserve"> is economically viable and strategically important, but its long-term sustainability is not guaranteed. The core challenge lies in a set of interlinked constraints: low productivity, limited access to finance, weak traceability systems, and uneven governance structures</w:t>
      </w:r>
      <w:r w:rsidR="00126D72">
        <w:rPr>
          <w:sz w:val="20"/>
          <w:szCs w:val="20"/>
        </w:rPr>
        <w:t xml:space="preserve"> and deforestation risks</w:t>
      </w:r>
      <w:r w:rsidRPr="3821A05B">
        <w:rPr>
          <w:sz w:val="20"/>
          <w:szCs w:val="20"/>
        </w:rPr>
        <w:t>. These constraints not only limit economic performance but also drive social and environmental risks.</w:t>
      </w:r>
    </w:p>
    <w:p w14:paraId="4C87A983" w14:textId="77777777" w:rsidR="00EF771C" w:rsidRPr="00C23D0C" w:rsidRDefault="00EF771C" w:rsidP="00EF771C">
      <w:pPr>
        <w:rPr>
          <w:sz w:val="20"/>
          <w:szCs w:val="20"/>
        </w:rPr>
      </w:pPr>
      <w:r w:rsidRPr="00CB6B38">
        <w:rPr>
          <w:sz w:val="20"/>
          <w:szCs w:val="20"/>
        </w:rPr>
        <w:lastRenderedPageBreak/>
        <w:t>While some incremental improvements can be achieved in the short term through better farm management and quality control practices, more fundamental progress will require coordinated action across multiple dimensions.</w:t>
      </w:r>
      <w:r>
        <w:rPr>
          <w:sz w:val="20"/>
          <w:szCs w:val="20"/>
        </w:rPr>
        <w:t xml:space="preserve"> </w:t>
      </w:r>
      <w:r w:rsidRPr="00CB6B38">
        <w:rPr>
          <w:sz w:val="20"/>
          <w:szCs w:val="20"/>
        </w:rPr>
        <w:t>Addressing these challenges calls for an integrated approach. Enhancing productivity, strengthening institutions, expanding financial access, and investing in robust traceability systems are not stand-alone priorities, but mutually reinforcing conditions for building a more competitive, inclusive, and sustainable cocoa sector</w:t>
      </w:r>
      <w:r w:rsidRPr="00500146">
        <w:rPr>
          <w:sz w:val="20"/>
          <w:szCs w:val="20"/>
        </w:rPr>
        <w:t>.</w:t>
      </w:r>
    </w:p>
    <w:p w14:paraId="0759C4A8" w14:textId="5804ADCF" w:rsidR="00C23D0C" w:rsidRPr="00C23D0C" w:rsidRDefault="00C23D0C" w:rsidP="00C23D0C">
      <w:pPr>
        <w:rPr>
          <w:sz w:val="20"/>
          <w:szCs w:val="20"/>
        </w:rPr>
      </w:pPr>
    </w:p>
    <w:p w14:paraId="4B149CBC" w14:textId="0938D5CE" w:rsidR="004D64AE" w:rsidRPr="00C23D0C" w:rsidRDefault="004D64AE" w:rsidP="00C23D0C">
      <w:pPr>
        <w:rPr>
          <w:rStyle w:val="IntenseEmphasis"/>
          <w:rFonts w:cs="Open Sans"/>
          <w:b w:val="0"/>
          <w:bCs w:val="0"/>
          <w:iCs w:val="0"/>
          <w:color w:val="auto"/>
          <w:szCs w:val="20"/>
        </w:rPr>
        <w:sectPr w:rsidR="004D64AE" w:rsidRPr="00C23D0C" w:rsidSect="002E3468">
          <w:pgSz w:w="12240" w:h="15840"/>
          <w:pgMar w:top="1440" w:right="1440" w:bottom="1440" w:left="1440" w:header="720" w:footer="720" w:gutter="0"/>
          <w:cols w:space="720"/>
          <w:docGrid w:linePitch="360"/>
        </w:sectPr>
      </w:pPr>
    </w:p>
    <w:p w14:paraId="38BCA660" w14:textId="68F62CAB" w:rsidR="004D64AE" w:rsidRPr="008E013F" w:rsidRDefault="004D64AE" w:rsidP="004D64AE">
      <w:pPr>
        <w:pStyle w:val="Non-numberedheading"/>
        <w:rPr>
          <w:lang w:val="en-GB"/>
        </w:rPr>
      </w:pPr>
      <w:bookmarkStart w:id="7" w:name="_Toc228700985"/>
      <w:r>
        <w:rPr>
          <w:lang w:val="en-GB"/>
        </w:rPr>
        <w:lastRenderedPageBreak/>
        <w:t>INTRODUCTION</w:t>
      </w:r>
      <w:bookmarkEnd w:id="7"/>
      <w:r w:rsidRPr="008E013F">
        <w:rPr>
          <w:lang w:val="en-GB"/>
        </w:rPr>
        <w:t xml:space="preserve"> </w:t>
      </w:r>
    </w:p>
    <w:p w14:paraId="6A75B438" w14:textId="0DA7C364" w:rsidR="00627825" w:rsidRPr="004A7A9E" w:rsidRDefault="00627825" w:rsidP="00627825">
      <w:pPr>
        <w:rPr>
          <w:sz w:val="20"/>
          <w:szCs w:val="20"/>
        </w:rPr>
      </w:pPr>
      <w:r w:rsidRPr="3821A05B">
        <w:rPr>
          <w:sz w:val="20"/>
          <w:szCs w:val="20"/>
        </w:rPr>
        <w:t xml:space="preserve">The Value Chain Analysis for Development (VCA4D) </w:t>
      </w:r>
      <w:proofErr w:type="spellStart"/>
      <w:r w:rsidR="006D3BFB" w:rsidRPr="3821A05B">
        <w:rPr>
          <w:sz w:val="20"/>
          <w:szCs w:val="20"/>
        </w:rPr>
        <w:t>programme</w:t>
      </w:r>
      <w:proofErr w:type="spellEnd"/>
      <w:r w:rsidRPr="3821A05B">
        <w:rPr>
          <w:sz w:val="20"/>
          <w:szCs w:val="20"/>
        </w:rPr>
        <w:t>, funded by the European Commission, provides evidence-based analysis of agricultural value chains to support policy dialogue and investment decisions. In Sierra Leone, the European Union Delegation, in partnership with the Government of Sierra Leone, commissioned this study to develop a comprehensive understanding of the cocoa sector, its performance, and its potential for sustainable transformation.</w:t>
      </w:r>
    </w:p>
    <w:p w14:paraId="3002CF14" w14:textId="77777777" w:rsidR="00DC6FE6" w:rsidRDefault="00DC6FE6" w:rsidP="00627825">
      <w:pPr>
        <w:rPr>
          <w:sz w:val="20"/>
          <w:szCs w:val="20"/>
        </w:rPr>
      </w:pPr>
    </w:p>
    <w:p w14:paraId="408FBD15" w14:textId="1F7A4055" w:rsidR="00627825" w:rsidRPr="004A7A9E" w:rsidRDefault="00627825" w:rsidP="00627825">
      <w:pPr>
        <w:rPr>
          <w:sz w:val="20"/>
          <w:szCs w:val="20"/>
        </w:rPr>
      </w:pPr>
      <w:r w:rsidRPr="004A7A9E">
        <w:rPr>
          <w:sz w:val="20"/>
          <w:szCs w:val="20"/>
        </w:rPr>
        <w:t>This request comes at a critical moment. Sierra Leone’s agriculture sector holds significant potential, with over 5 million hectares of arable land and a young population, yet this potential remains underexploited due to repeated economic and climatic shocks. Cocoa has re-emerged as one of the country’s most strategic export commodities, generating foreign exchange and supporting rural livelihoods. The sector has gained renewed attention due to growing demand in international markets, particularly in the European Union, and the expansion of organic cocoa production. At the same time, persistent structural challenges, including low productivity, ageing tree stock, limited access to finance and inputs, weak infrastructure, and increasing climate risks, continue to constrain its development.</w:t>
      </w:r>
    </w:p>
    <w:p w14:paraId="7BCECA7E" w14:textId="77777777" w:rsidR="00DC6FE6" w:rsidRDefault="00DC6FE6" w:rsidP="00627825">
      <w:pPr>
        <w:rPr>
          <w:sz w:val="20"/>
          <w:szCs w:val="20"/>
        </w:rPr>
      </w:pPr>
    </w:p>
    <w:p w14:paraId="6555A851" w14:textId="76CEEFB4" w:rsidR="00627825" w:rsidRPr="004A7A9E" w:rsidRDefault="00627825" w:rsidP="00627825">
      <w:pPr>
        <w:rPr>
          <w:sz w:val="20"/>
          <w:szCs w:val="20"/>
        </w:rPr>
      </w:pPr>
      <w:r w:rsidRPr="004A7A9E">
        <w:rPr>
          <w:sz w:val="20"/>
          <w:szCs w:val="20"/>
        </w:rPr>
        <w:t>The EU has been actively supporting the cocoa sector through a range of interventions, including investments in processing capacity, support to organic certification and agroforestry systems, and engagement with emerging regulatory frameworks such as the EU Regulation on Deforestation-Free Products (EUDR). As the EU prepares a new phase of investment, this study aims to provide a robust analytical foundation to inform future programming, particularly in relation to trade dynamics, quality upgrading, value addition, and environmental sustainability.</w:t>
      </w:r>
    </w:p>
    <w:p w14:paraId="45F6B339" w14:textId="77777777" w:rsidR="00DC6FE6" w:rsidRDefault="00DC6FE6" w:rsidP="00627825">
      <w:pPr>
        <w:rPr>
          <w:sz w:val="20"/>
          <w:szCs w:val="20"/>
        </w:rPr>
      </w:pPr>
    </w:p>
    <w:p w14:paraId="22271587" w14:textId="473B3896" w:rsidR="00627825" w:rsidRPr="004A7A9E" w:rsidRDefault="00627825" w:rsidP="00627825">
      <w:pPr>
        <w:rPr>
          <w:sz w:val="20"/>
          <w:szCs w:val="20"/>
        </w:rPr>
      </w:pPr>
      <w:r w:rsidRPr="004A7A9E">
        <w:rPr>
          <w:sz w:val="20"/>
          <w:szCs w:val="20"/>
        </w:rPr>
        <w:t>The study follows the VCA4D methodological framework, which combines primary and secondary data from multiple sources, including government statistics, existing literature, and extensive stakeholder consultations. The analysis is structured around four core framing questions:</w:t>
      </w:r>
    </w:p>
    <w:p w14:paraId="50719750" w14:textId="3F2A05EE" w:rsidR="00627825" w:rsidRPr="004A7A9E" w:rsidRDefault="00627825" w:rsidP="00627825">
      <w:pPr>
        <w:numPr>
          <w:ilvl w:val="0"/>
          <w:numId w:val="45"/>
        </w:numPr>
        <w:contextualSpacing w:val="0"/>
        <w:jc w:val="left"/>
        <w:rPr>
          <w:sz w:val="20"/>
          <w:szCs w:val="20"/>
        </w:rPr>
      </w:pPr>
      <w:r w:rsidRPr="3821A05B">
        <w:rPr>
          <w:sz w:val="20"/>
          <w:szCs w:val="20"/>
        </w:rPr>
        <w:t xml:space="preserve">What is the contribution of the value chain to economic growth? </w:t>
      </w:r>
    </w:p>
    <w:p w14:paraId="30C6A58A" w14:textId="21202ECB" w:rsidR="00627825" w:rsidRPr="004A7A9E" w:rsidRDefault="00627825" w:rsidP="00627825">
      <w:pPr>
        <w:numPr>
          <w:ilvl w:val="0"/>
          <w:numId w:val="45"/>
        </w:numPr>
        <w:contextualSpacing w:val="0"/>
        <w:jc w:val="left"/>
        <w:rPr>
          <w:sz w:val="20"/>
          <w:szCs w:val="20"/>
        </w:rPr>
      </w:pPr>
      <w:r w:rsidRPr="3821A05B">
        <w:rPr>
          <w:sz w:val="20"/>
          <w:szCs w:val="20"/>
        </w:rPr>
        <w:t xml:space="preserve">Is this </w:t>
      </w:r>
      <w:r w:rsidR="006D3BFB" w:rsidRPr="3821A05B">
        <w:rPr>
          <w:sz w:val="20"/>
          <w:szCs w:val="20"/>
        </w:rPr>
        <w:t xml:space="preserve">economic </w:t>
      </w:r>
      <w:r w:rsidRPr="3821A05B">
        <w:rPr>
          <w:sz w:val="20"/>
          <w:szCs w:val="20"/>
        </w:rPr>
        <w:t xml:space="preserve">growth inclusive? </w:t>
      </w:r>
    </w:p>
    <w:p w14:paraId="4FC971EE" w14:textId="77777777" w:rsidR="00627825" w:rsidRPr="004A7A9E" w:rsidRDefault="00627825" w:rsidP="00627825">
      <w:pPr>
        <w:numPr>
          <w:ilvl w:val="0"/>
          <w:numId w:val="45"/>
        </w:numPr>
        <w:contextualSpacing w:val="0"/>
        <w:jc w:val="left"/>
        <w:rPr>
          <w:sz w:val="20"/>
          <w:szCs w:val="20"/>
        </w:rPr>
      </w:pPr>
      <w:r w:rsidRPr="004A7A9E">
        <w:rPr>
          <w:sz w:val="20"/>
          <w:szCs w:val="20"/>
        </w:rPr>
        <w:t xml:space="preserve">Is the value chain socially sustainable? </w:t>
      </w:r>
    </w:p>
    <w:p w14:paraId="7E248648" w14:textId="77777777" w:rsidR="00627825" w:rsidRPr="004A7A9E" w:rsidRDefault="00627825" w:rsidP="00627825">
      <w:pPr>
        <w:numPr>
          <w:ilvl w:val="0"/>
          <w:numId w:val="45"/>
        </w:numPr>
        <w:contextualSpacing w:val="0"/>
        <w:jc w:val="left"/>
        <w:rPr>
          <w:sz w:val="20"/>
          <w:szCs w:val="20"/>
        </w:rPr>
      </w:pPr>
      <w:r w:rsidRPr="004A7A9E">
        <w:rPr>
          <w:sz w:val="20"/>
          <w:szCs w:val="20"/>
        </w:rPr>
        <w:t xml:space="preserve">Is the value chain environmentally sustainable? </w:t>
      </w:r>
    </w:p>
    <w:p w14:paraId="3F75AA8E" w14:textId="77777777" w:rsidR="00DC6FE6" w:rsidRDefault="00DC6FE6" w:rsidP="00627825">
      <w:pPr>
        <w:rPr>
          <w:sz w:val="20"/>
          <w:szCs w:val="20"/>
        </w:rPr>
      </w:pPr>
    </w:p>
    <w:p w14:paraId="5A407BA7" w14:textId="24467EA8" w:rsidR="00627825" w:rsidRPr="004A7A9E" w:rsidRDefault="00627825" w:rsidP="00627825">
      <w:pPr>
        <w:rPr>
          <w:sz w:val="20"/>
          <w:szCs w:val="20"/>
        </w:rPr>
      </w:pPr>
      <w:r w:rsidRPr="004A7A9E">
        <w:rPr>
          <w:sz w:val="20"/>
          <w:szCs w:val="20"/>
        </w:rPr>
        <w:t>The study was carried out by an interdisciplinary team comprising an economist, a social development specialist, an environmental specialist, and a national expert, ensuring a balanced and integrated assessment.</w:t>
      </w:r>
    </w:p>
    <w:p w14:paraId="0CFA990B" w14:textId="77777777" w:rsidR="00DC6FE6" w:rsidRDefault="00DC6FE6" w:rsidP="00627825">
      <w:pPr>
        <w:rPr>
          <w:sz w:val="20"/>
          <w:szCs w:val="20"/>
        </w:rPr>
      </w:pPr>
    </w:p>
    <w:p w14:paraId="76D4AD7A" w14:textId="6FDF00D8" w:rsidR="00627825" w:rsidRPr="004A7A9E" w:rsidRDefault="00627825" w:rsidP="00627825">
      <w:pPr>
        <w:rPr>
          <w:sz w:val="20"/>
          <w:szCs w:val="20"/>
        </w:rPr>
      </w:pPr>
      <w:r w:rsidRPr="004A7A9E">
        <w:rPr>
          <w:sz w:val="20"/>
          <w:szCs w:val="20"/>
        </w:rPr>
        <w:t>Fieldwork was conducted through two missions between November 2025 and January 2026</w:t>
      </w:r>
      <w:r w:rsidR="00DC6FE6">
        <w:rPr>
          <w:sz w:val="20"/>
          <w:szCs w:val="20"/>
        </w:rPr>
        <w:t xml:space="preserve"> (The details of the implementation of the study are presented in Table A0 in the Appendix)</w:t>
      </w:r>
      <w:r w:rsidRPr="004A7A9E">
        <w:rPr>
          <w:sz w:val="20"/>
          <w:szCs w:val="20"/>
        </w:rPr>
        <w:t>. The first mission focused on launching the study, establishing stakeholder engagement, and developing the functional understanding of the value chain. It included consultations with government institutions, a national kick-off workshop, and field visits to key cocoa-producing districts in the Eastern Province, notably Kenema, Kailahun, and Kono. These visits involved direct engagement with farmers, cooperatives, exporters, and processors through interviews and focus group discussions, providing initial insights into production systems, market dynamics, and institutional arrangements.</w:t>
      </w:r>
    </w:p>
    <w:p w14:paraId="04B4D355" w14:textId="77777777" w:rsidR="008402E7" w:rsidRDefault="008402E7" w:rsidP="00627825">
      <w:pPr>
        <w:rPr>
          <w:sz w:val="20"/>
          <w:szCs w:val="20"/>
        </w:rPr>
      </w:pPr>
    </w:p>
    <w:p w14:paraId="58100C2B" w14:textId="1A0674A0" w:rsidR="00627825" w:rsidRPr="004A7A9E" w:rsidRDefault="00627825" w:rsidP="00627825">
      <w:pPr>
        <w:rPr>
          <w:sz w:val="20"/>
          <w:szCs w:val="20"/>
        </w:rPr>
      </w:pPr>
      <w:r w:rsidRPr="004A7A9E">
        <w:rPr>
          <w:sz w:val="20"/>
          <w:szCs w:val="20"/>
        </w:rPr>
        <w:t xml:space="preserve">The second mission deepened the analysis through targeted consultations and expanded fieldwork. It involved meetings with key national institutions, including regulatory bodies, research </w:t>
      </w:r>
      <w:proofErr w:type="spellStart"/>
      <w:r w:rsidRPr="004A7A9E">
        <w:rPr>
          <w:sz w:val="20"/>
          <w:szCs w:val="20"/>
        </w:rPr>
        <w:lastRenderedPageBreak/>
        <w:t>organisations</w:t>
      </w:r>
      <w:proofErr w:type="spellEnd"/>
      <w:r w:rsidRPr="004A7A9E">
        <w:rPr>
          <w:sz w:val="20"/>
          <w:szCs w:val="20"/>
        </w:rPr>
        <w:t xml:space="preserve">, and development partners, as well as detailed value chain mapping at local level. Additional field visits in Kenema, Kailahun, and Kono enabled further engagement with smallholders, traders, cooperatives, and private sector actors. These interactions provided detailed evidence on farm-level constraints, market </w:t>
      </w:r>
      <w:proofErr w:type="spellStart"/>
      <w:r w:rsidRPr="004A7A9E">
        <w:rPr>
          <w:sz w:val="20"/>
          <w:szCs w:val="20"/>
        </w:rPr>
        <w:t>organisation</w:t>
      </w:r>
      <w:proofErr w:type="spellEnd"/>
      <w:r w:rsidRPr="004A7A9E">
        <w:rPr>
          <w:sz w:val="20"/>
          <w:szCs w:val="20"/>
        </w:rPr>
        <w:t>, and trade practices, while also validating preliminary findings from the first mission.</w:t>
      </w:r>
    </w:p>
    <w:p w14:paraId="5637CC92" w14:textId="77777777" w:rsidR="008402E7" w:rsidRDefault="008402E7" w:rsidP="00627825">
      <w:pPr>
        <w:rPr>
          <w:sz w:val="20"/>
          <w:szCs w:val="20"/>
        </w:rPr>
      </w:pPr>
    </w:p>
    <w:p w14:paraId="7AAFA85B" w14:textId="281C06A6" w:rsidR="00627825" w:rsidRPr="004A7A9E" w:rsidRDefault="00627825" w:rsidP="00627825">
      <w:pPr>
        <w:rPr>
          <w:sz w:val="20"/>
          <w:szCs w:val="20"/>
        </w:rPr>
      </w:pPr>
      <w:r w:rsidRPr="004A7A9E">
        <w:rPr>
          <w:sz w:val="20"/>
          <w:szCs w:val="20"/>
        </w:rPr>
        <w:t>Together, these missions were complemented by additional data collection through surveys, focus group discussions, and stakeholder interviews. This mixed-methods approach ensured that quantitative analysis is grounded in the lived realities of value chain actors, particularly smallholder farmers.</w:t>
      </w:r>
    </w:p>
    <w:p w14:paraId="357FEB29" w14:textId="77777777" w:rsidR="008402E7" w:rsidRDefault="008402E7" w:rsidP="00627825">
      <w:pPr>
        <w:rPr>
          <w:sz w:val="20"/>
          <w:szCs w:val="20"/>
        </w:rPr>
      </w:pPr>
    </w:p>
    <w:p w14:paraId="3FDAA9FD" w14:textId="35AFD4B5" w:rsidR="00627825" w:rsidRPr="004A7A9E" w:rsidRDefault="00627825" w:rsidP="00627825">
      <w:pPr>
        <w:rPr>
          <w:sz w:val="20"/>
          <w:szCs w:val="20"/>
        </w:rPr>
      </w:pPr>
      <w:r w:rsidRPr="004A7A9E">
        <w:rPr>
          <w:sz w:val="20"/>
          <w:szCs w:val="20"/>
        </w:rPr>
        <w:t>Overall, the study provides a comprehensive and evidence-based assessment of the Sierra Leone cocoa value chain. It aims to identify key constraints and opportunities for sector transformation and to inform policies and investments that can enhance competitiveness, promote inclusiveness, and support a transition towards a more sustainable cocoa economy.</w:t>
      </w:r>
    </w:p>
    <w:p w14:paraId="4229CBFD" w14:textId="7DD6E6F8" w:rsidR="00A4518A" w:rsidRPr="00B70172" w:rsidRDefault="00A4518A" w:rsidP="00F02F6A">
      <w:pPr>
        <w:rPr>
          <w:rStyle w:val="IntenseEmphasis"/>
          <w:lang w:val="en-GB"/>
        </w:rPr>
      </w:pPr>
      <w:r>
        <w:rPr>
          <w:rStyle w:val="IntenseEmphasis"/>
        </w:rPr>
        <w:br w:type="page"/>
      </w:r>
    </w:p>
    <w:p w14:paraId="58838AEB" w14:textId="58067C50" w:rsidR="00A4518A" w:rsidRDefault="00A4518A" w:rsidP="00A4518A">
      <w:pPr>
        <w:pStyle w:val="Heading1"/>
        <w:spacing w:line="276" w:lineRule="auto"/>
      </w:pPr>
      <w:bookmarkStart w:id="8" w:name="_Toc228700986"/>
      <w:r>
        <w:lastRenderedPageBreak/>
        <w:t>FUNCTIONAL ANALYSIS</w:t>
      </w:r>
      <w:bookmarkEnd w:id="8"/>
      <w:r>
        <w:t xml:space="preserve"> </w:t>
      </w:r>
    </w:p>
    <w:p w14:paraId="6A69BE7F" w14:textId="1F9FF853" w:rsidR="002E3468" w:rsidRPr="00781D8B" w:rsidRDefault="002E3468" w:rsidP="002E3468">
      <w:pPr>
        <w:rPr>
          <w:rFonts w:cs="Open Sans"/>
          <w:sz w:val="20"/>
          <w:szCs w:val="20"/>
        </w:rPr>
      </w:pPr>
      <w:r w:rsidRPr="3821A05B">
        <w:rPr>
          <w:rFonts w:cs="Open Sans"/>
          <w:sz w:val="20"/>
          <w:szCs w:val="20"/>
        </w:rPr>
        <w:t xml:space="preserve">The functional analysis aims to </w:t>
      </w:r>
      <w:r w:rsidR="004165AA" w:rsidRPr="3821A05B">
        <w:rPr>
          <w:rFonts w:cs="Open Sans"/>
          <w:sz w:val="20"/>
          <w:szCs w:val="20"/>
        </w:rPr>
        <w:t>provide an overall description of the value chain</w:t>
      </w:r>
      <w:r w:rsidRPr="3821A05B">
        <w:rPr>
          <w:rFonts w:cs="Open Sans"/>
          <w:sz w:val="20"/>
          <w:szCs w:val="20"/>
        </w:rPr>
        <w:t xml:space="preserve">. It identifies and </w:t>
      </w:r>
      <w:proofErr w:type="spellStart"/>
      <w:r w:rsidRPr="3821A05B">
        <w:rPr>
          <w:rFonts w:cs="Open Sans"/>
          <w:sz w:val="20"/>
          <w:szCs w:val="20"/>
        </w:rPr>
        <w:t>characterises</w:t>
      </w:r>
      <w:proofErr w:type="spellEnd"/>
      <w:r w:rsidRPr="3821A05B">
        <w:rPr>
          <w:rFonts w:cs="Open Sans"/>
          <w:sz w:val="20"/>
          <w:szCs w:val="20"/>
        </w:rPr>
        <w:t xml:space="preserve"> the main actors and stakeholders involved and expands on some of the main strategic development challenges faced. It also allows the VCA4D study team to elaborate a general, common understanding of the </w:t>
      </w:r>
      <w:r w:rsidR="004165AA" w:rsidRPr="3821A05B">
        <w:rPr>
          <w:rFonts w:cs="Open Sans"/>
          <w:sz w:val="20"/>
          <w:szCs w:val="20"/>
        </w:rPr>
        <w:t>cocoa</w:t>
      </w:r>
      <w:r w:rsidRPr="3821A05B">
        <w:rPr>
          <w:rFonts w:cs="Open Sans"/>
          <w:sz w:val="20"/>
          <w:szCs w:val="20"/>
        </w:rPr>
        <w:t xml:space="preserve"> value chain operations and to confirm the scope of the subsequent analysis.  </w:t>
      </w:r>
    </w:p>
    <w:p w14:paraId="75BE0B0A" w14:textId="1FCE6187" w:rsidR="002E3468" w:rsidRPr="0032408B" w:rsidRDefault="00296996" w:rsidP="0032408B">
      <w:pPr>
        <w:pStyle w:val="Heading2"/>
      </w:pPr>
      <w:bookmarkStart w:id="9" w:name="_Toc204771072"/>
      <w:bookmarkStart w:id="10" w:name="_Toc228700987"/>
      <w:r w:rsidRPr="00296996">
        <w:t>Cocoa Production Profile</w:t>
      </w:r>
      <w:bookmarkEnd w:id="9"/>
      <w:bookmarkEnd w:id="10"/>
    </w:p>
    <w:p w14:paraId="69AFC22A" w14:textId="23D02FBF" w:rsidR="000C3047" w:rsidRPr="00781D8B" w:rsidRDefault="000C3047" w:rsidP="000C3047">
      <w:pPr>
        <w:rPr>
          <w:rFonts w:cs="Open Sans"/>
          <w:sz w:val="20"/>
          <w:szCs w:val="20"/>
        </w:rPr>
      </w:pPr>
      <w:r w:rsidRPr="00296996">
        <w:rPr>
          <w:rFonts w:cs="Open Sans"/>
          <w:sz w:val="20"/>
          <w:szCs w:val="20"/>
        </w:rPr>
        <w:t xml:space="preserve">Cocoa is a central pillar of Sierra Leone’s agrarian economy and a key source of rural livelihoods, underpinning income generation for over 120,000 smallholder households. It is the country’s most important agricultural export commodity, accounting for </w:t>
      </w:r>
      <w:r w:rsidR="00940531" w:rsidRPr="00940531">
        <w:rPr>
          <w:rFonts w:cs="Open Sans"/>
          <w:sz w:val="20"/>
          <w:szCs w:val="20"/>
        </w:rPr>
        <w:t xml:space="preserve">approximately 63% of agricultural export earnings in </w:t>
      </w:r>
      <w:proofErr w:type="gramStart"/>
      <w:r w:rsidR="00940531" w:rsidRPr="00940531">
        <w:rPr>
          <w:rFonts w:cs="Open Sans"/>
          <w:sz w:val="20"/>
          <w:szCs w:val="20"/>
        </w:rPr>
        <w:t>2023, and</w:t>
      </w:r>
      <w:proofErr w:type="gramEnd"/>
      <w:r w:rsidR="00940531" w:rsidRPr="00940531">
        <w:rPr>
          <w:rFonts w:cs="Open Sans"/>
          <w:sz w:val="20"/>
          <w:szCs w:val="20"/>
        </w:rPr>
        <w:t xml:space="preserve"> plays a critical role in foreign exchange generation</w:t>
      </w:r>
      <w:r w:rsidRPr="00296996">
        <w:rPr>
          <w:rFonts w:cs="Open Sans"/>
          <w:sz w:val="20"/>
          <w:szCs w:val="20"/>
        </w:rPr>
        <w:t>. The sector is highly export-oriented, with the European Union, particularly the Netherlands, serving as the dominant market, thereby shaping production incentives and exposure to international regulatory frameworks.</w:t>
      </w:r>
      <w:r>
        <w:rPr>
          <w:rFonts w:cs="Open Sans"/>
          <w:sz w:val="20"/>
          <w:szCs w:val="20"/>
        </w:rPr>
        <w:t xml:space="preserve"> </w:t>
      </w:r>
      <w:r w:rsidRPr="00296996">
        <w:rPr>
          <w:rFonts w:cs="Open Sans"/>
          <w:sz w:val="20"/>
          <w:szCs w:val="20"/>
        </w:rPr>
        <w:t xml:space="preserve">Production is largely based on low-input, smallholder systems </w:t>
      </w:r>
      <w:proofErr w:type="spellStart"/>
      <w:r w:rsidRPr="00296996">
        <w:rPr>
          <w:rFonts w:cs="Open Sans"/>
          <w:sz w:val="20"/>
          <w:szCs w:val="20"/>
        </w:rPr>
        <w:t>characterised</w:t>
      </w:r>
      <w:proofErr w:type="spellEnd"/>
      <w:r w:rsidRPr="00296996">
        <w:rPr>
          <w:rFonts w:cs="Open Sans"/>
          <w:sz w:val="20"/>
          <w:szCs w:val="20"/>
        </w:rPr>
        <w:t xml:space="preserve"> by mixed agroforestry practices</w:t>
      </w:r>
      <w:r>
        <w:rPr>
          <w:rFonts w:cs="Open Sans"/>
          <w:sz w:val="20"/>
          <w:szCs w:val="20"/>
        </w:rPr>
        <w:t xml:space="preserve"> which share production areas with other commodities</w:t>
      </w:r>
      <w:r w:rsidRPr="00296996">
        <w:rPr>
          <w:rFonts w:cs="Open Sans"/>
          <w:sz w:val="20"/>
          <w:szCs w:val="20"/>
        </w:rPr>
        <w:t xml:space="preserve">, which position Sierra Leone </w:t>
      </w:r>
      <w:proofErr w:type="spellStart"/>
      <w:r w:rsidRPr="00296996">
        <w:rPr>
          <w:rFonts w:cs="Open Sans"/>
          <w:sz w:val="20"/>
          <w:szCs w:val="20"/>
        </w:rPr>
        <w:t>favourably</w:t>
      </w:r>
      <w:proofErr w:type="spellEnd"/>
      <w:r w:rsidRPr="00296996">
        <w:rPr>
          <w:rFonts w:cs="Open Sans"/>
          <w:sz w:val="20"/>
          <w:szCs w:val="20"/>
        </w:rPr>
        <w:t xml:space="preserve"> within organic and specialty cocoa markets. However, the sector is constrained by persistently low productivity</w:t>
      </w:r>
      <w:r>
        <w:rPr>
          <w:rFonts w:cs="Open Sans"/>
          <w:sz w:val="20"/>
          <w:szCs w:val="20"/>
        </w:rPr>
        <w:t xml:space="preserve"> (compared with similar systems elsewhere)</w:t>
      </w:r>
      <w:r w:rsidRPr="00296996">
        <w:rPr>
          <w:rFonts w:cs="Open Sans"/>
          <w:sz w:val="20"/>
          <w:szCs w:val="20"/>
        </w:rPr>
        <w:t xml:space="preserve">, reflecting ageing tree stock and limited farm </w:t>
      </w:r>
      <w:r>
        <w:rPr>
          <w:rFonts w:cs="Open Sans"/>
          <w:sz w:val="20"/>
          <w:szCs w:val="20"/>
        </w:rPr>
        <w:t>shade/</w:t>
      </w:r>
      <w:r w:rsidRPr="00296996">
        <w:rPr>
          <w:rFonts w:cs="Open Sans"/>
          <w:sz w:val="20"/>
          <w:szCs w:val="20"/>
        </w:rPr>
        <w:t>management following the disruptions of the civil war. These structural features define both the strengths and vulnerabilities of the cocoa production system and provide the foundation for the functional analysis that follows.</w:t>
      </w:r>
    </w:p>
    <w:p w14:paraId="0A72D726" w14:textId="60CA4BAB" w:rsidR="002E3468" w:rsidRPr="006962DF" w:rsidRDefault="002E3468" w:rsidP="006962DF">
      <w:pPr>
        <w:pStyle w:val="Heading3"/>
      </w:pPr>
      <w:r w:rsidRPr="006962DF">
        <w:t xml:space="preserve"> </w:t>
      </w:r>
      <w:bookmarkStart w:id="11" w:name="_Toc204771073"/>
      <w:bookmarkStart w:id="12" w:name="_Toc228700988"/>
      <w:r w:rsidRPr="006962DF">
        <w:t>National Production</w:t>
      </w:r>
      <w:bookmarkEnd w:id="11"/>
      <w:r w:rsidR="00296996">
        <w:t xml:space="preserve"> Volume</w:t>
      </w:r>
      <w:bookmarkEnd w:id="12"/>
    </w:p>
    <w:p w14:paraId="6F2584EF" w14:textId="3C4A005F" w:rsidR="00BF0037" w:rsidRPr="00BF0037" w:rsidRDefault="00BF0037" w:rsidP="00BF0037">
      <w:pPr>
        <w:pBdr>
          <w:top w:val="nil"/>
          <w:left w:val="nil"/>
          <w:bottom w:val="nil"/>
          <w:right w:val="nil"/>
          <w:between w:val="nil"/>
        </w:pBdr>
        <w:rPr>
          <w:rFonts w:eastAsia="Google Sans Text" w:cs="Open Sans"/>
          <w:sz w:val="20"/>
          <w:szCs w:val="20"/>
        </w:rPr>
      </w:pPr>
      <w:r w:rsidRPr="00BF0037">
        <w:rPr>
          <w:rFonts w:eastAsia="Google Sans Text" w:cs="Open Sans"/>
          <w:sz w:val="20"/>
          <w:szCs w:val="20"/>
        </w:rPr>
        <w:t xml:space="preserve">The current estimated national cocoa output for the 2022/23 season was 18,000–19,000 metric </w:t>
      </w:r>
      <w:proofErr w:type="spellStart"/>
      <w:r w:rsidRPr="00BF0037">
        <w:rPr>
          <w:rFonts w:eastAsia="Google Sans Text" w:cs="Open Sans"/>
          <w:sz w:val="20"/>
          <w:szCs w:val="20"/>
        </w:rPr>
        <w:t>tonnes</w:t>
      </w:r>
      <w:proofErr w:type="spellEnd"/>
      <w:r w:rsidRPr="00BF0037">
        <w:rPr>
          <w:rFonts w:eastAsia="Google Sans Text" w:cs="Open Sans"/>
          <w:sz w:val="20"/>
          <w:szCs w:val="20"/>
        </w:rPr>
        <w:t xml:space="preserve">. This volume is the subject of intense commercial competition among the estimated 20 registered trading companies operating nationally. Historically, the sector has demonstrated the capacity for higher production, having recorded peak export volumes of 26,000 </w:t>
      </w:r>
      <w:proofErr w:type="spellStart"/>
      <w:r w:rsidRPr="00BF0037">
        <w:rPr>
          <w:rFonts w:eastAsia="Google Sans Text" w:cs="Open Sans"/>
          <w:sz w:val="20"/>
          <w:szCs w:val="20"/>
        </w:rPr>
        <w:t>tonnes</w:t>
      </w:r>
      <w:proofErr w:type="spellEnd"/>
      <w:r w:rsidRPr="00BF0037">
        <w:rPr>
          <w:rFonts w:eastAsia="Google Sans Text" w:cs="Open Sans"/>
          <w:sz w:val="20"/>
          <w:szCs w:val="20"/>
        </w:rPr>
        <w:t xml:space="preserve"> in 1980 before the market </w:t>
      </w:r>
      <w:proofErr w:type="spellStart"/>
      <w:r w:rsidRPr="00BF0037">
        <w:rPr>
          <w:rFonts w:eastAsia="Google Sans Text" w:cs="Open Sans"/>
          <w:sz w:val="20"/>
          <w:szCs w:val="20"/>
        </w:rPr>
        <w:t>liberalisation</w:t>
      </w:r>
      <w:proofErr w:type="spellEnd"/>
      <w:r w:rsidRPr="00BF0037">
        <w:rPr>
          <w:rFonts w:eastAsia="Google Sans Text" w:cs="Open Sans"/>
          <w:sz w:val="20"/>
          <w:szCs w:val="20"/>
        </w:rPr>
        <w:t xml:space="preserve"> policies of the early 1990s (MAF 2019). The fact that current output remains significantly below the pre-</w:t>
      </w:r>
      <w:proofErr w:type="spellStart"/>
      <w:r w:rsidRPr="00BF0037">
        <w:rPr>
          <w:rFonts w:eastAsia="Google Sans Text" w:cs="Open Sans"/>
          <w:sz w:val="20"/>
          <w:szCs w:val="20"/>
        </w:rPr>
        <w:t>liberalisation</w:t>
      </w:r>
      <w:proofErr w:type="spellEnd"/>
      <w:r w:rsidRPr="00BF0037">
        <w:rPr>
          <w:rFonts w:eastAsia="Google Sans Text" w:cs="Open Sans"/>
          <w:sz w:val="20"/>
          <w:szCs w:val="20"/>
        </w:rPr>
        <w:t xml:space="preserve"> peak highlights the sector’s persistent under-exploited potential.</w:t>
      </w:r>
    </w:p>
    <w:p w14:paraId="7ABAAB7D" w14:textId="77777777" w:rsidR="000C3047" w:rsidRDefault="000C3047" w:rsidP="00BF0037">
      <w:pPr>
        <w:pBdr>
          <w:top w:val="nil"/>
          <w:left w:val="nil"/>
          <w:bottom w:val="nil"/>
          <w:right w:val="nil"/>
          <w:between w:val="nil"/>
        </w:pBdr>
        <w:rPr>
          <w:rFonts w:eastAsia="Google Sans Text" w:cs="Open Sans"/>
          <w:sz w:val="20"/>
          <w:szCs w:val="20"/>
        </w:rPr>
      </w:pPr>
    </w:p>
    <w:p w14:paraId="0D69B61F" w14:textId="201257B0" w:rsidR="00BF0037" w:rsidRPr="00BF0037" w:rsidRDefault="00BF0037" w:rsidP="00BF0037">
      <w:pPr>
        <w:pBdr>
          <w:top w:val="nil"/>
          <w:left w:val="nil"/>
          <w:bottom w:val="nil"/>
          <w:right w:val="nil"/>
          <w:between w:val="nil"/>
        </w:pBdr>
        <w:rPr>
          <w:rFonts w:eastAsia="Google Sans Text" w:cs="Open Sans"/>
          <w:sz w:val="20"/>
          <w:szCs w:val="20"/>
        </w:rPr>
      </w:pPr>
      <w:r w:rsidRPr="00BF0037">
        <w:rPr>
          <w:rFonts w:eastAsia="Google Sans Text" w:cs="Open Sans"/>
          <w:sz w:val="20"/>
          <w:szCs w:val="20"/>
        </w:rPr>
        <w:t>The evolution of cocoa production and cultivated area in Sierra Leone from 2000 to 2023 (</w:t>
      </w:r>
      <w:r w:rsidR="00101E2B">
        <w:rPr>
          <w:rFonts w:eastAsia="Google Sans Text" w:cs="Open Sans"/>
          <w:sz w:val="20"/>
          <w:szCs w:val="20"/>
        </w:rPr>
        <w:fldChar w:fldCharType="begin"/>
      </w:r>
      <w:r w:rsidR="00101E2B">
        <w:rPr>
          <w:rFonts w:eastAsia="Google Sans Text" w:cs="Open Sans"/>
          <w:sz w:val="20"/>
          <w:szCs w:val="20"/>
        </w:rPr>
        <w:instrText xml:space="preserve"> REF _Ref227054355 \h  \* MERGEFORMAT </w:instrText>
      </w:r>
      <w:r w:rsidR="00101E2B">
        <w:rPr>
          <w:rFonts w:eastAsia="Google Sans Text" w:cs="Open Sans"/>
          <w:sz w:val="20"/>
          <w:szCs w:val="20"/>
        </w:rPr>
      </w:r>
      <w:r w:rsidR="00101E2B">
        <w:rPr>
          <w:rFonts w:eastAsia="Google Sans Text" w:cs="Open Sans"/>
          <w:sz w:val="20"/>
          <w:szCs w:val="20"/>
        </w:rPr>
        <w:fldChar w:fldCharType="separate"/>
      </w:r>
      <w:r w:rsidR="00101E2B" w:rsidRPr="003F51CC">
        <w:rPr>
          <w:i/>
          <w:iCs/>
          <w:color w:val="000000" w:themeColor="text1"/>
          <w:sz w:val="20"/>
          <w:szCs w:val="20"/>
        </w:rPr>
        <w:t xml:space="preserve">Figure </w:t>
      </w:r>
      <w:r w:rsidR="00101E2B">
        <w:rPr>
          <w:i/>
          <w:iCs/>
          <w:noProof/>
          <w:color w:val="000000" w:themeColor="text1"/>
          <w:szCs w:val="20"/>
        </w:rPr>
        <w:t>1</w:t>
      </w:r>
      <w:r w:rsidR="00101E2B">
        <w:rPr>
          <w:i/>
          <w:iCs/>
          <w:color w:val="000000" w:themeColor="text1"/>
          <w:szCs w:val="20"/>
        </w:rPr>
        <w:t>.</w:t>
      </w:r>
      <w:r w:rsidR="00101E2B">
        <w:rPr>
          <w:i/>
          <w:iCs/>
          <w:noProof/>
          <w:color w:val="000000" w:themeColor="text1"/>
          <w:szCs w:val="20"/>
        </w:rPr>
        <w:t>1</w:t>
      </w:r>
      <w:r w:rsidR="00101E2B">
        <w:rPr>
          <w:rFonts w:eastAsia="Google Sans Text" w:cs="Open Sans"/>
          <w:sz w:val="20"/>
          <w:szCs w:val="20"/>
        </w:rPr>
        <w:fldChar w:fldCharType="end"/>
      </w:r>
      <w:r w:rsidRPr="00BF0037">
        <w:rPr>
          <w:rFonts w:eastAsia="Google Sans Text" w:cs="Open Sans"/>
          <w:sz w:val="20"/>
          <w:szCs w:val="20"/>
        </w:rPr>
        <w:t xml:space="preserve">) shows a sector marked by slow post-conflict recovery, a short-lived boom, and subsequent </w:t>
      </w:r>
      <w:proofErr w:type="spellStart"/>
      <w:r w:rsidRPr="00BF0037">
        <w:rPr>
          <w:rFonts w:eastAsia="Google Sans Text" w:cs="Open Sans"/>
          <w:sz w:val="20"/>
          <w:szCs w:val="20"/>
        </w:rPr>
        <w:t>normalisation</w:t>
      </w:r>
      <w:proofErr w:type="spellEnd"/>
      <w:r w:rsidRPr="00BF0037">
        <w:rPr>
          <w:rFonts w:eastAsia="Google Sans Text" w:cs="Open Sans"/>
          <w:sz w:val="20"/>
          <w:szCs w:val="20"/>
        </w:rPr>
        <w:t xml:space="preserve">. Through the early 2000s, production fluctuated modestly around 12–18 thousand </w:t>
      </w:r>
      <w:proofErr w:type="spellStart"/>
      <w:r w:rsidRPr="00BF0037">
        <w:rPr>
          <w:rFonts w:eastAsia="Google Sans Text" w:cs="Open Sans"/>
          <w:sz w:val="20"/>
          <w:szCs w:val="20"/>
        </w:rPr>
        <w:t>tonnes</w:t>
      </w:r>
      <w:proofErr w:type="spellEnd"/>
      <w:r w:rsidRPr="00BF0037">
        <w:rPr>
          <w:rFonts w:eastAsia="Google Sans Text" w:cs="Open Sans"/>
          <w:sz w:val="20"/>
          <w:szCs w:val="20"/>
        </w:rPr>
        <w:t>, broadly mirroring stable land use. This reflects limited investment, ageing orchards, and weak market incentives during the post-war rehabilitation period (Amara et al., 2025).</w:t>
      </w:r>
    </w:p>
    <w:p w14:paraId="1C7AF959" w14:textId="77777777" w:rsidR="003F51CC" w:rsidRDefault="00BF0037" w:rsidP="003F51CC">
      <w:pPr>
        <w:keepNext/>
        <w:pBdr>
          <w:top w:val="nil"/>
          <w:left w:val="nil"/>
          <w:bottom w:val="nil"/>
          <w:right w:val="nil"/>
          <w:between w:val="nil"/>
        </w:pBdr>
        <w:spacing w:line="275" w:lineRule="auto"/>
        <w:jc w:val="center"/>
      </w:pPr>
      <w:r w:rsidRPr="00757903">
        <w:rPr>
          <w:noProof/>
          <w14:ligatures w14:val="standardContextual"/>
        </w:rPr>
        <w:lastRenderedPageBreak/>
        <w:drawing>
          <wp:inline distT="0" distB="0" distL="0" distR="0" wp14:anchorId="5C0B8108" wp14:editId="4061E7CC">
            <wp:extent cx="5029200" cy="2494720"/>
            <wp:effectExtent l="0" t="0" r="0" b="1270"/>
            <wp:docPr id="1552024551" name="Picture 3" descr="A graph of growth in the y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24551" name="Picture 3" descr="A graph of growth in the yea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7273" cy="2498725"/>
                    </a:xfrm>
                    <a:prstGeom prst="rect">
                      <a:avLst/>
                    </a:prstGeom>
                  </pic:spPr>
                </pic:pic>
              </a:graphicData>
            </a:graphic>
          </wp:inline>
        </w:drawing>
      </w:r>
    </w:p>
    <w:p w14:paraId="2B7C68F4" w14:textId="054C575C" w:rsidR="00BF0037" w:rsidRPr="003F51CC" w:rsidRDefault="003F51CC" w:rsidP="003F51CC">
      <w:pPr>
        <w:pStyle w:val="Caption"/>
        <w:jc w:val="center"/>
        <w:rPr>
          <w:i/>
          <w:iCs/>
          <w:color w:val="000000" w:themeColor="text1"/>
          <w:szCs w:val="20"/>
        </w:rPr>
      </w:pPr>
      <w:bookmarkStart w:id="13" w:name="_Ref227054355"/>
      <w:bookmarkStart w:id="14" w:name="_Toc228701097"/>
      <w:r w:rsidRPr="003F51CC">
        <w:rPr>
          <w:i/>
          <w:iCs/>
          <w:color w:val="000000" w:themeColor="text1"/>
          <w:szCs w:val="20"/>
        </w:rPr>
        <w:t xml:space="preserve">Figure </w:t>
      </w:r>
      <w:r w:rsidR="007306EC">
        <w:rPr>
          <w:i/>
          <w:iCs/>
          <w:color w:val="000000" w:themeColor="text1"/>
          <w:szCs w:val="20"/>
        </w:rPr>
        <w:fldChar w:fldCharType="begin"/>
      </w:r>
      <w:r w:rsidR="007306EC">
        <w:rPr>
          <w:i/>
          <w:iCs/>
          <w:color w:val="000000" w:themeColor="text1"/>
          <w:szCs w:val="20"/>
        </w:rPr>
        <w:instrText xml:space="preserve"> STYLEREF 1 \s </w:instrText>
      </w:r>
      <w:r w:rsidR="007306EC">
        <w:rPr>
          <w:i/>
          <w:iCs/>
          <w:color w:val="000000" w:themeColor="text1"/>
          <w:szCs w:val="20"/>
        </w:rPr>
        <w:fldChar w:fldCharType="separate"/>
      </w:r>
      <w:r w:rsidR="007306EC">
        <w:rPr>
          <w:i/>
          <w:iCs/>
          <w:noProof/>
          <w:color w:val="000000" w:themeColor="text1"/>
          <w:szCs w:val="20"/>
        </w:rPr>
        <w:t>1</w:t>
      </w:r>
      <w:r w:rsidR="007306EC">
        <w:rPr>
          <w:i/>
          <w:iCs/>
          <w:color w:val="000000" w:themeColor="text1"/>
          <w:szCs w:val="20"/>
        </w:rPr>
        <w:fldChar w:fldCharType="end"/>
      </w:r>
      <w:r w:rsidR="007306EC">
        <w:rPr>
          <w:i/>
          <w:iCs/>
          <w:color w:val="000000" w:themeColor="text1"/>
          <w:szCs w:val="20"/>
        </w:rPr>
        <w:noBreakHyphen/>
      </w:r>
      <w:r w:rsidR="007306EC">
        <w:rPr>
          <w:i/>
          <w:iCs/>
          <w:color w:val="000000" w:themeColor="text1"/>
          <w:szCs w:val="20"/>
        </w:rPr>
        <w:fldChar w:fldCharType="begin"/>
      </w:r>
      <w:r w:rsidR="007306EC">
        <w:rPr>
          <w:i/>
          <w:iCs/>
          <w:color w:val="000000" w:themeColor="text1"/>
          <w:szCs w:val="20"/>
        </w:rPr>
        <w:instrText xml:space="preserve"> SEQ Figure \* ARABIC \s 1 </w:instrText>
      </w:r>
      <w:r w:rsidR="007306EC">
        <w:rPr>
          <w:i/>
          <w:iCs/>
          <w:color w:val="000000" w:themeColor="text1"/>
          <w:szCs w:val="20"/>
        </w:rPr>
        <w:fldChar w:fldCharType="separate"/>
      </w:r>
      <w:r w:rsidR="007306EC">
        <w:rPr>
          <w:i/>
          <w:iCs/>
          <w:noProof/>
          <w:color w:val="000000" w:themeColor="text1"/>
          <w:szCs w:val="20"/>
        </w:rPr>
        <w:t>1</w:t>
      </w:r>
      <w:r w:rsidR="007306EC">
        <w:rPr>
          <w:i/>
          <w:iCs/>
          <w:color w:val="000000" w:themeColor="text1"/>
          <w:szCs w:val="20"/>
        </w:rPr>
        <w:fldChar w:fldCharType="end"/>
      </w:r>
      <w:bookmarkEnd w:id="13"/>
      <w:r w:rsidRPr="003F51CC">
        <w:rPr>
          <w:i/>
          <w:iCs/>
          <w:color w:val="000000" w:themeColor="text1"/>
          <w:szCs w:val="20"/>
        </w:rPr>
        <w:t xml:space="preserve"> Sierra Leone cocoa production (</w:t>
      </w:r>
      <w:proofErr w:type="spellStart"/>
      <w:r w:rsidRPr="003F51CC">
        <w:rPr>
          <w:i/>
          <w:iCs/>
          <w:color w:val="000000" w:themeColor="text1"/>
          <w:szCs w:val="20"/>
        </w:rPr>
        <w:t>tonnes</w:t>
      </w:r>
      <w:proofErr w:type="spellEnd"/>
      <w:r w:rsidRPr="003F51CC">
        <w:rPr>
          <w:i/>
          <w:iCs/>
          <w:color w:val="000000" w:themeColor="text1"/>
          <w:szCs w:val="20"/>
        </w:rPr>
        <w:t>) and cultivated area (hectares) from 2000 to 2023</w:t>
      </w:r>
      <w:bookmarkEnd w:id="14"/>
    </w:p>
    <w:p w14:paraId="4076B140" w14:textId="115A46DF" w:rsidR="003A4575" w:rsidRPr="005675F0" w:rsidRDefault="00BF0037" w:rsidP="007F6686">
      <w:pPr>
        <w:rPr>
          <w:lang w:val="fr-FR"/>
        </w:rPr>
      </w:pPr>
      <w:r w:rsidRPr="00A55AE3">
        <w:rPr>
          <w:lang w:val="en-GB"/>
        </w:rPr>
        <w:t xml:space="preserve"> </w:t>
      </w:r>
      <w:r w:rsidR="003A4575" w:rsidRPr="005675F0">
        <w:rPr>
          <w:lang w:val="fr-FR"/>
        </w:rPr>
        <w:t xml:space="preserve">Source </w:t>
      </w:r>
      <w:hyperlink r:id="rId18" w:anchor="data/QCL/visualize" w:history="1">
        <w:r w:rsidR="003A4575" w:rsidRPr="005675F0">
          <w:rPr>
            <w:rStyle w:val="Hyperlink"/>
            <w:lang w:val="fr-FR"/>
          </w:rPr>
          <w:t>https://www.fao.org/faostat/en/#data/QCL/visualize</w:t>
        </w:r>
      </w:hyperlink>
      <w:r w:rsidR="003A4575" w:rsidRPr="005675F0">
        <w:rPr>
          <w:lang w:val="fr-FR"/>
        </w:rPr>
        <w:t xml:space="preserve"> </w:t>
      </w:r>
    </w:p>
    <w:p w14:paraId="52900CD5" w14:textId="77777777" w:rsidR="003A4575" w:rsidRPr="005675F0" w:rsidRDefault="003A4575" w:rsidP="00BF0037">
      <w:pPr>
        <w:pBdr>
          <w:top w:val="nil"/>
          <w:left w:val="nil"/>
          <w:bottom w:val="nil"/>
          <w:right w:val="nil"/>
          <w:between w:val="nil"/>
        </w:pBdr>
        <w:rPr>
          <w:rFonts w:eastAsia="Google Sans Text" w:cs="Open Sans"/>
          <w:sz w:val="20"/>
          <w:szCs w:val="20"/>
          <w:lang w:val="fr-FR"/>
        </w:rPr>
      </w:pPr>
    </w:p>
    <w:p w14:paraId="30BDDB85" w14:textId="77777777" w:rsidR="000C3047" w:rsidRDefault="000C3047" w:rsidP="000C3047">
      <w:pPr>
        <w:pBdr>
          <w:top w:val="nil"/>
          <w:left w:val="nil"/>
          <w:bottom w:val="nil"/>
          <w:right w:val="nil"/>
          <w:between w:val="nil"/>
        </w:pBdr>
        <w:rPr>
          <w:rFonts w:eastAsia="Google Sans Text" w:cs="Open Sans"/>
          <w:sz w:val="20"/>
          <w:szCs w:val="20"/>
        </w:rPr>
      </w:pPr>
      <w:r w:rsidRPr="00BF0037">
        <w:rPr>
          <w:rFonts w:eastAsia="Google Sans Text" w:cs="Open Sans"/>
          <w:sz w:val="20"/>
          <w:szCs w:val="20"/>
        </w:rPr>
        <w:t xml:space="preserve">A mild decoupling appears from 2010 to 2015, when production rises while cultivated </w:t>
      </w:r>
      <w:proofErr w:type="gramStart"/>
      <w:r w:rsidRPr="00BF0037">
        <w:rPr>
          <w:rFonts w:eastAsia="Google Sans Text" w:cs="Open Sans"/>
          <w:sz w:val="20"/>
          <w:szCs w:val="20"/>
        </w:rPr>
        <w:t>area remains</w:t>
      </w:r>
      <w:proofErr w:type="gramEnd"/>
      <w:r w:rsidRPr="00BF0037">
        <w:rPr>
          <w:rFonts w:eastAsia="Google Sans Text" w:cs="Open Sans"/>
          <w:sz w:val="20"/>
          <w:szCs w:val="20"/>
        </w:rPr>
        <w:t xml:space="preserve"> broadly flat. This is consistent with improved farm-gate incentives and donor-supported value-chain initiatives that raised output without major land expansion. The dramatic surge from 2016 to 2018 marks a clear structural break: cultivated area more than doubles and production </w:t>
      </w:r>
      <w:proofErr w:type="gramStart"/>
      <w:r w:rsidRPr="00BF0037">
        <w:rPr>
          <w:rFonts w:eastAsia="Google Sans Text" w:cs="Open Sans"/>
          <w:sz w:val="20"/>
          <w:szCs w:val="20"/>
        </w:rPr>
        <w:t>reaches</w:t>
      </w:r>
      <w:proofErr w:type="gramEnd"/>
      <w:r w:rsidRPr="00BF0037">
        <w:rPr>
          <w:rFonts w:eastAsia="Google Sans Text" w:cs="Open Sans"/>
          <w:sz w:val="20"/>
          <w:szCs w:val="20"/>
        </w:rPr>
        <w:t xml:space="preserve"> roughly 50 thousand </w:t>
      </w:r>
      <w:proofErr w:type="spellStart"/>
      <w:r w:rsidRPr="00BF0037">
        <w:rPr>
          <w:rFonts w:eastAsia="Google Sans Text" w:cs="Open Sans"/>
          <w:sz w:val="20"/>
          <w:szCs w:val="20"/>
        </w:rPr>
        <w:t>tonnes</w:t>
      </w:r>
      <w:proofErr w:type="spellEnd"/>
      <w:r w:rsidRPr="00BF0037">
        <w:rPr>
          <w:rFonts w:eastAsia="Google Sans Text" w:cs="Open Sans"/>
          <w:sz w:val="20"/>
          <w:szCs w:val="20"/>
        </w:rPr>
        <w:t>. This aligns with the mid-2010s global cocoa price boom, expanded planting programs, and better</w:t>
      </w:r>
      <w:r>
        <w:rPr>
          <w:rFonts w:eastAsia="Google Sans Text" w:cs="Open Sans"/>
          <w:sz w:val="20"/>
          <w:szCs w:val="20"/>
        </w:rPr>
        <w:t xml:space="preserve"> and more consistent</w:t>
      </w:r>
      <w:r w:rsidRPr="00BF0037">
        <w:rPr>
          <w:rFonts w:eastAsia="Google Sans Text" w:cs="Open Sans"/>
          <w:sz w:val="20"/>
          <w:szCs w:val="20"/>
        </w:rPr>
        <w:t xml:space="preserve"> data reporting.</w:t>
      </w:r>
    </w:p>
    <w:p w14:paraId="7E9B52F5" w14:textId="77777777" w:rsidR="000C3047" w:rsidRPr="00BF0037" w:rsidRDefault="000C3047" w:rsidP="000C3047">
      <w:pPr>
        <w:pBdr>
          <w:top w:val="nil"/>
          <w:left w:val="nil"/>
          <w:bottom w:val="nil"/>
          <w:right w:val="nil"/>
          <w:between w:val="nil"/>
        </w:pBdr>
        <w:rPr>
          <w:rFonts w:eastAsia="Google Sans Text" w:cs="Open Sans"/>
          <w:sz w:val="20"/>
          <w:szCs w:val="20"/>
        </w:rPr>
      </w:pPr>
    </w:p>
    <w:p w14:paraId="27CA7272" w14:textId="77777777" w:rsidR="000C3047" w:rsidRDefault="000C3047" w:rsidP="000C3047">
      <w:pPr>
        <w:pBdr>
          <w:top w:val="nil"/>
          <w:left w:val="nil"/>
          <w:bottom w:val="nil"/>
          <w:right w:val="nil"/>
          <w:between w:val="nil"/>
        </w:pBdr>
        <w:rPr>
          <w:rFonts w:eastAsia="Google Sans Text" w:cs="Open Sans"/>
          <w:sz w:val="20"/>
          <w:szCs w:val="20"/>
        </w:rPr>
      </w:pPr>
      <w:r w:rsidRPr="00BF0037">
        <w:rPr>
          <w:rFonts w:eastAsia="Google Sans Text" w:cs="Open Sans"/>
          <w:sz w:val="20"/>
          <w:szCs w:val="20"/>
        </w:rPr>
        <w:t xml:space="preserve">The boom is followed by a sharp contraction. From 2019 onwards, both production and area fall back toward pre-2016 levels, reflecting climate shocks, disease pressures, and the winding down of externally funded </w:t>
      </w:r>
      <w:proofErr w:type="spellStart"/>
      <w:r w:rsidRPr="00BF0037">
        <w:rPr>
          <w:rFonts w:eastAsia="Google Sans Text" w:cs="Open Sans"/>
          <w:sz w:val="20"/>
          <w:szCs w:val="20"/>
        </w:rPr>
        <w:t>programmes</w:t>
      </w:r>
      <w:proofErr w:type="spellEnd"/>
      <w:r w:rsidRPr="00BF0037">
        <w:rPr>
          <w:rFonts w:eastAsia="Google Sans Text" w:cs="Open Sans"/>
          <w:sz w:val="20"/>
          <w:szCs w:val="20"/>
        </w:rPr>
        <w:t xml:space="preserve">. The fitted trendlines show an overall upward trajectory, but the underlying trend is heavily influenced by the temporary mid-2010s expansion. Without it, long-run growth would appear far flatter. Overall, the graph depicts a sector still </w:t>
      </w:r>
      <w:proofErr w:type="spellStart"/>
      <w:r w:rsidRPr="00BF0037">
        <w:rPr>
          <w:rFonts w:eastAsia="Google Sans Text" w:cs="Open Sans"/>
          <w:sz w:val="20"/>
          <w:szCs w:val="20"/>
        </w:rPr>
        <w:t>characterised</w:t>
      </w:r>
      <w:proofErr w:type="spellEnd"/>
      <w:r w:rsidRPr="00BF0037">
        <w:rPr>
          <w:rFonts w:eastAsia="Google Sans Text" w:cs="Open Sans"/>
          <w:sz w:val="20"/>
          <w:szCs w:val="20"/>
        </w:rPr>
        <w:t xml:space="preserve"> by low and relatively stable yields, where temporary expansions are driven more by external incentives and short-term </w:t>
      </w:r>
      <w:proofErr w:type="spellStart"/>
      <w:r w:rsidRPr="00BF0037">
        <w:rPr>
          <w:rFonts w:eastAsia="Google Sans Text" w:cs="Open Sans"/>
          <w:sz w:val="20"/>
          <w:szCs w:val="20"/>
        </w:rPr>
        <w:t>programmes</w:t>
      </w:r>
      <w:proofErr w:type="spellEnd"/>
      <w:r w:rsidRPr="00BF0037">
        <w:rPr>
          <w:rFonts w:eastAsia="Google Sans Text" w:cs="Open Sans"/>
          <w:sz w:val="20"/>
          <w:szCs w:val="20"/>
        </w:rPr>
        <w:t xml:space="preserve"> than sustained productivity gains.</w:t>
      </w:r>
      <w:r>
        <w:rPr>
          <w:rFonts w:eastAsia="Google Sans Text" w:cs="Open Sans"/>
          <w:sz w:val="20"/>
          <w:szCs w:val="20"/>
        </w:rPr>
        <w:t xml:space="preserve"> (Given that cocoa production systems are </w:t>
      </w:r>
      <w:r w:rsidRPr="004A79CD">
        <w:rPr>
          <w:rFonts w:eastAsia="Google Sans Text" w:cs="Open Sans"/>
          <w:i/>
          <w:iCs/>
          <w:sz w:val="20"/>
          <w:szCs w:val="20"/>
        </w:rPr>
        <w:t>generally</w:t>
      </w:r>
      <w:r>
        <w:rPr>
          <w:rFonts w:eastAsia="Google Sans Text" w:cs="Open Sans"/>
          <w:sz w:val="20"/>
          <w:szCs w:val="20"/>
        </w:rPr>
        <w:t xml:space="preserve"> produced without chemical inputs, additional constraints such as </w:t>
      </w:r>
      <w:proofErr w:type="spellStart"/>
      <w:r>
        <w:rPr>
          <w:rFonts w:eastAsia="Google Sans Text" w:cs="Open Sans"/>
          <w:sz w:val="20"/>
          <w:szCs w:val="20"/>
        </w:rPr>
        <w:t>labour</w:t>
      </w:r>
      <w:proofErr w:type="spellEnd"/>
      <w:r>
        <w:rPr>
          <w:rFonts w:eastAsia="Google Sans Text" w:cs="Open Sans"/>
          <w:sz w:val="20"/>
          <w:szCs w:val="20"/>
        </w:rPr>
        <w:t xml:space="preserve"> availability can also influence production expansion). </w:t>
      </w:r>
    </w:p>
    <w:p w14:paraId="40427AA1" w14:textId="77777777" w:rsidR="000C3047" w:rsidRDefault="000C3047" w:rsidP="00BF0037">
      <w:pPr>
        <w:pBdr>
          <w:top w:val="nil"/>
          <w:left w:val="nil"/>
          <w:bottom w:val="nil"/>
          <w:right w:val="nil"/>
          <w:between w:val="nil"/>
        </w:pBdr>
        <w:rPr>
          <w:rFonts w:eastAsia="Google Sans Text" w:cs="Open Sans"/>
          <w:sz w:val="20"/>
          <w:szCs w:val="20"/>
        </w:rPr>
      </w:pPr>
    </w:p>
    <w:p w14:paraId="5F3C7E1A" w14:textId="6BA551DD" w:rsidR="00BF0037" w:rsidRPr="00BF0037" w:rsidRDefault="00BF0037" w:rsidP="00BF0037">
      <w:pPr>
        <w:pBdr>
          <w:top w:val="nil"/>
          <w:left w:val="nil"/>
          <w:bottom w:val="nil"/>
          <w:right w:val="nil"/>
          <w:between w:val="nil"/>
        </w:pBdr>
        <w:rPr>
          <w:rFonts w:eastAsia="Google Sans Text" w:cs="Open Sans"/>
          <w:sz w:val="20"/>
          <w:szCs w:val="20"/>
        </w:rPr>
      </w:pPr>
      <w:r w:rsidRPr="00BF0037">
        <w:rPr>
          <w:rFonts w:eastAsia="Google Sans Text" w:cs="Open Sans"/>
          <w:sz w:val="20"/>
          <w:szCs w:val="20"/>
        </w:rPr>
        <w:t>Export quantities are available as indexed against the average for (2014-2016), which can be used to compare with trends in production (</w:t>
      </w:r>
      <w:r w:rsidR="00096C8B">
        <w:rPr>
          <w:rFonts w:eastAsia="Google Sans Text" w:cs="Open Sans"/>
          <w:sz w:val="20"/>
          <w:szCs w:val="20"/>
        </w:rPr>
        <w:fldChar w:fldCharType="begin"/>
      </w:r>
      <w:r w:rsidR="00096C8B">
        <w:rPr>
          <w:rFonts w:eastAsia="Google Sans Text" w:cs="Open Sans"/>
          <w:sz w:val="20"/>
          <w:szCs w:val="20"/>
        </w:rPr>
        <w:instrText xml:space="preserve"> REF _Ref227054883 \h  \* MERGEFORMAT </w:instrText>
      </w:r>
      <w:r w:rsidR="00096C8B">
        <w:rPr>
          <w:rFonts w:eastAsia="Google Sans Text" w:cs="Open Sans"/>
          <w:sz w:val="20"/>
          <w:szCs w:val="20"/>
        </w:rPr>
      </w:r>
      <w:r w:rsidR="00096C8B">
        <w:rPr>
          <w:rFonts w:eastAsia="Google Sans Text" w:cs="Open Sans"/>
          <w:sz w:val="20"/>
          <w:szCs w:val="20"/>
        </w:rPr>
        <w:fldChar w:fldCharType="separate"/>
      </w:r>
      <w:r w:rsidR="00096C8B">
        <w:t xml:space="preserve">Figure </w:t>
      </w:r>
      <w:r w:rsidR="00096C8B">
        <w:rPr>
          <w:noProof/>
        </w:rPr>
        <w:t>1</w:t>
      </w:r>
      <w:r w:rsidR="00096C8B">
        <w:t>.</w:t>
      </w:r>
      <w:r w:rsidR="00096C8B">
        <w:rPr>
          <w:noProof/>
        </w:rPr>
        <w:t>2</w:t>
      </w:r>
      <w:r w:rsidR="00096C8B">
        <w:rPr>
          <w:rFonts w:eastAsia="Google Sans Text" w:cs="Open Sans"/>
          <w:sz w:val="20"/>
          <w:szCs w:val="20"/>
        </w:rPr>
        <w:fldChar w:fldCharType="end"/>
      </w:r>
      <w:r w:rsidRPr="00BF0037">
        <w:rPr>
          <w:rFonts w:eastAsia="Google Sans Text" w:cs="Open Sans"/>
          <w:sz w:val="20"/>
          <w:szCs w:val="20"/>
        </w:rPr>
        <w:t xml:space="preserve">). Whilst exports demonstrate a similar relative trend as production, albeit with a “sharper” peak in 2017, and appear to decline before production (i.e., 2018 vs 2019), they present a less dramatic decrease between 2017 and 2023. This variability may reflect the underlying availability of data. </w:t>
      </w:r>
    </w:p>
    <w:p w14:paraId="2EBE9732" w14:textId="77777777" w:rsidR="00BF0037" w:rsidRPr="00757903" w:rsidRDefault="00BF0037" w:rsidP="00BF0037">
      <w:pPr>
        <w:pBdr>
          <w:top w:val="nil"/>
          <w:left w:val="nil"/>
          <w:bottom w:val="nil"/>
          <w:right w:val="nil"/>
          <w:between w:val="nil"/>
        </w:pBdr>
        <w:spacing w:line="275" w:lineRule="auto"/>
        <w:rPr>
          <w:rFonts w:ascii="Google Sans Text" w:eastAsia="Google Sans Text" w:hAnsi="Google Sans Text" w:cs="Google Sans Text"/>
        </w:rPr>
      </w:pPr>
    </w:p>
    <w:p w14:paraId="60BB1448" w14:textId="77777777" w:rsidR="00BF0037" w:rsidRPr="00757903" w:rsidRDefault="00BF0037" w:rsidP="00BF0037">
      <w:pPr>
        <w:pBdr>
          <w:top w:val="nil"/>
          <w:left w:val="nil"/>
          <w:bottom w:val="nil"/>
          <w:right w:val="nil"/>
          <w:between w:val="nil"/>
        </w:pBdr>
        <w:spacing w:line="275" w:lineRule="auto"/>
        <w:rPr>
          <w:rFonts w:ascii="Google Sans Text" w:eastAsia="Google Sans Text" w:hAnsi="Google Sans Text" w:cs="Google Sans Text"/>
        </w:rPr>
      </w:pPr>
    </w:p>
    <w:p w14:paraId="17EBFB8C" w14:textId="77777777" w:rsidR="003A4575" w:rsidRDefault="00BF0037" w:rsidP="003A4575">
      <w:pPr>
        <w:keepNext/>
        <w:pBdr>
          <w:top w:val="nil"/>
          <w:left w:val="nil"/>
          <w:bottom w:val="nil"/>
          <w:right w:val="nil"/>
          <w:between w:val="nil"/>
        </w:pBdr>
        <w:spacing w:line="275" w:lineRule="auto"/>
        <w:jc w:val="center"/>
      </w:pPr>
      <w:r w:rsidRPr="00757903">
        <w:rPr>
          <w:noProof/>
        </w:rPr>
        <w:lastRenderedPageBreak/>
        <w:drawing>
          <wp:inline distT="0" distB="0" distL="0" distR="0" wp14:anchorId="0706596D" wp14:editId="19A155AF">
            <wp:extent cx="4584589" cy="2755631"/>
            <wp:effectExtent l="0" t="0" r="0" b="0"/>
            <wp:docPr id="1520351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51395" name="Picture 1520351395"/>
                    <pic:cNvPicPr/>
                  </pic:nvPicPr>
                  <pic:blipFill>
                    <a:blip r:embed="rId19">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0405F410" w14:textId="3577DC29" w:rsidR="00BF0037" w:rsidRPr="00757903" w:rsidRDefault="003A4575" w:rsidP="003A4575">
      <w:pPr>
        <w:pStyle w:val="Caption"/>
        <w:jc w:val="center"/>
      </w:pPr>
      <w:bookmarkStart w:id="15" w:name="_Ref227054883"/>
      <w:bookmarkStart w:id="16" w:name="_Toc228701098"/>
      <w:r>
        <w:t xml:space="preserve">Figure </w:t>
      </w:r>
      <w:fldSimple w:instr=" STYLEREF 1 \s ">
        <w:r w:rsidR="007306EC">
          <w:rPr>
            <w:noProof/>
          </w:rPr>
          <w:t>1</w:t>
        </w:r>
      </w:fldSimple>
      <w:r w:rsidR="007306EC">
        <w:noBreakHyphen/>
      </w:r>
      <w:fldSimple w:instr=" SEQ Figure \* ARABIC \s 1 ">
        <w:r w:rsidR="007306EC">
          <w:rPr>
            <w:noProof/>
          </w:rPr>
          <w:t>2</w:t>
        </w:r>
      </w:fldSimple>
      <w:bookmarkEnd w:id="15"/>
      <w:r>
        <w:t xml:space="preserve"> </w:t>
      </w:r>
      <w:r w:rsidRPr="009541A3">
        <w:t>COMPARISON OF PRODUCTION AND EXPORT QUANTITY INDICES</w:t>
      </w:r>
      <w:bookmarkEnd w:id="16"/>
    </w:p>
    <w:p w14:paraId="67C0435B" w14:textId="1D6E22C9" w:rsidR="003A4575" w:rsidRPr="007F6686" w:rsidRDefault="003A4575" w:rsidP="007F6686">
      <w:pPr>
        <w:jc w:val="left"/>
      </w:pPr>
      <w:r w:rsidRPr="007F6686">
        <w:t xml:space="preserve">Source: </w:t>
      </w:r>
      <w:bookmarkStart w:id="17" w:name="_Toc216210385"/>
      <w:r w:rsidRPr="007F6686">
        <w:fldChar w:fldCharType="begin"/>
      </w:r>
      <w:r w:rsidRPr="007F6686">
        <w:instrText>HYPERLINK "https://www.fao.org/faostat/en/" \l "data/QCL" \h</w:instrText>
      </w:r>
      <w:r w:rsidRPr="007F6686">
        <w:fldChar w:fldCharType="separate"/>
      </w:r>
      <w:r w:rsidRPr="007F6686">
        <w:rPr>
          <w:rStyle w:val="Hyperlink"/>
        </w:rPr>
        <w:t>https://www.fao.org/faostat/en/#data/QCL</w:t>
      </w:r>
      <w:r w:rsidRPr="007F6686">
        <w:fldChar w:fldCharType="end"/>
      </w:r>
      <w:r w:rsidRPr="007F6686">
        <w:t xml:space="preserve"> and </w:t>
      </w:r>
      <w:hyperlink r:id="rId20" w:anchor="data/TI">
        <w:r w:rsidRPr="007F6686">
          <w:rPr>
            <w:rStyle w:val="Hyperlink"/>
          </w:rPr>
          <w:t>https://www.fao.org/faostat/en/#data/TI</w:t>
        </w:r>
      </w:hyperlink>
      <w:r w:rsidRPr="007F6686">
        <w:t xml:space="preserve"> respectively</w:t>
      </w:r>
      <w:bookmarkEnd w:id="17"/>
    </w:p>
    <w:p w14:paraId="47488F7C" w14:textId="55E4E7D4" w:rsidR="00BF0037" w:rsidRPr="00757903" w:rsidRDefault="00BF0037" w:rsidP="00BF0037">
      <w:pPr>
        <w:pStyle w:val="Caption"/>
        <w:rPr>
          <w:rFonts w:ascii="Google Sans Text" w:eastAsia="Google Sans Text" w:hAnsi="Google Sans Text" w:cs="Google Sans Text"/>
        </w:rPr>
      </w:pPr>
      <w:r w:rsidRPr="00757903">
        <w:t xml:space="preserve"> </w:t>
      </w:r>
    </w:p>
    <w:p w14:paraId="002883C2" w14:textId="7C1BDF14" w:rsidR="002E3468" w:rsidRPr="006962DF" w:rsidRDefault="00EF398D" w:rsidP="006962DF">
      <w:pPr>
        <w:pStyle w:val="Heading3"/>
      </w:pPr>
      <w:bookmarkStart w:id="18" w:name="_Toc204771074"/>
      <w:bookmarkStart w:id="19" w:name="_Toc228700989"/>
      <w:r w:rsidRPr="00EF398D">
        <w:t>Low-Yield Drivers</w:t>
      </w:r>
      <w:bookmarkEnd w:id="18"/>
      <w:bookmarkEnd w:id="19"/>
      <w:r w:rsidR="002E3468" w:rsidRPr="006962DF">
        <w:t xml:space="preserve"> </w:t>
      </w:r>
    </w:p>
    <w:p w14:paraId="1CF16BFC" w14:textId="3EE2BAAE" w:rsidR="000C3047" w:rsidRDefault="00EF398D" w:rsidP="3821A05B">
      <w:pPr>
        <w:pBdr>
          <w:top w:val="nil"/>
          <w:left w:val="nil"/>
          <w:bottom w:val="nil"/>
          <w:right w:val="nil"/>
          <w:between w:val="nil"/>
        </w:pBdr>
        <w:rPr>
          <w:rFonts w:eastAsia="Google Sans Text" w:cs="Open Sans"/>
          <w:sz w:val="20"/>
          <w:szCs w:val="20"/>
        </w:rPr>
      </w:pPr>
      <w:r w:rsidRPr="00EF398D">
        <w:rPr>
          <w:rFonts w:eastAsia="Google Sans Text" w:cs="Open Sans"/>
          <w:sz w:val="20"/>
          <w:szCs w:val="20"/>
        </w:rPr>
        <w:t xml:space="preserve">The most critical structural impediment to the sector’s viability is the ongoing yield crisis. Average productivity is estimated to be critically low, at 0.35–0.40 </w:t>
      </w:r>
      <w:proofErr w:type="spellStart"/>
      <w:r w:rsidRPr="00EF398D">
        <w:rPr>
          <w:rFonts w:eastAsia="Google Sans Text" w:cs="Open Sans"/>
          <w:sz w:val="20"/>
          <w:szCs w:val="20"/>
        </w:rPr>
        <w:t>tonnes</w:t>
      </w:r>
      <w:proofErr w:type="spellEnd"/>
      <w:r w:rsidRPr="00EF398D">
        <w:rPr>
          <w:rFonts w:eastAsia="Google Sans Text" w:cs="Open Sans"/>
          <w:sz w:val="20"/>
          <w:szCs w:val="20"/>
        </w:rPr>
        <w:t xml:space="preserve"> per hectare (t/ha). As shown in</w:t>
      </w:r>
      <w:r w:rsidR="00096C8B">
        <w:rPr>
          <w:rFonts w:eastAsia="Google Sans Text" w:cs="Open Sans"/>
          <w:sz w:val="20"/>
          <w:szCs w:val="20"/>
        </w:rPr>
        <w:t xml:space="preserve"> </w:t>
      </w:r>
      <w:r w:rsidR="00096C8B" w:rsidRPr="006D3BFB">
        <w:rPr>
          <w:rFonts w:eastAsia="Google Sans Text" w:cs="Open Sans"/>
          <w:sz w:val="20"/>
          <w:szCs w:val="20"/>
        </w:rPr>
        <w:fldChar w:fldCharType="begin"/>
      </w:r>
      <w:r w:rsidR="00096C8B" w:rsidRPr="006D3BFB">
        <w:rPr>
          <w:rFonts w:eastAsia="Google Sans Text" w:cs="Open Sans"/>
          <w:sz w:val="20"/>
          <w:szCs w:val="20"/>
        </w:rPr>
        <w:instrText xml:space="preserve"> REF _Ref227055169 \h </w:instrText>
      </w:r>
      <w:r w:rsidR="006D3BFB">
        <w:rPr>
          <w:rFonts w:eastAsia="Google Sans Text" w:cs="Open Sans"/>
          <w:sz w:val="20"/>
          <w:szCs w:val="20"/>
        </w:rPr>
        <w:instrText xml:space="preserve"> \* MERGEFORMAT </w:instrText>
      </w:r>
      <w:r w:rsidR="00096C8B" w:rsidRPr="006D3BFB">
        <w:rPr>
          <w:rFonts w:eastAsia="Google Sans Text" w:cs="Open Sans"/>
          <w:sz w:val="20"/>
          <w:szCs w:val="20"/>
        </w:rPr>
      </w:r>
      <w:r w:rsidR="00096C8B" w:rsidRPr="006D3BFB">
        <w:rPr>
          <w:rFonts w:eastAsia="Google Sans Text" w:cs="Open Sans"/>
          <w:sz w:val="20"/>
          <w:szCs w:val="20"/>
        </w:rPr>
        <w:fldChar w:fldCharType="separate"/>
      </w:r>
      <w:r w:rsidR="00096C8B" w:rsidRPr="006D3BFB">
        <w:rPr>
          <w:sz w:val="20"/>
          <w:szCs w:val="20"/>
        </w:rPr>
        <w:t xml:space="preserve">Figure </w:t>
      </w:r>
      <w:r w:rsidR="00096C8B" w:rsidRPr="006D3BFB">
        <w:rPr>
          <w:noProof/>
          <w:sz w:val="20"/>
          <w:szCs w:val="20"/>
        </w:rPr>
        <w:t>1</w:t>
      </w:r>
      <w:r w:rsidR="00096C8B" w:rsidRPr="006D3BFB">
        <w:rPr>
          <w:sz w:val="20"/>
          <w:szCs w:val="20"/>
        </w:rPr>
        <w:t>.</w:t>
      </w:r>
      <w:r w:rsidR="00096C8B" w:rsidRPr="006D3BFB">
        <w:rPr>
          <w:noProof/>
          <w:sz w:val="20"/>
          <w:szCs w:val="20"/>
        </w:rPr>
        <w:t>3</w:t>
      </w:r>
      <w:r w:rsidR="00096C8B" w:rsidRPr="006D3BFB">
        <w:rPr>
          <w:rFonts w:eastAsia="Google Sans Text" w:cs="Open Sans"/>
          <w:sz w:val="20"/>
          <w:szCs w:val="20"/>
        </w:rPr>
        <w:fldChar w:fldCharType="end"/>
      </w:r>
      <w:r w:rsidRPr="006D3BFB">
        <w:rPr>
          <w:rFonts w:eastAsia="Google Sans Text" w:cs="Open Sans"/>
          <w:sz w:val="20"/>
          <w:szCs w:val="20"/>
        </w:rPr>
        <w:t>, Sierra Leone’s cocoa yields place the country in the middle of the West African</w:t>
      </w:r>
      <w:r w:rsidRPr="00EF398D">
        <w:rPr>
          <w:rFonts w:eastAsia="Google Sans Text" w:cs="Open Sans"/>
          <w:sz w:val="20"/>
          <w:szCs w:val="20"/>
        </w:rPr>
        <w:t xml:space="preserve"> performance spectrum. </w:t>
      </w:r>
      <w:r w:rsidR="000C3047" w:rsidRPr="000C3047">
        <w:rPr>
          <w:rFonts w:eastAsia="Google Sans Text" w:cs="Open Sans"/>
          <w:sz w:val="20"/>
          <w:szCs w:val="20"/>
        </w:rPr>
        <w:t xml:space="preserve">Yields rise gradually from around 300 kg/ha in 2000 to just above 400 kg/ha by the mid-2010s, reflecting slow rehabilitation of farms and modest uptake of improved practices. Compared to its </w:t>
      </w:r>
      <w:proofErr w:type="spellStart"/>
      <w:r w:rsidR="000C3047" w:rsidRPr="000C3047">
        <w:rPr>
          <w:rFonts w:eastAsia="Google Sans Text" w:cs="Open Sans"/>
          <w:sz w:val="20"/>
          <w:szCs w:val="20"/>
        </w:rPr>
        <w:t>neighbours</w:t>
      </w:r>
      <w:proofErr w:type="spellEnd"/>
      <w:r w:rsidR="000C3047" w:rsidRPr="000C3047">
        <w:rPr>
          <w:rFonts w:eastAsia="Google Sans Text" w:cs="Open Sans"/>
          <w:sz w:val="20"/>
          <w:szCs w:val="20"/>
        </w:rPr>
        <w:t xml:space="preserve">, Sierra Leone performs well above Liberia, where yields remain stagnant at around 150–170 kg/ha, but it lags far behind Ghana and Côte d’Ivoire, both of which sustain higher productivity through more coordinated input systems (following conventional production systems) and stronger institutional support. The sharp spike in Sierra Leone’s yields in 2019, followed by an abrupt collapse in 2020, highlights the fragility of the country’s production base. These swings likely reflect exposure to climatic shocks, temporary changes in reporting, and disruptions during the COVID-19 period. The subsequent yield </w:t>
      </w:r>
      <w:proofErr w:type="spellStart"/>
      <w:r w:rsidR="000C3047" w:rsidRPr="000C3047">
        <w:rPr>
          <w:rFonts w:eastAsia="Google Sans Text" w:cs="Open Sans"/>
          <w:sz w:val="20"/>
          <w:szCs w:val="20"/>
        </w:rPr>
        <w:t>stabilisation</w:t>
      </w:r>
      <w:proofErr w:type="spellEnd"/>
      <w:r w:rsidR="000C3047" w:rsidRPr="000C3047">
        <w:rPr>
          <w:rFonts w:eastAsia="Google Sans Text" w:cs="Open Sans"/>
          <w:sz w:val="20"/>
          <w:szCs w:val="20"/>
        </w:rPr>
        <w:t xml:space="preserve"> at lower levels underscores the vulnerability of low-input, ageing orchards and the absence of sustained investment in farm renewal</w:t>
      </w:r>
      <w:r w:rsidR="000C3047">
        <w:rPr>
          <w:rFonts w:eastAsia="Google Sans Text" w:cs="Open Sans"/>
          <w:sz w:val="20"/>
          <w:szCs w:val="20"/>
        </w:rPr>
        <w:t xml:space="preserve"> and</w:t>
      </w:r>
      <w:r w:rsidR="000C3047" w:rsidRPr="000C3047">
        <w:rPr>
          <w:rFonts w:eastAsia="Google Sans Text" w:cs="Open Sans"/>
          <w:sz w:val="20"/>
          <w:szCs w:val="20"/>
        </w:rPr>
        <w:t xml:space="preserve"> shade management. The sector may be </w:t>
      </w:r>
      <w:proofErr w:type="spellStart"/>
      <w:r w:rsidR="000C3047" w:rsidRPr="000C3047">
        <w:rPr>
          <w:rFonts w:eastAsia="Google Sans Text" w:cs="Open Sans"/>
          <w:sz w:val="20"/>
          <w:szCs w:val="20"/>
        </w:rPr>
        <w:t>characterised</w:t>
      </w:r>
      <w:proofErr w:type="spellEnd"/>
      <w:r w:rsidR="000C3047" w:rsidRPr="000C3047">
        <w:rPr>
          <w:rFonts w:eastAsia="Google Sans Text" w:cs="Open Sans"/>
          <w:sz w:val="20"/>
          <w:szCs w:val="20"/>
        </w:rPr>
        <w:t xml:space="preserve"> as low risk and low reward, with farmers struggling to </w:t>
      </w:r>
      <w:proofErr w:type="spellStart"/>
      <w:r w:rsidR="000C3047" w:rsidRPr="000C3047">
        <w:rPr>
          <w:rFonts w:eastAsia="Google Sans Text" w:cs="Open Sans"/>
          <w:sz w:val="20"/>
          <w:szCs w:val="20"/>
        </w:rPr>
        <w:t>realise</w:t>
      </w:r>
      <w:proofErr w:type="spellEnd"/>
      <w:r w:rsidR="000C3047" w:rsidRPr="000C3047">
        <w:rPr>
          <w:rFonts w:eastAsia="Google Sans Text" w:cs="Open Sans"/>
          <w:sz w:val="20"/>
          <w:szCs w:val="20"/>
        </w:rPr>
        <w:t xml:space="preserve"> its full potential while remaining </w:t>
      </w:r>
      <w:proofErr w:type="gramStart"/>
      <w:r w:rsidR="000C3047" w:rsidRPr="000C3047">
        <w:rPr>
          <w:rFonts w:eastAsia="Google Sans Text" w:cs="Open Sans"/>
          <w:sz w:val="20"/>
          <w:szCs w:val="20"/>
        </w:rPr>
        <w:t>largely</w:t>
      </w:r>
      <w:proofErr w:type="gramEnd"/>
      <w:r w:rsidR="000C3047" w:rsidRPr="000C3047">
        <w:rPr>
          <w:rFonts w:eastAsia="Google Sans Text" w:cs="Open Sans"/>
          <w:sz w:val="20"/>
          <w:szCs w:val="20"/>
        </w:rPr>
        <w:t xml:space="preserve"> price takers. </w:t>
      </w:r>
    </w:p>
    <w:p w14:paraId="47FD0ECC" w14:textId="77777777" w:rsidR="000C3047" w:rsidRDefault="000C3047" w:rsidP="00EF398D">
      <w:pPr>
        <w:pBdr>
          <w:top w:val="nil"/>
          <w:left w:val="nil"/>
          <w:bottom w:val="nil"/>
          <w:right w:val="nil"/>
          <w:between w:val="nil"/>
        </w:pBdr>
        <w:rPr>
          <w:rFonts w:eastAsia="Google Sans Text" w:cs="Open Sans"/>
          <w:sz w:val="20"/>
          <w:szCs w:val="20"/>
        </w:rPr>
      </w:pPr>
    </w:p>
    <w:p w14:paraId="245445B2" w14:textId="74C86CA6" w:rsidR="00EF398D" w:rsidRPr="00EF398D" w:rsidRDefault="00EF398D" w:rsidP="00EF398D">
      <w:pPr>
        <w:pBdr>
          <w:top w:val="nil"/>
          <w:left w:val="nil"/>
          <w:bottom w:val="nil"/>
          <w:right w:val="nil"/>
          <w:between w:val="nil"/>
        </w:pBdr>
        <w:rPr>
          <w:rFonts w:eastAsia="Google Sans Text" w:cs="Open Sans"/>
          <w:sz w:val="20"/>
          <w:szCs w:val="20"/>
        </w:rPr>
      </w:pPr>
      <w:r w:rsidRPr="00EF398D">
        <w:rPr>
          <w:rFonts w:eastAsia="Google Sans Text" w:cs="Open Sans"/>
          <w:sz w:val="20"/>
          <w:szCs w:val="20"/>
        </w:rPr>
        <w:t xml:space="preserve">Overall, the regional comparison reveals that Sierra Leone’s yield growth has been modest and unstable, largely due to a production system that remains less resilient and less supported than those of its more productive </w:t>
      </w:r>
      <w:proofErr w:type="spellStart"/>
      <w:r w:rsidRPr="00EF398D">
        <w:rPr>
          <w:rFonts w:eastAsia="Google Sans Text" w:cs="Open Sans"/>
          <w:sz w:val="20"/>
          <w:szCs w:val="20"/>
        </w:rPr>
        <w:t>neighbours</w:t>
      </w:r>
      <w:proofErr w:type="spellEnd"/>
      <w:r w:rsidRPr="00EF398D">
        <w:rPr>
          <w:rFonts w:eastAsia="Google Sans Text" w:cs="Open Sans"/>
          <w:sz w:val="20"/>
          <w:szCs w:val="20"/>
        </w:rPr>
        <w:t xml:space="preserve">. </w:t>
      </w:r>
    </w:p>
    <w:p w14:paraId="50027E54"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0AB52CFE"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638BC2E5"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03C0B4FF" w14:textId="284BD94F" w:rsidR="00EF398D" w:rsidRPr="00757903" w:rsidRDefault="0044162A" w:rsidP="00EF398D">
      <w:pPr>
        <w:pBdr>
          <w:top w:val="nil"/>
          <w:left w:val="nil"/>
          <w:bottom w:val="nil"/>
          <w:right w:val="nil"/>
          <w:between w:val="nil"/>
        </w:pBdr>
        <w:spacing w:line="275" w:lineRule="auto"/>
        <w:rPr>
          <w:rFonts w:ascii="Google Sans Text" w:eastAsia="Google Sans Text" w:hAnsi="Google Sans Text" w:cs="Google Sans Text"/>
        </w:rPr>
      </w:pPr>
      <w:r>
        <w:rPr>
          <w:noProof/>
        </w:rPr>
        <w:lastRenderedPageBreak/>
        <mc:AlternateContent>
          <mc:Choice Requires="wps">
            <w:drawing>
              <wp:anchor distT="0" distB="0" distL="114300" distR="114300" simplePos="0" relativeHeight="251690000" behindDoc="1" locked="0" layoutInCell="1" allowOverlap="1" wp14:anchorId="00DC8505" wp14:editId="3C2F612D">
                <wp:simplePos x="0" y="0"/>
                <wp:positionH relativeFrom="column">
                  <wp:posOffset>361950</wp:posOffset>
                </wp:positionH>
                <wp:positionV relativeFrom="paragraph">
                  <wp:posOffset>2529205</wp:posOffset>
                </wp:positionV>
                <wp:extent cx="4984750" cy="635"/>
                <wp:effectExtent l="0" t="0" r="0" b="0"/>
                <wp:wrapTight wrapText="bothSides">
                  <wp:wrapPolygon edited="0">
                    <wp:start x="0" y="0"/>
                    <wp:lineTo x="0" y="21600"/>
                    <wp:lineTo x="21600" y="21600"/>
                    <wp:lineTo x="21600" y="0"/>
                  </wp:wrapPolygon>
                </wp:wrapTight>
                <wp:docPr id="1052068201" name="Text Box 1"/>
                <wp:cNvGraphicFramePr/>
                <a:graphic xmlns:a="http://schemas.openxmlformats.org/drawingml/2006/main">
                  <a:graphicData uri="http://schemas.microsoft.com/office/word/2010/wordprocessingShape">
                    <wps:wsp>
                      <wps:cNvSpPr txBox="1"/>
                      <wps:spPr>
                        <a:xfrm>
                          <a:off x="0" y="0"/>
                          <a:ext cx="4984750" cy="635"/>
                        </a:xfrm>
                        <a:prstGeom prst="rect">
                          <a:avLst/>
                        </a:prstGeom>
                        <a:solidFill>
                          <a:prstClr val="white"/>
                        </a:solidFill>
                        <a:ln>
                          <a:noFill/>
                        </a:ln>
                      </wps:spPr>
                      <wps:txbx>
                        <w:txbxContent>
                          <w:p w14:paraId="03031511" w14:textId="3B482E4B" w:rsidR="0044162A" w:rsidRPr="00A16ED3" w:rsidRDefault="0044162A" w:rsidP="0044162A">
                            <w:pPr>
                              <w:pStyle w:val="Caption"/>
                              <w:jc w:val="center"/>
                              <w:rPr>
                                <w:rFonts w:ascii="Google Sans Text" w:eastAsia="Google Sans Text" w:hAnsi="Google Sans Text" w:cs="Google Sans Text"/>
                                <w:noProof/>
                                <w:sz w:val="18"/>
                                <w:szCs w:val="22"/>
                              </w:rPr>
                            </w:pPr>
                            <w:bookmarkStart w:id="20" w:name="_Ref227055169"/>
                            <w:bookmarkStart w:id="21" w:name="_Toc228701099"/>
                            <w:r>
                              <w:t xml:space="preserve">Figure </w:t>
                            </w:r>
                            <w:fldSimple w:instr=" STYLEREF 1 \s ">
                              <w:r w:rsidR="007306EC">
                                <w:rPr>
                                  <w:noProof/>
                                </w:rPr>
                                <w:t>1</w:t>
                              </w:r>
                            </w:fldSimple>
                            <w:r w:rsidR="007306EC">
                              <w:noBreakHyphen/>
                            </w:r>
                            <w:fldSimple w:instr=" SEQ Figure \* ARABIC \s 1 ">
                              <w:r w:rsidR="007306EC">
                                <w:rPr>
                                  <w:noProof/>
                                </w:rPr>
                                <w:t>3</w:t>
                              </w:r>
                            </w:fldSimple>
                            <w:bookmarkEnd w:id="20"/>
                            <w:r>
                              <w:t xml:space="preserve"> </w:t>
                            </w:r>
                            <w:r w:rsidRPr="000B794A">
                              <w:t>COMPARATIVE EVOLUTION OF COCOA YIELDS, 2000–2023</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0DC8505" id="_x0000_t202" coordsize="21600,21600" o:spt="202" path="m,l,21600r21600,l21600,xe">
                <v:stroke joinstyle="miter"/>
                <v:path gradientshapeok="t" o:connecttype="rect"/>
              </v:shapetype>
              <v:shape id="Text Box 1" o:spid="_x0000_s1026" type="#_x0000_t202" style="position:absolute;left:0;text-align:left;margin-left:28.5pt;margin-top:199.15pt;width:392.5pt;height:.05pt;z-index:-25162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" stroked="f">
                <v:textbox style="mso-fit-shape-to-text:t" inset="0,0,0,0">
                  <w:txbxContent>
                    <w:p w14:paraId="03031511" w14:textId="3B482E4B" w:rsidR="0044162A" w:rsidRPr="00A16ED3" w:rsidRDefault="0044162A" w:rsidP="0044162A">
                      <w:pPr>
                        <w:pStyle w:val="Caption"/>
                        <w:jc w:val="center"/>
                        <w:rPr>
                          <w:rFonts w:ascii="Google Sans Text" w:eastAsia="Google Sans Text" w:hAnsi="Google Sans Text" w:cs="Google Sans Text"/>
                          <w:noProof/>
                          <w:sz w:val="18"/>
                          <w:szCs w:val="22"/>
                        </w:rPr>
                      </w:pPr>
                      <w:bookmarkStart w:id="22" w:name="_Ref227055169"/>
                      <w:bookmarkStart w:id="23" w:name="_Toc228701099"/>
                      <w:r>
                        <w:t xml:space="preserve">Figure </w:t>
                      </w:r>
                      <w:fldSimple w:instr=" STYLEREF 1 \s ">
                        <w:r w:rsidR="007306EC">
                          <w:rPr>
                            <w:noProof/>
                          </w:rPr>
                          <w:t>1</w:t>
                        </w:r>
                      </w:fldSimple>
                      <w:r w:rsidR="007306EC">
                        <w:noBreakHyphen/>
                      </w:r>
                      <w:fldSimple w:instr=" SEQ Figure \* ARABIC \s 1 ">
                        <w:r w:rsidR="007306EC">
                          <w:rPr>
                            <w:noProof/>
                          </w:rPr>
                          <w:t>3</w:t>
                        </w:r>
                      </w:fldSimple>
                      <w:bookmarkEnd w:id="22"/>
                      <w:r>
                        <w:t xml:space="preserve"> </w:t>
                      </w:r>
                      <w:r w:rsidRPr="000B794A">
                        <w:t>COMPARATIVE EVOLUTION OF COCOA YIELDS, 2000–2023</w:t>
                      </w:r>
                      <w:bookmarkEnd w:id="23"/>
                    </w:p>
                  </w:txbxContent>
                </v:textbox>
                <w10:wrap type="tight"/>
              </v:shape>
            </w:pict>
          </mc:Fallback>
        </mc:AlternateContent>
      </w:r>
      <w:r w:rsidR="00EF398D" w:rsidRPr="00757903">
        <w:rPr>
          <w:rFonts w:ascii="Google Sans Text" w:eastAsia="Google Sans Text" w:hAnsi="Google Sans Text" w:cs="Google Sans Text"/>
          <w:noProof/>
          <w14:ligatures w14:val="standardContextual"/>
        </w:rPr>
        <w:drawing>
          <wp:anchor distT="0" distB="0" distL="114300" distR="114300" simplePos="0" relativeHeight="251687952" behindDoc="1" locked="0" layoutInCell="1" allowOverlap="1" wp14:anchorId="1508BD68" wp14:editId="0B570A9D">
            <wp:simplePos x="0" y="0"/>
            <wp:positionH relativeFrom="margin">
              <wp:posOffset>361950</wp:posOffset>
            </wp:positionH>
            <wp:positionV relativeFrom="paragraph">
              <wp:posOffset>0</wp:posOffset>
            </wp:positionV>
            <wp:extent cx="4984750" cy="2472670"/>
            <wp:effectExtent l="0" t="0" r="6350" b="4445"/>
            <wp:wrapTight wrapText="bothSides">
              <wp:wrapPolygon edited="0">
                <wp:start x="0" y="0"/>
                <wp:lineTo x="0" y="21472"/>
                <wp:lineTo x="21545" y="21472"/>
                <wp:lineTo x="21545" y="0"/>
                <wp:lineTo x="0" y="0"/>
              </wp:wrapPolygon>
            </wp:wrapTight>
            <wp:docPr id="2020521999" name="Picture 5"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21999" name="Picture 5" descr="A graph with different colored line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4750" cy="2472670"/>
                    </a:xfrm>
                    <a:prstGeom prst="rect">
                      <a:avLst/>
                    </a:prstGeom>
                  </pic:spPr>
                </pic:pic>
              </a:graphicData>
            </a:graphic>
          </wp:anchor>
        </w:drawing>
      </w:r>
    </w:p>
    <w:p w14:paraId="12EC3A09"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0B7B22DF"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0DF56FF3"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1BD473D4"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406C487C"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152586EE"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254C9E5C" w14:textId="77777777" w:rsidR="0044162A" w:rsidRDefault="0044162A" w:rsidP="00EF398D">
      <w:pPr>
        <w:pBdr>
          <w:top w:val="nil"/>
          <w:left w:val="nil"/>
          <w:bottom w:val="nil"/>
          <w:right w:val="nil"/>
          <w:between w:val="nil"/>
        </w:pBdr>
        <w:rPr>
          <w:rFonts w:eastAsia="Google Sans Text" w:cs="Open Sans"/>
          <w:sz w:val="20"/>
          <w:szCs w:val="20"/>
        </w:rPr>
      </w:pPr>
      <w:r w:rsidRPr="0044162A">
        <w:rPr>
          <w:rFonts w:eastAsia="Google Sans Text" w:cs="Open Sans"/>
          <w:szCs w:val="18"/>
        </w:rPr>
        <w:t xml:space="preserve">SOURCE: </w:t>
      </w:r>
      <w:hyperlink r:id="rId22" w:anchor="DATA/QCL" w:history="1">
        <w:r w:rsidRPr="0044162A">
          <w:rPr>
            <w:rStyle w:val="Hyperlink"/>
            <w:rFonts w:eastAsia="Google Sans Text" w:cs="Open Sans"/>
            <w:sz w:val="18"/>
            <w:szCs w:val="18"/>
          </w:rPr>
          <w:t>HTTPS://WWW.FAO.ORG/FAOSTAT/EN/#DATA/QCL</w:t>
        </w:r>
      </w:hyperlink>
      <w:r>
        <w:rPr>
          <w:rFonts w:eastAsia="Google Sans Text" w:cs="Open Sans"/>
          <w:sz w:val="20"/>
          <w:szCs w:val="20"/>
        </w:rPr>
        <w:t xml:space="preserve"> </w:t>
      </w:r>
      <w:r w:rsidRPr="0044162A">
        <w:rPr>
          <w:rFonts w:eastAsia="Google Sans Text" w:cs="Open Sans"/>
          <w:sz w:val="20"/>
          <w:szCs w:val="20"/>
        </w:rPr>
        <w:t xml:space="preserve"> </w:t>
      </w:r>
      <w:r>
        <w:rPr>
          <w:rFonts w:eastAsia="Google Sans Text" w:cs="Open Sans"/>
          <w:sz w:val="20"/>
          <w:szCs w:val="20"/>
        </w:rPr>
        <w:t xml:space="preserve"> </w:t>
      </w:r>
    </w:p>
    <w:p w14:paraId="237F241E" w14:textId="77777777" w:rsidR="0044162A" w:rsidRDefault="0044162A" w:rsidP="00EF398D">
      <w:pPr>
        <w:pBdr>
          <w:top w:val="nil"/>
          <w:left w:val="nil"/>
          <w:bottom w:val="nil"/>
          <w:right w:val="nil"/>
          <w:between w:val="nil"/>
        </w:pBdr>
        <w:rPr>
          <w:rFonts w:eastAsia="Google Sans Text" w:cs="Open Sans"/>
          <w:sz w:val="20"/>
          <w:szCs w:val="20"/>
        </w:rPr>
      </w:pPr>
    </w:p>
    <w:p w14:paraId="31EB92C6" w14:textId="1326487E" w:rsidR="000C3047" w:rsidRDefault="000C3047" w:rsidP="000C3047">
      <w:pPr>
        <w:pBdr>
          <w:top w:val="nil"/>
          <w:left w:val="nil"/>
          <w:bottom w:val="nil"/>
          <w:right w:val="nil"/>
          <w:between w:val="nil"/>
        </w:pBdr>
        <w:rPr>
          <w:rFonts w:eastAsia="Google Sans Text" w:cs="Open Sans"/>
          <w:sz w:val="20"/>
          <w:szCs w:val="20"/>
        </w:rPr>
      </w:pPr>
      <w:r w:rsidRPr="00EF398D">
        <w:rPr>
          <w:rFonts w:eastAsia="Google Sans Text" w:cs="Open Sans"/>
          <w:sz w:val="20"/>
          <w:szCs w:val="20"/>
        </w:rPr>
        <w:t>By way of comparison, the global average of this profound yield gap is primarily driven by agronomic challenges: most trees are aged (40–70 years old), and the plantations are poorly maintained.</w:t>
      </w:r>
      <w:r w:rsidRPr="00EF398D">
        <w:rPr>
          <w:rFonts w:eastAsia="Google Sans Text" w:cs="Open Sans"/>
          <w:sz w:val="20"/>
          <w:szCs w:val="20"/>
          <w:vertAlign w:val="superscript"/>
        </w:rPr>
        <w:t xml:space="preserve"> </w:t>
      </w:r>
      <w:r w:rsidRPr="00EF398D">
        <w:rPr>
          <w:rFonts w:eastAsia="Google Sans Text" w:cs="Open Sans"/>
          <w:sz w:val="20"/>
          <w:szCs w:val="20"/>
        </w:rPr>
        <w:t xml:space="preserve">Farmers </w:t>
      </w:r>
      <w:proofErr w:type="spellStart"/>
      <w:r w:rsidRPr="00EF398D">
        <w:rPr>
          <w:rFonts w:eastAsia="Google Sans Text" w:cs="Open Sans"/>
          <w:sz w:val="20"/>
          <w:szCs w:val="20"/>
        </w:rPr>
        <w:t>utilise</w:t>
      </w:r>
      <w:proofErr w:type="spellEnd"/>
      <w:r w:rsidRPr="00EF398D">
        <w:rPr>
          <w:rFonts w:eastAsia="Google Sans Text" w:cs="Open Sans"/>
          <w:sz w:val="20"/>
          <w:szCs w:val="20"/>
        </w:rPr>
        <w:t xml:space="preserve"> limited inputs, rarely applying essential mineral </w:t>
      </w:r>
      <w:proofErr w:type="spellStart"/>
      <w:r w:rsidRPr="00EF398D">
        <w:rPr>
          <w:rFonts w:eastAsia="Google Sans Text" w:cs="Open Sans"/>
          <w:sz w:val="20"/>
          <w:szCs w:val="20"/>
        </w:rPr>
        <w:t>fertilisers</w:t>
      </w:r>
      <w:proofErr w:type="spellEnd"/>
      <w:r w:rsidRPr="00EF398D">
        <w:rPr>
          <w:rFonts w:eastAsia="Google Sans Text" w:cs="Open Sans"/>
          <w:sz w:val="20"/>
          <w:szCs w:val="20"/>
        </w:rPr>
        <w:t xml:space="preserve"> or pruning, and often lack effective disease control measures against issues such as black pod. </w:t>
      </w:r>
      <w:r>
        <w:rPr>
          <w:rFonts w:eastAsia="Google Sans Text" w:cs="Open Sans"/>
          <w:sz w:val="20"/>
          <w:szCs w:val="20"/>
        </w:rPr>
        <w:t xml:space="preserve">Activities such as the </w:t>
      </w:r>
      <w:proofErr w:type="spellStart"/>
      <w:r>
        <w:rPr>
          <w:rFonts w:eastAsia="Google Sans Text" w:cs="Open Sans"/>
          <w:sz w:val="20"/>
          <w:szCs w:val="20"/>
        </w:rPr>
        <w:t>organised</w:t>
      </w:r>
      <w:proofErr w:type="spellEnd"/>
      <w:r>
        <w:rPr>
          <w:rFonts w:eastAsia="Google Sans Text" w:cs="Open Sans"/>
          <w:sz w:val="20"/>
          <w:szCs w:val="20"/>
        </w:rPr>
        <w:t xml:space="preserve"> production of compost from residues such as cocoa husks (more commonly practiced in </w:t>
      </w:r>
      <w:r w:rsidR="009005B7">
        <w:rPr>
          <w:rFonts w:eastAsia="Google Sans Text" w:cs="Open Sans"/>
          <w:sz w:val="20"/>
          <w:szCs w:val="20"/>
        </w:rPr>
        <w:t>cocoa</w:t>
      </w:r>
      <w:r>
        <w:rPr>
          <w:rFonts w:eastAsia="Google Sans Text" w:cs="Open Sans"/>
          <w:sz w:val="20"/>
          <w:szCs w:val="20"/>
        </w:rPr>
        <w:t xml:space="preserve"> systems) are applied inconsistently. </w:t>
      </w:r>
      <w:r w:rsidRPr="00EF398D">
        <w:rPr>
          <w:rFonts w:eastAsia="Google Sans Text" w:cs="Open Sans"/>
          <w:sz w:val="20"/>
          <w:szCs w:val="20"/>
        </w:rPr>
        <w:t xml:space="preserve">(More generally, studies such as Lander et al. (2025) attribute yield gaps to water availability, soil, nutrients, climate, plantation management, nutrient availability and suggest practices such as transitioning from natural to hand pollination can increase conventional yields by 20%. In addition, this may represent a trade-off between productivity and sustainability (in the literal sense). </w:t>
      </w:r>
    </w:p>
    <w:p w14:paraId="356A7459" w14:textId="77777777" w:rsidR="000C3047" w:rsidRDefault="000C3047" w:rsidP="000C3047">
      <w:pPr>
        <w:pBdr>
          <w:top w:val="nil"/>
          <w:left w:val="nil"/>
          <w:bottom w:val="nil"/>
          <w:right w:val="nil"/>
          <w:between w:val="nil"/>
        </w:pBdr>
        <w:rPr>
          <w:rFonts w:eastAsia="Google Sans Text" w:cs="Open Sans"/>
          <w:sz w:val="20"/>
          <w:szCs w:val="20"/>
        </w:rPr>
      </w:pPr>
    </w:p>
    <w:p w14:paraId="4FFE3992" w14:textId="15A56082" w:rsidR="000C3047" w:rsidRDefault="000C3047" w:rsidP="000C3047">
      <w:pPr>
        <w:pBdr>
          <w:top w:val="nil"/>
          <w:left w:val="nil"/>
          <w:bottom w:val="nil"/>
          <w:right w:val="nil"/>
          <w:between w:val="nil"/>
        </w:pBdr>
        <w:rPr>
          <w:rFonts w:eastAsia="Google Sans Text" w:cs="Open Sans"/>
          <w:sz w:val="20"/>
          <w:szCs w:val="20"/>
        </w:rPr>
      </w:pPr>
      <w:r w:rsidRPr="00EF398D">
        <w:rPr>
          <w:rFonts w:eastAsia="Google Sans Text" w:cs="Open Sans"/>
          <w:sz w:val="20"/>
          <w:szCs w:val="20"/>
        </w:rPr>
        <w:t>In examining Cocoa agroforestry systems in Cameroon, Saj et al. (2017) suggest that more (full sun, conventional) productive systems could not be maintained beyond 30 years, whereas longer-lived, lower-yielding systems with (greater tree diversity) may be more cumulatively sustainable, taking wider ecosystem services (not just yield) into account.</w:t>
      </w:r>
      <w:r>
        <w:rPr>
          <w:rFonts w:eastAsia="Google Sans Text" w:cs="Open Sans"/>
          <w:sz w:val="20"/>
          <w:szCs w:val="20"/>
        </w:rPr>
        <w:t xml:space="preserve"> Additionally, full sun systems are more vulnerable to extreme temperatures due to the comparative absence of shade trees.</w:t>
      </w:r>
    </w:p>
    <w:p w14:paraId="54AEA188" w14:textId="77777777" w:rsidR="000C3047" w:rsidRDefault="000C3047" w:rsidP="00EF398D">
      <w:pPr>
        <w:pBdr>
          <w:top w:val="nil"/>
          <w:left w:val="nil"/>
          <w:bottom w:val="nil"/>
          <w:right w:val="nil"/>
          <w:between w:val="nil"/>
        </w:pBdr>
        <w:rPr>
          <w:rFonts w:eastAsia="Google Sans Text" w:cs="Open Sans"/>
          <w:sz w:val="20"/>
          <w:szCs w:val="20"/>
        </w:rPr>
      </w:pPr>
    </w:p>
    <w:p w14:paraId="15C6A181" w14:textId="03B51336" w:rsidR="00EF398D" w:rsidRPr="00EF398D" w:rsidRDefault="00EF398D" w:rsidP="00EF398D">
      <w:pPr>
        <w:pBdr>
          <w:top w:val="nil"/>
          <w:left w:val="nil"/>
          <w:bottom w:val="nil"/>
          <w:right w:val="nil"/>
          <w:between w:val="nil"/>
        </w:pBdr>
        <w:rPr>
          <w:rFonts w:eastAsia="Google Sans Text" w:cs="Open Sans"/>
          <w:sz w:val="20"/>
          <w:szCs w:val="20"/>
          <w:vertAlign w:val="superscript"/>
        </w:rPr>
      </w:pPr>
      <w:r w:rsidRPr="00EF398D">
        <w:rPr>
          <w:rFonts w:eastAsia="Google Sans Text" w:cs="Open Sans"/>
          <w:sz w:val="20"/>
          <w:szCs w:val="20"/>
        </w:rPr>
        <w:t>However, the low agronomic yield creates a structural link to failures in market integrity. Critically low yields translate directly into low household incomes. This resulting financial precarity pressures smallholders to engage in "side-selling," which involves quick cash sales of often semi-wet beans to informal agents. This practice entirely bypasses formal traceability and internal control systems, thereby undermining the integrity of certification and overall quality. Consequently, resolving the low agronomic yield is the foundational step required to eliminate the structural economic drivers of traceability failure and quality degradation within the value chain.</w:t>
      </w:r>
    </w:p>
    <w:p w14:paraId="4BEC1BDB" w14:textId="496F2C5F" w:rsidR="002E3468" w:rsidRPr="006962DF" w:rsidRDefault="00EF398D" w:rsidP="00D1773C">
      <w:pPr>
        <w:pStyle w:val="Heading3"/>
        <w:numPr>
          <w:ilvl w:val="2"/>
          <w:numId w:val="20"/>
        </w:numPr>
      </w:pPr>
      <w:bookmarkStart w:id="24" w:name="_Toc204771075"/>
      <w:bookmarkStart w:id="25" w:name="_Toc228700990"/>
      <w:r w:rsidRPr="00EF398D">
        <w:t>Regional Production Dynamics and Strategic Importance</w:t>
      </w:r>
      <w:bookmarkEnd w:id="24"/>
      <w:bookmarkEnd w:id="25"/>
      <w:r w:rsidR="002E3468" w:rsidRPr="006962DF">
        <w:t xml:space="preserve"> </w:t>
      </w:r>
    </w:p>
    <w:p w14:paraId="6AE312F0" w14:textId="6E01A775" w:rsidR="00EF398D" w:rsidRDefault="00EF398D" w:rsidP="00EF398D">
      <w:pPr>
        <w:pBdr>
          <w:top w:val="nil"/>
          <w:left w:val="nil"/>
          <w:bottom w:val="nil"/>
          <w:right w:val="nil"/>
          <w:between w:val="nil"/>
        </w:pBdr>
        <w:rPr>
          <w:rFonts w:eastAsia="Google Sans Text" w:cs="Open Sans"/>
          <w:sz w:val="20"/>
          <w:szCs w:val="20"/>
        </w:rPr>
      </w:pPr>
      <w:r w:rsidRPr="00EF398D">
        <w:rPr>
          <w:rFonts w:eastAsia="Google Sans Text" w:cs="Open Sans"/>
          <w:sz w:val="20"/>
          <w:szCs w:val="20"/>
        </w:rPr>
        <w:t>The VCA4D study focused on the three primary cocoa-producing districts in the Eastern Province: Kailahun, Kenema, and Kono. Each district plays a unique role in the national value chain and presents distinct challenges (</w:t>
      </w:r>
      <w:r w:rsidR="00096C8B">
        <w:rPr>
          <w:rFonts w:eastAsia="Google Sans Text" w:cs="Open Sans"/>
          <w:sz w:val="20"/>
          <w:szCs w:val="20"/>
        </w:rPr>
        <w:fldChar w:fldCharType="begin"/>
      </w:r>
      <w:r w:rsidR="00096C8B">
        <w:rPr>
          <w:rFonts w:eastAsia="Google Sans Text" w:cs="Open Sans"/>
          <w:sz w:val="20"/>
          <w:szCs w:val="20"/>
        </w:rPr>
        <w:instrText xml:space="preserve"> REF _Ref227055274 \h </w:instrText>
      </w:r>
      <w:r w:rsidR="00096C8B">
        <w:rPr>
          <w:rFonts w:eastAsia="Google Sans Text" w:cs="Open Sans"/>
          <w:sz w:val="20"/>
          <w:szCs w:val="20"/>
        </w:rPr>
      </w:r>
      <w:r w:rsidR="00096C8B">
        <w:rPr>
          <w:rFonts w:eastAsia="Google Sans Text" w:cs="Open Sans"/>
          <w:sz w:val="20"/>
          <w:szCs w:val="20"/>
        </w:rPr>
        <w:fldChar w:fldCharType="separate"/>
      </w:r>
      <w:r w:rsidR="00096C8B">
        <w:t xml:space="preserve">Table </w:t>
      </w:r>
      <w:r w:rsidR="00096C8B">
        <w:rPr>
          <w:noProof/>
        </w:rPr>
        <w:t>1</w:t>
      </w:r>
      <w:r w:rsidR="00096C8B">
        <w:noBreakHyphen/>
      </w:r>
      <w:r w:rsidR="00096C8B">
        <w:rPr>
          <w:noProof/>
        </w:rPr>
        <w:t>1</w:t>
      </w:r>
      <w:r w:rsidR="00096C8B">
        <w:rPr>
          <w:rFonts w:eastAsia="Google Sans Text" w:cs="Open Sans"/>
          <w:sz w:val="20"/>
          <w:szCs w:val="20"/>
        </w:rPr>
        <w:fldChar w:fldCharType="end"/>
      </w:r>
      <w:r w:rsidRPr="00EF398D">
        <w:rPr>
          <w:rFonts w:eastAsia="Google Sans Text" w:cs="Open Sans"/>
          <w:sz w:val="20"/>
          <w:szCs w:val="20"/>
        </w:rPr>
        <w:t xml:space="preserve">). </w:t>
      </w:r>
    </w:p>
    <w:p w14:paraId="0EA5A390" w14:textId="77777777" w:rsidR="00EF398D" w:rsidRPr="00EF398D" w:rsidRDefault="00EF398D" w:rsidP="00EF398D">
      <w:pPr>
        <w:pBdr>
          <w:top w:val="nil"/>
          <w:left w:val="nil"/>
          <w:bottom w:val="nil"/>
          <w:right w:val="nil"/>
          <w:between w:val="nil"/>
        </w:pBdr>
        <w:rPr>
          <w:rFonts w:eastAsia="Google Sans Text" w:cs="Open Sans"/>
          <w:sz w:val="20"/>
          <w:szCs w:val="20"/>
        </w:rPr>
      </w:pPr>
    </w:p>
    <w:p w14:paraId="4D1EB432" w14:textId="2E5505F2" w:rsidR="005B2F2B" w:rsidRDefault="005B2F2B" w:rsidP="005B2F2B">
      <w:pPr>
        <w:pStyle w:val="Caption"/>
        <w:keepNext/>
      </w:pPr>
      <w:bookmarkStart w:id="26" w:name="_Ref227055274"/>
      <w:bookmarkStart w:id="27" w:name="_Toc228701068"/>
      <w:r>
        <w:lastRenderedPageBreak/>
        <w:t xml:space="preserve">Table </w:t>
      </w:r>
      <w:fldSimple w:instr=" STYLEREF 1 \s ">
        <w:r w:rsidR="006C1C4E">
          <w:rPr>
            <w:noProof/>
          </w:rPr>
          <w:t>1</w:t>
        </w:r>
      </w:fldSimple>
      <w:r w:rsidR="006C1C4E">
        <w:noBreakHyphen/>
      </w:r>
      <w:fldSimple w:instr=" SEQ Table \* ARABIC \s 1 ">
        <w:r w:rsidR="006C1C4E">
          <w:rPr>
            <w:noProof/>
          </w:rPr>
          <w:t>1</w:t>
        </w:r>
      </w:fldSimple>
      <w:bookmarkEnd w:id="26"/>
      <w:r>
        <w:t xml:space="preserve"> </w:t>
      </w:r>
      <w:r w:rsidRPr="00EF1946">
        <w:t>COCOA DISTRICTS CHARACTERISTICS</w:t>
      </w:r>
      <w:bookmarkEnd w:id="27"/>
    </w:p>
    <w:tbl>
      <w:tblPr>
        <w:tblW w:w="9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bottom w:w="28" w:type="dxa"/>
        </w:tblCellMar>
        <w:tblLook w:val="0600" w:firstRow="0" w:lastRow="0" w:firstColumn="0" w:lastColumn="0" w:noHBand="1" w:noVBand="1"/>
      </w:tblPr>
      <w:tblGrid>
        <w:gridCol w:w="1126"/>
        <w:gridCol w:w="1602"/>
        <w:gridCol w:w="3959"/>
        <w:gridCol w:w="2895"/>
      </w:tblGrid>
      <w:tr w:rsidR="00EF398D" w:rsidRPr="00EF398D" w14:paraId="53CC8329" w14:textId="77777777" w:rsidTr="00930C4A">
        <w:tc>
          <w:tcPr>
            <w:tcW w:w="1126" w:type="dxa"/>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0" w:type="dxa"/>
              <w:bottom w:w="0" w:type="dxa"/>
              <w:right w:w="0" w:type="dxa"/>
            </w:tcMar>
          </w:tcPr>
          <w:p w14:paraId="3F08CC50"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Region</w:t>
            </w:r>
          </w:p>
        </w:tc>
        <w:tc>
          <w:tcPr>
            <w:tcW w:w="0" w:type="auto"/>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0" w:type="dxa"/>
              <w:bottom w:w="0" w:type="dxa"/>
              <w:right w:w="0" w:type="dxa"/>
            </w:tcMar>
          </w:tcPr>
          <w:p w14:paraId="4F92FF1D"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Strategic Role</w:t>
            </w:r>
          </w:p>
        </w:tc>
        <w:tc>
          <w:tcPr>
            <w:tcW w:w="0" w:type="auto"/>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0" w:type="dxa"/>
              <w:bottom w:w="0" w:type="dxa"/>
              <w:right w:w="0" w:type="dxa"/>
            </w:tcMar>
          </w:tcPr>
          <w:p w14:paraId="5551E482"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Key Characteristics</w:t>
            </w:r>
          </w:p>
        </w:tc>
        <w:tc>
          <w:tcPr>
            <w:tcW w:w="0" w:type="auto"/>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0" w:type="dxa"/>
              <w:bottom w:w="0" w:type="dxa"/>
              <w:right w:w="0" w:type="dxa"/>
            </w:tcMar>
          </w:tcPr>
          <w:p w14:paraId="41B83B6C"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Primary Vulnerability/Study Mission</w:t>
            </w:r>
          </w:p>
        </w:tc>
      </w:tr>
      <w:tr w:rsidR="00EF398D" w:rsidRPr="00EF398D" w14:paraId="64DDC0D2" w14:textId="77777777" w:rsidTr="00930C4A">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D0AF6F"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Kailahun</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E7129C"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rPr>
            </w:pPr>
            <w:r w:rsidRPr="00EF398D">
              <w:rPr>
                <w:rFonts w:eastAsia="Google Sans Text" w:cs="Open Sans"/>
                <w:sz w:val="20"/>
                <w:szCs w:val="20"/>
              </w:rPr>
              <w:t>Core organic production, Border Control</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C1C9FA"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Most farmers, </w:t>
            </w:r>
            <w:proofErr w:type="gramStart"/>
            <w:r w:rsidRPr="00EF398D">
              <w:rPr>
                <w:rFonts w:eastAsia="Google Sans Text" w:cs="Open Sans"/>
                <w:sz w:val="20"/>
                <w:szCs w:val="20"/>
              </w:rPr>
              <w:t>highest organic exports</w:t>
            </w:r>
            <w:proofErr w:type="gramEnd"/>
            <w:r w:rsidRPr="00EF398D">
              <w:rPr>
                <w:rFonts w:eastAsia="Google Sans Text" w:cs="Open Sans"/>
                <w:sz w:val="20"/>
                <w:szCs w:val="20"/>
              </w:rPr>
              <w:t>, low input use, old trees</w:t>
            </w:r>
            <w:proofErr w:type="gramStart"/>
            <w:r w:rsidRPr="00EF398D">
              <w:rPr>
                <w:rFonts w:eastAsia="Google Sans Text" w:cs="Open Sans"/>
                <w:sz w:val="20"/>
                <w:szCs w:val="20"/>
              </w:rPr>
              <w:t>, several</w:t>
            </w:r>
            <w:proofErr w:type="gramEnd"/>
            <w:r w:rsidRPr="00EF398D">
              <w:rPr>
                <w:rFonts w:eastAsia="Google Sans Text" w:cs="Open Sans"/>
                <w:sz w:val="20"/>
                <w:szCs w:val="20"/>
              </w:rPr>
              <w:t xml:space="preserve"> of the country’s largest organic cooperatives (e.g. </w:t>
            </w:r>
            <w:proofErr w:type="spellStart"/>
            <w:r w:rsidRPr="00EF398D">
              <w:rPr>
                <w:rFonts w:eastAsia="Google Sans Text" w:cs="Open Sans"/>
                <w:sz w:val="20"/>
                <w:szCs w:val="20"/>
              </w:rPr>
              <w:t>Liloma</w:t>
            </w:r>
            <w:proofErr w:type="spellEnd"/>
            <w:r w:rsidRPr="00EF398D">
              <w:rPr>
                <w:rFonts w:eastAsia="Google Sans Text" w:cs="Open Sans"/>
                <w:sz w:val="20"/>
                <w:szCs w:val="20"/>
              </w:rPr>
              <w:t xml:space="preserve">, Lanayah, </w:t>
            </w:r>
            <w:proofErr w:type="spellStart"/>
            <w:r w:rsidRPr="00EF398D">
              <w:rPr>
                <w:rFonts w:eastAsia="Google Sans Text" w:cs="Open Sans"/>
                <w:sz w:val="20"/>
                <w:szCs w:val="20"/>
              </w:rPr>
              <w:t>Nyewoh</w:t>
            </w:r>
            <w:proofErr w:type="spellEnd"/>
            <w:r w:rsidRPr="00EF398D">
              <w:rPr>
                <w:rFonts w:eastAsia="Google Sans Text" w:cs="Open Sans"/>
                <w:sz w:val="20"/>
                <w:szCs w:val="20"/>
              </w:rPr>
              <w:t>) operate here.</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6E7DD1"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Cross-border contamination (Liberia), traceability and control </w:t>
            </w:r>
          </w:p>
        </w:tc>
      </w:tr>
      <w:tr w:rsidR="00EF398D" w:rsidRPr="00EF398D" w14:paraId="2A7922D1" w14:textId="77777777" w:rsidTr="00930C4A">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3B28E8"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Kenema</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D2659"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rPr>
            </w:pPr>
            <w:r w:rsidRPr="00EF398D">
              <w:rPr>
                <w:rFonts w:eastAsia="Google Sans Text" w:cs="Open Sans"/>
                <w:sz w:val="20"/>
                <w:szCs w:val="20"/>
              </w:rPr>
              <w:t>Commercial and Warehousing Hub</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D4E48C"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Major buyers, </w:t>
            </w:r>
            <w:proofErr w:type="spellStart"/>
            <w:r w:rsidRPr="00EF398D">
              <w:rPr>
                <w:rFonts w:eastAsia="Google Sans Text" w:cs="Open Sans"/>
                <w:sz w:val="20"/>
                <w:szCs w:val="20"/>
              </w:rPr>
              <w:t>centralised</w:t>
            </w:r>
            <w:proofErr w:type="spellEnd"/>
            <w:r w:rsidRPr="00EF398D">
              <w:rPr>
                <w:rFonts w:eastAsia="Google Sans Text" w:cs="Open Sans"/>
                <w:sz w:val="20"/>
                <w:szCs w:val="20"/>
              </w:rPr>
              <w:t xml:space="preserve"> post-harvest infrastructure, mixed-crop systems, a few strong cooperatives (such as </w:t>
            </w:r>
            <w:proofErr w:type="spellStart"/>
            <w:r w:rsidRPr="00EF398D">
              <w:rPr>
                <w:rFonts w:eastAsia="Google Sans Text" w:cs="Open Sans"/>
                <w:sz w:val="20"/>
                <w:szCs w:val="20"/>
              </w:rPr>
              <w:t>Munafa</w:t>
            </w:r>
            <w:proofErr w:type="spellEnd"/>
            <w:r w:rsidRPr="00EF398D">
              <w:rPr>
                <w:rFonts w:eastAsia="Google Sans Text" w:cs="Open Sans"/>
                <w:sz w:val="20"/>
                <w:szCs w:val="20"/>
              </w:rPr>
              <w:t xml:space="preserve"> and </w:t>
            </w:r>
            <w:proofErr w:type="spellStart"/>
            <w:r w:rsidRPr="00EF398D">
              <w:rPr>
                <w:rFonts w:eastAsia="Google Sans Text" w:cs="Open Sans"/>
                <w:sz w:val="20"/>
                <w:szCs w:val="20"/>
              </w:rPr>
              <w:t>Moawoma</w:t>
            </w:r>
            <w:proofErr w:type="spellEnd"/>
            <w:r w:rsidRPr="00EF398D">
              <w:rPr>
                <w:rFonts w:eastAsia="Google Sans Text" w:cs="Open Sans"/>
                <w:sz w:val="20"/>
                <w:szCs w:val="20"/>
              </w:rPr>
              <w:t xml:space="preserve">) that have improved post-harvest practices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509BE3"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Quality </w:t>
            </w:r>
            <w:proofErr w:type="spellStart"/>
            <w:r w:rsidRPr="00EF398D">
              <w:rPr>
                <w:rFonts w:eastAsia="Google Sans Text" w:cs="Open Sans"/>
                <w:sz w:val="20"/>
                <w:szCs w:val="20"/>
              </w:rPr>
              <w:t>standardisation</w:t>
            </w:r>
            <w:proofErr w:type="spellEnd"/>
            <w:r w:rsidRPr="00EF398D">
              <w:rPr>
                <w:rFonts w:eastAsia="Google Sans Text" w:cs="Open Sans"/>
                <w:sz w:val="20"/>
                <w:szCs w:val="20"/>
              </w:rPr>
              <w:t xml:space="preserve"> across high volume and better yield improvement </w:t>
            </w:r>
          </w:p>
        </w:tc>
      </w:tr>
      <w:tr w:rsidR="00EF398D" w:rsidRPr="00EF398D" w14:paraId="2DE79751" w14:textId="77777777" w:rsidTr="00930C4A">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396D1E" w14:textId="77777777" w:rsidR="00EF398D" w:rsidRPr="00EF398D" w:rsidRDefault="00EF398D" w:rsidP="00930C4A">
            <w:pPr>
              <w:pBdr>
                <w:top w:val="nil"/>
                <w:left w:val="nil"/>
                <w:bottom w:val="nil"/>
                <w:right w:val="nil"/>
                <w:between w:val="nil"/>
              </w:pBdr>
              <w:spacing w:line="275" w:lineRule="auto"/>
              <w:rPr>
                <w:rFonts w:eastAsia="Google Sans Text" w:cs="Open Sans"/>
                <w:b/>
                <w:bCs/>
                <w:sz w:val="20"/>
                <w:szCs w:val="20"/>
              </w:rPr>
            </w:pPr>
            <w:r w:rsidRPr="00EF398D">
              <w:rPr>
                <w:rFonts w:eastAsia="Google Sans Text" w:cs="Open Sans"/>
                <w:b/>
                <w:bCs/>
                <w:sz w:val="20"/>
                <w:szCs w:val="20"/>
              </w:rPr>
              <w:t>Kono</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1BCC6D"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rPr>
            </w:pPr>
            <w:r w:rsidRPr="00EF398D">
              <w:rPr>
                <w:rFonts w:eastAsia="Google Sans Text" w:cs="Open Sans"/>
                <w:sz w:val="20"/>
                <w:szCs w:val="20"/>
              </w:rPr>
              <w:t>Key Expansion and Rehabilitation Zone</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7E31BD"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Younger trees, available land, weaker infrastructure and </w:t>
            </w:r>
            <w:proofErr w:type="spellStart"/>
            <w:r w:rsidRPr="00EF398D">
              <w:rPr>
                <w:rFonts w:eastAsia="Google Sans Text" w:cs="Open Sans"/>
                <w:sz w:val="20"/>
                <w:szCs w:val="20"/>
              </w:rPr>
              <w:t>organisation</w:t>
            </w:r>
            <w:proofErr w:type="spellEnd"/>
            <w:r w:rsidRPr="00EF398D">
              <w:rPr>
                <w:rFonts w:eastAsia="Google Sans Text" w:cs="Open Sans"/>
                <w:sz w:val="20"/>
                <w:szCs w:val="20"/>
              </w:rPr>
              <w:t xml:space="preserve">, Unlike Kailahun and Kenema, which have multiple established cooperatives, Kono’s cooperatives (e.g. Millennium, </w:t>
            </w:r>
            <w:proofErr w:type="spellStart"/>
            <w:r w:rsidRPr="00EF398D">
              <w:rPr>
                <w:rFonts w:eastAsia="Google Sans Text" w:cs="Open Sans"/>
                <w:sz w:val="20"/>
                <w:szCs w:val="20"/>
              </w:rPr>
              <w:t>Kasiyatama</w:t>
            </w:r>
            <w:proofErr w:type="spellEnd"/>
            <w:r w:rsidRPr="00EF398D">
              <w:rPr>
                <w:rFonts w:eastAsia="Google Sans Text" w:cs="Open Sans"/>
                <w:sz w:val="20"/>
                <w:szCs w:val="20"/>
              </w:rPr>
              <w:t xml:space="preserve">, </w:t>
            </w:r>
            <w:proofErr w:type="spellStart"/>
            <w:r w:rsidRPr="00EF398D">
              <w:rPr>
                <w:rFonts w:eastAsia="Google Sans Text" w:cs="Open Sans"/>
                <w:sz w:val="20"/>
                <w:szCs w:val="20"/>
              </w:rPr>
              <w:t>Salmed</w:t>
            </w:r>
            <w:proofErr w:type="spellEnd"/>
            <w:r w:rsidRPr="00EF398D">
              <w:rPr>
                <w:rFonts w:eastAsia="Google Sans Text" w:cs="Open Sans"/>
                <w:sz w:val="20"/>
                <w:szCs w:val="20"/>
              </w:rPr>
              <w:t>) are newer or still in formation</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46E5B9" w14:textId="77777777" w:rsidR="00EF398D" w:rsidRPr="00EF398D" w:rsidRDefault="00EF398D" w:rsidP="00930C4A">
            <w:pPr>
              <w:pBdr>
                <w:top w:val="nil"/>
                <w:left w:val="nil"/>
                <w:bottom w:val="nil"/>
                <w:right w:val="nil"/>
                <w:between w:val="nil"/>
              </w:pBdr>
              <w:spacing w:line="275" w:lineRule="auto"/>
              <w:rPr>
                <w:rFonts w:eastAsia="Google Sans Text" w:cs="Open Sans"/>
                <w:sz w:val="20"/>
                <w:szCs w:val="20"/>
                <w:vertAlign w:val="superscript"/>
              </w:rPr>
            </w:pPr>
            <w:r w:rsidRPr="00EF398D">
              <w:rPr>
                <w:rFonts w:eastAsia="Google Sans Text" w:cs="Open Sans"/>
                <w:sz w:val="20"/>
                <w:szCs w:val="20"/>
              </w:rPr>
              <w:t xml:space="preserve">Infrastructure deficits and new cooperative development potential, Cross-border contamination (Guinea)  </w:t>
            </w:r>
          </w:p>
        </w:tc>
      </w:tr>
    </w:tbl>
    <w:p w14:paraId="28A4BF3E"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53496592" w14:textId="66133783" w:rsidR="00EF398D" w:rsidRPr="00EF398D" w:rsidRDefault="00096C8B" w:rsidP="00EF398D">
      <w:pPr>
        <w:pBdr>
          <w:top w:val="nil"/>
          <w:left w:val="nil"/>
          <w:bottom w:val="nil"/>
          <w:right w:val="nil"/>
          <w:between w:val="nil"/>
        </w:pBdr>
        <w:spacing w:line="275" w:lineRule="auto"/>
        <w:rPr>
          <w:rFonts w:eastAsia="Google Sans Text" w:cs="Open Sans"/>
          <w:sz w:val="20"/>
          <w:szCs w:val="20"/>
        </w:rPr>
      </w:pPr>
      <w:r>
        <w:rPr>
          <w:rFonts w:eastAsia="Google Sans Text" w:cs="Open Sans"/>
          <w:sz w:val="20"/>
          <w:szCs w:val="20"/>
        </w:rPr>
        <w:fldChar w:fldCharType="begin"/>
      </w:r>
      <w:r>
        <w:rPr>
          <w:rFonts w:eastAsia="Google Sans Text" w:cs="Open Sans"/>
          <w:sz w:val="20"/>
          <w:szCs w:val="20"/>
        </w:rPr>
        <w:instrText xml:space="preserve"> REF _Ref227055306 \h  \* MERGEFORMAT </w:instrText>
      </w:r>
      <w:r>
        <w:rPr>
          <w:rFonts w:eastAsia="Google Sans Text" w:cs="Open Sans"/>
          <w:sz w:val="20"/>
          <w:szCs w:val="20"/>
        </w:rPr>
      </w:r>
      <w:r>
        <w:rPr>
          <w:rFonts w:eastAsia="Google Sans Text" w:cs="Open Sans"/>
          <w:sz w:val="20"/>
          <w:szCs w:val="20"/>
        </w:rPr>
        <w:fldChar w:fldCharType="separate"/>
      </w:r>
      <w:r w:rsidRPr="00096C8B">
        <w:rPr>
          <w:rStyle w:val="Hyperlink"/>
        </w:rPr>
        <w:t>Figure</w:t>
      </w:r>
      <w:r>
        <w:t xml:space="preserve"> </w:t>
      </w:r>
      <w:r>
        <w:rPr>
          <w:noProof/>
        </w:rPr>
        <w:t>1</w:t>
      </w:r>
      <w:r>
        <w:t>.</w:t>
      </w:r>
      <w:r>
        <w:rPr>
          <w:noProof/>
        </w:rPr>
        <w:t>4</w:t>
      </w:r>
      <w:r>
        <w:rPr>
          <w:rFonts w:eastAsia="Google Sans Text" w:cs="Open Sans"/>
          <w:sz w:val="20"/>
          <w:szCs w:val="20"/>
        </w:rPr>
        <w:fldChar w:fldCharType="end"/>
      </w:r>
      <w:r w:rsidR="00EF398D" w:rsidRPr="00EF398D">
        <w:rPr>
          <w:rFonts w:eastAsia="Google Sans Text" w:cs="Open Sans"/>
          <w:sz w:val="20"/>
          <w:szCs w:val="20"/>
        </w:rPr>
        <w:t xml:space="preserve"> highlights the three main cocoa-producing districts (Kailahun, Kenema, and Kono) in the Eastern Province. Kailahun’s and Kono’s strategic importance is paramount. As a core organic producer located along the porous border with Liberia and Guinea, they face the highest risk of untraceable "Eviction Cocoa" co-mingling. Given that contamination in this region could compromise the integrity of the entire national cocoa brand, investment in digital traceability and robust border controls must be heavily concentrated in Kailahun </w:t>
      </w:r>
      <w:proofErr w:type="gramStart"/>
      <w:r w:rsidR="00EF398D" w:rsidRPr="00EF398D">
        <w:rPr>
          <w:rFonts w:eastAsia="Google Sans Text" w:cs="Open Sans"/>
          <w:sz w:val="20"/>
          <w:szCs w:val="20"/>
        </w:rPr>
        <w:t>and also</w:t>
      </w:r>
      <w:proofErr w:type="gramEnd"/>
      <w:r w:rsidR="00EF398D" w:rsidRPr="00EF398D">
        <w:rPr>
          <w:rFonts w:eastAsia="Google Sans Text" w:cs="Open Sans"/>
          <w:sz w:val="20"/>
          <w:szCs w:val="20"/>
        </w:rPr>
        <w:t xml:space="preserve"> in Kono to safeguard the country's organic and EUDR compliance status. </w:t>
      </w:r>
    </w:p>
    <w:p w14:paraId="2923D0EC" w14:textId="77777777" w:rsidR="00EF398D" w:rsidRPr="00757903" w:rsidRDefault="00EF398D" w:rsidP="00EF398D">
      <w:pPr>
        <w:pBdr>
          <w:top w:val="nil"/>
          <w:left w:val="nil"/>
          <w:bottom w:val="nil"/>
          <w:right w:val="nil"/>
          <w:between w:val="nil"/>
        </w:pBdr>
        <w:spacing w:line="275" w:lineRule="auto"/>
        <w:rPr>
          <w:rFonts w:ascii="Google Sans Text" w:eastAsia="Google Sans Text" w:hAnsi="Google Sans Text" w:cs="Google Sans Text"/>
        </w:rPr>
      </w:pPr>
    </w:p>
    <w:p w14:paraId="287B3341" w14:textId="77777777" w:rsidR="005B2F2B" w:rsidRDefault="00EF398D" w:rsidP="005B2F2B">
      <w:pPr>
        <w:keepNext/>
        <w:pBdr>
          <w:top w:val="nil"/>
          <w:left w:val="nil"/>
          <w:bottom w:val="nil"/>
          <w:right w:val="nil"/>
          <w:between w:val="nil"/>
        </w:pBdr>
        <w:spacing w:line="275" w:lineRule="auto"/>
        <w:jc w:val="center"/>
      </w:pPr>
      <w:r w:rsidRPr="00757903">
        <w:rPr>
          <w:rFonts w:ascii="Google Sans Text" w:eastAsia="Google Sans Text" w:hAnsi="Google Sans Text" w:cs="Google Sans Text"/>
          <w:noProof/>
        </w:rPr>
        <w:lastRenderedPageBreak/>
        <w:drawing>
          <wp:inline distT="0" distB="0" distL="0" distR="0" wp14:anchorId="25BF4AAB" wp14:editId="36A056B7">
            <wp:extent cx="3677265" cy="3454400"/>
            <wp:effectExtent l="0" t="0" r="0" b="0"/>
            <wp:docPr id="1471576614" name="Picture 1" descr="A map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76614" name="Picture 1" descr="A map of a region&#10;&#10;AI-generated content may be incorrect."/>
                    <pic:cNvPicPr/>
                  </pic:nvPicPr>
                  <pic:blipFill>
                    <a:blip r:embed="rId23"/>
                    <a:stretch>
                      <a:fillRect/>
                    </a:stretch>
                  </pic:blipFill>
                  <pic:spPr>
                    <a:xfrm>
                      <a:off x="0" y="0"/>
                      <a:ext cx="3682383" cy="3459208"/>
                    </a:xfrm>
                    <a:prstGeom prst="rect">
                      <a:avLst/>
                    </a:prstGeom>
                  </pic:spPr>
                </pic:pic>
              </a:graphicData>
            </a:graphic>
          </wp:inline>
        </w:drawing>
      </w:r>
    </w:p>
    <w:p w14:paraId="1F5B7896" w14:textId="5125CFB4" w:rsidR="007F6686" w:rsidRDefault="005B2F2B" w:rsidP="005B2F2B">
      <w:pPr>
        <w:pStyle w:val="Caption"/>
        <w:jc w:val="center"/>
      </w:pPr>
      <w:bookmarkStart w:id="28" w:name="_Ref227055306"/>
      <w:bookmarkStart w:id="29" w:name="_Toc228701100"/>
      <w:r>
        <w:t xml:space="preserve">Figure </w:t>
      </w:r>
      <w:fldSimple w:instr=" STYLEREF 1 \s ">
        <w:r w:rsidR="007306EC">
          <w:rPr>
            <w:noProof/>
          </w:rPr>
          <w:t>1</w:t>
        </w:r>
      </w:fldSimple>
      <w:r w:rsidR="007306EC">
        <w:noBreakHyphen/>
      </w:r>
      <w:fldSimple w:instr=" SEQ Figure \* ARABIC \s 1 ">
        <w:r w:rsidR="007306EC">
          <w:rPr>
            <w:noProof/>
          </w:rPr>
          <w:t>4</w:t>
        </w:r>
      </w:fldSimple>
      <w:bookmarkEnd w:id="28"/>
      <w:r>
        <w:t xml:space="preserve"> </w:t>
      </w:r>
      <w:r w:rsidRPr="00510F83">
        <w:t>MAJOR COCOA-PRODUCING DISTRICTS IN SIERRA LEONE</w:t>
      </w:r>
      <w:bookmarkEnd w:id="29"/>
      <w:r w:rsidRPr="00510F83">
        <w:t xml:space="preserve"> </w:t>
      </w:r>
    </w:p>
    <w:p w14:paraId="41CA66C8" w14:textId="60079622" w:rsidR="00EF398D" w:rsidRPr="007F6686" w:rsidRDefault="005B2F2B" w:rsidP="007F6686">
      <w:r w:rsidRPr="007F6686">
        <w:t>SOURCE- SAMUELS ET AL. 2020</w:t>
      </w:r>
    </w:p>
    <w:p w14:paraId="0CD5F135" w14:textId="77777777" w:rsidR="00EF398D" w:rsidRPr="00757903" w:rsidRDefault="00EF398D" w:rsidP="00EF398D">
      <w:pPr>
        <w:pStyle w:val="Caption"/>
        <w:keepNext/>
        <w:jc w:val="center"/>
      </w:pPr>
    </w:p>
    <w:p w14:paraId="2FECD25F" w14:textId="617B0C57" w:rsidR="002E3468" w:rsidRPr="006962DF" w:rsidRDefault="00EF398D" w:rsidP="006962DF">
      <w:pPr>
        <w:pStyle w:val="Heading3"/>
      </w:pPr>
      <w:bookmarkStart w:id="30" w:name="_Toc204771076"/>
      <w:bookmarkStart w:id="31" w:name="_Toc228700991"/>
      <w:r w:rsidRPr="00EF398D">
        <w:t>Farmer Typology and Livelihoods</w:t>
      </w:r>
      <w:bookmarkEnd w:id="30"/>
      <w:bookmarkEnd w:id="31"/>
      <w:r w:rsidR="002E3468" w:rsidRPr="006962DF">
        <w:t xml:space="preserve"> </w:t>
      </w:r>
    </w:p>
    <w:p w14:paraId="07595A46" w14:textId="49DD5121" w:rsidR="00CD5D7D" w:rsidRPr="00CD5D7D" w:rsidRDefault="00CD5D7D" w:rsidP="00CD5D7D">
      <w:pPr>
        <w:pBdr>
          <w:top w:val="nil"/>
          <w:left w:val="nil"/>
          <w:bottom w:val="nil"/>
          <w:right w:val="nil"/>
          <w:between w:val="nil"/>
        </w:pBdr>
        <w:rPr>
          <w:rFonts w:eastAsia="Google Sans Text" w:cs="Open Sans"/>
          <w:sz w:val="20"/>
          <w:szCs w:val="20"/>
        </w:rPr>
      </w:pPr>
      <w:r w:rsidRPr="00CD5D7D">
        <w:rPr>
          <w:rFonts w:eastAsia="Google Sans Text" w:cs="Open Sans"/>
          <w:sz w:val="20"/>
          <w:szCs w:val="20"/>
        </w:rPr>
        <w:t xml:space="preserve">The Sierra Leone cocoa sector is structurally defined by smallholder farmers, who form the foundation of the country’s cocoa economy and underpin its comparative advantage in organic and agroforestry-based production systems. An estimated 120,620 households across the Eastern Province depend on cocoa as a principal source of income (Statistics Sierra Leone, 2024). Cocoa production is overwhelmingly smallholder-based, with no evidence of large-scale plantation systems. Farm sizes are generally small, commonly ranging between 1 and 3 hectares per household, and production takes place within low-input agroforestry systems </w:t>
      </w:r>
      <w:proofErr w:type="spellStart"/>
      <w:r w:rsidRPr="00CD5D7D">
        <w:rPr>
          <w:rFonts w:eastAsia="Google Sans Text" w:cs="Open Sans"/>
          <w:sz w:val="20"/>
          <w:szCs w:val="20"/>
        </w:rPr>
        <w:t>characterised</w:t>
      </w:r>
      <w:proofErr w:type="spellEnd"/>
      <w:r w:rsidRPr="00CD5D7D">
        <w:rPr>
          <w:rFonts w:eastAsia="Google Sans Text" w:cs="Open Sans"/>
          <w:sz w:val="20"/>
          <w:szCs w:val="20"/>
        </w:rPr>
        <w:t xml:space="preserve"> by varying levels of management intensity, shade structure, diversification, and productivity.</w:t>
      </w:r>
    </w:p>
    <w:p w14:paraId="4AA958FE" w14:textId="77777777" w:rsidR="00CD5D7D" w:rsidRDefault="00CD5D7D" w:rsidP="00CD5D7D">
      <w:pPr>
        <w:pBdr>
          <w:top w:val="nil"/>
          <w:left w:val="nil"/>
          <w:bottom w:val="nil"/>
          <w:right w:val="nil"/>
          <w:between w:val="nil"/>
        </w:pBdr>
        <w:rPr>
          <w:rFonts w:eastAsia="Google Sans Text" w:cs="Open Sans"/>
          <w:sz w:val="20"/>
          <w:szCs w:val="20"/>
        </w:rPr>
      </w:pPr>
    </w:p>
    <w:p w14:paraId="68545406" w14:textId="4089AFA3" w:rsidR="00CD5D7D" w:rsidRPr="006D3BFB" w:rsidRDefault="00CD5D7D" w:rsidP="3821A05B">
      <w:pPr>
        <w:pBdr>
          <w:top w:val="nil"/>
          <w:left w:val="nil"/>
          <w:bottom w:val="nil"/>
          <w:right w:val="nil"/>
          <w:between w:val="nil"/>
        </w:pBdr>
        <w:rPr>
          <w:rFonts w:eastAsia="Google Sans Text" w:cs="Open Sans"/>
          <w:sz w:val="20"/>
          <w:szCs w:val="20"/>
        </w:rPr>
      </w:pPr>
      <w:r w:rsidRPr="00CD5D7D">
        <w:rPr>
          <w:rFonts w:eastAsia="Google Sans Text" w:cs="Open Sans"/>
          <w:sz w:val="20"/>
          <w:szCs w:val="20"/>
        </w:rPr>
        <w:t xml:space="preserve">Within the VCA4D framework, a robust typology is essential for understanding both the economic </w:t>
      </w:r>
      <w:proofErr w:type="spellStart"/>
      <w:r w:rsidRPr="00CD5D7D">
        <w:rPr>
          <w:rFonts w:eastAsia="Google Sans Text" w:cs="Open Sans"/>
          <w:sz w:val="20"/>
          <w:szCs w:val="20"/>
        </w:rPr>
        <w:t>organisation</w:t>
      </w:r>
      <w:proofErr w:type="spellEnd"/>
      <w:r w:rsidRPr="00CD5D7D">
        <w:rPr>
          <w:rFonts w:eastAsia="Google Sans Text" w:cs="Open Sans"/>
          <w:sz w:val="20"/>
          <w:szCs w:val="20"/>
        </w:rPr>
        <w:t xml:space="preserve"> of the value chain and the environmental characteristics of production systems. In this study, the typology integrates the economic classification of producers with the agroforestry systems identified in the environmental analysis. This combined approach enables a more coherent understanding of how farm size, management intensity, livelihood strategies, </w:t>
      </w:r>
      <w:r w:rsidRPr="006D3BFB">
        <w:rPr>
          <w:rFonts w:eastAsia="Google Sans Text" w:cs="Open Sans"/>
          <w:sz w:val="20"/>
          <w:szCs w:val="20"/>
        </w:rPr>
        <w:t xml:space="preserve">productivity, and environmental performance interact within the Sierra Leone cocoa sector. </w:t>
      </w:r>
      <w:r w:rsidR="00041402" w:rsidRPr="006D3BFB">
        <w:rPr>
          <w:rFonts w:eastAsia="Google Sans Text" w:cs="Open Sans"/>
          <w:sz w:val="20"/>
          <w:szCs w:val="20"/>
        </w:rPr>
        <w:fldChar w:fldCharType="begin"/>
      </w:r>
      <w:r w:rsidR="00041402" w:rsidRPr="006D3BFB">
        <w:rPr>
          <w:rFonts w:eastAsia="Google Sans Text" w:cs="Open Sans"/>
          <w:sz w:val="20"/>
          <w:szCs w:val="20"/>
        </w:rPr>
        <w:instrText xml:space="preserve"> REF _Ref228695371 \h </w:instrText>
      </w:r>
      <w:r w:rsidR="006D3BFB">
        <w:rPr>
          <w:rFonts w:eastAsia="Google Sans Text" w:cs="Open Sans"/>
          <w:sz w:val="20"/>
          <w:szCs w:val="20"/>
        </w:rPr>
        <w:instrText xml:space="preserve"> \* MERGEFORMAT </w:instrText>
      </w:r>
      <w:r w:rsidR="00041402" w:rsidRPr="006D3BFB">
        <w:rPr>
          <w:rFonts w:eastAsia="Google Sans Text" w:cs="Open Sans"/>
          <w:sz w:val="20"/>
          <w:szCs w:val="20"/>
        </w:rPr>
      </w:r>
      <w:r w:rsidR="00041402" w:rsidRPr="006D3BFB">
        <w:rPr>
          <w:rFonts w:eastAsia="Google Sans Text" w:cs="Open Sans"/>
          <w:sz w:val="20"/>
          <w:szCs w:val="20"/>
        </w:rPr>
        <w:fldChar w:fldCharType="separate"/>
      </w:r>
      <w:r w:rsidR="00041402" w:rsidRPr="006D3BFB">
        <w:rPr>
          <w:sz w:val="20"/>
          <w:szCs w:val="20"/>
        </w:rPr>
        <w:t xml:space="preserve">Figure </w:t>
      </w:r>
      <w:r w:rsidR="00041402" w:rsidRPr="006D3BFB">
        <w:rPr>
          <w:noProof/>
          <w:sz w:val="20"/>
          <w:szCs w:val="20"/>
        </w:rPr>
        <w:t>1</w:t>
      </w:r>
      <w:r w:rsidR="00041402" w:rsidRPr="006D3BFB">
        <w:rPr>
          <w:sz w:val="20"/>
          <w:szCs w:val="20"/>
        </w:rPr>
        <w:t>.</w:t>
      </w:r>
      <w:r w:rsidR="00041402" w:rsidRPr="006D3BFB">
        <w:rPr>
          <w:noProof/>
          <w:sz w:val="20"/>
          <w:szCs w:val="20"/>
        </w:rPr>
        <w:t>5</w:t>
      </w:r>
      <w:r w:rsidR="00041402" w:rsidRPr="006D3BFB">
        <w:rPr>
          <w:rFonts w:eastAsia="Google Sans Text" w:cs="Open Sans"/>
          <w:sz w:val="20"/>
          <w:szCs w:val="20"/>
        </w:rPr>
        <w:fldChar w:fldCharType="end"/>
      </w:r>
      <w:r w:rsidRPr="006D3BFB">
        <w:rPr>
          <w:rFonts w:eastAsia="Google Sans Text" w:cs="Open Sans"/>
          <w:sz w:val="20"/>
          <w:szCs w:val="20"/>
        </w:rPr>
        <w:t xml:space="preserve"> presents the integrated typology linking the economic structure of the sector with the broad agroforestry systems observed during fieldwork.</w:t>
      </w:r>
    </w:p>
    <w:p w14:paraId="1544CF7B" w14:textId="4FC1EE47" w:rsidR="00EF398D" w:rsidRDefault="00EF398D" w:rsidP="00EF398D">
      <w:pPr>
        <w:pBdr>
          <w:top w:val="nil"/>
          <w:left w:val="nil"/>
          <w:bottom w:val="nil"/>
          <w:right w:val="nil"/>
          <w:between w:val="nil"/>
        </w:pBdr>
        <w:rPr>
          <w:rFonts w:eastAsia="Google Sans Text" w:cs="Open Sans"/>
          <w:sz w:val="20"/>
          <w:szCs w:val="20"/>
        </w:rPr>
      </w:pPr>
    </w:p>
    <w:p w14:paraId="69106A51" w14:textId="77777777" w:rsidR="00CD5D7D" w:rsidRDefault="00CD5D7D" w:rsidP="00EF398D">
      <w:pPr>
        <w:pBdr>
          <w:top w:val="nil"/>
          <w:left w:val="nil"/>
          <w:bottom w:val="nil"/>
          <w:right w:val="nil"/>
          <w:between w:val="nil"/>
        </w:pBdr>
        <w:rPr>
          <w:rFonts w:eastAsia="Google Sans Text" w:cs="Open Sans"/>
          <w:sz w:val="20"/>
          <w:szCs w:val="20"/>
        </w:rPr>
      </w:pPr>
    </w:p>
    <w:p w14:paraId="1A0D1959" w14:textId="77777777" w:rsidR="00CD5D7D" w:rsidRDefault="00CD5D7D" w:rsidP="00CD5D7D">
      <w:pPr>
        <w:keepNext/>
        <w:pBdr>
          <w:top w:val="nil"/>
          <w:left w:val="nil"/>
          <w:bottom w:val="nil"/>
          <w:right w:val="nil"/>
          <w:between w:val="nil"/>
        </w:pBdr>
      </w:pPr>
      <w:r>
        <w:rPr>
          <w:noProof/>
        </w:rPr>
        <w:lastRenderedPageBreak/>
        <w:drawing>
          <wp:inline distT="0" distB="0" distL="0" distR="0" wp14:anchorId="79A52A64" wp14:editId="5188E5E0">
            <wp:extent cx="5111750" cy="498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_leone_cocoa_typology.png"/>
                    <pic:cNvPicPr/>
                  </pic:nvPicPr>
                  <pic:blipFill rotWithShape="1">
                    <a:blip r:embed="rId24"/>
                    <a:srcRect l="5428" t="3514" r="5384"/>
                    <a:stretch>
                      <a:fillRect/>
                    </a:stretch>
                  </pic:blipFill>
                  <pic:spPr bwMode="auto">
                    <a:xfrm>
                      <a:off x="0" y="0"/>
                      <a:ext cx="5111808" cy="4981631"/>
                    </a:xfrm>
                    <a:prstGeom prst="rect">
                      <a:avLst/>
                    </a:prstGeom>
                    <a:ln>
                      <a:noFill/>
                    </a:ln>
                    <a:extLst>
                      <a:ext uri="{53640926-AAD7-44D8-BBD7-CCE9431645EC}">
                        <a14:shadowObscured xmlns:a14="http://schemas.microsoft.com/office/drawing/2010/main"/>
                      </a:ext>
                    </a:extLst>
                  </pic:spPr>
                </pic:pic>
              </a:graphicData>
            </a:graphic>
          </wp:inline>
        </w:drawing>
      </w:r>
    </w:p>
    <w:p w14:paraId="4BE0DCD5" w14:textId="18D63CA6" w:rsidR="00CD5D7D" w:rsidRPr="00EF398D" w:rsidRDefault="00CD5D7D" w:rsidP="3821A05B">
      <w:pPr>
        <w:pStyle w:val="Caption"/>
        <w:jc w:val="both"/>
        <w:rPr>
          <w:rFonts w:eastAsia="Google Sans Text" w:cs="Open Sans"/>
        </w:rPr>
      </w:pPr>
      <w:r>
        <w:t xml:space="preserve">                             </w:t>
      </w:r>
      <w:bookmarkStart w:id="32" w:name="_Ref228695371"/>
      <w:bookmarkStart w:id="33" w:name="_Toc228701101"/>
      <w:r>
        <w:t xml:space="preserve">Figure </w:t>
      </w:r>
      <w:fldSimple w:instr=" STYLEREF 1 \s ">
        <w:r w:rsidR="007306EC">
          <w:rPr>
            <w:noProof/>
          </w:rPr>
          <w:t>1</w:t>
        </w:r>
      </w:fldSimple>
      <w:r w:rsidR="007306EC">
        <w:noBreakHyphen/>
      </w:r>
      <w:fldSimple w:instr=" SEQ Figure \* ARABIC \s 1 ">
        <w:r w:rsidR="007306EC">
          <w:rPr>
            <w:noProof/>
          </w:rPr>
          <w:t>5</w:t>
        </w:r>
      </w:fldSimple>
      <w:bookmarkEnd w:id="32"/>
      <w:r>
        <w:t xml:space="preserve"> </w:t>
      </w:r>
      <w:r w:rsidR="060D646D">
        <w:t>Common</w:t>
      </w:r>
      <w:r>
        <w:t xml:space="preserve"> typology</w:t>
      </w:r>
      <w:bookmarkEnd w:id="33"/>
    </w:p>
    <w:p w14:paraId="0577CA9B" w14:textId="77777777" w:rsidR="00041402" w:rsidRDefault="00041402" w:rsidP="00041402">
      <w:pPr>
        <w:pBdr>
          <w:top w:val="nil"/>
          <w:left w:val="nil"/>
          <w:bottom w:val="nil"/>
          <w:right w:val="nil"/>
          <w:between w:val="nil"/>
        </w:pBdr>
        <w:rPr>
          <w:rFonts w:eastAsia="Google Sans Text" w:cs="Open Sans"/>
          <w:sz w:val="20"/>
          <w:szCs w:val="20"/>
        </w:rPr>
      </w:pPr>
    </w:p>
    <w:p w14:paraId="743BFFC2" w14:textId="01005A11"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 xml:space="preserve">From an economic perspective, producers are classified into two broad categories: smallholders (≤5 acres) and larger smallholders (&gt;5 acres). This distinction reflects relative differences in scale, </w:t>
      </w:r>
      <w:proofErr w:type="spellStart"/>
      <w:r w:rsidRPr="00041402">
        <w:rPr>
          <w:rFonts w:eastAsia="Google Sans Text" w:cs="Open Sans"/>
          <w:sz w:val="20"/>
          <w:szCs w:val="20"/>
        </w:rPr>
        <w:t>labour</w:t>
      </w:r>
      <w:proofErr w:type="spellEnd"/>
      <w:r w:rsidRPr="00041402">
        <w:rPr>
          <w:rFonts w:eastAsia="Google Sans Text" w:cs="Open Sans"/>
          <w:sz w:val="20"/>
          <w:szCs w:val="20"/>
        </w:rPr>
        <w:t xml:space="preserve"> use, resource endowment, and market orientation within an otherwise structurally homogeneous smallholder system. The classification was validated through consultations with cooperative leaders and Produce Monitoring Board (PMB) officers in Kailahun, Kenema, and Kono districts. Approximately 70% of producers fall within the smallholder category, while around 30% are classified as larger smallholders. Smallholders are generally </w:t>
      </w:r>
      <w:proofErr w:type="spellStart"/>
      <w:r w:rsidRPr="00041402">
        <w:rPr>
          <w:rFonts w:eastAsia="Google Sans Text" w:cs="Open Sans"/>
          <w:sz w:val="20"/>
          <w:szCs w:val="20"/>
        </w:rPr>
        <w:t>characterised</w:t>
      </w:r>
      <w:proofErr w:type="spellEnd"/>
      <w:r w:rsidRPr="00041402">
        <w:rPr>
          <w:rFonts w:eastAsia="Google Sans Text" w:cs="Open Sans"/>
          <w:sz w:val="20"/>
          <w:szCs w:val="20"/>
        </w:rPr>
        <w:t xml:space="preserve"> by low </w:t>
      </w:r>
      <w:proofErr w:type="spellStart"/>
      <w:r w:rsidRPr="00041402">
        <w:rPr>
          <w:rFonts w:eastAsia="Google Sans Text" w:cs="Open Sans"/>
          <w:sz w:val="20"/>
          <w:szCs w:val="20"/>
        </w:rPr>
        <w:t>capitalisation</w:t>
      </w:r>
      <w:proofErr w:type="spellEnd"/>
      <w:r w:rsidRPr="00041402">
        <w:rPr>
          <w:rFonts w:eastAsia="Google Sans Text" w:cs="Open Sans"/>
          <w:sz w:val="20"/>
          <w:szCs w:val="20"/>
        </w:rPr>
        <w:t xml:space="preserve">, limited use of purchased inputs, dependence on family </w:t>
      </w:r>
      <w:proofErr w:type="spellStart"/>
      <w:r w:rsidRPr="00041402">
        <w:rPr>
          <w:rFonts w:eastAsia="Google Sans Text" w:cs="Open Sans"/>
          <w:sz w:val="20"/>
          <w:szCs w:val="20"/>
        </w:rPr>
        <w:t>labour</w:t>
      </w:r>
      <w:proofErr w:type="spellEnd"/>
      <w:r w:rsidRPr="00041402">
        <w:rPr>
          <w:rFonts w:eastAsia="Google Sans Text" w:cs="Open Sans"/>
          <w:sz w:val="20"/>
          <w:szCs w:val="20"/>
        </w:rPr>
        <w:t xml:space="preserve">, and diversified livelihood systems. Larger smallholders tend to exhibit more structured farm management, greater use of hired </w:t>
      </w:r>
      <w:proofErr w:type="spellStart"/>
      <w:r w:rsidRPr="00041402">
        <w:rPr>
          <w:rFonts w:eastAsia="Google Sans Text" w:cs="Open Sans"/>
          <w:sz w:val="20"/>
          <w:szCs w:val="20"/>
        </w:rPr>
        <w:t>labour</w:t>
      </w:r>
      <w:proofErr w:type="spellEnd"/>
      <w:r w:rsidRPr="00041402">
        <w:rPr>
          <w:rFonts w:eastAsia="Google Sans Text" w:cs="Open Sans"/>
          <w:sz w:val="20"/>
          <w:szCs w:val="20"/>
        </w:rPr>
        <w:t>, stronger market orientation, and higher engagement with cooperatives and certified markets.</w:t>
      </w:r>
    </w:p>
    <w:p w14:paraId="3E8C5187" w14:textId="77777777" w:rsidR="00041402" w:rsidRDefault="00041402" w:rsidP="00041402">
      <w:pPr>
        <w:pBdr>
          <w:top w:val="nil"/>
          <w:left w:val="nil"/>
          <w:bottom w:val="nil"/>
          <w:right w:val="nil"/>
          <w:between w:val="nil"/>
        </w:pBdr>
        <w:rPr>
          <w:rFonts w:eastAsia="Google Sans Text" w:cs="Open Sans"/>
          <w:sz w:val="20"/>
          <w:szCs w:val="20"/>
        </w:rPr>
      </w:pPr>
    </w:p>
    <w:p w14:paraId="3CCFAF4F" w14:textId="79294015"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The environmental analysis further refines this understanding by identifying four broad agroforestry production systems that differ in terms of age structure, shade management, diversification, and rehabilitation practices. These systems are not rigid or mutually exclusive categories, but indicative production models representing the diversity of cocoa farming systems observed during field missions and stakeholder consultations.</w:t>
      </w:r>
    </w:p>
    <w:p w14:paraId="46C827AB" w14:textId="77777777" w:rsidR="00041402" w:rsidRDefault="00041402" w:rsidP="00041402">
      <w:pPr>
        <w:pBdr>
          <w:top w:val="nil"/>
          <w:left w:val="nil"/>
          <w:bottom w:val="nil"/>
          <w:right w:val="nil"/>
          <w:between w:val="nil"/>
        </w:pBdr>
        <w:rPr>
          <w:rFonts w:eastAsia="Google Sans Text" w:cs="Open Sans"/>
          <w:sz w:val="20"/>
          <w:szCs w:val="20"/>
        </w:rPr>
      </w:pPr>
    </w:p>
    <w:p w14:paraId="06855107" w14:textId="04759FB9" w:rsidR="00041402" w:rsidRPr="00041402" w:rsidRDefault="00041402" w:rsidP="00041402">
      <w:pPr>
        <w:pBdr>
          <w:top w:val="nil"/>
          <w:left w:val="nil"/>
          <w:bottom w:val="nil"/>
          <w:right w:val="nil"/>
          <w:between w:val="nil"/>
        </w:pBdr>
        <w:rPr>
          <w:rFonts w:eastAsia="Google Sans Text" w:cs="Open Sans"/>
          <w:sz w:val="20"/>
          <w:szCs w:val="20"/>
        </w:rPr>
      </w:pPr>
      <w:r w:rsidRPr="00A81B40">
        <w:rPr>
          <w:rFonts w:eastAsia="Google Sans Text" w:cs="Open Sans"/>
          <w:sz w:val="20"/>
          <w:szCs w:val="20"/>
        </w:rPr>
        <w:t xml:space="preserve">As illustrated in </w:t>
      </w:r>
      <w:r w:rsidR="001835ED" w:rsidRPr="00A81B40">
        <w:rPr>
          <w:rFonts w:eastAsia="Google Sans Text" w:cs="Open Sans"/>
          <w:sz w:val="20"/>
          <w:szCs w:val="20"/>
        </w:rPr>
        <w:fldChar w:fldCharType="begin"/>
      </w:r>
      <w:r w:rsidR="001835ED" w:rsidRPr="00A81B40">
        <w:rPr>
          <w:rFonts w:eastAsia="Google Sans Text" w:cs="Open Sans"/>
          <w:sz w:val="20"/>
          <w:szCs w:val="20"/>
        </w:rPr>
        <w:instrText xml:space="preserve"> REF _Ref228695371 \h </w:instrText>
      </w:r>
      <w:r w:rsidR="00A81B40">
        <w:rPr>
          <w:rFonts w:eastAsia="Google Sans Text" w:cs="Open Sans"/>
          <w:sz w:val="20"/>
          <w:szCs w:val="20"/>
        </w:rPr>
        <w:instrText xml:space="preserve"> \* MERGEFORMAT </w:instrText>
      </w:r>
      <w:r w:rsidR="001835ED" w:rsidRPr="00A81B40">
        <w:rPr>
          <w:rFonts w:eastAsia="Google Sans Text" w:cs="Open Sans"/>
          <w:sz w:val="20"/>
          <w:szCs w:val="20"/>
        </w:rPr>
      </w:r>
      <w:r w:rsidR="001835ED" w:rsidRPr="00A81B40">
        <w:rPr>
          <w:rFonts w:eastAsia="Google Sans Text" w:cs="Open Sans"/>
          <w:sz w:val="20"/>
          <w:szCs w:val="20"/>
        </w:rPr>
        <w:fldChar w:fldCharType="separate"/>
      </w:r>
      <w:r w:rsidR="001835ED" w:rsidRPr="001F42F7">
        <w:rPr>
          <w:sz w:val="20"/>
          <w:szCs w:val="20"/>
        </w:rPr>
        <w:t xml:space="preserve">Figure </w:t>
      </w:r>
      <w:r w:rsidR="001835ED" w:rsidRPr="001F42F7">
        <w:rPr>
          <w:noProof/>
          <w:sz w:val="20"/>
          <w:szCs w:val="20"/>
        </w:rPr>
        <w:t>1</w:t>
      </w:r>
      <w:r w:rsidR="001835ED" w:rsidRPr="001F42F7">
        <w:rPr>
          <w:sz w:val="20"/>
          <w:szCs w:val="20"/>
        </w:rPr>
        <w:t>.</w:t>
      </w:r>
      <w:r w:rsidR="001835ED" w:rsidRPr="001F42F7">
        <w:rPr>
          <w:noProof/>
          <w:sz w:val="20"/>
          <w:szCs w:val="20"/>
        </w:rPr>
        <w:t>5</w:t>
      </w:r>
      <w:r w:rsidR="001835ED" w:rsidRPr="00A81B40">
        <w:rPr>
          <w:rFonts w:eastAsia="Google Sans Text" w:cs="Open Sans"/>
          <w:sz w:val="20"/>
          <w:szCs w:val="20"/>
        </w:rPr>
        <w:fldChar w:fldCharType="end"/>
      </w:r>
      <w:r w:rsidRPr="00A81B40">
        <w:rPr>
          <w:rFonts w:eastAsia="Google Sans Text" w:cs="Open Sans"/>
          <w:sz w:val="20"/>
          <w:szCs w:val="20"/>
        </w:rPr>
        <w:t>, the first two agroforestry systems broadly correspond to the</w:t>
      </w:r>
      <w:r w:rsidRPr="00041402">
        <w:rPr>
          <w:rFonts w:eastAsia="Google Sans Text" w:cs="Open Sans"/>
          <w:sz w:val="20"/>
          <w:szCs w:val="20"/>
        </w:rPr>
        <w:t xml:space="preserve"> economically defined smallholder category. The first system represents older and poorly managed </w:t>
      </w:r>
      <w:r w:rsidRPr="00041402">
        <w:rPr>
          <w:rFonts w:eastAsia="Google Sans Text" w:cs="Open Sans"/>
          <w:sz w:val="20"/>
          <w:szCs w:val="20"/>
        </w:rPr>
        <w:lastRenderedPageBreak/>
        <w:t xml:space="preserve">cocoa farms, often more than 40 years old, </w:t>
      </w:r>
      <w:proofErr w:type="spellStart"/>
      <w:r w:rsidRPr="00041402">
        <w:rPr>
          <w:rFonts w:eastAsia="Google Sans Text" w:cs="Open Sans"/>
          <w:sz w:val="20"/>
          <w:szCs w:val="20"/>
        </w:rPr>
        <w:t>characterised</w:t>
      </w:r>
      <w:proofErr w:type="spellEnd"/>
      <w:r w:rsidRPr="00041402">
        <w:rPr>
          <w:rFonts w:eastAsia="Google Sans Text" w:cs="Open Sans"/>
          <w:sz w:val="20"/>
          <w:szCs w:val="20"/>
        </w:rPr>
        <w:t xml:space="preserve"> by dense or poorly regulated shade cover, low tree diversity, minimal investment, and declining cocoa yields due to ageing trees and disease pressure, particularly black pod disease. Cocoa is often the only commercial crop because dense canopy cover limits opportunities for diversification. These systems are typically associated with vulnerable producers facing severe income constraints and limited capacity for reinvestment or rehabilitation.</w:t>
      </w:r>
    </w:p>
    <w:p w14:paraId="17B7DF87" w14:textId="77777777" w:rsidR="001835ED" w:rsidRDefault="001835ED" w:rsidP="00041402">
      <w:pPr>
        <w:pBdr>
          <w:top w:val="nil"/>
          <w:left w:val="nil"/>
          <w:bottom w:val="nil"/>
          <w:right w:val="nil"/>
          <w:between w:val="nil"/>
        </w:pBdr>
        <w:rPr>
          <w:rFonts w:eastAsia="Google Sans Text" w:cs="Open Sans"/>
          <w:sz w:val="20"/>
          <w:szCs w:val="20"/>
        </w:rPr>
      </w:pPr>
    </w:p>
    <w:p w14:paraId="43823F87" w14:textId="132F46B2"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 xml:space="preserve">The second system also reflects relatively small farms with low investment intensity, but with somewhat improved management conditions. These farms are generally younger, maintain lower shade density, and allow limited intercropping with bananas or plantains, which provide supplementary food and income. Although productivity remains modest, yields are generally higher than in the first system due to improved shade management and younger tree stock. Nevertheless, these systems still reflect constrained livelihoods, limited financial resilience, and a strong dependence on household </w:t>
      </w:r>
      <w:proofErr w:type="spellStart"/>
      <w:r w:rsidRPr="00041402">
        <w:rPr>
          <w:rFonts w:eastAsia="Google Sans Text" w:cs="Open Sans"/>
          <w:sz w:val="20"/>
          <w:szCs w:val="20"/>
        </w:rPr>
        <w:t>labour</w:t>
      </w:r>
      <w:proofErr w:type="spellEnd"/>
      <w:r w:rsidRPr="00041402">
        <w:rPr>
          <w:rFonts w:eastAsia="Google Sans Text" w:cs="Open Sans"/>
          <w:sz w:val="20"/>
          <w:szCs w:val="20"/>
        </w:rPr>
        <w:t>.</w:t>
      </w:r>
    </w:p>
    <w:p w14:paraId="299743B2" w14:textId="77777777" w:rsidR="001835ED" w:rsidRDefault="001835ED" w:rsidP="00041402">
      <w:pPr>
        <w:pBdr>
          <w:top w:val="nil"/>
          <w:left w:val="nil"/>
          <w:bottom w:val="nil"/>
          <w:right w:val="nil"/>
          <w:between w:val="nil"/>
        </w:pBdr>
        <w:rPr>
          <w:rFonts w:eastAsia="Google Sans Text" w:cs="Open Sans"/>
          <w:sz w:val="20"/>
          <w:szCs w:val="20"/>
        </w:rPr>
      </w:pPr>
    </w:p>
    <w:p w14:paraId="76CBEA8B" w14:textId="7AA51158"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The third and fourth agroforestry systems are more commonly associated with larger smallholders. The third system represents relatively well-managed mature cocoa farms, typically between 15 and 25 years old, where pruning, gap management, and structured shade regulation are actively practiced. These systems maintain a balanced canopy architecture that supports higher cocoa productivity while enabling diversification into fruit crops such as mango, citrus, and avocado. Farmers operating these systems are generally more commercially oriented, better connected to cooperatives and exporters, and more capable of investing in nurseries, rehabilitation, and post-harvest management. Consequently, these farms tend to generate higher and more diversified incomes while also maintaining important environmental functions through agroforestry integration.</w:t>
      </w:r>
    </w:p>
    <w:p w14:paraId="0C925A5E" w14:textId="77777777" w:rsidR="001835ED" w:rsidRDefault="001835ED" w:rsidP="00041402">
      <w:pPr>
        <w:pBdr>
          <w:top w:val="nil"/>
          <w:left w:val="nil"/>
          <w:bottom w:val="nil"/>
          <w:right w:val="nil"/>
          <w:between w:val="nil"/>
        </w:pBdr>
        <w:rPr>
          <w:rFonts w:eastAsia="Google Sans Text" w:cs="Open Sans"/>
          <w:sz w:val="20"/>
          <w:szCs w:val="20"/>
        </w:rPr>
      </w:pPr>
    </w:p>
    <w:p w14:paraId="07F1C1CC" w14:textId="4F1C5269"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 xml:space="preserve">The fourth system reflects older but actively rehabilitated farms that have moved beyond peak productivity and entered a phase of declining </w:t>
      </w:r>
      <w:proofErr w:type="spellStart"/>
      <w:r w:rsidRPr="00041402">
        <w:rPr>
          <w:rFonts w:eastAsia="Google Sans Text" w:cs="Open Sans"/>
          <w:sz w:val="20"/>
          <w:szCs w:val="20"/>
        </w:rPr>
        <w:t>vigour</w:t>
      </w:r>
      <w:proofErr w:type="spellEnd"/>
      <w:r w:rsidRPr="00041402">
        <w:rPr>
          <w:rFonts w:eastAsia="Google Sans Text" w:cs="Open Sans"/>
          <w:sz w:val="20"/>
          <w:szCs w:val="20"/>
        </w:rPr>
        <w:t>. Rehabilitation practices such as coppicing, grafting, selective replanting, and diversification into kola or other shade-tolerant cash crops are used to partially offset declining cocoa yields. While these systems remain commercially viable, they also illustrate the management and nutrient challenges associated with ageing cocoa landscapes. Without adequate soil fertility management and careful shade regulation, competition between cocoa and additional crops may further reduce yields and soil quality.</w:t>
      </w:r>
    </w:p>
    <w:p w14:paraId="7506A458" w14:textId="77777777" w:rsidR="001835ED" w:rsidRDefault="001835ED" w:rsidP="00041402">
      <w:pPr>
        <w:pBdr>
          <w:top w:val="nil"/>
          <w:left w:val="nil"/>
          <w:bottom w:val="nil"/>
          <w:right w:val="nil"/>
          <w:between w:val="nil"/>
        </w:pBdr>
        <w:rPr>
          <w:rFonts w:eastAsia="Google Sans Text" w:cs="Open Sans"/>
          <w:sz w:val="20"/>
          <w:szCs w:val="20"/>
        </w:rPr>
      </w:pPr>
    </w:p>
    <w:p w14:paraId="60A466C8" w14:textId="02AE552F"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The integration of economic and environmental typologies highlights an important structural dynamic within the Sierra Leone cocoa sector. Lower-productivity systems are generally associated with smaller and more vulnerable producers operating older, low-investment farms, while relatively better-performing systems tend to be linked to larger smallholders with greater management capacity and more diversified livelihood strategies. Larger smallholders are also more likely to adopt active canopy management, pruning, rehabilitation, and diversification practices because the economic consequences of poor management become more significant as farm size increases. However, this relationship is not absolute. Well-managed small farms also exist, just as some larger farms remain poorly maintained. The typology should therefore be understood as indicative rather than deterministic.</w:t>
      </w:r>
    </w:p>
    <w:p w14:paraId="19FB89C1" w14:textId="77777777" w:rsidR="001835ED" w:rsidRDefault="001835ED" w:rsidP="00041402">
      <w:pPr>
        <w:pBdr>
          <w:top w:val="nil"/>
          <w:left w:val="nil"/>
          <w:bottom w:val="nil"/>
          <w:right w:val="nil"/>
          <w:between w:val="nil"/>
        </w:pBdr>
        <w:rPr>
          <w:rFonts w:eastAsia="Google Sans Text" w:cs="Open Sans"/>
          <w:sz w:val="20"/>
          <w:szCs w:val="20"/>
        </w:rPr>
      </w:pPr>
    </w:p>
    <w:p w14:paraId="1E07DEED" w14:textId="3FB4E680"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 xml:space="preserve">Livelihood strategies are closely linked to these production systems. Most cocoa households rely on diversified income portfolios combining cocoa with food crops, fruit trees, petty trading, wage </w:t>
      </w:r>
      <w:proofErr w:type="spellStart"/>
      <w:r w:rsidRPr="00041402">
        <w:rPr>
          <w:rFonts w:eastAsia="Google Sans Text" w:cs="Open Sans"/>
          <w:sz w:val="20"/>
          <w:szCs w:val="20"/>
        </w:rPr>
        <w:t>labour</w:t>
      </w:r>
      <w:proofErr w:type="spellEnd"/>
      <w:r w:rsidRPr="00041402">
        <w:rPr>
          <w:rFonts w:eastAsia="Google Sans Text" w:cs="Open Sans"/>
          <w:sz w:val="20"/>
          <w:szCs w:val="20"/>
        </w:rPr>
        <w:t xml:space="preserve">, and livestock activities. Agroforestry systems contribute to resilience by providing sequential income streams, dietary diversity, shade regulation, and ecological services such as soil protection and biodiversity conservation. In many cases, cocoa farms operate alongside home </w:t>
      </w:r>
      <w:r w:rsidRPr="00041402">
        <w:rPr>
          <w:rFonts w:eastAsia="Google Sans Text" w:cs="Open Sans"/>
          <w:sz w:val="20"/>
          <w:szCs w:val="20"/>
        </w:rPr>
        <w:lastRenderedPageBreak/>
        <w:t>gardens and access to secondary forest resources, forming part of a broader livelihood and food security system.</w:t>
      </w:r>
    </w:p>
    <w:p w14:paraId="5509B6BC" w14:textId="77777777" w:rsidR="001835ED" w:rsidRDefault="001835ED" w:rsidP="00041402">
      <w:pPr>
        <w:pBdr>
          <w:top w:val="nil"/>
          <w:left w:val="nil"/>
          <w:bottom w:val="nil"/>
          <w:right w:val="nil"/>
          <w:between w:val="nil"/>
        </w:pBdr>
        <w:rPr>
          <w:rFonts w:eastAsia="Google Sans Text" w:cs="Open Sans"/>
          <w:sz w:val="20"/>
          <w:szCs w:val="20"/>
        </w:rPr>
      </w:pPr>
    </w:p>
    <w:p w14:paraId="2EFFDC87" w14:textId="392B813C" w:rsidR="00041402" w:rsidRPr="00041402" w:rsidRDefault="00041402" w:rsidP="00041402">
      <w:pPr>
        <w:pBdr>
          <w:top w:val="nil"/>
          <w:left w:val="nil"/>
          <w:bottom w:val="nil"/>
          <w:right w:val="nil"/>
          <w:between w:val="nil"/>
        </w:pBdr>
        <w:rPr>
          <w:rFonts w:eastAsia="Google Sans Text" w:cs="Open Sans"/>
          <w:sz w:val="20"/>
          <w:szCs w:val="20"/>
        </w:rPr>
      </w:pPr>
      <w:r w:rsidRPr="00041402">
        <w:rPr>
          <w:rFonts w:eastAsia="Google Sans Text" w:cs="Open Sans"/>
          <w:sz w:val="20"/>
          <w:szCs w:val="20"/>
        </w:rPr>
        <w:t>At the same time, low productivity and unstable incomes create significant livelihood vulnerability. Many farmers face acute liquidity constraints during the pre-harvest “hungry season” and rely on informal advances from agents or local lenders. This dependence contributes to side-selling and weakens participation in formal cooperative and traceability systems. Farm-level vulnerability is therefore linked not only to poverty and food insecurity, but also to wider value chain risks relating to quality control, certification integrity, and EUDR compliance.</w:t>
      </w:r>
    </w:p>
    <w:p w14:paraId="5C68CAF9" w14:textId="77777777" w:rsidR="001835ED" w:rsidRDefault="001835ED" w:rsidP="00041402">
      <w:pPr>
        <w:pBdr>
          <w:top w:val="nil"/>
          <w:left w:val="nil"/>
          <w:bottom w:val="nil"/>
          <w:right w:val="nil"/>
          <w:between w:val="nil"/>
        </w:pBdr>
        <w:rPr>
          <w:rFonts w:eastAsia="Google Sans Text" w:cs="Open Sans"/>
          <w:sz w:val="20"/>
          <w:szCs w:val="20"/>
        </w:rPr>
      </w:pPr>
    </w:p>
    <w:p w14:paraId="1ECB92E5" w14:textId="772EE088" w:rsidR="00EF398D" w:rsidRPr="00781D8B" w:rsidRDefault="00041402" w:rsidP="00041402">
      <w:pPr>
        <w:pBdr>
          <w:top w:val="nil"/>
          <w:left w:val="nil"/>
          <w:bottom w:val="nil"/>
          <w:right w:val="nil"/>
          <w:between w:val="nil"/>
        </w:pBdr>
        <w:rPr>
          <w:rFonts w:cs="Open Sans"/>
          <w:sz w:val="20"/>
          <w:szCs w:val="20"/>
        </w:rPr>
      </w:pPr>
      <w:r w:rsidRPr="00041402">
        <w:rPr>
          <w:rFonts w:eastAsia="Google Sans Text" w:cs="Open Sans"/>
          <w:sz w:val="20"/>
          <w:szCs w:val="20"/>
        </w:rPr>
        <w:t xml:space="preserve">Overall, integrating agroforestry systems into </w:t>
      </w:r>
      <w:proofErr w:type="gramStart"/>
      <w:r w:rsidRPr="00041402">
        <w:rPr>
          <w:rFonts w:eastAsia="Google Sans Text" w:cs="Open Sans"/>
          <w:sz w:val="20"/>
          <w:szCs w:val="20"/>
        </w:rPr>
        <w:t>the economic</w:t>
      </w:r>
      <w:proofErr w:type="gramEnd"/>
      <w:r w:rsidRPr="00041402">
        <w:rPr>
          <w:rFonts w:eastAsia="Google Sans Text" w:cs="Open Sans"/>
          <w:sz w:val="20"/>
          <w:szCs w:val="20"/>
        </w:rPr>
        <w:t xml:space="preserve"> typology strengthens the analytical relevance of the study by linking farm structure and livelihood strategies with environmental performance, productivity outcomes, and value chain participation. It also demonstrates that the long-term sustainability of Sierra Leone’s cocoa sector depends not only on increasing yields, but on supporting production systems that simultaneously improve incomes, maintain ecological functions, and strengthen resilience within smallholder livelihoods.</w:t>
      </w:r>
    </w:p>
    <w:p w14:paraId="7169C203" w14:textId="77777777" w:rsidR="00EF398D" w:rsidRPr="006962DF" w:rsidRDefault="00EF398D" w:rsidP="00EF398D">
      <w:pPr>
        <w:pStyle w:val="Heading3"/>
      </w:pPr>
      <w:bookmarkStart w:id="34" w:name="_Toc228700992"/>
      <w:r w:rsidRPr="006962DF">
        <w:t>Deforestation and EUDR</w:t>
      </w:r>
      <w:bookmarkEnd w:id="34"/>
      <w:r w:rsidRPr="006962DF">
        <w:t xml:space="preserve"> </w:t>
      </w:r>
    </w:p>
    <w:p w14:paraId="4256A578" w14:textId="77777777" w:rsidR="007176E9" w:rsidRPr="007176E9" w:rsidRDefault="007176E9" w:rsidP="00EF398D">
      <w:pPr>
        <w:rPr>
          <w:rFonts w:cs="Open Sans"/>
          <w:b/>
          <w:bCs/>
          <w:sz w:val="20"/>
          <w:szCs w:val="20"/>
        </w:rPr>
      </w:pPr>
      <w:r w:rsidRPr="007176E9">
        <w:rPr>
          <w:rFonts w:cs="Open Sans"/>
          <w:b/>
          <w:bCs/>
          <w:sz w:val="20"/>
          <w:szCs w:val="20"/>
        </w:rPr>
        <w:t>Deforestation Risk Profile and Agroforestry Systems</w:t>
      </w:r>
    </w:p>
    <w:p w14:paraId="42184F4B" w14:textId="77777777" w:rsidR="000C3047" w:rsidRDefault="000C3047" w:rsidP="000C3047">
      <w:pPr>
        <w:rPr>
          <w:rFonts w:cs="Open Sans"/>
          <w:sz w:val="20"/>
          <w:szCs w:val="20"/>
        </w:rPr>
      </w:pPr>
      <w:r w:rsidRPr="007176E9">
        <w:rPr>
          <w:rFonts w:cs="Open Sans"/>
          <w:sz w:val="20"/>
          <w:szCs w:val="20"/>
        </w:rPr>
        <w:t>Sierra Leone’s cocoa is predominantly grown under mixed agroforestry systems. This traditional cultivation method, which integrates cocoa under the shade of canopy trees</w:t>
      </w:r>
      <w:r>
        <w:rPr>
          <w:rFonts w:cs="Open Sans"/>
          <w:sz w:val="20"/>
          <w:szCs w:val="20"/>
        </w:rPr>
        <w:t xml:space="preserve"> (as well as fruit trees)</w:t>
      </w:r>
      <w:r w:rsidRPr="007176E9">
        <w:rPr>
          <w:rFonts w:cs="Open Sans"/>
          <w:sz w:val="20"/>
          <w:szCs w:val="20"/>
        </w:rPr>
        <w:t xml:space="preserve">, is considered naturally sustainable and inherently mitigates the high deforestation risk associated with "full sun" hybrid cocoa cultivation seen in other regions globally (EBRD 2020). </w:t>
      </w:r>
      <w:proofErr w:type="gramStart"/>
      <w:r w:rsidRPr="007176E9">
        <w:rPr>
          <w:rFonts w:cs="Open Sans"/>
          <w:sz w:val="20"/>
          <w:szCs w:val="20"/>
        </w:rPr>
        <w:t>The vast majority of</w:t>
      </w:r>
      <w:proofErr w:type="gramEnd"/>
      <w:r w:rsidRPr="007176E9">
        <w:rPr>
          <w:rFonts w:cs="Open Sans"/>
          <w:sz w:val="20"/>
          <w:szCs w:val="20"/>
        </w:rPr>
        <w:t xml:space="preserve"> farms visited were not found to constitute a transition from primary forestry.</w:t>
      </w:r>
      <w:r>
        <w:rPr>
          <w:rFonts w:cs="Open Sans"/>
          <w:sz w:val="20"/>
          <w:szCs w:val="20"/>
        </w:rPr>
        <w:t xml:space="preserve"> </w:t>
      </w:r>
    </w:p>
    <w:p w14:paraId="1204F27E" w14:textId="77777777" w:rsidR="00126D72" w:rsidRDefault="00126D72" w:rsidP="00126D72">
      <w:pPr>
        <w:rPr>
          <w:rFonts w:cs="Open Sans"/>
          <w:sz w:val="20"/>
          <w:szCs w:val="20"/>
        </w:rPr>
      </w:pPr>
    </w:p>
    <w:p w14:paraId="6AD0E086" w14:textId="44B74D2F" w:rsidR="00126D72" w:rsidRPr="00126D72" w:rsidRDefault="00FF4870" w:rsidP="00126D72">
      <w:pPr>
        <w:rPr>
          <w:rFonts w:cs="Open Sans"/>
          <w:sz w:val="20"/>
          <w:szCs w:val="20"/>
        </w:rPr>
      </w:pPr>
      <w:r>
        <w:rPr>
          <w:rFonts w:cs="Open Sans"/>
          <w:sz w:val="20"/>
          <w:szCs w:val="20"/>
        </w:rPr>
        <w:t xml:space="preserve">However, </w:t>
      </w:r>
      <w:r w:rsidR="00126D72">
        <w:rPr>
          <w:rFonts w:cs="Open Sans"/>
          <w:sz w:val="20"/>
          <w:szCs w:val="20"/>
        </w:rPr>
        <w:t>b</w:t>
      </w:r>
      <w:r w:rsidR="00126D72" w:rsidRPr="00126D72">
        <w:rPr>
          <w:rFonts w:cs="Open Sans"/>
          <w:sz w:val="20"/>
          <w:szCs w:val="20"/>
        </w:rPr>
        <w:t xml:space="preserve">etween 2002 and 2024, Sierra Leone lost 43.1 thousand hectares of humid primary forest, representing 2% of its total tree cover loss during that period. Overall, the country’s humid primary forest area declined by 16% over these years. (Global Forest Watch) </w:t>
      </w:r>
      <w:r w:rsidR="00D2726C">
        <w:rPr>
          <w:rFonts w:cs="Open Sans"/>
          <w:sz w:val="20"/>
          <w:szCs w:val="20"/>
        </w:rPr>
        <w:t>leading Sierra Leone to be considered as “standard risk” in the context of EUDR.</w:t>
      </w:r>
    </w:p>
    <w:p w14:paraId="4411F691" w14:textId="6A426CB7" w:rsidR="00FF4870" w:rsidRPr="007176E9" w:rsidRDefault="00FF4870" w:rsidP="000C3047">
      <w:pPr>
        <w:rPr>
          <w:rFonts w:cs="Open Sans"/>
          <w:sz w:val="20"/>
          <w:szCs w:val="20"/>
        </w:rPr>
      </w:pPr>
    </w:p>
    <w:p w14:paraId="39A6BFBF" w14:textId="77777777" w:rsidR="000C3047" w:rsidRDefault="000C3047" w:rsidP="000C3047">
      <w:pPr>
        <w:rPr>
          <w:rFonts w:cs="Open Sans"/>
          <w:sz w:val="20"/>
          <w:szCs w:val="20"/>
        </w:rPr>
      </w:pPr>
      <w:r w:rsidRPr="007176E9">
        <w:rPr>
          <w:rFonts w:cs="Open Sans"/>
          <w:sz w:val="20"/>
          <w:szCs w:val="20"/>
        </w:rPr>
        <w:t xml:space="preserve">Nevertheless, two risks remain critical. Firstly, the critically low yields (0.35 t/ha) embody land use inefficiency. To produce a fixed volume of cocoa, more land must be </w:t>
      </w:r>
      <w:proofErr w:type="spellStart"/>
      <w:r w:rsidRPr="007176E9">
        <w:rPr>
          <w:rFonts w:cs="Open Sans"/>
          <w:sz w:val="20"/>
          <w:szCs w:val="20"/>
        </w:rPr>
        <w:t>utilised</w:t>
      </w:r>
      <w:proofErr w:type="spellEnd"/>
      <w:r w:rsidRPr="007176E9">
        <w:rPr>
          <w:rFonts w:cs="Open Sans"/>
          <w:sz w:val="20"/>
          <w:szCs w:val="20"/>
        </w:rPr>
        <w:t xml:space="preserve"> compared to high-yield systems, which increases the pressure on existing arable land</w:t>
      </w:r>
      <w:r>
        <w:rPr>
          <w:rFonts w:cs="Open Sans"/>
          <w:sz w:val="20"/>
          <w:szCs w:val="20"/>
        </w:rPr>
        <w:t xml:space="preserve"> as well as land adjacent to cocoa farms.</w:t>
      </w:r>
      <w:r w:rsidRPr="007176E9">
        <w:rPr>
          <w:rFonts w:cs="Open Sans"/>
          <w:sz w:val="20"/>
          <w:szCs w:val="20"/>
        </w:rPr>
        <w:t xml:space="preserve"> Secondly, future tree rejuvenation plans, particularly expansion in zones like Kono, pose a risk if not strictly managed, as mishandling the removal or replacement of aged trees could lead to encroachment on adjoining </w:t>
      </w:r>
      <w:r>
        <w:rPr>
          <w:rFonts w:cs="Open Sans"/>
          <w:sz w:val="20"/>
          <w:szCs w:val="20"/>
        </w:rPr>
        <w:t xml:space="preserve">(including secondary) </w:t>
      </w:r>
      <w:r w:rsidRPr="007176E9">
        <w:rPr>
          <w:rFonts w:cs="Open Sans"/>
          <w:sz w:val="20"/>
          <w:szCs w:val="20"/>
        </w:rPr>
        <w:t>forest lands.</w:t>
      </w:r>
    </w:p>
    <w:p w14:paraId="60AEB2A0" w14:textId="77777777" w:rsidR="007176E9" w:rsidRDefault="007176E9" w:rsidP="007176E9">
      <w:pPr>
        <w:rPr>
          <w:rFonts w:cs="Open Sans"/>
          <w:sz w:val="20"/>
          <w:szCs w:val="20"/>
        </w:rPr>
      </w:pPr>
    </w:p>
    <w:p w14:paraId="00E52903" w14:textId="77777777" w:rsidR="007176E9" w:rsidRPr="007176E9" w:rsidRDefault="007176E9" w:rsidP="007176E9">
      <w:pPr>
        <w:rPr>
          <w:rFonts w:cs="Open Sans"/>
          <w:b/>
          <w:bCs/>
          <w:sz w:val="20"/>
          <w:szCs w:val="20"/>
        </w:rPr>
      </w:pPr>
      <w:r w:rsidRPr="007176E9">
        <w:rPr>
          <w:rFonts w:cs="Open Sans"/>
          <w:b/>
          <w:bCs/>
          <w:sz w:val="20"/>
          <w:szCs w:val="20"/>
        </w:rPr>
        <w:t>EUDR Compliance Status and Geolocation Deficits</w:t>
      </w:r>
    </w:p>
    <w:p w14:paraId="0CDD8C9B" w14:textId="2062004F" w:rsidR="00D2726C" w:rsidRDefault="000C3047" w:rsidP="00D2726C">
      <w:pPr>
        <w:rPr>
          <w:rFonts w:cs="Open Sans"/>
          <w:sz w:val="20"/>
          <w:szCs w:val="20"/>
        </w:rPr>
      </w:pPr>
      <w:r>
        <w:rPr>
          <w:rFonts w:cs="Open Sans"/>
          <w:sz w:val="20"/>
          <w:szCs w:val="20"/>
        </w:rPr>
        <w:t>Avoiding deforestation is crucial to the sustainability of the sector, whilst simultaneously c</w:t>
      </w:r>
      <w:r w:rsidRPr="007176E9">
        <w:rPr>
          <w:rFonts w:cs="Open Sans"/>
          <w:sz w:val="20"/>
          <w:szCs w:val="20"/>
        </w:rPr>
        <w:t xml:space="preserve">ocoa production in Sierra Leone faces a significant challenge under the EU Deforestation Regulation (EUDR), which requires all cocoa to be traceable to the specific farm plot and proven deforestation-free after 31 December 2020. </w:t>
      </w:r>
      <w:r w:rsidR="00D2726C">
        <w:rPr>
          <w:rFonts w:cs="Open Sans"/>
          <w:sz w:val="20"/>
          <w:szCs w:val="20"/>
        </w:rPr>
        <w:t>In addition, t</w:t>
      </w:r>
      <w:r w:rsidR="00D2726C" w:rsidRPr="00D2726C">
        <w:rPr>
          <w:rFonts w:cs="Open Sans"/>
          <w:sz w:val="20"/>
          <w:szCs w:val="20"/>
        </w:rPr>
        <w:t>he EUDR requires products in scope to be legal according to the laws applicable in the</w:t>
      </w:r>
      <w:r w:rsidR="00D2726C">
        <w:rPr>
          <w:rFonts w:cs="Open Sans"/>
          <w:sz w:val="20"/>
          <w:szCs w:val="20"/>
        </w:rPr>
        <w:t xml:space="preserve"> </w:t>
      </w:r>
      <w:r w:rsidR="00D2726C" w:rsidRPr="00D2726C">
        <w:rPr>
          <w:rFonts w:cs="Open Sans"/>
          <w:sz w:val="20"/>
          <w:szCs w:val="20"/>
        </w:rPr>
        <w:t>country of production.</w:t>
      </w:r>
    </w:p>
    <w:p w14:paraId="08942CE3" w14:textId="77777777" w:rsidR="00D2726C" w:rsidRDefault="00D2726C" w:rsidP="00D2726C">
      <w:pPr>
        <w:rPr>
          <w:rFonts w:cs="Open Sans"/>
          <w:sz w:val="20"/>
          <w:szCs w:val="20"/>
        </w:rPr>
      </w:pPr>
    </w:p>
    <w:p w14:paraId="1BAE31AB" w14:textId="7B5BD3E9" w:rsidR="000C3047" w:rsidRDefault="000C3047" w:rsidP="000C3047">
      <w:pPr>
        <w:rPr>
          <w:rFonts w:cs="Open Sans"/>
          <w:sz w:val="20"/>
          <w:szCs w:val="20"/>
        </w:rPr>
      </w:pPr>
      <w:r>
        <w:rPr>
          <w:rFonts w:cs="Open Sans"/>
          <w:sz w:val="20"/>
          <w:szCs w:val="20"/>
        </w:rPr>
        <w:t xml:space="preserve">The structure of the cocoa sector (large number of smallholder farmers often owning several small plots) contributes to additional challenges in implementation. This has resulted in the low (&lt; </w:t>
      </w:r>
      <w:r w:rsidRPr="007176E9">
        <w:rPr>
          <w:rFonts w:cs="Open Sans"/>
          <w:sz w:val="20"/>
          <w:szCs w:val="20"/>
        </w:rPr>
        <w:t>30%</w:t>
      </w:r>
      <w:r>
        <w:rPr>
          <w:rFonts w:cs="Open Sans"/>
          <w:sz w:val="20"/>
          <w:szCs w:val="20"/>
        </w:rPr>
        <w:t>) proportion</w:t>
      </w:r>
      <w:r w:rsidRPr="007176E9">
        <w:rPr>
          <w:rFonts w:cs="Open Sans"/>
          <w:sz w:val="20"/>
          <w:szCs w:val="20"/>
        </w:rPr>
        <w:t xml:space="preserve"> of farms currently geolocated, the sector risks widespread non-compliance and potential exclusion from the EU market.</w:t>
      </w:r>
      <w:r>
        <w:rPr>
          <w:rFonts w:cs="Open Sans"/>
          <w:sz w:val="20"/>
          <w:szCs w:val="20"/>
        </w:rPr>
        <w:t xml:space="preserve"> Furthermore, a</w:t>
      </w:r>
      <w:r w:rsidRPr="007176E9">
        <w:rPr>
          <w:rFonts w:cs="Open Sans"/>
          <w:sz w:val="20"/>
          <w:szCs w:val="20"/>
        </w:rPr>
        <w:t>groforestry systems, typical in Sierra Leone, complicate compliance. These systems</w:t>
      </w:r>
      <w:r>
        <w:rPr>
          <w:rFonts w:cs="Open Sans"/>
          <w:sz w:val="20"/>
          <w:szCs w:val="20"/>
        </w:rPr>
        <w:t xml:space="preserve"> (due to high shade levels) </w:t>
      </w:r>
      <w:r w:rsidRPr="007176E9">
        <w:rPr>
          <w:rFonts w:cs="Open Sans"/>
          <w:sz w:val="20"/>
          <w:szCs w:val="20"/>
        </w:rPr>
        <w:t xml:space="preserve">often appear forested in satellite imagery, making it difficult to confirm land use status. Misclassification rates are high, up </w:t>
      </w:r>
      <w:r w:rsidRPr="007176E9">
        <w:rPr>
          <w:rFonts w:cs="Open Sans"/>
          <w:sz w:val="20"/>
          <w:szCs w:val="20"/>
        </w:rPr>
        <w:lastRenderedPageBreak/>
        <w:t xml:space="preserve">to two-thirds for agroforestry, posing a serious legal and commercial risk (van Noordwijk et al., 2025a). </w:t>
      </w:r>
      <w:r>
        <w:rPr>
          <w:rFonts w:cs="Open Sans"/>
          <w:sz w:val="20"/>
          <w:szCs w:val="20"/>
        </w:rPr>
        <w:t xml:space="preserve">This is particularly relevant for legacy or abandoned plots which may be difficult to distinguish from secondary forestry. </w:t>
      </w:r>
      <w:r w:rsidRPr="007176E9">
        <w:rPr>
          <w:rFonts w:cs="Open Sans"/>
          <w:sz w:val="20"/>
          <w:szCs w:val="20"/>
        </w:rPr>
        <w:t>To mitigate this, multiple evidence sources may be needed, including proof that trees were planted pre-2021 or that land was used for farming before the cut-off date (van Noordwijk et al., 2025b).</w:t>
      </w:r>
      <w:r>
        <w:rPr>
          <w:rFonts w:cs="Open Sans"/>
          <w:sz w:val="20"/>
          <w:szCs w:val="20"/>
        </w:rPr>
        <w:t xml:space="preserve"> </w:t>
      </w:r>
      <w:r w:rsidRPr="007176E9">
        <w:rPr>
          <w:rFonts w:cs="Open Sans"/>
          <w:sz w:val="20"/>
          <w:szCs w:val="20"/>
        </w:rPr>
        <w:t>A national push for</w:t>
      </w:r>
      <w:r>
        <w:rPr>
          <w:rFonts w:cs="Open Sans"/>
          <w:sz w:val="20"/>
          <w:szCs w:val="20"/>
        </w:rPr>
        <w:t xml:space="preserve"> (verified)</w:t>
      </w:r>
      <w:r w:rsidRPr="007176E9">
        <w:rPr>
          <w:rFonts w:cs="Open Sans"/>
          <w:sz w:val="20"/>
          <w:szCs w:val="20"/>
        </w:rPr>
        <w:t xml:space="preserve"> GIS mapping and capacity building is urgent. Without it, most exports could be blocked.</w:t>
      </w:r>
      <w:r>
        <w:rPr>
          <w:rFonts w:cs="Open Sans"/>
          <w:sz w:val="20"/>
          <w:szCs w:val="20"/>
        </w:rPr>
        <w:t xml:space="preserve"> This may make additional export markets (with less prioritization on sustainability) more attractive.</w:t>
      </w:r>
      <w:r w:rsidRPr="007176E9">
        <w:rPr>
          <w:rFonts w:cs="Open Sans"/>
          <w:sz w:val="20"/>
          <w:szCs w:val="20"/>
        </w:rPr>
        <w:t xml:space="preserve"> Additionally, compliance efforts must guard against unintended consequences like carbon leakage from poorly managed farm rejuvenation. High-resolution maps and local verification should guide any land-use changes. Strengthening traceability systems now is critical for protecting Sierra Leone’s access to premium organic cocoa markets</w:t>
      </w:r>
    </w:p>
    <w:p w14:paraId="19723035" w14:textId="77777777" w:rsidR="007176E9" w:rsidRDefault="007176E9" w:rsidP="007176E9">
      <w:pPr>
        <w:rPr>
          <w:rFonts w:cs="Open Sans"/>
          <w:sz w:val="20"/>
          <w:szCs w:val="20"/>
        </w:rPr>
      </w:pPr>
    </w:p>
    <w:p w14:paraId="57258033" w14:textId="66850DE0" w:rsidR="007176E9" w:rsidRPr="007176E9" w:rsidRDefault="007176E9" w:rsidP="007176E9">
      <w:pPr>
        <w:rPr>
          <w:rFonts w:cs="Open Sans"/>
          <w:b/>
          <w:bCs/>
          <w:sz w:val="20"/>
          <w:szCs w:val="20"/>
        </w:rPr>
      </w:pPr>
      <w:r w:rsidRPr="007176E9">
        <w:rPr>
          <w:rFonts w:cs="Open Sans"/>
          <w:b/>
          <w:bCs/>
          <w:sz w:val="20"/>
          <w:szCs w:val="20"/>
        </w:rPr>
        <w:t>Safeguarding Organic and Low-Cadmium Integrity</w:t>
      </w:r>
    </w:p>
    <w:p w14:paraId="0144E055" w14:textId="75C6CBCA" w:rsidR="00EF398D" w:rsidRPr="00781D8B" w:rsidRDefault="007176E9" w:rsidP="007176E9">
      <w:pPr>
        <w:rPr>
          <w:rFonts w:cs="Open Sans"/>
          <w:sz w:val="20"/>
          <w:szCs w:val="20"/>
        </w:rPr>
      </w:pPr>
      <w:r w:rsidRPr="007176E9">
        <w:rPr>
          <w:rFonts w:cs="Open Sans"/>
          <w:sz w:val="20"/>
          <w:szCs w:val="20"/>
        </w:rPr>
        <w:t xml:space="preserve">Sierra Leone’s low-cadmium advantage is a significant competitive differentiator, particularly against Latin American sources where geogenic contamination is a known issue. To preserve this advantage, the sector must vigorously protect its supply chain integrity. The greatest threat is cross-border contamination, often referred to as "Eviction Cocoa." The </w:t>
      </w:r>
      <w:proofErr w:type="spellStart"/>
      <w:r w:rsidRPr="007176E9">
        <w:rPr>
          <w:rFonts w:cs="Open Sans"/>
          <w:sz w:val="20"/>
          <w:szCs w:val="20"/>
        </w:rPr>
        <w:t>liberalised</w:t>
      </w:r>
      <w:proofErr w:type="spellEnd"/>
      <w:r w:rsidRPr="007176E9">
        <w:rPr>
          <w:rFonts w:cs="Open Sans"/>
          <w:sz w:val="20"/>
          <w:szCs w:val="20"/>
        </w:rPr>
        <w:t xml:space="preserve"> trading environment, coupled with price arbitrage and logistical difficulties for farmers in border regions of Liberia and Côte d'Ivoire, facilitates the unrecorded inflow of untraceable, non-compliant, and potentially non-organic cocoa. This risk is classified as High Likelihood with a Catastrophic Impact, loss of organic and EUDR status, which would alienate the high-value specialized buyers who pay premium prices. The competitive strength of the national brand (Organic/Low Cadmium) is concurrently its greatest point of vulnerability. Protecting this integrity requires both digital monitoring systems to track internal flows and physical surveillance at the borders. Furthermore, targeted investment in cadmium and soil-geochemistry mapping will provide verifiable, scientifically robust claims to reinforce the country’s low-cadmium assurance</w:t>
      </w:r>
      <w:r w:rsidR="00EF398D" w:rsidRPr="00781D8B">
        <w:rPr>
          <w:rFonts w:cs="Open Sans"/>
          <w:sz w:val="20"/>
          <w:szCs w:val="20"/>
        </w:rPr>
        <w:t xml:space="preserve">. </w:t>
      </w:r>
    </w:p>
    <w:p w14:paraId="3769D053" w14:textId="77777777" w:rsidR="00EF398D" w:rsidRPr="00781D8B" w:rsidRDefault="00EF398D" w:rsidP="002E3468">
      <w:pPr>
        <w:rPr>
          <w:rFonts w:cs="Open Sans"/>
          <w:sz w:val="20"/>
          <w:szCs w:val="20"/>
        </w:rPr>
      </w:pPr>
    </w:p>
    <w:p w14:paraId="338E7A89" w14:textId="7E34BB89" w:rsidR="002E3468" w:rsidRPr="00931347" w:rsidRDefault="002E3468" w:rsidP="00931347">
      <w:pPr>
        <w:pStyle w:val="Heading2"/>
      </w:pPr>
      <w:bookmarkStart w:id="35" w:name="_Toc204771077"/>
      <w:bookmarkStart w:id="36" w:name="_Toc228700993"/>
      <w:r w:rsidRPr="00931347">
        <w:t>Co</w:t>
      </w:r>
      <w:r w:rsidR="00E30A03">
        <w:t>coa</w:t>
      </w:r>
      <w:r w:rsidRPr="00931347">
        <w:t xml:space="preserve"> Economic</w:t>
      </w:r>
      <w:bookmarkEnd w:id="35"/>
      <w:r w:rsidR="00B55663">
        <w:t xml:space="preserve">s </w:t>
      </w:r>
      <w:r w:rsidR="00B55663" w:rsidRPr="00B55663">
        <w:t>and Market Performance</w:t>
      </w:r>
      <w:bookmarkEnd w:id="36"/>
      <w:r w:rsidRPr="00931347">
        <w:t xml:space="preserve"> </w:t>
      </w:r>
    </w:p>
    <w:p w14:paraId="7BFFA55E" w14:textId="529A45A6" w:rsidR="002E3468" w:rsidRPr="00931347" w:rsidRDefault="00B55663" w:rsidP="00931347">
      <w:pPr>
        <w:pStyle w:val="Heading3"/>
      </w:pPr>
      <w:bookmarkStart w:id="37" w:name="_Toc204771078"/>
      <w:bookmarkStart w:id="38" w:name="_Toc228700994"/>
      <w:r w:rsidRPr="00B55663">
        <w:t>Global Price Transmission and Volatility</w:t>
      </w:r>
      <w:bookmarkEnd w:id="37"/>
      <w:bookmarkEnd w:id="38"/>
      <w:r w:rsidR="002E3468" w:rsidRPr="00931347">
        <w:t xml:space="preserve"> </w:t>
      </w:r>
    </w:p>
    <w:p w14:paraId="6217771D" w14:textId="5AFC14C1" w:rsidR="00B55663" w:rsidRPr="00B55663" w:rsidRDefault="00B55663" w:rsidP="00B55663">
      <w:pPr>
        <w:pBdr>
          <w:top w:val="nil"/>
          <w:left w:val="nil"/>
          <w:bottom w:val="nil"/>
          <w:right w:val="nil"/>
          <w:between w:val="nil"/>
        </w:pBdr>
        <w:rPr>
          <w:rFonts w:eastAsia="Google Sans Text" w:cs="Open Sans"/>
          <w:sz w:val="20"/>
          <w:szCs w:val="20"/>
        </w:rPr>
      </w:pPr>
      <w:r w:rsidRPr="00B55663">
        <w:rPr>
          <w:rFonts w:eastAsia="Google Sans Text" w:cs="Open Sans"/>
          <w:sz w:val="20"/>
          <w:szCs w:val="20"/>
        </w:rPr>
        <w:t xml:space="preserve">The domestic cocoa price trajectory in Sierra Leone closely mirrors global price movements, reflecting a high degree of price transmission from international futures markets. As shown in </w:t>
      </w:r>
      <w:r w:rsidR="009962FA">
        <w:rPr>
          <w:rFonts w:eastAsia="Google Sans Text" w:cs="Open Sans"/>
          <w:sz w:val="20"/>
          <w:szCs w:val="20"/>
        </w:rPr>
        <w:fldChar w:fldCharType="begin"/>
      </w:r>
      <w:r w:rsidR="009962FA">
        <w:rPr>
          <w:rFonts w:eastAsia="Google Sans Text" w:cs="Open Sans"/>
          <w:sz w:val="20"/>
          <w:szCs w:val="20"/>
        </w:rPr>
        <w:instrText xml:space="preserve"> REF _Ref227055630 \h </w:instrText>
      </w:r>
      <w:r w:rsidR="009962FA">
        <w:rPr>
          <w:rFonts w:eastAsia="Google Sans Text" w:cs="Open Sans"/>
          <w:sz w:val="20"/>
          <w:szCs w:val="20"/>
        </w:rPr>
      </w:r>
      <w:r w:rsidR="009962FA">
        <w:rPr>
          <w:rFonts w:eastAsia="Google Sans Text" w:cs="Open Sans"/>
          <w:sz w:val="20"/>
          <w:szCs w:val="20"/>
        </w:rPr>
        <w:fldChar w:fldCharType="separate"/>
      </w:r>
      <w:r w:rsidR="009962FA" w:rsidRPr="009962FA">
        <w:rPr>
          <w:lang w:val="en-GB"/>
        </w:rPr>
        <w:t xml:space="preserve">Figure </w:t>
      </w:r>
      <w:r w:rsidR="009962FA" w:rsidRPr="009962FA">
        <w:rPr>
          <w:noProof/>
          <w:lang w:val="en-GB"/>
        </w:rPr>
        <w:t>1</w:t>
      </w:r>
      <w:r w:rsidR="009962FA" w:rsidRPr="009962FA">
        <w:rPr>
          <w:lang w:val="en-GB"/>
        </w:rPr>
        <w:t>.</w:t>
      </w:r>
      <w:r w:rsidR="009962FA" w:rsidRPr="009962FA">
        <w:rPr>
          <w:noProof/>
          <w:lang w:val="en-GB"/>
        </w:rPr>
        <w:t>5</w:t>
      </w:r>
      <w:r w:rsidR="009962FA">
        <w:rPr>
          <w:rFonts w:eastAsia="Google Sans Text" w:cs="Open Sans"/>
          <w:sz w:val="20"/>
          <w:szCs w:val="20"/>
        </w:rPr>
        <w:fldChar w:fldCharType="end"/>
      </w:r>
      <w:r w:rsidRPr="00B55663">
        <w:rPr>
          <w:rFonts w:eastAsia="Google Sans Text" w:cs="Open Sans"/>
          <w:sz w:val="20"/>
          <w:szCs w:val="20"/>
        </w:rPr>
        <w:fldChar w:fldCharType="begin"/>
      </w:r>
      <w:r w:rsidRPr="00B55663">
        <w:rPr>
          <w:rFonts w:eastAsia="Google Sans Text" w:cs="Open Sans"/>
          <w:sz w:val="20"/>
          <w:szCs w:val="20"/>
        </w:rPr>
        <w:instrText xml:space="preserve"> REF _Ref216198665 \h  \* MERGEFORMAT </w:instrText>
      </w:r>
      <w:r w:rsidRPr="00B55663">
        <w:rPr>
          <w:rFonts w:eastAsia="Google Sans Text" w:cs="Open Sans"/>
          <w:sz w:val="20"/>
          <w:szCs w:val="20"/>
        </w:rPr>
      </w:r>
      <w:r w:rsidRPr="00B55663">
        <w:rPr>
          <w:rFonts w:eastAsia="Google Sans Text" w:cs="Open Sans"/>
          <w:sz w:val="20"/>
          <w:szCs w:val="20"/>
        </w:rPr>
        <w:fldChar w:fldCharType="separate"/>
      </w:r>
      <w:r w:rsidRPr="00B55663">
        <w:rPr>
          <w:rFonts w:eastAsia="Google Sans Text" w:cs="Open Sans"/>
          <w:sz w:val="20"/>
          <w:szCs w:val="20"/>
        </w:rPr>
        <w:fldChar w:fldCharType="end"/>
      </w:r>
      <w:r w:rsidRPr="00B55663">
        <w:rPr>
          <w:rFonts w:eastAsia="Google Sans Text" w:cs="Open Sans"/>
          <w:sz w:val="20"/>
          <w:szCs w:val="20"/>
        </w:rPr>
        <w:t xml:space="preserve">, Sierra Leone’s monthly farm-gate price series for 2023–2025 tracks the pronounced fluctuations observed on the Intercontinental Exchange (ICE), where cocoa futures act as the global benchmark for pricing. </w:t>
      </w:r>
      <w:r w:rsidR="009962FA">
        <w:rPr>
          <w:rFonts w:eastAsia="Google Sans Text" w:cs="Open Sans"/>
          <w:sz w:val="20"/>
          <w:szCs w:val="20"/>
        </w:rPr>
        <w:fldChar w:fldCharType="begin"/>
      </w:r>
      <w:r w:rsidR="009962FA">
        <w:rPr>
          <w:rFonts w:eastAsia="Google Sans Text" w:cs="Open Sans"/>
          <w:sz w:val="20"/>
          <w:szCs w:val="20"/>
        </w:rPr>
        <w:instrText xml:space="preserve"> REF _Ref227055658 \h </w:instrText>
      </w:r>
      <w:r w:rsidR="009962FA">
        <w:rPr>
          <w:rFonts w:eastAsia="Google Sans Text" w:cs="Open Sans"/>
          <w:sz w:val="20"/>
          <w:szCs w:val="20"/>
        </w:rPr>
      </w:r>
      <w:r w:rsidR="009962FA">
        <w:rPr>
          <w:rFonts w:eastAsia="Google Sans Text" w:cs="Open Sans"/>
          <w:sz w:val="20"/>
          <w:szCs w:val="20"/>
        </w:rPr>
        <w:fldChar w:fldCharType="separate"/>
      </w:r>
      <w:r w:rsidR="009962FA">
        <w:t xml:space="preserve">Figure </w:t>
      </w:r>
      <w:r w:rsidR="009962FA">
        <w:rPr>
          <w:noProof/>
        </w:rPr>
        <w:t>1</w:t>
      </w:r>
      <w:r w:rsidR="009962FA">
        <w:t>.</w:t>
      </w:r>
      <w:r w:rsidR="009962FA">
        <w:rPr>
          <w:noProof/>
        </w:rPr>
        <w:t>6</w:t>
      </w:r>
      <w:r w:rsidR="009962FA">
        <w:rPr>
          <w:rFonts w:eastAsia="Google Sans Text" w:cs="Open Sans"/>
          <w:sz w:val="20"/>
          <w:szCs w:val="20"/>
        </w:rPr>
        <w:fldChar w:fldCharType="end"/>
      </w:r>
      <w:r w:rsidRPr="00B55663">
        <w:rPr>
          <w:rFonts w:eastAsia="Google Sans Text" w:cs="Open Sans"/>
          <w:sz w:val="20"/>
          <w:szCs w:val="20"/>
        </w:rPr>
        <w:t xml:space="preserve"> reinforces this pattern: both the New York and London ICE contracts display an exceptional surge in 2024, with prices exceeding 9,500 dollars per </w:t>
      </w:r>
      <w:proofErr w:type="spellStart"/>
      <w:r w:rsidRPr="00B55663">
        <w:rPr>
          <w:rFonts w:eastAsia="Google Sans Text" w:cs="Open Sans"/>
          <w:sz w:val="20"/>
          <w:szCs w:val="20"/>
        </w:rPr>
        <w:t>tonne</w:t>
      </w:r>
      <w:proofErr w:type="spellEnd"/>
      <w:r w:rsidRPr="00B55663">
        <w:rPr>
          <w:rFonts w:eastAsia="Google Sans Text" w:cs="Open Sans"/>
          <w:sz w:val="20"/>
          <w:szCs w:val="20"/>
        </w:rPr>
        <w:t xml:space="preserve"> in March 2024 before oscillating at historically elevated levels. The close alignment of domestic and international price movements suggests that local market fundamentals play only a limited role in determining prices. Instead, Sierra Leone’s cocoa sector is effectively price-taking, with volatility transmitted directly from global markets.</w:t>
      </w:r>
    </w:p>
    <w:p w14:paraId="39418D5F" w14:textId="77777777" w:rsidR="00B55663" w:rsidRPr="00757903" w:rsidRDefault="00B55663" w:rsidP="00B55663">
      <w:pPr>
        <w:pBdr>
          <w:top w:val="nil"/>
          <w:left w:val="nil"/>
          <w:bottom w:val="nil"/>
          <w:right w:val="nil"/>
          <w:between w:val="nil"/>
        </w:pBdr>
        <w:spacing w:line="275" w:lineRule="auto"/>
        <w:rPr>
          <w:rFonts w:ascii="Google Sans Text" w:eastAsia="Google Sans Text" w:hAnsi="Google Sans Text" w:cs="Google Sans Text"/>
        </w:rPr>
      </w:pPr>
    </w:p>
    <w:p w14:paraId="2116908D" w14:textId="77777777" w:rsidR="006F6140" w:rsidRDefault="00B55663" w:rsidP="006F6140">
      <w:pPr>
        <w:keepNext/>
        <w:pBdr>
          <w:top w:val="nil"/>
          <w:left w:val="nil"/>
          <w:bottom w:val="nil"/>
          <w:right w:val="nil"/>
          <w:between w:val="nil"/>
        </w:pBdr>
        <w:spacing w:line="275" w:lineRule="auto"/>
        <w:jc w:val="center"/>
      </w:pPr>
      <w:r w:rsidRPr="00757903">
        <w:rPr>
          <w:rFonts w:ascii="Google Sans Text" w:eastAsia="Google Sans Text" w:hAnsi="Google Sans Text" w:cs="Google Sans Text"/>
          <w:noProof/>
          <w14:ligatures w14:val="standardContextual"/>
        </w:rPr>
        <w:lastRenderedPageBreak/>
        <w:drawing>
          <wp:inline distT="0" distB="0" distL="0" distR="0" wp14:anchorId="3EA530E1" wp14:editId="625107B8">
            <wp:extent cx="4679950" cy="2321475"/>
            <wp:effectExtent l="0" t="0" r="6350" b="3175"/>
            <wp:docPr id="2133109206" name="Picture 4" descr="A graph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09206" name="Picture 4" descr="A graph showing different colored lin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89399" cy="2326162"/>
                    </a:xfrm>
                    <a:prstGeom prst="rect">
                      <a:avLst/>
                    </a:prstGeom>
                  </pic:spPr>
                </pic:pic>
              </a:graphicData>
            </a:graphic>
          </wp:inline>
        </w:drawing>
      </w:r>
    </w:p>
    <w:p w14:paraId="22D93654" w14:textId="304553F1" w:rsidR="00B55663" w:rsidRPr="006F6140" w:rsidRDefault="006F6140" w:rsidP="006F6140">
      <w:pPr>
        <w:pStyle w:val="Caption"/>
        <w:jc w:val="center"/>
        <w:rPr>
          <w:lang w:val="it-IT"/>
        </w:rPr>
      </w:pPr>
      <w:bookmarkStart w:id="39" w:name="_Ref227055630"/>
      <w:bookmarkStart w:id="40" w:name="_Toc228701102"/>
      <w:r w:rsidRPr="006F6140">
        <w:rPr>
          <w:lang w:val="it-IT"/>
        </w:rPr>
        <w:t xml:space="preserve">Figure </w:t>
      </w:r>
      <w:r w:rsidR="007306EC">
        <w:rPr>
          <w:lang w:val="it-IT"/>
        </w:rPr>
        <w:fldChar w:fldCharType="begin"/>
      </w:r>
      <w:r w:rsidR="007306EC">
        <w:rPr>
          <w:lang w:val="it-IT"/>
        </w:rPr>
        <w:instrText xml:space="preserve"> STYLEREF 1 \s </w:instrText>
      </w:r>
      <w:r w:rsidR="007306EC">
        <w:rPr>
          <w:lang w:val="it-IT"/>
        </w:rPr>
        <w:fldChar w:fldCharType="separate"/>
      </w:r>
      <w:r w:rsidR="007306EC">
        <w:rPr>
          <w:noProof/>
          <w:lang w:val="it-IT"/>
        </w:rPr>
        <w:t>1</w:t>
      </w:r>
      <w:r w:rsidR="007306EC">
        <w:rPr>
          <w:lang w:val="it-IT"/>
        </w:rPr>
        <w:fldChar w:fldCharType="end"/>
      </w:r>
      <w:r w:rsidR="007306EC">
        <w:rPr>
          <w:lang w:val="it-IT"/>
        </w:rPr>
        <w:noBreakHyphen/>
      </w:r>
      <w:r w:rsidR="007306EC">
        <w:rPr>
          <w:lang w:val="it-IT"/>
        </w:rPr>
        <w:fldChar w:fldCharType="begin"/>
      </w:r>
      <w:r w:rsidR="007306EC">
        <w:rPr>
          <w:lang w:val="it-IT"/>
        </w:rPr>
        <w:instrText xml:space="preserve"> SEQ Figure \* ARABIC \s 1 </w:instrText>
      </w:r>
      <w:r w:rsidR="007306EC">
        <w:rPr>
          <w:lang w:val="it-IT"/>
        </w:rPr>
        <w:fldChar w:fldCharType="separate"/>
      </w:r>
      <w:r w:rsidR="007306EC">
        <w:rPr>
          <w:noProof/>
          <w:lang w:val="it-IT"/>
        </w:rPr>
        <w:t>6</w:t>
      </w:r>
      <w:r w:rsidR="007306EC">
        <w:rPr>
          <w:lang w:val="it-IT"/>
        </w:rPr>
        <w:fldChar w:fldCharType="end"/>
      </w:r>
      <w:bookmarkEnd w:id="39"/>
      <w:r w:rsidRPr="006F6140">
        <w:rPr>
          <w:lang w:val="it-IT"/>
        </w:rPr>
        <w:t xml:space="preserve"> SIERRA LEONE COCOA PRICE TREND ($ PER TONNE), 2023–2025</w:t>
      </w:r>
      <w:bookmarkEnd w:id="40"/>
    </w:p>
    <w:p w14:paraId="56D1068E" w14:textId="77777777" w:rsidR="006F6140" w:rsidRPr="007F6686" w:rsidRDefault="006F6140" w:rsidP="007F6686">
      <w:r w:rsidRPr="007F6686">
        <w:t>Source: Sierra Leone Producer Monitoring Board (PMB)</w:t>
      </w:r>
    </w:p>
    <w:p w14:paraId="492BD240" w14:textId="77777777" w:rsidR="006F6140" w:rsidRDefault="006F6140" w:rsidP="006F6140">
      <w:pPr>
        <w:ind w:firstLine="720"/>
        <w:rPr>
          <w:rFonts w:eastAsiaTheme="minorEastAsia"/>
          <w:bCs/>
          <w:smallCaps/>
          <w:spacing w:val="6"/>
          <w:sz w:val="20"/>
          <w:szCs w:val="18"/>
          <w:lang w:bidi="hi-IN"/>
        </w:rPr>
      </w:pPr>
    </w:p>
    <w:p w14:paraId="41723E69" w14:textId="77777777" w:rsidR="006F6140" w:rsidRPr="006F6140" w:rsidRDefault="006F6140" w:rsidP="006F6140">
      <w:pPr>
        <w:rPr>
          <w:lang w:bidi="hi-IN"/>
        </w:rPr>
      </w:pPr>
    </w:p>
    <w:p w14:paraId="1011A93B" w14:textId="77777777" w:rsidR="006F6140" w:rsidRDefault="00B55663" w:rsidP="006F6140">
      <w:pPr>
        <w:keepNext/>
        <w:pBdr>
          <w:top w:val="nil"/>
          <w:left w:val="nil"/>
          <w:bottom w:val="nil"/>
          <w:right w:val="nil"/>
          <w:between w:val="nil"/>
        </w:pBdr>
        <w:spacing w:line="275" w:lineRule="auto"/>
        <w:jc w:val="center"/>
      </w:pPr>
      <w:r w:rsidRPr="00757903">
        <w:rPr>
          <w:rFonts w:ascii="Google Sans Text" w:eastAsia="Google Sans Text" w:hAnsi="Google Sans Text" w:cs="Google Sans Text"/>
          <w:noProof/>
        </w:rPr>
        <w:drawing>
          <wp:inline distT="0" distB="0" distL="0" distR="0" wp14:anchorId="59A211D5" wp14:editId="3992F91D">
            <wp:extent cx="4575088" cy="2635250"/>
            <wp:effectExtent l="0" t="0" r="0" b="0"/>
            <wp:docPr id="5" name="Picture 4" descr="A graph of a graph with numbers and a line&#10;&#10;AI-generated content may be incorrect.">
              <a:extLst xmlns:a="http://schemas.openxmlformats.org/drawingml/2006/main">
                <a:ext uri="{FF2B5EF4-FFF2-40B4-BE49-F238E27FC236}">
                  <a16:creationId xmlns:a16="http://schemas.microsoft.com/office/drawing/2014/main" id="{F6E745E2-8C27-1C92-817A-A57D77994F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graph with numbers and a line&#10;&#10;AI-generated content may be incorrect.">
                      <a:extLst>
                        <a:ext uri="{FF2B5EF4-FFF2-40B4-BE49-F238E27FC236}">
                          <a16:creationId xmlns:a16="http://schemas.microsoft.com/office/drawing/2014/main" id="{F6E745E2-8C27-1C92-817A-A57D77994FAE}"/>
                        </a:ext>
                      </a:extLst>
                    </pic:cNvPr>
                    <pic:cNvPicPr>
                      <a:picLocks noChangeAspect="1"/>
                    </pic:cNvPicPr>
                  </pic:nvPicPr>
                  <pic:blipFill>
                    <a:blip r:embed="rId26"/>
                    <a:stretch>
                      <a:fillRect/>
                    </a:stretch>
                  </pic:blipFill>
                  <pic:spPr>
                    <a:xfrm>
                      <a:off x="0" y="0"/>
                      <a:ext cx="4580361" cy="2638287"/>
                    </a:xfrm>
                    <a:prstGeom prst="rect">
                      <a:avLst/>
                    </a:prstGeom>
                  </pic:spPr>
                </pic:pic>
              </a:graphicData>
            </a:graphic>
          </wp:inline>
        </w:drawing>
      </w:r>
    </w:p>
    <w:p w14:paraId="3851250F" w14:textId="1A505988" w:rsidR="00B55663" w:rsidRPr="00757903" w:rsidRDefault="006F6140" w:rsidP="006F6140">
      <w:pPr>
        <w:pStyle w:val="Caption"/>
        <w:jc w:val="center"/>
      </w:pPr>
      <w:bookmarkStart w:id="41" w:name="_Ref227055658"/>
      <w:bookmarkStart w:id="42" w:name="_Toc228701103"/>
      <w:r>
        <w:t xml:space="preserve">Figure </w:t>
      </w:r>
      <w:fldSimple w:instr=" STYLEREF 1 \s ">
        <w:r w:rsidR="007306EC">
          <w:rPr>
            <w:noProof/>
          </w:rPr>
          <w:t>1</w:t>
        </w:r>
      </w:fldSimple>
      <w:r w:rsidR="007306EC">
        <w:noBreakHyphen/>
      </w:r>
      <w:fldSimple w:instr=" SEQ Figure \* ARABIC \s 1 ">
        <w:r w:rsidR="007306EC">
          <w:rPr>
            <w:noProof/>
          </w:rPr>
          <w:t>7</w:t>
        </w:r>
      </w:fldSimple>
      <w:bookmarkEnd w:id="41"/>
      <w:r>
        <w:t xml:space="preserve"> </w:t>
      </w:r>
      <w:r w:rsidRPr="005B1D97">
        <w:t>GLOBAL PRICE: COCOA FUTURES PRICES, IN USD PER TON</w:t>
      </w:r>
      <w:r>
        <w:t>NE</w:t>
      </w:r>
      <w:bookmarkEnd w:id="42"/>
    </w:p>
    <w:p w14:paraId="2E504C8F" w14:textId="5995D793" w:rsidR="006F6140" w:rsidRPr="007F6686" w:rsidRDefault="006F6140" w:rsidP="007F6686">
      <w:pPr>
        <w:jc w:val="left"/>
      </w:pPr>
      <w:r w:rsidRPr="007F6686">
        <w:t>SOURCE: PRICEPEDIA; NEW YORK AND LONDON COCOA FUTURES PRICES, QUOTED ON THE INTERCONTINENTAL EXCHANGE (ICE) FINANCIAL EXCHANGE.</w:t>
      </w:r>
    </w:p>
    <w:p w14:paraId="2A6F5A2F" w14:textId="77777777" w:rsidR="006F6140" w:rsidRDefault="006F6140" w:rsidP="00B55663">
      <w:pPr>
        <w:pBdr>
          <w:top w:val="nil"/>
          <w:left w:val="nil"/>
          <w:bottom w:val="nil"/>
          <w:right w:val="nil"/>
          <w:between w:val="nil"/>
        </w:pBdr>
        <w:rPr>
          <w:rFonts w:eastAsia="Google Sans Text" w:cs="Open Sans"/>
          <w:sz w:val="20"/>
          <w:szCs w:val="20"/>
        </w:rPr>
      </w:pPr>
    </w:p>
    <w:p w14:paraId="651266EE" w14:textId="104461F9" w:rsidR="00B55663" w:rsidRPr="00B55663" w:rsidRDefault="00B55663" w:rsidP="00B55663">
      <w:pPr>
        <w:pBdr>
          <w:top w:val="nil"/>
          <w:left w:val="nil"/>
          <w:bottom w:val="nil"/>
          <w:right w:val="nil"/>
          <w:between w:val="nil"/>
        </w:pBdr>
        <w:rPr>
          <w:rFonts w:eastAsia="Google Sans Text" w:cs="Open Sans"/>
          <w:sz w:val="20"/>
          <w:szCs w:val="20"/>
        </w:rPr>
      </w:pPr>
      <w:r w:rsidRPr="00B55663">
        <w:rPr>
          <w:rFonts w:eastAsia="Google Sans Text" w:cs="Open Sans"/>
          <w:sz w:val="20"/>
          <w:szCs w:val="20"/>
        </w:rPr>
        <w:t xml:space="preserve">The extreme 2024 price spike was driven by deep supply shortfalls in Côte d’Ivoire and Ghana, where disease pressures, ageing tree stock, and adverse weather sharply reduced output. Although such conditions briefly improved nominal farm-gate prices in Sierra Leone, the benefits to smallholders were structurally constrained. Decades of low and unstable producer prices have weakened farmers’ financial resilience, while limited farm investment has resulted in declining productivity and smaller marketable surpluses. Consequently, many farmers had reduced volumes to sell precisely when global prices reached historic highs. </w:t>
      </w:r>
    </w:p>
    <w:p w14:paraId="197811EB" w14:textId="0E03B0E0" w:rsidR="00B55663" w:rsidRPr="00B55663" w:rsidRDefault="00B55663" w:rsidP="00B55663">
      <w:pPr>
        <w:rPr>
          <w:rFonts w:cs="Open Sans"/>
          <w:sz w:val="20"/>
          <w:szCs w:val="20"/>
        </w:rPr>
      </w:pPr>
      <w:r w:rsidRPr="00B55663">
        <w:rPr>
          <w:rFonts w:eastAsia="Google Sans Text" w:cs="Open Sans"/>
          <w:sz w:val="20"/>
          <w:szCs w:val="20"/>
        </w:rPr>
        <w:t xml:space="preserve">Moreover, Sierra Leone’s </w:t>
      </w:r>
      <w:proofErr w:type="spellStart"/>
      <w:r w:rsidRPr="00B55663">
        <w:rPr>
          <w:rFonts w:eastAsia="Google Sans Text" w:cs="Open Sans"/>
          <w:sz w:val="20"/>
          <w:szCs w:val="20"/>
        </w:rPr>
        <w:t>liberalised</w:t>
      </w:r>
      <w:proofErr w:type="spellEnd"/>
      <w:r w:rsidRPr="00B55663">
        <w:rPr>
          <w:rFonts w:eastAsia="Google Sans Text" w:cs="Open Sans"/>
          <w:sz w:val="20"/>
          <w:szCs w:val="20"/>
        </w:rPr>
        <w:t xml:space="preserve"> marketing system amplifies exposure to global volatility. Smallholders often rely on advances from local agents, which </w:t>
      </w:r>
      <w:proofErr w:type="gramStart"/>
      <w:r w:rsidRPr="00B55663">
        <w:rPr>
          <w:rFonts w:eastAsia="Google Sans Text" w:cs="Open Sans"/>
          <w:sz w:val="20"/>
          <w:szCs w:val="20"/>
        </w:rPr>
        <w:t>erodes</w:t>
      </w:r>
      <w:proofErr w:type="gramEnd"/>
      <w:r w:rsidRPr="00B55663">
        <w:rPr>
          <w:rFonts w:eastAsia="Google Sans Text" w:cs="Open Sans"/>
          <w:sz w:val="20"/>
          <w:szCs w:val="20"/>
        </w:rPr>
        <w:t xml:space="preserve"> their bargaining power and </w:t>
      </w:r>
      <w:proofErr w:type="gramStart"/>
      <w:r w:rsidRPr="00B55663">
        <w:rPr>
          <w:rFonts w:eastAsia="Google Sans Text" w:cs="Open Sans"/>
          <w:sz w:val="20"/>
          <w:szCs w:val="20"/>
        </w:rPr>
        <w:t>forces</w:t>
      </w:r>
      <w:proofErr w:type="gramEnd"/>
      <w:r w:rsidRPr="00B55663">
        <w:rPr>
          <w:rFonts w:eastAsia="Google Sans Text" w:cs="Open Sans"/>
          <w:sz w:val="20"/>
          <w:szCs w:val="20"/>
        </w:rPr>
        <w:t xml:space="preserve"> them to sell quickly, regardless of price cycles. As a result, even when international prices rise sharply, the pass-through to sustainable </w:t>
      </w:r>
      <w:proofErr w:type="gramStart"/>
      <w:r w:rsidRPr="00B55663">
        <w:rPr>
          <w:rFonts w:eastAsia="Google Sans Text" w:cs="Open Sans"/>
          <w:sz w:val="20"/>
          <w:szCs w:val="20"/>
        </w:rPr>
        <w:t>producer</w:t>
      </w:r>
      <w:proofErr w:type="gramEnd"/>
      <w:r w:rsidRPr="00B55663">
        <w:rPr>
          <w:rFonts w:eastAsia="Google Sans Text" w:cs="Open Sans"/>
          <w:sz w:val="20"/>
          <w:szCs w:val="20"/>
        </w:rPr>
        <w:t xml:space="preserve"> returns remains weak. The partial correction observed in 2025, as futures prices retreat with improving global production prospects, underscores the structural vulnerability of producers who lack mechanisms to smooth income across volatile cycles. Strengthening collective marketing through cooperatives, promoting long-</w:t>
      </w:r>
      <w:r w:rsidRPr="00B55663">
        <w:rPr>
          <w:rFonts w:eastAsia="Google Sans Text" w:cs="Open Sans"/>
          <w:sz w:val="20"/>
          <w:szCs w:val="20"/>
        </w:rPr>
        <w:lastRenderedPageBreak/>
        <w:t>term direct-sales contracts, and improving access to finance are critical steps to ensure that Sierra Leonean farmers capture more value during price booms and are better protected during downturns.</w:t>
      </w:r>
    </w:p>
    <w:p w14:paraId="48F0FD60" w14:textId="0745AD2C" w:rsidR="002E3468" w:rsidRPr="00931347" w:rsidRDefault="00B55663" w:rsidP="00931347">
      <w:pPr>
        <w:pStyle w:val="Heading3"/>
      </w:pPr>
      <w:bookmarkStart w:id="43" w:name="_Toc204771079"/>
      <w:bookmarkStart w:id="44" w:name="_Toc228700995"/>
      <w:r w:rsidRPr="00B55663">
        <w:t>Contribution of Cocoa to Public Revenues</w:t>
      </w:r>
      <w:bookmarkEnd w:id="43"/>
      <w:bookmarkEnd w:id="44"/>
      <w:r w:rsidR="002E3468" w:rsidRPr="00931347">
        <w:t xml:space="preserve"> </w:t>
      </w:r>
    </w:p>
    <w:p w14:paraId="28BD6BDC" w14:textId="29ED48F5" w:rsidR="00B55663" w:rsidRPr="00B55663" w:rsidRDefault="00B55663" w:rsidP="00B55663">
      <w:pPr>
        <w:pBdr>
          <w:top w:val="nil"/>
          <w:left w:val="nil"/>
          <w:bottom w:val="nil"/>
          <w:right w:val="nil"/>
          <w:between w:val="nil"/>
        </w:pBdr>
        <w:rPr>
          <w:rFonts w:eastAsia="Google Sans Text" w:cs="Open Sans"/>
          <w:sz w:val="20"/>
          <w:szCs w:val="20"/>
          <w:vertAlign w:val="superscript"/>
        </w:rPr>
      </w:pPr>
      <w:r w:rsidRPr="00B55663">
        <w:rPr>
          <w:rFonts w:eastAsia="Google Sans Text" w:cs="Open Sans"/>
          <w:sz w:val="20"/>
          <w:szCs w:val="20"/>
        </w:rPr>
        <w:t>Cocoa is a vital contributor to public finances, primarily through its foreign exchange earnings. Direct public revenues are generated through various mechanisms, including export levies, taxes, and licensing fees administered by the Produce Monitoring Board (PMB).</w:t>
      </w:r>
    </w:p>
    <w:p w14:paraId="7382BEBD" w14:textId="444B3D58" w:rsidR="00BF26A6" w:rsidRPr="00781D8B" w:rsidRDefault="00B55663" w:rsidP="00B55663">
      <w:pPr>
        <w:pBdr>
          <w:top w:val="nil"/>
          <w:left w:val="nil"/>
          <w:bottom w:val="nil"/>
          <w:right w:val="nil"/>
          <w:between w:val="nil"/>
        </w:pBdr>
        <w:rPr>
          <w:rFonts w:eastAsia="Aptos" w:cs="Open Sans"/>
          <w:sz w:val="20"/>
          <w:szCs w:val="20"/>
        </w:rPr>
      </w:pPr>
      <w:r w:rsidRPr="00B55663">
        <w:rPr>
          <w:rFonts w:eastAsia="Google Sans Text" w:cs="Open Sans"/>
          <w:sz w:val="20"/>
          <w:szCs w:val="20"/>
        </w:rPr>
        <w:t>However, the significant and unquantified volume of informal trade, including domestic side-selling and cross-border inflows, particularly with Liberia and Guinea, results in substantial leakage of public revenue.</w:t>
      </w:r>
      <w:r w:rsidRPr="00B55663">
        <w:rPr>
          <w:rFonts w:eastAsia="Google Sans Text" w:cs="Open Sans"/>
          <w:sz w:val="20"/>
          <w:szCs w:val="20"/>
          <w:vertAlign w:val="superscript"/>
        </w:rPr>
        <w:t xml:space="preserve"> </w:t>
      </w:r>
      <w:r w:rsidRPr="00B55663">
        <w:rPr>
          <w:rFonts w:eastAsia="Google Sans Text" w:cs="Open Sans"/>
          <w:sz w:val="20"/>
          <w:szCs w:val="20"/>
        </w:rPr>
        <w:t>Export duties and various value-added taxes are bypassed when cocoa moves through informal channels, diminishing the state's legitimate fiscal intake. Therefore, strengthening the formal value chain through mandatory digital traceability and improving payment speed and transparency is not merely a compliance measure; it is a critical fiscal tool that enhances legitimate state revenue, which can subsequently be reinvested into essential public goods such as the Sierra Leone Agricultural Research Institute (SLARI) and rural infrastructure development.</w:t>
      </w:r>
      <w:r w:rsidR="002E3468" w:rsidRPr="00781D8B">
        <w:rPr>
          <w:rFonts w:eastAsia="Aptos" w:cs="Open Sans"/>
          <w:sz w:val="20"/>
          <w:szCs w:val="20"/>
        </w:rPr>
        <w:t xml:space="preserve"> </w:t>
      </w:r>
    </w:p>
    <w:p w14:paraId="5341F2A6" w14:textId="76F46071" w:rsidR="000514D1" w:rsidRPr="00931347" w:rsidRDefault="00B55663" w:rsidP="000514D1">
      <w:pPr>
        <w:pStyle w:val="Heading3"/>
      </w:pPr>
      <w:bookmarkStart w:id="45" w:name="_Toc228700996"/>
      <w:r w:rsidRPr="00B55663">
        <w:t>International buyer priorities</w:t>
      </w:r>
      <w:bookmarkEnd w:id="45"/>
    </w:p>
    <w:p w14:paraId="21B47DC1" w14:textId="381EF177" w:rsidR="00B55663" w:rsidRDefault="00B55663" w:rsidP="00B55663">
      <w:pPr>
        <w:pBdr>
          <w:top w:val="nil"/>
          <w:left w:val="nil"/>
          <w:bottom w:val="nil"/>
          <w:right w:val="nil"/>
          <w:between w:val="nil"/>
        </w:pBdr>
        <w:rPr>
          <w:rFonts w:eastAsia="Google Sans Text" w:cs="Open Sans"/>
          <w:sz w:val="20"/>
          <w:szCs w:val="20"/>
        </w:rPr>
      </w:pPr>
      <w:r w:rsidRPr="00B55663">
        <w:rPr>
          <w:rFonts w:eastAsia="Google Sans Text" w:cs="Open Sans"/>
          <w:sz w:val="20"/>
          <w:szCs w:val="20"/>
        </w:rPr>
        <w:t xml:space="preserve">Organic cocoa buyers typically have a set of priorities that go beyond just quality.  In the first instance, Cocoa must meet </w:t>
      </w:r>
      <w:proofErr w:type="spellStart"/>
      <w:r w:rsidRPr="00B55663">
        <w:rPr>
          <w:rFonts w:eastAsia="Google Sans Text" w:cs="Open Sans"/>
          <w:sz w:val="20"/>
          <w:szCs w:val="20"/>
        </w:rPr>
        <w:t>recognised</w:t>
      </w:r>
      <w:proofErr w:type="spellEnd"/>
      <w:r w:rsidRPr="00B55663">
        <w:rPr>
          <w:rFonts w:eastAsia="Google Sans Text" w:cs="Open Sans"/>
          <w:sz w:val="20"/>
          <w:szCs w:val="20"/>
        </w:rPr>
        <w:t xml:space="preserve"> organic standards (e.g., EU Organic, USDA Organic) without the use of synthetic pesticides, herbicides, or fertilizers. Additionally, proper documentation and traceability from farm to export is required to evidence compliance. The ability to trace beans back to the farm or cooperative, including documentation of both</w:t>
      </w:r>
      <w:r w:rsidRPr="00B55663">
        <w:rPr>
          <w:rFonts w:eastAsia="Google Sans Text" w:cs="Open Sans"/>
          <w:b/>
          <w:bCs/>
          <w:i/>
          <w:iCs/>
          <w:sz w:val="20"/>
          <w:szCs w:val="20"/>
        </w:rPr>
        <w:t xml:space="preserve"> </w:t>
      </w:r>
      <w:r w:rsidRPr="00B55663">
        <w:rPr>
          <w:rFonts w:eastAsia="Google Sans Text" w:cs="Open Sans"/>
          <w:sz w:val="20"/>
          <w:szCs w:val="20"/>
        </w:rPr>
        <w:t>farming practices and supply chain integrity, is expected to facilitate third-party sustainability certification (and auditability) or verification where applicable (</w:t>
      </w:r>
      <w:proofErr w:type="spellStart"/>
      <w:r w:rsidRPr="00B55663">
        <w:rPr>
          <w:rFonts w:eastAsia="Google Sans Text" w:cs="Open Sans"/>
          <w:sz w:val="20"/>
          <w:szCs w:val="20"/>
        </w:rPr>
        <w:t>Krumbiegel</w:t>
      </w:r>
      <w:proofErr w:type="spellEnd"/>
      <w:r w:rsidRPr="00B55663">
        <w:rPr>
          <w:rFonts w:eastAsia="Google Sans Text" w:cs="Open Sans"/>
          <w:sz w:val="20"/>
          <w:szCs w:val="20"/>
        </w:rPr>
        <w:t xml:space="preserve"> and Tillie, 2024). There is an emerging emphasis on agroforestry integration and biodiversity conservation with a participative and/or co-creative approach to communities (another potential for Sierra Leone to establish a niche).</w:t>
      </w:r>
    </w:p>
    <w:p w14:paraId="630EED79" w14:textId="77777777" w:rsidR="00D2726C" w:rsidRPr="00B55663" w:rsidRDefault="00D2726C" w:rsidP="00B55663">
      <w:pPr>
        <w:pBdr>
          <w:top w:val="nil"/>
          <w:left w:val="nil"/>
          <w:bottom w:val="nil"/>
          <w:right w:val="nil"/>
          <w:between w:val="nil"/>
        </w:pBdr>
        <w:rPr>
          <w:rFonts w:eastAsia="Google Sans Text" w:cs="Open Sans"/>
          <w:sz w:val="20"/>
          <w:szCs w:val="20"/>
        </w:rPr>
      </w:pPr>
    </w:p>
    <w:p w14:paraId="2449298F" w14:textId="77777777" w:rsidR="00B55663" w:rsidRDefault="00B55663" w:rsidP="00B55663">
      <w:pPr>
        <w:pBdr>
          <w:top w:val="nil"/>
          <w:left w:val="nil"/>
          <w:bottom w:val="nil"/>
          <w:right w:val="nil"/>
          <w:between w:val="nil"/>
        </w:pBdr>
        <w:rPr>
          <w:rFonts w:eastAsia="Google Sans Text" w:cs="Open Sans"/>
          <w:sz w:val="20"/>
          <w:szCs w:val="20"/>
        </w:rPr>
      </w:pPr>
      <w:r w:rsidRPr="00B55663">
        <w:rPr>
          <w:rFonts w:eastAsia="Google Sans Text" w:cs="Open Sans"/>
          <w:sz w:val="20"/>
          <w:szCs w:val="20"/>
        </w:rPr>
        <w:t xml:space="preserve">However, there is an increasing expectation of going beyond organic certification by ensuring fair </w:t>
      </w:r>
      <w:proofErr w:type="spellStart"/>
      <w:r w:rsidRPr="00B55663">
        <w:rPr>
          <w:rFonts w:eastAsia="Google Sans Text" w:cs="Open Sans"/>
          <w:sz w:val="20"/>
          <w:szCs w:val="20"/>
        </w:rPr>
        <w:t>labour</w:t>
      </w:r>
      <w:proofErr w:type="spellEnd"/>
      <w:r w:rsidRPr="00B55663">
        <w:rPr>
          <w:rFonts w:eastAsia="Google Sans Text" w:cs="Open Sans"/>
          <w:sz w:val="20"/>
          <w:szCs w:val="20"/>
        </w:rPr>
        <w:t xml:space="preserve"> practices and avoiding child </w:t>
      </w:r>
      <w:proofErr w:type="spellStart"/>
      <w:r w:rsidRPr="00B55663">
        <w:rPr>
          <w:rFonts w:eastAsia="Google Sans Text" w:cs="Open Sans"/>
          <w:sz w:val="20"/>
          <w:szCs w:val="20"/>
        </w:rPr>
        <w:t>labour</w:t>
      </w:r>
      <w:proofErr w:type="spellEnd"/>
      <w:r w:rsidRPr="00B55663">
        <w:rPr>
          <w:rFonts w:eastAsia="Google Sans Text" w:cs="Open Sans"/>
          <w:sz w:val="20"/>
          <w:szCs w:val="20"/>
        </w:rPr>
        <w:t xml:space="preserve">, as well as supporting farmer livelihoods and community development. As with all chocolate, there is the expectation of a low moisture content and the absence of </w:t>
      </w:r>
      <w:proofErr w:type="spellStart"/>
      <w:r w:rsidRPr="00B55663">
        <w:rPr>
          <w:rFonts w:eastAsia="Google Sans Text" w:cs="Open Sans"/>
          <w:sz w:val="20"/>
          <w:szCs w:val="20"/>
        </w:rPr>
        <w:t>mould</w:t>
      </w:r>
      <w:proofErr w:type="spellEnd"/>
      <w:r w:rsidRPr="00B55663">
        <w:rPr>
          <w:rFonts w:eastAsia="Google Sans Text" w:cs="Open Sans"/>
          <w:sz w:val="20"/>
          <w:szCs w:val="20"/>
        </w:rPr>
        <w:t xml:space="preserve"> or contaminants; however, these requirements can be more exacting as buyers seek </w:t>
      </w:r>
      <w:proofErr w:type="spellStart"/>
      <w:r w:rsidRPr="00B55663">
        <w:rPr>
          <w:rFonts w:eastAsia="Google Sans Text" w:cs="Open Sans"/>
          <w:sz w:val="20"/>
          <w:szCs w:val="20"/>
        </w:rPr>
        <w:t>flavour</w:t>
      </w:r>
      <w:proofErr w:type="spellEnd"/>
      <w:r w:rsidRPr="00B55663">
        <w:rPr>
          <w:rFonts w:eastAsia="Google Sans Text" w:cs="Open Sans"/>
          <w:sz w:val="20"/>
          <w:szCs w:val="20"/>
        </w:rPr>
        <w:t xml:space="preserve"> notes suitable for premium chocolate markets, which organic systems tend to cater to. Specifically, the premium nature of organic chocolate comes with stricter expectations of bean consistency, proper fermentation and drying processes to maintain quality requirements (CAOBISCO/ECA, 2023). Relevant to Sierra Leone is the need for clean storage and transportation to prevent contamination and ensure adherence to the </w:t>
      </w:r>
      <w:proofErr w:type="gramStart"/>
      <w:r w:rsidRPr="00B55663">
        <w:rPr>
          <w:rFonts w:eastAsia="Google Sans Text" w:cs="Open Sans"/>
          <w:sz w:val="20"/>
          <w:szCs w:val="20"/>
        </w:rPr>
        <w:t>aforementioned quality</w:t>
      </w:r>
      <w:proofErr w:type="gramEnd"/>
      <w:r w:rsidRPr="00B55663">
        <w:rPr>
          <w:rFonts w:eastAsia="Google Sans Text" w:cs="Open Sans"/>
          <w:sz w:val="20"/>
          <w:szCs w:val="20"/>
        </w:rPr>
        <w:t xml:space="preserve"> standards.</w:t>
      </w:r>
    </w:p>
    <w:p w14:paraId="6664521E" w14:textId="77777777" w:rsidR="00D2726C" w:rsidRPr="00B55663" w:rsidRDefault="00D2726C" w:rsidP="00B55663">
      <w:pPr>
        <w:pBdr>
          <w:top w:val="nil"/>
          <w:left w:val="nil"/>
          <w:bottom w:val="nil"/>
          <w:right w:val="nil"/>
          <w:between w:val="nil"/>
        </w:pBdr>
        <w:rPr>
          <w:rFonts w:eastAsia="Google Sans Text" w:cs="Open Sans"/>
          <w:sz w:val="20"/>
          <w:szCs w:val="20"/>
        </w:rPr>
      </w:pPr>
    </w:p>
    <w:p w14:paraId="25CC21A0" w14:textId="52E13FF0" w:rsidR="00B55663" w:rsidRDefault="00B55663" w:rsidP="00B55663">
      <w:pPr>
        <w:pBdr>
          <w:top w:val="nil"/>
          <w:left w:val="nil"/>
          <w:bottom w:val="nil"/>
          <w:right w:val="nil"/>
          <w:between w:val="nil"/>
        </w:pBdr>
        <w:rPr>
          <w:rFonts w:eastAsia="Google Sans Text" w:cs="Open Sans"/>
          <w:sz w:val="20"/>
          <w:szCs w:val="20"/>
        </w:rPr>
      </w:pPr>
      <w:r w:rsidRPr="00B55663">
        <w:rPr>
          <w:rFonts w:eastAsia="Google Sans Text" w:cs="Open Sans"/>
          <w:sz w:val="20"/>
          <w:szCs w:val="20"/>
        </w:rPr>
        <w:t>Failure to meet these standards entails potential reputation damage due to a “certification gap”; however, most major cocoa and chocolate companies have introduced their own sustainability programs and standards. These are not considered certification schemes because they are neither independently developed nor externally audited. Compared to formal certification programs, company-led initiatives are often less complex, less transparent, and typically not publicly accessible. The need to</w:t>
      </w:r>
      <w:r w:rsidR="00FF4870">
        <w:rPr>
          <w:rFonts w:eastAsia="Google Sans Text" w:cs="Open Sans"/>
          <w:sz w:val="20"/>
          <w:szCs w:val="20"/>
        </w:rPr>
        <w:t xml:space="preserve"> comply</w:t>
      </w:r>
      <w:r w:rsidRPr="00B55663">
        <w:rPr>
          <w:rFonts w:eastAsia="Google Sans Text" w:cs="Open Sans"/>
          <w:sz w:val="20"/>
          <w:szCs w:val="20"/>
        </w:rPr>
        <w:t xml:space="preserve"> </w:t>
      </w:r>
      <w:proofErr w:type="gramStart"/>
      <w:r w:rsidRPr="00B55663">
        <w:rPr>
          <w:rFonts w:eastAsia="Google Sans Text" w:cs="Open Sans"/>
          <w:sz w:val="20"/>
          <w:szCs w:val="20"/>
        </w:rPr>
        <w:t>to</w:t>
      </w:r>
      <w:proofErr w:type="gramEnd"/>
      <w:r w:rsidRPr="00B55663">
        <w:rPr>
          <w:rFonts w:eastAsia="Google Sans Text" w:cs="Open Sans"/>
          <w:sz w:val="20"/>
          <w:szCs w:val="20"/>
        </w:rPr>
        <w:t xml:space="preserve"> EUDR </w:t>
      </w:r>
      <w:proofErr w:type="gramStart"/>
      <w:r w:rsidRPr="00B55663">
        <w:rPr>
          <w:rFonts w:eastAsia="Google Sans Text" w:cs="Open Sans"/>
          <w:sz w:val="20"/>
          <w:szCs w:val="20"/>
        </w:rPr>
        <w:t>in particular means</w:t>
      </w:r>
      <w:proofErr w:type="gramEnd"/>
      <w:r w:rsidRPr="00B55663">
        <w:rPr>
          <w:rFonts w:eastAsia="Google Sans Text" w:cs="Open Sans"/>
          <w:sz w:val="20"/>
          <w:szCs w:val="20"/>
        </w:rPr>
        <w:t xml:space="preserve"> that organic coca buyers in Europe are particularly dependent on exporters being able to demonstrate that cocoa exports have not been due </w:t>
      </w:r>
      <w:r w:rsidR="00FF4870">
        <w:rPr>
          <w:rFonts w:eastAsia="Google Sans Text" w:cs="Open Sans"/>
          <w:sz w:val="20"/>
          <w:szCs w:val="20"/>
        </w:rPr>
        <w:t>since 2020</w:t>
      </w:r>
      <w:r w:rsidRPr="00B55663">
        <w:rPr>
          <w:rFonts w:eastAsia="Google Sans Text" w:cs="Open Sans"/>
          <w:sz w:val="20"/>
          <w:szCs w:val="20"/>
        </w:rPr>
        <w:t xml:space="preserve">) deforestation. </w:t>
      </w:r>
    </w:p>
    <w:p w14:paraId="5EA841E6" w14:textId="77777777" w:rsidR="00D2726C" w:rsidRPr="00B55663" w:rsidRDefault="00D2726C" w:rsidP="00B55663">
      <w:pPr>
        <w:pBdr>
          <w:top w:val="nil"/>
          <w:left w:val="nil"/>
          <w:bottom w:val="nil"/>
          <w:right w:val="nil"/>
          <w:between w:val="nil"/>
        </w:pBdr>
        <w:rPr>
          <w:rFonts w:eastAsia="Google Sans Text" w:cs="Open Sans"/>
          <w:sz w:val="20"/>
          <w:szCs w:val="20"/>
        </w:rPr>
      </w:pPr>
    </w:p>
    <w:p w14:paraId="0E605564" w14:textId="1A3BB738" w:rsidR="002E3468" w:rsidRPr="00781D8B" w:rsidRDefault="00B55663" w:rsidP="00754097">
      <w:pPr>
        <w:pBdr>
          <w:top w:val="nil"/>
          <w:left w:val="nil"/>
          <w:bottom w:val="nil"/>
          <w:right w:val="nil"/>
          <w:between w:val="nil"/>
        </w:pBdr>
        <w:rPr>
          <w:rFonts w:cs="Open Sans"/>
          <w:sz w:val="20"/>
          <w:szCs w:val="20"/>
        </w:rPr>
      </w:pPr>
      <w:r w:rsidRPr="00B55663">
        <w:rPr>
          <w:rFonts w:eastAsia="Google Sans Text" w:cs="Open Sans"/>
          <w:sz w:val="20"/>
          <w:szCs w:val="20"/>
        </w:rPr>
        <w:lastRenderedPageBreak/>
        <w:t xml:space="preserve">In the European Union, organic certification is centrally regulated by the EU. The EU enforces strict standards for organic products and ensures compliance through rigorous controls. Imported organic goods are also inspected to ensure they meet the same organic standards. Only be used on products that have been certified as organic by an </w:t>
      </w:r>
      <w:proofErr w:type="spellStart"/>
      <w:r w:rsidRPr="00B55663">
        <w:rPr>
          <w:rFonts w:eastAsia="Google Sans Text" w:cs="Open Sans"/>
          <w:sz w:val="20"/>
          <w:szCs w:val="20"/>
        </w:rPr>
        <w:t>authorised</w:t>
      </w:r>
      <w:proofErr w:type="spellEnd"/>
      <w:r w:rsidRPr="00B55663">
        <w:rPr>
          <w:rFonts w:eastAsia="Google Sans Text" w:cs="Open Sans"/>
          <w:sz w:val="20"/>
          <w:szCs w:val="20"/>
        </w:rPr>
        <w:t xml:space="preserve"> control agency or body; the organic logo may be used.</w:t>
      </w:r>
      <w:r w:rsidR="002F2CE3" w:rsidRPr="00781D8B">
        <w:rPr>
          <w:rFonts w:eastAsia="Aptos" w:cs="Open Sans"/>
          <w:sz w:val="20"/>
          <w:szCs w:val="20"/>
        </w:rPr>
        <w:t xml:space="preserve"> </w:t>
      </w:r>
    </w:p>
    <w:p w14:paraId="20B88B90" w14:textId="09C20AAE" w:rsidR="002E3468" w:rsidRPr="00931347" w:rsidRDefault="00CB3266" w:rsidP="00931347">
      <w:pPr>
        <w:pStyle w:val="Heading2"/>
      </w:pPr>
      <w:bookmarkStart w:id="46" w:name="_Toc204771080"/>
      <w:bookmarkStart w:id="47" w:name="_Toc228700997"/>
      <w:r w:rsidRPr="00CB3266">
        <w:t>Governmental Policies, Regulation, and Institutional Framework</w:t>
      </w:r>
      <w:bookmarkEnd w:id="46"/>
      <w:bookmarkEnd w:id="47"/>
    </w:p>
    <w:p w14:paraId="1A0A850D" w14:textId="556241A0" w:rsidR="002E3468" w:rsidRPr="00931347" w:rsidRDefault="00CB3266" w:rsidP="00931347">
      <w:pPr>
        <w:pStyle w:val="Heading3"/>
      </w:pPr>
      <w:bookmarkStart w:id="48" w:name="_Toc204771081"/>
      <w:bookmarkStart w:id="49" w:name="_Toc228700998"/>
      <w:r w:rsidRPr="00CB3266">
        <w:t>Role and Mandate of the Produce Monitoring Board (PMB)</w:t>
      </w:r>
      <w:bookmarkEnd w:id="48"/>
      <w:bookmarkEnd w:id="49"/>
      <w:r w:rsidR="002E3468" w:rsidRPr="00931347">
        <w:t xml:space="preserve"> </w:t>
      </w:r>
    </w:p>
    <w:p w14:paraId="79CB0183" w14:textId="77777777" w:rsidR="000C3047" w:rsidRDefault="000C3047" w:rsidP="000C3047">
      <w:pPr>
        <w:rPr>
          <w:rFonts w:cs="Open Sans"/>
          <w:sz w:val="20"/>
          <w:szCs w:val="20"/>
        </w:rPr>
      </w:pPr>
      <w:r w:rsidRPr="00CB3266">
        <w:rPr>
          <w:rFonts w:cs="Open Sans"/>
          <w:sz w:val="20"/>
          <w:szCs w:val="20"/>
        </w:rPr>
        <w:t xml:space="preserve">The Produce Monitoring Board (PMB) acts as the key regulatory institution in Sierra Leone's cocoa sector. Its primary mandate focuses on quality control, ensuring produce </w:t>
      </w:r>
      <w:proofErr w:type="spellStart"/>
      <w:r w:rsidRPr="00CB3266">
        <w:rPr>
          <w:rFonts w:cs="Open Sans"/>
          <w:sz w:val="20"/>
          <w:szCs w:val="20"/>
        </w:rPr>
        <w:t>standardisation</w:t>
      </w:r>
      <w:proofErr w:type="spellEnd"/>
      <w:r w:rsidRPr="00CB3266">
        <w:rPr>
          <w:rFonts w:cs="Open Sans"/>
          <w:sz w:val="20"/>
          <w:szCs w:val="20"/>
        </w:rPr>
        <w:t xml:space="preserve">, managing export licensing, and enforcing regulations in the produce sector. Unlike the highly </w:t>
      </w:r>
      <w:proofErr w:type="spellStart"/>
      <w:r w:rsidRPr="00CB3266">
        <w:rPr>
          <w:rFonts w:cs="Open Sans"/>
          <w:sz w:val="20"/>
          <w:szCs w:val="20"/>
        </w:rPr>
        <w:t>centralised</w:t>
      </w:r>
      <w:proofErr w:type="spellEnd"/>
      <w:r w:rsidRPr="00CB3266">
        <w:rPr>
          <w:rFonts w:cs="Open Sans"/>
          <w:sz w:val="20"/>
          <w:szCs w:val="20"/>
        </w:rPr>
        <w:t xml:space="preserve"> system in Ghana (COCOBOD), which maintains a monopoly over inputs, sales, and processing, Sierra Leone operates a completely </w:t>
      </w:r>
      <w:proofErr w:type="spellStart"/>
      <w:r w:rsidRPr="00CB3266">
        <w:rPr>
          <w:rFonts w:cs="Open Sans"/>
          <w:sz w:val="20"/>
          <w:szCs w:val="20"/>
        </w:rPr>
        <w:t>liberalised</w:t>
      </w:r>
      <w:proofErr w:type="spellEnd"/>
      <w:r w:rsidRPr="00CB3266">
        <w:rPr>
          <w:rFonts w:cs="Open Sans"/>
          <w:sz w:val="20"/>
          <w:szCs w:val="20"/>
        </w:rPr>
        <w:t xml:space="preserve"> market framework where the PMB does not engage in direct buying or price setting (MAF, 2019).</w:t>
      </w:r>
    </w:p>
    <w:p w14:paraId="108ED060" w14:textId="77777777" w:rsidR="00D2726C" w:rsidRPr="00CB3266" w:rsidRDefault="00D2726C" w:rsidP="000C3047">
      <w:pPr>
        <w:rPr>
          <w:rFonts w:cs="Open Sans"/>
          <w:sz w:val="20"/>
          <w:szCs w:val="20"/>
        </w:rPr>
      </w:pPr>
    </w:p>
    <w:p w14:paraId="7C05F952" w14:textId="77777777" w:rsidR="000C3047" w:rsidRDefault="000C3047" w:rsidP="000C3047">
      <w:pPr>
        <w:rPr>
          <w:rFonts w:cs="Open Sans"/>
          <w:sz w:val="20"/>
          <w:szCs w:val="20"/>
        </w:rPr>
      </w:pPr>
      <w:r w:rsidRPr="00CB3266">
        <w:rPr>
          <w:rFonts w:cs="Open Sans"/>
          <w:sz w:val="20"/>
          <w:szCs w:val="20"/>
        </w:rPr>
        <w:t>A critical discrepancy exists between the PMB's current operational focus and the demands of modern international markets. The PMB's mandate historically concentrates on product quality (i.e., the physical characteristics of the bean) and export documentation. However, the EU Deforestation Regulation (EUDR) demands process quality (demonstrating deforestation-free status) and spatial documentation (geolocated farm polygons)</w:t>
      </w:r>
      <w:r>
        <w:rPr>
          <w:rFonts w:cs="Open Sans"/>
          <w:sz w:val="20"/>
          <w:szCs w:val="20"/>
        </w:rPr>
        <w:t>, which can be verified/audited to ensure compliance</w:t>
      </w:r>
      <w:r w:rsidRPr="00CB3266">
        <w:rPr>
          <w:rFonts w:cs="Open Sans"/>
          <w:sz w:val="20"/>
          <w:szCs w:val="20"/>
        </w:rPr>
        <w:t>. These regulatory imperatives require a radical shift in institutional capacity</w:t>
      </w:r>
      <w:r>
        <w:rPr>
          <w:rFonts w:cs="Open Sans"/>
          <w:sz w:val="20"/>
          <w:szCs w:val="20"/>
        </w:rPr>
        <w:t xml:space="preserve"> in terms of data and information management and farmer support</w:t>
      </w:r>
      <w:r w:rsidRPr="00CB3266">
        <w:rPr>
          <w:rFonts w:cs="Open Sans"/>
          <w:sz w:val="20"/>
          <w:szCs w:val="20"/>
        </w:rPr>
        <w:t>, falling outside the PMB’s primary historical focus. To address EUDR compliance effectively, institutional capacity and mandate should be urgently expanded to integrate digital data management, Geographic Information System (GIS) auditing, and compliance enforcement mechanisms</w:t>
      </w:r>
      <w:r w:rsidRPr="00781D8B">
        <w:rPr>
          <w:rFonts w:cs="Open Sans"/>
          <w:sz w:val="20"/>
          <w:szCs w:val="20"/>
        </w:rPr>
        <w:t>.</w:t>
      </w:r>
    </w:p>
    <w:p w14:paraId="734FC8E7" w14:textId="64BBFE9A" w:rsidR="00CB3266" w:rsidRPr="00931347" w:rsidRDefault="00CB3266" w:rsidP="00CB3266">
      <w:pPr>
        <w:pStyle w:val="Heading3"/>
      </w:pPr>
      <w:bookmarkStart w:id="50" w:name="_Toc228700999"/>
      <w:r w:rsidRPr="00CB3266">
        <w:t>Research, Development, and Extension Services</w:t>
      </w:r>
      <w:bookmarkEnd w:id="50"/>
      <w:r w:rsidRPr="00931347">
        <w:t xml:space="preserve"> </w:t>
      </w:r>
    </w:p>
    <w:p w14:paraId="56DB4DB0" w14:textId="1F30AC28" w:rsidR="00CB3266" w:rsidRPr="00781D8B" w:rsidRDefault="00CB3266" w:rsidP="00CB3266">
      <w:pPr>
        <w:rPr>
          <w:rFonts w:cs="Open Sans"/>
          <w:sz w:val="20"/>
          <w:szCs w:val="20"/>
        </w:rPr>
      </w:pPr>
      <w:r w:rsidRPr="00CB3266">
        <w:rPr>
          <w:rFonts w:cs="Open Sans"/>
          <w:sz w:val="20"/>
          <w:szCs w:val="20"/>
        </w:rPr>
        <w:t xml:space="preserve">Institutional support for productivity improvement is critically lacking. The Sierra Leone Agricultural Research Institute (SLARI) suffers from weak funding and persistent capacity constraints, severely limiting its ability to develop and disseminate improved, high-yielding, organic, and climate-resilient cocoa varieties that are necessary for large-scale tree rehabilitation. Consequently, the vital task of introducing sustainable agricultural practices, such as agroforestry and mulching, is largely reliant on the fragmented efforts of external drivers, including non-governmental </w:t>
      </w:r>
      <w:proofErr w:type="spellStart"/>
      <w:r w:rsidRPr="00CB3266">
        <w:rPr>
          <w:rFonts w:cs="Open Sans"/>
          <w:sz w:val="20"/>
          <w:szCs w:val="20"/>
        </w:rPr>
        <w:t>organisations</w:t>
      </w:r>
      <w:proofErr w:type="spellEnd"/>
      <w:r w:rsidRPr="00CB3266">
        <w:rPr>
          <w:rFonts w:cs="Open Sans"/>
          <w:sz w:val="20"/>
          <w:szCs w:val="20"/>
        </w:rPr>
        <w:t xml:space="preserve"> (NGOs) and exporters, which often results in project-based, limited, and non-</w:t>
      </w:r>
      <w:proofErr w:type="spellStart"/>
      <w:r w:rsidRPr="00CB3266">
        <w:rPr>
          <w:rFonts w:cs="Open Sans"/>
          <w:sz w:val="20"/>
          <w:szCs w:val="20"/>
        </w:rPr>
        <w:t>harmonised</w:t>
      </w:r>
      <w:proofErr w:type="spellEnd"/>
      <w:r w:rsidRPr="00CB3266">
        <w:rPr>
          <w:rFonts w:cs="Open Sans"/>
          <w:sz w:val="20"/>
          <w:szCs w:val="20"/>
        </w:rPr>
        <w:t xml:space="preserve"> extension services</w:t>
      </w:r>
      <w:r w:rsidRPr="00781D8B">
        <w:rPr>
          <w:rFonts w:cs="Open Sans"/>
          <w:sz w:val="20"/>
          <w:szCs w:val="20"/>
        </w:rPr>
        <w:t>.</w:t>
      </w:r>
    </w:p>
    <w:p w14:paraId="364037DF" w14:textId="60DFB2AF" w:rsidR="00CB3266" w:rsidRPr="00931347" w:rsidRDefault="00CB3266" w:rsidP="00CB3266">
      <w:pPr>
        <w:pStyle w:val="Heading3"/>
      </w:pPr>
      <w:bookmarkStart w:id="51" w:name="_Toc228701000"/>
      <w:r w:rsidRPr="00CB3266">
        <w:t>Customary Land Rights and FPIC Requirements</w:t>
      </w:r>
      <w:bookmarkEnd w:id="51"/>
      <w:r w:rsidRPr="00931347">
        <w:t xml:space="preserve"> </w:t>
      </w:r>
    </w:p>
    <w:p w14:paraId="02F2B5F1" w14:textId="77777777" w:rsidR="00CB3266" w:rsidRDefault="00CB3266" w:rsidP="00CB3266">
      <w:pPr>
        <w:rPr>
          <w:rFonts w:cs="Open Sans"/>
          <w:sz w:val="20"/>
          <w:szCs w:val="20"/>
        </w:rPr>
      </w:pPr>
      <w:r w:rsidRPr="00CB3266">
        <w:rPr>
          <w:rFonts w:cs="Open Sans"/>
          <w:sz w:val="20"/>
          <w:szCs w:val="20"/>
        </w:rPr>
        <w:t>Sierra Leone enacted the Customary Land Rights Act (CLRA) in 2022, a progressive piece of legislation that grants land-owning communities the right to Free Prior Informed Consent (FPIC) over industrial development projects. This empowers communities to negotiate investments and protect ecologically sensitive areas (Guyot, 2023)</w:t>
      </w:r>
    </w:p>
    <w:p w14:paraId="47CD718A" w14:textId="77777777" w:rsidR="00D2726C" w:rsidRPr="00CB3266" w:rsidRDefault="00D2726C" w:rsidP="00CB3266">
      <w:pPr>
        <w:rPr>
          <w:rFonts w:cs="Open Sans"/>
          <w:sz w:val="20"/>
          <w:szCs w:val="20"/>
        </w:rPr>
      </w:pPr>
    </w:p>
    <w:p w14:paraId="58AC452B" w14:textId="45B62B94" w:rsidR="00CB3266" w:rsidRPr="00781D8B" w:rsidRDefault="00CB3266" w:rsidP="00CB3266">
      <w:pPr>
        <w:rPr>
          <w:rFonts w:cs="Open Sans"/>
          <w:sz w:val="20"/>
          <w:szCs w:val="20"/>
        </w:rPr>
      </w:pPr>
      <w:r w:rsidRPr="00CB3266">
        <w:rPr>
          <w:rFonts w:cs="Open Sans"/>
          <w:sz w:val="20"/>
          <w:szCs w:val="20"/>
        </w:rPr>
        <w:t xml:space="preserve">However, the prevailing customary land system, which lacks deed titles and formal official registration, creates a substantial technical barrier to EUDR compliance. EUDR mandates traceability to the exact farm plot via polygon mapping (EUDR Team, 2025). With less than 30% of farms currently geolocated, the socially progressive land tenure system unintentionally complicates the mapping required for market access. If formal, geolocated registration and </w:t>
      </w:r>
      <w:r w:rsidRPr="00CB3266">
        <w:rPr>
          <w:rFonts w:cs="Open Sans"/>
          <w:sz w:val="20"/>
          <w:szCs w:val="20"/>
        </w:rPr>
        <w:lastRenderedPageBreak/>
        <w:t>mapping are not achieved, FPIC rights cannot be precisely linked to traceable production units, leaving operators unable to conduct mandatory due diligence. Therefore, traceability efforts must be designed through extensive consultation with land-owning communities, leveraging the established FPIC procedures to facilitate the formal mapping process and embed communal land governance data within the future national farm registry</w:t>
      </w:r>
      <w:r w:rsidRPr="00781D8B">
        <w:rPr>
          <w:rFonts w:cs="Open Sans"/>
          <w:sz w:val="20"/>
          <w:szCs w:val="20"/>
        </w:rPr>
        <w:t>.</w:t>
      </w:r>
    </w:p>
    <w:p w14:paraId="39C91C4F" w14:textId="77777777" w:rsidR="00CB3266" w:rsidRPr="00781D8B" w:rsidRDefault="00CB3266" w:rsidP="002E3468">
      <w:pPr>
        <w:rPr>
          <w:rFonts w:cs="Open Sans"/>
          <w:sz w:val="20"/>
          <w:szCs w:val="20"/>
        </w:rPr>
      </w:pPr>
    </w:p>
    <w:p w14:paraId="1906A823" w14:textId="43084CE1" w:rsidR="002E3468" w:rsidRPr="00931347" w:rsidRDefault="002E3468" w:rsidP="00931347">
      <w:pPr>
        <w:pStyle w:val="Heading2"/>
      </w:pPr>
      <w:bookmarkStart w:id="52" w:name="_Toc204771082"/>
      <w:bookmarkStart w:id="53" w:name="_Toc228701001"/>
      <w:r w:rsidRPr="00931347">
        <w:t xml:space="preserve">The </w:t>
      </w:r>
      <w:r w:rsidR="00FD1D25" w:rsidRPr="00FD1D25">
        <w:t>Cocoa Value Chain Structure</w:t>
      </w:r>
      <w:bookmarkEnd w:id="52"/>
      <w:bookmarkEnd w:id="53"/>
      <w:r w:rsidRPr="00931347">
        <w:t xml:space="preserve"> </w:t>
      </w:r>
    </w:p>
    <w:p w14:paraId="6701FA92" w14:textId="7DCB6400" w:rsidR="002E3468" w:rsidRPr="003367F1" w:rsidRDefault="00FD1D25" w:rsidP="003367F1">
      <w:pPr>
        <w:pStyle w:val="Heading3"/>
      </w:pPr>
      <w:bookmarkStart w:id="54" w:name="_Toc204771086"/>
      <w:bookmarkStart w:id="55" w:name="_Toc228701002"/>
      <w:r w:rsidRPr="00FD1D25">
        <w:t>Value Chain Mapping: Actors and Relationships</w:t>
      </w:r>
      <w:bookmarkEnd w:id="54"/>
      <w:bookmarkEnd w:id="55"/>
      <w:r w:rsidR="002E3468" w:rsidRPr="003367F1">
        <w:t xml:space="preserve"> </w:t>
      </w:r>
    </w:p>
    <w:p w14:paraId="4454D008" w14:textId="2C02F93D" w:rsidR="00FD1D25" w:rsidRPr="00FD1D25" w:rsidRDefault="00FD1D25" w:rsidP="3821A05B">
      <w:pPr>
        <w:pBdr>
          <w:top w:val="nil"/>
          <w:left w:val="nil"/>
          <w:bottom w:val="nil"/>
          <w:right w:val="nil"/>
          <w:between w:val="nil"/>
        </w:pBdr>
        <w:rPr>
          <w:rFonts w:eastAsia="Google Sans Text" w:cs="Open Sans"/>
          <w:sz w:val="20"/>
          <w:szCs w:val="20"/>
        </w:rPr>
      </w:pPr>
      <w:r w:rsidRPr="00FD1D25">
        <w:rPr>
          <w:rFonts w:eastAsia="Google Sans Text" w:cs="Open Sans"/>
          <w:sz w:val="20"/>
          <w:szCs w:val="20"/>
        </w:rPr>
        <w:t xml:space="preserve">The Sierra Leone cocoa value chain is </w:t>
      </w:r>
      <w:proofErr w:type="spellStart"/>
      <w:r w:rsidRPr="00FD1D25">
        <w:rPr>
          <w:rFonts w:eastAsia="Google Sans Text" w:cs="Open Sans"/>
          <w:sz w:val="20"/>
          <w:szCs w:val="20"/>
        </w:rPr>
        <w:t>characterised</w:t>
      </w:r>
      <w:proofErr w:type="spellEnd"/>
      <w:r w:rsidRPr="00FD1D25">
        <w:rPr>
          <w:rFonts w:eastAsia="Google Sans Text" w:cs="Open Sans"/>
          <w:sz w:val="20"/>
          <w:szCs w:val="20"/>
        </w:rPr>
        <w:t xml:space="preserve"> by a </w:t>
      </w:r>
      <w:proofErr w:type="spellStart"/>
      <w:r w:rsidRPr="00FD1D25">
        <w:rPr>
          <w:rFonts w:eastAsia="Google Sans Text" w:cs="Open Sans"/>
          <w:sz w:val="20"/>
          <w:szCs w:val="20"/>
        </w:rPr>
        <w:t>liberalised</w:t>
      </w:r>
      <w:proofErr w:type="spellEnd"/>
      <w:r w:rsidRPr="00FD1D25">
        <w:rPr>
          <w:rFonts w:eastAsia="Google Sans Text" w:cs="Open Sans"/>
          <w:sz w:val="20"/>
          <w:szCs w:val="20"/>
        </w:rPr>
        <w:t xml:space="preserve"> yet highly fragmented structure, with intense competition among actors, particularly at the aggregation level. The chain begins with primary production, dominated by smallholders cultivating plots that typically range from 1 to 3 hectares. Aggregation (intermediation) is the critical junction where competition is fiercest. Cooperatives account for approximately 30% of the volume, while the bulk of the market is serviced by informal actors, including individual agents (60% of the volume) and individual dealers (10% of the volume).</w:t>
      </w:r>
      <w:r w:rsidRPr="00FD1D25">
        <w:rPr>
          <w:rFonts w:eastAsia="Google Sans Text" w:cs="Open Sans"/>
          <w:sz w:val="20"/>
          <w:szCs w:val="20"/>
          <w:vertAlign w:val="superscript"/>
        </w:rPr>
        <w:t xml:space="preserve"> </w:t>
      </w:r>
      <w:r w:rsidRPr="00FD1D25">
        <w:rPr>
          <w:rFonts w:eastAsia="Google Sans Text" w:cs="Open Sans"/>
          <w:sz w:val="20"/>
          <w:szCs w:val="20"/>
        </w:rPr>
        <w:t xml:space="preserve">These agents are structurally important as they act as the primary, albeit informal, providers of credit to farmers. The aggregated cocoa is then sold to the 20 licensed exporters, who channel the beans to the international market, dominated by the Netherlands. Meanwhile, the national market for local processing accounts for less than 1% of the total volume. Functional description of the Sierra Leone cocoa VC is proved </w:t>
      </w:r>
      <w:r w:rsidRPr="00615B05">
        <w:rPr>
          <w:rFonts w:eastAsia="Google Sans Text" w:cs="Open Sans"/>
          <w:sz w:val="20"/>
          <w:szCs w:val="20"/>
        </w:rPr>
        <w:t xml:space="preserve">in </w:t>
      </w:r>
      <w:r w:rsidR="009962FA" w:rsidRPr="00615B05">
        <w:rPr>
          <w:rFonts w:eastAsia="Google Sans Text" w:cs="Open Sans"/>
          <w:sz w:val="20"/>
          <w:szCs w:val="20"/>
        </w:rPr>
        <w:fldChar w:fldCharType="begin"/>
      </w:r>
      <w:r w:rsidR="009962FA" w:rsidRPr="00615B05">
        <w:rPr>
          <w:rFonts w:eastAsia="Google Sans Text" w:cs="Open Sans"/>
          <w:sz w:val="20"/>
          <w:szCs w:val="20"/>
        </w:rPr>
        <w:instrText xml:space="preserve"> REF _Ref227055744 \h </w:instrText>
      </w:r>
      <w:r w:rsidR="00615B05">
        <w:rPr>
          <w:rFonts w:eastAsia="Google Sans Text" w:cs="Open Sans"/>
          <w:sz w:val="20"/>
          <w:szCs w:val="20"/>
        </w:rPr>
        <w:instrText xml:space="preserve"> \* MERGEFORMAT </w:instrText>
      </w:r>
      <w:r w:rsidR="009962FA" w:rsidRPr="00615B05">
        <w:rPr>
          <w:rFonts w:eastAsia="Google Sans Text" w:cs="Open Sans"/>
          <w:sz w:val="20"/>
          <w:szCs w:val="20"/>
        </w:rPr>
      </w:r>
      <w:r w:rsidR="009962FA" w:rsidRPr="00615B05">
        <w:rPr>
          <w:rFonts w:eastAsia="Google Sans Text" w:cs="Open Sans"/>
          <w:sz w:val="20"/>
          <w:szCs w:val="20"/>
        </w:rPr>
        <w:fldChar w:fldCharType="separate"/>
      </w:r>
      <w:r w:rsidR="009962FA" w:rsidRPr="001F42F7">
        <w:rPr>
          <w:sz w:val="20"/>
          <w:szCs w:val="20"/>
        </w:rPr>
        <w:t xml:space="preserve">Figure </w:t>
      </w:r>
      <w:r w:rsidR="009962FA" w:rsidRPr="001F42F7">
        <w:rPr>
          <w:noProof/>
          <w:sz w:val="20"/>
          <w:szCs w:val="20"/>
        </w:rPr>
        <w:t>1</w:t>
      </w:r>
      <w:r w:rsidR="009962FA" w:rsidRPr="001F42F7">
        <w:rPr>
          <w:sz w:val="20"/>
          <w:szCs w:val="20"/>
        </w:rPr>
        <w:t>.</w:t>
      </w:r>
      <w:r w:rsidR="009962FA" w:rsidRPr="001F42F7">
        <w:rPr>
          <w:noProof/>
          <w:sz w:val="20"/>
          <w:szCs w:val="20"/>
        </w:rPr>
        <w:t>7</w:t>
      </w:r>
      <w:r w:rsidR="009962FA" w:rsidRPr="00615B05">
        <w:rPr>
          <w:rFonts w:eastAsia="Google Sans Text" w:cs="Open Sans"/>
          <w:sz w:val="20"/>
          <w:szCs w:val="20"/>
        </w:rPr>
        <w:fldChar w:fldCharType="end"/>
      </w:r>
      <w:r w:rsidRPr="00FD1D25">
        <w:rPr>
          <w:rFonts w:eastAsia="Google Sans Text" w:cs="Open Sans"/>
          <w:sz w:val="20"/>
          <w:szCs w:val="20"/>
        </w:rPr>
        <w:t>. The value chain also includes informal cross-border trade with Liberia, Guinea, and Côte d’Ivoire, facilitated by proximity and price differentials. These flows pose integrity risks, especially for organic certification and EUDR compliance.</w:t>
      </w:r>
    </w:p>
    <w:p w14:paraId="04BD9303" w14:textId="77777777" w:rsidR="00FD1D25" w:rsidRPr="00757903" w:rsidRDefault="00FD1D25" w:rsidP="00FD1D25">
      <w:pPr>
        <w:pBdr>
          <w:top w:val="nil"/>
          <w:left w:val="nil"/>
          <w:bottom w:val="nil"/>
          <w:right w:val="nil"/>
          <w:between w:val="nil"/>
        </w:pBdr>
        <w:spacing w:line="275" w:lineRule="auto"/>
        <w:rPr>
          <w:rFonts w:ascii="Google Sans Text" w:eastAsia="Google Sans Text" w:hAnsi="Google Sans Text" w:cs="Google Sans Text"/>
        </w:rPr>
      </w:pPr>
    </w:p>
    <w:p w14:paraId="63042F36" w14:textId="0D8D1008" w:rsidR="006F6140" w:rsidRDefault="38296D91" w:rsidP="3821A05B">
      <w:pPr>
        <w:keepNext/>
        <w:pBdr>
          <w:top w:val="nil"/>
          <w:left w:val="nil"/>
          <w:bottom w:val="nil"/>
          <w:right w:val="nil"/>
          <w:between w:val="nil"/>
        </w:pBdr>
        <w:spacing w:line="275" w:lineRule="auto"/>
        <w:jc w:val="center"/>
      </w:pPr>
      <w:r>
        <w:rPr>
          <w:noProof/>
        </w:rPr>
        <w:drawing>
          <wp:inline distT="0" distB="0" distL="0" distR="0" wp14:anchorId="0FE5F0B7" wp14:editId="693E1340">
            <wp:extent cx="5724525" cy="3038475"/>
            <wp:effectExtent l="0" t="0" r="0" b="0"/>
            <wp:docPr id="463409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09436" name="Picture 463409436"/>
                    <pic:cNvPicPr/>
                  </pic:nvPicPr>
                  <pic:blipFill>
                    <a:blip r:embed="rId15">
                      <a:extLst>
                        <a:ext uri="{28A0092B-C50C-407E-A947-70E740481C1C}">
                          <a14:useLocalDpi xmlns:a14="http://schemas.microsoft.com/office/drawing/2010/main"/>
                        </a:ext>
                      </a:extLst>
                    </a:blip>
                    <a:stretch>
                      <a:fillRect/>
                    </a:stretch>
                  </pic:blipFill>
                  <pic:spPr>
                    <a:xfrm>
                      <a:off x="0" y="0"/>
                      <a:ext cx="5724525" cy="3038475"/>
                    </a:xfrm>
                    <a:prstGeom prst="rect">
                      <a:avLst/>
                    </a:prstGeom>
                  </pic:spPr>
                </pic:pic>
              </a:graphicData>
            </a:graphic>
          </wp:inline>
        </w:drawing>
      </w:r>
    </w:p>
    <w:p w14:paraId="77BD84DF" w14:textId="1BBBF562" w:rsidR="00FD1D25" w:rsidRPr="00757903" w:rsidRDefault="006F6140" w:rsidP="006F6140">
      <w:pPr>
        <w:pStyle w:val="Caption"/>
        <w:jc w:val="center"/>
      </w:pPr>
      <w:bookmarkStart w:id="56" w:name="_Ref227055744"/>
      <w:bookmarkStart w:id="57" w:name="_Toc228701104"/>
      <w:r>
        <w:t xml:space="preserve">Figure </w:t>
      </w:r>
      <w:fldSimple w:instr=" STYLEREF 1 \s ">
        <w:r w:rsidR="007306EC">
          <w:rPr>
            <w:noProof/>
          </w:rPr>
          <w:t>1</w:t>
        </w:r>
      </w:fldSimple>
      <w:r w:rsidR="007306EC">
        <w:noBreakHyphen/>
      </w:r>
      <w:fldSimple w:instr=" SEQ Figure \* ARABIC \s 1 ">
        <w:r w:rsidR="007306EC">
          <w:rPr>
            <w:noProof/>
          </w:rPr>
          <w:t>8</w:t>
        </w:r>
      </w:fldSimple>
      <w:bookmarkEnd w:id="56"/>
      <w:r>
        <w:t xml:space="preserve"> </w:t>
      </w:r>
      <w:r w:rsidRPr="0047353B">
        <w:t>VALUE CHAIN FUNCTIONAL MAPPING (REFERENCE YEAR 2025)</w:t>
      </w:r>
      <w:bookmarkEnd w:id="57"/>
    </w:p>
    <w:p w14:paraId="3C9F545A" w14:textId="18DBAB5A" w:rsidR="00FD1D25" w:rsidRPr="00757903" w:rsidRDefault="00FD1D25" w:rsidP="00FD1D25">
      <w:pPr>
        <w:pStyle w:val="Caption"/>
        <w:rPr>
          <w:rFonts w:ascii="Google Sans Text" w:eastAsia="Google Sans Text" w:hAnsi="Google Sans Text" w:cs="Google Sans Text"/>
          <w:sz w:val="24"/>
          <w:szCs w:val="24"/>
          <w:vertAlign w:val="superscript"/>
        </w:rPr>
      </w:pPr>
      <w:r w:rsidRPr="00757903">
        <w:t xml:space="preserve">                                                                         </w:t>
      </w:r>
    </w:p>
    <w:p w14:paraId="4773C58E" w14:textId="77777777" w:rsidR="00FD1D25" w:rsidRPr="00757903" w:rsidRDefault="00FD1D25" w:rsidP="00FD1D25">
      <w:pPr>
        <w:pBdr>
          <w:top w:val="nil"/>
          <w:left w:val="nil"/>
          <w:bottom w:val="nil"/>
          <w:right w:val="nil"/>
          <w:between w:val="nil"/>
        </w:pBdr>
        <w:spacing w:line="275" w:lineRule="auto"/>
        <w:rPr>
          <w:rFonts w:ascii="Google Sans Text" w:eastAsia="Google Sans Text" w:hAnsi="Google Sans Text" w:cs="Google Sans Text"/>
          <w:vertAlign w:val="superscript"/>
        </w:rPr>
      </w:pPr>
    </w:p>
    <w:p w14:paraId="3F6EAFA7" w14:textId="4F65B5E7" w:rsidR="00FD1D25" w:rsidRDefault="009962FA" w:rsidP="00FD1D25">
      <w:pPr>
        <w:pBdr>
          <w:top w:val="nil"/>
          <w:left w:val="nil"/>
          <w:bottom w:val="nil"/>
          <w:right w:val="nil"/>
          <w:between w:val="nil"/>
        </w:pBdr>
        <w:spacing w:line="275" w:lineRule="auto"/>
        <w:rPr>
          <w:rFonts w:eastAsia="Google Sans Text" w:cs="Open Sans"/>
          <w:sz w:val="20"/>
          <w:szCs w:val="20"/>
        </w:rPr>
      </w:pPr>
      <w:r>
        <w:rPr>
          <w:rFonts w:eastAsia="Google Sans Text" w:cs="Open Sans"/>
          <w:sz w:val="20"/>
          <w:szCs w:val="20"/>
        </w:rPr>
        <w:fldChar w:fldCharType="begin"/>
      </w:r>
      <w:r>
        <w:rPr>
          <w:rFonts w:eastAsia="Google Sans Text" w:cs="Open Sans"/>
          <w:sz w:val="20"/>
          <w:szCs w:val="20"/>
        </w:rPr>
        <w:instrText xml:space="preserve"> REF _Ref227055767 \h </w:instrText>
      </w:r>
      <w:r>
        <w:rPr>
          <w:rFonts w:eastAsia="Google Sans Text" w:cs="Open Sans"/>
          <w:sz w:val="20"/>
          <w:szCs w:val="20"/>
        </w:rPr>
      </w:r>
      <w:r>
        <w:rPr>
          <w:rFonts w:eastAsia="Google Sans Text" w:cs="Open Sans"/>
          <w:sz w:val="20"/>
          <w:szCs w:val="20"/>
        </w:rPr>
        <w:fldChar w:fldCharType="separate"/>
      </w:r>
      <w:r>
        <w:t xml:space="preserve">Table </w:t>
      </w:r>
      <w:r>
        <w:rPr>
          <w:noProof/>
        </w:rPr>
        <w:t>1</w:t>
      </w:r>
      <w:r>
        <w:noBreakHyphen/>
      </w:r>
      <w:r>
        <w:rPr>
          <w:noProof/>
        </w:rPr>
        <w:t>3</w:t>
      </w:r>
      <w:r>
        <w:rPr>
          <w:rFonts w:eastAsia="Google Sans Text" w:cs="Open Sans"/>
          <w:sz w:val="20"/>
          <w:szCs w:val="20"/>
        </w:rPr>
        <w:fldChar w:fldCharType="end"/>
      </w:r>
      <w:r>
        <w:rPr>
          <w:rFonts w:eastAsia="Google Sans Text" w:cs="Open Sans"/>
          <w:sz w:val="20"/>
          <w:szCs w:val="20"/>
        </w:rPr>
        <w:t xml:space="preserve"> </w:t>
      </w:r>
      <w:r w:rsidR="00FD1D25" w:rsidRPr="006F6140">
        <w:rPr>
          <w:rFonts w:eastAsia="Google Sans Text" w:cs="Open Sans"/>
          <w:sz w:val="20"/>
          <w:szCs w:val="20"/>
        </w:rPr>
        <w:t xml:space="preserve">presents a variety of stakeholders involved in the cocoa sector with their brief roles. </w:t>
      </w:r>
    </w:p>
    <w:p w14:paraId="2B84BA73" w14:textId="77777777" w:rsidR="00D52692" w:rsidRDefault="00D52692" w:rsidP="00FD1D25">
      <w:pPr>
        <w:pBdr>
          <w:top w:val="nil"/>
          <w:left w:val="nil"/>
          <w:bottom w:val="nil"/>
          <w:right w:val="nil"/>
          <w:between w:val="nil"/>
        </w:pBdr>
        <w:spacing w:line="275" w:lineRule="auto"/>
        <w:rPr>
          <w:rFonts w:eastAsia="Google Sans Text" w:cs="Open Sans"/>
          <w:sz w:val="20"/>
          <w:szCs w:val="20"/>
        </w:rPr>
      </w:pPr>
    </w:p>
    <w:p w14:paraId="7C748635" w14:textId="77777777" w:rsidR="00D52692" w:rsidRPr="006F6140" w:rsidRDefault="00D52692" w:rsidP="00FD1D25">
      <w:pPr>
        <w:pBdr>
          <w:top w:val="nil"/>
          <w:left w:val="nil"/>
          <w:bottom w:val="nil"/>
          <w:right w:val="nil"/>
          <w:between w:val="nil"/>
        </w:pBdr>
        <w:spacing w:line="275" w:lineRule="auto"/>
        <w:rPr>
          <w:rFonts w:eastAsia="Google Sans Text" w:cs="Open Sans"/>
          <w:sz w:val="20"/>
          <w:szCs w:val="20"/>
        </w:rPr>
      </w:pPr>
    </w:p>
    <w:p w14:paraId="4E9AB747" w14:textId="7942AB88" w:rsidR="006F6140" w:rsidRDefault="006F6140" w:rsidP="006F6140">
      <w:pPr>
        <w:pStyle w:val="Caption"/>
        <w:keepNext/>
      </w:pPr>
      <w:bookmarkStart w:id="58" w:name="_Ref227055767"/>
      <w:bookmarkStart w:id="59" w:name="_Toc228701069"/>
      <w:r>
        <w:lastRenderedPageBreak/>
        <w:t xml:space="preserve">Table </w:t>
      </w:r>
      <w:fldSimple w:instr=" STYLEREF 1 \s ">
        <w:r w:rsidR="006C1C4E">
          <w:rPr>
            <w:noProof/>
          </w:rPr>
          <w:t>1</w:t>
        </w:r>
      </w:fldSimple>
      <w:r w:rsidR="006C1C4E">
        <w:noBreakHyphen/>
      </w:r>
      <w:fldSimple w:instr=" SEQ Table \* ARABIC \s 1 ">
        <w:r w:rsidR="006C1C4E">
          <w:rPr>
            <w:noProof/>
          </w:rPr>
          <w:t>2</w:t>
        </w:r>
      </w:fldSimple>
      <w:bookmarkEnd w:id="58"/>
      <w:r>
        <w:t xml:space="preserve"> </w:t>
      </w:r>
      <w:r w:rsidRPr="001C3088">
        <w:t>OVERVIEW OF STAKEHOLDERS IN COCOA SECTOR</w:t>
      </w:r>
      <w:bookmarkEnd w:id="5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0"/>
        <w:gridCol w:w="3104"/>
        <w:gridCol w:w="2447"/>
      </w:tblGrid>
      <w:tr w:rsidR="00FD1D25" w:rsidRPr="00FD1D25" w14:paraId="5E2D8460" w14:textId="77777777" w:rsidTr="00930C4A">
        <w:trPr>
          <w:trHeight w:val="290"/>
        </w:trPr>
        <w:tc>
          <w:tcPr>
            <w:tcW w:w="3800" w:type="dxa"/>
            <w:shd w:val="clear" w:color="auto" w:fill="000000" w:themeFill="text1"/>
            <w:noWrap/>
            <w:vAlign w:val="bottom"/>
            <w:hideMark/>
          </w:tcPr>
          <w:p w14:paraId="2D9ECF8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Stakeholder</w:t>
            </w:r>
          </w:p>
        </w:tc>
        <w:tc>
          <w:tcPr>
            <w:tcW w:w="3104" w:type="dxa"/>
            <w:shd w:val="clear" w:color="auto" w:fill="000000" w:themeFill="text1"/>
            <w:noWrap/>
            <w:vAlign w:val="bottom"/>
            <w:hideMark/>
          </w:tcPr>
          <w:p w14:paraId="408B483A"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Role/Function</w:t>
            </w:r>
          </w:p>
        </w:tc>
        <w:tc>
          <w:tcPr>
            <w:tcW w:w="2447" w:type="dxa"/>
            <w:shd w:val="clear" w:color="auto" w:fill="000000" w:themeFill="text1"/>
            <w:noWrap/>
            <w:vAlign w:val="bottom"/>
            <w:hideMark/>
          </w:tcPr>
          <w:p w14:paraId="3A5EB409"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p>
        </w:tc>
      </w:tr>
      <w:tr w:rsidR="00FD1D25" w:rsidRPr="00FD1D25" w14:paraId="09507532" w14:textId="77777777" w:rsidTr="00930C4A">
        <w:trPr>
          <w:trHeight w:val="290"/>
        </w:trPr>
        <w:tc>
          <w:tcPr>
            <w:tcW w:w="9351" w:type="dxa"/>
            <w:gridSpan w:val="3"/>
            <w:shd w:val="clear" w:color="auto" w:fill="D9D9D9" w:themeFill="background1" w:themeFillShade="D9"/>
            <w:noWrap/>
            <w:vAlign w:val="bottom"/>
          </w:tcPr>
          <w:p w14:paraId="133C3F2E"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Government and Regulatory Bodies – provide policy guidance, quality control, and facilitate trade</w:t>
            </w:r>
          </w:p>
        </w:tc>
      </w:tr>
      <w:tr w:rsidR="00FD1D25" w:rsidRPr="00FD1D25" w14:paraId="25B41365" w14:textId="77777777" w:rsidTr="00930C4A">
        <w:trPr>
          <w:trHeight w:val="290"/>
        </w:trPr>
        <w:tc>
          <w:tcPr>
            <w:tcW w:w="3800" w:type="dxa"/>
            <w:noWrap/>
            <w:vAlign w:val="bottom"/>
          </w:tcPr>
          <w:p w14:paraId="6EACBC7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Ministry of Agriculture and Food Security (MAFS)</w:t>
            </w:r>
          </w:p>
        </w:tc>
        <w:tc>
          <w:tcPr>
            <w:tcW w:w="5551" w:type="dxa"/>
            <w:gridSpan w:val="2"/>
            <w:noWrap/>
            <w:vAlign w:val="bottom"/>
          </w:tcPr>
          <w:p w14:paraId="73C69E4E"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proofErr w:type="gramStart"/>
            <w:r w:rsidRPr="00FD1D25">
              <w:rPr>
                <w:rFonts w:eastAsia="Google Sans Text" w:cs="Open Sans"/>
                <w:sz w:val="20"/>
                <w:szCs w:val="20"/>
              </w:rPr>
              <w:t>Oversees</w:t>
            </w:r>
            <w:proofErr w:type="gramEnd"/>
            <w:r w:rsidRPr="00FD1D25">
              <w:rPr>
                <w:rFonts w:eastAsia="Google Sans Text" w:cs="Open Sans"/>
                <w:sz w:val="20"/>
                <w:szCs w:val="20"/>
              </w:rPr>
              <w:t xml:space="preserve"> </w:t>
            </w:r>
            <w:proofErr w:type="gramStart"/>
            <w:r w:rsidRPr="00FD1D25">
              <w:rPr>
                <w:rFonts w:eastAsia="Google Sans Text" w:cs="Open Sans"/>
                <w:sz w:val="20"/>
                <w:szCs w:val="20"/>
              </w:rPr>
              <w:t>cocoa development</w:t>
            </w:r>
            <w:proofErr w:type="gramEnd"/>
            <w:r w:rsidRPr="00FD1D25">
              <w:rPr>
                <w:rFonts w:eastAsia="Google Sans Text" w:cs="Open Sans"/>
                <w:sz w:val="20"/>
                <w:szCs w:val="20"/>
              </w:rPr>
              <w:t xml:space="preserve"> programs, farmer training, and extension services.</w:t>
            </w:r>
          </w:p>
        </w:tc>
      </w:tr>
      <w:tr w:rsidR="00FD1D25" w:rsidRPr="00FD1D25" w14:paraId="33CCBDAC" w14:textId="77777777" w:rsidTr="00930C4A">
        <w:trPr>
          <w:trHeight w:val="290"/>
        </w:trPr>
        <w:tc>
          <w:tcPr>
            <w:tcW w:w="3800" w:type="dxa"/>
            <w:noWrap/>
            <w:vAlign w:val="bottom"/>
          </w:tcPr>
          <w:p w14:paraId="0858C35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Produce Monitoring Board (PMB)</w:t>
            </w:r>
          </w:p>
        </w:tc>
        <w:tc>
          <w:tcPr>
            <w:tcW w:w="5551" w:type="dxa"/>
            <w:gridSpan w:val="2"/>
            <w:noWrap/>
            <w:vAlign w:val="bottom"/>
          </w:tcPr>
          <w:p w14:paraId="5049A1B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Regulates and certifies cocoa quality for export, issues export licenses, and prices monitoring</w:t>
            </w:r>
          </w:p>
        </w:tc>
      </w:tr>
      <w:tr w:rsidR="00FD1D25" w:rsidRPr="00FD1D25" w14:paraId="716A1824" w14:textId="77777777" w:rsidTr="00930C4A">
        <w:trPr>
          <w:trHeight w:val="290"/>
        </w:trPr>
        <w:tc>
          <w:tcPr>
            <w:tcW w:w="3800" w:type="dxa"/>
            <w:noWrap/>
            <w:vAlign w:val="bottom"/>
          </w:tcPr>
          <w:p w14:paraId="5095361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National Standards Bureau (NSB)</w:t>
            </w:r>
          </w:p>
        </w:tc>
        <w:tc>
          <w:tcPr>
            <w:tcW w:w="5551" w:type="dxa"/>
            <w:gridSpan w:val="2"/>
            <w:noWrap/>
            <w:vAlign w:val="bottom"/>
          </w:tcPr>
          <w:p w14:paraId="0748081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Develops cocoa quality and safety standards for international markets</w:t>
            </w:r>
          </w:p>
        </w:tc>
      </w:tr>
      <w:tr w:rsidR="00FD1D25" w:rsidRPr="00FD1D25" w14:paraId="542D7FC2" w14:textId="77777777" w:rsidTr="00930C4A">
        <w:trPr>
          <w:trHeight w:val="290"/>
        </w:trPr>
        <w:tc>
          <w:tcPr>
            <w:tcW w:w="3800" w:type="dxa"/>
            <w:noWrap/>
            <w:vAlign w:val="bottom"/>
          </w:tcPr>
          <w:p w14:paraId="0E2CFE1D"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Sierra Leone Investment and Export Promotion Agency (SLIEPA)</w:t>
            </w:r>
          </w:p>
        </w:tc>
        <w:tc>
          <w:tcPr>
            <w:tcW w:w="5551" w:type="dxa"/>
            <w:gridSpan w:val="2"/>
            <w:noWrap/>
            <w:vAlign w:val="bottom"/>
          </w:tcPr>
          <w:p w14:paraId="6F1D5AB3"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proofErr w:type="gramStart"/>
            <w:r w:rsidRPr="00FD1D25">
              <w:rPr>
                <w:rFonts w:eastAsia="Google Sans Text" w:cs="Open Sans"/>
                <w:sz w:val="20"/>
                <w:szCs w:val="20"/>
              </w:rPr>
              <w:t>Promotes</w:t>
            </w:r>
            <w:proofErr w:type="gramEnd"/>
            <w:r w:rsidRPr="00FD1D25">
              <w:rPr>
                <w:rFonts w:eastAsia="Google Sans Text" w:cs="Open Sans"/>
                <w:sz w:val="20"/>
                <w:szCs w:val="20"/>
              </w:rPr>
              <w:t xml:space="preserve"> foreign and domestic investment in cocoa production and export</w:t>
            </w:r>
          </w:p>
        </w:tc>
      </w:tr>
      <w:tr w:rsidR="00FD1D25" w:rsidRPr="00FD1D25" w14:paraId="0A91E2E3" w14:textId="77777777" w:rsidTr="00930C4A">
        <w:trPr>
          <w:trHeight w:val="290"/>
        </w:trPr>
        <w:tc>
          <w:tcPr>
            <w:tcW w:w="3800" w:type="dxa"/>
            <w:noWrap/>
          </w:tcPr>
          <w:p w14:paraId="708B23B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Cooperative Department (MTI)</w:t>
            </w:r>
          </w:p>
        </w:tc>
        <w:tc>
          <w:tcPr>
            <w:tcW w:w="5551" w:type="dxa"/>
            <w:gridSpan w:val="2"/>
            <w:noWrap/>
          </w:tcPr>
          <w:p w14:paraId="24E544EC"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Registers and oversees cooperatives under the 1977 Act.</w:t>
            </w:r>
          </w:p>
        </w:tc>
      </w:tr>
      <w:tr w:rsidR="00FD1D25" w:rsidRPr="00FD1D25" w14:paraId="1AA655F4" w14:textId="77777777" w:rsidTr="00930C4A">
        <w:trPr>
          <w:trHeight w:val="290"/>
        </w:trPr>
        <w:tc>
          <w:tcPr>
            <w:tcW w:w="3800" w:type="dxa"/>
            <w:noWrap/>
          </w:tcPr>
          <w:p w14:paraId="19B9C71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National Revenue Authority (NRA)</w:t>
            </w:r>
          </w:p>
        </w:tc>
        <w:tc>
          <w:tcPr>
            <w:tcW w:w="5551" w:type="dxa"/>
            <w:gridSpan w:val="2"/>
            <w:noWrap/>
          </w:tcPr>
          <w:p w14:paraId="07170EFB"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Oversees export customs and tax collection.</w:t>
            </w:r>
          </w:p>
        </w:tc>
      </w:tr>
      <w:tr w:rsidR="00FD1D25" w:rsidRPr="00FD1D25" w14:paraId="7206AEF2" w14:textId="77777777" w:rsidTr="00930C4A">
        <w:trPr>
          <w:trHeight w:val="290"/>
        </w:trPr>
        <w:tc>
          <w:tcPr>
            <w:tcW w:w="9351" w:type="dxa"/>
            <w:gridSpan w:val="3"/>
            <w:shd w:val="clear" w:color="auto" w:fill="D9D9D9" w:themeFill="background1" w:themeFillShade="D9"/>
            <w:noWrap/>
            <w:vAlign w:val="bottom"/>
          </w:tcPr>
          <w:p w14:paraId="7A3C2FE7"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Farmers and FBOs</w:t>
            </w:r>
          </w:p>
        </w:tc>
      </w:tr>
      <w:tr w:rsidR="00FD1D25" w:rsidRPr="00FD1D25" w14:paraId="382686FA" w14:textId="77777777" w:rsidTr="00930C4A">
        <w:trPr>
          <w:trHeight w:val="290"/>
        </w:trPr>
        <w:tc>
          <w:tcPr>
            <w:tcW w:w="3800" w:type="dxa"/>
            <w:noWrap/>
            <w:vAlign w:val="bottom"/>
          </w:tcPr>
          <w:p w14:paraId="057267D6"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Smallholder Farmers</w:t>
            </w:r>
          </w:p>
        </w:tc>
        <w:tc>
          <w:tcPr>
            <w:tcW w:w="5551" w:type="dxa"/>
            <w:gridSpan w:val="2"/>
            <w:noWrap/>
            <w:vAlign w:val="bottom"/>
          </w:tcPr>
          <w:p w14:paraId="1106423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Core producers of cocoa, managing 1 – 3ha/household</w:t>
            </w:r>
          </w:p>
        </w:tc>
      </w:tr>
      <w:tr w:rsidR="00FD1D25" w:rsidRPr="00FD1D25" w14:paraId="1D921CFA" w14:textId="77777777" w:rsidTr="00930C4A">
        <w:trPr>
          <w:trHeight w:val="290"/>
        </w:trPr>
        <w:tc>
          <w:tcPr>
            <w:tcW w:w="3800" w:type="dxa"/>
            <w:noWrap/>
            <w:vAlign w:val="bottom"/>
            <w:hideMark/>
          </w:tcPr>
          <w:p w14:paraId="3915069A"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Cocoa Cooperatives and FBOs</w:t>
            </w:r>
          </w:p>
        </w:tc>
        <w:tc>
          <w:tcPr>
            <w:tcW w:w="5551" w:type="dxa"/>
            <w:gridSpan w:val="2"/>
            <w:noWrap/>
            <w:vAlign w:val="bottom"/>
            <w:hideMark/>
          </w:tcPr>
          <w:p w14:paraId="76AB1D5B"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Facilitate collective marketing, training, and certification</w:t>
            </w:r>
          </w:p>
        </w:tc>
      </w:tr>
      <w:tr w:rsidR="00FD1D25" w:rsidRPr="00FD1D25" w14:paraId="6D2A42A7" w14:textId="77777777" w:rsidTr="00930C4A">
        <w:trPr>
          <w:trHeight w:val="290"/>
        </w:trPr>
        <w:tc>
          <w:tcPr>
            <w:tcW w:w="9351" w:type="dxa"/>
            <w:gridSpan w:val="3"/>
            <w:shd w:val="clear" w:color="auto" w:fill="D9D9D9" w:themeFill="background1" w:themeFillShade="D9"/>
            <w:noWrap/>
            <w:vAlign w:val="bottom"/>
          </w:tcPr>
          <w:p w14:paraId="096E7279"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Private Sector (Buyers, Exporters, Processors)</w:t>
            </w:r>
          </w:p>
        </w:tc>
      </w:tr>
      <w:tr w:rsidR="00FD1D25" w:rsidRPr="00FD1D25" w14:paraId="03E0895D" w14:textId="77777777" w:rsidTr="00930C4A">
        <w:trPr>
          <w:trHeight w:val="290"/>
        </w:trPr>
        <w:tc>
          <w:tcPr>
            <w:tcW w:w="3800" w:type="dxa"/>
            <w:noWrap/>
            <w:vAlign w:val="bottom"/>
            <w:hideMark/>
          </w:tcPr>
          <w:p w14:paraId="094BF17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Aggregators / Buying Agents</w:t>
            </w:r>
          </w:p>
        </w:tc>
        <w:tc>
          <w:tcPr>
            <w:tcW w:w="5551" w:type="dxa"/>
            <w:gridSpan w:val="2"/>
            <w:noWrap/>
            <w:vAlign w:val="bottom"/>
            <w:hideMark/>
          </w:tcPr>
          <w:p w14:paraId="417A1766"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Purchase cocoa from farmers and resell to exporters</w:t>
            </w:r>
          </w:p>
        </w:tc>
      </w:tr>
      <w:tr w:rsidR="00FD1D25" w:rsidRPr="00FD1D25" w14:paraId="44458819" w14:textId="77777777" w:rsidTr="00930C4A">
        <w:trPr>
          <w:trHeight w:val="290"/>
        </w:trPr>
        <w:tc>
          <w:tcPr>
            <w:tcW w:w="3800" w:type="dxa"/>
            <w:noWrap/>
            <w:vAlign w:val="bottom"/>
            <w:hideMark/>
          </w:tcPr>
          <w:p w14:paraId="58025813"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Exporters</w:t>
            </w:r>
          </w:p>
        </w:tc>
        <w:tc>
          <w:tcPr>
            <w:tcW w:w="5551" w:type="dxa"/>
            <w:gridSpan w:val="2"/>
            <w:noWrap/>
            <w:vAlign w:val="bottom"/>
            <w:hideMark/>
          </w:tcPr>
          <w:p w14:paraId="6CF9BFF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 xml:space="preserve">Handle bulk purchases and international sales </w:t>
            </w:r>
          </w:p>
        </w:tc>
      </w:tr>
      <w:tr w:rsidR="00FD1D25" w:rsidRPr="00FD1D25" w14:paraId="715ED5A0" w14:textId="77777777" w:rsidTr="00930C4A">
        <w:trPr>
          <w:trHeight w:val="290"/>
        </w:trPr>
        <w:tc>
          <w:tcPr>
            <w:tcW w:w="3800" w:type="dxa"/>
            <w:noWrap/>
            <w:vAlign w:val="bottom"/>
            <w:hideMark/>
          </w:tcPr>
          <w:p w14:paraId="3A82F13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Processors</w:t>
            </w:r>
          </w:p>
        </w:tc>
        <w:tc>
          <w:tcPr>
            <w:tcW w:w="5551" w:type="dxa"/>
            <w:gridSpan w:val="2"/>
            <w:noWrap/>
            <w:vAlign w:val="bottom"/>
            <w:hideMark/>
          </w:tcPr>
          <w:p w14:paraId="4C6B8A9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 xml:space="preserve">Engaged in fermentation and drying. Minimal value addition. </w:t>
            </w:r>
          </w:p>
          <w:p w14:paraId="54AFA52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 xml:space="preserve">Done either by farmers (primary producers), cooperatives or exporters. </w:t>
            </w:r>
          </w:p>
        </w:tc>
      </w:tr>
      <w:tr w:rsidR="00FD1D25" w:rsidRPr="00FD1D25" w14:paraId="66F71EBA" w14:textId="77777777" w:rsidTr="00930C4A">
        <w:trPr>
          <w:trHeight w:val="290"/>
        </w:trPr>
        <w:tc>
          <w:tcPr>
            <w:tcW w:w="3800" w:type="dxa"/>
            <w:noWrap/>
          </w:tcPr>
          <w:p w14:paraId="5E3657E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Banks and Microfinance Institutions</w:t>
            </w:r>
          </w:p>
        </w:tc>
        <w:tc>
          <w:tcPr>
            <w:tcW w:w="5551" w:type="dxa"/>
            <w:gridSpan w:val="2"/>
            <w:noWrap/>
          </w:tcPr>
          <w:p w14:paraId="65D63D36"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Provide financial services to farmers and traders (e.g., loan schemes for inputs).</w:t>
            </w:r>
          </w:p>
        </w:tc>
      </w:tr>
      <w:tr w:rsidR="00FD1D25" w:rsidRPr="00FD1D25" w14:paraId="30594782" w14:textId="77777777" w:rsidTr="00930C4A">
        <w:trPr>
          <w:trHeight w:val="290"/>
        </w:trPr>
        <w:tc>
          <w:tcPr>
            <w:tcW w:w="9351" w:type="dxa"/>
            <w:gridSpan w:val="3"/>
            <w:shd w:val="clear" w:color="auto" w:fill="D9D9D9" w:themeFill="background1" w:themeFillShade="D9"/>
            <w:noWrap/>
            <w:vAlign w:val="bottom"/>
          </w:tcPr>
          <w:p w14:paraId="3162A4CE"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International NGOs and Development Partners - Fund programs to improve productivity, quality, and market systems</w:t>
            </w:r>
          </w:p>
        </w:tc>
      </w:tr>
      <w:tr w:rsidR="00FD1D25" w:rsidRPr="00FD1D25" w14:paraId="76D844FC" w14:textId="77777777" w:rsidTr="00930C4A">
        <w:trPr>
          <w:trHeight w:val="290"/>
        </w:trPr>
        <w:tc>
          <w:tcPr>
            <w:tcW w:w="3800" w:type="dxa"/>
            <w:noWrap/>
            <w:vAlign w:val="bottom"/>
            <w:hideMark/>
          </w:tcPr>
          <w:p w14:paraId="6C19037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NGOs/INGOs</w:t>
            </w:r>
          </w:p>
        </w:tc>
        <w:tc>
          <w:tcPr>
            <w:tcW w:w="5551" w:type="dxa"/>
            <w:gridSpan w:val="2"/>
            <w:noWrap/>
            <w:vAlign w:val="bottom"/>
            <w:hideMark/>
          </w:tcPr>
          <w:p w14:paraId="16A5EF4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Provide training, certification, and capacity building</w:t>
            </w:r>
          </w:p>
        </w:tc>
      </w:tr>
      <w:tr w:rsidR="00FD1D25" w:rsidRPr="00FD1D25" w14:paraId="78270A39" w14:textId="77777777" w:rsidTr="00930C4A">
        <w:trPr>
          <w:trHeight w:val="290"/>
        </w:trPr>
        <w:tc>
          <w:tcPr>
            <w:tcW w:w="3800" w:type="dxa"/>
            <w:noWrap/>
          </w:tcPr>
          <w:p w14:paraId="61DB7679"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Solidaridad West Africa</w:t>
            </w:r>
          </w:p>
        </w:tc>
        <w:tc>
          <w:tcPr>
            <w:tcW w:w="5551" w:type="dxa"/>
            <w:gridSpan w:val="2"/>
            <w:noWrap/>
          </w:tcPr>
          <w:p w14:paraId="3B5CF4C5"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Collaborates with cooperatives to enhance cocoa quality, improve traceability, and promote climate resilience</w:t>
            </w:r>
          </w:p>
        </w:tc>
      </w:tr>
      <w:tr w:rsidR="00FD1D25" w:rsidRPr="00FD1D25" w14:paraId="0474EEF5" w14:textId="77777777" w:rsidTr="00930C4A">
        <w:trPr>
          <w:trHeight w:val="290"/>
        </w:trPr>
        <w:tc>
          <w:tcPr>
            <w:tcW w:w="3800" w:type="dxa"/>
            <w:noWrap/>
          </w:tcPr>
          <w:p w14:paraId="0CC012B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Welthungerhilfe (WWH)</w:t>
            </w:r>
          </w:p>
        </w:tc>
        <w:tc>
          <w:tcPr>
            <w:tcW w:w="5551" w:type="dxa"/>
            <w:gridSpan w:val="2"/>
            <w:noWrap/>
          </w:tcPr>
          <w:p w14:paraId="3F99A5A8"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Delivers governance and management training to cocoa cooperatives in Kenema/Kailahun</w:t>
            </w:r>
          </w:p>
        </w:tc>
      </w:tr>
      <w:tr w:rsidR="00FD1D25" w:rsidRPr="00FD1D25" w14:paraId="067002D5" w14:textId="77777777" w:rsidTr="00930C4A">
        <w:trPr>
          <w:trHeight w:val="290"/>
        </w:trPr>
        <w:tc>
          <w:tcPr>
            <w:tcW w:w="3800" w:type="dxa"/>
            <w:noWrap/>
          </w:tcPr>
          <w:p w14:paraId="14FFE71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GIZ (German Development Cooperation)</w:t>
            </w:r>
          </w:p>
        </w:tc>
        <w:tc>
          <w:tcPr>
            <w:tcW w:w="5551" w:type="dxa"/>
            <w:gridSpan w:val="2"/>
            <w:noWrap/>
          </w:tcPr>
          <w:p w14:paraId="385094FA"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Has supported Sierra Leone in sustainable cocoa development and certification systems</w:t>
            </w:r>
          </w:p>
        </w:tc>
      </w:tr>
      <w:tr w:rsidR="00FD1D25" w:rsidRPr="00FD1D25" w14:paraId="68DA1AA4" w14:textId="77777777" w:rsidTr="00930C4A">
        <w:trPr>
          <w:trHeight w:val="290"/>
        </w:trPr>
        <w:tc>
          <w:tcPr>
            <w:tcW w:w="3800" w:type="dxa"/>
            <w:noWrap/>
          </w:tcPr>
          <w:p w14:paraId="122947D9"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UNDP Sierra Leone</w:t>
            </w:r>
          </w:p>
        </w:tc>
        <w:tc>
          <w:tcPr>
            <w:tcW w:w="5551" w:type="dxa"/>
            <w:gridSpan w:val="2"/>
            <w:noWrap/>
          </w:tcPr>
          <w:p w14:paraId="54B61896"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proofErr w:type="gramStart"/>
            <w:r w:rsidRPr="00FD1D25">
              <w:rPr>
                <w:rFonts w:eastAsia="Google Sans Text" w:cs="Open Sans"/>
                <w:sz w:val="20"/>
                <w:szCs w:val="20"/>
              </w:rPr>
              <w:t>Promotes</w:t>
            </w:r>
            <w:proofErr w:type="gramEnd"/>
            <w:r w:rsidRPr="00FD1D25">
              <w:rPr>
                <w:rFonts w:eastAsia="Google Sans Text" w:cs="Open Sans"/>
                <w:sz w:val="20"/>
                <w:szCs w:val="20"/>
              </w:rPr>
              <w:t xml:space="preserve"> sustainable agriculture and value addition, including cocoa</w:t>
            </w:r>
          </w:p>
        </w:tc>
      </w:tr>
      <w:tr w:rsidR="00FD1D25" w:rsidRPr="00FD1D25" w14:paraId="5810B7FD" w14:textId="77777777" w:rsidTr="00930C4A">
        <w:trPr>
          <w:trHeight w:val="290"/>
        </w:trPr>
        <w:tc>
          <w:tcPr>
            <w:tcW w:w="3800" w:type="dxa"/>
            <w:noWrap/>
          </w:tcPr>
          <w:p w14:paraId="123CF1DA"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World Bank (</w:t>
            </w:r>
            <w:proofErr w:type="spellStart"/>
            <w:r w:rsidRPr="00FD1D25">
              <w:rPr>
                <w:rFonts w:eastAsia="Google Sans Text" w:cs="Open Sans"/>
                <w:sz w:val="20"/>
                <w:szCs w:val="20"/>
              </w:rPr>
              <w:t>SCADeP</w:t>
            </w:r>
            <w:proofErr w:type="spellEnd"/>
            <w:r w:rsidRPr="00FD1D25">
              <w:rPr>
                <w:rFonts w:eastAsia="Google Sans Text" w:cs="Open Sans"/>
                <w:sz w:val="20"/>
                <w:szCs w:val="20"/>
              </w:rPr>
              <w:t xml:space="preserve"> project)</w:t>
            </w:r>
          </w:p>
        </w:tc>
        <w:tc>
          <w:tcPr>
            <w:tcW w:w="5551" w:type="dxa"/>
            <w:gridSpan w:val="2"/>
            <w:noWrap/>
          </w:tcPr>
          <w:p w14:paraId="4716FDBB"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Supports infrastructure and value chain upgrades for cocoa and other crops</w:t>
            </w:r>
          </w:p>
        </w:tc>
      </w:tr>
      <w:tr w:rsidR="00FD1D25" w:rsidRPr="00FD1D25" w14:paraId="0BC7AA0D" w14:textId="77777777" w:rsidTr="00930C4A">
        <w:trPr>
          <w:trHeight w:val="290"/>
        </w:trPr>
        <w:tc>
          <w:tcPr>
            <w:tcW w:w="3800" w:type="dxa"/>
            <w:noWrap/>
          </w:tcPr>
          <w:p w14:paraId="146F4293" w14:textId="745988DD"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ITC / UNIDO</w:t>
            </w:r>
            <w:r w:rsidR="00646744">
              <w:rPr>
                <w:rFonts w:eastAsia="Google Sans Text" w:cs="Open Sans"/>
                <w:sz w:val="20"/>
                <w:szCs w:val="20"/>
              </w:rPr>
              <w:t>/IFAD</w:t>
            </w:r>
          </w:p>
        </w:tc>
        <w:tc>
          <w:tcPr>
            <w:tcW w:w="5551" w:type="dxa"/>
            <w:gridSpan w:val="2"/>
            <w:noWrap/>
          </w:tcPr>
          <w:p w14:paraId="0B59B6D4" w14:textId="02ACC91B"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Lead value chain programs like WACOMP for cocoa competitiveness</w:t>
            </w:r>
            <w:r w:rsidR="00646744">
              <w:rPr>
                <w:rFonts w:eastAsia="Google Sans Text" w:cs="Open Sans"/>
                <w:sz w:val="20"/>
                <w:szCs w:val="20"/>
              </w:rPr>
              <w:t xml:space="preserve">. </w:t>
            </w:r>
            <w:r w:rsidR="00646744" w:rsidRPr="00646744">
              <w:rPr>
                <w:rFonts w:eastAsia="Google Sans Text" w:cs="Open Sans"/>
                <w:sz w:val="20"/>
                <w:szCs w:val="20"/>
              </w:rPr>
              <w:t xml:space="preserve">Agriculture Value Chain Development Project (AVDP) supports infrastructure, </w:t>
            </w:r>
            <w:proofErr w:type="gramStart"/>
            <w:r w:rsidR="00646744" w:rsidRPr="00646744">
              <w:rPr>
                <w:rFonts w:eastAsia="Google Sans Text" w:cs="Open Sans"/>
                <w:sz w:val="20"/>
                <w:szCs w:val="20"/>
              </w:rPr>
              <w:t>prepare</w:t>
            </w:r>
            <w:proofErr w:type="gramEnd"/>
            <w:r w:rsidR="00646744" w:rsidRPr="00646744">
              <w:rPr>
                <w:rFonts w:eastAsia="Google Sans Text" w:cs="Open Sans"/>
                <w:sz w:val="20"/>
                <w:szCs w:val="20"/>
              </w:rPr>
              <w:t xml:space="preserve"> cocoa nurseries and support farmers with cocoa production</w:t>
            </w:r>
            <w:r w:rsidR="00646744">
              <w:rPr>
                <w:rFonts w:eastAsia="Google Sans Text" w:cs="Open Sans"/>
                <w:sz w:val="20"/>
                <w:szCs w:val="20"/>
              </w:rPr>
              <w:t>.</w:t>
            </w:r>
          </w:p>
        </w:tc>
      </w:tr>
      <w:tr w:rsidR="00FD1D25" w:rsidRPr="00FD1D25" w14:paraId="1B70B145" w14:textId="77777777" w:rsidTr="00930C4A">
        <w:trPr>
          <w:trHeight w:val="290"/>
        </w:trPr>
        <w:tc>
          <w:tcPr>
            <w:tcW w:w="9351" w:type="dxa"/>
            <w:gridSpan w:val="3"/>
            <w:shd w:val="clear" w:color="auto" w:fill="D9D9D9" w:themeFill="background1" w:themeFillShade="D9"/>
            <w:noWrap/>
            <w:vAlign w:val="bottom"/>
          </w:tcPr>
          <w:p w14:paraId="05D36FB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Research, Certification &amp; Academic Bodies - ensure knowledge transfer, best practices, and quality assurance</w:t>
            </w:r>
          </w:p>
        </w:tc>
      </w:tr>
      <w:tr w:rsidR="00FD1D25" w:rsidRPr="00FD1D25" w14:paraId="6F8D063B" w14:textId="77777777" w:rsidTr="00930C4A">
        <w:trPr>
          <w:trHeight w:val="290"/>
        </w:trPr>
        <w:tc>
          <w:tcPr>
            <w:tcW w:w="3800" w:type="dxa"/>
            <w:noWrap/>
          </w:tcPr>
          <w:p w14:paraId="4D4D60FC"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lastRenderedPageBreak/>
              <w:t>Njala University</w:t>
            </w:r>
          </w:p>
        </w:tc>
        <w:tc>
          <w:tcPr>
            <w:tcW w:w="5551" w:type="dxa"/>
            <w:gridSpan w:val="2"/>
            <w:noWrap/>
          </w:tcPr>
          <w:p w14:paraId="2C8E70E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Agricultural training and research related to cocoa agronomy and value chains</w:t>
            </w:r>
          </w:p>
        </w:tc>
      </w:tr>
      <w:tr w:rsidR="00FD1D25" w:rsidRPr="00FD1D25" w14:paraId="2814C2A5" w14:textId="77777777" w:rsidTr="00930C4A">
        <w:trPr>
          <w:trHeight w:val="290"/>
        </w:trPr>
        <w:tc>
          <w:tcPr>
            <w:tcW w:w="3800" w:type="dxa"/>
            <w:noWrap/>
          </w:tcPr>
          <w:p w14:paraId="103502DE"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Sierra Leone Agricultural Research Institute (SLARI)</w:t>
            </w:r>
          </w:p>
        </w:tc>
        <w:tc>
          <w:tcPr>
            <w:tcW w:w="5551" w:type="dxa"/>
            <w:gridSpan w:val="2"/>
            <w:noWrap/>
          </w:tcPr>
          <w:p w14:paraId="5CBBB4D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Provides research on cocoa pests, diseases, and climate-smart practices</w:t>
            </w:r>
          </w:p>
        </w:tc>
      </w:tr>
      <w:tr w:rsidR="00FD1D25" w:rsidRPr="00FD1D25" w14:paraId="1CD9E41C" w14:textId="77777777" w:rsidTr="00930C4A">
        <w:trPr>
          <w:trHeight w:val="290"/>
        </w:trPr>
        <w:tc>
          <w:tcPr>
            <w:tcW w:w="3800" w:type="dxa"/>
            <w:noWrap/>
          </w:tcPr>
          <w:p w14:paraId="3F7BEC1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Fairtrade International / Organic Certifiers</w:t>
            </w:r>
          </w:p>
        </w:tc>
        <w:tc>
          <w:tcPr>
            <w:tcW w:w="5551" w:type="dxa"/>
            <w:gridSpan w:val="2"/>
            <w:noWrap/>
          </w:tcPr>
          <w:p w14:paraId="101BFD87"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Provide third-party certification for international markets (e.g., EU)</w:t>
            </w:r>
          </w:p>
        </w:tc>
      </w:tr>
      <w:tr w:rsidR="00FD1D25" w:rsidRPr="00FD1D25" w14:paraId="1F81FB57" w14:textId="77777777" w:rsidTr="00930C4A">
        <w:trPr>
          <w:trHeight w:val="290"/>
        </w:trPr>
        <w:tc>
          <w:tcPr>
            <w:tcW w:w="3800" w:type="dxa"/>
            <w:noWrap/>
          </w:tcPr>
          <w:p w14:paraId="6E10C54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NGOs and some exporters</w:t>
            </w:r>
          </w:p>
        </w:tc>
        <w:tc>
          <w:tcPr>
            <w:tcW w:w="5551" w:type="dxa"/>
            <w:gridSpan w:val="2"/>
            <w:noWrap/>
          </w:tcPr>
          <w:p w14:paraId="146C72EF"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Conduct data collection and analyses, but make them rarely published</w:t>
            </w:r>
          </w:p>
        </w:tc>
      </w:tr>
      <w:tr w:rsidR="00FD1D25" w:rsidRPr="00FD1D25" w14:paraId="4016794E" w14:textId="77777777" w:rsidTr="00930C4A">
        <w:trPr>
          <w:trHeight w:val="290"/>
        </w:trPr>
        <w:tc>
          <w:tcPr>
            <w:tcW w:w="9351" w:type="dxa"/>
            <w:gridSpan w:val="3"/>
            <w:shd w:val="clear" w:color="auto" w:fill="D9D9D9" w:themeFill="background1" w:themeFillShade="D9"/>
            <w:noWrap/>
          </w:tcPr>
          <w:p w14:paraId="5893FB2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Local Communities &amp; Traditional Authorities - Vital for land access, conflict resolution, and community acceptance.</w:t>
            </w:r>
          </w:p>
        </w:tc>
      </w:tr>
      <w:tr w:rsidR="00FD1D25" w:rsidRPr="00FD1D25" w14:paraId="2E7D9803" w14:textId="77777777" w:rsidTr="00930C4A">
        <w:trPr>
          <w:trHeight w:val="290"/>
        </w:trPr>
        <w:tc>
          <w:tcPr>
            <w:tcW w:w="3800" w:type="dxa"/>
            <w:noWrap/>
          </w:tcPr>
          <w:p w14:paraId="39388E63"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Paramount Chiefs</w:t>
            </w:r>
          </w:p>
        </w:tc>
        <w:tc>
          <w:tcPr>
            <w:tcW w:w="5551" w:type="dxa"/>
            <w:gridSpan w:val="2"/>
            <w:noWrap/>
          </w:tcPr>
          <w:p w14:paraId="49BB38C4"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proofErr w:type="gramStart"/>
            <w:r w:rsidRPr="00FD1D25">
              <w:rPr>
                <w:rFonts w:eastAsia="Google Sans Text" w:cs="Open Sans"/>
                <w:sz w:val="20"/>
                <w:szCs w:val="20"/>
              </w:rPr>
              <w:t>Control</w:t>
            </w:r>
            <w:proofErr w:type="gramEnd"/>
            <w:r w:rsidRPr="00FD1D25">
              <w:rPr>
                <w:rFonts w:eastAsia="Google Sans Text" w:cs="Open Sans"/>
                <w:sz w:val="20"/>
                <w:szCs w:val="20"/>
              </w:rPr>
              <w:t xml:space="preserve"> land rights, </w:t>
            </w:r>
            <w:proofErr w:type="gramStart"/>
            <w:r w:rsidRPr="00FD1D25">
              <w:rPr>
                <w:rFonts w:eastAsia="Google Sans Text" w:cs="Open Sans"/>
                <w:sz w:val="20"/>
                <w:szCs w:val="20"/>
              </w:rPr>
              <w:t>influence</w:t>
            </w:r>
            <w:proofErr w:type="gramEnd"/>
            <w:r w:rsidRPr="00FD1D25">
              <w:rPr>
                <w:rFonts w:eastAsia="Google Sans Text" w:cs="Open Sans"/>
                <w:sz w:val="20"/>
                <w:szCs w:val="20"/>
              </w:rPr>
              <w:t xml:space="preserve"> farming practices and cooperative formation.</w:t>
            </w:r>
          </w:p>
        </w:tc>
      </w:tr>
      <w:tr w:rsidR="00FD1D25" w:rsidRPr="00FD1D25" w14:paraId="1ABBCBAD" w14:textId="77777777" w:rsidTr="00930C4A">
        <w:trPr>
          <w:trHeight w:val="290"/>
        </w:trPr>
        <w:tc>
          <w:tcPr>
            <w:tcW w:w="3800" w:type="dxa"/>
            <w:noWrap/>
          </w:tcPr>
          <w:p w14:paraId="233D78A5"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Village Development Committees (VDCs)</w:t>
            </w:r>
          </w:p>
        </w:tc>
        <w:tc>
          <w:tcPr>
            <w:tcW w:w="5551" w:type="dxa"/>
            <w:gridSpan w:val="2"/>
            <w:noWrap/>
          </w:tcPr>
          <w:p w14:paraId="084A0559"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Facilitate coordination of farmer programs, particularly with NGOs.</w:t>
            </w:r>
          </w:p>
        </w:tc>
      </w:tr>
      <w:tr w:rsidR="00FD1D25" w:rsidRPr="00FD1D25" w14:paraId="4BBF9E7D" w14:textId="77777777" w:rsidTr="00930C4A">
        <w:trPr>
          <w:trHeight w:val="290"/>
        </w:trPr>
        <w:tc>
          <w:tcPr>
            <w:tcW w:w="9351" w:type="dxa"/>
            <w:gridSpan w:val="3"/>
            <w:shd w:val="clear" w:color="auto" w:fill="D9D9D9" w:themeFill="background1" w:themeFillShade="D9"/>
            <w:noWrap/>
            <w:vAlign w:val="bottom"/>
          </w:tcPr>
          <w:p w14:paraId="318162FF"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Other stakeholders</w:t>
            </w:r>
          </w:p>
        </w:tc>
      </w:tr>
      <w:tr w:rsidR="00FD1D25" w:rsidRPr="00FD1D25" w14:paraId="38F6BF8B" w14:textId="77777777" w:rsidTr="00930C4A">
        <w:trPr>
          <w:trHeight w:val="290"/>
        </w:trPr>
        <w:tc>
          <w:tcPr>
            <w:tcW w:w="3800" w:type="dxa"/>
            <w:noWrap/>
            <w:vAlign w:val="bottom"/>
          </w:tcPr>
          <w:p w14:paraId="112FF0B0"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Input Suppliers</w:t>
            </w:r>
          </w:p>
        </w:tc>
        <w:tc>
          <w:tcPr>
            <w:tcW w:w="5551" w:type="dxa"/>
            <w:gridSpan w:val="2"/>
            <w:noWrap/>
            <w:vAlign w:val="bottom"/>
          </w:tcPr>
          <w:p w14:paraId="77314A27"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Provide tools, planting material, and agrochemicals</w:t>
            </w:r>
          </w:p>
        </w:tc>
      </w:tr>
      <w:tr w:rsidR="00FD1D25" w:rsidRPr="00FD1D25" w14:paraId="2877B599" w14:textId="77777777" w:rsidTr="00930C4A">
        <w:trPr>
          <w:trHeight w:val="290"/>
        </w:trPr>
        <w:tc>
          <w:tcPr>
            <w:tcW w:w="3800" w:type="dxa"/>
            <w:noWrap/>
            <w:vAlign w:val="bottom"/>
          </w:tcPr>
          <w:p w14:paraId="6D1EF742"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Extension Services</w:t>
            </w:r>
          </w:p>
        </w:tc>
        <w:tc>
          <w:tcPr>
            <w:tcW w:w="5551" w:type="dxa"/>
            <w:gridSpan w:val="2"/>
            <w:noWrap/>
            <w:vAlign w:val="bottom"/>
          </w:tcPr>
          <w:p w14:paraId="58008EEB"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Delivered mainly by NGOs due to limited public capacity</w:t>
            </w:r>
          </w:p>
        </w:tc>
      </w:tr>
      <w:tr w:rsidR="00FD1D25" w:rsidRPr="00FD1D25" w14:paraId="6DE3D695" w14:textId="77777777" w:rsidTr="00930C4A">
        <w:trPr>
          <w:trHeight w:val="290"/>
        </w:trPr>
        <w:tc>
          <w:tcPr>
            <w:tcW w:w="3800" w:type="dxa"/>
            <w:noWrap/>
            <w:vAlign w:val="bottom"/>
          </w:tcPr>
          <w:p w14:paraId="137E7B76"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Women's and Youth Groups</w:t>
            </w:r>
          </w:p>
        </w:tc>
        <w:tc>
          <w:tcPr>
            <w:tcW w:w="5551" w:type="dxa"/>
            <w:gridSpan w:val="2"/>
            <w:noWrap/>
            <w:vAlign w:val="bottom"/>
          </w:tcPr>
          <w:p w14:paraId="76531F47"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Critical in production but often excluded from leadership.</w:t>
            </w:r>
          </w:p>
        </w:tc>
      </w:tr>
      <w:tr w:rsidR="00FD1D25" w:rsidRPr="00FD1D25" w14:paraId="0DFF3A0C" w14:textId="77777777" w:rsidTr="00930C4A">
        <w:trPr>
          <w:trHeight w:val="290"/>
        </w:trPr>
        <w:tc>
          <w:tcPr>
            <w:tcW w:w="3800" w:type="dxa"/>
            <w:noWrap/>
            <w:vAlign w:val="bottom"/>
          </w:tcPr>
          <w:p w14:paraId="58AC12A1"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Informal Border Traders</w:t>
            </w:r>
          </w:p>
        </w:tc>
        <w:tc>
          <w:tcPr>
            <w:tcW w:w="5551" w:type="dxa"/>
            <w:gridSpan w:val="2"/>
            <w:noWrap/>
            <w:vAlign w:val="bottom"/>
          </w:tcPr>
          <w:p w14:paraId="5C53981B" w14:textId="77777777" w:rsidR="00FD1D25" w:rsidRPr="00FD1D25" w:rsidRDefault="00FD1D25" w:rsidP="00930C4A">
            <w:pPr>
              <w:pBdr>
                <w:top w:val="nil"/>
                <w:left w:val="nil"/>
                <w:bottom w:val="nil"/>
                <w:right w:val="nil"/>
                <w:between w:val="nil"/>
              </w:pBdr>
              <w:spacing w:line="275" w:lineRule="auto"/>
              <w:rPr>
                <w:rFonts w:eastAsia="Google Sans Text" w:cs="Open Sans"/>
                <w:sz w:val="20"/>
                <w:szCs w:val="20"/>
              </w:rPr>
            </w:pPr>
            <w:r w:rsidRPr="00FD1D25">
              <w:rPr>
                <w:rFonts w:eastAsia="Google Sans Text" w:cs="Open Sans"/>
                <w:sz w:val="20"/>
                <w:szCs w:val="20"/>
              </w:rPr>
              <w:t>Move cocoa across borders outside formal channels.</w:t>
            </w:r>
          </w:p>
        </w:tc>
      </w:tr>
    </w:tbl>
    <w:p w14:paraId="1362A9F7" w14:textId="77777777" w:rsidR="00FD1D25" w:rsidRPr="00757903" w:rsidRDefault="00FD1D25" w:rsidP="00FD1D25">
      <w:pPr>
        <w:pBdr>
          <w:top w:val="nil"/>
          <w:left w:val="nil"/>
          <w:bottom w:val="nil"/>
          <w:right w:val="nil"/>
          <w:between w:val="nil"/>
        </w:pBdr>
        <w:spacing w:line="275" w:lineRule="auto"/>
        <w:rPr>
          <w:rFonts w:ascii="Google Sans Text" w:eastAsia="Google Sans Text" w:hAnsi="Google Sans Text" w:cs="Google Sans Text"/>
        </w:rPr>
      </w:pPr>
    </w:p>
    <w:p w14:paraId="3112E603" w14:textId="6EEF15D3" w:rsidR="002E3468" w:rsidRPr="003367F1" w:rsidRDefault="00FD1D25" w:rsidP="003367F1">
      <w:pPr>
        <w:pStyle w:val="Heading3"/>
      </w:pPr>
      <w:bookmarkStart w:id="60" w:name="_Toc204771087"/>
      <w:bookmarkStart w:id="61" w:name="_Toc228701003"/>
      <w:r w:rsidRPr="00FD1D25">
        <w:t>Input Provision and Finance</w:t>
      </w:r>
      <w:bookmarkEnd w:id="60"/>
      <w:bookmarkEnd w:id="61"/>
    </w:p>
    <w:p w14:paraId="7D1737F5" w14:textId="06F2A5AA" w:rsidR="002E3468" w:rsidRPr="001B30F1" w:rsidRDefault="00FD1D25" w:rsidP="001B30F1">
      <w:pPr>
        <w:rPr>
          <w:b/>
          <w:bCs/>
          <w:sz w:val="20"/>
          <w:szCs w:val="20"/>
        </w:rPr>
      </w:pPr>
      <w:bookmarkStart w:id="62" w:name="_Hlk185142912"/>
      <w:r w:rsidRPr="00FD1D25">
        <w:rPr>
          <w:b/>
          <w:bCs/>
          <w:sz w:val="20"/>
          <w:szCs w:val="20"/>
        </w:rPr>
        <w:t>Access to Credit and the Challenge of Indebtedness</w:t>
      </w:r>
    </w:p>
    <w:p w14:paraId="7ECAB80C" w14:textId="2218F3FC" w:rsidR="002E3468" w:rsidRPr="00781D8B" w:rsidRDefault="00FD1D25" w:rsidP="002E3468">
      <w:pPr>
        <w:rPr>
          <w:rFonts w:cs="Open Sans"/>
          <w:sz w:val="20"/>
          <w:szCs w:val="20"/>
        </w:rPr>
      </w:pPr>
      <w:r w:rsidRPr="00FD1D25">
        <w:rPr>
          <w:rFonts w:cs="Open Sans"/>
          <w:sz w:val="20"/>
          <w:szCs w:val="20"/>
        </w:rPr>
        <w:t xml:space="preserve">Access to formal financing remains inadequate for </w:t>
      </w:r>
      <w:proofErr w:type="gramStart"/>
      <w:r w:rsidRPr="00FD1D25">
        <w:rPr>
          <w:rFonts w:cs="Open Sans"/>
          <w:sz w:val="20"/>
          <w:szCs w:val="20"/>
        </w:rPr>
        <w:t>the vast majority of</w:t>
      </w:r>
      <w:proofErr w:type="gramEnd"/>
      <w:r w:rsidRPr="00FD1D25">
        <w:rPr>
          <w:rFonts w:cs="Open Sans"/>
          <w:sz w:val="20"/>
          <w:szCs w:val="20"/>
        </w:rPr>
        <w:t xml:space="preserve"> smallholder cocoa farmers. Formal financial institutions (FIs) serve only a minority of the sector, citing stringent collateral requirements, high interest rates, and complex loan procedures as major constraints (</w:t>
      </w:r>
      <w:proofErr w:type="spellStart"/>
      <w:r w:rsidRPr="00FD1D25">
        <w:rPr>
          <w:rFonts w:cs="Open Sans"/>
          <w:sz w:val="20"/>
          <w:szCs w:val="20"/>
        </w:rPr>
        <w:t>Makieu</w:t>
      </w:r>
      <w:proofErr w:type="spellEnd"/>
      <w:r w:rsidRPr="00FD1D25">
        <w:rPr>
          <w:rFonts w:cs="Open Sans"/>
          <w:sz w:val="20"/>
          <w:szCs w:val="20"/>
        </w:rPr>
        <w:t xml:space="preserve"> et al. 2025). To address the challenge, in 2016, the Apex Bank was established, with a network of 51 Financial Services Associations and 17 Community Banks, aiming to enhance farmers’ access to finance for small businesses and agriculture. In practice, however, these institutions struggle to lend to cocoa farmers because it is hard to assess their creditworthiness, and their incomes are highly seasonal (GoSL, 2019). As a result, cocoa producers still have very limited access to formal loans, lack the collateral required by most lenders, and often rely on informal loan providers as their only option. Consequently, most farmers rely on Village Savings and Loan Associations (VSLAs), their cooperatives, or, most frequently, informal agents and dealers for cash advances. This reliance on informal financing is directly linked to the country’s food insecurity and the pervasive phenomenon of the "hungry month" (July–August), which immediately precedes the main cocoa harvest. During this critical gap, farmers are compelled by necessity to seek non-negotiable, pre-harvest loans from informal agents, often repaid in rice or cash. This practice secures the agent’s supply and guarantees low-priced cocoa, establishing a structural mechanism for value extraction that prevents farmers from accessing potentially better prices post-harvest. The cycle of indebtedness acts as a major impediment to economic viability, preventing farmers from accumulating capital for farm rehabilitation or input purchases. Development intervention must, therefore, introduce formal, low-interest liquidity solutions, such as input credit schemes or cooperative-managed revolving funds, specifically timed to address the cash and food shortages during the July–August period, thereby disrupting the agent-debt cycle</w:t>
      </w:r>
      <w:r w:rsidR="002E3468" w:rsidRPr="00781D8B">
        <w:rPr>
          <w:rFonts w:cs="Open Sans"/>
          <w:sz w:val="20"/>
          <w:szCs w:val="20"/>
        </w:rPr>
        <w:t>.</w:t>
      </w:r>
    </w:p>
    <w:p w14:paraId="1193F684" w14:textId="77777777" w:rsidR="001B30F1" w:rsidRDefault="001B30F1" w:rsidP="001B30F1">
      <w:pPr>
        <w:rPr>
          <w:b/>
          <w:bCs/>
          <w:sz w:val="20"/>
          <w:szCs w:val="20"/>
        </w:rPr>
      </w:pPr>
    </w:p>
    <w:p w14:paraId="1599BCCC" w14:textId="77777777" w:rsidR="00D52692" w:rsidRDefault="00D52692" w:rsidP="001B30F1">
      <w:pPr>
        <w:rPr>
          <w:b/>
          <w:bCs/>
          <w:sz w:val="20"/>
          <w:szCs w:val="20"/>
        </w:rPr>
      </w:pPr>
    </w:p>
    <w:p w14:paraId="4203A2EA" w14:textId="583C1FB8" w:rsidR="002E3468" w:rsidRPr="001B30F1" w:rsidRDefault="00FD1D25" w:rsidP="001B30F1">
      <w:pPr>
        <w:rPr>
          <w:b/>
          <w:bCs/>
          <w:sz w:val="20"/>
          <w:szCs w:val="20"/>
        </w:rPr>
      </w:pPr>
      <w:r w:rsidRPr="00FD1D25">
        <w:rPr>
          <w:b/>
          <w:bCs/>
          <w:sz w:val="20"/>
          <w:szCs w:val="20"/>
        </w:rPr>
        <w:lastRenderedPageBreak/>
        <w:t>Availability and Distribution of Inputs and Seedling</w:t>
      </w:r>
    </w:p>
    <w:bookmarkEnd w:id="62"/>
    <w:p w14:paraId="7894D836" w14:textId="1A296B2F" w:rsidR="002E3468" w:rsidRPr="00781D8B" w:rsidRDefault="0011613A" w:rsidP="002E3468">
      <w:pPr>
        <w:rPr>
          <w:rFonts w:cs="Open Sans"/>
          <w:sz w:val="20"/>
          <w:szCs w:val="20"/>
        </w:rPr>
      </w:pPr>
      <w:r w:rsidRPr="0011613A">
        <w:rPr>
          <w:rFonts w:cs="Open Sans"/>
          <w:sz w:val="20"/>
          <w:szCs w:val="20"/>
        </w:rPr>
        <w:t xml:space="preserve">The limited availability and high cost of key production and rehabilitation inputs, particularly improved seedlings, organic </w:t>
      </w:r>
      <w:r>
        <w:rPr>
          <w:rFonts w:cs="Open Sans"/>
          <w:sz w:val="20"/>
          <w:szCs w:val="20"/>
        </w:rPr>
        <w:t>compost</w:t>
      </w:r>
      <w:r w:rsidRPr="0011613A">
        <w:rPr>
          <w:rFonts w:cs="Open Sans"/>
          <w:sz w:val="20"/>
          <w:szCs w:val="20"/>
        </w:rPr>
        <w:t>, and appropriate disease management practices, contribute significantly to the critically low yields observed across the cocoa belt</w:t>
      </w:r>
      <w:r w:rsidR="00FD1D25" w:rsidRPr="00FD1D25">
        <w:rPr>
          <w:rFonts w:cs="Open Sans"/>
          <w:sz w:val="20"/>
          <w:szCs w:val="20"/>
        </w:rPr>
        <w:t>. For rejuvenation, the establishment of nurseries and the supply of improved cocoa seedlings are currently managed by the public sector, primarily through the Ministry of Agriculture and Forestry (MAF) at the district and village levels (World Bank, 2023). However, the institutional capacity limitations of SLARI and the MAF mean that the supply and quality of these materials are often inconsistent, further delaying the much-needed rehabilitation of aged plantations</w:t>
      </w:r>
      <w:r w:rsidR="002E3468" w:rsidRPr="00781D8B">
        <w:rPr>
          <w:rFonts w:cs="Open Sans"/>
          <w:sz w:val="20"/>
          <w:szCs w:val="20"/>
        </w:rPr>
        <w:t>.</w:t>
      </w:r>
    </w:p>
    <w:p w14:paraId="013777D9" w14:textId="42DB6E66" w:rsidR="002E3468" w:rsidRPr="003367F1" w:rsidRDefault="00FD1D25" w:rsidP="003367F1">
      <w:pPr>
        <w:pStyle w:val="Heading3"/>
      </w:pPr>
      <w:bookmarkStart w:id="63" w:name="_Toc204771088"/>
      <w:bookmarkStart w:id="64" w:name="_Toc228701004"/>
      <w:r w:rsidRPr="00FD1D25">
        <w:t>Processing and Quality Control</w:t>
      </w:r>
      <w:bookmarkEnd w:id="63"/>
      <w:bookmarkEnd w:id="64"/>
    </w:p>
    <w:p w14:paraId="5F4F059D" w14:textId="6B815DF9" w:rsidR="002E3468" w:rsidRPr="00781D8B" w:rsidRDefault="00FD1D25" w:rsidP="002E3468">
      <w:pPr>
        <w:spacing w:line="257" w:lineRule="auto"/>
        <w:rPr>
          <w:rFonts w:eastAsia="Aptos" w:cs="Open Sans"/>
          <w:b/>
          <w:bCs/>
          <w:sz w:val="20"/>
          <w:szCs w:val="20"/>
        </w:rPr>
      </w:pPr>
      <w:r w:rsidRPr="00FD1D25">
        <w:rPr>
          <w:rFonts w:eastAsia="Aptos" w:cs="Open Sans"/>
          <w:b/>
          <w:bCs/>
          <w:sz w:val="20"/>
          <w:szCs w:val="20"/>
        </w:rPr>
        <w:t>Primary Processing (Farm vs. Cooperative-Managed Systems)</w:t>
      </w:r>
    </w:p>
    <w:p w14:paraId="75974F2B" w14:textId="4FE882F4" w:rsidR="002E3468" w:rsidRPr="00781D8B" w:rsidRDefault="00FD1D25" w:rsidP="002E3468">
      <w:pPr>
        <w:spacing w:line="257" w:lineRule="auto"/>
        <w:rPr>
          <w:rFonts w:eastAsia="Aptos" w:cs="Open Sans"/>
          <w:sz w:val="20"/>
          <w:szCs w:val="20"/>
        </w:rPr>
      </w:pPr>
      <w:r w:rsidRPr="00FD1D25">
        <w:rPr>
          <w:rFonts w:eastAsia="Aptos" w:cs="Open Sans"/>
          <w:sz w:val="20"/>
          <w:szCs w:val="20"/>
        </w:rPr>
        <w:t>Primary processing in Sierra Leone’s cocoa VC, which includes fermentation and drying, is predominantly carried out by smallholders at the farm level. While home processing offers the farmer greater control over the initial stages, this fragmented approach results in high quality variability and inconsistent fermentation profiles across the total volume. This inconsistency frequently leads to price discounts, reducing the final profitability for smallholders and undermining the sector’s premium organic reputation</w:t>
      </w:r>
      <w:r w:rsidR="002E3468" w:rsidRPr="00781D8B">
        <w:rPr>
          <w:rFonts w:eastAsia="Aptos" w:cs="Open Sans"/>
          <w:sz w:val="20"/>
          <w:szCs w:val="20"/>
        </w:rPr>
        <w:t xml:space="preserve">. </w:t>
      </w:r>
    </w:p>
    <w:p w14:paraId="6863BFA3" w14:textId="77777777" w:rsidR="00007C07" w:rsidRDefault="00007C07" w:rsidP="002E3468">
      <w:pPr>
        <w:spacing w:line="257" w:lineRule="auto"/>
        <w:rPr>
          <w:rFonts w:eastAsia="Aptos" w:cs="Open Sans"/>
          <w:b/>
          <w:bCs/>
          <w:sz w:val="20"/>
          <w:szCs w:val="20"/>
        </w:rPr>
      </w:pPr>
    </w:p>
    <w:p w14:paraId="48C51D7B" w14:textId="25538530" w:rsidR="002E3468" w:rsidRPr="00B022A8" w:rsidRDefault="00FD1D25" w:rsidP="002E3468">
      <w:pPr>
        <w:spacing w:line="257" w:lineRule="auto"/>
        <w:rPr>
          <w:rFonts w:eastAsia="Aptos" w:cs="Open Sans"/>
          <w:b/>
          <w:bCs/>
          <w:sz w:val="20"/>
          <w:szCs w:val="20"/>
          <w:lang w:val="en-IE"/>
        </w:rPr>
      </w:pPr>
      <w:r w:rsidRPr="00B022A8">
        <w:rPr>
          <w:rFonts w:eastAsia="Aptos" w:cs="Open Sans"/>
          <w:b/>
          <w:bCs/>
          <w:sz w:val="20"/>
          <w:szCs w:val="20"/>
          <w:lang w:val="en-IE"/>
        </w:rPr>
        <w:t>Infrastructure Deficits (Fermentation, Drying, Storage)</w:t>
      </w:r>
    </w:p>
    <w:p w14:paraId="6642DFE8" w14:textId="77777777" w:rsidR="000C3047" w:rsidRDefault="000C3047" w:rsidP="000C3047">
      <w:pPr>
        <w:spacing w:line="257" w:lineRule="auto"/>
        <w:rPr>
          <w:rFonts w:eastAsia="Aptos" w:cs="Open Sans"/>
          <w:sz w:val="20"/>
          <w:szCs w:val="20"/>
        </w:rPr>
      </w:pPr>
      <w:r w:rsidRPr="00FD1D25">
        <w:rPr>
          <w:rFonts w:eastAsia="Aptos" w:cs="Open Sans"/>
          <w:sz w:val="20"/>
          <w:szCs w:val="20"/>
        </w:rPr>
        <w:t xml:space="preserve">The sector suffers from significant infrastructural deficits that directly constrain quality control. There is a widespread lack of </w:t>
      </w:r>
      <w:proofErr w:type="spellStart"/>
      <w:r w:rsidRPr="00FD1D25">
        <w:rPr>
          <w:rFonts w:eastAsia="Aptos" w:cs="Open Sans"/>
          <w:sz w:val="20"/>
          <w:szCs w:val="20"/>
        </w:rPr>
        <w:t>standardised</w:t>
      </w:r>
      <w:proofErr w:type="spellEnd"/>
      <w:r w:rsidRPr="00FD1D25">
        <w:rPr>
          <w:rFonts w:eastAsia="Aptos" w:cs="Open Sans"/>
          <w:sz w:val="20"/>
          <w:szCs w:val="20"/>
        </w:rPr>
        <w:t xml:space="preserve"> equipment, including fermentation boxes and solar dryers. Furthermore, adequate storage facilities are scarce, often forcing farmers to store beans in residential homes, which further compromises quality and consistency.</w:t>
      </w:r>
    </w:p>
    <w:p w14:paraId="2E94AFCF" w14:textId="77777777" w:rsidR="000C3047" w:rsidRDefault="000C3047" w:rsidP="000C3047">
      <w:pPr>
        <w:spacing w:line="257" w:lineRule="auto"/>
        <w:rPr>
          <w:rFonts w:eastAsia="Aptos" w:cs="Open Sans"/>
          <w:sz w:val="20"/>
          <w:szCs w:val="20"/>
        </w:rPr>
      </w:pPr>
    </w:p>
    <w:p w14:paraId="19295A97" w14:textId="77777777" w:rsidR="000C3047" w:rsidRDefault="000C3047" w:rsidP="000C3047">
      <w:pPr>
        <w:spacing w:line="257" w:lineRule="auto"/>
        <w:rPr>
          <w:rFonts w:eastAsia="Aptos" w:cs="Open Sans"/>
          <w:sz w:val="20"/>
          <w:szCs w:val="20"/>
        </w:rPr>
      </w:pPr>
      <w:r>
        <w:rPr>
          <w:rFonts w:eastAsia="Aptos" w:cs="Open Sans"/>
          <w:sz w:val="20"/>
          <w:szCs w:val="20"/>
        </w:rPr>
        <w:t xml:space="preserve">The ability to demonstrate compliance with specific quality standards (e.g. </w:t>
      </w:r>
      <w:r w:rsidRPr="00E100E5">
        <w:rPr>
          <w:rFonts w:eastAsia="Aptos" w:cs="Open Sans"/>
          <w:sz w:val="20"/>
          <w:szCs w:val="20"/>
        </w:rPr>
        <w:t>30 µg</w:t>
      </w:r>
      <w:r>
        <w:rPr>
          <w:rFonts w:eastAsia="Aptos" w:cs="Open Sans"/>
          <w:sz w:val="20"/>
          <w:szCs w:val="20"/>
        </w:rPr>
        <w:t xml:space="preserve"> PAH4</w:t>
      </w:r>
      <w:r w:rsidRPr="00E100E5">
        <w:rPr>
          <w:rFonts w:eastAsia="Aptos" w:cs="Open Sans"/>
          <w:sz w:val="20"/>
          <w:szCs w:val="20"/>
        </w:rPr>
        <w:t>/kg</w:t>
      </w:r>
      <w:r>
        <w:rPr>
          <w:rFonts w:eastAsia="Aptos" w:cs="Open Sans"/>
          <w:sz w:val="20"/>
          <w:szCs w:val="20"/>
        </w:rPr>
        <w:t xml:space="preserve"> </w:t>
      </w:r>
      <w:proofErr w:type="spellStart"/>
      <w:r>
        <w:rPr>
          <w:rFonts w:eastAsia="Aptos" w:cs="Open Sans"/>
          <w:sz w:val="20"/>
          <w:szCs w:val="20"/>
        </w:rPr>
        <w:t>cooca</w:t>
      </w:r>
      <w:proofErr w:type="spellEnd"/>
      <w:r>
        <w:rPr>
          <w:rFonts w:eastAsia="Aptos" w:cs="Open Sans"/>
          <w:sz w:val="20"/>
          <w:szCs w:val="20"/>
        </w:rPr>
        <w:t xml:space="preserve"> butter as required by the EU) is determined by access to specific chemical analytical techniques such as </w:t>
      </w:r>
      <w:r w:rsidRPr="00B67F82">
        <w:rPr>
          <w:rFonts w:eastAsia="Aptos" w:cs="Open Sans"/>
          <w:sz w:val="20"/>
          <w:szCs w:val="20"/>
        </w:rPr>
        <w:t>Gas chromatography-mass spectrometry (GC-MS) and high-performance liquid chromatography</w:t>
      </w:r>
      <w:r>
        <w:rPr>
          <w:rFonts w:eastAsia="Aptos" w:cs="Open Sans"/>
          <w:sz w:val="20"/>
          <w:szCs w:val="20"/>
        </w:rPr>
        <w:t xml:space="preserve"> (HPLC). At time of writing the existing chemical standard testing laboratory in Freetown was being upgraded to allow for improved testing of elements such as Polycyclic aromatic Hydrocarbons (PAHs) or pesticide residues for which the threshold of compliance is extremely strict. However, the specialist equipment required to undertake these tests (being currently/installed and upgraded) requires a consistent power supply to operate reliably. The dependence on backup diesel generators further reduces in-country quality assurance capacity presenting an additional barrier to farmers in receiving adequate returns and an additional </w:t>
      </w:r>
      <w:proofErr w:type="gramStart"/>
      <w:r>
        <w:rPr>
          <w:rFonts w:eastAsia="Aptos" w:cs="Open Sans"/>
          <w:sz w:val="20"/>
          <w:szCs w:val="20"/>
        </w:rPr>
        <w:t>bottle neck</w:t>
      </w:r>
      <w:proofErr w:type="gramEnd"/>
      <w:r>
        <w:rPr>
          <w:rFonts w:eastAsia="Aptos" w:cs="Open Sans"/>
          <w:sz w:val="20"/>
          <w:szCs w:val="20"/>
        </w:rPr>
        <w:t xml:space="preserve"> between the producer and the organic market.</w:t>
      </w:r>
    </w:p>
    <w:p w14:paraId="628503C8" w14:textId="77777777" w:rsidR="000C3047" w:rsidRPr="00FD1D25" w:rsidRDefault="000C3047" w:rsidP="000C3047">
      <w:pPr>
        <w:spacing w:line="257" w:lineRule="auto"/>
        <w:rPr>
          <w:rFonts w:eastAsia="Aptos" w:cs="Open Sans"/>
          <w:sz w:val="20"/>
          <w:szCs w:val="20"/>
        </w:rPr>
      </w:pPr>
    </w:p>
    <w:p w14:paraId="4D08D113" w14:textId="6B7C941E" w:rsidR="002E3468" w:rsidRPr="00781D8B" w:rsidRDefault="000C3047" w:rsidP="000C3047">
      <w:pPr>
        <w:spacing w:line="257" w:lineRule="auto"/>
        <w:rPr>
          <w:rFonts w:eastAsia="Aptos" w:cs="Open Sans"/>
          <w:sz w:val="20"/>
          <w:szCs w:val="20"/>
        </w:rPr>
      </w:pPr>
      <w:r w:rsidRPr="00FD1D25">
        <w:rPr>
          <w:rFonts w:eastAsia="Aptos" w:cs="Open Sans"/>
          <w:sz w:val="20"/>
          <w:szCs w:val="20"/>
        </w:rPr>
        <w:t xml:space="preserve">The deficit in quality infrastructure creates multiple compounding risks. The lack of reliable solar drying compels some actors to sell semi-wet beans for quick cash, while others may resort to energy-intensive mechanical drying later in the chain. </w:t>
      </w:r>
      <w:proofErr w:type="gramStart"/>
      <w:r w:rsidRPr="00FD1D25">
        <w:rPr>
          <w:rFonts w:eastAsia="Aptos" w:cs="Open Sans"/>
          <w:sz w:val="20"/>
          <w:szCs w:val="20"/>
        </w:rPr>
        <w:t>The energy</w:t>
      </w:r>
      <w:proofErr w:type="gramEnd"/>
      <w:r w:rsidRPr="00FD1D25">
        <w:rPr>
          <w:rFonts w:eastAsia="Aptos" w:cs="Open Sans"/>
          <w:sz w:val="20"/>
          <w:szCs w:val="20"/>
        </w:rPr>
        <w:t xml:space="preserve"> consumption associated with mechanical drying significantly increases the value chain’s environmental footprint. Moreover, inadequate quality control increases the risk of rejected bean shipments by international buyers, resulting in beans being returned to Sierra Leone, which involves significant energy expenditure and emissions for the transatlantic round trip. Investing in cooperative-managed solar drying facilities is therefore a dual benefit intervention: it improves economic returns through quality </w:t>
      </w:r>
      <w:proofErr w:type="spellStart"/>
      <w:r w:rsidRPr="00FD1D25">
        <w:rPr>
          <w:rFonts w:eastAsia="Aptos" w:cs="Open Sans"/>
          <w:sz w:val="20"/>
          <w:szCs w:val="20"/>
        </w:rPr>
        <w:t>standardisation</w:t>
      </w:r>
      <w:proofErr w:type="spellEnd"/>
      <w:r w:rsidRPr="00FD1D25">
        <w:rPr>
          <w:rFonts w:eastAsia="Aptos" w:cs="Open Sans"/>
          <w:sz w:val="20"/>
          <w:szCs w:val="20"/>
        </w:rPr>
        <w:t xml:space="preserve"> while simultaneously mitigating the carbon footprint associated with both mechanical drying and rejected shipments</w:t>
      </w:r>
      <w:r w:rsidRPr="00301BD7">
        <w:rPr>
          <w:rFonts w:eastAsia="Aptos" w:cs="Open Sans"/>
          <w:sz w:val="20"/>
          <w:szCs w:val="20"/>
        </w:rPr>
        <w:t>.</w:t>
      </w:r>
    </w:p>
    <w:p w14:paraId="06411818" w14:textId="43CBDA22" w:rsidR="00FD1D25" w:rsidRPr="003367F1" w:rsidRDefault="00FD1D25" w:rsidP="00FD1D25">
      <w:pPr>
        <w:pStyle w:val="Heading3"/>
      </w:pPr>
      <w:bookmarkStart w:id="65" w:name="_Toc228701005"/>
      <w:r w:rsidRPr="00FD1D25">
        <w:lastRenderedPageBreak/>
        <w:t>Aggregation and Export</w:t>
      </w:r>
      <w:bookmarkEnd w:id="65"/>
    </w:p>
    <w:p w14:paraId="0A45F4EA" w14:textId="7BA6B634" w:rsidR="00FD1D25" w:rsidRPr="00781D8B" w:rsidRDefault="00FD1D25" w:rsidP="00FD1D25">
      <w:pPr>
        <w:spacing w:line="257" w:lineRule="auto"/>
        <w:rPr>
          <w:rFonts w:eastAsia="Aptos" w:cs="Open Sans"/>
          <w:b/>
          <w:bCs/>
          <w:sz w:val="20"/>
          <w:szCs w:val="20"/>
        </w:rPr>
      </w:pPr>
      <w:r w:rsidRPr="00FD1D25">
        <w:rPr>
          <w:rFonts w:eastAsia="Aptos" w:cs="Open Sans"/>
          <w:b/>
          <w:bCs/>
          <w:sz w:val="20"/>
          <w:szCs w:val="20"/>
        </w:rPr>
        <w:t>The Role of Cooperatives and Licensed Buyers</w:t>
      </w:r>
    </w:p>
    <w:p w14:paraId="7F1585AD" w14:textId="0C003564" w:rsidR="00FD1D25" w:rsidRPr="00FD1D25" w:rsidRDefault="00FD1D25" w:rsidP="00FD1D25">
      <w:pPr>
        <w:spacing w:line="257" w:lineRule="auto"/>
        <w:rPr>
          <w:rFonts w:eastAsia="Aptos" w:cs="Open Sans"/>
          <w:sz w:val="20"/>
          <w:szCs w:val="20"/>
        </w:rPr>
      </w:pPr>
      <w:r w:rsidRPr="00FD1D25">
        <w:rPr>
          <w:rFonts w:eastAsia="Aptos" w:cs="Open Sans"/>
          <w:sz w:val="20"/>
          <w:szCs w:val="20"/>
        </w:rPr>
        <w:t xml:space="preserve">Cooperatives account for approximately 30% of the national cocoa volume and serve as the institutional backbone for managing internal control systems related to certification (Organic, Fairtrade, and potential EUDR compliance). They facilitate aggregation and provide a direct access channel to export buyers. </w:t>
      </w:r>
    </w:p>
    <w:p w14:paraId="38D15E38" w14:textId="2594092E" w:rsidR="00FD1D25" w:rsidRPr="00781D8B" w:rsidRDefault="00FD1D25" w:rsidP="00FD1D25">
      <w:pPr>
        <w:spacing w:line="257" w:lineRule="auto"/>
        <w:rPr>
          <w:rFonts w:eastAsia="Aptos" w:cs="Open Sans"/>
          <w:sz w:val="20"/>
          <w:szCs w:val="20"/>
        </w:rPr>
      </w:pPr>
      <w:r w:rsidRPr="00FD1D25">
        <w:rPr>
          <w:rFonts w:eastAsia="Aptos" w:cs="Open Sans"/>
          <w:sz w:val="20"/>
          <w:szCs w:val="20"/>
        </w:rPr>
        <w:t xml:space="preserve">However, </w:t>
      </w:r>
      <w:proofErr w:type="gramStart"/>
      <w:r w:rsidRPr="00FD1D25">
        <w:rPr>
          <w:rFonts w:eastAsia="Aptos" w:cs="Open Sans"/>
          <w:sz w:val="20"/>
          <w:szCs w:val="20"/>
        </w:rPr>
        <w:t>the majority of</w:t>
      </w:r>
      <w:proofErr w:type="gramEnd"/>
      <w:r w:rsidRPr="00FD1D25">
        <w:rPr>
          <w:rFonts w:eastAsia="Aptos" w:cs="Open Sans"/>
          <w:sz w:val="20"/>
          <w:szCs w:val="20"/>
        </w:rPr>
        <w:t xml:space="preserve"> cooperatives visited function only as marketing </w:t>
      </w:r>
      <w:proofErr w:type="spellStart"/>
      <w:r w:rsidRPr="00FD1D25">
        <w:rPr>
          <w:rFonts w:eastAsia="Aptos" w:cs="Open Sans"/>
          <w:sz w:val="20"/>
          <w:szCs w:val="20"/>
        </w:rPr>
        <w:t>organisations</w:t>
      </w:r>
      <w:proofErr w:type="spellEnd"/>
      <w:r w:rsidRPr="00FD1D25">
        <w:rPr>
          <w:rFonts w:eastAsia="Aptos" w:cs="Open Sans"/>
          <w:sz w:val="20"/>
          <w:szCs w:val="20"/>
        </w:rPr>
        <w:t xml:space="preserve">, often lacking the necessary bargaining power and financial services (such as credit) required to retain full member loyalty. The common practice of members selling outside the cooperative is driven by necessity, the need for immediate cash to cover basic expenses, which weakens the cooperative’s aggregated volume and influence. The remainder of the volume is purchased by licensed agents and exporters, </w:t>
      </w:r>
      <w:proofErr w:type="gramStart"/>
      <w:r w:rsidRPr="00FD1D25">
        <w:rPr>
          <w:rFonts w:eastAsia="Aptos" w:cs="Open Sans"/>
          <w:sz w:val="20"/>
          <w:szCs w:val="20"/>
        </w:rPr>
        <w:t>who intensely</w:t>
      </w:r>
      <w:proofErr w:type="gramEnd"/>
      <w:r w:rsidRPr="00FD1D25">
        <w:rPr>
          <w:rFonts w:eastAsia="Aptos" w:cs="Open Sans"/>
          <w:sz w:val="20"/>
          <w:szCs w:val="20"/>
        </w:rPr>
        <w:t xml:space="preserve"> compete in this </w:t>
      </w:r>
      <w:proofErr w:type="spellStart"/>
      <w:r w:rsidRPr="00FD1D25">
        <w:rPr>
          <w:rFonts w:eastAsia="Aptos" w:cs="Open Sans"/>
          <w:sz w:val="20"/>
          <w:szCs w:val="20"/>
        </w:rPr>
        <w:t>liberalised</w:t>
      </w:r>
      <w:proofErr w:type="spellEnd"/>
      <w:r w:rsidRPr="00FD1D25">
        <w:rPr>
          <w:rFonts w:eastAsia="Aptos" w:cs="Open Sans"/>
          <w:sz w:val="20"/>
          <w:szCs w:val="20"/>
        </w:rPr>
        <w:t xml:space="preserve"> environment</w:t>
      </w:r>
      <w:r w:rsidRPr="00781D8B">
        <w:rPr>
          <w:rFonts w:eastAsia="Aptos" w:cs="Open Sans"/>
          <w:sz w:val="20"/>
          <w:szCs w:val="20"/>
        </w:rPr>
        <w:t xml:space="preserve">. </w:t>
      </w:r>
    </w:p>
    <w:p w14:paraId="5318606F" w14:textId="77777777" w:rsidR="00FD1D25" w:rsidRDefault="00FD1D25" w:rsidP="00FD1D25">
      <w:pPr>
        <w:spacing w:line="257" w:lineRule="auto"/>
        <w:rPr>
          <w:rFonts w:eastAsia="Aptos" w:cs="Open Sans"/>
          <w:b/>
          <w:bCs/>
          <w:sz w:val="20"/>
          <w:szCs w:val="20"/>
        </w:rPr>
      </w:pPr>
    </w:p>
    <w:p w14:paraId="69387736" w14:textId="5886F72B" w:rsidR="00FD1D25" w:rsidRPr="00781D8B" w:rsidRDefault="00FD1D25" w:rsidP="00FD1D25">
      <w:pPr>
        <w:spacing w:line="257" w:lineRule="auto"/>
        <w:rPr>
          <w:rFonts w:eastAsia="Aptos" w:cs="Open Sans"/>
          <w:b/>
          <w:bCs/>
          <w:sz w:val="20"/>
          <w:szCs w:val="20"/>
        </w:rPr>
      </w:pPr>
      <w:r w:rsidRPr="00FD1D25">
        <w:rPr>
          <w:rFonts w:eastAsia="Aptos" w:cs="Open Sans"/>
          <w:b/>
          <w:bCs/>
          <w:sz w:val="20"/>
          <w:szCs w:val="20"/>
        </w:rPr>
        <w:t>Market Concentration</w:t>
      </w:r>
    </w:p>
    <w:p w14:paraId="25C13E62" w14:textId="10A9C413" w:rsidR="00FD1D25" w:rsidRPr="00781D8B" w:rsidRDefault="00FD1D25" w:rsidP="00FD1D25">
      <w:pPr>
        <w:spacing w:line="257" w:lineRule="auto"/>
        <w:rPr>
          <w:rFonts w:eastAsia="Aptos" w:cs="Open Sans"/>
          <w:sz w:val="20"/>
          <w:szCs w:val="20"/>
        </w:rPr>
      </w:pPr>
      <w:r w:rsidRPr="00FD1D25">
        <w:rPr>
          <w:rFonts w:eastAsia="Aptos" w:cs="Open Sans"/>
          <w:sz w:val="20"/>
          <w:szCs w:val="20"/>
        </w:rPr>
        <w:t xml:space="preserve">The heavy reliance on a single export gateway, with over 95% of cocoa </w:t>
      </w:r>
      <w:proofErr w:type="spellStart"/>
      <w:r w:rsidRPr="00FD1D25">
        <w:rPr>
          <w:rFonts w:eastAsia="Aptos" w:cs="Open Sans"/>
          <w:sz w:val="20"/>
          <w:szCs w:val="20"/>
        </w:rPr>
        <w:t>channelled</w:t>
      </w:r>
      <w:proofErr w:type="spellEnd"/>
      <w:r w:rsidRPr="00FD1D25">
        <w:rPr>
          <w:rFonts w:eastAsia="Aptos" w:cs="Open Sans"/>
          <w:sz w:val="20"/>
          <w:szCs w:val="20"/>
        </w:rPr>
        <w:t xml:space="preserve"> through the Netherlands, exposes Sierra Leone to high risk from market concentration. This dependency limits the country’s overall bargaining power against a few major international buyers and heightens the vulnerability to unilateral policy shifts or market exclusion from the EU. Policy efforts supporting market access diversification and domestic value addition are necessary to mitigate this dependency. In 2023, Sierra Leone exported $50.1 million worth of cocoa beans, ranking as the 16th largest exporter globally out of 134 countries. Cocoa beans were the country’s 5th most exported product among 576 items. The main destinations for these exports were the Netherlands ($47.4M), followed by Indonesia ($850K), Spain ($819K), Malaysia ($362K), and Estonia ($347K). Between 2022 and 2023, the fastest growing markets were: Netherlands ($9.54M), Spain ($817k), and Estonia ($344k) (OEC, 2024)</w:t>
      </w:r>
      <w:r w:rsidRPr="00301BD7">
        <w:rPr>
          <w:rFonts w:eastAsia="Aptos" w:cs="Open Sans"/>
          <w:sz w:val="20"/>
          <w:szCs w:val="20"/>
        </w:rPr>
        <w:t>.</w:t>
      </w:r>
    </w:p>
    <w:p w14:paraId="2CA9CE13" w14:textId="77777777" w:rsidR="002A265D" w:rsidRDefault="002A265D" w:rsidP="00A4518A">
      <w:pPr>
        <w:sectPr w:rsidR="002A265D" w:rsidSect="00962C1A">
          <w:footerReference w:type="even" r:id="rId27"/>
          <w:footerReference w:type="default" r:id="rId28"/>
          <w:pgSz w:w="11906" w:h="16838"/>
          <w:pgMar w:top="1440" w:right="1440" w:bottom="1440" w:left="1440" w:header="708" w:footer="708" w:gutter="0"/>
          <w:cols w:space="708"/>
          <w:docGrid w:linePitch="360"/>
        </w:sectPr>
      </w:pPr>
    </w:p>
    <w:p w14:paraId="42621FCF" w14:textId="27EA9B34" w:rsidR="00752F47" w:rsidRPr="00B960CF" w:rsidRDefault="00752F47" w:rsidP="00B960CF">
      <w:pPr>
        <w:pStyle w:val="Heading1"/>
        <w:rPr>
          <w:rStyle w:val="IntenseEmphasis"/>
          <w:b/>
          <w:bCs/>
          <w:iCs w:val="0"/>
          <w:sz w:val="22"/>
        </w:rPr>
      </w:pPr>
      <w:bookmarkStart w:id="66" w:name="_Toc228701006"/>
      <w:r w:rsidRPr="00B960CF">
        <w:rPr>
          <w:rStyle w:val="IntenseEmphasis"/>
          <w:b/>
          <w:bCs/>
          <w:iCs w:val="0"/>
          <w:sz w:val="22"/>
        </w:rPr>
        <w:lastRenderedPageBreak/>
        <w:t>WHAT IS THE CONTRIBUTION OF THE VALUE CHAIN TO ECONOMIC GROWTH?</w:t>
      </w:r>
      <w:bookmarkEnd w:id="66"/>
    </w:p>
    <w:p w14:paraId="5377F677" w14:textId="6C609506" w:rsidR="00A3339E" w:rsidRPr="00A3339E" w:rsidRDefault="00A3339E" w:rsidP="00B960CF">
      <w:pPr>
        <w:pStyle w:val="Heading2"/>
      </w:pPr>
      <w:bookmarkStart w:id="67" w:name="_Toc228701007"/>
      <w:r w:rsidRPr="00A3339E">
        <w:t>Introduction</w:t>
      </w:r>
      <w:bookmarkEnd w:id="67"/>
    </w:p>
    <w:p w14:paraId="3C37056D" w14:textId="5093850F" w:rsidR="00A3339E" w:rsidRPr="00A3339E" w:rsidRDefault="00E030D6" w:rsidP="00E030D6">
      <w:pPr>
        <w:rPr>
          <w:rFonts w:cs="Open Sans"/>
          <w:sz w:val="20"/>
          <w:szCs w:val="20"/>
        </w:rPr>
      </w:pPr>
      <w:r w:rsidRPr="00E030D6">
        <w:rPr>
          <w:rFonts w:cs="Open Sans"/>
          <w:sz w:val="20"/>
          <w:szCs w:val="20"/>
        </w:rPr>
        <w:t>This chapter examines the contribution of the Sierra Leone cocoa value chain to national economic growth, drawing on a comprehensive economic analysis of the sector within the Value Chain Analysis for Development (VCA4D) framework. The analysis aims to quantify the extent to which the value chain generates economic value and contributes to the broader economy, with particular attention to the profitability and sustainability of activities across all actors, from smallholder producers to exporters.</w:t>
      </w:r>
      <w:r>
        <w:rPr>
          <w:rFonts w:cs="Open Sans"/>
          <w:sz w:val="20"/>
          <w:szCs w:val="20"/>
        </w:rPr>
        <w:t xml:space="preserve"> </w:t>
      </w:r>
      <w:r w:rsidRPr="00E030D6">
        <w:rPr>
          <w:rFonts w:cs="Open Sans"/>
          <w:sz w:val="20"/>
          <w:szCs w:val="20"/>
        </w:rPr>
        <w:t>At the microeconomic level, the analysis evaluates actor-level performance using operating accounts to assess net operating profit, cost structures, and value added along the chain. At the macroeconomic level, it estimates the aggregate economic effects of the value chain, including its contribution to Gross Domestic Product (GDP), agricultural GDP, public finances, and the balance of trade. The framework further enables an assessment of the value chain’s integration within the domestic economy and its competitiveness in international markets.</w:t>
      </w:r>
      <w:r>
        <w:rPr>
          <w:rFonts w:cs="Open Sans"/>
          <w:sz w:val="20"/>
          <w:szCs w:val="20"/>
        </w:rPr>
        <w:t xml:space="preserve"> </w:t>
      </w:r>
      <w:r w:rsidRPr="00E030D6">
        <w:rPr>
          <w:rFonts w:cs="Open Sans"/>
          <w:sz w:val="20"/>
          <w:szCs w:val="20"/>
        </w:rPr>
        <w:t>Consistent with the VCA4D methodology, all indicators are computed at market prices, allowing for a coherent assessment of both the generation and distribution of value added and income within the national economy. The analysis follows the functional boundaries defined in Chapter 1 and focuses on the core actors and activities that structure the cocoa value chain in Sierra Leone.</w:t>
      </w:r>
      <w:r w:rsidR="00A3339E" w:rsidRPr="00A3339E">
        <w:rPr>
          <w:rFonts w:cs="Open Sans"/>
          <w:sz w:val="20"/>
          <w:szCs w:val="20"/>
        </w:rPr>
        <w:t xml:space="preserve"> </w:t>
      </w:r>
    </w:p>
    <w:p w14:paraId="617518D0" w14:textId="77777777" w:rsidR="00A3339E" w:rsidRDefault="00A3339E" w:rsidP="00A3339E">
      <w:pPr>
        <w:rPr>
          <w:rFonts w:cs="Open Sans"/>
          <w:b/>
          <w:bCs/>
          <w:sz w:val="20"/>
          <w:szCs w:val="20"/>
        </w:rPr>
      </w:pPr>
    </w:p>
    <w:p w14:paraId="6C13E928" w14:textId="6932A159" w:rsidR="00A3339E" w:rsidRPr="00A3339E" w:rsidRDefault="00A3339E" w:rsidP="00B960CF">
      <w:pPr>
        <w:pStyle w:val="Heading2"/>
      </w:pPr>
      <w:bookmarkStart w:id="68" w:name="_Toc228701008"/>
      <w:r w:rsidRPr="00A3339E">
        <w:t xml:space="preserve">Data </w:t>
      </w:r>
      <w:r w:rsidR="00961BCF">
        <w:t>and Construction of Operating accounts</w:t>
      </w:r>
      <w:bookmarkEnd w:id="68"/>
    </w:p>
    <w:p w14:paraId="22EC3C73" w14:textId="0CD60378" w:rsidR="00A3339E" w:rsidRDefault="00A3339E" w:rsidP="00A3339E">
      <w:pPr>
        <w:rPr>
          <w:rFonts w:cs="Open Sans"/>
          <w:b/>
          <w:bCs/>
          <w:sz w:val="20"/>
          <w:szCs w:val="20"/>
        </w:rPr>
      </w:pPr>
      <w:r w:rsidRPr="00A3339E">
        <w:rPr>
          <w:rFonts w:cs="Open Sans"/>
          <w:b/>
          <w:bCs/>
          <w:sz w:val="20"/>
          <w:szCs w:val="20"/>
        </w:rPr>
        <w:t>Data Collection and Sources</w:t>
      </w:r>
    </w:p>
    <w:p w14:paraId="52E49845" w14:textId="40BC68C9" w:rsidR="00A3339E" w:rsidRPr="00A3339E" w:rsidRDefault="00A3339E" w:rsidP="004E11DB">
      <w:pPr>
        <w:rPr>
          <w:rFonts w:cs="Open Sans"/>
          <w:sz w:val="20"/>
          <w:szCs w:val="20"/>
        </w:rPr>
      </w:pPr>
      <w:r w:rsidRPr="00A3339E">
        <w:rPr>
          <w:rFonts w:cs="Open Sans"/>
          <w:sz w:val="20"/>
          <w:szCs w:val="20"/>
        </w:rPr>
        <w:t xml:space="preserve">This analysis follows the VCA4D methodological framework to construct detailed operating accounts </w:t>
      </w:r>
      <w:r w:rsidR="004E11DB" w:rsidRPr="004E11DB">
        <w:rPr>
          <w:rFonts w:cs="Open Sans"/>
          <w:sz w:val="20"/>
          <w:szCs w:val="20"/>
        </w:rPr>
        <w:t>for each actor in the Sierra Leone cocoa value chain</w:t>
      </w:r>
      <w:r w:rsidRPr="00A3339E">
        <w:rPr>
          <w:rFonts w:cs="Open Sans"/>
          <w:sz w:val="20"/>
          <w:szCs w:val="20"/>
        </w:rPr>
        <w:t xml:space="preserve">. </w:t>
      </w:r>
      <w:r w:rsidR="004E11DB" w:rsidRPr="004E11DB">
        <w:rPr>
          <w:rFonts w:cs="Open Sans"/>
          <w:sz w:val="20"/>
          <w:szCs w:val="20"/>
        </w:rPr>
        <w:t xml:space="preserve">The empirical approach combines primary </w:t>
      </w:r>
      <w:proofErr w:type="gramStart"/>
      <w:r w:rsidR="004E11DB" w:rsidRPr="004E11DB">
        <w:rPr>
          <w:rFonts w:cs="Open Sans"/>
          <w:sz w:val="20"/>
          <w:szCs w:val="20"/>
        </w:rPr>
        <w:t>data,</w:t>
      </w:r>
      <w:proofErr w:type="gramEnd"/>
      <w:r w:rsidR="004E11DB" w:rsidRPr="004E11DB">
        <w:rPr>
          <w:rFonts w:cs="Open Sans"/>
          <w:sz w:val="20"/>
          <w:szCs w:val="20"/>
        </w:rPr>
        <w:t xml:space="preserve"> collected through field surveys and semi-structured interviews with farmers, cooperatives, agents, dealers, and exporters, with secondary data drawn from official statistics, sector reports, and </w:t>
      </w:r>
      <w:r w:rsidR="00F370A5" w:rsidRPr="004E11DB">
        <w:rPr>
          <w:rFonts w:cs="Open Sans"/>
          <w:sz w:val="20"/>
          <w:szCs w:val="20"/>
        </w:rPr>
        <w:t>academic</w:t>
      </w:r>
      <w:r w:rsidR="004E11DB" w:rsidRPr="004E11DB">
        <w:rPr>
          <w:rFonts w:cs="Open Sans"/>
          <w:sz w:val="20"/>
          <w:szCs w:val="20"/>
        </w:rPr>
        <w:t xml:space="preserve"> literature.</w:t>
      </w:r>
      <w:r w:rsidR="004E11DB">
        <w:rPr>
          <w:rFonts w:cs="Open Sans"/>
          <w:sz w:val="20"/>
          <w:szCs w:val="20"/>
        </w:rPr>
        <w:t xml:space="preserve"> </w:t>
      </w:r>
      <w:r w:rsidR="004E11DB" w:rsidRPr="004E11DB">
        <w:rPr>
          <w:rFonts w:cs="Open Sans"/>
          <w:sz w:val="20"/>
          <w:szCs w:val="20"/>
        </w:rPr>
        <w:t>These data sources were used to estimate costs, revenues, and margins for representative actors at each stage of the value chain. Macroeconomic indicators, including contributions to GDP and the balance of trade, are informed by national accounts and trade statistics, while microeconomic parameters, such as production costs and household-level incomes, are derived from field-level evidence. All monetary values are expressed in million Sierra Leonean leones (MSLE) and refer to a representative annual production cycle.</w:t>
      </w:r>
    </w:p>
    <w:p w14:paraId="119B2BFC" w14:textId="77777777" w:rsidR="007E23BC" w:rsidRDefault="007E23BC" w:rsidP="00A3339E">
      <w:pPr>
        <w:rPr>
          <w:rFonts w:cs="Open Sans"/>
          <w:b/>
          <w:bCs/>
          <w:sz w:val="20"/>
          <w:szCs w:val="20"/>
        </w:rPr>
      </w:pPr>
    </w:p>
    <w:p w14:paraId="01CDC3C3" w14:textId="4DDBC2B7" w:rsidR="00A3339E" w:rsidRDefault="00A3339E" w:rsidP="00A3339E">
      <w:pPr>
        <w:rPr>
          <w:rFonts w:cs="Open Sans"/>
          <w:sz w:val="20"/>
          <w:szCs w:val="20"/>
        </w:rPr>
      </w:pPr>
      <w:r w:rsidRPr="00A3339E">
        <w:rPr>
          <w:rFonts w:cs="Open Sans"/>
          <w:b/>
          <w:bCs/>
          <w:sz w:val="20"/>
          <w:szCs w:val="20"/>
        </w:rPr>
        <w:t>Building Operating Accounts</w:t>
      </w:r>
      <w:r w:rsidRPr="00A3339E">
        <w:rPr>
          <w:rFonts w:cs="Open Sans"/>
          <w:sz w:val="20"/>
          <w:szCs w:val="20"/>
        </w:rPr>
        <w:t xml:space="preserve"> </w:t>
      </w:r>
    </w:p>
    <w:p w14:paraId="08DA4C66" w14:textId="77777777" w:rsidR="00465648" w:rsidRPr="00465648" w:rsidRDefault="00465648" w:rsidP="00465648">
      <w:pPr>
        <w:rPr>
          <w:rFonts w:cs="Open Sans"/>
          <w:sz w:val="20"/>
          <w:szCs w:val="20"/>
          <w:lang w:val="en-GB"/>
        </w:rPr>
      </w:pPr>
      <w:r w:rsidRPr="00465648">
        <w:rPr>
          <w:rFonts w:cs="Open Sans"/>
          <w:sz w:val="20"/>
          <w:szCs w:val="20"/>
          <w:lang w:val="en-GB"/>
        </w:rPr>
        <w:t>For each actor category, detailed operating accounts were constructed, capturing the key components of production, costs, and returns. These accounts include total production (gross value of output), intermediate goods and services (IGS), wages, taxes and fees, and capital costs such as depreciation.</w:t>
      </w:r>
    </w:p>
    <w:p w14:paraId="39B1A20C" w14:textId="77777777" w:rsidR="00465648" w:rsidRPr="00465648" w:rsidRDefault="00465648" w:rsidP="00465648">
      <w:pPr>
        <w:rPr>
          <w:rFonts w:cs="Open Sans"/>
          <w:sz w:val="20"/>
          <w:szCs w:val="20"/>
          <w:lang w:val="en-GB"/>
        </w:rPr>
      </w:pPr>
      <w:r w:rsidRPr="00465648">
        <w:rPr>
          <w:rFonts w:cs="Open Sans"/>
          <w:sz w:val="20"/>
          <w:szCs w:val="20"/>
          <w:lang w:val="en-GB"/>
        </w:rPr>
        <w:t>From these components, two core indicators are derived: Value Added (VA) and Net Operating Profit (NOP). Value added is defined as:</w:t>
      </w:r>
    </w:p>
    <w:p w14:paraId="6EA27AA7" w14:textId="77777777" w:rsidR="00465648" w:rsidRPr="00465648" w:rsidRDefault="00465648" w:rsidP="00465648">
      <w:pPr>
        <w:rPr>
          <w:rFonts w:cs="Open Sans"/>
          <w:sz w:val="20"/>
          <w:szCs w:val="20"/>
          <w:lang w:val="en-GB"/>
        </w:rPr>
      </w:pPr>
      <w:r w:rsidRPr="00465648">
        <w:rPr>
          <w:rFonts w:cs="Open Sans"/>
          <w:sz w:val="20"/>
          <w:szCs w:val="20"/>
          <w:lang w:val="en-GB"/>
        </w:rPr>
        <w:t>VA = Production – IGS</w:t>
      </w:r>
    </w:p>
    <w:p w14:paraId="6A483FC4" w14:textId="77777777" w:rsidR="00465648" w:rsidRPr="00465648" w:rsidRDefault="00465648" w:rsidP="00465648">
      <w:pPr>
        <w:rPr>
          <w:rFonts w:cs="Open Sans"/>
          <w:sz w:val="20"/>
          <w:szCs w:val="20"/>
          <w:lang w:val="en-GB"/>
        </w:rPr>
      </w:pPr>
      <w:r w:rsidRPr="00465648">
        <w:rPr>
          <w:rFonts w:cs="Open Sans"/>
          <w:sz w:val="20"/>
          <w:szCs w:val="20"/>
          <w:lang w:val="en-GB"/>
        </w:rPr>
        <w:t>and represents the returns to domestic factors of production, including labour, land, and capital. Net operating profit is defined as:</w:t>
      </w:r>
    </w:p>
    <w:p w14:paraId="70C34001" w14:textId="77777777" w:rsidR="00465648" w:rsidRPr="00465648" w:rsidRDefault="00465648" w:rsidP="00465648">
      <w:pPr>
        <w:rPr>
          <w:rFonts w:cs="Open Sans"/>
          <w:sz w:val="20"/>
          <w:szCs w:val="20"/>
          <w:lang w:val="en-GB"/>
        </w:rPr>
      </w:pPr>
      <w:r w:rsidRPr="00465648">
        <w:rPr>
          <w:rFonts w:cs="Open Sans"/>
          <w:sz w:val="20"/>
          <w:szCs w:val="20"/>
          <w:lang w:val="en-GB"/>
        </w:rPr>
        <w:t>NOP = Production + Subsidies – (IGS + Wages + Taxes + Interest + Land Fees + Depreciation)</w:t>
      </w:r>
    </w:p>
    <w:p w14:paraId="0D7B6598" w14:textId="77777777" w:rsidR="00465648" w:rsidRPr="00465648" w:rsidRDefault="00465648" w:rsidP="00465648">
      <w:pPr>
        <w:rPr>
          <w:rFonts w:cs="Open Sans"/>
          <w:sz w:val="20"/>
          <w:szCs w:val="20"/>
          <w:lang w:val="en-GB"/>
        </w:rPr>
      </w:pPr>
      <w:r w:rsidRPr="00465648">
        <w:rPr>
          <w:rFonts w:cs="Open Sans"/>
          <w:sz w:val="20"/>
          <w:szCs w:val="20"/>
          <w:lang w:val="en-GB"/>
        </w:rPr>
        <w:t>and reflects the residual income accruing to the operator after all explicit costs are accounted for.</w:t>
      </w:r>
    </w:p>
    <w:p w14:paraId="51F53C2E" w14:textId="77777777" w:rsidR="00465648" w:rsidRPr="00465648" w:rsidRDefault="00465648" w:rsidP="00465648">
      <w:pPr>
        <w:rPr>
          <w:rFonts w:cs="Open Sans"/>
          <w:sz w:val="20"/>
          <w:szCs w:val="20"/>
          <w:lang w:val="en-GB"/>
        </w:rPr>
      </w:pPr>
      <w:r w:rsidRPr="00465648">
        <w:rPr>
          <w:rFonts w:cs="Open Sans"/>
          <w:sz w:val="20"/>
          <w:szCs w:val="20"/>
          <w:lang w:val="en-GB"/>
        </w:rPr>
        <w:lastRenderedPageBreak/>
        <w:t>It is important to note that family labour, which is prevalent among smallholders, is not explicitly remunerated in these accounts. As a result, part of the observed operating surplus reflects implicit returns to household labour and management.</w:t>
      </w:r>
    </w:p>
    <w:p w14:paraId="12CF7C5A" w14:textId="77777777" w:rsidR="00A3339E" w:rsidRDefault="00A3339E" w:rsidP="00A3339E">
      <w:pPr>
        <w:rPr>
          <w:rFonts w:cs="Open Sans"/>
          <w:b/>
          <w:bCs/>
          <w:sz w:val="20"/>
          <w:szCs w:val="20"/>
        </w:rPr>
      </w:pPr>
    </w:p>
    <w:p w14:paraId="32BD2CA3" w14:textId="77777777" w:rsidR="00A3339E" w:rsidRDefault="00A3339E" w:rsidP="00A3339E">
      <w:pPr>
        <w:rPr>
          <w:rFonts w:cs="Open Sans"/>
          <w:b/>
          <w:bCs/>
          <w:sz w:val="20"/>
          <w:szCs w:val="20"/>
        </w:rPr>
      </w:pPr>
      <w:r w:rsidRPr="00A3339E">
        <w:rPr>
          <w:rFonts w:cs="Open Sans"/>
          <w:b/>
          <w:bCs/>
          <w:sz w:val="20"/>
          <w:szCs w:val="20"/>
        </w:rPr>
        <w:t>Consolidation and Comparability</w:t>
      </w:r>
    </w:p>
    <w:p w14:paraId="665F28BE" w14:textId="75AB5A5B" w:rsidR="00465648" w:rsidRPr="00465648" w:rsidRDefault="00465648" w:rsidP="00465648">
      <w:pPr>
        <w:rPr>
          <w:rFonts w:cs="Open Sans"/>
          <w:sz w:val="20"/>
          <w:szCs w:val="20"/>
        </w:rPr>
      </w:pPr>
      <w:r w:rsidRPr="00465648">
        <w:rPr>
          <w:rFonts w:cs="Open Sans"/>
          <w:sz w:val="20"/>
          <w:szCs w:val="20"/>
        </w:rPr>
        <w:t>Individual actor-level accounts are aggregated to construct a consolidated value chain account by scaling representative values according to the estimated population of each actor category and summing across all functions. This provides an estimate of total output, value added, and profit distribution along the chain.</w:t>
      </w:r>
      <w:r>
        <w:rPr>
          <w:rFonts w:cs="Open Sans"/>
          <w:sz w:val="20"/>
          <w:szCs w:val="20"/>
        </w:rPr>
        <w:t xml:space="preserve"> </w:t>
      </w:r>
      <w:r w:rsidRPr="00465648">
        <w:rPr>
          <w:rFonts w:cs="Open Sans"/>
          <w:sz w:val="20"/>
          <w:szCs w:val="20"/>
        </w:rPr>
        <w:t>The resulting framework is used to address the core analytical questions of the study, including the profitability and sustainability of value chain activities (FQ1), the inclusiveness of income and employment distribution (FQ2), and the contribution of the value chain to the national economy. Standard performance indicators, such as return on turnover and benefit–cost ratios, are computed to assess financial performance across actors.</w:t>
      </w:r>
    </w:p>
    <w:p w14:paraId="6BAADE9B" w14:textId="77777777" w:rsidR="00465648" w:rsidRPr="00465648" w:rsidRDefault="00465648" w:rsidP="00465648">
      <w:pPr>
        <w:rPr>
          <w:rFonts w:cs="Open Sans"/>
          <w:sz w:val="20"/>
          <w:szCs w:val="20"/>
        </w:rPr>
      </w:pPr>
    </w:p>
    <w:p w14:paraId="72FD0531" w14:textId="764F5FD7" w:rsidR="00465648" w:rsidRDefault="00465648" w:rsidP="00A3339E">
      <w:pPr>
        <w:rPr>
          <w:rFonts w:cs="Open Sans"/>
          <w:sz w:val="20"/>
          <w:szCs w:val="20"/>
        </w:rPr>
      </w:pPr>
      <w:r w:rsidRPr="00465648">
        <w:rPr>
          <w:rFonts w:cs="Open Sans"/>
          <w:sz w:val="20"/>
          <w:szCs w:val="20"/>
        </w:rPr>
        <w:t xml:space="preserve">To capture wider economic effects, indirect value added is estimated by </w:t>
      </w:r>
      <w:proofErr w:type="spellStart"/>
      <w:r w:rsidRPr="00465648">
        <w:rPr>
          <w:rFonts w:cs="Open Sans"/>
          <w:sz w:val="20"/>
          <w:szCs w:val="20"/>
        </w:rPr>
        <w:t>analysing</w:t>
      </w:r>
      <w:proofErr w:type="spellEnd"/>
      <w:r w:rsidRPr="00465648">
        <w:rPr>
          <w:rFonts w:cs="Open Sans"/>
          <w:sz w:val="20"/>
          <w:szCs w:val="20"/>
        </w:rPr>
        <w:t xml:space="preserve"> the value chain’s demand for goods and services produced outside its functional boundaries. This is implemented using input–output coefficients derived from global multi-regional input–output databases, including the Eora MRIO and Supply Chain Explorer</w:t>
      </w:r>
      <w:r>
        <w:rPr>
          <w:rFonts w:cs="Open Sans"/>
          <w:sz w:val="20"/>
          <w:szCs w:val="20"/>
        </w:rPr>
        <w:t xml:space="preserve"> (</w:t>
      </w:r>
      <w:hyperlink r:id="rId29" w:history="1">
        <w:r w:rsidRPr="00AB0D23">
          <w:rPr>
            <w:rStyle w:val="Hyperlink"/>
            <w:rFonts w:cs="Open Sans"/>
            <w:szCs w:val="20"/>
          </w:rPr>
          <w:t>https://worldmrio.com</w:t>
        </w:r>
      </w:hyperlink>
      <w:r>
        <w:rPr>
          <w:rFonts w:cs="Open Sans"/>
          <w:sz w:val="20"/>
          <w:szCs w:val="20"/>
        </w:rPr>
        <w:t>)</w:t>
      </w:r>
      <w:r w:rsidRPr="00465648">
        <w:rPr>
          <w:rFonts w:cs="Open Sans"/>
          <w:sz w:val="20"/>
          <w:szCs w:val="20"/>
        </w:rPr>
        <w:t>. The analysis distinguishes between Direct Value Added (generated within the value chain) and Indirect Value Added (generated in the wider economy), with their sum representing the total economic contribution of the value chain.</w:t>
      </w:r>
      <w:r>
        <w:rPr>
          <w:rFonts w:cs="Open Sans"/>
          <w:sz w:val="20"/>
          <w:szCs w:val="20"/>
        </w:rPr>
        <w:t xml:space="preserve"> </w:t>
      </w:r>
      <w:r w:rsidRPr="00465648">
        <w:rPr>
          <w:rFonts w:cs="Open Sans"/>
          <w:sz w:val="20"/>
          <w:szCs w:val="20"/>
        </w:rPr>
        <w:t>Additional indicators are computed to assess structural integration and multiplier effects. The Integration Rate measures the share of value chain output retained within the domestic economy, while the Driving Effect Ratio captures the magnitude of indirect effects relative to direct value added.</w:t>
      </w:r>
      <w:r>
        <w:rPr>
          <w:rFonts w:cs="Open Sans"/>
          <w:sz w:val="20"/>
          <w:szCs w:val="20"/>
        </w:rPr>
        <w:t xml:space="preserve"> </w:t>
      </w:r>
      <w:r w:rsidRPr="00465648">
        <w:rPr>
          <w:rFonts w:cs="Open Sans"/>
          <w:sz w:val="20"/>
          <w:szCs w:val="20"/>
        </w:rPr>
        <w:t>Finally, international competitiveness and economic efficiency are assessed using the Nominal Protection Coefficient (NPC) and the Domestic Resource Cost (DRC) ratio. The NPC compares domestic prices with international parity prices, indicating the degree of market protection or implicit taxation. The DRC evaluates the efficiency of domestic resource use relative to international benchmarks, with values below unity indicating comparative advantage. Together, these indicators provide a comprehensive assessment of the competitiveness and global viability of the Sierra Leone cocoa value chain</w:t>
      </w:r>
      <w:r w:rsidR="00A3339E" w:rsidRPr="00A3339E">
        <w:rPr>
          <w:rFonts w:cs="Open Sans"/>
          <w:sz w:val="20"/>
          <w:szCs w:val="20"/>
        </w:rPr>
        <w:t>.</w:t>
      </w:r>
    </w:p>
    <w:p w14:paraId="521379AF" w14:textId="77777777" w:rsidR="00A3339E" w:rsidRPr="00A3339E" w:rsidRDefault="00A3339E" w:rsidP="00A3339E">
      <w:pPr>
        <w:rPr>
          <w:rFonts w:cs="Open Sans"/>
          <w:sz w:val="20"/>
          <w:szCs w:val="20"/>
        </w:rPr>
      </w:pPr>
    </w:p>
    <w:p w14:paraId="30F26083" w14:textId="0F73535C" w:rsidR="00A3339E" w:rsidRPr="00A3339E" w:rsidRDefault="0033404D" w:rsidP="00B960CF">
      <w:pPr>
        <w:pStyle w:val="Heading2"/>
      </w:pPr>
      <w:bookmarkStart w:id="69" w:name="_Toc228701009"/>
      <w:r>
        <w:t xml:space="preserve">Financial Analysis and </w:t>
      </w:r>
      <w:r w:rsidR="00A3339E" w:rsidRPr="00A3339E">
        <w:t>Actor-Level Profitability</w:t>
      </w:r>
      <w:bookmarkEnd w:id="69"/>
      <w:r w:rsidR="00A3339E" w:rsidRPr="00A3339E">
        <w:t xml:space="preserve"> </w:t>
      </w:r>
    </w:p>
    <w:p w14:paraId="5757B2D7" w14:textId="1589C512" w:rsidR="001C05B1" w:rsidRPr="00A3339E" w:rsidRDefault="001C05B1" w:rsidP="001C05B1">
      <w:pPr>
        <w:pStyle w:val="Heading3"/>
      </w:pPr>
      <w:bookmarkStart w:id="70" w:name="_Toc228701010"/>
      <w:r>
        <w:t xml:space="preserve">Operating accounts per </w:t>
      </w:r>
      <w:r w:rsidR="004D2270">
        <w:t>actor</w:t>
      </w:r>
      <w:bookmarkEnd w:id="70"/>
      <w:r>
        <w:t xml:space="preserve"> </w:t>
      </w:r>
    </w:p>
    <w:p w14:paraId="3A628E6C" w14:textId="77777777" w:rsidR="00FE4615" w:rsidRPr="00FE4615" w:rsidRDefault="00FE4615" w:rsidP="00FE4615">
      <w:pPr>
        <w:rPr>
          <w:rFonts w:cs="Open Sans"/>
          <w:sz w:val="20"/>
          <w:szCs w:val="20"/>
        </w:rPr>
      </w:pPr>
      <w:r w:rsidRPr="00FE4615">
        <w:rPr>
          <w:rFonts w:cs="Open Sans"/>
          <w:sz w:val="20"/>
          <w:szCs w:val="20"/>
        </w:rPr>
        <w:t>The Sierra Leone cocoa value chain is financially viable across all major actor categories, although both the magnitude and distribution of profits vary substantially along the chain. To assess financial performance, two complementary indicators are used: Net Operating Profit (NOP), which captures absolute income gains, and Return on Turnover, which measures profitability relative to revenue and reflects cost efficiency. Together, these indicators provide insight into both the scale and quality of returns accruing to different actors.</w:t>
      </w:r>
    </w:p>
    <w:p w14:paraId="71FEA9DC" w14:textId="77777777" w:rsidR="00FE4615" w:rsidRPr="00FE4615" w:rsidRDefault="00FE4615" w:rsidP="00FE4615">
      <w:pPr>
        <w:rPr>
          <w:rFonts w:cs="Open Sans"/>
          <w:sz w:val="20"/>
          <w:szCs w:val="20"/>
        </w:rPr>
      </w:pPr>
    </w:p>
    <w:p w14:paraId="51C75AF3" w14:textId="2EC3AEF1" w:rsidR="00FE4615" w:rsidRPr="00FE4615" w:rsidRDefault="00B349CC" w:rsidP="00FE4615">
      <w:pPr>
        <w:rPr>
          <w:rFonts w:cs="Open Sans"/>
          <w:sz w:val="20"/>
          <w:szCs w:val="20"/>
        </w:rPr>
      </w:pPr>
      <w:r>
        <w:rPr>
          <w:rFonts w:cs="Open Sans"/>
          <w:sz w:val="20"/>
          <w:szCs w:val="20"/>
        </w:rPr>
        <w:fldChar w:fldCharType="begin"/>
      </w:r>
      <w:r>
        <w:rPr>
          <w:rFonts w:cs="Open Sans"/>
          <w:sz w:val="20"/>
          <w:szCs w:val="20"/>
        </w:rPr>
        <w:instrText xml:space="preserve"> REF _Ref227056904 \h </w:instrText>
      </w:r>
      <w:r w:rsidR="00424BFE">
        <w:rPr>
          <w:rFonts w:cs="Open Sans"/>
          <w:sz w:val="20"/>
          <w:szCs w:val="20"/>
        </w:rPr>
        <w:instrText xml:space="preserve"> \* MERGEFORMAT </w:instrText>
      </w:r>
      <w:r>
        <w:rPr>
          <w:rFonts w:cs="Open Sans"/>
          <w:sz w:val="20"/>
          <w:szCs w:val="20"/>
        </w:rPr>
      </w:r>
      <w:r>
        <w:rPr>
          <w:rFonts w:cs="Open Sans"/>
          <w:sz w:val="20"/>
          <w:szCs w:val="20"/>
        </w:rPr>
        <w:fldChar w:fldCharType="separate"/>
      </w:r>
      <w:r w:rsidRPr="001F42F7">
        <w:rPr>
          <w:sz w:val="20"/>
          <w:szCs w:val="20"/>
        </w:rPr>
        <w:t xml:space="preserve">Figure </w:t>
      </w:r>
      <w:r>
        <w:rPr>
          <w:noProof/>
        </w:rPr>
        <w:t>2</w:t>
      </w:r>
      <w:r>
        <w:t>.</w:t>
      </w:r>
      <w:r>
        <w:rPr>
          <w:noProof/>
        </w:rPr>
        <w:t>1</w:t>
      </w:r>
      <w:r>
        <w:rPr>
          <w:rFonts w:cs="Open Sans"/>
          <w:sz w:val="20"/>
          <w:szCs w:val="20"/>
        </w:rPr>
        <w:fldChar w:fldCharType="end"/>
      </w:r>
      <w:r w:rsidR="00FE4615" w:rsidRPr="00FE4615">
        <w:rPr>
          <w:rFonts w:cs="Open Sans"/>
          <w:sz w:val="20"/>
          <w:szCs w:val="20"/>
        </w:rPr>
        <w:t xml:space="preserve"> illustrates the return on turnover for each actor, while </w:t>
      </w:r>
      <w:r w:rsidRPr="00424BFE">
        <w:rPr>
          <w:rFonts w:cs="Open Sans"/>
          <w:sz w:val="20"/>
          <w:szCs w:val="20"/>
        </w:rPr>
        <w:fldChar w:fldCharType="begin"/>
      </w:r>
      <w:r w:rsidRPr="00424BFE">
        <w:rPr>
          <w:rFonts w:cs="Open Sans"/>
          <w:sz w:val="20"/>
          <w:szCs w:val="20"/>
        </w:rPr>
        <w:instrText xml:space="preserve"> REF _Ref227056956 \h </w:instrText>
      </w:r>
      <w:r w:rsidR="00424BFE">
        <w:rPr>
          <w:rFonts w:cs="Open Sans"/>
          <w:sz w:val="20"/>
          <w:szCs w:val="20"/>
        </w:rPr>
        <w:instrText xml:space="preserve"> \* MERGEFORMAT </w:instrText>
      </w:r>
      <w:r w:rsidRPr="00424BFE">
        <w:rPr>
          <w:rFonts w:cs="Open Sans"/>
          <w:sz w:val="20"/>
          <w:szCs w:val="20"/>
        </w:rPr>
      </w:r>
      <w:r w:rsidRPr="00424BFE">
        <w:rPr>
          <w:rFonts w:cs="Open Sans"/>
          <w:sz w:val="20"/>
          <w:szCs w:val="20"/>
        </w:rPr>
        <w:fldChar w:fldCharType="separate"/>
      </w:r>
      <w:r w:rsidRPr="001F42F7">
        <w:rPr>
          <w:sz w:val="20"/>
          <w:szCs w:val="20"/>
        </w:rPr>
        <w:t xml:space="preserve">Table </w:t>
      </w:r>
      <w:r w:rsidRPr="001F42F7">
        <w:rPr>
          <w:noProof/>
          <w:sz w:val="20"/>
          <w:szCs w:val="20"/>
        </w:rPr>
        <w:t>2</w:t>
      </w:r>
      <w:r w:rsidRPr="001F42F7">
        <w:rPr>
          <w:sz w:val="20"/>
          <w:szCs w:val="20"/>
        </w:rPr>
        <w:noBreakHyphen/>
      </w:r>
      <w:r w:rsidRPr="001F42F7">
        <w:rPr>
          <w:noProof/>
          <w:sz w:val="20"/>
          <w:szCs w:val="20"/>
        </w:rPr>
        <w:t>1</w:t>
      </w:r>
      <w:r w:rsidRPr="00424BFE">
        <w:rPr>
          <w:rFonts w:cs="Open Sans"/>
          <w:sz w:val="20"/>
          <w:szCs w:val="20"/>
        </w:rPr>
        <w:fldChar w:fldCharType="end"/>
      </w:r>
      <w:r w:rsidR="00FE4615" w:rsidRPr="00FE4615">
        <w:rPr>
          <w:rFonts w:cs="Open Sans"/>
          <w:sz w:val="20"/>
          <w:szCs w:val="20"/>
        </w:rPr>
        <w:t xml:space="preserve"> presents detailed operating accounts and financial indicators. A striking feature of the results is the very high profit margins observed at the production level. Smallholder producers exhibit a return on turnover of approximately 82%, while larger smallholders reach levels exceeding 90%. These high margins reflect the extremely low level of intermediate input use in cocoa production. Production systems are </w:t>
      </w:r>
      <w:proofErr w:type="spellStart"/>
      <w:r w:rsidR="00FE4615" w:rsidRPr="00FE4615">
        <w:rPr>
          <w:rFonts w:cs="Open Sans"/>
          <w:sz w:val="20"/>
          <w:szCs w:val="20"/>
        </w:rPr>
        <w:t>characterised</w:t>
      </w:r>
      <w:proofErr w:type="spellEnd"/>
      <w:r w:rsidR="00FE4615" w:rsidRPr="00FE4615">
        <w:rPr>
          <w:rFonts w:cs="Open Sans"/>
          <w:sz w:val="20"/>
          <w:szCs w:val="20"/>
        </w:rPr>
        <w:t xml:space="preserve"> by minimal reliance on purchased inputs, resulting in low monetary costs relative to output value. Consequently, a large share of gross revenue is retained as operating surplus.</w:t>
      </w:r>
    </w:p>
    <w:p w14:paraId="67F90A32" w14:textId="77777777" w:rsidR="00FE4615" w:rsidRPr="00FE4615" w:rsidRDefault="00FE4615" w:rsidP="00FE4615">
      <w:pPr>
        <w:rPr>
          <w:rFonts w:cs="Open Sans"/>
          <w:sz w:val="20"/>
          <w:szCs w:val="20"/>
        </w:rPr>
      </w:pPr>
    </w:p>
    <w:p w14:paraId="58090BE9" w14:textId="25A63AEE" w:rsidR="00FE4615" w:rsidRPr="00FE4615" w:rsidRDefault="00FE4615" w:rsidP="00FE4615">
      <w:pPr>
        <w:rPr>
          <w:rFonts w:cs="Open Sans"/>
          <w:sz w:val="20"/>
          <w:szCs w:val="20"/>
        </w:rPr>
      </w:pPr>
      <w:r w:rsidRPr="00FE4615">
        <w:rPr>
          <w:rFonts w:cs="Open Sans"/>
          <w:sz w:val="20"/>
          <w:szCs w:val="20"/>
        </w:rPr>
        <w:t xml:space="preserve">However, these high margins should not be interpreted as indicative of high incomes. As shown </w:t>
      </w:r>
      <w:r w:rsidRPr="00424BFE">
        <w:rPr>
          <w:rFonts w:cs="Open Sans"/>
          <w:sz w:val="20"/>
          <w:szCs w:val="20"/>
        </w:rPr>
        <w:t xml:space="preserve">in </w:t>
      </w:r>
      <w:r w:rsidR="00B349CC" w:rsidRPr="00424BFE">
        <w:rPr>
          <w:rFonts w:cs="Open Sans"/>
          <w:sz w:val="20"/>
          <w:szCs w:val="20"/>
        </w:rPr>
        <w:fldChar w:fldCharType="begin"/>
      </w:r>
      <w:r w:rsidR="00B349CC" w:rsidRPr="00424BFE">
        <w:rPr>
          <w:rFonts w:cs="Open Sans"/>
          <w:sz w:val="20"/>
          <w:szCs w:val="20"/>
        </w:rPr>
        <w:instrText xml:space="preserve"> REF _Ref227056956 \h </w:instrText>
      </w:r>
      <w:r w:rsidR="00424BFE">
        <w:rPr>
          <w:rFonts w:cs="Open Sans"/>
          <w:sz w:val="20"/>
          <w:szCs w:val="20"/>
        </w:rPr>
        <w:instrText xml:space="preserve"> \* MERGEFORMAT </w:instrText>
      </w:r>
      <w:r w:rsidR="00B349CC" w:rsidRPr="00424BFE">
        <w:rPr>
          <w:rFonts w:cs="Open Sans"/>
          <w:sz w:val="20"/>
          <w:szCs w:val="20"/>
        </w:rPr>
      </w:r>
      <w:r w:rsidR="00B349CC" w:rsidRPr="00424BFE">
        <w:rPr>
          <w:rFonts w:cs="Open Sans"/>
          <w:sz w:val="20"/>
          <w:szCs w:val="20"/>
        </w:rPr>
        <w:fldChar w:fldCharType="separate"/>
      </w:r>
      <w:r w:rsidR="00B349CC" w:rsidRPr="001F42F7">
        <w:rPr>
          <w:sz w:val="20"/>
          <w:szCs w:val="20"/>
        </w:rPr>
        <w:t xml:space="preserve">Table </w:t>
      </w:r>
      <w:r w:rsidR="00B349CC" w:rsidRPr="001F42F7">
        <w:rPr>
          <w:noProof/>
          <w:sz w:val="20"/>
          <w:szCs w:val="20"/>
        </w:rPr>
        <w:t>2</w:t>
      </w:r>
      <w:r w:rsidR="00B349CC" w:rsidRPr="001F42F7">
        <w:rPr>
          <w:sz w:val="20"/>
          <w:szCs w:val="20"/>
        </w:rPr>
        <w:noBreakHyphen/>
      </w:r>
      <w:r w:rsidR="00B349CC" w:rsidRPr="001F42F7">
        <w:rPr>
          <w:noProof/>
          <w:sz w:val="20"/>
          <w:szCs w:val="20"/>
        </w:rPr>
        <w:t>1</w:t>
      </w:r>
      <w:r w:rsidR="00B349CC" w:rsidRPr="00424BFE">
        <w:rPr>
          <w:rFonts w:cs="Open Sans"/>
          <w:sz w:val="20"/>
          <w:szCs w:val="20"/>
        </w:rPr>
        <w:fldChar w:fldCharType="end"/>
      </w:r>
      <w:r w:rsidRPr="00424BFE">
        <w:rPr>
          <w:rFonts w:cs="Open Sans"/>
          <w:sz w:val="20"/>
          <w:szCs w:val="20"/>
        </w:rPr>
        <w:t>, absolute profits for smallholders remain modest, reflecting the small scale of</w:t>
      </w:r>
      <w:r w:rsidRPr="00FE4615">
        <w:rPr>
          <w:rFonts w:cs="Open Sans"/>
          <w:sz w:val="20"/>
          <w:szCs w:val="20"/>
        </w:rPr>
        <w:t xml:space="preserve"> production. In other words, cocoa farming generates high returns on limited </w:t>
      </w:r>
      <w:proofErr w:type="gramStart"/>
      <w:r w:rsidRPr="00FE4615">
        <w:rPr>
          <w:rFonts w:cs="Open Sans"/>
          <w:sz w:val="20"/>
          <w:szCs w:val="20"/>
        </w:rPr>
        <w:t>investment, but</w:t>
      </w:r>
      <w:proofErr w:type="gramEnd"/>
      <w:r w:rsidRPr="00FE4615">
        <w:rPr>
          <w:rFonts w:cs="Open Sans"/>
          <w:sz w:val="20"/>
          <w:szCs w:val="20"/>
        </w:rPr>
        <w:t xml:space="preserve"> does not translate into substantial income levels for producers. </w:t>
      </w:r>
      <w:r w:rsidR="00656BEC" w:rsidRPr="00656BEC">
        <w:rPr>
          <w:rFonts w:cs="Open Sans"/>
          <w:sz w:val="20"/>
          <w:szCs w:val="20"/>
        </w:rPr>
        <w:t xml:space="preserve">This distinction between relative profitability and absolute income is critical for understanding both the economic attractiveness and the livelihood limitations of cocoa production. While cocoa production remains financially viable and continues to attract participation, it is unlikely to provide a sufficient standalone income for most households. In practice, most cocoa-producing households in Sierra Leone rely on diversified livelihood strategies, combining cocoa with food crops, fruit trees, petty trading, wage </w:t>
      </w:r>
      <w:proofErr w:type="spellStart"/>
      <w:r w:rsidR="00656BEC" w:rsidRPr="00656BEC">
        <w:rPr>
          <w:rFonts w:cs="Open Sans"/>
          <w:sz w:val="20"/>
          <w:szCs w:val="20"/>
        </w:rPr>
        <w:t>labour</w:t>
      </w:r>
      <w:proofErr w:type="spellEnd"/>
      <w:r w:rsidR="00656BEC" w:rsidRPr="00656BEC">
        <w:rPr>
          <w:rFonts w:cs="Open Sans"/>
          <w:sz w:val="20"/>
          <w:szCs w:val="20"/>
        </w:rPr>
        <w:t>, or other income-generating activities. Although diversification does not necessarily translate into higher living standards, it plays an important role in improving household resilience and reducing exposure to seasonal income and price fluctuations within the cocoa sector</w:t>
      </w:r>
      <w:r w:rsidRPr="00FE4615">
        <w:rPr>
          <w:rFonts w:cs="Open Sans"/>
          <w:sz w:val="20"/>
          <w:szCs w:val="20"/>
        </w:rPr>
        <w:t>.</w:t>
      </w:r>
    </w:p>
    <w:p w14:paraId="6E1ACB20" w14:textId="77777777" w:rsidR="00FE4615" w:rsidRPr="00FE4615" w:rsidRDefault="00FE4615" w:rsidP="00FE4615">
      <w:pPr>
        <w:rPr>
          <w:rFonts w:cs="Open Sans"/>
          <w:sz w:val="20"/>
          <w:szCs w:val="20"/>
        </w:rPr>
      </w:pPr>
    </w:p>
    <w:p w14:paraId="7239B860" w14:textId="2141AC61" w:rsidR="00237F52" w:rsidRDefault="00FE4615" w:rsidP="00FE4615">
      <w:pPr>
        <w:rPr>
          <w:rFonts w:cs="Open Sans"/>
          <w:sz w:val="20"/>
          <w:szCs w:val="20"/>
        </w:rPr>
      </w:pPr>
      <w:r w:rsidRPr="00FE4615">
        <w:rPr>
          <w:rFonts w:cs="Open Sans"/>
          <w:sz w:val="20"/>
          <w:szCs w:val="20"/>
        </w:rPr>
        <w:t xml:space="preserve">Among downstream actors, individual dealers stand out with relatively high returns on turnover (approximately 37%), indicating efficient operations with comparatively low transaction costs. In contrast, cooperatives and individual agents display much lower profit margins, at around 9%. For </w:t>
      </w:r>
      <w:proofErr w:type="gramStart"/>
      <w:r w:rsidRPr="00FE4615">
        <w:rPr>
          <w:rFonts w:cs="Open Sans"/>
          <w:sz w:val="20"/>
          <w:szCs w:val="20"/>
        </w:rPr>
        <w:t>cooperatives in particular, this</w:t>
      </w:r>
      <w:proofErr w:type="gramEnd"/>
      <w:r w:rsidRPr="00FE4615">
        <w:rPr>
          <w:rFonts w:cs="Open Sans"/>
          <w:sz w:val="20"/>
          <w:szCs w:val="20"/>
        </w:rPr>
        <w:t xml:space="preserve"> reflects high operating costs associated with aggregation, coordination, and service provision, often without corresponding gains in scale or efficiency. Exporters exhibit moderate profit margins (around 15%</w:t>
      </w:r>
      <w:proofErr w:type="gramStart"/>
      <w:r w:rsidRPr="00FE4615">
        <w:rPr>
          <w:rFonts w:cs="Open Sans"/>
          <w:sz w:val="20"/>
          <w:szCs w:val="20"/>
        </w:rPr>
        <w:t>), but</w:t>
      </w:r>
      <w:proofErr w:type="gramEnd"/>
      <w:r w:rsidRPr="00FE4615">
        <w:rPr>
          <w:rFonts w:cs="Open Sans"/>
          <w:sz w:val="20"/>
          <w:szCs w:val="20"/>
        </w:rPr>
        <w:t xml:space="preserve"> capture substantial absolute profits due to the large volumes handled. </w:t>
      </w:r>
      <w:r w:rsidR="009303C4" w:rsidRPr="009303C4">
        <w:rPr>
          <w:rFonts w:cs="Open Sans"/>
          <w:sz w:val="20"/>
          <w:szCs w:val="20"/>
        </w:rPr>
        <w:t>This highlights the well-known pattern in commodity value chains whereby downstream actors benefit from scale rather than high margins, while also assuming greater commercial, liquidity, storage, quality, and international market risks associated with trading operations</w:t>
      </w:r>
      <w:r w:rsidR="00EE5874">
        <w:rPr>
          <w:rFonts w:cs="Open Sans"/>
          <w:sz w:val="20"/>
          <w:szCs w:val="20"/>
        </w:rPr>
        <w:t xml:space="preserve">. </w:t>
      </w:r>
    </w:p>
    <w:p w14:paraId="6855A8D4" w14:textId="77777777" w:rsidR="00B349CC" w:rsidRDefault="005637AD" w:rsidP="00B349CC">
      <w:pPr>
        <w:keepNext/>
        <w:jc w:val="center"/>
      </w:pPr>
      <w:r>
        <w:rPr>
          <w:noProof/>
        </w:rPr>
        <w:drawing>
          <wp:inline distT="0" distB="0" distL="0" distR="0" wp14:anchorId="1B780B81" wp14:editId="220D7809">
            <wp:extent cx="3708400" cy="2781506"/>
            <wp:effectExtent l="0" t="0" r="6350" b="0"/>
            <wp:docPr id="666510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10686" name="Picture 666510686"/>
                    <pic:cNvPicPr/>
                  </pic:nvPicPr>
                  <pic:blipFill>
                    <a:blip r:embed="rId30">
                      <a:extLst>
                        <a:ext uri="{28A0092B-C50C-407E-A947-70E740481C1C}">
                          <a14:useLocalDpi xmlns:a14="http://schemas.microsoft.com/office/drawing/2010/main" val="0"/>
                        </a:ext>
                      </a:extLst>
                    </a:blip>
                    <a:stretch>
                      <a:fillRect/>
                    </a:stretch>
                  </pic:blipFill>
                  <pic:spPr>
                    <a:xfrm>
                      <a:off x="0" y="0"/>
                      <a:ext cx="3717279" cy="2788165"/>
                    </a:xfrm>
                    <a:prstGeom prst="rect">
                      <a:avLst/>
                    </a:prstGeom>
                  </pic:spPr>
                </pic:pic>
              </a:graphicData>
            </a:graphic>
          </wp:inline>
        </w:drawing>
      </w:r>
    </w:p>
    <w:p w14:paraId="5A7CB783" w14:textId="43D790F1" w:rsidR="001C05B1" w:rsidRDefault="00B349CC" w:rsidP="00B349CC">
      <w:pPr>
        <w:pStyle w:val="Caption"/>
        <w:jc w:val="center"/>
      </w:pPr>
      <w:bookmarkStart w:id="71" w:name="_Ref227056904"/>
      <w:bookmarkStart w:id="72" w:name="_Toc228701105"/>
      <w:r>
        <w:t xml:space="preserve">Figure </w:t>
      </w:r>
      <w:fldSimple w:instr=" STYLEREF 1 \s ">
        <w:r w:rsidR="007306EC">
          <w:rPr>
            <w:noProof/>
          </w:rPr>
          <w:t>2</w:t>
        </w:r>
      </w:fldSimple>
      <w:r w:rsidR="007306EC">
        <w:noBreakHyphen/>
      </w:r>
      <w:fldSimple w:instr=" SEQ Figure \* ARABIC \s 1 ">
        <w:r w:rsidR="007306EC">
          <w:rPr>
            <w:noProof/>
          </w:rPr>
          <w:t>1</w:t>
        </w:r>
      </w:fldSimple>
      <w:bookmarkEnd w:id="71"/>
      <w:r>
        <w:t xml:space="preserve"> </w:t>
      </w:r>
      <w:r w:rsidRPr="00B73890">
        <w:t>RETURN ON TURNOVER BY INDIVIDUAL ACTOR</w:t>
      </w:r>
      <w:bookmarkEnd w:id="72"/>
    </w:p>
    <w:p w14:paraId="4A27A55C" w14:textId="77777777" w:rsidR="003B09C5" w:rsidRDefault="003B09C5" w:rsidP="00A3339E">
      <w:pPr>
        <w:rPr>
          <w:rFonts w:cs="Open Sans"/>
          <w:sz w:val="20"/>
          <w:szCs w:val="20"/>
        </w:rPr>
      </w:pPr>
    </w:p>
    <w:p w14:paraId="3AF9CD4E" w14:textId="77777777" w:rsidR="00D52692" w:rsidRDefault="00D52692" w:rsidP="00A3339E">
      <w:pPr>
        <w:rPr>
          <w:rFonts w:cs="Open Sans"/>
          <w:sz w:val="20"/>
          <w:szCs w:val="20"/>
        </w:rPr>
      </w:pPr>
    </w:p>
    <w:p w14:paraId="22C00FB5" w14:textId="77777777" w:rsidR="00D52692" w:rsidRDefault="00D52692" w:rsidP="00A3339E">
      <w:pPr>
        <w:rPr>
          <w:rFonts w:cs="Open Sans"/>
          <w:sz w:val="20"/>
          <w:szCs w:val="20"/>
        </w:rPr>
      </w:pPr>
    </w:p>
    <w:p w14:paraId="272A3337" w14:textId="77777777" w:rsidR="00D52692" w:rsidRDefault="00D52692" w:rsidP="00A3339E">
      <w:pPr>
        <w:rPr>
          <w:rFonts w:cs="Open Sans"/>
          <w:sz w:val="20"/>
          <w:szCs w:val="20"/>
        </w:rPr>
      </w:pPr>
    </w:p>
    <w:p w14:paraId="423EF33C" w14:textId="77777777" w:rsidR="00D52692" w:rsidRDefault="00D52692" w:rsidP="00A3339E">
      <w:pPr>
        <w:rPr>
          <w:rFonts w:cs="Open Sans"/>
          <w:sz w:val="20"/>
          <w:szCs w:val="20"/>
        </w:rPr>
      </w:pPr>
    </w:p>
    <w:p w14:paraId="6A2B47DE" w14:textId="77777777" w:rsidR="00D52692" w:rsidRDefault="00D52692" w:rsidP="00A3339E">
      <w:pPr>
        <w:rPr>
          <w:rFonts w:cs="Open Sans"/>
          <w:sz w:val="20"/>
          <w:szCs w:val="20"/>
        </w:rPr>
      </w:pPr>
    </w:p>
    <w:p w14:paraId="14CA5988" w14:textId="77777777" w:rsidR="00D52692" w:rsidRDefault="00D52692" w:rsidP="00A3339E">
      <w:pPr>
        <w:rPr>
          <w:rFonts w:cs="Open Sans"/>
          <w:sz w:val="20"/>
          <w:szCs w:val="20"/>
        </w:rPr>
      </w:pPr>
    </w:p>
    <w:p w14:paraId="6049CFB1" w14:textId="77777777" w:rsidR="00D52692" w:rsidRDefault="00D52692" w:rsidP="00A3339E">
      <w:pPr>
        <w:rPr>
          <w:rFonts w:cs="Open Sans"/>
          <w:sz w:val="20"/>
          <w:szCs w:val="20"/>
        </w:rPr>
      </w:pPr>
    </w:p>
    <w:p w14:paraId="7C6C1831" w14:textId="025715F5" w:rsidR="00B349CC" w:rsidRDefault="00B349CC" w:rsidP="00B349CC">
      <w:pPr>
        <w:pStyle w:val="Caption"/>
        <w:keepNext/>
      </w:pPr>
      <w:bookmarkStart w:id="73" w:name="_Ref227056956"/>
      <w:bookmarkStart w:id="74" w:name="_Toc228701070"/>
      <w:r>
        <w:lastRenderedPageBreak/>
        <w:t xml:space="preserve">Table </w:t>
      </w:r>
      <w:fldSimple w:instr=" STYLEREF 1 \s ">
        <w:r w:rsidR="006C1C4E">
          <w:rPr>
            <w:noProof/>
          </w:rPr>
          <w:t>2</w:t>
        </w:r>
      </w:fldSimple>
      <w:r w:rsidR="006C1C4E">
        <w:noBreakHyphen/>
      </w:r>
      <w:fldSimple w:instr=" SEQ Table \* ARABIC \s 1 ">
        <w:r w:rsidR="006C1C4E">
          <w:rPr>
            <w:noProof/>
          </w:rPr>
          <w:t>1</w:t>
        </w:r>
      </w:fldSimple>
      <w:bookmarkEnd w:id="73"/>
      <w:r>
        <w:t xml:space="preserve"> </w:t>
      </w:r>
      <w:r w:rsidRPr="00780BB0">
        <w:t>INDIVIDUAL ACTOR ACCOUNT AND FINANCIAL INDICATORS</w:t>
      </w:r>
      <w:bookmarkEnd w:id="74"/>
    </w:p>
    <w:tbl>
      <w:tblPr>
        <w:tblW w:w="9923" w:type="dxa"/>
        <w:jc w:val="center"/>
        <w:tblLook w:val="04A0" w:firstRow="1" w:lastRow="0" w:firstColumn="1" w:lastColumn="0" w:noHBand="0" w:noVBand="1"/>
      </w:tblPr>
      <w:tblGrid>
        <w:gridCol w:w="2127"/>
        <w:gridCol w:w="1116"/>
        <w:gridCol w:w="1160"/>
        <w:gridCol w:w="880"/>
        <w:gridCol w:w="936"/>
        <w:gridCol w:w="1152"/>
        <w:gridCol w:w="1361"/>
        <w:gridCol w:w="1191"/>
      </w:tblGrid>
      <w:tr w:rsidR="008C4505" w:rsidRPr="003B09C5" w14:paraId="27A9CF3F" w14:textId="77777777" w:rsidTr="00E44619">
        <w:trPr>
          <w:trHeight w:val="470"/>
          <w:jc w:val="center"/>
        </w:trPr>
        <w:tc>
          <w:tcPr>
            <w:tcW w:w="2127" w:type="dxa"/>
            <w:tcBorders>
              <w:top w:val="single" w:sz="4" w:space="0" w:color="auto"/>
              <w:left w:val="nil"/>
              <w:bottom w:val="double" w:sz="6" w:space="0" w:color="auto"/>
              <w:right w:val="nil"/>
            </w:tcBorders>
            <w:noWrap/>
            <w:vAlign w:val="center"/>
            <w:hideMark/>
          </w:tcPr>
          <w:p w14:paraId="2A68167C"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Actor</w:t>
            </w:r>
          </w:p>
        </w:tc>
        <w:tc>
          <w:tcPr>
            <w:tcW w:w="1116" w:type="dxa"/>
            <w:tcBorders>
              <w:top w:val="single" w:sz="4" w:space="0" w:color="auto"/>
              <w:left w:val="nil"/>
              <w:bottom w:val="double" w:sz="6" w:space="0" w:color="auto"/>
              <w:right w:val="nil"/>
            </w:tcBorders>
            <w:noWrap/>
            <w:vAlign w:val="center"/>
            <w:hideMark/>
          </w:tcPr>
          <w:p w14:paraId="76334D9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Production</w:t>
            </w:r>
          </w:p>
        </w:tc>
        <w:tc>
          <w:tcPr>
            <w:tcW w:w="1160" w:type="dxa"/>
            <w:tcBorders>
              <w:top w:val="single" w:sz="4" w:space="0" w:color="auto"/>
              <w:left w:val="nil"/>
              <w:bottom w:val="double" w:sz="6" w:space="0" w:color="auto"/>
              <w:right w:val="nil"/>
            </w:tcBorders>
            <w:noWrap/>
            <w:vAlign w:val="center"/>
            <w:hideMark/>
          </w:tcPr>
          <w:p w14:paraId="29338832"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IGS</w:t>
            </w:r>
          </w:p>
        </w:tc>
        <w:tc>
          <w:tcPr>
            <w:tcW w:w="880" w:type="dxa"/>
            <w:tcBorders>
              <w:top w:val="single" w:sz="4" w:space="0" w:color="auto"/>
              <w:left w:val="nil"/>
              <w:bottom w:val="double" w:sz="6" w:space="0" w:color="auto"/>
              <w:right w:val="nil"/>
            </w:tcBorders>
            <w:noWrap/>
            <w:vAlign w:val="center"/>
            <w:hideMark/>
          </w:tcPr>
          <w:p w14:paraId="38FCBBCF"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Wages</w:t>
            </w:r>
          </w:p>
        </w:tc>
        <w:tc>
          <w:tcPr>
            <w:tcW w:w="936" w:type="dxa"/>
            <w:tcBorders>
              <w:top w:val="single" w:sz="4" w:space="0" w:color="auto"/>
              <w:left w:val="nil"/>
              <w:bottom w:val="double" w:sz="6" w:space="0" w:color="auto"/>
              <w:right w:val="nil"/>
            </w:tcBorders>
            <w:noWrap/>
            <w:vAlign w:val="center"/>
            <w:hideMark/>
          </w:tcPr>
          <w:p w14:paraId="52BDBF4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Taxes</w:t>
            </w:r>
          </w:p>
        </w:tc>
        <w:tc>
          <w:tcPr>
            <w:tcW w:w="1152" w:type="dxa"/>
            <w:tcBorders>
              <w:top w:val="single" w:sz="4" w:space="0" w:color="auto"/>
              <w:left w:val="nil"/>
              <w:bottom w:val="double" w:sz="6" w:space="0" w:color="auto"/>
              <w:right w:val="nil"/>
            </w:tcBorders>
            <w:noWrap/>
            <w:vAlign w:val="center"/>
            <w:hideMark/>
          </w:tcPr>
          <w:p w14:paraId="545FE0C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Depreciation</w:t>
            </w:r>
          </w:p>
        </w:tc>
        <w:tc>
          <w:tcPr>
            <w:tcW w:w="1361" w:type="dxa"/>
            <w:tcBorders>
              <w:top w:val="single" w:sz="4" w:space="0" w:color="auto"/>
              <w:left w:val="nil"/>
              <w:bottom w:val="double" w:sz="6" w:space="0" w:color="auto"/>
              <w:right w:val="nil"/>
            </w:tcBorders>
            <w:vAlign w:val="center"/>
            <w:hideMark/>
          </w:tcPr>
          <w:p w14:paraId="7D3F3843"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Net Operating </w:t>
            </w:r>
            <w:r w:rsidRPr="003B09C5">
              <w:rPr>
                <w:rFonts w:ascii="Times New Roman" w:eastAsia="Times New Roman" w:hAnsi="Times New Roman" w:cs="Times New Roman"/>
                <w:color w:val="000000"/>
                <w:szCs w:val="18"/>
                <w:lang w:val="en-GB" w:eastAsia="en-GB"/>
              </w:rPr>
              <w:br/>
              <w:t>Profit</w:t>
            </w:r>
          </w:p>
        </w:tc>
        <w:tc>
          <w:tcPr>
            <w:tcW w:w="1191" w:type="dxa"/>
            <w:tcBorders>
              <w:top w:val="single" w:sz="4" w:space="0" w:color="auto"/>
              <w:left w:val="nil"/>
              <w:bottom w:val="double" w:sz="6" w:space="0" w:color="auto"/>
              <w:right w:val="nil"/>
            </w:tcBorders>
            <w:vAlign w:val="center"/>
            <w:hideMark/>
          </w:tcPr>
          <w:p w14:paraId="7D5E59D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Return on </w:t>
            </w:r>
            <w:r w:rsidRPr="003B09C5">
              <w:rPr>
                <w:rFonts w:ascii="Times New Roman" w:eastAsia="Times New Roman" w:hAnsi="Times New Roman" w:cs="Times New Roman"/>
                <w:color w:val="000000"/>
                <w:szCs w:val="18"/>
                <w:lang w:val="en-GB" w:eastAsia="en-GB"/>
              </w:rPr>
              <w:br/>
              <w:t xml:space="preserve">turnover </w:t>
            </w:r>
          </w:p>
        </w:tc>
      </w:tr>
      <w:tr w:rsidR="003B09C5" w:rsidRPr="003B09C5" w14:paraId="38600469" w14:textId="77777777" w:rsidTr="00E44619">
        <w:trPr>
          <w:trHeight w:val="260"/>
          <w:jc w:val="center"/>
        </w:trPr>
        <w:tc>
          <w:tcPr>
            <w:tcW w:w="2127" w:type="dxa"/>
            <w:tcBorders>
              <w:top w:val="nil"/>
              <w:left w:val="nil"/>
              <w:bottom w:val="nil"/>
              <w:right w:val="nil"/>
            </w:tcBorders>
            <w:noWrap/>
            <w:vAlign w:val="bottom"/>
            <w:hideMark/>
          </w:tcPr>
          <w:p w14:paraId="38806FA4"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Smallholder Prod</w:t>
            </w:r>
          </w:p>
        </w:tc>
        <w:tc>
          <w:tcPr>
            <w:tcW w:w="1116" w:type="dxa"/>
            <w:tcBorders>
              <w:top w:val="nil"/>
              <w:left w:val="nil"/>
              <w:bottom w:val="nil"/>
              <w:right w:val="nil"/>
            </w:tcBorders>
            <w:noWrap/>
            <w:vAlign w:val="center"/>
            <w:hideMark/>
          </w:tcPr>
          <w:p w14:paraId="3247B28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30,425 </w:t>
            </w:r>
          </w:p>
        </w:tc>
        <w:tc>
          <w:tcPr>
            <w:tcW w:w="1160" w:type="dxa"/>
            <w:tcBorders>
              <w:top w:val="nil"/>
              <w:left w:val="nil"/>
              <w:bottom w:val="nil"/>
              <w:right w:val="nil"/>
            </w:tcBorders>
            <w:noWrap/>
            <w:vAlign w:val="center"/>
            <w:hideMark/>
          </w:tcPr>
          <w:p w14:paraId="0399D27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57 </w:t>
            </w:r>
          </w:p>
        </w:tc>
        <w:tc>
          <w:tcPr>
            <w:tcW w:w="880" w:type="dxa"/>
            <w:tcBorders>
              <w:top w:val="nil"/>
              <w:left w:val="nil"/>
              <w:bottom w:val="nil"/>
              <w:right w:val="nil"/>
            </w:tcBorders>
            <w:noWrap/>
            <w:vAlign w:val="center"/>
            <w:hideMark/>
          </w:tcPr>
          <w:p w14:paraId="3F2C1A1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4,994 </w:t>
            </w:r>
          </w:p>
        </w:tc>
        <w:tc>
          <w:tcPr>
            <w:tcW w:w="936" w:type="dxa"/>
            <w:tcBorders>
              <w:top w:val="nil"/>
              <w:left w:val="nil"/>
              <w:bottom w:val="nil"/>
              <w:right w:val="nil"/>
            </w:tcBorders>
            <w:noWrap/>
            <w:vAlign w:val="center"/>
            <w:hideMark/>
          </w:tcPr>
          <w:p w14:paraId="19F2A02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152" w:type="dxa"/>
            <w:tcBorders>
              <w:top w:val="nil"/>
              <w:left w:val="nil"/>
              <w:bottom w:val="nil"/>
              <w:right w:val="nil"/>
            </w:tcBorders>
            <w:noWrap/>
            <w:vAlign w:val="center"/>
            <w:hideMark/>
          </w:tcPr>
          <w:p w14:paraId="0BF7CFCB"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303 </w:t>
            </w:r>
          </w:p>
        </w:tc>
        <w:tc>
          <w:tcPr>
            <w:tcW w:w="1361" w:type="dxa"/>
            <w:tcBorders>
              <w:top w:val="nil"/>
              <w:left w:val="nil"/>
              <w:bottom w:val="nil"/>
              <w:right w:val="nil"/>
            </w:tcBorders>
            <w:noWrap/>
            <w:vAlign w:val="center"/>
            <w:hideMark/>
          </w:tcPr>
          <w:p w14:paraId="3CEB525F"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25,070 </w:t>
            </w:r>
          </w:p>
        </w:tc>
        <w:tc>
          <w:tcPr>
            <w:tcW w:w="1191" w:type="dxa"/>
            <w:tcBorders>
              <w:top w:val="nil"/>
              <w:left w:val="nil"/>
              <w:bottom w:val="nil"/>
              <w:right w:val="nil"/>
            </w:tcBorders>
            <w:noWrap/>
            <w:vAlign w:val="center"/>
            <w:hideMark/>
          </w:tcPr>
          <w:p w14:paraId="2AC3E61F"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82%</w:t>
            </w:r>
          </w:p>
        </w:tc>
      </w:tr>
      <w:tr w:rsidR="003B09C5" w:rsidRPr="003B09C5" w14:paraId="240DAA28" w14:textId="77777777" w:rsidTr="00E44619">
        <w:trPr>
          <w:trHeight w:val="250"/>
          <w:jc w:val="center"/>
        </w:trPr>
        <w:tc>
          <w:tcPr>
            <w:tcW w:w="2127" w:type="dxa"/>
            <w:tcBorders>
              <w:top w:val="nil"/>
              <w:left w:val="nil"/>
              <w:bottom w:val="nil"/>
              <w:right w:val="nil"/>
            </w:tcBorders>
            <w:noWrap/>
            <w:vAlign w:val="bottom"/>
            <w:hideMark/>
          </w:tcPr>
          <w:p w14:paraId="5695FF1E"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Larger Smallholder Prod</w:t>
            </w:r>
          </w:p>
        </w:tc>
        <w:tc>
          <w:tcPr>
            <w:tcW w:w="1116" w:type="dxa"/>
            <w:tcBorders>
              <w:top w:val="nil"/>
              <w:left w:val="nil"/>
              <w:bottom w:val="nil"/>
              <w:right w:val="nil"/>
            </w:tcBorders>
            <w:noWrap/>
            <w:vAlign w:val="center"/>
            <w:hideMark/>
          </w:tcPr>
          <w:p w14:paraId="53690CF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116,442 </w:t>
            </w:r>
          </w:p>
        </w:tc>
        <w:tc>
          <w:tcPr>
            <w:tcW w:w="1160" w:type="dxa"/>
            <w:tcBorders>
              <w:top w:val="nil"/>
              <w:left w:val="nil"/>
              <w:bottom w:val="nil"/>
              <w:right w:val="nil"/>
            </w:tcBorders>
            <w:noWrap/>
            <w:vAlign w:val="center"/>
            <w:hideMark/>
          </w:tcPr>
          <w:p w14:paraId="0023759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214 </w:t>
            </w:r>
          </w:p>
        </w:tc>
        <w:tc>
          <w:tcPr>
            <w:tcW w:w="880" w:type="dxa"/>
            <w:tcBorders>
              <w:top w:val="nil"/>
              <w:left w:val="nil"/>
              <w:bottom w:val="nil"/>
              <w:right w:val="nil"/>
            </w:tcBorders>
            <w:noWrap/>
            <w:vAlign w:val="center"/>
            <w:hideMark/>
          </w:tcPr>
          <w:p w14:paraId="6B62E01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7,567 </w:t>
            </w:r>
          </w:p>
        </w:tc>
        <w:tc>
          <w:tcPr>
            <w:tcW w:w="936" w:type="dxa"/>
            <w:tcBorders>
              <w:top w:val="nil"/>
              <w:left w:val="nil"/>
              <w:bottom w:val="nil"/>
              <w:right w:val="nil"/>
            </w:tcBorders>
            <w:noWrap/>
            <w:vAlign w:val="center"/>
            <w:hideMark/>
          </w:tcPr>
          <w:p w14:paraId="4B3CDCE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152" w:type="dxa"/>
            <w:tcBorders>
              <w:top w:val="nil"/>
              <w:left w:val="nil"/>
              <w:bottom w:val="nil"/>
              <w:right w:val="nil"/>
            </w:tcBorders>
            <w:noWrap/>
            <w:vAlign w:val="center"/>
            <w:hideMark/>
          </w:tcPr>
          <w:p w14:paraId="78F46C4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391 </w:t>
            </w:r>
          </w:p>
        </w:tc>
        <w:tc>
          <w:tcPr>
            <w:tcW w:w="1361" w:type="dxa"/>
            <w:tcBorders>
              <w:top w:val="nil"/>
              <w:left w:val="nil"/>
              <w:bottom w:val="nil"/>
              <w:right w:val="nil"/>
            </w:tcBorders>
            <w:noWrap/>
            <w:vAlign w:val="center"/>
            <w:hideMark/>
          </w:tcPr>
          <w:p w14:paraId="53E9D2A1"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108,269 </w:t>
            </w:r>
          </w:p>
        </w:tc>
        <w:tc>
          <w:tcPr>
            <w:tcW w:w="1191" w:type="dxa"/>
            <w:tcBorders>
              <w:top w:val="nil"/>
              <w:left w:val="nil"/>
              <w:bottom w:val="nil"/>
              <w:right w:val="nil"/>
            </w:tcBorders>
            <w:noWrap/>
            <w:vAlign w:val="center"/>
            <w:hideMark/>
          </w:tcPr>
          <w:p w14:paraId="4C423C3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92%</w:t>
            </w:r>
          </w:p>
        </w:tc>
      </w:tr>
      <w:tr w:rsidR="003B09C5" w:rsidRPr="003B09C5" w14:paraId="55930D5E" w14:textId="77777777" w:rsidTr="00E44619">
        <w:trPr>
          <w:trHeight w:val="250"/>
          <w:jc w:val="center"/>
        </w:trPr>
        <w:tc>
          <w:tcPr>
            <w:tcW w:w="2127" w:type="dxa"/>
            <w:tcBorders>
              <w:top w:val="nil"/>
              <w:left w:val="nil"/>
              <w:bottom w:val="nil"/>
              <w:right w:val="nil"/>
            </w:tcBorders>
            <w:noWrap/>
            <w:vAlign w:val="bottom"/>
            <w:hideMark/>
          </w:tcPr>
          <w:p w14:paraId="3B458AA3"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Cooperative</w:t>
            </w:r>
          </w:p>
        </w:tc>
        <w:tc>
          <w:tcPr>
            <w:tcW w:w="1116" w:type="dxa"/>
            <w:tcBorders>
              <w:top w:val="nil"/>
              <w:left w:val="nil"/>
              <w:bottom w:val="nil"/>
              <w:right w:val="nil"/>
            </w:tcBorders>
            <w:noWrap/>
            <w:vAlign w:val="center"/>
            <w:hideMark/>
          </w:tcPr>
          <w:p w14:paraId="75E45B5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23,400,000 </w:t>
            </w:r>
          </w:p>
        </w:tc>
        <w:tc>
          <w:tcPr>
            <w:tcW w:w="1160" w:type="dxa"/>
            <w:tcBorders>
              <w:top w:val="nil"/>
              <w:left w:val="nil"/>
              <w:bottom w:val="nil"/>
              <w:right w:val="nil"/>
            </w:tcBorders>
            <w:noWrap/>
            <w:vAlign w:val="center"/>
            <w:hideMark/>
          </w:tcPr>
          <w:p w14:paraId="5491076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20,955,401 </w:t>
            </w:r>
          </w:p>
        </w:tc>
        <w:tc>
          <w:tcPr>
            <w:tcW w:w="880" w:type="dxa"/>
            <w:tcBorders>
              <w:top w:val="nil"/>
              <w:left w:val="nil"/>
              <w:bottom w:val="nil"/>
              <w:right w:val="nil"/>
            </w:tcBorders>
            <w:noWrap/>
            <w:vAlign w:val="center"/>
            <w:hideMark/>
          </w:tcPr>
          <w:p w14:paraId="5AD6ACF3"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101,000 </w:t>
            </w:r>
          </w:p>
        </w:tc>
        <w:tc>
          <w:tcPr>
            <w:tcW w:w="936" w:type="dxa"/>
            <w:tcBorders>
              <w:top w:val="nil"/>
              <w:left w:val="nil"/>
              <w:bottom w:val="nil"/>
              <w:right w:val="nil"/>
            </w:tcBorders>
            <w:noWrap/>
            <w:vAlign w:val="center"/>
            <w:hideMark/>
          </w:tcPr>
          <w:p w14:paraId="78B5C3A3"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6,000 </w:t>
            </w:r>
          </w:p>
        </w:tc>
        <w:tc>
          <w:tcPr>
            <w:tcW w:w="1152" w:type="dxa"/>
            <w:tcBorders>
              <w:top w:val="nil"/>
              <w:left w:val="nil"/>
              <w:bottom w:val="nil"/>
              <w:right w:val="nil"/>
            </w:tcBorders>
            <w:noWrap/>
            <w:vAlign w:val="center"/>
            <w:hideMark/>
          </w:tcPr>
          <w:p w14:paraId="701F2A7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361" w:type="dxa"/>
            <w:tcBorders>
              <w:top w:val="nil"/>
              <w:left w:val="nil"/>
              <w:bottom w:val="nil"/>
              <w:right w:val="nil"/>
            </w:tcBorders>
            <w:noWrap/>
            <w:vAlign w:val="center"/>
            <w:hideMark/>
          </w:tcPr>
          <w:p w14:paraId="76ADFB5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2,337,599 </w:t>
            </w:r>
          </w:p>
        </w:tc>
        <w:tc>
          <w:tcPr>
            <w:tcW w:w="1191" w:type="dxa"/>
            <w:tcBorders>
              <w:top w:val="nil"/>
              <w:left w:val="nil"/>
              <w:bottom w:val="nil"/>
              <w:right w:val="nil"/>
            </w:tcBorders>
            <w:noWrap/>
            <w:vAlign w:val="center"/>
            <w:hideMark/>
          </w:tcPr>
          <w:p w14:paraId="0B9105A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9%</w:t>
            </w:r>
          </w:p>
        </w:tc>
      </w:tr>
      <w:tr w:rsidR="003B09C5" w:rsidRPr="003B09C5" w14:paraId="7EE12FBE" w14:textId="77777777" w:rsidTr="00E44619">
        <w:trPr>
          <w:trHeight w:val="250"/>
          <w:jc w:val="center"/>
        </w:trPr>
        <w:tc>
          <w:tcPr>
            <w:tcW w:w="2127" w:type="dxa"/>
            <w:tcBorders>
              <w:top w:val="nil"/>
              <w:left w:val="nil"/>
              <w:bottom w:val="nil"/>
              <w:right w:val="nil"/>
            </w:tcBorders>
            <w:noWrap/>
            <w:vAlign w:val="bottom"/>
            <w:hideMark/>
          </w:tcPr>
          <w:p w14:paraId="0574BB59"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Individual Agent</w:t>
            </w:r>
          </w:p>
        </w:tc>
        <w:tc>
          <w:tcPr>
            <w:tcW w:w="1116" w:type="dxa"/>
            <w:tcBorders>
              <w:top w:val="nil"/>
              <w:left w:val="nil"/>
              <w:bottom w:val="nil"/>
              <w:right w:val="nil"/>
            </w:tcBorders>
            <w:noWrap/>
            <w:vAlign w:val="center"/>
            <w:hideMark/>
          </w:tcPr>
          <w:p w14:paraId="6A4403E5"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624,000 </w:t>
            </w:r>
          </w:p>
        </w:tc>
        <w:tc>
          <w:tcPr>
            <w:tcW w:w="1160" w:type="dxa"/>
            <w:tcBorders>
              <w:top w:val="nil"/>
              <w:left w:val="nil"/>
              <w:bottom w:val="nil"/>
              <w:right w:val="nil"/>
            </w:tcBorders>
            <w:noWrap/>
            <w:vAlign w:val="center"/>
            <w:hideMark/>
          </w:tcPr>
          <w:p w14:paraId="4E565BBB"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560,160 </w:t>
            </w:r>
          </w:p>
        </w:tc>
        <w:tc>
          <w:tcPr>
            <w:tcW w:w="880" w:type="dxa"/>
            <w:tcBorders>
              <w:top w:val="nil"/>
              <w:left w:val="nil"/>
              <w:bottom w:val="nil"/>
              <w:right w:val="nil"/>
            </w:tcBorders>
            <w:noWrap/>
            <w:vAlign w:val="center"/>
            <w:hideMark/>
          </w:tcPr>
          <w:p w14:paraId="6209F23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3,000 </w:t>
            </w:r>
          </w:p>
        </w:tc>
        <w:tc>
          <w:tcPr>
            <w:tcW w:w="936" w:type="dxa"/>
            <w:tcBorders>
              <w:top w:val="nil"/>
              <w:left w:val="nil"/>
              <w:bottom w:val="nil"/>
              <w:right w:val="nil"/>
            </w:tcBorders>
            <w:noWrap/>
            <w:vAlign w:val="center"/>
            <w:hideMark/>
          </w:tcPr>
          <w:p w14:paraId="329E2DA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500 </w:t>
            </w:r>
          </w:p>
        </w:tc>
        <w:tc>
          <w:tcPr>
            <w:tcW w:w="1152" w:type="dxa"/>
            <w:tcBorders>
              <w:top w:val="nil"/>
              <w:left w:val="nil"/>
              <w:bottom w:val="nil"/>
              <w:right w:val="nil"/>
            </w:tcBorders>
            <w:noWrap/>
            <w:vAlign w:val="center"/>
            <w:hideMark/>
          </w:tcPr>
          <w:p w14:paraId="794A3B4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361" w:type="dxa"/>
            <w:tcBorders>
              <w:top w:val="nil"/>
              <w:left w:val="nil"/>
              <w:bottom w:val="nil"/>
              <w:right w:val="nil"/>
            </w:tcBorders>
            <w:noWrap/>
            <w:vAlign w:val="center"/>
            <w:hideMark/>
          </w:tcPr>
          <w:p w14:paraId="2FD1FEC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60,340 </w:t>
            </w:r>
          </w:p>
        </w:tc>
        <w:tc>
          <w:tcPr>
            <w:tcW w:w="1191" w:type="dxa"/>
            <w:tcBorders>
              <w:top w:val="nil"/>
              <w:left w:val="nil"/>
              <w:bottom w:val="nil"/>
              <w:right w:val="nil"/>
            </w:tcBorders>
            <w:noWrap/>
            <w:vAlign w:val="center"/>
            <w:hideMark/>
          </w:tcPr>
          <w:p w14:paraId="26289B7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9%</w:t>
            </w:r>
          </w:p>
        </w:tc>
      </w:tr>
      <w:tr w:rsidR="003B09C5" w:rsidRPr="003B09C5" w14:paraId="5C694F95" w14:textId="77777777" w:rsidTr="00E44619">
        <w:trPr>
          <w:trHeight w:val="250"/>
          <w:jc w:val="center"/>
        </w:trPr>
        <w:tc>
          <w:tcPr>
            <w:tcW w:w="2127" w:type="dxa"/>
            <w:tcBorders>
              <w:top w:val="nil"/>
              <w:left w:val="nil"/>
              <w:bottom w:val="nil"/>
              <w:right w:val="nil"/>
            </w:tcBorders>
            <w:noWrap/>
            <w:vAlign w:val="bottom"/>
            <w:hideMark/>
          </w:tcPr>
          <w:p w14:paraId="1FF19478"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Individual Dealer</w:t>
            </w:r>
          </w:p>
        </w:tc>
        <w:tc>
          <w:tcPr>
            <w:tcW w:w="1116" w:type="dxa"/>
            <w:tcBorders>
              <w:top w:val="nil"/>
              <w:left w:val="nil"/>
              <w:bottom w:val="nil"/>
              <w:right w:val="nil"/>
            </w:tcBorders>
            <w:noWrap/>
            <w:vAlign w:val="center"/>
            <w:hideMark/>
          </w:tcPr>
          <w:p w14:paraId="11D9909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130,000 </w:t>
            </w:r>
          </w:p>
        </w:tc>
        <w:tc>
          <w:tcPr>
            <w:tcW w:w="1160" w:type="dxa"/>
            <w:tcBorders>
              <w:top w:val="nil"/>
              <w:left w:val="nil"/>
              <w:bottom w:val="nil"/>
              <w:right w:val="nil"/>
            </w:tcBorders>
            <w:noWrap/>
            <w:vAlign w:val="center"/>
            <w:hideMark/>
          </w:tcPr>
          <w:p w14:paraId="628CD841"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80,300 </w:t>
            </w:r>
          </w:p>
        </w:tc>
        <w:tc>
          <w:tcPr>
            <w:tcW w:w="880" w:type="dxa"/>
            <w:tcBorders>
              <w:top w:val="nil"/>
              <w:left w:val="nil"/>
              <w:bottom w:val="nil"/>
              <w:right w:val="nil"/>
            </w:tcBorders>
            <w:noWrap/>
            <w:vAlign w:val="center"/>
            <w:hideMark/>
          </w:tcPr>
          <w:p w14:paraId="505128E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400 </w:t>
            </w:r>
          </w:p>
        </w:tc>
        <w:tc>
          <w:tcPr>
            <w:tcW w:w="936" w:type="dxa"/>
            <w:tcBorders>
              <w:top w:val="nil"/>
              <w:left w:val="nil"/>
              <w:bottom w:val="nil"/>
              <w:right w:val="nil"/>
            </w:tcBorders>
            <w:noWrap/>
            <w:vAlign w:val="center"/>
            <w:hideMark/>
          </w:tcPr>
          <w:p w14:paraId="549BFAD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152" w:type="dxa"/>
            <w:tcBorders>
              <w:top w:val="nil"/>
              <w:left w:val="nil"/>
              <w:bottom w:val="nil"/>
              <w:right w:val="nil"/>
            </w:tcBorders>
            <w:noWrap/>
            <w:vAlign w:val="center"/>
            <w:hideMark/>
          </w:tcPr>
          <w:p w14:paraId="7EF2F5C6"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361" w:type="dxa"/>
            <w:tcBorders>
              <w:top w:val="nil"/>
              <w:left w:val="nil"/>
              <w:bottom w:val="nil"/>
              <w:right w:val="nil"/>
            </w:tcBorders>
            <w:noWrap/>
            <w:vAlign w:val="center"/>
            <w:hideMark/>
          </w:tcPr>
          <w:p w14:paraId="49CBADC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49,300 </w:t>
            </w:r>
          </w:p>
        </w:tc>
        <w:tc>
          <w:tcPr>
            <w:tcW w:w="1191" w:type="dxa"/>
            <w:tcBorders>
              <w:top w:val="nil"/>
              <w:left w:val="nil"/>
              <w:bottom w:val="nil"/>
              <w:right w:val="nil"/>
            </w:tcBorders>
            <w:noWrap/>
            <w:vAlign w:val="center"/>
            <w:hideMark/>
          </w:tcPr>
          <w:p w14:paraId="25D7A1D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37%</w:t>
            </w:r>
          </w:p>
        </w:tc>
      </w:tr>
      <w:tr w:rsidR="00E44619" w:rsidRPr="003B09C5" w14:paraId="06C69E08" w14:textId="77777777" w:rsidTr="00E44619">
        <w:trPr>
          <w:trHeight w:val="250"/>
          <w:jc w:val="center"/>
        </w:trPr>
        <w:tc>
          <w:tcPr>
            <w:tcW w:w="2127" w:type="dxa"/>
            <w:tcBorders>
              <w:top w:val="nil"/>
              <w:left w:val="nil"/>
              <w:bottom w:val="single" w:sz="4" w:space="0" w:color="auto"/>
              <w:right w:val="nil"/>
            </w:tcBorders>
            <w:noWrap/>
            <w:vAlign w:val="bottom"/>
            <w:hideMark/>
          </w:tcPr>
          <w:p w14:paraId="4F1EFF17"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Exporter</w:t>
            </w:r>
          </w:p>
        </w:tc>
        <w:tc>
          <w:tcPr>
            <w:tcW w:w="1116" w:type="dxa"/>
            <w:tcBorders>
              <w:top w:val="nil"/>
              <w:left w:val="nil"/>
              <w:bottom w:val="single" w:sz="4" w:space="0" w:color="auto"/>
              <w:right w:val="nil"/>
            </w:tcBorders>
            <w:noWrap/>
            <w:vAlign w:val="center"/>
            <w:hideMark/>
          </w:tcPr>
          <w:p w14:paraId="732CE7C6"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265,600,006 </w:t>
            </w:r>
          </w:p>
        </w:tc>
        <w:tc>
          <w:tcPr>
            <w:tcW w:w="1160" w:type="dxa"/>
            <w:tcBorders>
              <w:top w:val="nil"/>
              <w:left w:val="nil"/>
              <w:bottom w:val="single" w:sz="4" w:space="0" w:color="auto"/>
              <w:right w:val="nil"/>
            </w:tcBorders>
            <w:noWrap/>
            <w:vAlign w:val="center"/>
            <w:hideMark/>
          </w:tcPr>
          <w:p w14:paraId="1CC48FA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217,876,383 </w:t>
            </w:r>
          </w:p>
        </w:tc>
        <w:tc>
          <w:tcPr>
            <w:tcW w:w="880" w:type="dxa"/>
            <w:tcBorders>
              <w:top w:val="nil"/>
              <w:left w:val="nil"/>
              <w:bottom w:val="single" w:sz="4" w:space="0" w:color="auto"/>
              <w:right w:val="nil"/>
            </w:tcBorders>
            <w:noWrap/>
            <w:vAlign w:val="center"/>
            <w:hideMark/>
          </w:tcPr>
          <w:p w14:paraId="3BC7520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552,000 </w:t>
            </w:r>
          </w:p>
        </w:tc>
        <w:tc>
          <w:tcPr>
            <w:tcW w:w="936" w:type="dxa"/>
            <w:tcBorders>
              <w:top w:val="nil"/>
              <w:left w:val="nil"/>
              <w:bottom w:val="single" w:sz="4" w:space="0" w:color="auto"/>
              <w:right w:val="nil"/>
            </w:tcBorders>
            <w:noWrap/>
            <w:vAlign w:val="center"/>
            <w:hideMark/>
          </w:tcPr>
          <w:p w14:paraId="68A2D35F"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6,640,000 </w:t>
            </w:r>
          </w:p>
        </w:tc>
        <w:tc>
          <w:tcPr>
            <w:tcW w:w="1152" w:type="dxa"/>
            <w:tcBorders>
              <w:top w:val="nil"/>
              <w:left w:val="nil"/>
              <w:bottom w:val="single" w:sz="4" w:space="0" w:color="auto"/>
              <w:right w:val="nil"/>
            </w:tcBorders>
            <w:noWrap/>
            <w:vAlign w:val="center"/>
            <w:hideMark/>
          </w:tcPr>
          <w:p w14:paraId="4993D4E1"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   </w:t>
            </w:r>
          </w:p>
        </w:tc>
        <w:tc>
          <w:tcPr>
            <w:tcW w:w="1361" w:type="dxa"/>
            <w:tcBorders>
              <w:top w:val="nil"/>
              <w:left w:val="nil"/>
              <w:bottom w:val="single" w:sz="4" w:space="0" w:color="auto"/>
              <w:right w:val="nil"/>
            </w:tcBorders>
            <w:noWrap/>
            <w:vAlign w:val="center"/>
            <w:hideMark/>
          </w:tcPr>
          <w:p w14:paraId="475A8EC2"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 xml:space="preserve">     40,531,623 </w:t>
            </w:r>
          </w:p>
        </w:tc>
        <w:tc>
          <w:tcPr>
            <w:tcW w:w="1191" w:type="dxa"/>
            <w:tcBorders>
              <w:top w:val="nil"/>
              <w:left w:val="nil"/>
              <w:bottom w:val="single" w:sz="4" w:space="0" w:color="auto"/>
              <w:right w:val="nil"/>
            </w:tcBorders>
            <w:noWrap/>
            <w:vAlign w:val="center"/>
            <w:hideMark/>
          </w:tcPr>
          <w:p w14:paraId="78238C3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15%</w:t>
            </w:r>
          </w:p>
        </w:tc>
      </w:tr>
    </w:tbl>
    <w:p w14:paraId="00A582FE" w14:textId="22D46B65" w:rsidR="003B09C5" w:rsidRDefault="008C4505" w:rsidP="00A3339E">
      <w:pPr>
        <w:rPr>
          <w:rFonts w:cs="Open Sans"/>
          <w:sz w:val="20"/>
          <w:szCs w:val="20"/>
        </w:rPr>
      </w:pPr>
      <w:r>
        <w:rPr>
          <w:rFonts w:cs="Open Sans"/>
          <w:sz w:val="20"/>
          <w:szCs w:val="20"/>
        </w:rPr>
        <w:t>Note: All values are presented in SLE (</w:t>
      </w:r>
      <w:r w:rsidRPr="008C4505">
        <w:rPr>
          <w:rFonts w:cs="Open Sans"/>
          <w:sz w:val="20"/>
          <w:szCs w:val="20"/>
        </w:rPr>
        <w:t>Sierra Leonean Leone</w:t>
      </w:r>
      <w:r>
        <w:rPr>
          <w:rFonts w:cs="Open Sans"/>
          <w:sz w:val="20"/>
          <w:szCs w:val="20"/>
        </w:rPr>
        <w:t>).</w:t>
      </w:r>
    </w:p>
    <w:p w14:paraId="3360241E" w14:textId="77777777" w:rsidR="003B09C5" w:rsidRDefault="003B09C5" w:rsidP="00A3339E">
      <w:pPr>
        <w:rPr>
          <w:rFonts w:cs="Open Sans"/>
          <w:sz w:val="20"/>
          <w:szCs w:val="20"/>
        </w:rPr>
      </w:pPr>
    </w:p>
    <w:p w14:paraId="0243A735" w14:textId="3AA5D1AD" w:rsidR="00FE4615" w:rsidRPr="00FE4615" w:rsidRDefault="00667E7C" w:rsidP="00FE4615">
      <w:pPr>
        <w:rPr>
          <w:rFonts w:cs="Open Sans"/>
          <w:sz w:val="20"/>
          <w:szCs w:val="20"/>
        </w:rPr>
      </w:pPr>
      <w:r w:rsidRPr="00424BFE">
        <w:rPr>
          <w:rFonts w:cs="Open Sans"/>
          <w:sz w:val="20"/>
          <w:szCs w:val="20"/>
        </w:rPr>
        <w:fldChar w:fldCharType="begin"/>
      </w:r>
      <w:r w:rsidRPr="00424BFE">
        <w:rPr>
          <w:rFonts w:cs="Open Sans"/>
          <w:sz w:val="20"/>
          <w:szCs w:val="20"/>
        </w:rPr>
        <w:instrText xml:space="preserve"> REF _Ref227057040 \h </w:instrText>
      </w:r>
      <w:r w:rsidR="00424BFE">
        <w:rPr>
          <w:rFonts w:cs="Open Sans"/>
          <w:sz w:val="20"/>
          <w:szCs w:val="20"/>
        </w:rPr>
        <w:instrText xml:space="preserve"> \* MERGEFORMAT </w:instrText>
      </w:r>
      <w:r w:rsidRPr="00424BFE">
        <w:rPr>
          <w:rFonts w:cs="Open Sans"/>
          <w:sz w:val="20"/>
          <w:szCs w:val="20"/>
        </w:rPr>
      </w:r>
      <w:r w:rsidRPr="00424BFE">
        <w:rPr>
          <w:rFonts w:cs="Open Sans"/>
          <w:sz w:val="20"/>
          <w:szCs w:val="20"/>
        </w:rPr>
        <w:fldChar w:fldCharType="separate"/>
      </w:r>
      <w:r w:rsidRPr="001F42F7">
        <w:rPr>
          <w:sz w:val="20"/>
          <w:szCs w:val="20"/>
        </w:rPr>
        <w:t xml:space="preserve">Table </w:t>
      </w:r>
      <w:r w:rsidRPr="001F42F7">
        <w:rPr>
          <w:noProof/>
          <w:sz w:val="20"/>
          <w:szCs w:val="20"/>
        </w:rPr>
        <w:t>2</w:t>
      </w:r>
      <w:r w:rsidRPr="001F42F7">
        <w:rPr>
          <w:sz w:val="20"/>
          <w:szCs w:val="20"/>
        </w:rPr>
        <w:noBreakHyphen/>
      </w:r>
      <w:r w:rsidRPr="001F42F7">
        <w:rPr>
          <w:noProof/>
          <w:sz w:val="20"/>
          <w:szCs w:val="20"/>
        </w:rPr>
        <w:t>2</w:t>
      </w:r>
      <w:r w:rsidRPr="00424BFE">
        <w:rPr>
          <w:rFonts w:cs="Open Sans"/>
          <w:sz w:val="20"/>
          <w:szCs w:val="20"/>
        </w:rPr>
        <w:fldChar w:fldCharType="end"/>
      </w:r>
      <w:r w:rsidR="00FE4615" w:rsidRPr="00424BFE">
        <w:rPr>
          <w:rFonts w:cs="Open Sans"/>
          <w:sz w:val="20"/>
          <w:szCs w:val="20"/>
        </w:rPr>
        <w:t xml:space="preserve"> pro</w:t>
      </w:r>
      <w:r w:rsidR="00FE4615" w:rsidRPr="00FE4615">
        <w:rPr>
          <w:rFonts w:cs="Open Sans"/>
          <w:sz w:val="20"/>
          <w:szCs w:val="20"/>
        </w:rPr>
        <w:t xml:space="preserve">vides a consolidated view of operating accounts across actors and allows for a more detailed examination of value added and its distribution. At the value chain level, total value added is primarily composed of operating profits, with wages and taxes accounting for a relatively small share. This indicates that income generated within the cocoa sector is largely retained as entrepreneurial surplus rather than being distributed through formal </w:t>
      </w:r>
      <w:proofErr w:type="spellStart"/>
      <w:r w:rsidR="00FE4615" w:rsidRPr="00FE4615">
        <w:rPr>
          <w:rFonts w:cs="Open Sans"/>
          <w:sz w:val="20"/>
          <w:szCs w:val="20"/>
        </w:rPr>
        <w:t>labour</w:t>
      </w:r>
      <w:proofErr w:type="spellEnd"/>
      <w:r w:rsidR="00FE4615" w:rsidRPr="00FE4615">
        <w:rPr>
          <w:rFonts w:cs="Open Sans"/>
          <w:sz w:val="20"/>
          <w:szCs w:val="20"/>
        </w:rPr>
        <w:t xml:space="preserve"> markets or fiscal channels.</w:t>
      </w:r>
    </w:p>
    <w:p w14:paraId="78723C18" w14:textId="77777777" w:rsidR="00FE4615" w:rsidRPr="00FE4615" w:rsidRDefault="00FE4615" w:rsidP="00FE4615">
      <w:pPr>
        <w:rPr>
          <w:rFonts w:cs="Open Sans"/>
          <w:sz w:val="20"/>
          <w:szCs w:val="20"/>
        </w:rPr>
      </w:pPr>
    </w:p>
    <w:p w14:paraId="51786C7E" w14:textId="77777777" w:rsidR="00FE4615" w:rsidRPr="00FE4615" w:rsidRDefault="00FE4615" w:rsidP="00FE4615">
      <w:pPr>
        <w:rPr>
          <w:rFonts w:cs="Open Sans"/>
          <w:sz w:val="20"/>
          <w:szCs w:val="20"/>
        </w:rPr>
      </w:pPr>
      <w:r w:rsidRPr="00FE4615">
        <w:rPr>
          <w:rFonts w:cs="Open Sans"/>
          <w:sz w:val="20"/>
          <w:szCs w:val="20"/>
        </w:rPr>
        <w:t xml:space="preserve">At the actor level, primary producers account for a significant share of value added, reflecting the </w:t>
      </w:r>
      <w:proofErr w:type="spellStart"/>
      <w:r w:rsidRPr="00FE4615">
        <w:rPr>
          <w:rFonts w:cs="Open Sans"/>
          <w:sz w:val="20"/>
          <w:szCs w:val="20"/>
        </w:rPr>
        <w:t>labour-intensive</w:t>
      </w:r>
      <w:proofErr w:type="spellEnd"/>
      <w:r w:rsidRPr="00FE4615">
        <w:rPr>
          <w:rFonts w:cs="Open Sans"/>
          <w:sz w:val="20"/>
          <w:szCs w:val="20"/>
        </w:rPr>
        <w:t xml:space="preserve"> nature of production and the limited use of intermediate inputs. For example, smallholder producers generate value added that is almost equivalent to their total production value, underscoring the low degree of input intensity. However, the distribution of this value added is heavily skewed towards operating surplus, with relatively limited wage payments, particularly in smallholder systems where family </w:t>
      </w:r>
      <w:proofErr w:type="spellStart"/>
      <w:r w:rsidRPr="00FE4615">
        <w:rPr>
          <w:rFonts w:cs="Open Sans"/>
          <w:sz w:val="20"/>
          <w:szCs w:val="20"/>
        </w:rPr>
        <w:t>labour</w:t>
      </w:r>
      <w:proofErr w:type="spellEnd"/>
      <w:r w:rsidRPr="00FE4615">
        <w:rPr>
          <w:rFonts w:cs="Open Sans"/>
          <w:sz w:val="20"/>
          <w:szCs w:val="20"/>
        </w:rPr>
        <w:t xml:space="preserve"> predominates.</w:t>
      </w:r>
    </w:p>
    <w:p w14:paraId="13E6ED6D" w14:textId="77777777" w:rsidR="00FE4615" w:rsidRPr="00FE4615" w:rsidRDefault="00FE4615" w:rsidP="00FE4615">
      <w:pPr>
        <w:rPr>
          <w:rFonts w:cs="Open Sans"/>
          <w:sz w:val="20"/>
          <w:szCs w:val="20"/>
        </w:rPr>
      </w:pPr>
    </w:p>
    <w:p w14:paraId="3037849A" w14:textId="34B69F04" w:rsidR="003B09C5" w:rsidRDefault="00FE4615" w:rsidP="00FE4615">
      <w:pPr>
        <w:rPr>
          <w:rFonts w:cs="Open Sans"/>
          <w:sz w:val="20"/>
          <w:szCs w:val="20"/>
        </w:rPr>
      </w:pPr>
      <w:r w:rsidRPr="00FE4615">
        <w:rPr>
          <w:rFonts w:cs="Open Sans"/>
          <w:sz w:val="20"/>
          <w:szCs w:val="20"/>
        </w:rPr>
        <w:t xml:space="preserve">In contrast, downstream actors such as exporters and agents exhibit higher levels of intermediate consumption, reflecting the costs associated with logistics, quality control, and market access. While their value added is lower </w:t>
      </w:r>
      <w:proofErr w:type="gramStart"/>
      <w:r w:rsidRPr="00FE4615">
        <w:rPr>
          <w:rFonts w:cs="Open Sans"/>
          <w:sz w:val="20"/>
          <w:szCs w:val="20"/>
        </w:rPr>
        <w:t>relative</w:t>
      </w:r>
      <w:proofErr w:type="gramEnd"/>
      <w:r w:rsidRPr="00FE4615">
        <w:rPr>
          <w:rFonts w:cs="Open Sans"/>
          <w:sz w:val="20"/>
          <w:szCs w:val="20"/>
        </w:rPr>
        <w:t xml:space="preserve"> to production compared to farmers, these </w:t>
      </w:r>
      <w:proofErr w:type="gramStart"/>
      <w:r w:rsidRPr="00FE4615">
        <w:rPr>
          <w:rFonts w:cs="Open Sans"/>
          <w:sz w:val="20"/>
          <w:szCs w:val="20"/>
        </w:rPr>
        <w:t>actors</w:t>
      </w:r>
      <w:proofErr w:type="gramEnd"/>
      <w:r w:rsidRPr="00FE4615">
        <w:rPr>
          <w:rFonts w:cs="Open Sans"/>
          <w:sz w:val="20"/>
          <w:szCs w:val="20"/>
        </w:rPr>
        <w:t xml:space="preserve"> capture significant absolute profits due to scale effects. Exporters</w:t>
      </w:r>
      <w:proofErr w:type="gramStart"/>
      <w:r w:rsidRPr="00FE4615">
        <w:rPr>
          <w:rFonts w:cs="Open Sans"/>
          <w:sz w:val="20"/>
          <w:szCs w:val="20"/>
        </w:rPr>
        <w:t>, in particular, generate</w:t>
      </w:r>
      <w:proofErr w:type="gramEnd"/>
      <w:r w:rsidRPr="00FE4615">
        <w:rPr>
          <w:rFonts w:cs="Open Sans"/>
          <w:sz w:val="20"/>
          <w:szCs w:val="20"/>
        </w:rPr>
        <w:t xml:space="preserve"> substantial net operating profits, driven by their position at the interface with international markets</w:t>
      </w:r>
      <w:r w:rsidR="00EE5874">
        <w:rPr>
          <w:rFonts w:cs="Open Sans"/>
          <w:sz w:val="20"/>
          <w:szCs w:val="20"/>
        </w:rPr>
        <w:t xml:space="preserve">. </w:t>
      </w:r>
    </w:p>
    <w:p w14:paraId="15CB3E4D" w14:textId="77777777" w:rsidR="003B09C5" w:rsidRDefault="003B09C5" w:rsidP="00A3339E">
      <w:pPr>
        <w:rPr>
          <w:rFonts w:cs="Open Sans"/>
          <w:sz w:val="20"/>
          <w:szCs w:val="20"/>
        </w:rPr>
      </w:pPr>
    </w:p>
    <w:p w14:paraId="6CF37585" w14:textId="3FFC9F36" w:rsidR="00B349CC" w:rsidRDefault="00B349CC" w:rsidP="00B349CC">
      <w:pPr>
        <w:pStyle w:val="Caption"/>
        <w:keepNext/>
      </w:pPr>
      <w:bookmarkStart w:id="75" w:name="_Ref227057040"/>
      <w:bookmarkStart w:id="76" w:name="_Toc228701071"/>
      <w:r>
        <w:t xml:space="preserve">Table </w:t>
      </w:r>
      <w:fldSimple w:instr=" STYLEREF 1 \s ">
        <w:r w:rsidR="006C1C4E">
          <w:rPr>
            <w:noProof/>
          </w:rPr>
          <w:t>2</w:t>
        </w:r>
      </w:fldSimple>
      <w:r w:rsidR="006C1C4E">
        <w:noBreakHyphen/>
      </w:r>
      <w:fldSimple w:instr=" SEQ Table \* ARABIC \s 1 ">
        <w:r w:rsidR="006C1C4E">
          <w:rPr>
            <w:noProof/>
          </w:rPr>
          <w:t>2</w:t>
        </w:r>
      </w:fldSimple>
      <w:bookmarkEnd w:id="75"/>
      <w:r>
        <w:t xml:space="preserve"> </w:t>
      </w:r>
      <w:r w:rsidRPr="00D20D08">
        <w:t>OPERATING ACCOUNTS PER ACTOR AND THE VALUE CHAIN</w:t>
      </w:r>
      <w:bookmarkEnd w:id="76"/>
    </w:p>
    <w:tbl>
      <w:tblPr>
        <w:tblW w:w="9146" w:type="dxa"/>
        <w:jc w:val="center"/>
        <w:tblLook w:val="04A0" w:firstRow="1" w:lastRow="0" w:firstColumn="1" w:lastColumn="0" w:noHBand="0" w:noVBand="1"/>
      </w:tblPr>
      <w:tblGrid>
        <w:gridCol w:w="2127"/>
        <w:gridCol w:w="1006"/>
        <w:gridCol w:w="820"/>
        <w:gridCol w:w="760"/>
        <w:gridCol w:w="760"/>
        <w:gridCol w:w="1146"/>
        <w:gridCol w:w="1600"/>
        <w:gridCol w:w="1080"/>
      </w:tblGrid>
      <w:tr w:rsidR="003B09C5" w:rsidRPr="003B09C5" w14:paraId="734AF706" w14:textId="77777777" w:rsidTr="00E44619">
        <w:trPr>
          <w:trHeight w:val="290"/>
          <w:jc w:val="center"/>
        </w:trPr>
        <w:tc>
          <w:tcPr>
            <w:tcW w:w="2127" w:type="dxa"/>
            <w:tcBorders>
              <w:top w:val="single" w:sz="4" w:space="0" w:color="auto"/>
              <w:left w:val="nil"/>
              <w:bottom w:val="double" w:sz="6" w:space="0" w:color="auto"/>
              <w:right w:val="nil"/>
            </w:tcBorders>
            <w:noWrap/>
            <w:vAlign w:val="center"/>
            <w:hideMark/>
          </w:tcPr>
          <w:p w14:paraId="54D80BF1"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Actor</w:t>
            </w:r>
          </w:p>
        </w:tc>
        <w:tc>
          <w:tcPr>
            <w:tcW w:w="853" w:type="dxa"/>
            <w:tcBorders>
              <w:top w:val="single" w:sz="4" w:space="0" w:color="auto"/>
              <w:left w:val="nil"/>
              <w:bottom w:val="double" w:sz="6" w:space="0" w:color="auto"/>
              <w:right w:val="nil"/>
            </w:tcBorders>
            <w:noWrap/>
            <w:vAlign w:val="center"/>
            <w:hideMark/>
          </w:tcPr>
          <w:p w14:paraId="7F4F0FF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Production</w:t>
            </w:r>
          </w:p>
        </w:tc>
        <w:tc>
          <w:tcPr>
            <w:tcW w:w="820" w:type="dxa"/>
            <w:tcBorders>
              <w:top w:val="single" w:sz="4" w:space="0" w:color="auto"/>
              <w:left w:val="nil"/>
              <w:bottom w:val="double" w:sz="6" w:space="0" w:color="auto"/>
              <w:right w:val="nil"/>
            </w:tcBorders>
            <w:noWrap/>
            <w:vAlign w:val="center"/>
            <w:hideMark/>
          </w:tcPr>
          <w:p w14:paraId="17236E4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IGS</w:t>
            </w:r>
          </w:p>
        </w:tc>
        <w:tc>
          <w:tcPr>
            <w:tcW w:w="760" w:type="dxa"/>
            <w:tcBorders>
              <w:top w:val="single" w:sz="4" w:space="0" w:color="auto"/>
              <w:left w:val="nil"/>
              <w:bottom w:val="double" w:sz="6" w:space="0" w:color="auto"/>
              <w:right w:val="nil"/>
            </w:tcBorders>
            <w:noWrap/>
            <w:vAlign w:val="center"/>
            <w:hideMark/>
          </w:tcPr>
          <w:p w14:paraId="454AC95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Wages</w:t>
            </w:r>
          </w:p>
        </w:tc>
        <w:tc>
          <w:tcPr>
            <w:tcW w:w="760" w:type="dxa"/>
            <w:tcBorders>
              <w:top w:val="single" w:sz="4" w:space="0" w:color="auto"/>
              <w:left w:val="nil"/>
              <w:bottom w:val="double" w:sz="6" w:space="0" w:color="auto"/>
              <w:right w:val="nil"/>
            </w:tcBorders>
            <w:noWrap/>
            <w:vAlign w:val="center"/>
            <w:hideMark/>
          </w:tcPr>
          <w:p w14:paraId="611B4B93"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Taxes</w:t>
            </w:r>
          </w:p>
        </w:tc>
        <w:tc>
          <w:tcPr>
            <w:tcW w:w="1146" w:type="dxa"/>
            <w:tcBorders>
              <w:top w:val="single" w:sz="4" w:space="0" w:color="auto"/>
              <w:left w:val="nil"/>
              <w:bottom w:val="double" w:sz="6" w:space="0" w:color="auto"/>
              <w:right w:val="nil"/>
            </w:tcBorders>
            <w:noWrap/>
            <w:vAlign w:val="center"/>
            <w:hideMark/>
          </w:tcPr>
          <w:p w14:paraId="6F2F23F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Depreciation</w:t>
            </w:r>
          </w:p>
        </w:tc>
        <w:tc>
          <w:tcPr>
            <w:tcW w:w="1600" w:type="dxa"/>
            <w:tcBorders>
              <w:top w:val="single" w:sz="4" w:space="0" w:color="auto"/>
              <w:left w:val="nil"/>
              <w:bottom w:val="double" w:sz="6" w:space="0" w:color="auto"/>
              <w:right w:val="nil"/>
            </w:tcBorders>
            <w:noWrap/>
            <w:vAlign w:val="center"/>
            <w:hideMark/>
          </w:tcPr>
          <w:p w14:paraId="7E8475B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Net Operating Profit</w:t>
            </w:r>
          </w:p>
        </w:tc>
        <w:tc>
          <w:tcPr>
            <w:tcW w:w="1080" w:type="dxa"/>
            <w:tcBorders>
              <w:top w:val="single" w:sz="4" w:space="0" w:color="auto"/>
              <w:left w:val="nil"/>
              <w:bottom w:val="double" w:sz="6" w:space="0" w:color="auto"/>
              <w:right w:val="nil"/>
            </w:tcBorders>
            <w:noWrap/>
            <w:vAlign w:val="center"/>
            <w:hideMark/>
          </w:tcPr>
          <w:p w14:paraId="3AA55216"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Value Added</w:t>
            </w:r>
          </w:p>
        </w:tc>
      </w:tr>
      <w:tr w:rsidR="003B09C5" w:rsidRPr="003B09C5" w14:paraId="1B8EEF2B" w14:textId="77777777" w:rsidTr="00E44619">
        <w:trPr>
          <w:trHeight w:val="290"/>
          <w:jc w:val="center"/>
        </w:trPr>
        <w:tc>
          <w:tcPr>
            <w:tcW w:w="2127" w:type="dxa"/>
            <w:tcBorders>
              <w:top w:val="nil"/>
              <w:left w:val="nil"/>
              <w:bottom w:val="nil"/>
              <w:right w:val="nil"/>
            </w:tcBorders>
            <w:noWrap/>
            <w:vAlign w:val="bottom"/>
            <w:hideMark/>
          </w:tcPr>
          <w:p w14:paraId="1DF383A3"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Smallholder Prod</w:t>
            </w:r>
          </w:p>
        </w:tc>
        <w:tc>
          <w:tcPr>
            <w:tcW w:w="853" w:type="dxa"/>
            <w:tcBorders>
              <w:top w:val="nil"/>
              <w:left w:val="nil"/>
              <w:bottom w:val="nil"/>
              <w:right w:val="nil"/>
            </w:tcBorders>
            <w:noWrap/>
            <w:vAlign w:val="center"/>
            <w:hideMark/>
          </w:tcPr>
          <w:p w14:paraId="220DD1C5"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1,266</w:t>
            </w:r>
          </w:p>
        </w:tc>
        <w:tc>
          <w:tcPr>
            <w:tcW w:w="820" w:type="dxa"/>
            <w:tcBorders>
              <w:top w:val="nil"/>
              <w:left w:val="nil"/>
              <w:bottom w:val="nil"/>
              <w:right w:val="nil"/>
            </w:tcBorders>
            <w:noWrap/>
            <w:vAlign w:val="center"/>
            <w:hideMark/>
          </w:tcPr>
          <w:p w14:paraId="073525F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w:t>
            </w:r>
          </w:p>
        </w:tc>
        <w:tc>
          <w:tcPr>
            <w:tcW w:w="760" w:type="dxa"/>
            <w:tcBorders>
              <w:top w:val="nil"/>
              <w:left w:val="nil"/>
              <w:bottom w:val="nil"/>
              <w:right w:val="nil"/>
            </w:tcBorders>
            <w:noWrap/>
            <w:vAlign w:val="center"/>
            <w:hideMark/>
          </w:tcPr>
          <w:p w14:paraId="1CFE65C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208</w:t>
            </w:r>
          </w:p>
        </w:tc>
        <w:tc>
          <w:tcPr>
            <w:tcW w:w="760" w:type="dxa"/>
            <w:tcBorders>
              <w:top w:val="nil"/>
              <w:left w:val="nil"/>
              <w:bottom w:val="nil"/>
              <w:right w:val="nil"/>
            </w:tcBorders>
            <w:noWrap/>
            <w:vAlign w:val="center"/>
            <w:hideMark/>
          </w:tcPr>
          <w:p w14:paraId="6694209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146" w:type="dxa"/>
            <w:tcBorders>
              <w:top w:val="nil"/>
              <w:left w:val="nil"/>
              <w:bottom w:val="nil"/>
              <w:right w:val="nil"/>
            </w:tcBorders>
            <w:noWrap/>
            <w:vAlign w:val="center"/>
            <w:hideMark/>
          </w:tcPr>
          <w:p w14:paraId="5BB4419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13</w:t>
            </w:r>
          </w:p>
        </w:tc>
        <w:tc>
          <w:tcPr>
            <w:tcW w:w="1600" w:type="dxa"/>
            <w:tcBorders>
              <w:top w:val="nil"/>
              <w:left w:val="nil"/>
              <w:bottom w:val="nil"/>
              <w:right w:val="nil"/>
            </w:tcBorders>
            <w:noWrap/>
            <w:vAlign w:val="center"/>
            <w:hideMark/>
          </w:tcPr>
          <w:p w14:paraId="2D45F35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1,043</w:t>
            </w:r>
          </w:p>
        </w:tc>
        <w:tc>
          <w:tcPr>
            <w:tcW w:w="1080" w:type="dxa"/>
            <w:tcBorders>
              <w:top w:val="nil"/>
              <w:left w:val="nil"/>
              <w:bottom w:val="nil"/>
              <w:right w:val="nil"/>
            </w:tcBorders>
            <w:noWrap/>
            <w:vAlign w:val="center"/>
            <w:hideMark/>
          </w:tcPr>
          <w:p w14:paraId="6F93FE4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1,264</w:t>
            </w:r>
          </w:p>
        </w:tc>
      </w:tr>
      <w:tr w:rsidR="003B09C5" w:rsidRPr="003B09C5" w14:paraId="7C4BFADC" w14:textId="77777777" w:rsidTr="00E44619">
        <w:trPr>
          <w:trHeight w:val="290"/>
          <w:jc w:val="center"/>
        </w:trPr>
        <w:tc>
          <w:tcPr>
            <w:tcW w:w="2127" w:type="dxa"/>
            <w:tcBorders>
              <w:top w:val="nil"/>
              <w:left w:val="nil"/>
              <w:bottom w:val="nil"/>
              <w:right w:val="nil"/>
            </w:tcBorders>
            <w:noWrap/>
            <w:vAlign w:val="bottom"/>
            <w:hideMark/>
          </w:tcPr>
          <w:p w14:paraId="557A0462"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Larger Smallholder Prod</w:t>
            </w:r>
          </w:p>
        </w:tc>
        <w:tc>
          <w:tcPr>
            <w:tcW w:w="853" w:type="dxa"/>
            <w:tcBorders>
              <w:top w:val="nil"/>
              <w:left w:val="nil"/>
              <w:bottom w:val="nil"/>
              <w:right w:val="nil"/>
            </w:tcBorders>
            <w:noWrap/>
            <w:vAlign w:val="center"/>
            <w:hideMark/>
          </w:tcPr>
          <w:p w14:paraId="4507138B"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640</w:t>
            </w:r>
          </w:p>
        </w:tc>
        <w:tc>
          <w:tcPr>
            <w:tcW w:w="820" w:type="dxa"/>
            <w:tcBorders>
              <w:top w:val="nil"/>
              <w:left w:val="nil"/>
              <w:bottom w:val="nil"/>
              <w:right w:val="nil"/>
            </w:tcBorders>
            <w:noWrap/>
            <w:vAlign w:val="center"/>
            <w:hideMark/>
          </w:tcPr>
          <w:p w14:paraId="3B85A392"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w:t>
            </w:r>
          </w:p>
        </w:tc>
        <w:tc>
          <w:tcPr>
            <w:tcW w:w="760" w:type="dxa"/>
            <w:tcBorders>
              <w:top w:val="nil"/>
              <w:left w:val="nil"/>
              <w:bottom w:val="nil"/>
              <w:right w:val="nil"/>
            </w:tcBorders>
            <w:noWrap/>
            <w:vAlign w:val="center"/>
            <w:hideMark/>
          </w:tcPr>
          <w:p w14:paraId="10E0FD5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42</w:t>
            </w:r>
          </w:p>
        </w:tc>
        <w:tc>
          <w:tcPr>
            <w:tcW w:w="760" w:type="dxa"/>
            <w:tcBorders>
              <w:top w:val="nil"/>
              <w:left w:val="nil"/>
              <w:bottom w:val="nil"/>
              <w:right w:val="nil"/>
            </w:tcBorders>
            <w:noWrap/>
            <w:vAlign w:val="center"/>
            <w:hideMark/>
          </w:tcPr>
          <w:p w14:paraId="2263E2A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146" w:type="dxa"/>
            <w:tcBorders>
              <w:top w:val="nil"/>
              <w:left w:val="nil"/>
              <w:bottom w:val="nil"/>
              <w:right w:val="nil"/>
            </w:tcBorders>
            <w:noWrap/>
            <w:vAlign w:val="center"/>
            <w:hideMark/>
          </w:tcPr>
          <w:p w14:paraId="6CF9DCC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w:t>
            </w:r>
          </w:p>
        </w:tc>
        <w:tc>
          <w:tcPr>
            <w:tcW w:w="1600" w:type="dxa"/>
            <w:tcBorders>
              <w:top w:val="nil"/>
              <w:left w:val="nil"/>
              <w:bottom w:val="nil"/>
              <w:right w:val="nil"/>
            </w:tcBorders>
            <w:noWrap/>
            <w:vAlign w:val="center"/>
            <w:hideMark/>
          </w:tcPr>
          <w:p w14:paraId="4898AC05"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595</w:t>
            </w:r>
          </w:p>
        </w:tc>
        <w:tc>
          <w:tcPr>
            <w:tcW w:w="1080" w:type="dxa"/>
            <w:tcBorders>
              <w:top w:val="nil"/>
              <w:left w:val="nil"/>
              <w:bottom w:val="nil"/>
              <w:right w:val="nil"/>
            </w:tcBorders>
            <w:noWrap/>
            <w:vAlign w:val="center"/>
            <w:hideMark/>
          </w:tcPr>
          <w:p w14:paraId="240C05E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638</w:t>
            </w:r>
          </w:p>
        </w:tc>
      </w:tr>
      <w:tr w:rsidR="003B09C5" w:rsidRPr="003B09C5" w14:paraId="2D78D53A" w14:textId="77777777" w:rsidTr="00E44619">
        <w:trPr>
          <w:trHeight w:val="290"/>
          <w:jc w:val="center"/>
        </w:trPr>
        <w:tc>
          <w:tcPr>
            <w:tcW w:w="2127" w:type="dxa"/>
            <w:tcBorders>
              <w:top w:val="nil"/>
              <w:left w:val="nil"/>
              <w:bottom w:val="nil"/>
              <w:right w:val="nil"/>
            </w:tcBorders>
            <w:noWrap/>
            <w:vAlign w:val="bottom"/>
            <w:hideMark/>
          </w:tcPr>
          <w:p w14:paraId="09E3B8BF"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Cooperative</w:t>
            </w:r>
          </w:p>
        </w:tc>
        <w:tc>
          <w:tcPr>
            <w:tcW w:w="853" w:type="dxa"/>
            <w:tcBorders>
              <w:top w:val="nil"/>
              <w:left w:val="nil"/>
              <w:bottom w:val="nil"/>
              <w:right w:val="nil"/>
            </w:tcBorders>
            <w:noWrap/>
            <w:vAlign w:val="center"/>
            <w:hideMark/>
          </w:tcPr>
          <w:p w14:paraId="00331D61"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780</w:t>
            </w:r>
          </w:p>
        </w:tc>
        <w:tc>
          <w:tcPr>
            <w:tcW w:w="820" w:type="dxa"/>
            <w:tcBorders>
              <w:top w:val="nil"/>
              <w:left w:val="nil"/>
              <w:bottom w:val="nil"/>
              <w:right w:val="nil"/>
            </w:tcBorders>
            <w:noWrap/>
            <w:vAlign w:val="center"/>
            <w:hideMark/>
          </w:tcPr>
          <w:p w14:paraId="43FAC93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699</w:t>
            </w:r>
          </w:p>
        </w:tc>
        <w:tc>
          <w:tcPr>
            <w:tcW w:w="760" w:type="dxa"/>
            <w:tcBorders>
              <w:top w:val="nil"/>
              <w:left w:val="nil"/>
              <w:bottom w:val="nil"/>
              <w:right w:val="nil"/>
            </w:tcBorders>
            <w:noWrap/>
            <w:vAlign w:val="center"/>
            <w:hideMark/>
          </w:tcPr>
          <w:p w14:paraId="0706E91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3</w:t>
            </w:r>
          </w:p>
        </w:tc>
        <w:tc>
          <w:tcPr>
            <w:tcW w:w="760" w:type="dxa"/>
            <w:tcBorders>
              <w:top w:val="nil"/>
              <w:left w:val="nil"/>
              <w:bottom w:val="nil"/>
              <w:right w:val="nil"/>
            </w:tcBorders>
            <w:noWrap/>
            <w:vAlign w:val="center"/>
            <w:hideMark/>
          </w:tcPr>
          <w:p w14:paraId="2F2863C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146" w:type="dxa"/>
            <w:tcBorders>
              <w:top w:val="nil"/>
              <w:left w:val="nil"/>
              <w:bottom w:val="nil"/>
              <w:right w:val="nil"/>
            </w:tcBorders>
            <w:noWrap/>
            <w:vAlign w:val="center"/>
            <w:hideMark/>
          </w:tcPr>
          <w:p w14:paraId="3B89B0E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600" w:type="dxa"/>
            <w:tcBorders>
              <w:top w:val="nil"/>
              <w:left w:val="nil"/>
              <w:bottom w:val="nil"/>
              <w:right w:val="nil"/>
            </w:tcBorders>
            <w:noWrap/>
            <w:vAlign w:val="center"/>
            <w:hideMark/>
          </w:tcPr>
          <w:p w14:paraId="2C534F7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78</w:t>
            </w:r>
          </w:p>
        </w:tc>
        <w:tc>
          <w:tcPr>
            <w:tcW w:w="1080" w:type="dxa"/>
            <w:tcBorders>
              <w:top w:val="nil"/>
              <w:left w:val="nil"/>
              <w:bottom w:val="nil"/>
              <w:right w:val="nil"/>
            </w:tcBorders>
            <w:noWrap/>
            <w:vAlign w:val="center"/>
            <w:hideMark/>
          </w:tcPr>
          <w:p w14:paraId="131BD2F6"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81</w:t>
            </w:r>
          </w:p>
        </w:tc>
      </w:tr>
      <w:tr w:rsidR="003B09C5" w:rsidRPr="003B09C5" w14:paraId="0C608B24" w14:textId="77777777" w:rsidTr="00E44619">
        <w:trPr>
          <w:trHeight w:val="290"/>
          <w:jc w:val="center"/>
        </w:trPr>
        <w:tc>
          <w:tcPr>
            <w:tcW w:w="2127" w:type="dxa"/>
            <w:tcBorders>
              <w:top w:val="nil"/>
              <w:left w:val="nil"/>
              <w:bottom w:val="nil"/>
              <w:right w:val="nil"/>
            </w:tcBorders>
            <w:noWrap/>
            <w:vAlign w:val="bottom"/>
            <w:hideMark/>
          </w:tcPr>
          <w:p w14:paraId="0F98CBD8"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Individual Agent</w:t>
            </w:r>
          </w:p>
        </w:tc>
        <w:tc>
          <w:tcPr>
            <w:tcW w:w="853" w:type="dxa"/>
            <w:tcBorders>
              <w:top w:val="nil"/>
              <w:left w:val="nil"/>
              <w:bottom w:val="nil"/>
              <w:right w:val="nil"/>
            </w:tcBorders>
            <w:noWrap/>
            <w:vAlign w:val="center"/>
            <w:hideMark/>
          </w:tcPr>
          <w:p w14:paraId="73D0D2A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1,560</w:t>
            </w:r>
          </w:p>
        </w:tc>
        <w:tc>
          <w:tcPr>
            <w:tcW w:w="820" w:type="dxa"/>
            <w:tcBorders>
              <w:top w:val="nil"/>
              <w:left w:val="nil"/>
              <w:bottom w:val="nil"/>
              <w:right w:val="nil"/>
            </w:tcBorders>
            <w:noWrap/>
            <w:vAlign w:val="center"/>
            <w:hideMark/>
          </w:tcPr>
          <w:p w14:paraId="2D2EC29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1,400</w:t>
            </w:r>
          </w:p>
        </w:tc>
        <w:tc>
          <w:tcPr>
            <w:tcW w:w="760" w:type="dxa"/>
            <w:tcBorders>
              <w:top w:val="nil"/>
              <w:left w:val="nil"/>
              <w:bottom w:val="nil"/>
              <w:right w:val="nil"/>
            </w:tcBorders>
            <w:noWrap/>
            <w:vAlign w:val="center"/>
            <w:hideMark/>
          </w:tcPr>
          <w:p w14:paraId="75ECC87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8</w:t>
            </w:r>
          </w:p>
        </w:tc>
        <w:tc>
          <w:tcPr>
            <w:tcW w:w="760" w:type="dxa"/>
            <w:tcBorders>
              <w:top w:val="nil"/>
              <w:left w:val="nil"/>
              <w:bottom w:val="nil"/>
              <w:right w:val="nil"/>
            </w:tcBorders>
            <w:noWrap/>
            <w:vAlign w:val="center"/>
            <w:hideMark/>
          </w:tcPr>
          <w:p w14:paraId="17D274DD"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w:t>
            </w:r>
          </w:p>
        </w:tc>
        <w:tc>
          <w:tcPr>
            <w:tcW w:w="1146" w:type="dxa"/>
            <w:tcBorders>
              <w:top w:val="nil"/>
              <w:left w:val="nil"/>
              <w:bottom w:val="nil"/>
              <w:right w:val="nil"/>
            </w:tcBorders>
            <w:noWrap/>
            <w:vAlign w:val="center"/>
            <w:hideMark/>
          </w:tcPr>
          <w:p w14:paraId="7FDA05A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600" w:type="dxa"/>
            <w:tcBorders>
              <w:top w:val="nil"/>
              <w:left w:val="nil"/>
              <w:bottom w:val="nil"/>
              <w:right w:val="nil"/>
            </w:tcBorders>
            <w:noWrap/>
            <w:vAlign w:val="center"/>
            <w:hideMark/>
          </w:tcPr>
          <w:p w14:paraId="6A17701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151</w:t>
            </w:r>
          </w:p>
        </w:tc>
        <w:tc>
          <w:tcPr>
            <w:tcW w:w="1080" w:type="dxa"/>
            <w:tcBorders>
              <w:top w:val="nil"/>
              <w:left w:val="nil"/>
              <w:bottom w:val="nil"/>
              <w:right w:val="nil"/>
            </w:tcBorders>
            <w:noWrap/>
            <w:vAlign w:val="center"/>
            <w:hideMark/>
          </w:tcPr>
          <w:p w14:paraId="20342AF4"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160</w:t>
            </w:r>
          </w:p>
        </w:tc>
      </w:tr>
      <w:tr w:rsidR="003B09C5" w:rsidRPr="003B09C5" w14:paraId="64C4DF45" w14:textId="77777777" w:rsidTr="00E44619">
        <w:trPr>
          <w:trHeight w:val="290"/>
          <w:jc w:val="center"/>
        </w:trPr>
        <w:tc>
          <w:tcPr>
            <w:tcW w:w="2127" w:type="dxa"/>
            <w:tcBorders>
              <w:top w:val="nil"/>
              <w:left w:val="nil"/>
              <w:bottom w:val="nil"/>
              <w:right w:val="nil"/>
            </w:tcBorders>
            <w:noWrap/>
            <w:vAlign w:val="bottom"/>
            <w:hideMark/>
          </w:tcPr>
          <w:p w14:paraId="6EC695E7"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Individual Dealer</w:t>
            </w:r>
          </w:p>
        </w:tc>
        <w:tc>
          <w:tcPr>
            <w:tcW w:w="853" w:type="dxa"/>
            <w:tcBorders>
              <w:top w:val="nil"/>
              <w:left w:val="nil"/>
              <w:bottom w:val="nil"/>
              <w:right w:val="nil"/>
            </w:tcBorders>
            <w:noWrap/>
            <w:vAlign w:val="center"/>
            <w:hideMark/>
          </w:tcPr>
          <w:p w14:paraId="5371B71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260</w:t>
            </w:r>
          </w:p>
        </w:tc>
        <w:tc>
          <w:tcPr>
            <w:tcW w:w="820" w:type="dxa"/>
            <w:tcBorders>
              <w:top w:val="nil"/>
              <w:left w:val="nil"/>
              <w:bottom w:val="nil"/>
              <w:right w:val="nil"/>
            </w:tcBorders>
            <w:noWrap/>
            <w:vAlign w:val="center"/>
            <w:hideMark/>
          </w:tcPr>
          <w:p w14:paraId="4C8A47C5"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161</w:t>
            </w:r>
          </w:p>
        </w:tc>
        <w:tc>
          <w:tcPr>
            <w:tcW w:w="760" w:type="dxa"/>
            <w:tcBorders>
              <w:top w:val="nil"/>
              <w:left w:val="nil"/>
              <w:bottom w:val="nil"/>
              <w:right w:val="nil"/>
            </w:tcBorders>
            <w:noWrap/>
            <w:vAlign w:val="center"/>
            <w:hideMark/>
          </w:tcPr>
          <w:p w14:paraId="6FF03CE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w:t>
            </w:r>
          </w:p>
        </w:tc>
        <w:tc>
          <w:tcPr>
            <w:tcW w:w="760" w:type="dxa"/>
            <w:tcBorders>
              <w:top w:val="nil"/>
              <w:left w:val="nil"/>
              <w:bottom w:val="nil"/>
              <w:right w:val="nil"/>
            </w:tcBorders>
            <w:noWrap/>
            <w:vAlign w:val="center"/>
            <w:hideMark/>
          </w:tcPr>
          <w:p w14:paraId="6E5DA982"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146" w:type="dxa"/>
            <w:tcBorders>
              <w:top w:val="nil"/>
              <w:left w:val="nil"/>
              <w:bottom w:val="nil"/>
              <w:right w:val="nil"/>
            </w:tcBorders>
            <w:noWrap/>
            <w:vAlign w:val="center"/>
            <w:hideMark/>
          </w:tcPr>
          <w:p w14:paraId="1A3CCB9A"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600" w:type="dxa"/>
            <w:tcBorders>
              <w:top w:val="nil"/>
              <w:left w:val="nil"/>
              <w:bottom w:val="nil"/>
              <w:right w:val="nil"/>
            </w:tcBorders>
            <w:noWrap/>
            <w:vAlign w:val="center"/>
            <w:hideMark/>
          </w:tcPr>
          <w:p w14:paraId="295B91A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99</w:t>
            </w:r>
          </w:p>
        </w:tc>
        <w:tc>
          <w:tcPr>
            <w:tcW w:w="1080" w:type="dxa"/>
            <w:tcBorders>
              <w:top w:val="nil"/>
              <w:left w:val="nil"/>
              <w:bottom w:val="nil"/>
              <w:right w:val="nil"/>
            </w:tcBorders>
            <w:noWrap/>
            <w:vAlign w:val="center"/>
            <w:hideMark/>
          </w:tcPr>
          <w:p w14:paraId="38EFDB82"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99</w:t>
            </w:r>
          </w:p>
        </w:tc>
      </w:tr>
      <w:tr w:rsidR="003B09C5" w:rsidRPr="003B09C5" w14:paraId="70486AB4" w14:textId="77777777" w:rsidTr="00E44619">
        <w:trPr>
          <w:trHeight w:val="290"/>
          <w:jc w:val="center"/>
        </w:trPr>
        <w:tc>
          <w:tcPr>
            <w:tcW w:w="2127" w:type="dxa"/>
            <w:tcBorders>
              <w:top w:val="nil"/>
              <w:left w:val="nil"/>
              <w:bottom w:val="nil"/>
              <w:right w:val="nil"/>
            </w:tcBorders>
            <w:noWrap/>
            <w:vAlign w:val="bottom"/>
            <w:hideMark/>
          </w:tcPr>
          <w:p w14:paraId="6FB63A1F"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Exporter</w:t>
            </w:r>
          </w:p>
        </w:tc>
        <w:tc>
          <w:tcPr>
            <w:tcW w:w="853" w:type="dxa"/>
            <w:tcBorders>
              <w:top w:val="nil"/>
              <w:left w:val="nil"/>
              <w:bottom w:val="nil"/>
              <w:right w:val="nil"/>
            </w:tcBorders>
            <w:noWrap/>
            <w:vAlign w:val="center"/>
            <w:hideMark/>
          </w:tcPr>
          <w:p w14:paraId="3CE0B23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3,200</w:t>
            </w:r>
          </w:p>
        </w:tc>
        <w:tc>
          <w:tcPr>
            <w:tcW w:w="820" w:type="dxa"/>
            <w:tcBorders>
              <w:top w:val="nil"/>
              <w:left w:val="nil"/>
              <w:bottom w:val="nil"/>
              <w:right w:val="nil"/>
            </w:tcBorders>
            <w:noWrap/>
            <w:vAlign w:val="center"/>
            <w:hideMark/>
          </w:tcPr>
          <w:p w14:paraId="1321EB0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2,625</w:t>
            </w:r>
          </w:p>
        </w:tc>
        <w:tc>
          <w:tcPr>
            <w:tcW w:w="760" w:type="dxa"/>
            <w:tcBorders>
              <w:top w:val="nil"/>
              <w:left w:val="nil"/>
              <w:bottom w:val="nil"/>
              <w:right w:val="nil"/>
            </w:tcBorders>
            <w:noWrap/>
            <w:vAlign w:val="center"/>
            <w:hideMark/>
          </w:tcPr>
          <w:p w14:paraId="17425FD6"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7</w:t>
            </w:r>
          </w:p>
        </w:tc>
        <w:tc>
          <w:tcPr>
            <w:tcW w:w="760" w:type="dxa"/>
            <w:tcBorders>
              <w:top w:val="nil"/>
              <w:left w:val="nil"/>
              <w:bottom w:val="nil"/>
              <w:right w:val="nil"/>
            </w:tcBorders>
            <w:noWrap/>
            <w:vAlign w:val="center"/>
            <w:hideMark/>
          </w:tcPr>
          <w:p w14:paraId="6863449F"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80</w:t>
            </w:r>
          </w:p>
        </w:tc>
        <w:tc>
          <w:tcPr>
            <w:tcW w:w="1146" w:type="dxa"/>
            <w:tcBorders>
              <w:top w:val="nil"/>
              <w:left w:val="nil"/>
              <w:bottom w:val="nil"/>
              <w:right w:val="nil"/>
            </w:tcBorders>
            <w:noWrap/>
            <w:vAlign w:val="center"/>
            <w:hideMark/>
          </w:tcPr>
          <w:p w14:paraId="434C643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0</w:t>
            </w:r>
          </w:p>
        </w:tc>
        <w:tc>
          <w:tcPr>
            <w:tcW w:w="1600" w:type="dxa"/>
            <w:tcBorders>
              <w:top w:val="nil"/>
              <w:left w:val="nil"/>
              <w:bottom w:val="nil"/>
              <w:right w:val="nil"/>
            </w:tcBorders>
            <w:noWrap/>
            <w:vAlign w:val="center"/>
            <w:hideMark/>
          </w:tcPr>
          <w:p w14:paraId="64ADBE17"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488</w:t>
            </w:r>
          </w:p>
        </w:tc>
        <w:tc>
          <w:tcPr>
            <w:tcW w:w="1080" w:type="dxa"/>
            <w:tcBorders>
              <w:top w:val="nil"/>
              <w:left w:val="nil"/>
              <w:bottom w:val="nil"/>
              <w:right w:val="nil"/>
            </w:tcBorders>
            <w:noWrap/>
            <w:vAlign w:val="center"/>
            <w:hideMark/>
          </w:tcPr>
          <w:p w14:paraId="78625AF5"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575</w:t>
            </w:r>
          </w:p>
        </w:tc>
      </w:tr>
      <w:tr w:rsidR="003B09C5" w:rsidRPr="003B09C5" w14:paraId="71318F26" w14:textId="77777777" w:rsidTr="00E44619">
        <w:trPr>
          <w:trHeight w:val="290"/>
          <w:jc w:val="center"/>
        </w:trPr>
        <w:tc>
          <w:tcPr>
            <w:tcW w:w="2127" w:type="dxa"/>
            <w:tcBorders>
              <w:top w:val="nil"/>
              <w:left w:val="nil"/>
              <w:bottom w:val="single" w:sz="4" w:space="0" w:color="auto"/>
              <w:right w:val="nil"/>
            </w:tcBorders>
            <w:noWrap/>
            <w:vAlign w:val="bottom"/>
            <w:hideMark/>
          </w:tcPr>
          <w:p w14:paraId="2532656B" w14:textId="77777777" w:rsidR="003B09C5" w:rsidRPr="003B09C5" w:rsidRDefault="003B09C5" w:rsidP="003B09C5">
            <w:pPr>
              <w:contextualSpacing w:val="0"/>
              <w:jc w:val="left"/>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VALUE CHAIN</w:t>
            </w:r>
          </w:p>
        </w:tc>
        <w:tc>
          <w:tcPr>
            <w:tcW w:w="853" w:type="dxa"/>
            <w:tcBorders>
              <w:top w:val="nil"/>
              <w:left w:val="nil"/>
              <w:bottom w:val="single" w:sz="4" w:space="0" w:color="auto"/>
              <w:right w:val="nil"/>
            </w:tcBorders>
            <w:noWrap/>
            <w:vAlign w:val="center"/>
            <w:hideMark/>
          </w:tcPr>
          <w:p w14:paraId="19696E40"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3,200</w:t>
            </w:r>
          </w:p>
        </w:tc>
        <w:tc>
          <w:tcPr>
            <w:tcW w:w="820" w:type="dxa"/>
            <w:tcBorders>
              <w:top w:val="nil"/>
              <w:left w:val="nil"/>
              <w:bottom w:val="single" w:sz="4" w:space="0" w:color="auto"/>
              <w:right w:val="nil"/>
            </w:tcBorders>
            <w:noWrap/>
            <w:vAlign w:val="center"/>
            <w:hideMark/>
          </w:tcPr>
          <w:p w14:paraId="7CB73F73"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382</w:t>
            </w:r>
          </w:p>
        </w:tc>
        <w:tc>
          <w:tcPr>
            <w:tcW w:w="760" w:type="dxa"/>
            <w:tcBorders>
              <w:top w:val="nil"/>
              <w:left w:val="nil"/>
              <w:bottom w:val="single" w:sz="4" w:space="0" w:color="auto"/>
              <w:right w:val="nil"/>
            </w:tcBorders>
            <w:noWrap/>
            <w:vAlign w:val="center"/>
            <w:hideMark/>
          </w:tcPr>
          <w:p w14:paraId="1D0A1371"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268</w:t>
            </w:r>
          </w:p>
        </w:tc>
        <w:tc>
          <w:tcPr>
            <w:tcW w:w="760" w:type="dxa"/>
            <w:tcBorders>
              <w:top w:val="nil"/>
              <w:left w:val="nil"/>
              <w:bottom w:val="single" w:sz="4" w:space="0" w:color="auto"/>
              <w:right w:val="nil"/>
            </w:tcBorders>
            <w:noWrap/>
            <w:vAlign w:val="center"/>
            <w:hideMark/>
          </w:tcPr>
          <w:p w14:paraId="2698A8D9"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81</w:t>
            </w:r>
          </w:p>
        </w:tc>
        <w:tc>
          <w:tcPr>
            <w:tcW w:w="1146" w:type="dxa"/>
            <w:tcBorders>
              <w:top w:val="nil"/>
              <w:left w:val="nil"/>
              <w:bottom w:val="single" w:sz="4" w:space="0" w:color="auto"/>
              <w:right w:val="nil"/>
            </w:tcBorders>
            <w:noWrap/>
            <w:vAlign w:val="center"/>
            <w:hideMark/>
          </w:tcPr>
          <w:p w14:paraId="49925BA8"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15</w:t>
            </w:r>
          </w:p>
        </w:tc>
        <w:tc>
          <w:tcPr>
            <w:tcW w:w="1600" w:type="dxa"/>
            <w:tcBorders>
              <w:top w:val="nil"/>
              <w:left w:val="nil"/>
              <w:bottom w:val="single" w:sz="4" w:space="0" w:color="auto"/>
              <w:right w:val="nil"/>
            </w:tcBorders>
            <w:noWrap/>
            <w:vAlign w:val="center"/>
            <w:hideMark/>
          </w:tcPr>
          <w:p w14:paraId="0ED3192C"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2,454</w:t>
            </w:r>
          </w:p>
        </w:tc>
        <w:tc>
          <w:tcPr>
            <w:tcW w:w="1080" w:type="dxa"/>
            <w:tcBorders>
              <w:top w:val="nil"/>
              <w:left w:val="nil"/>
              <w:bottom w:val="single" w:sz="4" w:space="0" w:color="auto"/>
              <w:right w:val="nil"/>
            </w:tcBorders>
            <w:noWrap/>
            <w:vAlign w:val="center"/>
            <w:hideMark/>
          </w:tcPr>
          <w:p w14:paraId="537957FE" w14:textId="77777777" w:rsidR="003B09C5" w:rsidRPr="003B09C5" w:rsidRDefault="003B09C5" w:rsidP="003B09C5">
            <w:pPr>
              <w:contextualSpacing w:val="0"/>
              <w:jc w:val="center"/>
              <w:rPr>
                <w:rFonts w:ascii="Times New Roman" w:eastAsia="Times New Roman" w:hAnsi="Times New Roman" w:cs="Times New Roman"/>
                <w:color w:val="000000"/>
                <w:szCs w:val="18"/>
                <w:lang w:val="en-GB" w:eastAsia="en-GB"/>
              </w:rPr>
            </w:pPr>
            <w:r w:rsidRPr="003B09C5">
              <w:rPr>
                <w:rFonts w:ascii="Times New Roman" w:eastAsia="Times New Roman" w:hAnsi="Times New Roman" w:cs="Times New Roman"/>
                <w:color w:val="000000"/>
                <w:szCs w:val="18"/>
                <w:lang w:val="en-GB" w:eastAsia="en-GB"/>
              </w:rPr>
              <w:t>2,818</w:t>
            </w:r>
          </w:p>
        </w:tc>
      </w:tr>
    </w:tbl>
    <w:p w14:paraId="76EF48F9" w14:textId="39192FB3" w:rsidR="003B09C5" w:rsidRDefault="008C4505" w:rsidP="00A3339E">
      <w:pPr>
        <w:rPr>
          <w:rFonts w:cs="Open Sans"/>
          <w:sz w:val="20"/>
          <w:szCs w:val="20"/>
        </w:rPr>
      </w:pPr>
      <w:r>
        <w:rPr>
          <w:rFonts w:cs="Open Sans"/>
          <w:sz w:val="20"/>
          <w:szCs w:val="20"/>
        </w:rPr>
        <w:t xml:space="preserve">Note: All values are presented in MSLE (million </w:t>
      </w:r>
      <w:r w:rsidR="00233516" w:rsidRPr="00233516">
        <w:rPr>
          <w:rFonts w:cs="Open Sans"/>
          <w:sz w:val="20"/>
          <w:szCs w:val="20"/>
        </w:rPr>
        <w:t>Sierra Leonean Leone</w:t>
      </w:r>
      <w:r>
        <w:rPr>
          <w:rFonts w:cs="Open Sans"/>
          <w:sz w:val="20"/>
          <w:szCs w:val="20"/>
        </w:rPr>
        <w:t>).</w:t>
      </w:r>
    </w:p>
    <w:p w14:paraId="61CEA49D" w14:textId="77777777" w:rsidR="00FE4615" w:rsidRDefault="00FE4615" w:rsidP="00A3339E">
      <w:pPr>
        <w:rPr>
          <w:rFonts w:cs="Open Sans"/>
          <w:sz w:val="20"/>
          <w:szCs w:val="20"/>
        </w:rPr>
      </w:pPr>
    </w:p>
    <w:p w14:paraId="3470121F" w14:textId="7011469B" w:rsidR="006D3A26" w:rsidRPr="00A3339E" w:rsidRDefault="00FE4615" w:rsidP="00A3339E">
      <w:pPr>
        <w:rPr>
          <w:rFonts w:cs="Open Sans"/>
          <w:sz w:val="20"/>
          <w:szCs w:val="20"/>
        </w:rPr>
      </w:pPr>
      <w:r w:rsidRPr="00FE4615">
        <w:rPr>
          <w:rFonts w:cs="Open Sans"/>
          <w:sz w:val="20"/>
          <w:szCs w:val="20"/>
        </w:rPr>
        <w:t xml:space="preserve">Overall, the financial analysis reveals a value chain that is broadly profitable but structurally uneven in terms of income generation. Upstream actors, especially smallholders, achieve high profit margins but low absolute incomes, while downstream actors capture larger absolute gains despite lower relative profitability. This asymmetry has important implications for both efficiency </w:t>
      </w:r>
      <w:r w:rsidRPr="00FE4615">
        <w:rPr>
          <w:rFonts w:cs="Open Sans"/>
          <w:sz w:val="20"/>
          <w:szCs w:val="20"/>
        </w:rPr>
        <w:lastRenderedPageBreak/>
        <w:t xml:space="preserve">and equity within the value chain. It suggests that improving productivity and scale at the farm level is essential for enhancing rural incomes, while strengthening governance and market </w:t>
      </w:r>
      <w:proofErr w:type="spellStart"/>
      <w:r w:rsidRPr="00FE4615">
        <w:rPr>
          <w:rFonts w:cs="Open Sans"/>
          <w:sz w:val="20"/>
          <w:szCs w:val="20"/>
        </w:rPr>
        <w:t>organisation</w:t>
      </w:r>
      <w:proofErr w:type="spellEnd"/>
      <w:r w:rsidRPr="00FE4615">
        <w:rPr>
          <w:rFonts w:cs="Open Sans"/>
          <w:sz w:val="20"/>
          <w:szCs w:val="20"/>
        </w:rPr>
        <w:t xml:space="preserve"> could help rebalance value capture across actors.</w:t>
      </w:r>
    </w:p>
    <w:p w14:paraId="47C3B7D9" w14:textId="65B9F429" w:rsidR="00A3339E" w:rsidRPr="00A3339E" w:rsidRDefault="003D0372" w:rsidP="00B960CF">
      <w:pPr>
        <w:pStyle w:val="Heading3"/>
      </w:pPr>
      <w:bookmarkStart w:id="77" w:name="_Toc228701011"/>
      <w:r>
        <w:t xml:space="preserve">Distribution of </w:t>
      </w:r>
      <w:r w:rsidR="005B7C1B">
        <w:t>Value Added</w:t>
      </w:r>
      <w:bookmarkEnd w:id="77"/>
      <w:r w:rsidR="005B7C1B">
        <w:t xml:space="preserve"> </w:t>
      </w:r>
    </w:p>
    <w:p w14:paraId="307AD0A7" w14:textId="55107E2A" w:rsidR="00D078ED" w:rsidRDefault="00D078ED" w:rsidP="00D078ED">
      <w:pPr>
        <w:rPr>
          <w:rFonts w:cs="Open Sans"/>
          <w:sz w:val="20"/>
          <w:szCs w:val="20"/>
        </w:rPr>
      </w:pPr>
      <w:r w:rsidRPr="00D078ED">
        <w:rPr>
          <w:rFonts w:cs="Open Sans"/>
          <w:sz w:val="20"/>
          <w:szCs w:val="20"/>
        </w:rPr>
        <w:t>Direct value added</w:t>
      </w:r>
      <w:r w:rsidR="00667E7C">
        <w:rPr>
          <w:rFonts w:cs="Open Sans"/>
          <w:sz w:val="20"/>
          <w:szCs w:val="20"/>
        </w:rPr>
        <w:t xml:space="preserve">, as shown in </w:t>
      </w:r>
      <w:r w:rsidR="00667E7C">
        <w:rPr>
          <w:rFonts w:cs="Open Sans"/>
          <w:sz w:val="20"/>
          <w:szCs w:val="20"/>
        </w:rPr>
        <w:fldChar w:fldCharType="begin"/>
      </w:r>
      <w:r w:rsidR="00667E7C">
        <w:rPr>
          <w:rFonts w:cs="Open Sans"/>
          <w:sz w:val="20"/>
          <w:szCs w:val="20"/>
        </w:rPr>
        <w:instrText xml:space="preserve"> REF _Ref227057159 \h </w:instrText>
      </w:r>
      <w:r w:rsidR="00424BFE">
        <w:rPr>
          <w:rFonts w:cs="Open Sans"/>
          <w:sz w:val="20"/>
          <w:szCs w:val="20"/>
        </w:rPr>
        <w:instrText xml:space="preserve"> \* MERGEFORMAT </w:instrText>
      </w:r>
      <w:r w:rsidR="00667E7C">
        <w:rPr>
          <w:rFonts w:cs="Open Sans"/>
          <w:sz w:val="20"/>
          <w:szCs w:val="20"/>
        </w:rPr>
      </w:r>
      <w:r w:rsidR="00667E7C">
        <w:rPr>
          <w:rFonts w:cs="Open Sans"/>
          <w:sz w:val="20"/>
          <w:szCs w:val="20"/>
        </w:rPr>
        <w:fldChar w:fldCharType="separate"/>
      </w:r>
      <w:r w:rsidR="00667E7C">
        <w:t>F</w:t>
      </w:r>
      <w:r w:rsidR="00667E7C" w:rsidRPr="001F42F7">
        <w:rPr>
          <w:sz w:val="20"/>
          <w:szCs w:val="20"/>
        </w:rPr>
        <w:t xml:space="preserve">igure </w:t>
      </w:r>
      <w:r w:rsidR="00667E7C" w:rsidRPr="001F42F7">
        <w:rPr>
          <w:noProof/>
          <w:sz w:val="20"/>
          <w:szCs w:val="20"/>
        </w:rPr>
        <w:t>2</w:t>
      </w:r>
      <w:r w:rsidR="00667E7C">
        <w:t>.</w:t>
      </w:r>
      <w:r w:rsidR="00667E7C" w:rsidRPr="001F42F7">
        <w:rPr>
          <w:noProof/>
          <w:sz w:val="20"/>
          <w:szCs w:val="20"/>
        </w:rPr>
        <w:t>2</w:t>
      </w:r>
      <w:r w:rsidR="00667E7C">
        <w:rPr>
          <w:rFonts w:cs="Open Sans"/>
          <w:sz w:val="20"/>
          <w:szCs w:val="20"/>
        </w:rPr>
        <w:fldChar w:fldCharType="end"/>
      </w:r>
      <w:r w:rsidR="00667E7C">
        <w:rPr>
          <w:rFonts w:cs="Open Sans"/>
          <w:sz w:val="20"/>
          <w:szCs w:val="20"/>
        </w:rPr>
        <w:t>,</w:t>
      </w:r>
      <w:r w:rsidRPr="00D078ED">
        <w:rPr>
          <w:rFonts w:cs="Open Sans"/>
          <w:sz w:val="20"/>
          <w:szCs w:val="20"/>
        </w:rPr>
        <w:t xml:space="preserve"> is distributed as follows: smallholder producers account for about 45% and larger smallholders for about 23% (together about 68% of direct VA), while cooperatives, individual agents, and individual dealers together account for about 13%, and exporters for about 20%. </w:t>
      </w:r>
      <w:r w:rsidR="00BD577D" w:rsidRPr="00BD577D">
        <w:rPr>
          <w:rFonts w:cs="Open Sans"/>
          <w:sz w:val="20"/>
          <w:szCs w:val="20"/>
        </w:rPr>
        <w:t xml:space="preserve">This concentration of value added at the farm level is a direct reflection of the </w:t>
      </w:r>
      <w:proofErr w:type="spellStart"/>
      <w:r w:rsidR="00BD577D" w:rsidRPr="00BD577D">
        <w:rPr>
          <w:rFonts w:cs="Open Sans"/>
          <w:sz w:val="20"/>
          <w:szCs w:val="20"/>
        </w:rPr>
        <w:t>labour-intensive</w:t>
      </w:r>
      <w:proofErr w:type="spellEnd"/>
      <w:r w:rsidR="00BD577D" w:rsidRPr="00BD577D">
        <w:rPr>
          <w:rFonts w:cs="Open Sans"/>
          <w:sz w:val="20"/>
          <w:szCs w:val="20"/>
        </w:rPr>
        <w:t xml:space="preserve"> nature of cocoa cultivation in Sierra Leone. In the absence of mechanized processing or industrial-scale plantations, the bulk of value creation occurs during the cultivation, harvesting, and initial post-harvest handling stages (fermentation and drying). Despite this high share of value creation, the absolute income for individual farming households remains low. The current annual household income for cocoa farmers in the Eastern Province is estimated at 41,529</w:t>
      </w:r>
      <w:r w:rsidR="009D327C">
        <w:rPr>
          <w:rFonts w:cs="Open Sans"/>
          <w:sz w:val="20"/>
          <w:szCs w:val="20"/>
        </w:rPr>
        <w:t xml:space="preserve"> SLE</w:t>
      </w:r>
      <w:r w:rsidR="00BD577D" w:rsidRPr="00BD577D">
        <w:rPr>
          <w:rFonts w:cs="Open Sans"/>
          <w:sz w:val="20"/>
          <w:szCs w:val="20"/>
        </w:rPr>
        <w:t xml:space="preserve"> (</w:t>
      </w:r>
      <w:r w:rsidR="009D327C">
        <w:rPr>
          <w:rFonts w:cs="Open Sans"/>
          <w:sz w:val="20"/>
          <w:szCs w:val="20"/>
        </w:rPr>
        <w:t xml:space="preserve">€ </w:t>
      </w:r>
      <w:r w:rsidR="00BD577D" w:rsidRPr="00BD577D">
        <w:rPr>
          <w:rFonts w:cs="Open Sans"/>
          <w:sz w:val="20"/>
          <w:szCs w:val="20"/>
        </w:rPr>
        <w:t>1,</w:t>
      </w:r>
      <w:r w:rsidR="009D327C">
        <w:rPr>
          <w:rFonts w:cs="Open Sans"/>
          <w:sz w:val="20"/>
          <w:szCs w:val="20"/>
        </w:rPr>
        <w:t>538</w:t>
      </w:r>
      <w:r w:rsidR="00BD577D" w:rsidRPr="00BD577D">
        <w:rPr>
          <w:rFonts w:cs="Open Sans"/>
          <w:sz w:val="20"/>
          <w:szCs w:val="20"/>
        </w:rPr>
        <w:t>) on average, which reaches only 36% of the calculated Living Income Benchmark (LIB)</w:t>
      </w:r>
      <w:r w:rsidR="00BD577D">
        <w:rPr>
          <w:rFonts w:cs="Open Sans"/>
          <w:sz w:val="20"/>
          <w:szCs w:val="20"/>
        </w:rPr>
        <w:t xml:space="preserve"> (</w:t>
      </w:r>
      <w:r w:rsidR="00BD577D" w:rsidRPr="00BD577D">
        <w:rPr>
          <w:rFonts w:cs="Open Sans"/>
          <w:sz w:val="20"/>
          <w:szCs w:val="20"/>
        </w:rPr>
        <w:t>Diallo</w:t>
      </w:r>
      <w:r w:rsidR="00BD577D">
        <w:rPr>
          <w:rFonts w:cs="Open Sans"/>
          <w:sz w:val="20"/>
          <w:szCs w:val="20"/>
        </w:rPr>
        <w:t xml:space="preserve"> et al., 2025)</w:t>
      </w:r>
      <w:r w:rsidR="00BD577D" w:rsidRPr="00BD577D">
        <w:rPr>
          <w:rFonts w:cs="Open Sans"/>
          <w:sz w:val="20"/>
          <w:szCs w:val="20"/>
        </w:rPr>
        <w:t xml:space="preserve">. This disconnect suggests that while the sector is a massive engine of value creation for the country, it does not yet provide a decent standard of living for </w:t>
      </w:r>
      <w:proofErr w:type="gramStart"/>
      <w:r w:rsidR="00BD577D" w:rsidRPr="00BD577D">
        <w:rPr>
          <w:rFonts w:cs="Open Sans"/>
          <w:sz w:val="20"/>
          <w:szCs w:val="20"/>
        </w:rPr>
        <w:t>the majority of</w:t>
      </w:r>
      <w:proofErr w:type="gramEnd"/>
      <w:r w:rsidR="00BD577D" w:rsidRPr="00BD577D">
        <w:rPr>
          <w:rFonts w:cs="Open Sans"/>
          <w:sz w:val="20"/>
          <w:szCs w:val="20"/>
        </w:rPr>
        <w:t xml:space="preserve"> its participants.</w:t>
      </w:r>
    </w:p>
    <w:p w14:paraId="544FE9F9" w14:textId="00B98184" w:rsidR="0045208B" w:rsidRDefault="0045208B" w:rsidP="00D078ED">
      <w:pPr>
        <w:rPr>
          <w:rFonts w:cs="Open Sans"/>
          <w:sz w:val="20"/>
          <w:szCs w:val="20"/>
        </w:rPr>
      </w:pPr>
      <w:r w:rsidRPr="0045208B">
        <w:rPr>
          <w:rFonts w:cs="Open Sans"/>
          <w:sz w:val="20"/>
          <w:szCs w:val="20"/>
        </w:rPr>
        <w:t>Midstream actors, including individual agents, dealers, and cooperatives, serve as the transactional bridge between the farm gate and the export warehouses. These actors perform essential functions in quality assurance, weight verification, and logistical consolidation.</w:t>
      </w:r>
      <w:r>
        <w:rPr>
          <w:rFonts w:cs="Open Sans"/>
          <w:sz w:val="20"/>
          <w:szCs w:val="20"/>
        </w:rPr>
        <w:t xml:space="preserve"> </w:t>
      </w:r>
      <w:r w:rsidRPr="0045208B">
        <w:rPr>
          <w:rFonts w:cs="Open Sans"/>
          <w:sz w:val="20"/>
          <w:szCs w:val="20"/>
        </w:rPr>
        <w:t xml:space="preserve">The findings indicate that cooperatives capture a surprisingly small share of total value added (3%) compared to </w:t>
      </w:r>
      <w:r>
        <w:rPr>
          <w:rFonts w:cs="Open Sans"/>
          <w:sz w:val="20"/>
          <w:szCs w:val="20"/>
        </w:rPr>
        <w:t>other</w:t>
      </w:r>
      <w:r w:rsidRPr="0045208B">
        <w:rPr>
          <w:rFonts w:cs="Open Sans"/>
          <w:sz w:val="20"/>
          <w:szCs w:val="20"/>
        </w:rPr>
        <w:t xml:space="preserve"> intermediaries. This highlights an underdeveloped institutional landscape where formal farmer organizations struggle to compete with agile individual traders who offer immediate cash payments and lower administrative overheads. Many cooperatives in Sierra Leone are focused on niche markets such as organic or fair-trade cocoa, but the high costs of maintaining certification and formal governance systems often erode their net profitability. Strengthening the role of cooperatives is identified as a critical pathway for improving the bargaining power of farmers and retaining more value at the producer level.</w:t>
      </w:r>
    </w:p>
    <w:p w14:paraId="3D1FFD0E" w14:textId="0C5DE5BD" w:rsidR="0045208B" w:rsidRPr="00D078ED" w:rsidRDefault="0045208B" w:rsidP="00D078ED">
      <w:pPr>
        <w:rPr>
          <w:rFonts w:cs="Open Sans"/>
          <w:sz w:val="20"/>
          <w:szCs w:val="20"/>
        </w:rPr>
      </w:pPr>
      <w:r w:rsidRPr="0045208B">
        <w:rPr>
          <w:rFonts w:cs="Open Sans"/>
          <w:sz w:val="20"/>
          <w:szCs w:val="20"/>
        </w:rPr>
        <w:t>Exporters represent the most capital-intensive and formal node of the value chain. This segment accounts for 20% of the total value added, reflecting the significance of international logistics, quality compliance, and the management of global trade risks.</w:t>
      </w:r>
      <w:r w:rsidR="00B5271C">
        <w:rPr>
          <w:rFonts w:cs="Open Sans"/>
          <w:sz w:val="20"/>
          <w:szCs w:val="20"/>
        </w:rPr>
        <w:t xml:space="preserve"> </w:t>
      </w:r>
      <w:r w:rsidRPr="0045208B">
        <w:rPr>
          <w:rFonts w:cs="Open Sans"/>
          <w:sz w:val="20"/>
          <w:szCs w:val="20"/>
        </w:rPr>
        <w:t xml:space="preserve">The export segment is highly concentrated, with a handful of well-capitalized firms managing </w:t>
      </w:r>
      <w:proofErr w:type="gramStart"/>
      <w:r w:rsidRPr="0045208B">
        <w:rPr>
          <w:rFonts w:cs="Open Sans"/>
          <w:sz w:val="20"/>
          <w:szCs w:val="20"/>
        </w:rPr>
        <w:t>the vast majority of</w:t>
      </w:r>
      <w:proofErr w:type="gramEnd"/>
      <w:r w:rsidRPr="0045208B">
        <w:rPr>
          <w:rFonts w:cs="Open Sans"/>
          <w:sz w:val="20"/>
          <w:szCs w:val="20"/>
        </w:rPr>
        <w:t xml:space="preserve"> Sierra Leone's 20,000 metric tons of annual production.</w:t>
      </w:r>
      <w:r w:rsidR="00245247">
        <w:rPr>
          <w:rFonts w:cs="Open Sans"/>
          <w:sz w:val="20"/>
          <w:szCs w:val="20"/>
        </w:rPr>
        <w:t xml:space="preserve"> </w:t>
      </w:r>
      <w:r w:rsidRPr="0045208B">
        <w:rPr>
          <w:rFonts w:cs="Open Sans"/>
          <w:sz w:val="20"/>
          <w:szCs w:val="20"/>
        </w:rPr>
        <w:t>These firms are responsible for ensuring that Sierra Leonean cocoa meets the increasingly stringent requirements of the international market</w:t>
      </w:r>
      <w:r w:rsidR="00245247">
        <w:rPr>
          <w:rFonts w:cs="Open Sans"/>
          <w:sz w:val="20"/>
          <w:szCs w:val="20"/>
        </w:rPr>
        <w:t>.</w:t>
      </w:r>
      <w:r w:rsidRPr="0045208B">
        <w:rPr>
          <w:rFonts w:cs="Open Sans"/>
          <w:sz w:val="20"/>
          <w:szCs w:val="20"/>
        </w:rPr>
        <w:t xml:space="preserve"> The exporters’ profit margins are influenced by their ability to secure premiums for organic cocoa, a segment where Sierra Leone has established a significant global presence, ranking as the </w:t>
      </w:r>
      <w:r w:rsidR="00245247">
        <w:rPr>
          <w:rFonts w:cs="Open Sans"/>
          <w:sz w:val="20"/>
          <w:szCs w:val="20"/>
        </w:rPr>
        <w:t xml:space="preserve">world’s </w:t>
      </w:r>
      <w:r w:rsidRPr="0045208B">
        <w:rPr>
          <w:rFonts w:cs="Open Sans"/>
          <w:sz w:val="20"/>
          <w:szCs w:val="20"/>
        </w:rPr>
        <w:t>second-largest exporter of organic cocoa to the European Union in 2024</w:t>
      </w:r>
      <w:r w:rsidR="00245247">
        <w:rPr>
          <w:rFonts w:cs="Open Sans"/>
          <w:sz w:val="20"/>
          <w:szCs w:val="20"/>
        </w:rPr>
        <w:t xml:space="preserve"> (</w:t>
      </w:r>
      <w:r w:rsidR="00245247" w:rsidRPr="00245247">
        <w:rPr>
          <w:rFonts w:cs="Open Sans"/>
          <w:sz w:val="20"/>
          <w:szCs w:val="20"/>
        </w:rPr>
        <w:t>Ecofin</w:t>
      </w:r>
      <w:r w:rsidR="00245247">
        <w:rPr>
          <w:rFonts w:cs="Open Sans"/>
          <w:sz w:val="20"/>
          <w:szCs w:val="20"/>
        </w:rPr>
        <w:t xml:space="preserve">, </w:t>
      </w:r>
      <w:r w:rsidR="00245247" w:rsidRPr="00245247">
        <w:rPr>
          <w:rFonts w:cs="Open Sans"/>
          <w:sz w:val="20"/>
          <w:szCs w:val="20"/>
        </w:rPr>
        <w:t>2024)</w:t>
      </w:r>
      <w:r w:rsidRPr="0045208B">
        <w:rPr>
          <w:rFonts w:cs="Open Sans"/>
          <w:sz w:val="20"/>
          <w:szCs w:val="20"/>
        </w:rPr>
        <w:t>.</w:t>
      </w:r>
    </w:p>
    <w:p w14:paraId="48C9529E" w14:textId="7A35C873" w:rsidR="005B7C1B" w:rsidRDefault="005B7C1B" w:rsidP="00D078ED">
      <w:pPr>
        <w:rPr>
          <w:rFonts w:cs="Open Sans"/>
          <w:sz w:val="20"/>
          <w:szCs w:val="20"/>
        </w:rPr>
      </w:pPr>
      <w:r w:rsidRPr="00270485">
        <w:rPr>
          <w:rFonts w:cs="Open Sans"/>
          <w:sz w:val="20"/>
          <w:szCs w:val="20"/>
        </w:rPr>
        <w:t xml:space="preserve"> </w:t>
      </w:r>
    </w:p>
    <w:p w14:paraId="6E7340E7" w14:textId="34B113CB" w:rsidR="005B7C1B" w:rsidRPr="00270485" w:rsidRDefault="005B7C1B" w:rsidP="005B7C1B">
      <w:pPr>
        <w:rPr>
          <w:rFonts w:cs="Open Sans"/>
          <w:sz w:val="20"/>
          <w:szCs w:val="20"/>
        </w:rPr>
      </w:pPr>
    </w:p>
    <w:p w14:paraId="4C032198" w14:textId="0F26125A" w:rsidR="00B349CC" w:rsidRDefault="00D078ED" w:rsidP="00B349CC">
      <w:pPr>
        <w:keepNext/>
        <w:jc w:val="center"/>
      </w:pPr>
      <w:r>
        <w:rPr>
          <w:noProof/>
        </w:rPr>
        <w:lastRenderedPageBreak/>
        <w:drawing>
          <wp:inline distT="0" distB="0" distL="0" distR="0" wp14:anchorId="61086964" wp14:editId="429AB287">
            <wp:extent cx="3797040" cy="2862685"/>
            <wp:effectExtent l="0" t="0" r="0" b="0"/>
            <wp:docPr id="156903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32712" name="Picture 1569032712"/>
                    <pic:cNvPicPr/>
                  </pic:nvPicPr>
                  <pic:blipFill rotWithShape="1">
                    <a:blip r:embed="rId31">
                      <a:extLst>
                        <a:ext uri="{28A0092B-C50C-407E-A947-70E740481C1C}">
                          <a14:useLocalDpi xmlns:a14="http://schemas.microsoft.com/office/drawing/2010/main" val="0"/>
                        </a:ext>
                      </a:extLst>
                    </a:blip>
                    <a:srcRect t="12832"/>
                    <a:stretch>
                      <a:fillRect/>
                    </a:stretch>
                  </pic:blipFill>
                  <pic:spPr bwMode="auto">
                    <a:xfrm>
                      <a:off x="0" y="0"/>
                      <a:ext cx="3800649" cy="2865406"/>
                    </a:xfrm>
                    <a:prstGeom prst="rect">
                      <a:avLst/>
                    </a:prstGeom>
                    <a:ln>
                      <a:noFill/>
                    </a:ln>
                    <a:extLst>
                      <a:ext uri="{53640926-AAD7-44D8-BBD7-CCE9431645EC}">
                        <a14:shadowObscured xmlns:a14="http://schemas.microsoft.com/office/drawing/2010/main"/>
                      </a:ext>
                    </a:extLst>
                  </pic:spPr>
                </pic:pic>
              </a:graphicData>
            </a:graphic>
          </wp:inline>
        </w:drawing>
      </w:r>
    </w:p>
    <w:p w14:paraId="568DBF06" w14:textId="1A0FCFC2" w:rsidR="005B7C1B" w:rsidRDefault="00B349CC" w:rsidP="00B349CC">
      <w:pPr>
        <w:pStyle w:val="Caption"/>
        <w:jc w:val="center"/>
        <w:rPr>
          <w:rFonts w:cs="Open Sans"/>
          <w:szCs w:val="20"/>
        </w:rPr>
      </w:pPr>
      <w:bookmarkStart w:id="78" w:name="_Ref227057159"/>
      <w:bookmarkStart w:id="79" w:name="_Toc228701106"/>
      <w:r>
        <w:t xml:space="preserve">Figure </w:t>
      </w:r>
      <w:fldSimple w:instr=" STYLEREF 1 \s ">
        <w:r w:rsidR="007306EC">
          <w:rPr>
            <w:noProof/>
          </w:rPr>
          <w:t>2</w:t>
        </w:r>
      </w:fldSimple>
      <w:r w:rsidR="007306EC">
        <w:noBreakHyphen/>
      </w:r>
      <w:fldSimple w:instr=" SEQ Figure \* ARABIC \s 1 ">
        <w:r w:rsidR="007306EC">
          <w:rPr>
            <w:noProof/>
          </w:rPr>
          <w:t>2</w:t>
        </w:r>
      </w:fldSimple>
      <w:bookmarkEnd w:id="78"/>
      <w:r>
        <w:t xml:space="preserve"> </w:t>
      </w:r>
      <w:r w:rsidRPr="005A7F4A">
        <w:t>DISTRIBUTION OF DIRECT VALUE ADDED (%) AMONG ACTORS IN THE SIERRA LEONE COCOA VALUE CHAINS</w:t>
      </w:r>
      <w:bookmarkEnd w:id="79"/>
    </w:p>
    <w:p w14:paraId="5347DB95" w14:textId="7D695A95" w:rsidR="005B7C1B" w:rsidRDefault="005B7C1B" w:rsidP="005B7C1B">
      <w:pPr>
        <w:rPr>
          <w:rFonts w:cs="Open Sans"/>
          <w:sz w:val="20"/>
          <w:szCs w:val="20"/>
        </w:rPr>
      </w:pPr>
    </w:p>
    <w:p w14:paraId="671109A1" w14:textId="77777777" w:rsidR="005B7C1B" w:rsidRPr="00A3339E" w:rsidRDefault="005B7C1B" w:rsidP="005B7C1B">
      <w:pPr>
        <w:rPr>
          <w:rFonts w:cs="Open Sans"/>
          <w:b/>
          <w:bCs/>
          <w:sz w:val="20"/>
          <w:szCs w:val="20"/>
        </w:rPr>
      </w:pPr>
      <w:r w:rsidRPr="00A3339E">
        <w:rPr>
          <w:rFonts w:cs="Open Sans"/>
          <w:b/>
          <w:bCs/>
          <w:sz w:val="20"/>
          <w:szCs w:val="20"/>
        </w:rPr>
        <w:t>Cost structure and efficiency implications</w:t>
      </w:r>
    </w:p>
    <w:p w14:paraId="13AB616C" w14:textId="2EC01C1D" w:rsidR="005B7C1B" w:rsidRPr="00A3339E" w:rsidRDefault="00667E7C" w:rsidP="005B7C1B">
      <w:pPr>
        <w:rPr>
          <w:rFonts w:cs="Open Sans"/>
          <w:sz w:val="20"/>
          <w:szCs w:val="20"/>
        </w:rPr>
      </w:pPr>
      <w:r>
        <w:rPr>
          <w:rFonts w:cs="Open Sans"/>
          <w:sz w:val="20"/>
          <w:szCs w:val="20"/>
        </w:rPr>
        <w:fldChar w:fldCharType="begin"/>
      </w:r>
      <w:r>
        <w:rPr>
          <w:rFonts w:cs="Open Sans"/>
          <w:sz w:val="20"/>
          <w:szCs w:val="20"/>
        </w:rPr>
        <w:instrText xml:space="preserve"> REF _Ref227057205 \h </w:instrText>
      </w:r>
      <w:r w:rsidR="00424BFE">
        <w:rPr>
          <w:rFonts w:cs="Open Sans"/>
          <w:sz w:val="20"/>
          <w:szCs w:val="20"/>
        </w:rPr>
        <w:instrText xml:space="preserve"> \* MERGEFORMAT </w:instrText>
      </w:r>
      <w:r>
        <w:rPr>
          <w:rFonts w:cs="Open Sans"/>
          <w:sz w:val="20"/>
          <w:szCs w:val="20"/>
        </w:rPr>
      </w:r>
      <w:r>
        <w:rPr>
          <w:rFonts w:cs="Open Sans"/>
          <w:sz w:val="20"/>
          <w:szCs w:val="20"/>
        </w:rPr>
        <w:fldChar w:fldCharType="separate"/>
      </w:r>
      <w:r w:rsidRPr="001F42F7">
        <w:rPr>
          <w:sz w:val="20"/>
          <w:szCs w:val="20"/>
        </w:rPr>
        <w:t xml:space="preserve">Figure </w:t>
      </w:r>
      <w:r>
        <w:rPr>
          <w:noProof/>
        </w:rPr>
        <w:t>2</w:t>
      </w:r>
      <w:r>
        <w:t>.</w:t>
      </w:r>
      <w:r>
        <w:rPr>
          <w:noProof/>
        </w:rPr>
        <w:t>3</w:t>
      </w:r>
      <w:r>
        <w:rPr>
          <w:rFonts w:cs="Open Sans"/>
          <w:sz w:val="20"/>
          <w:szCs w:val="20"/>
        </w:rPr>
        <w:fldChar w:fldCharType="end"/>
      </w:r>
      <w:r w:rsidR="005B7C1B">
        <w:rPr>
          <w:rFonts w:cs="Open Sans"/>
          <w:sz w:val="20"/>
          <w:szCs w:val="20"/>
        </w:rPr>
        <w:fldChar w:fldCharType="begin"/>
      </w:r>
      <w:r w:rsidR="005B7C1B">
        <w:rPr>
          <w:rFonts w:cs="Open Sans"/>
          <w:sz w:val="20"/>
          <w:szCs w:val="20"/>
        </w:rPr>
        <w:instrText xml:space="preserve"> REF _Ref204866132 \h </w:instrText>
      </w:r>
      <w:r w:rsidR="005B7C1B">
        <w:rPr>
          <w:rFonts w:cs="Open Sans"/>
          <w:sz w:val="20"/>
          <w:szCs w:val="20"/>
        </w:rPr>
      </w:r>
      <w:r w:rsidR="005B7C1B">
        <w:rPr>
          <w:rFonts w:cs="Open Sans"/>
          <w:sz w:val="20"/>
          <w:szCs w:val="20"/>
        </w:rPr>
        <w:fldChar w:fldCharType="separate"/>
      </w:r>
      <w:r w:rsidR="005B7C1B">
        <w:rPr>
          <w:rFonts w:cs="Open Sans"/>
          <w:sz w:val="20"/>
          <w:szCs w:val="20"/>
        </w:rPr>
        <w:fldChar w:fldCharType="end"/>
      </w:r>
      <w:r w:rsidR="005B7C1B" w:rsidRPr="00A3339E">
        <w:rPr>
          <w:rFonts w:cs="Open Sans"/>
          <w:sz w:val="20"/>
          <w:szCs w:val="20"/>
        </w:rPr>
        <w:t xml:space="preserve"> presents the distribution of cost components across the </w:t>
      </w:r>
      <w:r w:rsidR="000E3177">
        <w:rPr>
          <w:rFonts w:cs="Open Sans"/>
          <w:sz w:val="20"/>
          <w:szCs w:val="20"/>
        </w:rPr>
        <w:t>cocoa</w:t>
      </w:r>
      <w:r w:rsidR="005B7C1B" w:rsidRPr="00A3339E">
        <w:rPr>
          <w:rFonts w:cs="Open Sans"/>
          <w:sz w:val="20"/>
          <w:szCs w:val="20"/>
        </w:rPr>
        <w:t xml:space="preserve"> value chain, offering insight into the structure of production and operational expenditures. The most striking feature is the dominance of </w:t>
      </w:r>
      <w:r w:rsidR="000E3177">
        <w:rPr>
          <w:rFonts w:cs="Open Sans"/>
          <w:sz w:val="20"/>
          <w:szCs w:val="20"/>
        </w:rPr>
        <w:t xml:space="preserve">cocoa inflow from </w:t>
      </w:r>
      <w:r w:rsidR="00C934B1">
        <w:rPr>
          <w:rFonts w:cs="Open Sans"/>
          <w:sz w:val="20"/>
          <w:szCs w:val="20"/>
        </w:rPr>
        <w:t xml:space="preserve">the </w:t>
      </w:r>
      <w:r w:rsidR="000E3177">
        <w:rPr>
          <w:rFonts w:cs="Open Sans"/>
          <w:sz w:val="20"/>
          <w:szCs w:val="20"/>
        </w:rPr>
        <w:t>border</w:t>
      </w:r>
      <w:r w:rsidR="005B7C1B" w:rsidRPr="00A3339E">
        <w:rPr>
          <w:rFonts w:cs="Open Sans"/>
          <w:sz w:val="20"/>
          <w:szCs w:val="20"/>
        </w:rPr>
        <w:t xml:space="preserve">, which </w:t>
      </w:r>
      <w:r w:rsidR="00C934B1">
        <w:rPr>
          <w:rFonts w:cs="Open Sans"/>
          <w:sz w:val="20"/>
          <w:szCs w:val="20"/>
        </w:rPr>
        <w:t>accounts</w:t>
      </w:r>
      <w:r w:rsidR="005B7C1B" w:rsidRPr="00A3339E">
        <w:rPr>
          <w:rFonts w:cs="Open Sans"/>
          <w:sz w:val="20"/>
          <w:szCs w:val="20"/>
        </w:rPr>
        <w:t xml:space="preserve"> for </w:t>
      </w:r>
      <w:r w:rsidR="000E3177">
        <w:rPr>
          <w:rFonts w:cs="Open Sans"/>
          <w:sz w:val="20"/>
          <w:szCs w:val="20"/>
        </w:rPr>
        <w:t>45</w:t>
      </w:r>
      <w:r w:rsidR="005B7C1B" w:rsidRPr="00A3339E">
        <w:rPr>
          <w:rFonts w:cs="Open Sans"/>
          <w:sz w:val="20"/>
          <w:szCs w:val="20"/>
        </w:rPr>
        <w:t>% of total costs</w:t>
      </w:r>
      <w:r w:rsidR="000E3177">
        <w:rPr>
          <w:rFonts w:cs="Open Sans"/>
          <w:sz w:val="20"/>
          <w:szCs w:val="20"/>
        </w:rPr>
        <w:t>.</w:t>
      </w:r>
      <w:r w:rsidR="005B7C1B" w:rsidRPr="00A3339E">
        <w:rPr>
          <w:rFonts w:cs="Open Sans"/>
          <w:sz w:val="20"/>
          <w:szCs w:val="20"/>
        </w:rPr>
        <w:t xml:space="preserve"> </w:t>
      </w:r>
      <w:proofErr w:type="spellStart"/>
      <w:r w:rsidR="005B7C1B" w:rsidRPr="00A3339E">
        <w:rPr>
          <w:rFonts w:cs="Open Sans"/>
          <w:sz w:val="20"/>
          <w:szCs w:val="20"/>
        </w:rPr>
        <w:t>Labour</w:t>
      </w:r>
      <w:proofErr w:type="spellEnd"/>
      <w:r w:rsidR="005B7C1B" w:rsidRPr="00A3339E">
        <w:rPr>
          <w:rFonts w:cs="Open Sans"/>
          <w:sz w:val="20"/>
          <w:szCs w:val="20"/>
        </w:rPr>
        <w:t xml:space="preserve"> is the second largest cost item, constituting </w:t>
      </w:r>
      <w:r w:rsidR="00CE24DD">
        <w:rPr>
          <w:rFonts w:cs="Open Sans"/>
          <w:sz w:val="20"/>
          <w:szCs w:val="20"/>
        </w:rPr>
        <w:t>36</w:t>
      </w:r>
      <w:r w:rsidR="005B7C1B" w:rsidRPr="00A3339E">
        <w:rPr>
          <w:rFonts w:cs="Open Sans"/>
          <w:sz w:val="20"/>
          <w:szCs w:val="20"/>
        </w:rPr>
        <w:t>%, reflecting the manual intensity of production, harvesting, and handling.</w:t>
      </w:r>
    </w:p>
    <w:p w14:paraId="30C53058" w14:textId="303ABC3E" w:rsidR="005B7C1B" w:rsidRPr="00A3339E" w:rsidRDefault="005B7C1B" w:rsidP="005B7C1B">
      <w:pPr>
        <w:rPr>
          <w:rFonts w:cs="Open Sans"/>
          <w:sz w:val="20"/>
          <w:szCs w:val="20"/>
        </w:rPr>
      </w:pPr>
      <w:r w:rsidRPr="00A3339E">
        <w:rPr>
          <w:rFonts w:cs="Open Sans"/>
          <w:sz w:val="20"/>
          <w:szCs w:val="20"/>
        </w:rPr>
        <w:t xml:space="preserve">Other notable costs include taxes related to </w:t>
      </w:r>
      <w:r w:rsidR="00CE24DD">
        <w:rPr>
          <w:rFonts w:cs="Open Sans"/>
          <w:sz w:val="20"/>
          <w:szCs w:val="20"/>
        </w:rPr>
        <w:t>export</w:t>
      </w:r>
      <w:r w:rsidR="00C934B1">
        <w:rPr>
          <w:rFonts w:cs="Open Sans"/>
          <w:sz w:val="20"/>
          <w:szCs w:val="20"/>
        </w:rPr>
        <w:t xml:space="preserve"> </w:t>
      </w:r>
      <w:r w:rsidRPr="00A3339E">
        <w:rPr>
          <w:rFonts w:cs="Open Sans"/>
          <w:sz w:val="20"/>
          <w:szCs w:val="20"/>
        </w:rPr>
        <w:t>(</w:t>
      </w:r>
      <w:r w:rsidR="00CE24DD">
        <w:rPr>
          <w:rFonts w:cs="Open Sans"/>
          <w:sz w:val="20"/>
          <w:szCs w:val="20"/>
        </w:rPr>
        <w:t>11</w:t>
      </w:r>
      <w:r w:rsidRPr="00A3339E">
        <w:rPr>
          <w:rFonts w:cs="Open Sans"/>
          <w:sz w:val="20"/>
          <w:szCs w:val="20"/>
        </w:rPr>
        <w:t>%), transport services (4.</w:t>
      </w:r>
      <w:r w:rsidR="00CE24DD">
        <w:rPr>
          <w:rFonts w:cs="Open Sans"/>
          <w:sz w:val="20"/>
          <w:szCs w:val="20"/>
        </w:rPr>
        <w:t>6</w:t>
      </w:r>
      <w:r w:rsidRPr="00A3339E">
        <w:rPr>
          <w:rFonts w:cs="Open Sans"/>
          <w:sz w:val="20"/>
          <w:szCs w:val="20"/>
        </w:rPr>
        <w:t xml:space="preserve">%), highlighting the logistical and regulatory burdens within the chain. Depreciation costs remain low (e.g., equipment at 2%), suggesting limited capital investment or </w:t>
      </w:r>
      <w:proofErr w:type="spellStart"/>
      <w:r w:rsidRPr="00A3339E">
        <w:rPr>
          <w:rFonts w:cs="Open Sans"/>
          <w:sz w:val="20"/>
          <w:szCs w:val="20"/>
        </w:rPr>
        <w:t>mechanisation</w:t>
      </w:r>
      <w:proofErr w:type="spellEnd"/>
      <w:r w:rsidRPr="00A3339E">
        <w:rPr>
          <w:rFonts w:cs="Open Sans"/>
          <w:sz w:val="20"/>
          <w:szCs w:val="20"/>
        </w:rPr>
        <w:t>.</w:t>
      </w:r>
    </w:p>
    <w:p w14:paraId="17DC7E15" w14:textId="61994C1F" w:rsidR="005B7C1B" w:rsidRPr="00A3339E" w:rsidRDefault="005B7C1B" w:rsidP="005B7C1B">
      <w:pPr>
        <w:rPr>
          <w:rFonts w:cs="Open Sans"/>
          <w:sz w:val="20"/>
          <w:szCs w:val="20"/>
        </w:rPr>
      </w:pPr>
      <w:r w:rsidRPr="00A3339E">
        <w:rPr>
          <w:rFonts w:cs="Open Sans"/>
          <w:sz w:val="20"/>
          <w:szCs w:val="20"/>
        </w:rPr>
        <w:t xml:space="preserve">This cost structure reveals both vulnerabilities and opportunities: the relatively low </w:t>
      </w:r>
      <w:proofErr w:type="spellStart"/>
      <w:r w:rsidRPr="00A3339E">
        <w:rPr>
          <w:rFonts w:cs="Open Sans"/>
          <w:sz w:val="20"/>
          <w:szCs w:val="20"/>
        </w:rPr>
        <w:t>mechanisation</w:t>
      </w:r>
      <w:proofErr w:type="spellEnd"/>
      <w:r w:rsidRPr="00A3339E">
        <w:rPr>
          <w:rFonts w:cs="Open Sans"/>
          <w:sz w:val="20"/>
          <w:szCs w:val="20"/>
        </w:rPr>
        <w:t xml:space="preserve"> and service costs suggest scope for targeted investment in transport efficiency and equipment to enhance productivity and reduce overall cost pressures.</w:t>
      </w:r>
      <w:r w:rsidR="00CE24DD">
        <w:rPr>
          <w:rFonts w:cs="Open Sans"/>
          <w:sz w:val="20"/>
          <w:szCs w:val="20"/>
        </w:rPr>
        <w:t xml:space="preserve"> </w:t>
      </w:r>
      <w:r w:rsidR="00CE24DD" w:rsidRPr="00CE24DD">
        <w:rPr>
          <w:rFonts w:cs="Open Sans"/>
          <w:sz w:val="20"/>
          <w:szCs w:val="20"/>
        </w:rPr>
        <w:t>It facilitates the preparation of the analysis of the Effects of the value chain on the national economy and the computation of the indicators of the international viability of the value chain.</w:t>
      </w:r>
    </w:p>
    <w:p w14:paraId="5DA777DB" w14:textId="77777777" w:rsidR="00B349CC" w:rsidRDefault="000E3177" w:rsidP="00B349CC">
      <w:pPr>
        <w:keepNext/>
        <w:jc w:val="center"/>
      </w:pPr>
      <w:r>
        <w:rPr>
          <w:noProof/>
        </w:rPr>
        <w:drawing>
          <wp:inline distT="0" distB="0" distL="0" distR="0" wp14:anchorId="3E42494F" wp14:editId="25B36B86">
            <wp:extent cx="3771900" cy="2163505"/>
            <wp:effectExtent l="0" t="0" r="0" b="8255"/>
            <wp:docPr id="166853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36095" name=""/>
                    <pic:cNvPicPr/>
                  </pic:nvPicPr>
                  <pic:blipFill>
                    <a:blip r:embed="rId32"/>
                    <a:stretch>
                      <a:fillRect/>
                    </a:stretch>
                  </pic:blipFill>
                  <pic:spPr>
                    <a:xfrm>
                      <a:off x="0" y="0"/>
                      <a:ext cx="3772793" cy="2164017"/>
                    </a:xfrm>
                    <a:prstGeom prst="rect">
                      <a:avLst/>
                    </a:prstGeom>
                  </pic:spPr>
                </pic:pic>
              </a:graphicData>
            </a:graphic>
          </wp:inline>
        </w:drawing>
      </w:r>
    </w:p>
    <w:p w14:paraId="00DDA481" w14:textId="4128D96C" w:rsidR="005B7C1B" w:rsidRDefault="00B349CC" w:rsidP="00B349CC">
      <w:pPr>
        <w:pStyle w:val="Caption"/>
        <w:jc w:val="center"/>
      </w:pPr>
      <w:bookmarkStart w:id="80" w:name="_Ref227057205"/>
      <w:bookmarkStart w:id="81" w:name="_Toc228701107"/>
      <w:r>
        <w:t xml:space="preserve">Figure </w:t>
      </w:r>
      <w:fldSimple w:instr=" STYLEREF 1 \s ">
        <w:r w:rsidR="007306EC">
          <w:rPr>
            <w:noProof/>
          </w:rPr>
          <w:t>2</w:t>
        </w:r>
      </w:fldSimple>
      <w:r w:rsidR="007306EC">
        <w:noBreakHyphen/>
      </w:r>
      <w:fldSimple w:instr=" SEQ Figure \* ARABIC \s 1 ">
        <w:r w:rsidR="007306EC">
          <w:rPr>
            <w:noProof/>
          </w:rPr>
          <w:t>3</w:t>
        </w:r>
      </w:fldSimple>
      <w:bookmarkEnd w:id="80"/>
      <w:r>
        <w:t xml:space="preserve"> </w:t>
      </w:r>
      <w:r w:rsidRPr="00206911">
        <w:t>COST DISTRIBUTION SHARE IN TOTAL COST</w:t>
      </w:r>
      <w:bookmarkEnd w:id="81"/>
    </w:p>
    <w:p w14:paraId="62403033" w14:textId="77777777" w:rsidR="005B7C1B" w:rsidRPr="00A3339E" w:rsidRDefault="005B7C1B" w:rsidP="005B7C1B">
      <w:pPr>
        <w:rPr>
          <w:rFonts w:cs="Open Sans"/>
          <w:sz w:val="20"/>
          <w:szCs w:val="20"/>
        </w:rPr>
      </w:pPr>
    </w:p>
    <w:p w14:paraId="7D309D1D" w14:textId="747DB029" w:rsidR="00A3339E" w:rsidRPr="00A3339E" w:rsidRDefault="00A3339E" w:rsidP="00B960CF">
      <w:pPr>
        <w:pStyle w:val="Heading2"/>
      </w:pPr>
      <w:bookmarkStart w:id="82" w:name="_Toc228701012"/>
      <w:r w:rsidRPr="00A3339E">
        <w:lastRenderedPageBreak/>
        <w:t>Total Effects within the National Economy</w:t>
      </w:r>
      <w:bookmarkEnd w:id="82"/>
    </w:p>
    <w:p w14:paraId="555E0432" w14:textId="27BFE768" w:rsidR="00A3339E" w:rsidRPr="00A3339E" w:rsidRDefault="00A3339E" w:rsidP="00B960CF">
      <w:pPr>
        <w:pStyle w:val="Heading3"/>
        <w:rPr>
          <w:rFonts w:eastAsia="Google Sans"/>
          <w:i/>
          <w:iCs/>
        </w:rPr>
      </w:pPr>
      <w:bookmarkStart w:id="83" w:name="_Toc228701013"/>
      <w:r w:rsidRPr="00A3339E">
        <w:rPr>
          <w:rFonts w:eastAsia="Google Sans"/>
        </w:rPr>
        <w:t>Value Added Generation</w:t>
      </w:r>
      <w:bookmarkEnd w:id="83"/>
    </w:p>
    <w:p w14:paraId="060F8744" w14:textId="77777777"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r w:rsidRPr="00C214E3">
        <w:rPr>
          <w:rFonts w:eastAsia="Google Sans Text" w:cs="Open Sans"/>
          <w:sz w:val="20"/>
          <w:szCs w:val="20"/>
        </w:rPr>
        <w:t>Beyond actor-level financial performance, the contribution of the cocoa value chain to the national economy is assessed through its total value added (VA), which captures the net economic value generated by the sector. This includes both Direct Value Added, generated by actors operating within the value chain, and Indirect Value Added, generated by domestic suppliers providing intermediate goods and services to these actors.</w:t>
      </w:r>
    </w:p>
    <w:p w14:paraId="1CC4E48B" w14:textId="77777777"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p>
    <w:p w14:paraId="48805BBF" w14:textId="43AADC12"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r w:rsidRPr="00C214E3">
        <w:rPr>
          <w:rFonts w:eastAsia="Google Sans Text" w:cs="Open Sans"/>
          <w:sz w:val="20"/>
          <w:szCs w:val="20"/>
        </w:rPr>
        <w:t xml:space="preserve">For the Sierra Leone cocoa value chain, Direct VA is estimated at 2,817 MSLE, while Indirect VA amounts to a modest 13 MSLE, resulting in a Total VA of approximately 2,831 MSLE </w:t>
      </w:r>
      <w:r w:rsidRPr="00424BFE">
        <w:rPr>
          <w:rFonts w:eastAsia="Google Sans Text" w:cs="Open Sans"/>
          <w:sz w:val="20"/>
          <w:szCs w:val="20"/>
        </w:rPr>
        <w:t>(</w:t>
      </w:r>
      <w:r w:rsidR="00667E7C" w:rsidRPr="00424BFE">
        <w:rPr>
          <w:rFonts w:eastAsia="Google Sans Text" w:cs="Open Sans"/>
          <w:sz w:val="20"/>
          <w:szCs w:val="20"/>
        </w:rPr>
        <w:fldChar w:fldCharType="begin"/>
      </w:r>
      <w:r w:rsidR="00667E7C" w:rsidRPr="00424BFE">
        <w:rPr>
          <w:rFonts w:eastAsia="Google Sans Text" w:cs="Open Sans"/>
          <w:sz w:val="20"/>
          <w:szCs w:val="20"/>
        </w:rPr>
        <w:instrText xml:space="preserve"> REF _Ref227057503 \h </w:instrText>
      </w:r>
      <w:r w:rsidR="00424BFE">
        <w:rPr>
          <w:rFonts w:eastAsia="Google Sans Text" w:cs="Open Sans"/>
          <w:sz w:val="20"/>
          <w:szCs w:val="20"/>
        </w:rPr>
        <w:instrText xml:space="preserve"> \* MERGEFORMAT </w:instrText>
      </w:r>
      <w:r w:rsidR="00667E7C" w:rsidRPr="00424BFE">
        <w:rPr>
          <w:rFonts w:eastAsia="Google Sans Text" w:cs="Open Sans"/>
          <w:sz w:val="20"/>
          <w:szCs w:val="20"/>
        </w:rPr>
      </w:r>
      <w:r w:rsidR="00667E7C" w:rsidRPr="00424BFE">
        <w:rPr>
          <w:rFonts w:eastAsia="Google Sans Text" w:cs="Open Sans"/>
          <w:sz w:val="20"/>
          <w:szCs w:val="20"/>
        </w:rPr>
        <w:fldChar w:fldCharType="separate"/>
      </w:r>
      <w:r w:rsidR="00667E7C" w:rsidRPr="001F42F7">
        <w:rPr>
          <w:sz w:val="20"/>
          <w:szCs w:val="20"/>
        </w:rPr>
        <w:t xml:space="preserve">Table </w:t>
      </w:r>
      <w:r w:rsidR="00667E7C" w:rsidRPr="001F42F7">
        <w:rPr>
          <w:noProof/>
          <w:sz w:val="20"/>
          <w:szCs w:val="20"/>
        </w:rPr>
        <w:t>2</w:t>
      </w:r>
      <w:r w:rsidR="00667E7C" w:rsidRPr="001F42F7">
        <w:rPr>
          <w:sz w:val="20"/>
          <w:szCs w:val="20"/>
        </w:rPr>
        <w:noBreakHyphen/>
      </w:r>
      <w:r w:rsidR="00667E7C" w:rsidRPr="001F42F7">
        <w:rPr>
          <w:noProof/>
          <w:sz w:val="20"/>
          <w:szCs w:val="20"/>
        </w:rPr>
        <w:t>3</w:t>
      </w:r>
      <w:r w:rsidR="00667E7C" w:rsidRPr="00424BFE">
        <w:rPr>
          <w:rFonts w:eastAsia="Google Sans Text" w:cs="Open Sans"/>
          <w:sz w:val="20"/>
          <w:szCs w:val="20"/>
        </w:rPr>
        <w:fldChar w:fldCharType="end"/>
      </w:r>
      <w:r w:rsidRPr="00424BFE">
        <w:rPr>
          <w:rFonts w:eastAsia="Google Sans Text" w:cs="Open Sans"/>
          <w:sz w:val="20"/>
          <w:szCs w:val="20"/>
        </w:rPr>
        <w:t>).</w:t>
      </w:r>
      <w:r w:rsidRPr="00C214E3">
        <w:rPr>
          <w:rFonts w:eastAsia="Google Sans Text" w:cs="Open Sans"/>
          <w:sz w:val="20"/>
          <w:szCs w:val="20"/>
        </w:rPr>
        <w:t xml:space="preserve"> The relatively small magnitude of indirect effects reflects the limited reliance of the value chain on domestically produced intermediate inputs, consistent with the low-input nature of cocoa production systems. Nevertheless, the positive indirect contribution indicates that the value chain does generate some spillover effects within the domestic economy, albeit </w:t>
      </w:r>
      <w:proofErr w:type="gramStart"/>
      <w:r w:rsidRPr="00C214E3">
        <w:rPr>
          <w:rFonts w:eastAsia="Google Sans Text" w:cs="Open Sans"/>
          <w:sz w:val="20"/>
          <w:szCs w:val="20"/>
        </w:rPr>
        <w:t>at</w:t>
      </w:r>
      <w:proofErr w:type="gramEnd"/>
      <w:r w:rsidRPr="00C214E3">
        <w:rPr>
          <w:rFonts w:eastAsia="Google Sans Text" w:cs="Open Sans"/>
          <w:sz w:val="20"/>
          <w:szCs w:val="20"/>
        </w:rPr>
        <w:t xml:space="preserve"> a limited scale.</w:t>
      </w:r>
    </w:p>
    <w:p w14:paraId="7F4C9183" w14:textId="77777777"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p>
    <w:p w14:paraId="37775AB5" w14:textId="2AD7CAEC"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r w:rsidRPr="00C214E3">
        <w:rPr>
          <w:rFonts w:eastAsia="Google Sans Text" w:cs="Open Sans"/>
          <w:sz w:val="20"/>
          <w:szCs w:val="20"/>
        </w:rPr>
        <w:t xml:space="preserve">A closer examination of the composition of </w:t>
      </w:r>
      <w:proofErr w:type="gramStart"/>
      <w:r w:rsidRPr="00C214E3">
        <w:rPr>
          <w:rFonts w:eastAsia="Google Sans Text" w:cs="Open Sans"/>
          <w:sz w:val="20"/>
          <w:szCs w:val="20"/>
        </w:rPr>
        <w:t>value added</w:t>
      </w:r>
      <w:proofErr w:type="gramEnd"/>
      <w:r w:rsidRPr="00C214E3">
        <w:rPr>
          <w:rFonts w:eastAsia="Google Sans Text" w:cs="Open Sans"/>
          <w:sz w:val="20"/>
          <w:szCs w:val="20"/>
        </w:rPr>
        <w:t xml:space="preserve"> reveals important insights into the nature and quality of growth generated by the sector. As shown in </w:t>
      </w:r>
      <w:r w:rsidR="00667E7C" w:rsidRPr="00DF3B1B">
        <w:rPr>
          <w:rFonts w:eastAsia="Google Sans Text" w:cs="Open Sans"/>
          <w:sz w:val="20"/>
          <w:szCs w:val="20"/>
        </w:rPr>
        <w:fldChar w:fldCharType="begin"/>
      </w:r>
      <w:r w:rsidR="00667E7C" w:rsidRPr="00DF3B1B">
        <w:rPr>
          <w:rFonts w:eastAsia="Google Sans Text" w:cs="Open Sans"/>
          <w:sz w:val="20"/>
          <w:szCs w:val="20"/>
        </w:rPr>
        <w:instrText xml:space="preserve"> REF _Ref227057503 \h </w:instrText>
      </w:r>
      <w:r w:rsidR="00DF3B1B">
        <w:rPr>
          <w:rFonts w:eastAsia="Google Sans Text" w:cs="Open Sans"/>
          <w:sz w:val="20"/>
          <w:szCs w:val="20"/>
        </w:rPr>
        <w:instrText xml:space="preserve"> \* MERGEFORMAT </w:instrText>
      </w:r>
      <w:r w:rsidR="00667E7C" w:rsidRPr="00DF3B1B">
        <w:rPr>
          <w:rFonts w:eastAsia="Google Sans Text" w:cs="Open Sans"/>
          <w:sz w:val="20"/>
          <w:szCs w:val="20"/>
        </w:rPr>
      </w:r>
      <w:r w:rsidR="00667E7C" w:rsidRPr="00DF3B1B">
        <w:rPr>
          <w:rFonts w:eastAsia="Google Sans Text" w:cs="Open Sans"/>
          <w:sz w:val="20"/>
          <w:szCs w:val="20"/>
        </w:rPr>
        <w:fldChar w:fldCharType="separate"/>
      </w:r>
      <w:r w:rsidR="00667E7C" w:rsidRPr="001F42F7">
        <w:rPr>
          <w:sz w:val="20"/>
          <w:szCs w:val="20"/>
        </w:rPr>
        <w:t xml:space="preserve">Table </w:t>
      </w:r>
      <w:r w:rsidR="00667E7C" w:rsidRPr="001F42F7">
        <w:rPr>
          <w:noProof/>
          <w:sz w:val="20"/>
          <w:szCs w:val="20"/>
        </w:rPr>
        <w:t>2</w:t>
      </w:r>
      <w:r w:rsidR="00667E7C" w:rsidRPr="001F42F7">
        <w:rPr>
          <w:sz w:val="20"/>
          <w:szCs w:val="20"/>
        </w:rPr>
        <w:noBreakHyphen/>
      </w:r>
      <w:r w:rsidR="00667E7C" w:rsidRPr="001F42F7">
        <w:rPr>
          <w:noProof/>
          <w:sz w:val="20"/>
          <w:szCs w:val="20"/>
        </w:rPr>
        <w:t>3</w:t>
      </w:r>
      <w:r w:rsidR="00667E7C" w:rsidRPr="00DF3B1B">
        <w:rPr>
          <w:rFonts w:eastAsia="Google Sans Text" w:cs="Open Sans"/>
          <w:sz w:val="20"/>
          <w:szCs w:val="20"/>
        </w:rPr>
        <w:fldChar w:fldCharType="end"/>
      </w:r>
      <w:r w:rsidRPr="00DF3B1B">
        <w:rPr>
          <w:rFonts w:eastAsia="Google Sans Text" w:cs="Open Sans"/>
          <w:sz w:val="20"/>
          <w:szCs w:val="20"/>
        </w:rPr>
        <w:t>, t</w:t>
      </w:r>
      <w:r w:rsidRPr="00C214E3">
        <w:rPr>
          <w:rFonts w:eastAsia="Google Sans Text" w:cs="Open Sans"/>
          <w:sz w:val="20"/>
          <w:szCs w:val="20"/>
        </w:rPr>
        <w:t>otal value added is overwhelmingly dominated by net operating profit, which accounts for the largest share of total VA (approximately 87%). Wages contribute a much smaller share (around 10%), while net taxes and depreciation together account for only a marginal proportion of total value added.</w:t>
      </w:r>
    </w:p>
    <w:p w14:paraId="78DF9F00" w14:textId="77777777" w:rsidR="00C214E3" w:rsidRPr="00C214E3" w:rsidRDefault="00C214E3" w:rsidP="00C214E3">
      <w:pPr>
        <w:pBdr>
          <w:top w:val="nil"/>
          <w:left w:val="nil"/>
          <w:bottom w:val="nil"/>
          <w:right w:val="nil"/>
          <w:between w:val="nil"/>
        </w:pBdr>
        <w:spacing w:line="275" w:lineRule="auto"/>
        <w:rPr>
          <w:rFonts w:eastAsia="Google Sans Text" w:cs="Open Sans"/>
          <w:sz w:val="20"/>
          <w:szCs w:val="20"/>
        </w:rPr>
      </w:pPr>
    </w:p>
    <w:p w14:paraId="65C40BD0" w14:textId="7F5401BC" w:rsidR="00A3339E" w:rsidRDefault="00C214E3" w:rsidP="00C214E3">
      <w:pPr>
        <w:pBdr>
          <w:top w:val="nil"/>
          <w:left w:val="nil"/>
          <w:bottom w:val="nil"/>
          <w:right w:val="nil"/>
          <w:between w:val="nil"/>
        </w:pBdr>
        <w:spacing w:line="275" w:lineRule="auto"/>
        <w:rPr>
          <w:rFonts w:eastAsia="Google Sans Text" w:cs="Open Sans"/>
          <w:sz w:val="20"/>
          <w:szCs w:val="20"/>
        </w:rPr>
      </w:pPr>
      <w:r w:rsidRPr="00C214E3">
        <w:rPr>
          <w:rFonts w:eastAsia="Google Sans Text" w:cs="Open Sans"/>
          <w:sz w:val="20"/>
          <w:szCs w:val="20"/>
        </w:rPr>
        <w:t xml:space="preserve">This composition highlights a critical structural feature of the cocoa value chain: its contribution to economic growth is driven primarily by operating surplus and mixed income, rather than by wage-based employment. In the context of smallholder agriculture, a large share of this operating surplus reflects returns to family </w:t>
      </w:r>
      <w:proofErr w:type="spellStart"/>
      <w:r w:rsidRPr="00C214E3">
        <w:rPr>
          <w:rFonts w:eastAsia="Google Sans Text" w:cs="Open Sans"/>
          <w:sz w:val="20"/>
          <w:szCs w:val="20"/>
        </w:rPr>
        <w:t>labour</w:t>
      </w:r>
      <w:proofErr w:type="spellEnd"/>
      <w:r w:rsidRPr="00C214E3">
        <w:rPr>
          <w:rFonts w:eastAsia="Google Sans Text" w:cs="Open Sans"/>
          <w:sz w:val="20"/>
          <w:szCs w:val="20"/>
        </w:rPr>
        <w:t xml:space="preserve"> and land, which are not explicitly remunerated through formal wages. As a result, while the value chain generates substantial economic value, this value is not necessarily distributed through formal </w:t>
      </w:r>
      <w:proofErr w:type="spellStart"/>
      <w:r w:rsidRPr="00C214E3">
        <w:rPr>
          <w:rFonts w:eastAsia="Google Sans Text" w:cs="Open Sans"/>
          <w:sz w:val="20"/>
          <w:szCs w:val="20"/>
        </w:rPr>
        <w:t>labour</w:t>
      </w:r>
      <w:proofErr w:type="spellEnd"/>
      <w:r w:rsidRPr="00C214E3">
        <w:rPr>
          <w:rFonts w:eastAsia="Google Sans Text" w:cs="Open Sans"/>
          <w:sz w:val="20"/>
          <w:szCs w:val="20"/>
        </w:rPr>
        <w:t xml:space="preserve"> markets</w:t>
      </w:r>
      <w:r w:rsidR="00A3339E" w:rsidRPr="00291C9D">
        <w:rPr>
          <w:rFonts w:eastAsia="Google Sans Text" w:cs="Open Sans"/>
          <w:sz w:val="20"/>
          <w:szCs w:val="20"/>
        </w:rPr>
        <w:t>.</w:t>
      </w:r>
    </w:p>
    <w:p w14:paraId="425AA4FB" w14:textId="77777777" w:rsidR="00C72910" w:rsidRPr="00291C9D" w:rsidRDefault="00C72910" w:rsidP="00C214E3">
      <w:pPr>
        <w:pBdr>
          <w:top w:val="nil"/>
          <w:left w:val="nil"/>
          <w:bottom w:val="nil"/>
          <w:right w:val="nil"/>
          <w:between w:val="nil"/>
        </w:pBdr>
        <w:spacing w:line="275" w:lineRule="auto"/>
        <w:rPr>
          <w:rFonts w:eastAsia="Google Sans Text" w:cs="Open Sans"/>
          <w:sz w:val="20"/>
          <w:szCs w:val="20"/>
        </w:rPr>
      </w:pPr>
    </w:p>
    <w:p w14:paraId="7F196242" w14:textId="1A42A778" w:rsidR="00B349CC" w:rsidRDefault="00291C9D" w:rsidP="00B349CC">
      <w:pPr>
        <w:pStyle w:val="Caption"/>
        <w:keepNext/>
      </w:pPr>
      <w:bookmarkStart w:id="84" w:name="X9c390b1a3d982f3f6ff23f3ad0b0c839bca33d0"/>
      <w:r>
        <w:t xml:space="preserve">                                                            </w:t>
      </w:r>
      <w:r w:rsidRPr="00291C9D">
        <w:rPr>
          <w:iCs/>
          <w:szCs w:val="20"/>
        </w:rPr>
        <w:t xml:space="preserve"> </w:t>
      </w:r>
      <w:bookmarkStart w:id="85" w:name="_Ref227057503"/>
      <w:bookmarkStart w:id="86" w:name="_Toc228701072"/>
      <w:r w:rsidR="00B349CC">
        <w:t xml:space="preserve">Table </w:t>
      </w:r>
      <w:fldSimple w:instr=" STYLEREF 1 \s ">
        <w:r w:rsidR="006C1C4E">
          <w:rPr>
            <w:noProof/>
          </w:rPr>
          <w:t>2</w:t>
        </w:r>
      </w:fldSimple>
      <w:r w:rsidR="006C1C4E">
        <w:noBreakHyphen/>
      </w:r>
      <w:fldSimple w:instr=" SEQ Table \* ARABIC \s 1 ">
        <w:r w:rsidR="006C1C4E">
          <w:rPr>
            <w:noProof/>
          </w:rPr>
          <w:t>3</w:t>
        </w:r>
      </w:fldSimple>
      <w:bookmarkEnd w:id="85"/>
      <w:r w:rsidR="00B349CC">
        <w:t xml:space="preserve"> </w:t>
      </w:r>
      <w:r w:rsidR="00B349CC" w:rsidRPr="004E2884">
        <w:t>DIRECT AND INDIRECT EFFECTS</w:t>
      </w:r>
      <w:bookmarkEnd w:id="86"/>
    </w:p>
    <w:tbl>
      <w:tblPr>
        <w:tblW w:w="6722" w:type="dxa"/>
        <w:jc w:val="center"/>
        <w:tblLook w:val="04A0" w:firstRow="1" w:lastRow="0" w:firstColumn="1" w:lastColumn="0" w:noHBand="0" w:noVBand="1"/>
      </w:tblPr>
      <w:tblGrid>
        <w:gridCol w:w="2462"/>
        <w:gridCol w:w="1440"/>
        <w:gridCol w:w="1480"/>
        <w:gridCol w:w="1340"/>
      </w:tblGrid>
      <w:tr w:rsidR="00291C9D" w:rsidRPr="00291C9D" w14:paraId="652DF0D6" w14:textId="77777777" w:rsidTr="00291C9D">
        <w:trPr>
          <w:trHeight w:val="330"/>
          <w:jc w:val="center"/>
        </w:trPr>
        <w:tc>
          <w:tcPr>
            <w:tcW w:w="2462" w:type="dxa"/>
            <w:tcBorders>
              <w:top w:val="single" w:sz="4" w:space="0" w:color="auto"/>
              <w:left w:val="nil"/>
              <w:bottom w:val="double" w:sz="6" w:space="0" w:color="auto"/>
              <w:right w:val="nil"/>
            </w:tcBorders>
            <w:vAlign w:val="center"/>
            <w:hideMark/>
          </w:tcPr>
          <w:p w14:paraId="483421C0"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Component</w:t>
            </w:r>
          </w:p>
        </w:tc>
        <w:tc>
          <w:tcPr>
            <w:tcW w:w="1440" w:type="dxa"/>
            <w:tcBorders>
              <w:top w:val="single" w:sz="4" w:space="0" w:color="auto"/>
              <w:left w:val="nil"/>
              <w:bottom w:val="double" w:sz="6" w:space="0" w:color="auto"/>
              <w:right w:val="nil"/>
            </w:tcBorders>
            <w:vAlign w:val="center"/>
            <w:hideMark/>
          </w:tcPr>
          <w:p w14:paraId="12FF9014"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Direct effects</w:t>
            </w:r>
          </w:p>
        </w:tc>
        <w:tc>
          <w:tcPr>
            <w:tcW w:w="1480" w:type="dxa"/>
            <w:tcBorders>
              <w:top w:val="single" w:sz="4" w:space="0" w:color="auto"/>
              <w:left w:val="nil"/>
              <w:bottom w:val="double" w:sz="6" w:space="0" w:color="auto"/>
              <w:right w:val="nil"/>
            </w:tcBorders>
            <w:vAlign w:val="center"/>
            <w:hideMark/>
          </w:tcPr>
          <w:p w14:paraId="7147141F"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Indirect effects</w:t>
            </w:r>
          </w:p>
        </w:tc>
        <w:tc>
          <w:tcPr>
            <w:tcW w:w="1340" w:type="dxa"/>
            <w:tcBorders>
              <w:top w:val="single" w:sz="4" w:space="0" w:color="auto"/>
              <w:left w:val="nil"/>
              <w:bottom w:val="double" w:sz="6" w:space="0" w:color="auto"/>
              <w:right w:val="nil"/>
            </w:tcBorders>
            <w:noWrap/>
            <w:vAlign w:val="bottom"/>
            <w:hideMark/>
          </w:tcPr>
          <w:p w14:paraId="4EDBE6B1" w14:textId="77777777" w:rsidR="00291C9D" w:rsidRPr="00291C9D" w:rsidRDefault="00291C9D" w:rsidP="00291C9D">
            <w:pPr>
              <w:contextualSpacing w:val="0"/>
              <w:jc w:val="center"/>
              <w:rPr>
                <w:rFonts w:ascii="Aptos Narrow" w:eastAsia="Times New Roman" w:hAnsi="Aptos Narrow" w:cs="Times New Roman"/>
                <w:sz w:val="22"/>
                <w:lang w:val="en-GB" w:eastAsia="en-GB"/>
              </w:rPr>
            </w:pPr>
            <w:r w:rsidRPr="00291C9D">
              <w:rPr>
                <w:rFonts w:ascii="Aptos Narrow" w:eastAsia="Times New Roman" w:hAnsi="Aptos Narrow" w:cs="Times New Roman"/>
                <w:sz w:val="22"/>
                <w:lang w:val="en-GB" w:eastAsia="en-GB"/>
              </w:rPr>
              <w:t>Total effects</w:t>
            </w:r>
          </w:p>
        </w:tc>
      </w:tr>
      <w:tr w:rsidR="00291C9D" w:rsidRPr="00291C9D" w14:paraId="729D44F6" w14:textId="77777777" w:rsidTr="00291C9D">
        <w:trPr>
          <w:trHeight w:val="330"/>
          <w:jc w:val="center"/>
        </w:trPr>
        <w:tc>
          <w:tcPr>
            <w:tcW w:w="2462" w:type="dxa"/>
            <w:tcBorders>
              <w:top w:val="nil"/>
              <w:left w:val="nil"/>
              <w:bottom w:val="nil"/>
              <w:right w:val="nil"/>
            </w:tcBorders>
            <w:vAlign w:val="center"/>
            <w:hideMark/>
          </w:tcPr>
          <w:p w14:paraId="2E7D2818"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Net operating profit (NOP)</w:t>
            </w:r>
          </w:p>
        </w:tc>
        <w:tc>
          <w:tcPr>
            <w:tcW w:w="1440" w:type="dxa"/>
            <w:tcBorders>
              <w:top w:val="nil"/>
              <w:left w:val="nil"/>
              <w:bottom w:val="nil"/>
              <w:right w:val="nil"/>
            </w:tcBorders>
            <w:vAlign w:val="center"/>
            <w:hideMark/>
          </w:tcPr>
          <w:p w14:paraId="1277FF35"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2,453.69</w:t>
            </w:r>
          </w:p>
        </w:tc>
        <w:tc>
          <w:tcPr>
            <w:tcW w:w="1480" w:type="dxa"/>
            <w:tcBorders>
              <w:top w:val="nil"/>
              <w:left w:val="nil"/>
              <w:bottom w:val="nil"/>
              <w:right w:val="nil"/>
            </w:tcBorders>
            <w:vAlign w:val="center"/>
            <w:hideMark/>
          </w:tcPr>
          <w:p w14:paraId="2086499B"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3.70</w:t>
            </w:r>
          </w:p>
        </w:tc>
        <w:tc>
          <w:tcPr>
            <w:tcW w:w="1340" w:type="dxa"/>
            <w:tcBorders>
              <w:top w:val="nil"/>
              <w:left w:val="nil"/>
              <w:bottom w:val="nil"/>
              <w:right w:val="nil"/>
            </w:tcBorders>
            <w:vAlign w:val="center"/>
            <w:hideMark/>
          </w:tcPr>
          <w:p w14:paraId="5AC27F5F"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2,457.39</w:t>
            </w:r>
          </w:p>
        </w:tc>
      </w:tr>
      <w:tr w:rsidR="00291C9D" w:rsidRPr="00291C9D" w14:paraId="1D6AF807" w14:textId="77777777" w:rsidTr="00291C9D">
        <w:trPr>
          <w:trHeight w:val="330"/>
          <w:jc w:val="center"/>
        </w:trPr>
        <w:tc>
          <w:tcPr>
            <w:tcW w:w="2462" w:type="dxa"/>
            <w:tcBorders>
              <w:top w:val="nil"/>
              <w:left w:val="nil"/>
              <w:bottom w:val="nil"/>
              <w:right w:val="nil"/>
            </w:tcBorders>
            <w:vAlign w:val="center"/>
            <w:hideMark/>
          </w:tcPr>
          <w:p w14:paraId="166B8F53"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Wages</w:t>
            </w:r>
          </w:p>
        </w:tc>
        <w:tc>
          <w:tcPr>
            <w:tcW w:w="1440" w:type="dxa"/>
            <w:tcBorders>
              <w:top w:val="nil"/>
              <w:left w:val="nil"/>
              <w:bottom w:val="nil"/>
              <w:right w:val="nil"/>
            </w:tcBorders>
            <w:vAlign w:val="center"/>
            <w:hideMark/>
          </w:tcPr>
          <w:p w14:paraId="376623AB"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267.7</w:t>
            </w:r>
          </w:p>
        </w:tc>
        <w:tc>
          <w:tcPr>
            <w:tcW w:w="1480" w:type="dxa"/>
            <w:tcBorders>
              <w:top w:val="nil"/>
              <w:left w:val="nil"/>
              <w:bottom w:val="nil"/>
              <w:right w:val="nil"/>
            </w:tcBorders>
            <w:vAlign w:val="center"/>
            <w:hideMark/>
          </w:tcPr>
          <w:p w14:paraId="647319A8"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3.73</w:t>
            </w:r>
          </w:p>
        </w:tc>
        <w:tc>
          <w:tcPr>
            <w:tcW w:w="1340" w:type="dxa"/>
            <w:tcBorders>
              <w:top w:val="nil"/>
              <w:left w:val="nil"/>
              <w:bottom w:val="nil"/>
              <w:right w:val="nil"/>
            </w:tcBorders>
            <w:vAlign w:val="center"/>
            <w:hideMark/>
          </w:tcPr>
          <w:p w14:paraId="2EAC2743"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271.43</w:t>
            </w:r>
          </w:p>
        </w:tc>
      </w:tr>
      <w:tr w:rsidR="00291C9D" w:rsidRPr="00291C9D" w14:paraId="54740880" w14:textId="77777777" w:rsidTr="00291C9D">
        <w:trPr>
          <w:trHeight w:val="330"/>
          <w:jc w:val="center"/>
        </w:trPr>
        <w:tc>
          <w:tcPr>
            <w:tcW w:w="2462" w:type="dxa"/>
            <w:tcBorders>
              <w:top w:val="nil"/>
              <w:left w:val="nil"/>
              <w:bottom w:val="nil"/>
              <w:right w:val="nil"/>
            </w:tcBorders>
            <w:vAlign w:val="center"/>
            <w:hideMark/>
          </w:tcPr>
          <w:p w14:paraId="2BB9F159"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Net taxes on operations</w:t>
            </w:r>
          </w:p>
        </w:tc>
        <w:tc>
          <w:tcPr>
            <w:tcW w:w="1440" w:type="dxa"/>
            <w:tcBorders>
              <w:top w:val="nil"/>
              <w:left w:val="nil"/>
              <w:bottom w:val="nil"/>
              <w:right w:val="nil"/>
            </w:tcBorders>
            <w:vAlign w:val="center"/>
            <w:hideMark/>
          </w:tcPr>
          <w:p w14:paraId="176C9DC7"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81.45</w:t>
            </w:r>
          </w:p>
        </w:tc>
        <w:tc>
          <w:tcPr>
            <w:tcW w:w="1480" w:type="dxa"/>
            <w:tcBorders>
              <w:top w:val="nil"/>
              <w:left w:val="nil"/>
              <w:bottom w:val="nil"/>
              <w:right w:val="nil"/>
            </w:tcBorders>
            <w:vAlign w:val="center"/>
            <w:hideMark/>
          </w:tcPr>
          <w:p w14:paraId="3CEDA8D8"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3.45</w:t>
            </w:r>
          </w:p>
        </w:tc>
        <w:tc>
          <w:tcPr>
            <w:tcW w:w="1340" w:type="dxa"/>
            <w:tcBorders>
              <w:top w:val="nil"/>
              <w:left w:val="nil"/>
              <w:bottom w:val="nil"/>
              <w:right w:val="nil"/>
            </w:tcBorders>
            <w:vAlign w:val="center"/>
            <w:hideMark/>
          </w:tcPr>
          <w:p w14:paraId="0473403D"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84.9</w:t>
            </w:r>
          </w:p>
        </w:tc>
      </w:tr>
      <w:tr w:rsidR="00291C9D" w:rsidRPr="00291C9D" w14:paraId="24BD381B" w14:textId="77777777" w:rsidTr="00291C9D">
        <w:trPr>
          <w:trHeight w:val="330"/>
          <w:jc w:val="center"/>
        </w:trPr>
        <w:tc>
          <w:tcPr>
            <w:tcW w:w="2462" w:type="dxa"/>
            <w:tcBorders>
              <w:top w:val="nil"/>
              <w:left w:val="nil"/>
              <w:bottom w:val="nil"/>
              <w:right w:val="nil"/>
            </w:tcBorders>
            <w:vAlign w:val="center"/>
            <w:hideMark/>
          </w:tcPr>
          <w:p w14:paraId="0276F404"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Depreciation</w:t>
            </w:r>
          </w:p>
        </w:tc>
        <w:tc>
          <w:tcPr>
            <w:tcW w:w="1440" w:type="dxa"/>
            <w:tcBorders>
              <w:top w:val="nil"/>
              <w:left w:val="nil"/>
              <w:bottom w:val="nil"/>
              <w:right w:val="nil"/>
            </w:tcBorders>
            <w:vAlign w:val="center"/>
            <w:hideMark/>
          </w:tcPr>
          <w:p w14:paraId="287BE4F1"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14.78</w:t>
            </w:r>
          </w:p>
        </w:tc>
        <w:tc>
          <w:tcPr>
            <w:tcW w:w="1480" w:type="dxa"/>
            <w:tcBorders>
              <w:top w:val="nil"/>
              <w:left w:val="nil"/>
              <w:bottom w:val="nil"/>
              <w:right w:val="nil"/>
            </w:tcBorders>
            <w:vAlign w:val="center"/>
            <w:hideMark/>
          </w:tcPr>
          <w:p w14:paraId="340AC0D4"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0.89</w:t>
            </w:r>
          </w:p>
        </w:tc>
        <w:tc>
          <w:tcPr>
            <w:tcW w:w="1340" w:type="dxa"/>
            <w:tcBorders>
              <w:top w:val="nil"/>
              <w:left w:val="nil"/>
              <w:bottom w:val="nil"/>
              <w:right w:val="nil"/>
            </w:tcBorders>
            <w:vAlign w:val="center"/>
            <w:hideMark/>
          </w:tcPr>
          <w:p w14:paraId="1B94563E"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15.67</w:t>
            </w:r>
          </w:p>
        </w:tc>
      </w:tr>
      <w:tr w:rsidR="00291C9D" w:rsidRPr="00291C9D" w14:paraId="6BD6E9DE" w14:textId="77777777" w:rsidTr="00291C9D">
        <w:trPr>
          <w:trHeight w:val="330"/>
          <w:jc w:val="center"/>
        </w:trPr>
        <w:tc>
          <w:tcPr>
            <w:tcW w:w="2462" w:type="dxa"/>
            <w:tcBorders>
              <w:top w:val="nil"/>
              <w:left w:val="nil"/>
              <w:bottom w:val="single" w:sz="4" w:space="0" w:color="auto"/>
              <w:right w:val="nil"/>
            </w:tcBorders>
            <w:vAlign w:val="center"/>
            <w:hideMark/>
          </w:tcPr>
          <w:p w14:paraId="0A1E2467" w14:textId="77777777" w:rsidR="00291C9D" w:rsidRPr="00291C9D" w:rsidRDefault="00291C9D" w:rsidP="00291C9D">
            <w:pPr>
              <w:contextualSpacing w:val="0"/>
              <w:jc w:val="left"/>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Total value added</w:t>
            </w:r>
          </w:p>
        </w:tc>
        <w:tc>
          <w:tcPr>
            <w:tcW w:w="1440" w:type="dxa"/>
            <w:tcBorders>
              <w:top w:val="nil"/>
              <w:left w:val="nil"/>
              <w:bottom w:val="single" w:sz="4" w:space="0" w:color="auto"/>
              <w:right w:val="nil"/>
            </w:tcBorders>
            <w:vAlign w:val="center"/>
            <w:hideMark/>
          </w:tcPr>
          <w:p w14:paraId="4167268F"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2,817.62</w:t>
            </w:r>
          </w:p>
        </w:tc>
        <w:tc>
          <w:tcPr>
            <w:tcW w:w="1480" w:type="dxa"/>
            <w:tcBorders>
              <w:top w:val="nil"/>
              <w:left w:val="nil"/>
              <w:bottom w:val="single" w:sz="4" w:space="0" w:color="auto"/>
              <w:right w:val="nil"/>
            </w:tcBorders>
            <w:vAlign w:val="center"/>
            <w:hideMark/>
          </w:tcPr>
          <w:p w14:paraId="2D3F1D0F"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13.61</w:t>
            </w:r>
          </w:p>
        </w:tc>
        <w:tc>
          <w:tcPr>
            <w:tcW w:w="1340" w:type="dxa"/>
            <w:tcBorders>
              <w:top w:val="nil"/>
              <w:left w:val="nil"/>
              <w:bottom w:val="single" w:sz="4" w:space="0" w:color="auto"/>
              <w:right w:val="nil"/>
            </w:tcBorders>
            <w:vAlign w:val="center"/>
            <w:hideMark/>
          </w:tcPr>
          <w:p w14:paraId="694A8B82" w14:textId="77777777" w:rsidR="00291C9D" w:rsidRPr="00291C9D" w:rsidRDefault="00291C9D" w:rsidP="00291C9D">
            <w:pPr>
              <w:contextualSpacing w:val="0"/>
              <w:jc w:val="center"/>
              <w:rPr>
                <w:rFonts w:ascii="Times New Roman" w:eastAsia="Times New Roman" w:hAnsi="Times New Roman" w:cs="Times New Roman"/>
                <w:sz w:val="20"/>
                <w:szCs w:val="20"/>
                <w:lang w:val="en-GB" w:eastAsia="en-GB"/>
              </w:rPr>
            </w:pPr>
            <w:r w:rsidRPr="00291C9D">
              <w:rPr>
                <w:rFonts w:ascii="Times New Roman" w:eastAsia="Times New Roman" w:hAnsi="Times New Roman" w:cs="Times New Roman"/>
                <w:sz w:val="20"/>
                <w:szCs w:val="20"/>
                <w:lang w:val="en" w:eastAsia="en-GB"/>
              </w:rPr>
              <w:t>2,831.23</w:t>
            </w:r>
          </w:p>
        </w:tc>
      </w:tr>
    </w:tbl>
    <w:p w14:paraId="6E01A981" w14:textId="77777777" w:rsidR="00291C9D" w:rsidRDefault="00291C9D" w:rsidP="00291C9D">
      <w:pPr>
        <w:pStyle w:val="BodyText"/>
        <w:rPr>
          <w:lang w:val="en" w:eastAsia="en-US"/>
        </w:rPr>
      </w:pPr>
    </w:p>
    <w:p w14:paraId="6FE9CDAA" w14:textId="77777777" w:rsidR="00291C9D" w:rsidRPr="00291C9D" w:rsidRDefault="00291C9D" w:rsidP="00291C9D">
      <w:pPr>
        <w:pStyle w:val="BodyText"/>
        <w:rPr>
          <w:lang w:val="en" w:eastAsia="en-US"/>
        </w:rPr>
      </w:pPr>
    </w:p>
    <w:p w14:paraId="5C57E645" w14:textId="58BE6FBB" w:rsidR="00A3339E" w:rsidRPr="00A3339E" w:rsidRDefault="00A3339E" w:rsidP="00B960CF">
      <w:pPr>
        <w:pStyle w:val="Heading3"/>
        <w:rPr>
          <w:rFonts w:eastAsia="Google Sans"/>
          <w:i/>
          <w:iCs/>
        </w:rPr>
      </w:pPr>
      <w:bookmarkStart w:id="87" w:name="_Toc228701014"/>
      <w:bookmarkEnd w:id="84"/>
      <w:r w:rsidRPr="00A3339E">
        <w:rPr>
          <w:rFonts w:eastAsia="Google Sans"/>
        </w:rPr>
        <w:t>Contribution to Gross Domestic Product (GDP)</w:t>
      </w:r>
      <w:bookmarkEnd w:id="87"/>
    </w:p>
    <w:p w14:paraId="7904A28C" w14:textId="77777777" w:rsidR="009126A3" w:rsidRPr="009126A3" w:rsidRDefault="009126A3" w:rsidP="009126A3">
      <w:pPr>
        <w:pBdr>
          <w:top w:val="nil"/>
          <w:left w:val="nil"/>
          <w:bottom w:val="nil"/>
          <w:right w:val="nil"/>
          <w:between w:val="nil"/>
        </w:pBdr>
        <w:spacing w:line="275" w:lineRule="auto"/>
        <w:rPr>
          <w:rFonts w:eastAsia="Google Sans" w:cs="Open Sans"/>
          <w:sz w:val="20"/>
          <w:szCs w:val="20"/>
        </w:rPr>
      </w:pPr>
      <w:r w:rsidRPr="009126A3">
        <w:rPr>
          <w:rFonts w:eastAsia="Google Sans" w:cs="Open Sans"/>
          <w:sz w:val="20"/>
          <w:szCs w:val="20"/>
        </w:rPr>
        <w:t>The contribution of the cocoa value chain to Gross Domestic Product (GDP) provides a macroeconomic perspective on its economic significance. With an estimated total value added of 2,831 MSLE, the cocoa value chain contributes approximately 1.8% to Sierra Leone’s national GDP (around 157,362 MSLE at market prices).</w:t>
      </w:r>
    </w:p>
    <w:p w14:paraId="4D00F9ED" w14:textId="77777777" w:rsidR="009126A3" w:rsidRPr="009126A3" w:rsidRDefault="009126A3" w:rsidP="009126A3">
      <w:pPr>
        <w:pBdr>
          <w:top w:val="nil"/>
          <w:left w:val="nil"/>
          <w:bottom w:val="nil"/>
          <w:right w:val="nil"/>
          <w:between w:val="nil"/>
        </w:pBdr>
        <w:spacing w:line="275" w:lineRule="auto"/>
        <w:rPr>
          <w:rFonts w:eastAsia="Google Sans" w:cs="Open Sans"/>
          <w:sz w:val="20"/>
          <w:szCs w:val="20"/>
        </w:rPr>
      </w:pPr>
      <w:r w:rsidRPr="009126A3">
        <w:rPr>
          <w:rFonts w:eastAsia="Google Sans" w:cs="Open Sans"/>
          <w:sz w:val="20"/>
          <w:szCs w:val="20"/>
        </w:rPr>
        <w:lastRenderedPageBreak/>
        <w:t>While modest in aggregate terms, this contribution is economically meaningful when considered in context. Sierra Leone’s GDP is dominated by capital-intensive sectors such as mining, which generate high value but limited employment and weaker domestic linkages. In contrast, the cocoa value chain, though smaller in scale, is deeply embedded in the rural economy and supports widespread livelihoods.</w:t>
      </w:r>
    </w:p>
    <w:p w14:paraId="6BAD52BE" w14:textId="2A7803FB" w:rsidR="005F5EB0" w:rsidRPr="00E36A65" w:rsidRDefault="009126A3" w:rsidP="009126A3">
      <w:pPr>
        <w:pBdr>
          <w:top w:val="nil"/>
          <w:left w:val="nil"/>
          <w:bottom w:val="nil"/>
          <w:right w:val="nil"/>
          <w:between w:val="nil"/>
        </w:pBdr>
        <w:spacing w:line="275" w:lineRule="auto"/>
        <w:rPr>
          <w:rFonts w:eastAsia="Google Sans" w:cs="Open Sans"/>
          <w:sz w:val="20"/>
          <w:szCs w:val="20"/>
          <w:vertAlign w:val="superscript"/>
        </w:rPr>
      </w:pPr>
      <w:r w:rsidRPr="009126A3">
        <w:rPr>
          <w:rFonts w:eastAsia="Google Sans" w:cs="Open Sans"/>
          <w:sz w:val="20"/>
          <w:szCs w:val="20"/>
        </w:rPr>
        <w:t>Its importance is even more pronounced within agriculture, where it accounts for approximately 4.2% of agricultural GDP. Given that much of this value added originates from primary production, cocoa remains a key driver of growth within the sector. Overall, the cocoa value chain represents one of the most significant high-value agricultural contributors to the national economy, with strong potential to support inclusive rural development and structural transformation.</w:t>
      </w:r>
    </w:p>
    <w:p w14:paraId="1ACF4B93" w14:textId="25695322" w:rsidR="00A3339E" w:rsidRPr="00A3339E" w:rsidRDefault="00A3339E" w:rsidP="00B960CF">
      <w:pPr>
        <w:pStyle w:val="Heading3"/>
        <w:rPr>
          <w:rFonts w:eastAsia="Google Sans"/>
          <w:i/>
          <w:iCs/>
        </w:rPr>
      </w:pPr>
      <w:bookmarkStart w:id="88" w:name="_Toc228701015"/>
      <w:r w:rsidRPr="00A3339E">
        <w:rPr>
          <w:rFonts w:eastAsia="Google Sans"/>
        </w:rPr>
        <w:t>Economic Integration and Driving Effects</w:t>
      </w:r>
      <w:bookmarkEnd w:id="88"/>
    </w:p>
    <w:p w14:paraId="671D1BBA" w14:textId="77777777" w:rsidR="007E0054" w:rsidRPr="007E0054" w:rsidRDefault="007E0054" w:rsidP="007E0054">
      <w:pPr>
        <w:pBdr>
          <w:top w:val="nil"/>
          <w:left w:val="nil"/>
          <w:bottom w:val="nil"/>
          <w:right w:val="nil"/>
          <w:between w:val="nil"/>
        </w:pBdr>
        <w:spacing w:line="275" w:lineRule="auto"/>
        <w:rPr>
          <w:rFonts w:eastAsia="Google Sans" w:cs="Open Sans"/>
          <w:sz w:val="20"/>
          <w:szCs w:val="20"/>
        </w:rPr>
      </w:pPr>
      <w:r w:rsidRPr="007E0054">
        <w:rPr>
          <w:rFonts w:eastAsia="Google Sans" w:cs="Open Sans"/>
          <w:sz w:val="20"/>
          <w:szCs w:val="20"/>
        </w:rPr>
        <w:t>The cocoa value chain in Sierra Leone exhibits a high degree of economic integration, reflecting its strong reliance on domestic productive resources. The rate of integration, defined as the ratio of total value added to value chain output, is estimated at approximately 88.5%. This indicates that a substantial share of the value generated by the value chain remains within the national economy, with relatively limited leakage through imports.</w:t>
      </w:r>
    </w:p>
    <w:p w14:paraId="62BDA6E7" w14:textId="77777777" w:rsidR="007E0054" w:rsidRPr="007E0054" w:rsidRDefault="007E0054" w:rsidP="007E0054">
      <w:pPr>
        <w:pBdr>
          <w:top w:val="nil"/>
          <w:left w:val="nil"/>
          <w:bottom w:val="nil"/>
          <w:right w:val="nil"/>
          <w:between w:val="nil"/>
        </w:pBdr>
        <w:spacing w:line="275" w:lineRule="auto"/>
        <w:rPr>
          <w:rFonts w:eastAsia="Google Sans" w:cs="Open Sans"/>
          <w:sz w:val="20"/>
          <w:szCs w:val="20"/>
        </w:rPr>
      </w:pPr>
    </w:p>
    <w:p w14:paraId="20B8E12F" w14:textId="77777777" w:rsidR="007E0054" w:rsidRPr="007E0054" w:rsidRDefault="007E0054" w:rsidP="007E0054">
      <w:pPr>
        <w:pBdr>
          <w:top w:val="nil"/>
          <w:left w:val="nil"/>
          <w:bottom w:val="nil"/>
          <w:right w:val="nil"/>
          <w:between w:val="nil"/>
        </w:pBdr>
        <w:spacing w:line="275" w:lineRule="auto"/>
        <w:rPr>
          <w:rFonts w:eastAsia="Google Sans" w:cs="Open Sans"/>
          <w:sz w:val="20"/>
          <w:szCs w:val="20"/>
        </w:rPr>
      </w:pPr>
      <w:r w:rsidRPr="007E0054">
        <w:rPr>
          <w:rFonts w:eastAsia="Google Sans" w:cs="Open Sans"/>
          <w:sz w:val="20"/>
          <w:szCs w:val="20"/>
        </w:rPr>
        <w:t xml:space="preserve">This high level of integration is largely explained by the structure of cocoa production, which is inherently </w:t>
      </w:r>
      <w:proofErr w:type="spellStart"/>
      <w:r w:rsidRPr="007E0054">
        <w:rPr>
          <w:rFonts w:eastAsia="Google Sans" w:cs="Open Sans"/>
          <w:sz w:val="20"/>
          <w:szCs w:val="20"/>
        </w:rPr>
        <w:t>labour-intensive</w:t>
      </w:r>
      <w:proofErr w:type="spellEnd"/>
      <w:r w:rsidRPr="007E0054">
        <w:rPr>
          <w:rFonts w:eastAsia="Google Sans" w:cs="Open Sans"/>
          <w:sz w:val="20"/>
          <w:szCs w:val="20"/>
        </w:rPr>
        <w:t xml:space="preserve"> and depends primarily on locally available factors, notably land and self-employed rural </w:t>
      </w:r>
      <w:proofErr w:type="spellStart"/>
      <w:r w:rsidRPr="007E0054">
        <w:rPr>
          <w:rFonts w:eastAsia="Google Sans" w:cs="Open Sans"/>
          <w:sz w:val="20"/>
          <w:szCs w:val="20"/>
        </w:rPr>
        <w:t>labour</w:t>
      </w:r>
      <w:proofErr w:type="spellEnd"/>
      <w:r w:rsidRPr="007E0054">
        <w:rPr>
          <w:rFonts w:eastAsia="Google Sans" w:cs="Open Sans"/>
          <w:sz w:val="20"/>
          <w:szCs w:val="20"/>
        </w:rPr>
        <w:t>. Unlike capital-intensive sectors that rely heavily on imported machinery, fuel, or intermediate inputs, the cocoa value chain is predominantly “inward-looking”, drawing on domestic capabilities and thus retaining value within the local economy. In monetary terms, imports of intermediate goods and services remain modest, estimated at around 336 MSLE relative to total value chain output of approximately 3,200 MSLE.</w:t>
      </w:r>
    </w:p>
    <w:p w14:paraId="6FA385D0" w14:textId="77777777" w:rsidR="007E0054" w:rsidRPr="007E0054" w:rsidRDefault="007E0054" w:rsidP="007E0054">
      <w:pPr>
        <w:pBdr>
          <w:top w:val="nil"/>
          <w:left w:val="nil"/>
          <w:bottom w:val="nil"/>
          <w:right w:val="nil"/>
          <w:between w:val="nil"/>
        </w:pBdr>
        <w:spacing w:line="275" w:lineRule="auto"/>
        <w:rPr>
          <w:rFonts w:eastAsia="Google Sans" w:cs="Open Sans"/>
          <w:sz w:val="20"/>
          <w:szCs w:val="20"/>
        </w:rPr>
      </w:pPr>
    </w:p>
    <w:p w14:paraId="44FF1642" w14:textId="27F42B5E" w:rsidR="005B595D" w:rsidRDefault="007E0054" w:rsidP="00A3339E">
      <w:pPr>
        <w:pBdr>
          <w:top w:val="nil"/>
          <w:left w:val="nil"/>
          <w:bottom w:val="nil"/>
          <w:right w:val="nil"/>
          <w:between w:val="nil"/>
        </w:pBdr>
        <w:spacing w:line="275" w:lineRule="auto"/>
        <w:rPr>
          <w:rFonts w:eastAsia="Google Sans Text" w:cs="Open Sans"/>
          <w:sz w:val="20"/>
          <w:szCs w:val="20"/>
        </w:rPr>
      </w:pPr>
      <w:r w:rsidRPr="007E0054">
        <w:rPr>
          <w:rFonts w:eastAsia="Google Sans" w:cs="Open Sans"/>
          <w:sz w:val="20"/>
          <w:szCs w:val="20"/>
        </w:rPr>
        <w:t>Overall, the cocoa value chain’s high level of domestic integration and positive multiplier effects underscore its importance as a driver of local economic activity. By relying primarily on national resources and generating limited import dependence, the sector contributes not only to value creation but also to the retention of income within the domestic economy, thereby supporting broader economic development</w:t>
      </w:r>
      <w:r w:rsidR="00A3339E" w:rsidRPr="00A3339E">
        <w:rPr>
          <w:rFonts w:eastAsia="Google Sans Text" w:cs="Open Sans"/>
          <w:sz w:val="20"/>
          <w:szCs w:val="20"/>
        </w:rPr>
        <w:t>.</w:t>
      </w:r>
    </w:p>
    <w:p w14:paraId="430320E8" w14:textId="39C496B3" w:rsidR="00A3339E" w:rsidRPr="00A3339E" w:rsidRDefault="00A3339E" w:rsidP="00B960CF">
      <w:pPr>
        <w:pStyle w:val="Heading3"/>
        <w:rPr>
          <w:rFonts w:eastAsia="Google Sans"/>
          <w:i/>
          <w:iCs/>
        </w:rPr>
      </w:pPr>
      <w:bookmarkStart w:id="89" w:name="_Toc228701016"/>
      <w:r w:rsidRPr="00A3339E">
        <w:rPr>
          <w:rFonts w:eastAsia="Google Sans"/>
        </w:rPr>
        <w:t>Contribution to Public Finances</w:t>
      </w:r>
      <w:bookmarkEnd w:id="89"/>
    </w:p>
    <w:p w14:paraId="13D5F05A" w14:textId="77777777" w:rsidR="004A1A5C" w:rsidRPr="004A1A5C" w:rsidRDefault="004A1A5C" w:rsidP="004A1A5C">
      <w:pPr>
        <w:pBdr>
          <w:top w:val="nil"/>
          <w:left w:val="nil"/>
          <w:bottom w:val="nil"/>
          <w:right w:val="nil"/>
          <w:between w:val="nil"/>
        </w:pBdr>
        <w:spacing w:line="275" w:lineRule="auto"/>
        <w:rPr>
          <w:rFonts w:eastAsia="Google Sans Text" w:cs="Open Sans"/>
          <w:sz w:val="20"/>
          <w:szCs w:val="20"/>
          <w:lang w:val="en-GB"/>
        </w:rPr>
      </w:pPr>
      <w:r w:rsidRPr="004A1A5C">
        <w:rPr>
          <w:rFonts w:eastAsia="Google Sans Text" w:cs="Open Sans"/>
          <w:sz w:val="20"/>
          <w:szCs w:val="20"/>
          <w:lang w:val="en-GB"/>
        </w:rPr>
        <w:t xml:space="preserve">The contribution of the cocoa value chain to public finances is assessed by comparing the fiscal revenues generated through its activities with any public transfers received. Based on the value chain accounts, taxes net of subsidies </w:t>
      </w:r>
      <w:proofErr w:type="gramStart"/>
      <w:r w:rsidRPr="004A1A5C">
        <w:rPr>
          <w:rFonts w:eastAsia="Google Sans Text" w:cs="Open Sans"/>
          <w:sz w:val="20"/>
          <w:szCs w:val="20"/>
          <w:lang w:val="en-GB"/>
        </w:rPr>
        <w:t>are</w:t>
      </w:r>
      <w:proofErr w:type="gramEnd"/>
      <w:r w:rsidRPr="004A1A5C">
        <w:rPr>
          <w:rFonts w:eastAsia="Google Sans Text" w:cs="Open Sans"/>
          <w:sz w:val="20"/>
          <w:szCs w:val="20"/>
          <w:lang w:val="en-GB"/>
        </w:rPr>
        <w:t xml:space="preserve"> positive, as no operating subsidies are recorded for 2025. This results in a net fiscal contribution of approximately 84.9 MSLE, combining both direct and indirect effects.</w:t>
      </w:r>
    </w:p>
    <w:p w14:paraId="11725DB4" w14:textId="77777777" w:rsidR="004A1A5C" w:rsidRPr="004A1A5C" w:rsidRDefault="004A1A5C" w:rsidP="004A1A5C">
      <w:pPr>
        <w:pBdr>
          <w:top w:val="nil"/>
          <w:left w:val="nil"/>
          <w:bottom w:val="nil"/>
          <w:right w:val="nil"/>
          <w:between w:val="nil"/>
        </w:pBdr>
        <w:spacing w:line="275" w:lineRule="auto"/>
        <w:rPr>
          <w:rFonts w:eastAsia="Google Sans Text" w:cs="Open Sans"/>
          <w:sz w:val="20"/>
          <w:szCs w:val="20"/>
          <w:lang w:val="en-GB"/>
        </w:rPr>
      </w:pPr>
    </w:p>
    <w:p w14:paraId="6B816DEC" w14:textId="77777777" w:rsidR="004A1A5C" w:rsidRPr="004A1A5C" w:rsidRDefault="004A1A5C" w:rsidP="004A1A5C">
      <w:pPr>
        <w:pBdr>
          <w:top w:val="nil"/>
          <w:left w:val="nil"/>
          <w:bottom w:val="nil"/>
          <w:right w:val="nil"/>
          <w:between w:val="nil"/>
        </w:pBdr>
        <w:spacing w:line="275" w:lineRule="auto"/>
        <w:rPr>
          <w:rFonts w:eastAsia="Google Sans Text" w:cs="Open Sans"/>
          <w:sz w:val="20"/>
          <w:szCs w:val="20"/>
          <w:lang w:val="en-GB"/>
        </w:rPr>
      </w:pPr>
      <w:r w:rsidRPr="004A1A5C">
        <w:rPr>
          <w:rFonts w:eastAsia="Google Sans Text" w:cs="Open Sans"/>
          <w:sz w:val="20"/>
          <w:szCs w:val="20"/>
          <w:lang w:val="en-GB"/>
        </w:rPr>
        <w:t xml:space="preserve">This positive fiscal balance reflects the structure of Sierra Leone’s produce export regime, under which cocoa exports are subject to regulatory oversight and taxation. Exporters are required to obtain licences and comply with quality control systems administered by the Produce Monitoring Board and the Ministry of Trade and Industry. In addition, a produce export levy of 2.5% of the </w:t>
      </w:r>
      <w:r w:rsidRPr="004A1A5C">
        <w:rPr>
          <w:rFonts w:eastAsia="Google Sans Text" w:cs="Open Sans"/>
          <w:sz w:val="20"/>
          <w:szCs w:val="20"/>
          <w:lang w:val="en-GB"/>
        </w:rPr>
        <w:lastRenderedPageBreak/>
        <w:t>free-on-board (FOB) value is applied, constituting a key source of government revenue from the sector.</w:t>
      </w:r>
    </w:p>
    <w:p w14:paraId="5F62E507" w14:textId="77777777" w:rsidR="004A1A5C" w:rsidRPr="004A1A5C" w:rsidRDefault="004A1A5C" w:rsidP="004A1A5C">
      <w:pPr>
        <w:pBdr>
          <w:top w:val="nil"/>
          <w:left w:val="nil"/>
          <w:bottom w:val="nil"/>
          <w:right w:val="nil"/>
          <w:between w:val="nil"/>
        </w:pBdr>
        <w:spacing w:line="275" w:lineRule="auto"/>
        <w:rPr>
          <w:rFonts w:eastAsia="Google Sans Text" w:cs="Open Sans"/>
          <w:sz w:val="20"/>
          <w:szCs w:val="20"/>
          <w:lang w:val="en-GB"/>
        </w:rPr>
      </w:pPr>
    </w:p>
    <w:p w14:paraId="5F73DC27" w14:textId="3798ADFA" w:rsidR="004D6635" w:rsidRPr="004D6635" w:rsidRDefault="004A1A5C" w:rsidP="004A1A5C">
      <w:pPr>
        <w:pBdr>
          <w:top w:val="nil"/>
          <w:left w:val="nil"/>
          <w:bottom w:val="nil"/>
          <w:right w:val="nil"/>
          <w:between w:val="nil"/>
        </w:pBdr>
        <w:spacing w:line="275" w:lineRule="auto"/>
        <w:rPr>
          <w:rFonts w:eastAsia="Google Sans Text" w:cs="Open Sans"/>
          <w:sz w:val="20"/>
          <w:szCs w:val="20"/>
          <w:lang w:val="en-GB"/>
        </w:rPr>
      </w:pPr>
      <w:r w:rsidRPr="004A1A5C">
        <w:rPr>
          <w:rFonts w:eastAsia="Google Sans Text" w:cs="Open Sans"/>
          <w:sz w:val="20"/>
          <w:szCs w:val="20"/>
          <w:lang w:val="en-GB"/>
        </w:rPr>
        <w:t>Overall, the cocoa value chain generates a positive net contribution to public finances, but this comes at the cost of implicit taxation on the sector. While such revenues are important for the government, they may also have implications for producer incentives and sectoral competitiveness, particularly in a context where productivity and incomes at the farm level remain constrained.</w:t>
      </w:r>
    </w:p>
    <w:p w14:paraId="6A6D35F3" w14:textId="3AE73865" w:rsidR="00A3339E" w:rsidRPr="007F27D4" w:rsidRDefault="00A3339E" w:rsidP="007F27D4">
      <w:pPr>
        <w:pStyle w:val="Heading3"/>
      </w:pPr>
      <w:bookmarkStart w:id="90" w:name="_Toc228701017"/>
      <w:r w:rsidRPr="007F27D4">
        <w:t>Contribution to the Balance of Trade</w:t>
      </w:r>
      <w:bookmarkEnd w:id="90"/>
    </w:p>
    <w:p w14:paraId="6E0D65FB" w14:textId="305600EF" w:rsidR="00AF09DE" w:rsidRPr="00AF09DE" w:rsidRDefault="00AF09DE" w:rsidP="00AF09DE">
      <w:pPr>
        <w:pBdr>
          <w:top w:val="nil"/>
          <w:left w:val="nil"/>
          <w:bottom w:val="nil"/>
          <w:right w:val="nil"/>
          <w:between w:val="nil"/>
        </w:pBdr>
        <w:spacing w:line="275" w:lineRule="auto"/>
        <w:rPr>
          <w:rFonts w:eastAsia="Google Sans Text" w:cs="Open Sans"/>
          <w:sz w:val="20"/>
          <w:szCs w:val="20"/>
        </w:rPr>
      </w:pPr>
      <w:r w:rsidRPr="00AF09DE">
        <w:rPr>
          <w:rFonts w:eastAsia="Google Sans Text" w:cs="Open Sans"/>
          <w:sz w:val="20"/>
          <w:szCs w:val="20"/>
        </w:rPr>
        <w:t>Cocoa is one of Sierra Leone’s traditional export commodities and plays a central role in generating foreign exchange earnings. The contribution of the cocoa value chain to the balance of trade is assessed by comparing export revenues with the cost of imported intermediate goods and services required for production and marketing.</w:t>
      </w:r>
      <w:r>
        <w:rPr>
          <w:rFonts w:eastAsia="Google Sans Text" w:cs="Open Sans"/>
          <w:sz w:val="20"/>
          <w:szCs w:val="20"/>
        </w:rPr>
        <w:t xml:space="preserve"> </w:t>
      </w:r>
    </w:p>
    <w:p w14:paraId="264104F5" w14:textId="1BBD7BD1" w:rsidR="00AF09DE" w:rsidRPr="00AF09DE" w:rsidRDefault="00AF09DE" w:rsidP="00AF09DE">
      <w:pPr>
        <w:pBdr>
          <w:top w:val="nil"/>
          <w:left w:val="nil"/>
          <w:bottom w:val="nil"/>
          <w:right w:val="nil"/>
          <w:between w:val="nil"/>
        </w:pBdr>
        <w:spacing w:line="275" w:lineRule="auto"/>
        <w:rPr>
          <w:rFonts w:eastAsia="Google Sans Text" w:cs="Open Sans"/>
          <w:sz w:val="20"/>
          <w:szCs w:val="20"/>
        </w:rPr>
      </w:pPr>
      <w:r w:rsidRPr="00AF09DE">
        <w:rPr>
          <w:rFonts w:eastAsia="Google Sans Text" w:cs="Open Sans"/>
          <w:sz w:val="20"/>
          <w:szCs w:val="20"/>
        </w:rPr>
        <w:t xml:space="preserve">The results indicate that the cocoa value chain makes a strongly positive contribution to the national balance of trade. Total export earnings are estimated at approximately 3,200 MSLE, while imports of intermediate goods and services remain relatively limited at around 352 MSLE. This yields a substantial trade surplus of 2,848 </w:t>
      </w:r>
      <w:r w:rsidRPr="00DF3B1B">
        <w:rPr>
          <w:rFonts w:eastAsia="Google Sans Text" w:cs="Open Sans"/>
          <w:sz w:val="20"/>
          <w:szCs w:val="20"/>
        </w:rPr>
        <w:t>MSLE</w:t>
      </w:r>
      <w:r w:rsidR="00C72910" w:rsidRPr="00DF3B1B">
        <w:rPr>
          <w:rFonts w:eastAsia="Google Sans Text" w:cs="Open Sans"/>
          <w:sz w:val="20"/>
          <w:szCs w:val="20"/>
        </w:rPr>
        <w:t xml:space="preserve"> (</w:t>
      </w:r>
      <w:r w:rsidR="00C72910" w:rsidRPr="00DF3B1B">
        <w:rPr>
          <w:rFonts w:eastAsia="Google Sans Text" w:cs="Open Sans"/>
          <w:sz w:val="20"/>
          <w:szCs w:val="20"/>
        </w:rPr>
        <w:fldChar w:fldCharType="begin"/>
      </w:r>
      <w:r w:rsidR="00C72910" w:rsidRPr="00DF3B1B">
        <w:rPr>
          <w:rFonts w:eastAsia="Google Sans Text" w:cs="Open Sans"/>
          <w:sz w:val="20"/>
          <w:szCs w:val="20"/>
        </w:rPr>
        <w:instrText xml:space="preserve"> REF _Ref227057792 \h </w:instrText>
      </w:r>
      <w:r w:rsidR="00DF3B1B">
        <w:rPr>
          <w:rFonts w:eastAsia="Google Sans Text" w:cs="Open Sans"/>
          <w:sz w:val="20"/>
          <w:szCs w:val="20"/>
        </w:rPr>
        <w:instrText xml:space="preserve"> \* MERGEFORMAT </w:instrText>
      </w:r>
      <w:r w:rsidR="00C72910" w:rsidRPr="00DF3B1B">
        <w:rPr>
          <w:rFonts w:eastAsia="Google Sans Text" w:cs="Open Sans"/>
          <w:sz w:val="20"/>
          <w:szCs w:val="20"/>
        </w:rPr>
      </w:r>
      <w:r w:rsidR="00C72910" w:rsidRPr="00DF3B1B">
        <w:rPr>
          <w:rFonts w:eastAsia="Google Sans Text" w:cs="Open Sans"/>
          <w:sz w:val="20"/>
          <w:szCs w:val="20"/>
        </w:rPr>
        <w:fldChar w:fldCharType="separate"/>
      </w:r>
      <w:r w:rsidR="00C72910" w:rsidRPr="001F42F7">
        <w:rPr>
          <w:sz w:val="20"/>
          <w:szCs w:val="20"/>
        </w:rPr>
        <w:t xml:space="preserve">Table </w:t>
      </w:r>
      <w:r w:rsidR="00C72910" w:rsidRPr="001F42F7">
        <w:rPr>
          <w:noProof/>
          <w:sz w:val="20"/>
          <w:szCs w:val="20"/>
        </w:rPr>
        <w:t>2</w:t>
      </w:r>
      <w:r w:rsidR="00C72910" w:rsidRPr="001F42F7">
        <w:rPr>
          <w:sz w:val="20"/>
          <w:szCs w:val="20"/>
        </w:rPr>
        <w:noBreakHyphen/>
      </w:r>
      <w:r w:rsidR="00C72910" w:rsidRPr="001F42F7">
        <w:rPr>
          <w:noProof/>
          <w:sz w:val="20"/>
          <w:szCs w:val="20"/>
        </w:rPr>
        <w:t>4</w:t>
      </w:r>
      <w:r w:rsidR="00C72910" w:rsidRPr="00DF3B1B">
        <w:rPr>
          <w:rFonts w:eastAsia="Google Sans Text" w:cs="Open Sans"/>
          <w:sz w:val="20"/>
          <w:szCs w:val="20"/>
        </w:rPr>
        <w:fldChar w:fldCharType="end"/>
      </w:r>
      <w:r w:rsidR="00C72910" w:rsidRPr="00DF3B1B">
        <w:rPr>
          <w:rFonts w:eastAsia="Google Sans Text" w:cs="Open Sans"/>
          <w:sz w:val="20"/>
          <w:szCs w:val="20"/>
        </w:rPr>
        <w:t>)</w:t>
      </w:r>
      <w:r w:rsidRPr="00DF3B1B">
        <w:rPr>
          <w:rFonts w:eastAsia="Google Sans Text" w:cs="Open Sans"/>
          <w:sz w:val="20"/>
          <w:szCs w:val="20"/>
        </w:rPr>
        <w:t>,</w:t>
      </w:r>
      <w:r w:rsidRPr="00AF09DE">
        <w:rPr>
          <w:rFonts w:eastAsia="Google Sans Text" w:cs="Open Sans"/>
          <w:sz w:val="20"/>
          <w:szCs w:val="20"/>
        </w:rPr>
        <w:t xml:space="preserve"> confirming the sector’s role as a net foreign exchange earner.</w:t>
      </w:r>
    </w:p>
    <w:p w14:paraId="2767E59A" w14:textId="7AA829F0" w:rsidR="00AF09DE" w:rsidRPr="00AF09DE" w:rsidRDefault="00AF09DE" w:rsidP="00AF09DE">
      <w:pPr>
        <w:pBdr>
          <w:top w:val="nil"/>
          <w:left w:val="nil"/>
          <w:bottom w:val="nil"/>
          <w:right w:val="nil"/>
          <w:between w:val="nil"/>
        </w:pBdr>
        <w:spacing w:line="275" w:lineRule="auto"/>
        <w:rPr>
          <w:rFonts w:eastAsia="Google Sans Text" w:cs="Open Sans"/>
          <w:sz w:val="20"/>
          <w:szCs w:val="20"/>
        </w:rPr>
      </w:pPr>
      <w:r w:rsidRPr="00AF09DE">
        <w:rPr>
          <w:rFonts w:eastAsia="Google Sans Text" w:cs="Open Sans"/>
          <w:sz w:val="20"/>
          <w:szCs w:val="20"/>
        </w:rPr>
        <w:t xml:space="preserve">This </w:t>
      </w:r>
      <w:proofErr w:type="spellStart"/>
      <w:r w:rsidRPr="00AF09DE">
        <w:rPr>
          <w:rFonts w:eastAsia="Google Sans Text" w:cs="Open Sans"/>
          <w:sz w:val="20"/>
          <w:szCs w:val="20"/>
        </w:rPr>
        <w:t>favourable</w:t>
      </w:r>
      <w:proofErr w:type="spellEnd"/>
      <w:r w:rsidRPr="00AF09DE">
        <w:rPr>
          <w:rFonts w:eastAsia="Google Sans Text" w:cs="Open Sans"/>
          <w:sz w:val="20"/>
          <w:szCs w:val="20"/>
        </w:rPr>
        <w:t xml:space="preserve"> trade position reflects the structural characteristics of the cocoa value chain. As a predominantly primary commodity export system, cocoa production relies largely on domestic factors of production, notably land and </w:t>
      </w:r>
      <w:proofErr w:type="spellStart"/>
      <w:r w:rsidRPr="00AF09DE">
        <w:rPr>
          <w:rFonts w:eastAsia="Google Sans Text" w:cs="Open Sans"/>
          <w:sz w:val="20"/>
          <w:szCs w:val="20"/>
        </w:rPr>
        <w:t>labour</w:t>
      </w:r>
      <w:proofErr w:type="spellEnd"/>
      <w:r w:rsidRPr="00AF09DE">
        <w:rPr>
          <w:rFonts w:eastAsia="Google Sans Text" w:cs="Open Sans"/>
          <w:sz w:val="20"/>
          <w:szCs w:val="20"/>
        </w:rPr>
        <w:t>, with relatively low dependence on imported inputs. Imports account for only around 11% of total value chain output, indicating a modest level of external input reliance. A significant share of these imports is associated with informal cross-border inflows of cocoa beans.</w:t>
      </w:r>
      <w:r w:rsidR="00133F84">
        <w:rPr>
          <w:rFonts w:eastAsia="Google Sans Text" w:cs="Open Sans"/>
          <w:sz w:val="20"/>
          <w:szCs w:val="20"/>
        </w:rPr>
        <w:t xml:space="preserve"> </w:t>
      </w:r>
    </w:p>
    <w:p w14:paraId="57DFFA11" w14:textId="77777777" w:rsidR="00AF09DE" w:rsidRPr="00AF09DE" w:rsidRDefault="00AF09DE" w:rsidP="00AF09DE">
      <w:pPr>
        <w:pBdr>
          <w:top w:val="nil"/>
          <w:left w:val="nil"/>
          <w:bottom w:val="nil"/>
          <w:right w:val="nil"/>
          <w:between w:val="nil"/>
        </w:pBdr>
        <w:spacing w:line="275" w:lineRule="auto"/>
        <w:rPr>
          <w:rFonts w:eastAsia="Google Sans Text" w:cs="Open Sans"/>
          <w:sz w:val="20"/>
          <w:szCs w:val="20"/>
        </w:rPr>
      </w:pPr>
    </w:p>
    <w:p w14:paraId="52FB2CC8" w14:textId="26F4F2D3" w:rsidR="00A3339E" w:rsidRDefault="00AF09DE" w:rsidP="00AF09DE">
      <w:pPr>
        <w:pBdr>
          <w:top w:val="nil"/>
          <w:left w:val="nil"/>
          <w:bottom w:val="nil"/>
          <w:right w:val="nil"/>
          <w:between w:val="nil"/>
        </w:pBdr>
        <w:spacing w:line="275" w:lineRule="auto"/>
        <w:rPr>
          <w:rFonts w:eastAsia="Google Sans Text" w:cs="Open Sans"/>
          <w:sz w:val="20"/>
          <w:szCs w:val="20"/>
        </w:rPr>
      </w:pPr>
      <w:r w:rsidRPr="00AF09DE">
        <w:rPr>
          <w:rFonts w:eastAsia="Google Sans Text" w:cs="Open Sans"/>
          <w:sz w:val="20"/>
          <w:szCs w:val="20"/>
        </w:rPr>
        <w:t xml:space="preserve">From a macroeconomic perspective, the cocoa value chain contributes positively to external balance by generating export revenues that significantly exceed its import requirements. This is particularly important in the context of Sierra Leone’s broader trade structure, which is </w:t>
      </w:r>
      <w:proofErr w:type="spellStart"/>
      <w:r w:rsidRPr="00AF09DE">
        <w:rPr>
          <w:rFonts w:eastAsia="Google Sans Text" w:cs="Open Sans"/>
          <w:sz w:val="20"/>
          <w:szCs w:val="20"/>
        </w:rPr>
        <w:t>characterised</w:t>
      </w:r>
      <w:proofErr w:type="spellEnd"/>
      <w:r w:rsidRPr="00AF09DE">
        <w:rPr>
          <w:rFonts w:eastAsia="Google Sans Text" w:cs="Open Sans"/>
          <w:sz w:val="20"/>
          <w:szCs w:val="20"/>
        </w:rPr>
        <w:t xml:space="preserve"> by a dependence on imports for consumption and capital goods. The cocoa sector thus provides a valuable source of foreign exchange that can help offset external imbalances.</w:t>
      </w:r>
      <w:r w:rsidR="00133F84">
        <w:rPr>
          <w:rFonts w:eastAsia="Google Sans Text" w:cs="Open Sans"/>
          <w:sz w:val="20"/>
          <w:szCs w:val="20"/>
        </w:rPr>
        <w:t xml:space="preserve"> </w:t>
      </w:r>
      <w:r w:rsidRPr="00AF09DE">
        <w:rPr>
          <w:rFonts w:eastAsia="Google Sans Text" w:cs="Open Sans"/>
          <w:sz w:val="20"/>
          <w:szCs w:val="20"/>
        </w:rPr>
        <w:t>Overall, the evidence suggests that the cocoa value chain is both export-oriented and externally competitive, generating a sizeable trade surplus while maintaining relatively low import intensity. Strengthening productivity, quality, and traceability within the sector could further enhance its capacity to contribute to external stability and economic growth.</w:t>
      </w:r>
    </w:p>
    <w:p w14:paraId="1C4867A0" w14:textId="77777777" w:rsidR="004D027A" w:rsidRPr="00A3339E" w:rsidRDefault="004D027A" w:rsidP="00A3339E">
      <w:pPr>
        <w:pBdr>
          <w:top w:val="nil"/>
          <w:left w:val="nil"/>
          <w:bottom w:val="nil"/>
          <w:right w:val="nil"/>
          <w:between w:val="nil"/>
        </w:pBdr>
        <w:spacing w:line="275" w:lineRule="auto"/>
        <w:rPr>
          <w:rFonts w:eastAsia="Google Sans Text" w:cs="Open Sans"/>
          <w:sz w:val="20"/>
          <w:szCs w:val="20"/>
        </w:rPr>
      </w:pPr>
    </w:p>
    <w:p w14:paraId="7E278E51" w14:textId="04E20354" w:rsidR="00B349CC" w:rsidRDefault="00465658" w:rsidP="00B349CC">
      <w:pPr>
        <w:pStyle w:val="Caption"/>
        <w:keepNext/>
      </w:pPr>
      <w:bookmarkStart w:id="91" w:name="_Ref204869519"/>
      <w:r>
        <w:rPr>
          <w:iCs/>
          <w:szCs w:val="20"/>
        </w:rPr>
        <w:t xml:space="preserve">                       </w:t>
      </w:r>
      <w:bookmarkStart w:id="92" w:name="_Ref227057792"/>
      <w:bookmarkStart w:id="93" w:name="_Toc228701073"/>
      <w:bookmarkEnd w:id="91"/>
      <w:r w:rsidR="00B349CC">
        <w:t xml:space="preserve">Table </w:t>
      </w:r>
      <w:fldSimple w:instr=" STYLEREF 1 \s ">
        <w:r w:rsidR="006C1C4E">
          <w:rPr>
            <w:noProof/>
          </w:rPr>
          <w:t>2</w:t>
        </w:r>
      </w:fldSimple>
      <w:r w:rsidR="006C1C4E">
        <w:noBreakHyphen/>
      </w:r>
      <w:fldSimple w:instr=" SEQ Table \* ARABIC \s 1 ">
        <w:r w:rsidR="006C1C4E">
          <w:rPr>
            <w:noProof/>
          </w:rPr>
          <w:t>4</w:t>
        </w:r>
      </w:fldSimple>
      <w:bookmarkEnd w:id="92"/>
      <w:r w:rsidR="00B349CC">
        <w:t xml:space="preserve"> </w:t>
      </w:r>
      <w:r w:rsidR="00B349CC" w:rsidRPr="00BA36B2">
        <w:t>COMPARATIVE BALANCE OF TRADE (EXPORTS VS. IMPORTS)</w:t>
      </w:r>
      <w:bookmarkEnd w:id="93"/>
    </w:p>
    <w:tbl>
      <w:tblPr>
        <w:tblW w:w="6273" w:type="dxa"/>
        <w:jc w:val="center"/>
        <w:tblLook w:val="04A0" w:firstRow="1" w:lastRow="0" w:firstColumn="1" w:lastColumn="0" w:noHBand="0" w:noVBand="1"/>
      </w:tblPr>
      <w:tblGrid>
        <w:gridCol w:w="4253"/>
        <w:gridCol w:w="2020"/>
      </w:tblGrid>
      <w:tr w:rsidR="00465658" w:rsidRPr="00A3339E" w14:paraId="59C395EE" w14:textId="77777777" w:rsidTr="00465658">
        <w:trPr>
          <w:trHeight w:val="360"/>
          <w:jc w:val="center"/>
        </w:trPr>
        <w:tc>
          <w:tcPr>
            <w:tcW w:w="4253" w:type="dxa"/>
            <w:tcBorders>
              <w:top w:val="single" w:sz="4" w:space="0" w:color="auto"/>
              <w:left w:val="nil"/>
              <w:bottom w:val="double" w:sz="6" w:space="0" w:color="auto"/>
              <w:right w:val="nil"/>
            </w:tcBorders>
            <w:vAlign w:val="center"/>
            <w:hideMark/>
          </w:tcPr>
          <w:p w14:paraId="3FFBCAC4" w14:textId="77777777"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Indicator</w:t>
            </w:r>
          </w:p>
        </w:tc>
        <w:tc>
          <w:tcPr>
            <w:tcW w:w="2020" w:type="dxa"/>
            <w:tcBorders>
              <w:top w:val="single" w:sz="4" w:space="0" w:color="auto"/>
              <w:left w:val="nil"/>
              <w:bottom w:val="double" w:sz="6" w:space="0" w:color="auto"/>
              <w:right w:val="nil"/>
            </w:tcBorders>
            <w:vAlign w:val="center"/>
            <w:hideMark/>
          </w:tcPr>
          <w:p w14:paraId="31B3CCC6" w14:textId="1914861F" w:rsidR="00465658" w:rsidRPr="00A3339E" w:rsidRDefault="00465658" w:rsidP="00C446A6">
            <w:pPr>
              <w:jc w:val="center"/>
              <w:rPr>
                <w:rFonts w:eastAsia="Times New Roman" w:cs="Open Sans"/>
                <w:sz w:val="20"/>
                <w:szCs w:val="20"/>
                <w:lang w:eastAsia="en-GB"/>
              </w:rPr>
            </w:pPr>
            <w:r w:rsidRPr="00A3339E">
              <w:rPr>
                <w:rFonts w:eastAsia="Times New Roman" w:cs="Open Sans"/>
                <w:sz w:val="20"/>
                <w:szCs w:val="20"/>
                <w:lang w:eastAsia="en-GB"/>
              </w:rPr>
              <w:t>National Co</w:t>
            </w:r>
            <w:r w:rsidR="009005B7">
              <w:rPr>
                <w:rFonts w:eastAsia="Times New Roman" w:cs="Open Sans"/>
                <w:sz w:val="20"/>
                <w:szCs w:val="20"/>
                <w:lang w:eastAsia="en-GB"/>
              </w:rPr>
              <w:t>coa</w:t>
            </w:r>
            <w:r w:rsidRPr="00A3339E">
              <w:rPr>
                <w:rFonts w:eastAsia="Times New Roman" w:cs="Open Sans"/>
                <w:sz w:val="20"/>
                <w:szCs w:val="20"/>
                <w:lang w:eastAsia="en-GB"/>
              </w:rPr>
              <w:t xml:space="preserve"> VC</w:t>
            </w:r>
          </w:p>
        </w:tc>
      </w:tr>
      <w:tr w:rsidR="00465658" w:rsidRPr="00A3339E" w14:paraId="6C0E193D" w14:textId="77777777" w:rsidTr="00465658">
        <w:trPr>
          <w:trHeight w:val="360"/>
          <w:jc w:val="center"/>
        </w:trPr>
        <w:tc>
          <w:tcPr>
            <w:tcW w:w="4253" w:type="dxa"/>
            <w:tcBorders>
              <w:top w:val="nil"/>
              <w:left w:val="nil"/>
              <w:bottom w:val="nil"/>
              <w:right w:val="nil"/>
            </w:tcBorders>
            <w:vAlign w:val="center"/>
            <w:hideMark/>
          </w:tcPr>
          <w:p w14:paraId="3F5BA8AC" w14:textId="1EBC1F04"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VC Production (</w:t>
            </w:r>
            <w:r>
              <w:rPr>
                <w:rFonts w:eastAsia="Times New Roman" w:cs="Open Sans"/>
                <w:sz w:val="20"/>
                <w:szCs w:val="20"/>
                <w:lang w:eastAsia="en-GB"/>
              </w:rPr>
              <w:t>MSLE</w:t>
            </w:r>
            <w:r w:rsidRPr="00A3339E">
              <w:rPr>
                <w:rFonts w:eastAsia="Times New Roman" w:cs="Open Sans"/>
                <w:sz w:val="20"/>
                <w:szCs w:val="20"/>
                <w:lang w:eastAsia="en-GB"/>
              </w:rPr>
              <w:t>)</w:t>
            </w:r>
          </w:p>
        </w:tc>
        <w:tc>
          <w:tcPr>
            <w:tcW w:w="2020" w:type="dxa"/>
            <w:tcBorders>
              <w:top w:val="nil"/>
              <w:left w:val="nil"/>
              <w:bottom w:val="nil"/>
              <w:right w:val="nil"/>
            </w:tcBorders>
            <w:noWrap/>
            <w:vAlign w:val="bottom"/>
            <w:hideMark/>
          </w:tcPr>
          <w:p w14:paraId="1AFCB73B" w14:textId="615410B8" w:rsidR="00465658" w:rsidRPr="00A3339E" w:rsidRDefault="00BB1E2E" w:rsidP="00C446A6">
            <w:pPr>
              <w:jc w:val="center"/>
              <w:rPr>
                <w:rFonts w:eastAsia="Times New Roman" w:cs="Open Sans"/>
                <w:sz w:val="20"/>
                <w:szCs w:val="20"/>
                <w:lang w:eastAsia="en-GB"/>
              </w:rPr>
            </w:pPr>
            <w:r>
              <w:rPr>
                <w:rFonts w:eastAsia="Times New Roman" w:cs="Open Sans"/>
                <w:sz w:val="20"/>
                <w:szCs w:val="20"/>
                <w:lang w:eastAsia="en-GB"/>
              </w:rPr>
              <w:t>3</w:t>
            </w:r>
            <w:r w:rsidR="00465658" w:rsidRPr="00A3339E">
              <w:rPr>
                <w:rFonts w:eastAsia="Times New Roman" w:cs="Open Sans"/>
                <w:sz w:val="20"/>
                <w:szCs w:val="20"/>
                <w:lang w:eastAsia="en-GB"/>
              </w:rPr>
              <w:t>,</w:t>
            </w:r>
            <w:r>
              <w:rPr>
                <w:rFonts w:eastAsia="Times New Roman" w:cs="Open Sans"/>
                <w:sz w:val="20"/>
                <w:szCs w:val="20"/>
                <w:lang w:eastAsia="en-GB"/>
              </w:rPr>
              <w:t>200</w:t>
            </w:r>
          </w:p>
        </w:tc>
      </w:tr>
      <w:tr w:rsidR="00465658" w:rsidRPr="00A3339E" w14:paraId="45626177" w14:textId="77777777" w:rsidTr="00465658">
        <w:trPr>
          <w:trHeight w:val="360"/>
          <w:jc w:val="center"/>
        </w:trPr>
        <w:tc>
          <w:tcPr>
            <w:tcW w:w="4253" w:type="dxa"/>
            <w:tcBorders>
              <w:top w:val="nil"/>
              <w:left w:val="nil"/>
              <w:bottom w:val="nil"/>
              <w:right w:val="nil"/>
            </w:tcBorders>
            <w:vAlign w:val="center"/>
            <w:hideMark/>
          </w:tcPr>
          <w:p w14:paraId="73EB2BF3" w14:textId="349CAA7F"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VC Exports (M</w:t>
            </w:r>
            <w:r>
              <w:rPr>
                <w:rFonts w:eastAsia="Times New Roman" w:cs="Open Sans"/>
                <w:sz w:val="20"/>
                <w:szCs w:val="20"/>
                <w:lang w:eastAsia="en-GB"/>
              </w:rPr>
              <w:t>SLE</w:t>
            </w:r>
            <w:r w:rsidRPr="00A3339E">
              <w:rPr>
                <w:rFonts w:eastAsia="Times New Roman" w:cs="Open Sans"/>
                <w:sz w:val="20"/>
                <w:szCs w:val="20"/>
                <w:lang w:eastAsia="en-GB"/>
              </w:rPr>
              <w:t>)</w:t>
            </w:r>
          </w:p>
        </w:tc>
        <w:tc>
          <w:tcPr>
            <w:tcW w:w="2020" w:type="dxa"/>
            <w:tcBorders>
              <w:top w:val="nil"/>
              <w:left w:val="nil"/>
              <w:bottom w:val="nil"/>
              <w:right w:val="nil"/>
            </w:tcBorders>
            <w:vAlign w:val="center"/>
            <w:hideMark/>
          </w:tcPr>
          <w:p w14:paraId="33E3CDFE" w14:textId="3485F2CB" w:rsidR="00465658" w:rsidRPr="00A3339E" w:rsidRDefault="00BB1E2E" w:rsidP="00C446A6">
            <w:pPr>
              <w:jc w:val="center"/>
              <w:rPr>
                <w:rFonts w:eastAsia="Times New Roman" w:cs="Open Sans"/>
                <w:sz w:val="20"/>
                <w:szCs w:val="20"/>
                <w:lang w:eastAsia="en-GB"/>
              </w:rPr>
            </w:pPr>
            <w:r>
              <w:rPr>
                <w:rFonts w:eastAsia="Times New Roman" w:cs="Open Sans"/>
                <w:sz w:val="20"/>
                <w:szCs w:val="20"/>
                <w:lang w:eastAsia="en-GB"/>
              </w:rPr>
              <w:t>3</w:t>
            </w:r>
            <w:r w:rsidR="00465658" w:rsidRPr="00A3339E">
              <w:rPr>
                <w:rFonts w:eastAsia="Times New Roman" w:cs="Open Sans"/>
                <w:sz w:val="20"/>
                <w:szCs w:val="20"/>
                <w:lang w:eastAsia="en-GB"/>
              </w:rPr>
              <w:t>,</w:t>
            </w:r>
            <w:r>
              <w:rPr>
                <w:rFonts w:eastAsia="Times New Roman" w:cs="Open Sans"/>
                <w:sz w:val="20"/>
                <w:szCs w:val="20"/>
                <w:lang w:eastAsia="en-GB"/>
              </w:rPr>
              <w:t>200</w:t>
            </w:r>
          </w:p>
        </w:tc>
      </w:tr>
      <w:tr w:rsidR="00465658" w:rsidRPr="00A3339E" w14:paraId="5C2D02A7" w14:textId="77777777" w:rsidTr="00465658">
        <w:trPr>
          <w:trHeight w:val="360"/>
          <w:jc w:val="center"/>
        </w:trPr>
        <w:tc>
          <w:tcPr>
            <w:tcW w:w="4253" w:type="dxa"/>
            <w:tcBorders>
              <w:top w:val="nil"/>
              <w:left w:val="nil"/>
              <w:bottom w:val="nil"/>
              <w:right w:val="nil"/>
            </w:tcBorders>
            <w:vAlign w:val="center"/>
            <w:hideMark/>
          </w:tcPr>
          <w:p w14:paraId="6A41E40D" w14:textId="5237DDAF"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VC Imports of IGS (M</w:t>
            </w:r>
            <w:r>
              <w:rPr>
                <w:rFonts w:eastAsia="Times New Roman" w:cs="Open Sans"/>
                <w:sz w:val="20"/>
                <w:szCs w:val="20"/>
                <w:lang w:eastAsia="en-GB"/>
              </w:rPr>
              <w:t>SLE</w:t>
            </w:r>
            <w:r w:rsidRPr="00A3339E">
              <w:rPr>
                <w:rFonts w:eastAsia="Times New Roman" w:cs="Open Sans"/>
                <w:sz w:val="20"/>
                <w:szCs w:val="20"/>
                <w:lang w:eastAsia="en-GB"/>
              </w:rPr>
              <w:t>)</w:t>
            </w:r>
          </w:p>
        </w:tc>
        <w:tc>
          <w:tcPr>
            <w:tcW w:w="2020" w:type="dxa"/>
            <w:tcBorders>
              <w:top w:val="nil"/>
              <w:left w:val="nil"/>
              <w:bottom w:val="nil"/>
              <w:right w:val="nil"/>
            </w:tcBorders>
            <w:vAlign w:val="center"/>
            <w:hideMark/>
          </w:tcPr>
          <w:p w14:paraId="73D56267" w14:textId="3AFF10C7" w:rsidR="00465658" w:rsidRPr="00A3339E" w:rsidRDefault="00BB1E2E" w:rsidP="00C446A6">
            <w:pPr>
              <w:jc w:val="center"/>
              <w:rPr>
                <w:rFonts w:eastAsia="Times New Roman" w:cs="Open Sans"/>
                <w:sz w:val="20"/>
                <w:szCs w:val="20"/>
                <w:lang w:eastAsia="en-GB"/>
              </w:rPr>
            </w:pPr>
            <w:r>
              <w:rPr>
                <w:rFonts w:eastAsia="Times New Roman" w:cs="Open Sans"/>
                <w:sz w:val="20"/>
                <w:szCs w:val="20"/>
                <w:lang w:eastAsia="en-GB"/>
              </w:rPr>
              <w:t>3</w:t>
            </w:r>
            <w:r w:rsidR="00E77DD9">
              <w:rPr>
                <w:rFonts w:eastAsia="Times New Roman" w:cs="Open Sans"/>
                <w:sz w:val="20"/>
                <w:szCs w:val="20"/>
                <w:lang w:eastAsia="en-GB"/>
              </w:rPr>
              <w:t>52</w:t>
            </w:r>
          </w:p>
        </w:tc>
      </w:tr>
      <w:tr w:rsidR="00465658" w:rsidRPr="00A3339E" w14:paraId="6F4C01A4" w14:textId="77777777" w:rsidTr="00465658">
        <w:trPr>
          <w:trHeight w:val="360"/>
          <w:jc w:val="center"/>
        </w:trPr>
        <w:tc>
          <w:tcPr>
            <w:tcW w:w="4253" w:type="dxa"/>
            <w:tcBorders>
              <w:top w:val="nil"/>
              <w:left w:val="nil"/>
              <w:bottom w:val="nil"/>
              <w:right w:val="nil"/>
            </w:tcBorders>
            <w:vAlign w:val="center"/>
            <w:hideMark/>
          </w:tcPr>
          <w:p w14:paraId="45CB969C" w14:textId="6B6BB815"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 xml:space="preserve">Balance of Trade (Exports - Imports, </w:t>
            </w:r>
            <w:r>
              <w:rPr>
                <w:rFonts w:eastAsia="Times New Roman" w:cs="Open Sans"/>
                <w:sz w:val="20"/>
                <w:szCs w:val="20"/>
                <w:lang w:eastAsia="en-GB"/>
              </w:rPr>
              <w:t>MSLE</w:t>
            </w:r>
            <w:r w:rsidRPr="00A3339E">
              <w:rPr>
                <w:rFonts w:eastAsia="Times New Roman" w:cs="Open Sans"/>
                <w:sz w:val="20"/>
                <w:szCs w:val="20"/>
                <w:lang w:eastAsia="en-GB"/>
              </w:rPr>
              <w:t>)</w:t>
            </w:r>
          </w:p>
        </w:tc>
        <w:tc>
          <w:tcPr>
            <w:tcW w:w="2020" w:type="dxa"/>
            <w:tcBorders>
              <w:top w:val="nil"/>
              <w:left w:val="nil"/>
              <w:bottom w:val="nil"/>
              <w:right w:val="nil"/>
            </w:tcBorders>
            <w:vAlign w:val="center"/>
            <w:hideMark/>
          </w:tcPr>
          <w:p w14:paraId="09828599" w14:textId="133DD22F" w:rsidR="00465658" w:rsidRPr="00A3339E" w:rsidRDefault="00BB1E2E" w:rsidP="00C446A6">
            <w:pPr>
              <w:jc w:val="center"/>
              <w:rPr>
                <w:rFonts w:eastAsia="Times New Roman" w:cs="Open Sans"/>
                <w:sz w:val="20"/>
                <w:szCs w:val="20"/>
                <w:lang w:eastAsia="en-GB"/>
              </w:rPr>
            </w:pPr>
            <w:r>
              <w:rPr>
                <w:rFonts w:eastAsia="Times New Roman" w:cs="Open Sans"/>
                <w:sz w:val="20"/>
                <w:szCs w:val="20"/>
                <w:lang w:eastAsia="en-GB"/>
              </w:rPr>
              <w:t>2</w:t>
            </w:r>
            <w:r w:rsidR="00465658" w:rsidRPr="00A3339E">
              <w:rPr>
                <w:rFonts w:eastAsia="Times New Roman" w:cs="Open Sans"/>
                <w:sz w:val="20"/>
                <w:szCs w:val="20"/>
                <w:lang w:eastAsia="en-GB"/>
              </w:rPr>
              <w:t>,</w:t>
            </w:r>
            <w:r w:rsidR="00E77DD9">
              <w:rPr>
                <w:rFonts w:eastAsia="Times New Roman" w:cs="Open Sans"/>
                <w:sz w:val="20"/>
                <w:szCs w:val="20"/>
                <w:lang w:eastAsia="en-GB"/>
              </w:rPr>
              <w:t>848</w:t>
            </w:r>
          </w:p>
        </w:tc>
      </w:tr>
      <w:tr w:rsidR="00465658" w:rsidRPr="00A3339E" w14:paraId="5B4F0DD6" w14:textId="77777777" w:rsidTr="00465658">
        <w:trPr>
          <w:trHeight w:val="360"/>
          <w:jc w:val="center"/>
        </w:trPr>
        <w:tc>
          <w:tcPr>
            <w:tcW w:w="4253" w:type="dxa"/>
            <w:tcBorders>
              <w:top w:val="nil"/>
              <w:left w:val="nil"/>
              <w:bottom w:val="single" w:sz="4" w:space="0" w:color="auto"/>
              <w:right w:val="nil"/>
            </w:tcBorders>
            <w:vAlign w:val="center"/>
            <w:hideMark/>
          </w:tcPr>
          <w:p w14:paraId="51E7E038" w14:textId="77777777" w:rsidR="00465658" w:rsidRPr="00A3339E" w:rsidRDefault="00465658" w:rsidP="00C446A6">
            <w:pPr>
              <w:rPr>
                <w:rFonts w:eastAsia="Times New Roman" w:cs="Open Sans"/>
                <w:sz w:val="20"/>
                <w:szCs w:val="20"/>
                <w:lang w:eastAsia="en-GB"/>
              </w:rPr>
            </w:pPr>
            <w:r w:rsidRPr="00A3339E">
              <w:rPr>
                <w:rFonts w:eastAsia="Times New Roman" w:cs="Open Sans"/>
                <w:sz w:val="20"/>
                <w:szCs w:val="20"/>
                <w:lang w:eastAsia="en-GB"/>
              </w:rPr>
              <w:t>Total Imports/VC Production (%)</w:t>
            </w:r>
          </w:p>
        </w:tc>
        <w:tc>
          <w:tcPr>
            <w:tcW w:w="2020" w:type="dxa"/>
            <w:tcBorders>
              <w:top w:val="nil"/>
              <w:left w:val="nil"/>
              <w:bottom w:val="single" w:sz="4" w:space="0" w:color="auto"/>
              <w:right w:val="nil"/>
            </w:tcBorders>
            <w:noWrap/>
            <w:vAlign w:val="bottom"/>
            <w:hideMark/>
          </w:tcPr>
          <w:p w14:paraId="7C54C679" w14:textId="5D3A36E8" w:rsidR="00465658" w:rsidRPr="00A3339E" w:rsidRDefault="00E77DD9" w:rsidP="00C446A6">
            <w:pPr>
              <w:jc w:val="center"/>
              <w:rPr>
                <w:rFonts w:eastAsia="Times New Roman" w:cs="Open Sans"/>
                <w:sz w:val="20"/>
                <w:szCs w:val="20"/>
                <w:lang w:eastAsia="en-GB"/>
              </w:rPr>
            </w:pPr>
            <w:r>
              <w:rPr>
                <w:rFonts w:eastAsia="Times New Roman" w:cs="Open Sans"/>
                <w:sz w:val="20"/>
                <w:szCs w:val="20"/>
                <w:lang w:eastAsia="en-GB"/>
              </w:rPr>
              <w:t>11</w:t>
            </w:r>
            <w:r w:rsidR="00465658" w:rsidRPr="00A3339E">
              <w:rPr>
                <w:rFonts w:eastAsia="Times New Roman" w:cs="Open Sans"/>
                <w:sz w:val="20"/>
                <w:szCs w:val="20"/>
                <w:lang w:eastAsia="en-GB"/>
              </w:rPr>
              <w:t>%</w:t>
            </w:r>
          </w:p>
        </w:tc>
      </w:tr>
    </w:tbl>
    <w:p w14:paraId="02D2AA94" w14:textId="77777777" w:rsidR="00A3339E" w:rsidRPr="00A3339E" w:rsidRDefault="00A3339E" w:rsidP="00A3339E">
      <w:pPr>
        <w:rPr>
          <w:rFonts w:cs="Open Sans"/>
          <w:sz w:val="20"/>
          <w:szCs w:val="20"/>
        </w:rPr>
      </w:pPr>
    </w:p>
    <w:p w14:paraId="58077A58" w14:textId="77777777" w:rsidR="004D027A" w:rsidRPr="00A3339E" w:rsidRDefault="004D027A" w:rsidP="00A3339E">
      <w:pPr>
        <w:rPr>
          <w:rFonts w:cs="Open Sans"/>
          <w:b/>
          <w:bCs/>
          <w:sz w:val="20"/>
          <w:szCs w:val="20"/>
        </w:rPr>
      </w:pPr>
    </w:p>
    <w:p w14:paraId="3AE5DE1E" w14:textId="3C9D9A8D" w:rsidR="00A3339E" w:rsidRPr="007F27D4" w:rsidRDefault="00A3339E" w:rsidP="007F27D4">
      <w:pPr>
        <w:pStyle w:val="Heading3"/>
      </w:pPr>
      <w:bookmarkStart w:id="94" w:name="_Toc228701018"/>
      <w:r w:rsidRPr="007F27D4">
        <w:t>Competitiveness and Viability within the International Economy</w:t>
      </w:r>
      <w:bookmarkEnd w:id="94"/>
    </w:p>
    <w:p w14:paraId="266E24FF" w14:textId="7F975716" w:rsidR="00B26766" w:rsidRDefault="00B26766" w:rsidP="00B26766">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 xml:space="preserve">The international competitiveness and economic viability of the cocoa value chain are assessed using the Nominal Protection Coefficient (NPC) and the Domestic Resource Cost (DRC) ratio </w:t>
      </w:r>
      <w:r w:rsidRPr="00161868">
        <w:rPr>
          <w:rFonts w:eastAsia="Google Sans Text" w:cs="Open Sans"/>
          <w:sz w:val="20"/>
          <w:szCs w:val="20"/>
        </w:rPr>
        <w:t>(</w:t>
      </w:r>
      <w:r w:rsidR="00C72910" w:rsidRPr="00161868">
        <w:rPr>
          <w:rFonts w:eastAsia="Google Sans Text" w:cs="Open Sans"/>
          <w:sz w:val="20"/>
          <w:szCs w:val="20"/>
        </w:rPr>
        <w:fldChar w:fldCharType="begin"/>
      </w:r>
      <w:r w:rsidR="00C72910" w:rsidRPr="00161868">
        <w:rPr>
          <w:rFonts w:eastAsia="Google Sans Text" w:cs="Open Sans"/>
          <w:sz w:val="20"/>
          <w:szCs w:val="20"/>
        </w:rPr>
        <w:instrText xml:space="preserve"> REF _Ref227057830 \h </w:instrText>
      </w:r>
      <w:r w:rsidR="00161868">
        <w:rPr>
          <w:rFonts w:eastAsia="Google Sans Text" w:cs="Open Sans"/>
          <w:sz w:val="20"/>
          <w:szCs w:val="20"/>
        </w:rPr>
        <w:instrText xml:space="preserve"> \* MERGEFORMAT </w:instrText>
      </w:r>
      <w:r w:rsidR="00C72910" w:rsidRPr="00161868">
        <w:rPr>
          <w:rFonts w:eastAsia="Google Sans Text" w:cs="Open Sans"/>
          <w:sz w:val="20"/>
          <w:szCs w:val="20"/>
        </w:rPr>
      </w:r>
      <w:r w:rsidR="00C72910" w:rsidRPr="00161868">
        <w:rPr>
          <w:rFonts w:eastAsia="Google Sans Text" w:cs="Open Sans"/>
          <w:sz w:val="20"/>
          <w:szCs w:val="20"/>
        </w:rPr>
        <w:fldChar w:fldCharType="separate"/>
      </w:r>
      <w:r w:rsidR="00C72910" w:rsidRPr="001F42F7">
        <w:rPr>
          <w:sz w:val="20"/>
          <w:szCs w:val="20"/>
        </w:rPr>
        <w:t xml:space="preserve">Table </w:t>
      </w:r>
      <w:r w:rsidR="00C72910" w:rsidRPr="001F42F7">
        <w:rPr>
          <w:noProof/>
          <w:sz w:val="20"/>
          <w:szCs w:val="20"/>
        </w:rPr>
        <w:t>2</w:t>
      </w:r>
      <w:r w:rsidR="00C72910" w:rsidRPr="001F42F7">
        <w:rPr>
          <w:sz w:val="20"/>
          <w:szCs w:val="20"/>
        </w:rPr>
        <w:noBreakHyphen/>
      </w:r>
      <w:r w:rsidR="00C72910" w:rsidRPr="001F42F7">
        <w:rPr>
          <w:noProof/>
          <w:sz w:val="20"/>
          <w:szCs w:val="20"/>
        </w:rPr>
        <w:t>5</w:t>
      </w:r>
      <w:r w:rsidR="00C72910" w:rsidRPr="00161868">
        <w:rPr>
          <w:rFonts w:eastAsia="Google Sans Text" w:cs="Open Sans"/>
          <w:sz w:val="20"/>
          <w:szCs w:val="20"/>
        </w:rPr>
        <w:fldChar w:fldCharType="end"/>
      </w:r>
      <w:r w:rsidRPr="00161868">
        <w:rPr>
          <w:rFonts w:eastAsia="Google Sans Text" w:cs="Open Sans"/>
          <w:sz w:val="20"/>
          <w:szCs w:val="20"/>
        </w:rPr>
        <w:t>).</w:t>
      </w:r>
      <w:r w:rsidRPr="00B26766">
        <w:rPr>
          <w:rFonts w:eastAsia="Google Sans Text" w:cs="Open Sans"/>
          <w:sz w:val="20"/>
          <w:szCs w:val="20"/>
        </w:rPr>
        <w:t xml:space="preserve"> These indicators compare domestic market outcomes with international benchmarks, providing insight into price distortions and the efficiency of domestic resource use in generating foreign exchange.</w:t>
      </w:r>
    </w:p>
    <w:p w14:paraId="6922F91D" w14:textId="77777777" w:rsidR="00B26766" w:rsidRPr="00B26766" w:rsidRDefault="00B26766" w:rsidP="00B26766">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The NPC measures the ratio between the domestic price received by producers and the corresponding international (parity) price. An NPC below unity indicates that domestic prices are lower than world prices, implying an implicit tax on producers, while an NPC above unity suggests protection or subsidy. For the Sierra Leone cocoa value chain, the NPC is estimated at 0.98, indicating that domestic prices are closely aligned with international levels but remain marginally lower. This suggests a modest implicit taxation of producers, consistent with the presence of an export levy.</w:t>
      </w:r>
    </w:p>
    <w:p w14:paraId="245E508C" w14:textId="77777777" w:rsidR="00B26766" w:rsidRPr="00B26766" w:rsidRDefault="00B26766" w:rsidP="00B26766">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This interpretation is reinforced by the Effective Protection Coefficient (EPC), estimated at 0.97, which accounts for distortions affecting both outputs and intermediate inputs. The EPC confirms that, on balance, the policy environment imposes a slight net disincentive relative to a counterfactual scenario of undistorted prices. The policy analysis matrix further indicates a negative divergence of 164 MSLE between profits at market and parity prices, reflecting a net transfer from the value chain to the broader economy. Despite this, the sector remains macroeconomically efficient, generating more value than it consumes in terms of tradable resources.</w:t>
      </w:r>
    </w:p>
    <w:p w14:paraId="585497BC" w14:textId="77777777" w:rsidR="00B26766" w:rsidRPr="00B26766" w:rsidRDefault="00B26766" w:rsidP="00B26766">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The DRC provides a more comprehensive measure of economic efficiency by comparing the opportunity cost of domestic factors (</w:t>
      </w:r>
      <w:proofErr w:type="spellStart"/>
      <w:r w:rsidRPr="00B26766">
        <w:rPr>
          <w:rFonts w:eastAsia="Google Sans Text" w:cs="Open Sans"/>
          <w:sz w:val="20"/>
          <w:szCs w:val="20"/>
        </w:rPr>
        <w:t>labour</w:t>
      </w:r>
      <w:proofErr w:type="spellEnd"/>
      <w:r w:rsidRPr="00B26766">
        <w:rPr>
          <w:rFonts w:eastAsia="Google Sans Text" w:cs="Open Sans"/>
          <w:sz w:val="20"/>
          <w:szCs w:val="20"/>
        </w:rPr>
        <w:t xml:space="preserve"> and capital) with the value added at international prices. A DRC value below one indicates that domestic production uses resources efficiently relative to international alternatives. The estimated DRC of 0.10 for the Sierra Leone cocoa value chain indicates a strong comparative advantage, suggesting that the country can produce cocoa at a significantly lower cost than the foreign exchange it earns from exports.</w:t>
      </w:r>
    </w:p>
    <w:p w14:paraId="404DFEA8" w14:textId="77777777" w:rsidR="00B26766" w:rsidRPr="00B26766" w:rsidRDefault="00B26766" w:rsidP="00B26766">
      <w:pPr>
        <w:pBdr>
          <w:top w:val="nil"/>
          <w:left w:val="nil"/>
          <w:bottom w:val="nil"/>
          <w:right w:val="nil"/>
          <w:between w:val="nil"/>
        </w:pBdr>
        <w:spacing w:line="275" w:lineRule="auto"/>
        <w:rPr>
          <w:rFonts w:eastAsia="Google Sans Text" w:cs="Open Sans"/>
          <w:sz w:val="20"/>
          <w:szCs w:val="20"/>
        </w:rPr>
      </w:pPr>
    </w:p>
    <w:p w14:paraId="0B2F5A70" w14:textId="77777777" w:rsidR="00B26766" w:rsidRPr="00B26766" w:rsidRDefault="00B26766" w:rsidP="00B26766">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 xml:space="preserve">This high level of efficiency is closely linked to the structural characteristics of the sector. Cocoa production relies predominantly on low-cost domestic factors, particularly manual </w:t>
      </w:r>
      <w:proofErr w:type="spellStart"/>
      <w:r w:rsidRPr="00B26766">
        <w:rPr>
          <w:rFonts w:eastAsia="Google Sans Text" w:cs="Open Sans"/>
          <w:sz w:val="20"/>
          <w:szCs w:val="20"/>
        </w:rPr>
        <w:t>labour</w:t>
      </w:r>
      <w:proofErr w:type="spellEnd"/>
      <w:r w:rsidRPr="00B26766">
        <w:rPr>
          <w:rFonts w:eastAsia="Google Sans Text" w:cs="Open Sans"/>
          <w:sz w:val="20"/>
          <w:szCs w:val="20"/>
        </w:rPr>
        <w:t xml:space="preserve"> and land, with minimal dependence on imported capital or inputs. In addition, the largely low-input, agroforestry-based production system reduces exposure to imported agrochemicals, limiting foreign exchange outflows. At the same time, these production practices position Sierra Leone </w:t>
      </w:r>
      <w:proofErr w:type="spellStart"/>
      <w:r w:rsidRPr="00B26766">
        <w:rPr>
          <w:rFonts w:eastAsia="Google Sans Text" w:cs="Open Sans"/>
          <w:sz w:val="20"/>
          <w:szCs w:val="20"/>
        </w:rPr>
        <w:t>favourably</w:t>
      </w:r>
      <w:proofErr w:type="spellEnd"/>
      <w:r w:rsidRPr="00B26766">
        <w:rPr>
          <w:rFonts w:eastAsia="Google Sans Text" w:cs="Open Sans"/>
          <w:sz w:val="20"/>
          <w:szCs w:val="20"/>
        </w:rPr>
        <w:t xml:space="preserve"> within organic and specialty cocoa markets, particularly in Europe, where demand for sustainably produced cocoa commands price premiums.</w:t>
      </w:r>
    </w:p>
    <w:p w14:paraId="40876567" w14:textId="16226FA7" w:rsidR="00A3339E" w:rsidRPr="00A3339E" w:rsidRDefault="00B26766" w:rsidP="00A3339E">
      <w:pPr>
        <w:pBdr>
          <w:top w:val="nil"/>
          <w:left w:val="nil"/>
          <w:bottom w:val="nil"/>
          <w:right w:val="nil"/>
          <w:between w:val="nil"/>
        </w:pBdr>
        <w:spacing w:line="275" w:lineRule="auto"/>
        <w:rPr>
          <w:rFonts w:eastAsia="Google Sans Text" w:cs="Open Sans"/>
          <w:sz w:val="20"/>
          <w:szCs w:val="20"/>
        </w:rPr>
      </w:pPr>
      <w:r w:rsidRPr="00B26766">
        <w:rPr>
          <w:rFonts w:eastAsia="Google Sans Text" w:cs="Open Sans"/>
          <w:sz w:val="20"/>
          <w:szCs w:val="20"/>
        </w:rPr>
        <w:t>Overall, the evidence suggests that the Sierra Leone cocoa value chain is internationally competitive and economically viable, despite the presence of modest policy-induced distortions. The combination of low domestic production costs, limited import dependence, and access to high-value export markets underpins a strong comparative advantage. Strengthening productivity, quality differentiation, and compliance with emerging international standards could further enhance the sector’s competitiveness and long-term sustainability</w:t>
      </w:r>
      <w:r w:rsidR="009105FF" w:rsidRPr="009105FF">
        <w:rPr>
          <w:rFonts w:eastAsia="Google Sans Text" w:cs="Open Sans"/>
          <w:sz w:val="20"/>
          <w:szCs w:val="20"/>
        </w:rPr>
        <w:t>.</w:t>
      </w:r>
    </w:p>
    <w:p w14:paraId="2549F8C3" w14:textId="77777777" w:rsidR="00A3339E" w:rsidRPr="00A3339E" w:rsidRDefault="00A3339E" w:rsidP="00A3339E">
      <w:pPr>
        <w:pBdr>
          <w:top w:val="nil"/>
          <w:left w:val="nil"/>
          <w:bottom w:val="nil"/>
          <w:right w:val="nil"/>
          <w:between w:val="nil"/>
        </w:pBdr>
        <w:spacing w:line="275" w:lineRule="auto"/>
        <w:rPr>
          <w:rFonts w:eastAsia="Google Sans Text" w:cs="Open Sans"/>
          <w:sz w:val="20"/>
          <w:szCs w:val="20"/>
        </w:rPr>
      </w:pPr>
    </w:p>
    <w:p w14:paraId="79A9F2AE" w14:textId="62F104B8" w:rsidR="00B349CC" w:rsidRDefault="00DD6CE8" w:rsidP="00B349CC">
      <w:pPr>
        <w:pStyle w:val="Caption"/>
        <w:keepNext/>
      </w:pPr>
      <w:bookmarkStart w:id="95" w:name="_Ref204869704"/>
      <w:r>
        <w:rPr>
          <w:iCs/>
          <w:szCs w:val="20"/>
        </w:rPr>
        <w:t xml:space="preserve">                                </w:t>
      </w:r>
      <w:bookmarkStart w:id="96" w:name="_Ref227057830"/>
      <w:bookmarkStart w:id="97" w:name="_Toc228701074"/>
      <w:bookmarkEnd w:id="95"/>
      <w:r w:rsidR="00B349CC">
        <w:t xml:space="preserve">Table </w:t>
      </w:r>
      <w:fldSimple w:instr=" STYLEREF 1 \s ">
        <w:r w:rsidR="006C1C4E">
          <w:rPr>
            <w:noProof/>
          </w:rPr>
          <w:t>2</w:t>
        </w:r>
      </w:fldSimple>
      <w:r w:rsidR="006C1C4E">
        <w:noBreakHyphen/>
      </w:r>
      <w:fldSimple w:instr=" SEQ Table \* ARABIC \s 1 ">
        <w:r w:rsidR="006C1C4E">
          <w:rPr>
            <w:noProof/>
          </w:rPr>
          <w:t>5</w:t>
        </w:r>
      </w:fldSimple>
      <w:bookmarkEnd w:id="96"/>
      <w:r w:rsidR="00B349CC">
        <w:t xml:space="preserve"> </w:t>
      </w:r>
      <w:r w:rsidR="00B349CC" w:rsidRPr="001E0AF3">
        <w:t>INTERNATIONAL VIABILITY INDICATORS (NPC, DRC)</w:t>
      </w:r>
      <w:bookmarkEnd w:id="97"/>
    </w:p>
    <w:tbl>
      <w:tblPr>
        <w:tblW w:w="5980" w:type="dxa"/>
        <w:jc w:val="center"/>
        <w:tblLook w:val="04A0" w:firstRow="1" w:lastRow="0" w:firstColumn="1" w:lastColumn="0" w:noHBand="0" w:noVBand="1"/>
      </w:tblPr>
      <w:tblGrid>
        <w:gridCol w:w="3860"/>
        <w:gridCol w:w="2120"/>
      </w:tblGrid>
      <w:tr w:rsidR="009105FF" w:rsidRPr="00A3339E" w14:paraId="6A0FF578" w14:textId="77777777" w:rsidTr="00DD6CE8">
        <w:trPr>
          <w:trHeight w:val="330"/>
          <w:jc w:val="center"/>
        </w:trPr>
        <w:tc>
          <w:tcPr>
            <w:tcW w:w="3860" w:type="dxa"/>
            <w:tcBorders>
              <w:top w:val="single" w:sz="4" w:space="0" w:color="auto"/>
              <w:left w:val="nil"/>
              <w:bottom w:val="double" w:sz="6" w:space="0" w:color="auto"/>
              <w:right w:val="nil"/>
            </w:tcBorders>
            <w:vAlign w:val="center"/>
            <w:hideMark/>
          </w:tcPr>
          <w:p w14:paraId="1E6A7EE2"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Indicator</w:t>
            </w:r>
          </w:p>
        </w:tc>
        <w:tc>
          <w:tcPr>
            <w:tcW w:w="2120" w:type="dxa"/>
            <w:tcBorders>
              <w:top w:val="single" w:sz="4" w:space="0" w:color="auto"/>
              <w:left w:val="nil"/>
              <w:bottom w:val="double" w:sz="6" w:space="0" w:color="auto"/>
              <w:right w:val="nil"/>
            </w:tcBorders>
            <w:vAlign w:val="center"/>
            <w:hideMark/>
          </w:tcPr>
          <w:p w14:paraId="697FE20D" w14:textId="1E879DD7" w:rsidR="009105FF" w:rsidRPr="00A3339E" w:rsidRDefault="009105FF" w:rsidP="00C446A6">
            <w:pPr>
              <w:jc w:val="center"/>
              <w:rPr>
                <w:rFonts w:eastAsia="Times New Roman" w:cs="Open Sans"/>
                <w:color w:val="000000"/>
                <w:sz w:val="20"/>
                <w:szCs w:val="20"/>
                <w:lang w:eastAsia="en-GB"/>
              </w:rPr>
            </w:pPr>
            <w:r w:rsidRPr="00A3339E">
              <w:rPr>
                <w:rFonts w:eastAsia="Times New Roman" w:cs="Open Sans"/>
                <w:color w:val="000000"/>
                <w:sz w:val="20"/>
                <w:szCs w:val="20"/>
                <w:lang w:eastAsia="en-GB"/>
              </w:rPr>
              <w:t xml:space="preserve">National </w:t>
            </w:r>
            <w:r>
              <w:rPr>
                <w:rFonts w:eastAsia="Times New Roman" w:cs="Open Sans"/>
                <w:color w:val="000000"/>
                <w:sz w:val="20"/>
                <w:szCs w:val="20"/>
                <w:lang w:eastAsia="en-GB"/>
              </w:rPr>
              <w:t>Cocoa</w:t>
            </w:r>
            <w:r w:rsidRPr="00A3339E">
              <w:rPr>
                <w:rFonts w:eastAsia="Times New Roman" w:cs="Open Sans"/>
                <w:color w:val="000000"/>
                <w:sz w:val="20"/>
                <w:szCs w:val="20"/>
                <w:lang w:eastAsia="en-GB"/>
              </w:rPr>
              <w:t xml:space="preserve"> VC</w:t>
            </w:r>
          </w:p>
        </w:tc>
      </w:tr>
      <w:tr w:rsidR="009105FF" w:rsidRPr="00A3339E" w14:paraId="4A7BF6E9" w14:textId="77777777" w:rsidTr="00DD6CE8">
        <w:trPr>
          <w:trHeight w:val="330"/>
          <w:jc w:val="center"/>
        </w:trPr>
        <w:tc>
          <w:tcPr>
            <w:tcW w:w="3860" w:type="dxa"/>
            <w:tcBorders>
              <w:top w:val="nil"/>
              <w:left w:val="nil"/>
              <w:bottom w:val="nil"/>
              <w:right w:val="nil"/>
            </w:tcBorders>
            <w:vAlign w:val="center"/>
            <w:hideMark/>
          </w:tcPr>
          <w:p w14:paraId="0148FA41"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Profit at market price</w:t>
            </w:r>
          </w:p>
        </w:tc>
        <w:tc>
          <w:tcPr>
            <w:tcW w:w="2120" w:type="dxa"/>
            <w:tcBorders>
              <w:top w:val="nil"/>
              <w:left w:val="nil"/>
              <w:bottom w:val="nil"/>
              <w:right w:val="nil"/>
            </w:tcBorders>
            <w:vAlign w:val="center"/>
            <w:hideMark/>
          </w:tcPr>
          <w:p w14:paraId="5E1AF027" w14:textId="629128A8" w:rsidR="009105FF" w:rsidRPr="00A3339E" w:rsidRDefault="009105FF" w:rsidP="00C446A6">
            <w:pPr>
              <w:jc w:val="center"/>
              <w:rPr>
                <w:rFonts w:eastAsia="Times New Roman" w:cs="Open Sans"/>
                <w:color w:val="000000"/>
                <w:sz w:val="20"/>
                <w:szCs w:val="20"/>
                <w:lang w:eastAsia="en-GB"/>
              </w:rPr>
            </w:pPr>
            <w:r>
              <w:rPr>
                <w:rFonts w:eastAsia="Times New Roman" w:cs="Open Sans"/>
                <w:color w:val="000000"/>
                <w:sz w:val="20"/>
                <w:szCs w:val="20"/>
                <w:lang w:eastAsia="en-GB"/>
              </w:rPr>
              <w:t>2</w:t>
            </w:r>
            <w:r w:rsidR="006A1501">
              <w:rPr>
                <w:rFonts w:eastAsia="Times New Roman" w:cs="Open Sans"/>
                <w:color w:val="000000"/>
                <w:sz w:val="20"/>
                <w:szCs w:val="20"/>
                <w:lang w:eastAsia="en-GB"/>
              </w:rPr>
              <w:t>,</w:t>
            </w:r>
            <w:r>
              <w:rPr>
                <w:rFonts w:eastAsia="Times New Roman" w:cs="Open Sans"/>
                <w:color w:val="000000"/>
                <w:sz w:val="20"/>
                <w:szCs w:val="20"/>
                <w:lang w:eastAsia="en-GB"/>
              </w:rPr>
              <w:t>454</w:t>
            </w:r>
          </w:p>
        </w:tc>
      </w:tr>
      <w:tr w:rsidR="009105FF" w:rsidRPr="00A3339E" w14:paraId="52D493C1" w14:textId="77777777" w:rsidTr="00DD6CE8">
        <w:trPr>
          <w:trHeight w:val="330"/>
          <w:jc w:val="center"/>
        </w:trPr>
        <w:tc>
          <w:tcPr>
            <w:tcW w:w="3860" w:type="dxa"/>
            <w:tcBorders>
              <w:top w:val="nil"/>
              <w:left w:val="nil"/>
              <w:bottom w:val="nil"/>
              <w:right w:val="nil"/>
            </w:tcBorders>
            <w:vAlign w:val="center"/>
            <w:hideMark/>
          </w:tcPr>
          <w:p w14:paraId="10BC3452"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Profit at parity price</w:t>
            </w:r>
          </w:p>
        </w:tc>
        <w:tc>
          <w:tcPr>
            <w:tcW w:w="2120" w:type="dxa"/>
            <w:tcBorders>
              <w:top w:val="nil"/>
              <w:left w:val="nil"/>
              <w:bottom w:val="nil"/>
              <w:right w:val="nil"/>
            </w:tcBorders>
            <w:vAlign w:val="center"/>
            <w:hideMark/>
          </w:tcPr>
          <w:p w14:paraId="71F15847" w14:textId="60AE2136" w:rsidR="009105FF" w:rsidRPr="00A3339E" w:rsidRDefault="009105FF" w:rsidP="00C446A6">
            <w:pPr>
              <w:jc w:val="center"/>
              <w:rPr>
                <w:rFonts w:eastAsia="Times New Roman" w:cs="Open Sans"/>
                <w:color w:val="000000"/>
                <w:sz w:val="20"/>
                <w:szCs w:val="20"/>
                <w:lang w:eastAsia="en-GB"/>
              </w:rPr>
            </w:pPr>
            <w:r>
              <w:rPr>
                <w:rFonts w:eastAsia="Times New Roman" w:cs="Open Sans"/>
                <w:color w:val="000000"/>
                <w:sz w:val="20"/>
                <w:szCs w:val="20"/>
                <w:lang w:eastAsia="en-GB"/>
              </w:rPr>
              <w:t>2</w:t>
            </w:r>
            <w:r w:rsidR="006A1501">
              <w:rPr>
                <w:rFonts w:eastAsia="Times New Roman" w:cs="Open Sans"/>
                <w:color w:val="000000"/>
                <w:sz w:val="20"/>
                <w:szCs w:val="20"/>
                <w:lang w:eastAsia="en-GB"/>
              </w:rPr>
              <w:t>,</w:t>
            </w:r>
            <w:r>
              <w:rPr>
                <w:rFonts w:eastAsia="Times New Roman" w:cs="Open Sans"/>
                <w:color w:val="000000"/>
                <w:sz w:val="20"/>
                <w:szCs w:val="20"/>
                <w:lang w:eastAsia="en-GB"/>
              </w:rPr>
              <w:t>618</w:t>
            </w:r>
          </w:p>
        </w:tc>
      </w:tr>
      <w:tr w:rsidR="009105FF" w:rsidRPr="00A3339E" w14:paraId="5FC1BBBD" w14:textId="77777777" w:rsidTr="00DD6CE8">
        <w:trPr>
          <w:trHeight w:val="330"/>
          <w:jc w:val="center"/>
        </w:trPr>
        <w:tc>
          <w:tcPr>
            <w:tcW w:w="3860" w:type="dxa"/>
            <w:tcBorders>
              <w:top w:val="nil"/>
              <w:left w:val="nil"/>
              <w:bottom w:val="nil"/>
              <w:right w:val="nil"/>
            </w:tcBorders>
            <w:vAlign w:val="center"/>
            <w:hideMark/>
          </w:tcPr>
          <w:p w14:paraId="4035259C"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Divergence</w:t>
            </w:r>
          </w:p>
        </w:tc>
        <w:tc>
          <w:tcPr>
            <w:tcW w:w="2120" w:type="dxa"/>
            <w:tcBorders>
              <w:top w:val="nil"/>
              <w:left w:val="nil"/>
              <w:bottom w:val="nil"/>
              <w:right w:val="nil"/>
            </w:tcBorders>
            <w:vAlign w:val="center"/>
            <w:hideMark/>
          </w:tcPr>
          <w:p w14:paraId="5C3B087E" w14:textId="71D2EFF9" w:rsidR="009105FF" w:rsidRPr="00A3339E" w:rsidRDefault="009105FF" w:rsidP="00C446A6">
            <w:pPr>
              <w:jc w:val="center"/>
              <w:rPr>
                <w:rFonts w:eastAsia="Times New Roman" w:cs="Open Sans"/>
                <w:color w:val="000000"/>
                <w:sz w:val="20"/>
                <w:szCs w:val="20"/>
                <w:lang w:eastAsia="en-GB"/>
              </w:rPr>
            </w:pPr>
            <w:r>
              <w:rPr>
                <w:rFonts w:eastAsia="Times New Roman" w:cs="Open Sans"/>
                <w:color w:val="000000"/>
                <w:sz w:val="20"/>
                <w:szCs w:val="20"/>
                <w:lang w:eastAsia="en-GB"/>
              </w:rPr>
              <w:t>-164</w:t>
            </w:r>
          </w:p>
        </w:tc>
      </w:tr>
      <w:tr w:rsidR="009105FF" w:rsidRPr="00A3339E" w14:paraId="5A1DE13A" w14:textId="77777777" w:rsidTr="00DD6CE8">
        <w:trPr>
          <w:trHeight w:val="330"/>
          <w:jc w:val="center"/>
        </w:trPr>
        <w:tc>
          <w:tcPr>
            <w:tcW w:w="3860" w:type="dxa"/>
            <w:tcBorders>
              <w:top w:val="nil"/>
              <w:left w:val="nil"/>
              <w:bottom w:val="nil"/>
              <w:right w:val="nil"/>
            </w:tcBorders>
            <w:vAlign w:val="center"/>
            <w:hideMark/>
          </w:tcPr>
          <w:p w14:paraId="264C2611"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Nominal Protection Coefficient (NPC)</w:t>
            </w:r>
          </w:p>
        </w:tc>
        <w:tc>
          <w:tcPr>
            <w:tcW w:w="2120" w:type="dxa"/>
            <w:tcBorders>
              <w:top w:val="nil"/>
              <w:left w:val="nil"/>
              <w:bottom w:val="nil"/>
              <w:right w:val="nil"/>
            </w:tcBorders>
            <w:noWrap/>
            <w:vAlign w:val="bottom"/>
            <w:hideMark/>
          </w:tcPr>
          <w:p w14:paraId="06ADF1B2" w14:textId="39D5D31C" w:rsidR="009105FF" w:rsidRPr="00A3339E" w:rsidRDefault="009105FF" w:rsidP="00C446A6">
            <w:pPr>
              <w:jc w:val="center"/>
              <w:rPr>
                <w:rFonts w:eastAsia="Times New Roman" w:cs="Open Sans"/>
                <w:color w:val="000000"/>
                <w:sz w:val="20"/>
                <w:szCs w:val="20"/>
                <w:lang w:eastAsia="en-GB"/>
              </w:rPr>
            </w:pPr>
            <w:r>
              <w:rPr>
                <w:rFonts w:eastAsia="Times New Roman" w:cs="Open Sans"/>
                <w:color w:val="000000"/>
                <w:sz w:val="20"/>
                <w:szCs w:val="20"/>
                <w:lang w:eastAsia="en-GB"/>
              </w:rPr>
              <w:t>0.98</w:t>
            </w:r>
          </w:p>
        </w:tc>
      </w:tr>
      <w:tr w:rsidR="009105FF" w:rsidRPr="00A3339E" w14:paraId="202B6136" w14:textId="77777777" w:rsidTr="00DD6CE8">
        <w:trPr>
          <w:trHeight w:val="330"/>
          <w:jc w:val="center"/>
        </w:trPr>
        <w:tc>
          <w:tcPr>
            <w:tcW w:w="3860" w:type="dxa"/>
            <w:tcBorders>
              <w:top w:val="nil"/>
              <w:left w:val="nil"/>
              <w:bottom w:val="single" w:sz="4" w:space="0" w:color="auto"/>
              <w:right w:val="nil"/>
            </w:tcBorders>
            <w:vAlign w:val="center"/>
            <w:hideMark/>
          </w:tcPr>
          <w:p w14:paraId="47564450" w14:textId="77777777" w:rsidR="009105FF" w:rsidRPr="00A3339E" w:rsidRDefault="009105FF" w:rsidP="00C446A6">
            <w:pPr>
              <w:rPr>
                <w:rFonts w:eastAsia="Times New Roman" w:cs="Open Sans"/>
                <w:color w:val="000000"/>
                <w:sz w:val="20"/>
                <w:szCs w:val="20"/>
                <w:lang w:eastAsia="en-GB"/>
              </w:rPr>
            </w:pPr>
            <w:r w:rsidRPr="00A3339E">
              <w:rPr>
                <w:rFonts w:eastAsia="Times New Roman" w:cs="Open Sans"/>
                <w:color w:val="000000"/>
                <w:sz w:val="20"/>
                <w:szCs w:val="20"/>
                <w:lang w:eastAsia="en-GB"/>
              </w:rPr>
              <w:t>Domestic Resource Cost Ratio (DRC)</w:t>
            </w:r>
          </w:p>
        </w:tc>
        <w:tc>
          <w:tcPr>
            <w:tcW w:w="2120" w:type="dxa"/>
            <w:tcBorders>
              <w:top w:val="nil"/>
              <w:left w:val="nil"/>
              <w:bottom w:val="single" w:sz="4" w:space="0" w:color="auto"/>
              <w:right w:val="nil"/>
            </w:tcBorders>
            <w:vAlign w:val="center"/>
            <w:hideMark/>
          </w:tcPr>
          <w:p w14:paraId="35C6A16B" w14:textId="6CC92C89" w:rsidR="009105FF" w:rsidRPr="00A3339E" w:rsidRDefault="009105FF" w:rsidP="00C446A6">
            <w:pPr>
              <w:jc w:val="center"/>
              <w:rPr>
                <w:rFonts w:eastAsia="Times New Roman" w:cs="Open Sans"/>
                <w:color w:val="000000"/>
                <w:sz w:val="20"/>
                <w:szCs w:val="20"/>
                <w:lang w:eastAsia="en-GB"/>
              </w:rPr>
            </w:pPr>
            <w:r w:rsidRPr="00A3339E">
              <w:rPr>
                <w:rFonts w:eastAsia="Times New Roman" w:cs="Open Sans"/>
                <w:color w:val="000000"/>
                <w:sz w:val="20"/>
                <w:szCs w:val="20"/>
                <w:lang w:eastAsia="en-GB"/>
              </w:rPr>
              <w:t>0.</w:t>
            </w:r>
            <w:r>
              <w:rPr>
                <w:rFonts w:eastAsia="Times New Roman" w:cs="Open Sans"/>
                <w:color w:val="000000"/>
                <w:sz w:val="20"/>
                <w:szCs w:val="20"/>
                <w:lang w:eastAsia="en-GB"/>
              </w:rPr>
              <w:t>10</w:t>
            </w:r>
          </w:p>
        </w:tc>
      </w:tr>
    </w:tbl>
    <w:p w14:paraId="3B3D1834" w14:textId="77777777" w:rsidR="00A3339E" w:rsidRPr="00A3339E" w:rsidRDefault="00A3339E" w:rsidP="00A3339E">
      <w:pPr>
        <w:rPr>
          <w:rFonts w:cs="Open Sans"/>
          <w:b/>
          <w:bCs/>
          <w:sz w:val="20"/>
          <w:szCs w:val="20"/>
        </w:rPr>
      </w:pPr>
    </w:p>
    <w:p w14:paraId="31D65696" w14:textId="200B19C1" w:rsidR="00A3339E" w:rsidRDefault="00A3339E" w:rsidP="00A3339E">
      <w:pPr>
        <w:rPr>
          <w:rFonts w:cs="Open Sans"/>
          <w:sz w:val="20"/>
          <w:szCs w:val="20"/>
        </w:rPr>
      </w:pPr>
    </w:p>
    <w:p w14:paraId="1C2049FD" w14:textId="77777777" w:rsidR="00F370A5" w:rsidRDefault="00F370A5" w:rsidP="00A3339E">
      <w:pPr>
        <w:rPr>
          <w:rFonts w:cs="Open Sans"/>
          <w:sz w:val="20"/>
          <w:szCs w:val="20"/>
        </w:rPr>
      </w:pPr>
    </w:p>
    <w:p w14:paraId="4E036CEB" w14:textId="77777777" w:rsidR="00F370A5" w:rsidRDefault="00F370A5" w:rsidP="00A3339E">
      <w:pPr>
        <w:rPr>
          <w:rFonts w:cs="Open Sans"/>
          <w:sz w:val="20"/>
          <w:szCs w:val="20"/>
        </w:rPr>
      </w:pPr>
    </w:p>
    <w:p w14:paraId="71F8E316" w14:textId="723D15CC" w:rsidR="000447E4" w:rsidRDefault="000447E4" w:rsidP="007F27D4">
      <w:pPr>
        <w:pStyle w:val="Heading2"/>
      </w:pPr>
      <w:bookmarkStart w:id="98" w:name="_Toc228701019"/>
      <w:r w:rsidRPr="000447E4">
        <w:t>Summary of economic indicators</w:t>
      </w:r>
      <w:r w:rsidR="00C82A71">
        <w:t xml:space="preserve"> for framing question 1</w:t>
      </w:r>
      <w:bookmarkEnd w:id="98"/>
    </w:p>
    <w:p w14:paraId="0B799811" w14:textId="607FAFF3" w:rsidR="000447E4" w:rsidRPr="00825499" w:rsidRDefault="00825499" w:rsidP="00825499">
      <w:pPr>
        <w:spacing w:after="200"/>
        <w:contextualSpacing w:val="0"/>
        <w:rPr>
          <w:rFonts w:eastAsia="Calibri" w:cs="Open Sans"/>
          <w:bCs/>
          <w:iCs/>
          <w:color w:val="000000"/>
          <w:sz w:val="20"/>
          <w:szCs w:val="20"/>
          <w:lang w:val="en-GB"/>
        </w:rPr>
      </w:pPr>
      <w:bookmarkStart w:id="99" w:name="_Toc531795596"/>
      <w:bookmarkStart w:id="100" w:name="_Hlk72918507"/>
      <w:r w:rsidRPr="00825499">
        <w:rPr>
          <w:rFonts w:eastAsia="Calibri" w:cs="Open Sans"/>
          <w:bCs/>
          <w:iCs/>
          <w:color w:val="000000"/>
          <w:sz w:val="20"/>
          <w:szCs w:val="20"/>
          <w:lang w:val="en-GB"/>
        </w:rPr>
        <w:t>The s</w:t>
      </w:r>
      <w:r w:rsidR="000447E4" w:rsidRPr="00825499">
        <w:rPr>
          <w:rFonts w:eastAsia="Calibri" w:cs="Open Sans"/>
          <w:bCs/>
          <w:iCs/>
          <w:color w:val="000000"/>
          <w:sz w:val="20"/>
          <w:szCs w:val="20"/>
          <w:lang w:val="en-GB"/>
        </w:rPr>
        <w:t xml:space="preserve">ummary table of indicators </w:t>
      </w:r>
      <w:bookmarkEnd w:id="99"/>
      <w:r w:rsidR="000447E4" w:rsidRPr="00825499">
        <w:rPr>
          <w:rFonts w:eastAsia="Calibri" w:cs="Open Sans"/>
          <w:bCs/>
          <w:iCs/>
          <w:color w:val="000000"/>
          <w:sz w:val="20"/>
          <w:szCs w:val="20"/>
          <w:lang w:val="en-GB"/>
        </w:rPr>
        <w:t>for framing question 1 (See definitions of economic terms before the Executive Summary)</w:t>
      </w:r>
      <w:r w:rsidR="00226A54">
        <w:rPr>
          <w:rFonts w:eastAsia="Calibri" w:cs="Open Sans"/>
          <w:bCs/>
          <w:iCs/>
          <w:color w:val="000000"/>
          <w:sz w:val="20"/>
          <w:szCs w:val="20"/>
          <w:lang w:val="en-GB"/>
        </w:rPr>
        <w:t xml:space="preserve"> is presented in </w:t>
      </w:r>
      <w:r w:rsidR="00C72910">
        <w:rPr>
          <w:rFonts w:eastAsia="Calibri" w:cs="Open Sans"/>
          <w:bCs/>
          <w:iCs/>
          <w:color w:val="000000"/>
          <w:sz w:val="20"/>
          <w:szCs w:val="20"/>
          <w:lang w:val="en-GB"/>
        </w:rPr>
        <w:fldChar w:fldCharType="begin"/>
      </w:r>
      <w:r w:rsidR="00C72910">
        <w:rPr>
          <w:rFonts w:eastAsia="Calibri" w:cs="Open Sans"/>
          <w:bCs/>
          <w:iCs/>
          <w:color w:val="000000"/>
          <w:sz w:val="20"/>
          <w:szCs w:val="20"/>
          <w:lang w:val="en-GB"/>
        </w:rPr>
        <w:instrText xml:space="preserve"> REF _Ref227057868 \h </w:instrText>
      </w:r>
      <w:r w:rsidR="00C72910">
        <w:rPr>
          <w:rFonts w:eastAsia="Calibri" w:cs="Open Sans"/>
          <w:bCs/>
          <w:iCs/>
          <w:color w:val="000000"/>
          <w:sz w:val="20"/>
          <w:szCs w:val="20"/>
          <w:lang w:val="en-GB"/>
        </w:rPr>
      </w:r>
      <w:r w:rsidR="00C72910">
        <w:rPr>
          <w:rFonts w:eastAsia="Calibri" w:cs="Open Sans"/>
          <w:bCs/>
          <w:iCs/>
          <w:color w:val="000000"/>
          <w:sz w:val="20"/>
          <w:szCs w:val="20"/>
          <w:lang w:val="en-GB"/>
        </w:rPr>
        <w:fldChar w:fldCharType="separate"/>
      </w:r>
      <w:r w:rsidR="00C72910">
        <w:t xml:space="preserve">Table </w:t>
      </w:r>
      <w:r w:rsidR="00C72910">
        <w:rPr>
          <w:noProof/>
        </w:rPr>
        <w:t>2</w:t>
      </w:r>
      <w:r w:rsidR="00C72910">
        <w:noBreakHyphen/>
      </w:r>
      <w:r w:rsidR="00C72910">
        <w:rPr>
          <w:noProof/>
        </w:rPr>
        <w:t>6</w:t>
      </w:r>
      <w:r w:rsidR="00C72910">
        <w:rPr>
          <w:rFonts w:eastAsia="Calibri" w:cs="Open Sans"/>
          <w:bCs/>
          <w:iCs/>
          <w:color w:val="000000"/>
          <w:sz w:val="20"/>
          <w:szCs w:val="20"/>
          <w:lang w:val="en-GB"/>
        </w:rPr>
        <w:fldChar w:fldCharType="end"/>
      </w:r>
      <w:r w:rsidR="00226A54">
        <w:rPr>
          <w:rFonts w:eastAsia="Calibri" w:cs="Open Sans"/>
          <w:bCs/>
          <w:iCs/>
          <w:color w:val="000000"/>
          <w:sz w:val="20"/>
          <w:szCs w:val="20"/>
          <w:lang w:val="en-GB"/>
        </w:rPr>
        <w:t>.</w:t>
      </w:r>
    </w:p>
    <w:p w14:paraId="4185089C" w14:textId="27BB7043" w:rsidR="00B349CC" w:rsidRDefault="00B349CC" w:rsidP="00B349CC">
      <w:pPr>
        <w:pStyle w:val="Caption"/>
        <w:keepNext/>
      </w:pPr>
      <w:bookmarkStart w:id="101" w:name="_Ref227057868"/>
      <w:bookmarkStart w:id="102" w:name="_Toc228701075"/>
      <w:r>
        <w:t xml:space="preserve">Table </w:t>
      </w:r>
      <w:fldSimple w:instr=" STYLEREF 1 \s ">
        <w:r w:rsidR="006C1C4E">
          <w:rPr>
            <w:noProof/>
          </w:rPr>
          <w:t>2</w:t>
        </w:r>
      </w:fldSimple>
      <w:r w:rsidR="006C1C4E">
        <w:noBreakHyphen/>
      </w:r>
      <w:fldSimple w:instr=" SEQ Table \* ARABIC \s 1 ">
        <w:r w:rsidR="006C1C4E">
          <w:rPr>
            <w:noProof/>
          </w:rPr>
          <w:t>6</w:t>
        </w:r>
      </w:fldSimple>
      <w:bookmarkEnd w:id="101"/>
      <w:r>
        <w:t xml:space="preserve"> </w:t>
      </w:r>
      <w:r w:rsidRPr="00970856">
        <w:t>SUMMARY TABLE OF INDICATORS FOR FRAMING QUESTION 1</w:t>
      </w:r>
      <w:bookmarkEnd w:id="102"/>
    </w:p>
    <w:bookmarkEnd w:id="100"/>
    <w:tbl>
      <w:tblPr>
        <w:tblStyle w:val="TableGrid3"/>
        <w:tblW w:w="9095" w:type="dxa"/>
        <w:tblInd w:w="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2145"/>
        <w:gridCol w:w="3402"/>
        <w:gridCol w:w="2697"/>
      </w:tblGrid>
      <w:tr w:rsidR="000447E4" w:rsidRPr="0024072A" w14:paraId="0724F233" w14:textId="77777777" w:rsidTr="00C446A6">
        <w:trPr>
          <w:trHeight w:val="151"/>
        </w:trPr>
        <w:tc>
          <w:tcPr>
            <w:tcW w:w="2996" w:type="dxa"/>
            <w:gridSpan w:val="2"/>
            <w:tcBorders>
              <w:top w:val="single" w:sz="12" w:space="0" w:color="4472C4"/>
              <w:left w:val="single" w:sz="12" w:space="0" w:color="4472C4"/>
              <w:bottom w:val="single" w:sz="12" w:space="0" w:color="4472C4"/>
              <w:right w:val="single" w:sz="12" w:space="0" w:color="4472C4"/>
            </w:tcBorders>
          </w:tcPr>
          <w:p w14:paraId="52CB8D9B" w14:textId="77777777" w:rsidR="000447E4" w:rsidRPr="0024072A" w:rsidRDefault="000447E4" w:rsidP="00C446A6">
            <w:pPr>
              <w:contextualSpacing w:val="0"/>
              <w:rPr>
                <w:rFonts w:ascii="Calibri" w:eastAsia="Calibri" w:hAnsi="Calibri" w:cs="Calibri"/>
                <w:b/>
                <w:sz w:val="20"/>
                <w:szCs w:val="20"/>
                <w:lang w:val="en-GB"/>
              </w:rPr>
            </w:pPr>
          </w:p>
          <w:p w14:paraId="66044D72" w14:textId="77777777" w:rsidR="000447E4" w:rsidRPr="0024072A" w:rsidRDefault="000447E4"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Framing Question 1: What is the contribution of the VC to economic growth?</w:t>
            </w:r>
          </w:p>
          <w:p w14:paraId="4E1BFBF5" w14:textId="77777777" w:rsidR="000447E4" w:rsidRPr="0024072A" w:rsidRDefault="000447E4" w:rsidP="00C446A6">
            <w:pPr>
              <w:contextualSpacing w:val="0"/>
              <w:rPr>
                <w:rFonts w:ascii="Calibri" w:eastAsia="Calibri" w:hAnsi="Calibri" w:cs="Calibri"/>
                <w:b/>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tcPr>
          <w:p w14:paraId="229DD546" w14:textId="77777777" w:rsidR="000447E4" w:rsidRPr="0024072A" w:rsidRDefault="000447E4" w:rsidP="00C446A6">
            <w:pPr>
              <w:contextualSpacing w:val="0"/>
              <w:jc w:val="center"/>
              <w:rPr>
                <w:rFonts w:ascii="Calibri" w:eastAsia="Calibri" w:hAnsi="Calibri" w:cs="Calibri"/>
                <w:b/>
                <w:sz w:val="20"/>
                <w:szCs w:val="20"/>
                <w:lang w:val="en-GB"/>
              </w:rPr>
            </w:pPr>
            <w:r w:rsidRPr="0024072A">
              <w:rPr>
                <w:rFonts w:ascii="Calibri" w:eastAsia="Calibri" w:hAnsi="Calibri" w:cs="Calibri"/>
                <w:b/>
                <w:sz w:val="20"/>
                <w:szCs w:val="20"/>
                <w:lang w:val="en-GB"/>
              </w:rPr>
              <w:t>INDICATORS</w:t>
            </w:r>
          </w:p>
        </w:tc>
        <w:tc>
          <w:tcPr>
            <w:tcW w:w="2697" w:type="dxa"/>
            <w:tcBorders>
              <w:top w:val="single" w:sz="12" w:space="0" w:color="4472C4"/>
              <w:left w:val="single" w:sz="12" w:space="0" w:color="4472C4"/>
              <w:bottom w:val="single" w:sz="12" w:space="0" w:color="4472C4"/>
              <w:right w:val="single" w:sz="12" w:space="0" w:color="4472C4"/>
            </w:tcBorders>
          </w:tcPr>
          <w:p w14:paraId="1C0BAE28" w14:textId="77777777" w:rsidR="000447E4" w:rsidRPr="0024072A" w:rsidRDefault="000447E4"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RESULTS</w:t>
            </w:r>
          </w:p>
        </w:tc>
      </w:tr>
      <w:tr w:rsidR="000447E4" w:rsidRPr="0024072A" w14:paraId="3E97C222" w14:textId="77777777" w:rsidTr="00C446A6">
        <w:trPr>
          <w:trHeight w:val="245"/>
        </w:trPr>
        <w:tc>
          <w:tcPr>
            <w:tcW w:w="851" w:type="dxa"/>
            <w:vMerge w:val="restart"/>
            <w:tcBorders>
              <w:top w:val="single" w:sz="12" w:space="0" w:color="4472C4"/>
              <w:left w:val="single" w:sz="12" w:space="0" w:color="4472C4"/>
              <w:right w:val="single" w:sz="12" w:space="0" w:color="4472C4"/>
            </w:tcBorders>
            <w:shd w:val="clear" w:color="auto" w:fill="FBE4D5"/>
          </w:tcPr>
          <w:p w14:paraId="2F6C54D0" w14:textId="77777777" w:rsidR="000447E4" w:rsidRPr="0024072A" w:rsidRDefault="000447E4" w:rsidP="00C446A6">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CQ1.1</w:t>
            </w:r>
          </w:p>
        </w:tc>
        <w:tc>
          <w:tcPr>
            <w:tcW w:w="2145" w:type="dxa"/>
            <w:vMerge w:val="restart"/>
            <w:tcBorders>
              <w:top w:val="single" w:sz="12" w:space="0" w:color="4472C4"/>
              <w:left w:val="single" w:sz="12" w:space="0" w:color="4472C4"/>
              <w:right w:val="single" w:sz="12" w:space="0" w:color="4472C4"/>
            </w:tcBorders>
            <w:shd w:val="clear" w:color="auto" w:fill="FBE4D5"/>
          </w:tcPr>
          <w:p w14:paraId="69FE7192" w14:textId="77777777" w:rsidR="000447E4" w:rsidRPr="0024072A" w:rsidRDefault="000447E4" w:rsidP="00C446A6">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 xml:space="preserve">How profitable and sustainable are the VC activities for the entities involved? </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157EF37" w14:textId="77777777" w:rsidR="000447E4" w:rsidRPr="0024072A" w:rsidRDefault="000447E4"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rPr>
              <w:t>Operating Accounts of every type of actor</w:t>
            </w:r>
          </w:p>
        </w:tc>
        <w:tc>
          <w:tcPr>
            <w:tcW w:w="2697" w:type="dxa"/>
            <w:tcBorders>
              <w:top w:val="single" w:sz="12" w:space="0" w:color="4472C4"/>
              <w:left w:val="single" w:sz="12" w:space="0" w:color="4472C4"/>
              <w:bottom w:val="single" w:sz="12" w:space="0" w:color="4472C4"/>
              <w:right w:val="single" w:sz="12" w:space="0" w:color="4472C4"/>
            </w:tcBorders>
            <w:shd w:val="clear" w:color="auto" w:fill="FBE4D5"/>
          </w:tcPr>
          <w:p w14:paraId="0580F085" w14:textId="274A6424" w:rsidR="000447E4" w:rsidRPr="00201315" w:rsidRDefault="000447E4" w:rsidP="00C446A6">
            <w:pPr>
              <w:contextualSpacing w:val="0"/>
              <w:jc w:val="left"/>
              <w:rPr>
                <w:rFonts w:ascii="Calibri" w:eastAsia="Calibri" w:hAnsi="Calibri" w:cs="Calibri"/>
                <w:bCs/>
                <w:color w:val="C00000"/>
                <w:sz w:val="20"/>
                <w:szCs w:val="20"/>
                <w:lang w:val="en-GB"/>
              </w:rPr>
            </w:pPr>
            <w:r w:rsidRPr="00201315">
              <w:rPr>
                <w:rFonts w:ascii="Calibri" w:eastAsia="Calibri" w:hAnsi="Calibri" w:cs="Calibri"/>
                <w:bCs/>
                <w:sz w:val="20"/>
                <w:szCs w:val="20"/>
                <w:lang w:val="en-GB"/>
              </w:rPr>
              <w:t>(Synthetic table of Operating accounts in Section 2.3)</w:t>
            </w:r>
          </w:p>
        </w:tc>
      </w:tr>
      <w:tr w:rsidR="000447E4" w:rsidRPr="0024072A" w14:paraId="5577A27E" w14:textId="77777777" w:rsidTr="00C446A6">
        <w:trPr>
          <w:trHeight w:val="245"/>
        </w:trPr>
        <w:tc>
          <w:tcPr>
            <w:tcW w:w="851" w:type="dxa"/>
            <w:vMerge/>
            <w:tcBorders>
              <w:left w:val="single" w:sz="12" w:space="0" w:color="4472C4"/>
              <w:right w:val="single" w:sz="12" w:space="0" w:color="4472C4"/>
            </w:tcBorders>
            <w:shd w:val="clear" w:color="auto" w:fill="FBE4D5"/>
            <w:hideMark/>
          </w:tcPr>
          <w:p w14:paraId="5EFF6572" w14:textId="77777777" w:rsidR="000447E4" w:rsidRPr="0024072A" w:rsidRDefault="000447E4" w:rsidP="00C446A6">
            <w:pPr>
              <w:contextualSpacing w:val="0"/>
              <w:rPr>
                <w:rFonts w:ascii="Calibri" w:eastAsia="Calibri" w:hAnsi="Calibri" w:cs="Calibri"/>
                <w:sz w:val="20"/>
                <w:szCs w:val="20"/>
                <w:lang w:val="en-GB"/>
              </w:rPr>
            </w:pPr>
          </w:p>
        </w:tc>
        <w:tc>
          <w:tcPr>
            <w:tcW w:w="2145" w:type="dxa"/>
            <w:vMerge/>
            <w:tcBorders>
              <w:left w:val="single" w:sz="12" w:space="0" w:color="4472C4"/>
              <w:right w:val="single" w:sz="12" w:space="0" w:color="4472C4"/>
            </w:tcBorders>
            <w:shd w:val="clear" w:color="auto" w:fill="FBE4D5"/>
          </w:tcPr>
          <w:p w14:paraId="06E3B11E" w14:textId="77777777" w:rsidR="000447E4" w:rsidRPr="0024072A" w:rsidRDefault="000447E4" w:rsidP="00C446A6">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80E722F" w14:textId="3E9A6697" w:rsidR="000447E4" w:rsidRPr="0024072A" w:rsidRDefault="000447E4"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 xml:space="preserve">Net operating profit </w:t>
            </w:r>
            <w:r w:rsidR="00D3590C">
              <w:rPr>
                <w:rFonts w:ascii="Calibri" w:eastAsia="Calibri" w:hAnsi="Calibri" w:cs="Calibri"/>
                <w:b/>
                <w:sz w:val="20"/>
                <w:szCs w:val="20"/>
                <w:lang w:val="en-GB"/>
              </w:rPr>
              <w:t>of</w:t>
            </w:r>
            <w:r w:rsidRPr="0024072A">
              <w:rPr>
                <w:rFonts w:ascii="Calibri" w:eastAsia="Calibri" w:hAnsi="Calibri" w:cs="Calibri"/>
                <w:b/>
                <w:sz w:val="20"/>
                <w:szCs w:val="20"/>
                <w:lang w:val="en-GB"/>
              </w:rPr>
              <w:t xml:space="preserve"> </w:t>
            </w:r>
            <w:r w:rsidR="00D3590C">
              <w:rPr>
                <w:rFonts w:ascii="Calibri" w:eastAsia="Calibri" w:hAnsi="Calibri" w:cs="Calibri"/>
                <w:b/>
                <w:sz w:val="20"/>
                <w:szCs w:val="20"/>
                <w:lang w:val="en-GB"/>
              </w:rPr>
              <w:t xml:space="preserve">individual actor by their </w:t>
            </w:r>
            <w:r w:rsidRPr="0024072A">
              <w:rPr>
                <w:rFonts w:ascii="Calibri" w:eastAsia="Calibri" w:hAnsi="Calibri" w:cs="Calibri"/>
                <w:b/>
                <w:sz w:val="20"/>
                <w:szCs w:val="20"/>
                <w:lang w:val="en-GB"/>
              </w:rPr>
              <w:t>type</w:t>
            </w:r>
            <w:r>
              <w:rPr>
                <w:rFonts w:ascii="Calibri" w:eastAsia="Calibri" w:hAnsi="Calibri" w:cs="Calibri"/>
                <w:b/>
                <w:sz w:val="20"/>
                <w:szCs w:val="20"/>
                <w:lang w:val="en-GB"/>
              </w:rPr>
              <w:t xml:space="preserve"> </w:t>
            </w:r>
            <w:r w:rsidRPr="003D489C">
              <w:rPr>
                <w:rFonts w:ascii="Calibri" w:eastAsia="Calibri" w:hAnsi="Calibri" w:cs="Calibri"/>
                <w:b/>
                <w:sz w:val="20"/>
                <w:szCs w:val="20"/>
                <w:lang w:val="en-GB"/>
              </w:rPr>
              <w:t>(</w:t>
            </w:r>
            <w:r w:rsidR="004E1646">
              <w:rPr>
                <w:rFonts w:ascii="Calibri" w:eastAsia="Calibri" w:hAnsi="Calibri" w:cs="Calibri"/>
                <w:b/>
                <w:sz w:val="20"/>
                <w:szCs w:val="20"/>
                <w:lang w:val="en-GB"/>
              </w:rPr>
              <w:t>SLE</w:t>
            </w:r>
            <w:r w:rsidRPr="003D489C">
              <w:rPr>
                <w:rFonts w:ascii="Calibri" w:eastAsia="Calibri" w:hAnsi="Calibri" w:cs="Calibri"/>
                <w:b/>
                <w:sz w:val="20"/>
                <w:szCs w:val="20"/>
                <w:lang w:val="en-GB"/>
              </w:rPr>
              <w:t>)</w:t>
            </w:r>
          </w:p>
        </w:tc>
        <w:tc>
          <w:tcPr>
            <w:tcW w:w="2697" w:type="dxa"/>
            <w:tcBorders>
              <w:top w:val="single" w:sz="12" w:space="0" w:color="4472C4"/>
              <w:left w:val="single" w:sz="12" w:space="0" w:color="4472C4"/>
              <w:bottom w:val="single" w:sz="12" w:space="0" w:color="4472C4"/>
              <w:right w:val="single" w:sz="12" w:space="0" w:color="4472C4"/>
            </w:tcBorders>
            <w:shd w:val="clear" w:color="auto" w:fill="FBE4D5"/>
          </w:tcPr>
          <w:p w14:paraId="0D3F6E50" w14:textId="4FB91C20" w:rsidR="000447E4" w:rsidRPr="003D489C" w:rsidRDefault="00C91423" w:rsidP="00C446A6">
            <w:pPr>
              <w:contextualSpacing w:val="0"/>
              <w:jc w:val="left"/>
              <w:rPr>
                <w:rFonts w:ascii="Calibri" w:eastAsia="Calibri" w:hAnsi="Calibri" w:cs="Calibri"/>
                <w:bCs/>
                <w:sz w:val="20"/>
                <w:szCs w:val="20"/>
                <w:lang w:val="en-GB"/>
              </w:rPr>
            </w:pPr>
            <w:r w:rsidRPr="00C91423">
              <w:rPr>
                <w:rFonts w:ascii="Calibri" w:eastAsia="Calibri" w:hAnsi="Calibri" w:cs="Calibri"/>
                <w:bCs/>
                <w:sz w:val="20"/>
                <w:szCs w:val="20"/>
                <w:lang w:val="en-GB"/>
              </w:rPr>
              <w:t>Smallholder Prod</w:t>
            </w:r>
            <w:r w:rsidR="000447E4" w:rsidRPr="003D489C">
              <w:rPr>
                <w:rFonts w:ascii="Calibri" w:eastAsia="Calibri" w:hAnsi="Calibri" w:cs="Calibri"/>
                <w:bCs/>
                <w:sz w:val="20"/>
                <w:szCs w:val="20"/>
                <w:lang w:val="en-GB"/>
              </w:rPr>
              <w:t xml:space="preserve">: </w:t>
            </w:r>
            <w:r w:rsidR="00D3590C" w:rsidRPr="00D3590C">
              <w:rPr>
                <w:rFonts w:ascii="Calibri" w:eastAsia="Calibri" w:hAnsi="Calibri" w:cs="Calibri"/>
                <w:bCs/>
                <w:sz w:val="20"/>
                <w:szCs w:val="20"/>
                <w:lang w:val="en-GB"/>
              </w:rPr>
              <w:t>25,070</w:t>
            </w:r>
            <w:r w:rsidR="000447E4" w:rsidRPr="003D489C">
              <w:rPr>
                <w:rFonts w:ascii="Calibri" w:eastAsia="Calibri" w:hAnsi="Calibri" w:cs="Calibri"/>
                <w:bCs/>
                <w:sz w:val="20"/>
                <w:szCs w:val="20"/>
                <w:lang w:val="en-GB"/>
              </w:rPr>
              <w:t xml:space="preserve">; </w:t>
            </w:r>
            <w:r w:rsidR="00D3590C" w:rsidRPr="00D3590C">
              <w:rPr>
                <w:rFonts w:ascii="Calibri" w:eastAsia="Calibri" w:hAnsi="Calibri" w:cs="Calibri"/>
                <w:bCs/>
                <w:sz w:val="20"/>
                <w:szCs w:val="20"/>
                <w:lang w:val="en-GB"/>
              </w:rPr>
              <w:t>Larger Smallholder Prod</w:t>
            </w:r>
            <w:r w:rsidR="000447E4" w:rsidRPr="003D489C">
              <w:rPr>
                <w:rFonts w:ascii="Calibri" w:eastAsia="Calibri" w:hAnsi="Calibri" w:cs="Calibri"/>
                <w:bCs/>
                <w:sz w:val="20"/>
                <w:szCs w:val="20"/>
                <w:lang w:val="en-GB"/>
              </w:rPr>
              <w:t xml:space="preserve">: </w:t>
            </w:r>
            <w:r w:rsidR="00D3590C" w:rsidRPr="00D3590C">
              <w:rPr>
                <w:rFonts w:ascii="Calibri" w:eastAsia="Calibri" w:hAnsi="Calibri" w:cs="Calibri"/>
                <w:bCs/>
                <w:sz w:val="20"/>
                <w:szCs w:val="20"/>
                <w:lang w:val="en-GB"/>
              </w:rPr>
              <w:t>108,269</w:t>
            </w:r>
            <w:r w:rsidR="000447E4" w:rsidRPr="003D489C">
              <w:rPr>
                <w:rFonts w:ascii="Calibri" w:eastAsia="Calibri" w:hAnsi="Calibri" w:cs="Calibri"/>
                <w:bCs/>
                <w:sz w:val="20"/>
                <w:szCs w:val="20"/>
                <w:lang w:val="en-GB"/>
              </w:rPr>
              <w:t xml:space="preserve">; </w:t>
            </w:r>
            <w:r w:rsidR="00D3590C" w:rsidRPr="00D3590C">
              <w:rPr>
                <w:rFonts w:ascii="Calibri" w:eastAsia="Calibri" w:hAnsi="Calibri" w:cs="Calibri"/>
                <w:bCs/>
                <w:sz w:val="20"/>
                <w:szCs w:val="20"/>
                <w:lang w:val="en-GB"/>
              </w:rPr>
              <w:t>Cooperative</w:t>
            </w:r>
            <w:r w:rsidR="000447E4" w:rsidRPr="003D489C">
              <w:rPr>
                <w:rFonts w:ascii="Calibri" w:eastAsia="Calibri" w:hAnsi="Calibri" w:cs="Calibri"/>
                <w:bCs/>
                <w:sz w:val="20"/>
                <w:szCs w:val="20"/>
                <w:lang w:val="en-GB"/>
              </w:rPr>
              <w:t xml:space="preserve">: </w:t>
            </w:r>
            <w:r w:rsidR="00D3590C" w:rsidRPr="00D3590C">
              <w:rPr>
                <w:rFonts w:ascii="Calibri" w:eastAsia="Calibri" w:hAnsi="Calibri" w:cs="Calibri"/>
                <w:bCs/>
                <w:sz w:val="20"/>
                <w:szCs w:val="20"/>
                <w:lang w:val="en-GB"/>
              </w:rPr>
              <w:t>2,337,599</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Individual Agent</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60,340</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Individual Dealer</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49,300</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Exporter</w:t>
            </w:r>
            <w:r w:rsidR="000447E4" w:rsidRPr="003D489C">
              <w:rPr>
                <w:rFonts w:ascii="Calibri" w:eastAsia="Calibri" w:hAnsi="Calibri" w:cs="Calibri"/>
                <w:bCs/>
                <w:sz w:val="20"/>
                <w:szCs w:val="20"/>
                <w:lang w:val="en-GB"/>
              </w:rPr>
              <w:t xml:space="preserve">: </w:t>
            </w:r>
            <w:r w:rsidR="004A53DA" w:rsidRPr="004A53DA">
              <w:rPr>
                <w:rFonts w:ascii="Calibri" w:eastAsia="Calibri" w:hAnsi="Calibri" w:cs="Calibri"/>
                <w:bCs/>
                <w:sz w:val="20"/>
                <w:szCs w:val="20"/>
                <w:lang w:val="en-GB"/>
              </w:rPr>
              <w:t>40,531,623</w:t>
            </w:r>
          </w:p>
        </w:tc>
      </w:tr>
      <w:tr w:rsidR="000447E4" w:rsidRPr="0024072A" w14:paraId="3710516B" w14:textId="77777777" w:rsidTr="00C446A6">
        <w:trPr>
          <w:trHeight w:val="245"/>
        </w:trPr>
        <w:tc>
          <w:tcPr>
            <w:tcW w:w="851" w:type="dxa"/>
            <w:vMerge/>
            <w:tcBorders>
              <w:left w:val="single" w:sz="12" w:space="0" w:color="4472C4"/>
              <w:right w:val="single" w:sz="12" w:space="0" w:color="4472C4"/>
            </w:tcBorders>
            <w:shd w:val="clear" w:color="auto" w:fill="FBE4D5"/>
          </w:tcPr>
          <w:p w14:paraId="1FB0B72A" w14:textId="77777777" w:rsidR="000447E4" w:rsidRPr="0024072A" w:rsidRDefault="000447E4" w:rsidP="00C446A6">
            <w:pPr>
              <w:contextualSpacing w:val="0"/>
              <w:rPr>
                <w:rFonts w:ascii="Calibri" w:eastAsia="Calibri" w:hAnsi="Calibri" w:cs="Calibri"/>
                <w:sz w:val="20"/>
                <w:szCs w:val="20"/>
                <w:lang w:val="en-GB"/>
              </w:rPr>
            </w:pPr>
          </w:p>
        </w:tc>
        <w:tc>
          <w:tcPr>
            <w:tcW w:w="2145" w:type="dxa"/>
            <w:vMerge/>
            <w:tcBorders>
              <w:left w:val="single" w:sz="12" w:space="0" w:color="4472C4"/>
              <w:right w:val="single" w:sz="12" w:space="0" w:color="4472C4"/>
            </w:tcBorders>
            <w:shd w:val="clear" w:color="auto" w:fill="FBE4D5"/>
          </w:tcPr>
          <w:p w14:paraId="596F9348" w14:textId="77777777" w:rsidR="000447E4" w:rsidRPr="0024072A" w:rsidRDefault="000447E4" w:rsidP="00C446A6">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287226DF" w14:textId="3B30FD51" w:rsidR="000447E4" w:rsidRPr="0024072A" w:rsidRDefault="000447E4"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Return on turnover (operating profit/production)</w:t>
            </w:r>
            <w:r w:rsidR="007B0DD5">
              <w:rPr>
                <w:rFonts w:ascii="Calibri" w:eastAsia="Calibri" w:hAnsi="Calibri" w:cs="Calibri"/>
                <w:b/>
                <w:sz w:val="20"/>
                <w:szCs w:val="20"/>
                <w:lang w:val="en-GB"/>
              </w:rPr>
              <w:t xml:space="preserve"> (%)</w:t>
            </w:r>
          </w:p>
        </w:tc>
        <w:tc>
          <w:tcPr>
            <w:tcW w:w="2697" w:type="dxa"/>
            <w:tcBorders>
              <w:top w:val="single" w:sz="12" w:space="0" w:color="4472C4"/>
              <w:left w:val="single" w:sz="12" w:space="0" w:color="4472C4"/>
              <w:bottom w:val="single" w:sz="12" w:space="0" w:color="4472C4"/>
              <w:right w:val="single" w:sz="12" w:space="0" w:color="4472C4"/>
            </w:tcBorders>
            <w:shd w:val="clear" w:color="auto" w:fill="FBE4D5"/>
          </w:tcPr>
          <w:p w14:paraId="3E49FA33" w14:textId="13E52DDC" w:rsidR="000447E4" w:rsidRPr="003D489C" w:rsidRDefault="007B0DD5" w:rsidP="00C446A6">
            <w:pPr>
              <w:contextualSpacing w:val="0"/>
              <w:jc w:val="left"/>
              <w:rPr>
                <w:rFonts w:ascii="Calibri" w:eastAsia="Calibri" w:hAnsi="Calibri" w:cs="Calibri"/>
                <w:bCs/>
                <w:sz w:val="20"/>
                <w:szCs w:val="20"/>
                <w:lang w:val="en-GB"/>
              </w:rPr>
            </w:pPr>
            <w:r w:rsidRPr="00C91423">
              <w:rPr>
                <w:rFonts w:ascii="Calibri" w:eastAsia="Calibri" w:hAnsi="Calibri" w:cs="Calibri"/>
                <w:bCs/>
                <w:sz w:val="20"/>
                <w:szCs w:val="20"/>
                <w:lang w:val="en-GB"/>
              </w:rPr>
              <w:t>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82%</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Larger 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92%</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Cooperative</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9%</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Agent</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9%</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Dealer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37%</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Exporter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15%</w:t>
            </w:r>
          </w:p>
        </w:tc>
      </w:tr>
      <w:tr w:rsidR="000447E4" w:rsidRPr="0024072A" w14:paraId="3BCC1CB1" w14:textId="77777777" w:rsidTr="00C446A6">
        <w:trPr>
          <w:trHeight w:val="245"/>
        </w:trPr>
        <w:tc>
          <w:tcPr>
            <w:tcW w:w="851" w:type="dxa"/>
            <w:vMerge/>
            <w:tcBorders>
              <w:left w:val="single" w:sz="12" w:space="0" w:color="4472C4"/>
              <w:bottom w:val="single" w:sz="12" w:space="0" w:color="4472C4"/>
              <w:right w:val="single" w:sz="12" w:space="0" w:color="4472C4"/>
            </w:tcBorders>
            <w:shd w:val="clear" w:color="auto" w:fill="FBE4D5"/>
          </w:tcPr>
          <w:p w14:paraId="0E3F773E" w14:textId="77777777" w:rsidR="000447E4" w:rsidRPr="0024072A" w:rsidRDefault="000447E4" w:rsidP="00C446A6">
            <w:pPr>
              <w:contextualSpacing w:val="0"/>
              <w:rPr>
                <w:rFonts w:ascii="Calibri" w:eastAsia="Calibri" w:hAnsi="Calibri" w:cs="Calibri"/>
                <w:b/>
                <w:sz w:val="20"/>
                <w:szCs w:val="20"/>
                <w:lang w:val="en-GB"/>
              </w:rPr>
            </w:pPr>
          </w:p>
        </w:tc>
        <w:tc>
          <w:tcPr>
            <w:tcW w:w="2145" w:type="dxa"/>
            <w:vMerge/>
            <w:tcBorders>
              <w:left w:val="single" w:sz="12" w:space="0" w:color="4472C4"/>
              <w:bottom w:val="single" w:sz="12" w:space="0" w:color="4472C4"/>
              <w:right w:val="single" w:sz="12" w:space="0" w:color="4472C4"/>
            </w:tcBorders>
            <w:shd w:val="clear" w:color="auto" w:fill="FBE4D5"/>
          </w:tcPr>
          <w:p w14:paraId="33CE4656" w14:textId="77777777" w:rsidR="000447E4" w:rsidRPr="0024072A" w:rsidRDefault="000447E4" w:rsidP="00C446A6">
            <w:pPr>
              <w:contextualSpacing w:val="0"/>
              <w:rPr>
                <w:rFonts w:ascii="Calibri" w:eastAsia="Calibri" w:hAnsi="Calibri" w:cs="Calibri"/>
                <w:b/>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0B6D2FA8" w14:textId="77777777" w:rsidR="000447E4" w:rsidRPr="0024072A" w:rsidRDefault="000447E4"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Benchmarks for farmers’ net income (minimum wage, livelihood needs, job opportunities…)</w:t>
            </w:r>
          </w:p>
        </w:tc>
        <w:tc>
          <w:tcPr>
            <w:tcW w:w="2697" w:type="dxa"/>
            <w:tcBorders>
              <w:top w:val="single" w:sz="12" w:space="0" w:color="4472C4"/>
              <w:left w:val="single" w:sz="12" w:space="0" w:color="4472C4"/>
              <w:bottom w:val="single" w:sz="12" w:space="0" w:color="4472C4"/>
              <w:right w:val="single" w:sz="12" w:space="0" w:color="4472C4"/>
            </w:tcBorders>
            <w:shd w:val="clear" w:color="auto" w:fill="FBE4D5"/>
          </w:tcPr>
          <w:p w14:paraId="3C8673B8" w14:textId="6D14E620" w:rsidR="009B3297" w:rsidRDefault="009B3297" w:rsidP="00C446A6">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Minimum wage</w:t>
            </w:r>
            <w:r w:rsidR="000447E4"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 xml:space="preserve">800 SLE/month. The government has announced an increase to </w:t>
            </w:r>
            <w:r w:rsidRPr="009B3297">
              <w:rPr>
                <w:rFonts w:ascii="Calibri" w:eastAsia="Calibri" w:hAnsi="Calibri" w:cs="Calibri"/>
                <w:bCs/>
                <w:sz w:val="20"/>
                <w:szCs w:val="20"/>
                <w:lang w:val="en-GB"/>
              </w:rPr>
              <w:t>1,200</w:t>
            </w:r>
            <w:r>
              <w:rPr>
                <w:rFonts w:ascii="Calibri" w:eastAsia="Calibri" w:hAnsi="Calibri" w:cs="Calibri"/>
                <w:bCs/>
                <w:sz w:val="20"/>
                <w:szCs w:val="20"/>
                <w:lang w:val="en-GB"/>
              </w:rPr>
              <w:t xml:space="preserve"> SLE/month, </w:t>
            </w:r>
            <w:r w:rsidRPr="009B3297">
              <w:rPr>
                <w:rFonts w:ascii="Calibri" w:eastAsia="Calibri" w:hAnsi="Calibri" w:cs="Calibri"/>
                <w:bCs/>
                <w:sz w:val="20"/>
                <w:szCs w:val="20"/>
                <w:lang w:val="en-GB"/>
              </w:rPr>
              <w:t>effective April 2026</w:t>
            </w:r>
            <w:r w:rsidR="000447E4" w:rsidRPr="003D489C">
              <w:rPr>
                <w:rFonts w:ascii="Calibri" w:eastAsia="Calibri" w:hAnsi="Calibri" w:cs="Calibri"/>
                <w:bCs/>
                <w:sz w:val="20"/>
                <w:szCs w:val="20"/>
                <w:lang w:val="en-GB"/>
              </w:rPr>
              <w:t xml:space="preserve">; </w:t>
            </w:r>
          </w:p>
          <w:p w14:paraId="76C9EE69" w14:textId="21075EEE" w:rsidR="000447E4" w:rsidRPr="003D489C" w:rsidRDefault="00ED26FE" w:rsidP="00C446A6">
            <w:pPr>
              <w:contextualSpacing w:val="0"/>
              <w:jc w:val="left"/>
              <w:rPr>
                <w:rFonts w:ascii="Calibri" w:eastAsia="Calibri" w:hAnsi="Calibri" w:cs="Calibri"/>
                <w:bCs/>
                <w:color w:val="C00000"/>
                <w:sz w:val="20"/>
                <w:szCs w:val="20"/>
                <w:lang w:val="en-GB"/>
              </w:rPr>
            </w:pPr>
            <w:r>
              <w:rPr>
                <w:rFonts w:ascii="Calibri" w:eastAsia="Calibri" w:hAnsi="Calibri" w:cs="Calibri"/>
                <w:bCs/>
                <w:sz w:val="20"/>
                <w:szCs w:val="20"/>
                <w:lang w:val="en-GB"/>
              </w:rPr>
              <w:t>Full-time equivalent</w:t>
            </w:r>
            <w:r w:rsidR="003638BE">
              <w:rPr>
                <w:rFonts w:ascii="Calibri" w:eastAsia="Calibri" w:hAnsi="Calibri" w:cs="Calibri"/>
                <w:bCs/>
                <w:sz w:val="20"/>
                <w:szCs w:val="20"/>
                <w:lang w:val="en-GB"/>
              </w:rPr>
              <w:t xml:space="preserve"> (FTE)</w:t>
            </w:r>
            <w:r>
              <w:rPr>
                <w:rFonts w:ascii="Calibri" w:eastAsia="Calibri" w:hAnsi="Calibri" w:cs="Calibri"/>
                <w:bCs/>
                <w:sz w:val="20"/>
                <w:szCs w:val="20"/>
                <w:lang w:val="en-GB"/>
              </w:rPr>
              <w:t xml:space="preserve"> labour generated </w:t>
            </w:r>
            <w:r w:rsidR="003638BE">
              <w:rPr>
                <w:rFonts w:ascii="Calibri" w:eastAsia="Calibri" w:hAnsi="Calibri" w:cs="Calibri"/>
                <w:bCs/>
                <w:sz w:val="20"/>
                <w:szCs w:val="20"/>
                <w:lang w:val="en-GB"/>
              </w:rPr>
              <w:t xml:space="preserve">by </w:t>
            </w:r>
            <w:r>
              <w:rPr>
                <w:rFonts w:ascii="Calibri" w:eastAsia="Calibri" w:hAnsi="Calibri" w:cs="Calibri"/>
                <w:bCs/>
                <w:sz w:val="20"/>
                <w:szCs w:val="20"/>
                <w:lang w:val="en-GB"/>
              </w:rPr>
              <w:t>the value chain is 26,466 (</w:t>
            </w:r>
            <w:r w:rsidR="003638BE">
              <w:rPr>
                <w:rFonts w:ascii="Calibri" w:eastAsia="Calibri" w:hAnsi="Calibri" w:cs="Calibri"/>
                <w:bCs/>
                <w:sz w:val="20"/>
                <w:szCs w:val="20"/>
                <w:lang w:val="en-GB"/>
              </w:rPr>
              <w:t>1 FTE being 200 days</w:t>
            </w:r>
            <w:r>
              <w:rPr>
                <w:rFonts w:ascii="Calibri" w:eastAsia="Calibri" w:hAnsi="Calibri" w:cs="Calibri"/>
                <w:bCs/>
                <w:sz w:val="20"/>
                <w:szCs w:val="20"/>
                <w:lang w:val="en-GB"/>
              </w:rPr>
              <w:t>)</w:t>
            </w:r>
          </w:p>
        </w:tc>
      </w:tr>
    </w:tbl>
    <w:p w14:paraId="20759788" w14:textId="77777777" w:rsidR="000447E4" w:rsidRPr="0024072A" w:rsidRDefault="000447E4" w:rsidP="000447E4">
      <w:pPr>
        <w:contextualSpacing w:val="0"/>
        <w:rPr>
          <w:rFonts w:ascii="Calibri" w:eastAsia="Calibri" w:hAnsi="Calibri" w:cs="Times New Roman"/>
          <w:sz w:val="20"/>
          <w:szCs w:val="20"/>
          <w:lang w:val="en-GB"/>
        </w:rPr>
      </w:pPr>
    </w:p>
    <w:p w14:paraId="7E40F460" w14:textId="77777777" w:rsidR="000447E4" w:rsidRPr="0017485E" w:rsidRDefault="000447E4" w:rsidP="000447E4">
      <w:pPr>
        <w:contextualSpacing w:val="0"/>
        <w:jc w:val="left"/>
        <w:rPr>
          <w:rFonts w:ascii="Calibri" w:eastAsia="Calibri" w:hAnsi="Calibri" w:cs="Times New Roman"/>
          <w:sz w:val="20"/>
          <w:szCs w:val="20"/>
          <w:lang w:val="fr-FR"/>
        </w:rPr>
      </w:pPr>
    </w:p>
    <w:p w14:paraId="1CEBF000" w14:textId="77777777" w:rsidR="000447E4" w:rsidRDefault="000447E4" w:rsidP="000447E4">
      <w:pPr>
        <w:contextualSpacing w:val="0"/>
        <w:jc w:val="left"/>
        <w:rPr>
          <w:rFonts w:ascii="Calibri" w:eastAsia="Calibri" w:hAnsi="Calibri" w:cs="Times New Roman"/>
          <w:sz w:val="20"/>
          <w:szCs w:val="20"/>
          <w:lang w:val="fr-FR"/>
        </w:rPr>
      </w:pPr>
    </w:p>
    <w:p w14:paraId="226303D9" w14:textId="77777777" w:rsidR="000447E4" w:rsidRDefault="000447E4" w:rsidP="000447E4">
      <w:pPr>
        <w:contextualSpacing w:val="0"/>
        <w:jc w:val="left"/>
        <w:rPr>
          <w:rFonts w:ascii="Calibri" w:eastAsia="Calibri" w:hAnsi="Calibri" w:cs="Times New Roman"/>
          <w:sz w:val="20"/>
          <w:szCs w:val="20"/>
          <w:lang w:val="fr-FR"/>
        </w:rPr>
      </w:pPr>
    </w:p>
    <w:p w14:paraId="383FB0CF" w14:textId="77777777" w:rsidR="00D52692" w:rsidRDefault="00D52692" w:rsidP="000447E4">
      <w:pPr>
        <w:contextualSpacing w:val="0"/>
        <w:jc w:val="left"/>
        <w:rPr>
          <w:rFonts w:ascii="Calibri" w:eastAsia="Calibri" w:hAnsi="Calibri" w:cs="Times New Roman"/>
          <w:sz w:val="20"/>
          <w:szCs w:val="20"/>
          <w:lang w:val="fr-FR"/>
        </w:rPr>
      </w:pPr>
    </w:p>
    <w:p w14:paraId="6AE5F49C" w14:textId="77777777" w:rsidR="00D52692" w:rsidRDefault="00D52692" w:rsidP="000447E4">
      <w:pPr>
        <w:contextualSpacing w:val="0"/>
        <w:jc w:val="left"/>
        <w:rPr>
          <w:rFonts w:ascii="Calibri" w:eastAsia="Calibri" w:hAnsi="Calibri" w:cs="Times New Roman"/>
          <w:sz w:val="20"/>
          <w:szCs w:val="20"/>
          <w:lang w:val="fr-FR"/>
        </w:rPr>
      </w:pPr>
    </w:p>
    <w:p w14:paraId="48F2D81F" w14:textId="77777777" w:rsidR="00D52692" w:rsidRDefault="00D52692" w:rsidP="000447E4">
      <w:pPr>
        <w:contextualSpacing w:val="0"/>
        <w:jc w:val="left"/>
        <w:rPr>
          <w:rFonts w:ascii="Calibri" w:eastAsia="Calibri" w:hAnsi="Calibri" w:cs="Times New Roman"/>
          <w:sz w:val="20"/>
          <w:szCs w:val="20"/>
          <w:lang w:val="fr-FR"/>
        </w:rPr>
      </w:pPr>
    </w:p>
    <w:p w14:paraId="43514376" w14:textId="77777777" w:rsidR="00D52692" w:rsidRDefault="00D52692" w:rsidP="000447E4">
      <w:pPr>
        <w:contextualSpacing w:val="0"/>
        <w:jc w:val="left"/>
        <w:rPr>
          <w:rFonts w:ascii="Calibri" w:eastAsia="Calibri" w:hAnsi="Calibri" w:cs="Times New Roman"/>
          <w:sz w:val="20"/>
          <w:szCs w:val="20"/>
          <w:lang w:val="fr-FR"/>
        </w:rPr>
      </w:pPr>
    </w:p>
    <w:tbl>
      <w:tblPr>
        <w:tblStyle w:val="TableGrid3"/>
        <w:tblW w:w="9374"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2428"/>
        <w:gridCol w:w="3402"/>
        <w:gridCol w:w="2693"/>
      </w:tblGrid>
      <w:tr w:rsidR="00D52692" w:rsidRPr="0024072A" w14:paraId="2B5AC628" w14:textId="77777777" w:rsidTr="0025389A">
        <w:tc>
          <w:tcPr>
            <w:tcW w:w="3279" w:type="dxa"/>
            <w:gridSpan w:val="2"/>
            <w:tcBorders>
              <w:top w:val="single" w:sz="12" w:space="0" w:color="4472C4"/>
              <w:left w:val="single" w:sz="12" w:space="0" w:color="4472C4"/>
              <w:bottom w:val="single" w:sz="12" w:space="0" w:color="4472C4"/>
              <w:right w:val="single" w:sz="12" w:space="0" w:color="4472C4"/>
            </w:tcBorders>
          </w:tcPr>
          <w:p w14:paraId="2AC9C3EC" w14:textId="77777777" w:rsidR="00D52692" w:rsidRPr="0024072A" w:rsidRDefault="00D52692" w:rsidP="0025389A">
            <w:pPr>
              <w:contextualSpacing w:val="0"/>
              <w:rPr>
                <w:rFonts w:ascii="Calibri" w:eastAsia="Calibri" w:hAnsi="Calibri" w:cs="Calibri"/>
                <w:b/>
                <w:sz w:val="20"/>
                <w:szCs w:val="20"/>
                <w:lang w:val="en-GB"/>
              </w:rPr>
            </w:pPr>
          </w:p>
          <w:p w14:paraId="196DF64D"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Framing Question 1: What is the contribution of the VC to economic growth?</w:t>
            </w:r>
          </w:p>
          <w:p w14:paraId="2A8E98FA" w14:textId="77777777" w:rsidR="00D52692" w:rsidRPr="0024072A" w:rsidRDefault="00D52692" w:rsidP="0025389A">
            <w:pPr>
              <w:contextualSpacing w:val="0"/>
              <w:rPr>
                <w:rFonts w:ascii="Calibri" w:eastAsia="Calibri" w:hAnsi="Calibri" w:cs="Calibri"/>
                <w:b/>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tcPr>
          <w:p w14:paraId="3B8F80B8"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INDICATORS</w:t>
            </w:r>
          </w:p>
        </w:tc>
        <w:tc>
          <w:tcPr>
            <w:tcW w:w="2693" w:type="dxa"/>
            <w:tcBorders>
              <w:top w:val="single" w:sz="12" w:space="0" w:color="4472C4"/>
              <w:left w:val="single" w:sz="12" w:space="0" w:color="4472C4"/>
              <w:bottom w:val="single" w:sz="12" w:space="0" w:color="4472C4"/>
              <w:right w:val="single" w:sz="12" w:space="0" w:color="4472C4"/>
            </w:tcBorders>
          </w:tcPr>
          <w:p w14:paraId="0B49DAC7"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RESULTS</w:t>
            </w:r>
          </w:p>
        </w:tc>
      </w:tr>
      <w:tr w:rsidR="00D52692" w:rsidRPr="0024072A" w14:paraId="58E4F06B" w14:textId="77777777" w:rsidTr="0025389A">
        <w:trPr>
          <w:trHeight w:val="80"/>
        </w:trPr>
        <w:tc>
          <w:tcPr>
            <w:tcW w:w="851" w:type="dxa"/>
            <w:vMerge w:val="restart"/>
            <w:tcBorders>
              <w:top w:val="single" w:sz="12" w:space="0" w:color="4472C4"/>
              <w:left w:val="single" w:sz="12" w:space="0" w:color="4472C4"/>
              <w:right w:val="single" w:sz="12" w:space="0" w:color="4472C4"/>
            </w:tcBorders>
            <w:shd w:val="clear" w:color="auto" w:fill="FBE4D5"/>
          </w:tcPr>
          <w:p w14:paraId="5470B968" w14:textId="77777777" w:rsidR="00D52692" w:rsidRPr="0024072A" w:rsidRDefault="00D52692" w:rsidP="0025389A">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CQ1.2</w:t>
            </w:r>
          </w:p>
        </w:tc>
        <w:tc>
          <w:tcPr>
            <w:tcW w:w="2428" w:type="dxa"/>
            <w:vMerge w:val="restart"/>
            <w:tcBorders>
              <w:top w:val="single" w:sz="12" w:space="0" w:color="4472C4"/>
              <w:left w:val="single" w:sz="12" w:space="0" w:color="4472C4"/>
              <w:right w:val="single" w:sz="12" w:space="0" w:color="4472C4"/>
            </w:tcBorders>
            <w:shd w:val="clear" w:color="auto" w:fill="FBE4D5"/>
          </w:tcPr>
          <w:p w14:paraId="0385B290" w14:textId="77777777" w:rsidR="00D52692" w:rsidRPr="0024072A" w:rsidRDefault="00D52692" w:rsidP="0025389A">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What is the contribution of the VC to the GDP?</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3B1FE161"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rPr>
              <w:t>Value of final VC production</w:t>
            </w:r>
            <w:r>
              <w:rPr>
                <w:rFonts w:ascii="Calibri" w:eastAsia="Calibri" w:hAnsi="Calibri" w:cs="Calibri"/>
                <w:b/>
                <w:sz w:val="20"/>
                <w:szCs w:val="20"/>
              </w:rPr>
              <w:t xml:space="preserve">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51162060"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3,200</w:t>
            </w:r>
          </w:p>
        </w:tc>
      </w:tr>
      <w:tr w:rsidR="00D52692" w:rsidRPr="0024072A" w14:paraId="17C36AD2" w14:textId="77777777" w:rsidTr="0025389A">
        <w:trPr>
          <w:trHeight w:val="80"/>
        </w:trPr>
        <w:tc>
          <w:tcPr>
            <w:tcW w:w="851" w:type="dxa"/>
            <w:vMerge/>
            <w:tcBorders>
              <w:left w:val="single" w:sz="12" w:space="0" w:color="4472C4"/>
              <w:right w:val="single" w:sz="12" w:space="0" w:color="4472C4"/>
            </w:tcBorders>
            <w:shd w:val="clear" w:color="auto" w:fill="FBE4D5"/>
          </w:tcPr>
          <w:p w14:paraId="61E82823"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2258BCCE"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414FE881" w14:textId="77777777" w:rsidR="00D52692" w:rsidRPr="0024072A" w:rsidRDefault="00D52692" w:rsidP="0025389A">
            <w:pPr>
              <w:contextualSpacing w:val="0"/>
              <w:rPr>
                <w:rFonts w:ascii="Calibri" w:eastAsia="Calibri" w:hAnsi="Calibri" w:cs="Calibri"/>
                <w:b/>
                <w:sz w:val="20"/>
                <w:szCs w:val="20"/>
                <w:lang w:val="en-GB"/>
              </w:rPr>
            </w:pPr>
            <w:r>
              <w:rPr>
                <w:rFonts w:ascii="Calibri" w:eastAsia="Calibri" w:hAnsi="Calibri" w:cs="Calibri"/>
                <w:b/>
                <w:sz w:val="20"/>
                <w:szCs w:val="20"/>
                <w:lang w:val="en-GB"/>
              </w:rPr>
              <w:t xml:space="preserve">Direct VA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31976326"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2,817</w:t>
            </w:r>
            <w:r w:rsidRPr="002A3195">
              <w:rPr>
                <w:rFonts w:ascii="Calibri" w:eastAsia="Calibri" w:hAnsi="Calibri" w:cs="Calibri"/>
                <w:bCs/>
                <w:sz w:val="20"/>
                <w:szCs w:val="20"/>
                <w:lang w:val="en-GB"/>
              </w:rPr>
              <w:t xml:space="preserve"> </w:t>
            </w:r>
          </w:p>
        </w:tc>
      </w:tr>
      <w:tr w:rsidR="00D52692" w:rsidRPr="0024072A" w14:paraId="336BF783" w14:textId="77777777" w:rsidTr="0025389A">
        <w:trPr>
          <w:trHeight w:val="80"/>
        </w:trPr>
        <w:tc>
          <w:tcPr>
            <w:tcW w:w="851" w:type="dxa"/>
            <w:vMerge/>
            <w:tcBorders>
              <w:left w:val="single" w:sz="12" w:space="0" w:color="4472C4"/>
              <w:right w:val="single" w:sz="12" w:space="0" w:color="4472C4"/>
            </w:tcBorders>
            <w:shd w:val="clear" w:color="auto" w:fill="FBE4D5"/>
          </w:tcPr>
          <w:p w14:paraId="3EE5AEBD"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0C6D6832"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5C431057" w14:textId="77777777" w:rsidR="00D52692" w:rsidRDefault="00D52692" w:rsidP="0025389A">
            <w:pPr>
              <w:contextualSpacing w:val="0"/>
              <w:rPr>
                <w:rFonts w:ascii="Calibri" w:eastAsia="Calibri" w:hAnsi="Calibri" w:cs="Calibri"/>
                <w:b/>
                <w:sz w:val="20"/>
                <w:szCs w:val="20"/>
                <w:lang w:val="en-GB"/>
              </w:rPr>
            </w:pPr>
            <w:r>
              <w:rPr>
                <w:rFonts w:ascii="Calibri" w:eastAsia="Calibri" w:hAnsi="Calibri" w:cs="Calibri"/>
                <w:b/>
                <w:sz w:val="20"/>
                <w:szCs w:val="20"/>
                <w:lang w:val="en-GB"/>
              </w:rPr>
              <w:t xml:space="preserve">Total VA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13D6D311"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2,831</w:t>
            </w:r>
          </w:p>
        </w:tc>
      </w:tr>
      <w:tr w:rsidR="00D52692" w:rsidRPr="0024072A" w14:paraId="0405EF90" w14:textId="77777777" w:rsidTr="0025389A">
        <w:trPr>
          <w:trHeight w:val="80"/>
        </w:trPr>
        <w:tc>
          <w:tcPr>
            <w:tcW w:w="851" w:type="dxa"/>
            <w:vMerge/>
            <w:tcBorders>
              <w:left w:val="single" w:sz="12" w:space="0" w:color="4472C4"/>
              <w:right w:val="single" w:sz="12" w:space="0" w:color="4472C4"/>
            </w:tcBorders>
            <w:shd w:val="clear" w:color="auto" w:fill="FBE4D5"/>
          </w:tcPr>
          <w:p w14:paraId="5003293E"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24520265"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7932B27B" w14:textId="77777777" w:rsidR="00D52692" w:rsidRDefault="00D52692" w:rsidP="0025389A">
            <w:pPr>
              <w:contextualSpacing w:val="0"/>
              <w:rPr>
                <w:rFonts w:ascii="Calibri" w:eastAsia="Calibri" w:hAnsi="Calibri" w:cs="Calibri"/>
                <w:b/>
                <w:sz w:val="20"/>
                <w:szCs w:val="20"/>
                <w:lang w:val="en-GB"/>
              </w:rPr>
            </w:pPr>
            <w:r>
              <w:rPr>
                <w:rFonts w:ascii="Calibri" w:eastAsia="Calibri" w:hAnsi="Calibri" w:cs="Calibri"/>
                <w:b/>
                <w:sz w:val="20"/>
                <w:szCs w:val="20"/>
                <w:lang w:val="en-GB"/>
              </w:rPr>
              <w:t>Total VA creation per stage (%)</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28F61810" w14:textId="77777777" w:rsidR="00D52692" w:rsidRPr="002A3195" w:rsidRDefault="00D52692" w:rsidP="0025389A">
            <w:pPr>
              <w:contextualSpacing w:val="0"/>
              <w:jc w:val="left"/>
              <w:rPr>
                <w:rFonts w:ascii="Calibri" w:eastAsia="Calibri" w:hAnsi="Calibri" w:cs="Calibri"/>
                <w:bCs/>
                <w:sz w:val="20"/>
                <w:szCs w:val="20"/>
                <w:lang w:val="en-GB"/>
              </w:rPr>
            </w:pPr>
            <w:r w:rsidRPr="00C91423">
              <w:rPr>
                <w:rFonts w:ascii="Calibri" w:eastAsia="Calibri" w:hAnsi="Calibri" w:cs="Calibri"/>
                <w:bCs/>
                <w:sz w:val="20"/>
                <w:szCs w:val="20"/>
                <w:lang w:val="en-GB"/>
              </w:rPr>
              <w:t>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45%</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Larger 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23%</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Cooperative</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3%</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Agent</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6%</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Dealer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4%</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Exporter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20%</w:t>
            </w:r>
          </w:p>
        </w:tc>
      </w:tr>
      <w:tr w:rsidR="00D52692" w:rsidRPr="0024072A" w14:paraId="16650E9C" w14:textId="77777777" w:rsidTr="0025389A">
        <w:trPr>
          <w:trHeight w:val="80"/>
        </w:trPr>
        <w:tc>
          <w:tcPr>
            <w:tcW w:w="851" w:type="dxa"/>
            <w:vMerge/>
            <w:tcBorders>
              <w:left w:val="single" w:sz="12" w:space="0" w:color="4472C4"/>
              <w:right w:val="single" w:sz="12" w:space="0" w:color="4472C4"/>
            </w:tcBorders>
            <w:shd w:val="clear" w:color="auto" w:fill="FBE4D5"/>
            <w:hideMark/>
          </w:tcPr>
          <w:p w14:paraId="72C4214E"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693E9DCD"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2238B40A"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Total VA and components</w:t>
            </w:r>
            <w:r>
              <w:rPr>
                <w:rFonts w:ascii="Calibri" w:eastAsia="Calibri" w:hAnsi="Calibri" w:cs="Calibri"/>
                <w:b/>
                <w:sz w:val="20"/>
                <w:szCs w:val="20"/>
                <w:lang w:val="en-GB"/>
              </w:rPr>
              <w:t xml:space="preserve">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r>
              <w:rPr>
                <w:rFonts w:ascii="Calibri" w:eastAsia="Calibri" w:hAnsi="Calibri" w:cs="Calibri"/>
                <w:b/>
                <w:sz w:val="20"/>
                <w:szCs w:val="20"/>
                <w:lang w:val="en-GB"/>
              </w:rPr>
              <w:t xml:space="preserve">: </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745FB30E" w14:textId="77777777" w:rsidR="00D52692" w:rsidRPr="002A3195" w:rsidRDefault="00D52692" w:rsidP="0025389A">
            <w:pPr>
              <w:contextualSpacing w:val="0"/>
              <w:jc w:val="left"/>
              <w:rPr>
                <w:rFonts w:ascii="Calibri" w:eastAsia="Calibri" w:hAnsi="Calibri" w:cs="Calibri"/>
                <w:bCs/>
                <w:sz w:val="20"/>
                <w:szCs w:val="20"/>
                <w:lang w:val="en-GB"/>
              </w:rPr>
            </w:pPr>
            <w:r w:rsidRPr="002A3195">
              <w:rPr>
                <w:rFonts w:ascii="Calibri" w:eastAsia="Calibri" w:hAnsi="Calibri" w:cs="Calibri"/>
                <w:bCs/>
                <w:sz w:val="20"/>
                <w:szCs w:val="20"/>
                <w:lang w:val="en-GB"/>
              </w:rPr>
              <w:t xml:space="preserve">Wages/salaries: </w:t>
            </w:r>
            <w:r>
              <w:rPr>
                <w:rFonts w:ascii="Calibri" w:eastAsia="Calibri" w:hAnsi="Calibri" w:cs="Calibri"/>
                <w:bCs/>
                <w:sz w:val="20"/>
                <w:szCs w:val="20"/>
                <w:lang w:val="en-GB"/>
              </w:rPr>
              <w:t>271</w:t>
            </w:r>
            <w:r w:rsidRPr="002A3195">
              <w:rPr>
                <w:rFonts w:ascii="Calibri" w:eastAsia="Calibri" w:hAnsi="Calibri" w:cs="Calibri"/>
                <w:bCs/>
                <w:sz w:val="20"/>
                <w:szCs w:val="20"/>
                <w:lang w:val="en-GB"/>
              </w:rPr>
              <w:t xml:space="preserve">; Taxes on operations: </w:t>
            </w:r>
            <w:r>
              <w:rPr>
                <w:rFonts w:ascii="Calibri" w:eastAsia="Calibri" w:hAnsi="Calibri" w:cs="Calibri"/>
                <w:bCs/>
                <w:sz w:val="20"/>
                <w:szCs w:val="20"/>
                <w:lang w:val="en-GB"/>
              </w:rPr>
              <w:t>85</w:t>
            </w:r>
            <w:r w:rsidRPr="002A3195">
              <w:rPr>
                <w:rFonts w:ascii="Calibri" w:eastAsia="Calibri" w:hAnsi="Calibri" w:cs="Calibri"/>
                <w:bCs/>
                <w:sz w:val="20"/>
                <w:szCs w:val="20"/>
                <w:lang w:val="en-GB"/>
              </w:rPr>
              <w:t xml:space="preserve">; Depreciation: </w:t>
            </w:r>
            <w:r>
              <w:rPr>
                <w:rFonts w:ascii="Calibri" w:eastAsia="Calibri" w:hAnsi="Calibri" w:cs="Calibri"/>
                <w:bCs/>
                <w:sz w:val="20"/>
                <w:szCs w:val="20"/>
                <w:lang w:val="en-GB"/>
              </w:rPr>
              <w:t>16</w:t>
            </w:r>
            <w:r w:rsidRPr="002A3195">
              <w:rPr>
                <w:rFonts w:ascii="Calibri" w:eastAsia="Calibri" w:hAnsi="Calibri" w:cs="Calibri"/>
                <w:bCs/>
                <w:sz w:val="20"/>
                <w:szCs w:val="20"/>
                <w:lang w:val="en-GB"/>
              </w:rPr>
              <w:t xml:space="preserve">; Operating profits: </w:t>
            </w:r>
            <w:r>
              <w:rPr>
                <w:rFonts w:ascii="Calibri" w:eastAsia="Calibri" w:hAnsi="Calibri" w:cs="Calibri"/>
                <w:bCs/>
                <w:sz w:val="20"/>
                <w:szCs w:val="20"/>
                <w:lang w:val="en-GB"/>
              </w:rPr>
              <w:t>2,457</w:t>
            </w:r>
            <w:r w:rsidRPr="002A3195">
              <w:rPr>
                <w:rFonts w:ascii="Calibri" w:eastAsia="Calibri" w:hAnsi="Calibri" w:cs="Calibri"/>
                <w:bCs/>
                <w:sz w:val="20"/>
                <w:szCs w:val="20"/>
                <w:lang w:val="en-GB"/>
              </w:rPr>
              <w:t xml:space="preserve"> </w:t>
            </w:r>
          </w:p>
        </w:tc>
      </w:tr>
      <w:tr w:rsidR="00D52692" w:rsidRPr="0024072A" w14:paraId="615B3AD5" w14:textId="77777777" w:rsidTr="0025389A">
        <w:trPr>
          <w:trHeight w:val="80"/>
        </w:trPr>
        <w:tc>
          <w:tcPr>
            <w:tcW w:w="851" w:type="dxa"/>
            <w:vMerge/>
            <w:tcBorders>
              <w:left w:val="single" w:sz="12" w:space="0" w:color="4472C4"/>
              <w:right w:val="single" w:sz="12" w:space="0" w:color="4472C4"/>
            </w:tcBorders>
            <w:shd w:val="clear" w:color="auto" w:fill="FBE4D5"/>
          </w:tcPr>
          <w:p w14:paraId="3DEE2727"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7460CAA6"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404B2715"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Total VA in percentage of the GDP</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1E27364F"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1.8</w:t>
            </w:r>
            <w:r w:rsidRPr="002A3195">
              <w:rPr>
                <w:rFonts w:ascii="Calibri" w:eastAsia="Calibri" w:hAnsi="Calibri" w:cs="Calibri"/>
                <w:bCs/>
                <w:sz w:val="20"/>
                <w:szCs w:val="20"/>
                <w:lang w:val="en-GB"/>
              </w:rPr>
              <w:t xml:space="preserve">% </w:t>
            </w:r>
          </w:p>
        </w:tc>
      </w:tr>
      <w:tr w:rsidR="00D52692" w:rsidRPr="0024072A" w14:paraId="174E465F" w14:textId="77777777" w:rsidTr="0025389A">
        <w:trPr>
          <w:trHeight w:val="80"/>
        </w:trPr>
        <w:tc>
          <w:tcPr>
            <w:tcW w:w="851" w:type="dxa"/>
            <w:vMerge/>
            <w:tcBorders>
              <w:left w:val="single" w:sz="12" w:space="0" w:color="4472C4"/>
              <w:bottom w:val="single" w:sz="12" w:space="0" w:color="4472C4"/>
              <w:right w:val="single" w:sz="12" w:space="0" w:color="4472C4"/>
            </w:tcBorders>
            <w:shd w:val="clear" w:color="auto" w:fill="FBE4D5"/>
          </w:tcPr>
          <w:p w14:paraId="03ECD7D2"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bottom w:val="single" w:sz="12" w:space="0" w:color="4472C4"/>
              <w:right w:val="single" w:sz="12" w:space="0" w:color="4472C4"/>
            </w:tcBorders>
            <w:shd w:val="clear" w:color="auto" w:fill="FBE4D5"/>
          </w:tcPr>
          <w:p w14:paraId="30204FFB"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2A92EF7"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Rate of integration into the Economy (total VA/VC production)</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0F7BB152" w14:textId="77777777" w:rsidR="00D52692" w:rsidRPr="002A3195" w:rsidRDefault="00D52692" w:rsidP="0025389A">
            <w:pPr>
              <w:contextualSpacing w:val="0"/>
              <w:jc w:val="left"/>
              <w:rPr>
                <w:rFonts w:ascii="Calibri" w:eastAsia="Calibri" w:hAnsi="Calibri" w:cs="Calibri"/>
                <w:bCs/>
                <w:sz w:val="20"/>
                <w:szCs w:val="20"/>
                <w:lang w:val="en-GB"/>
              </w:rPr>
            </w:pPr>
            <w:r w:rsidRPr="002A3195">
              <w:rPr>
                <w:rFonts w:ascii="Calibri" w:eastAsia="Calibri" w:hAnsi="Calibri" w:cs="Calibri"/>
                <w:bCs/>
                <w:sz w:val="20"/>
                <w:szCs w:val="20"/>
                <w:lang w:val="en-GB"/>
              </w:rPr>
              <w:t>8</w:t>
            </w:r>
            <w:r>
              <w:rPr>
                <w:rFonts w:ascii="Calibri" w:eastAsia="Calibri" w:hAnsi="Calibri" w:cs="Calibri"/>
                <w:bCs/>
                <w:sz w:val="20"/>
                <w:szCs w:val="20"/>
                <w:lang w:val="en-GB"/>
              </w:rPr>
              <w:t>8.5</w:t>
            </w:r>
            <w:r w:rsidRPr="002A3195">
              <w:rPr>
                <w:rFonts w:ascii="Calibri" w:eastAsia="Calibri" w:hAnsi="Calibri" w:cs="Calibri"/>
                <w:bCs/>
                <w:sz w:val="20"/>
                <w:szCs w:val="20"/>
                <w:lang w:val="en-GB"/>
              </w:rPr>
              <w:t xml:space="preserve">% </w:t>
            </w:r>
          </w:p>
        </w:tc>
      </w:tr>
      <w:tr w:rsidR="00D52692" w:rsidRPr="0024072A" w14:paraId="78D30ED2" w14:textId="77777777" w:rsidTr="0025389A">
        <w:tc>
          <w:tcPr>
            <w:tcW w:w="851" w:type="dxa"/>
            <w:tcBorders>
              <w:top w:val="single" w:sz="12" w:space="0" w:color="4472C4"/>
              <w:left w:val="single" w:sz="12" w:space="0" w:color="4472C4"/>
              <w:bottom w:val="single" w:sz="12" w:space="0" w:color="4472C4"/>
              <w:right w:val="single" w:sz="12" w:space="0" w:color="4472C4"/>
            </w:tcBorders>
            <w:shd w:val="clear" w:color="auto" w:fill="FBE4D5"/>
            <w:hideMark/>
          </w:tcPr>
          <w:p w14:paraId="30EE6B1A" w14:textId="77777777" w:rsidR="00D52692" w:rsidRPr="0024072A" w:rsidRDefault="00D52692" w:rsidP="0025389A">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CQ1.3</w:t>
            </w:r>
          </w:p>
        </w:tc>
        <w:tc>
          <w:tcPr>
            <w:tcW w:w="2428" w:type="dxa"/>
            <w:tcBorders>
              <w:top w:val="single" w:sz="12" w:space="0" w:color="4472C4"/>
              <w:left w:val="single" w:sz="12" w:space="0" w:color="4472C4"/>
              <w:bottom w:val="single" w:sz="12" w:space="0" w:color="4472C4"/>
              <w:right w:val="single" w:sz="12" w:space="0" w:color="4472C4"/>
            </w:tcBorders>
            <w:shd w:val="clear" w:color="auto" w:fill="FBE4D5"/>
          </w:tcPr>
          <w:p w14:paraId="458F8DF3" w14:textId="77777777" w:rsidR="00D52692" w:rsidRPr="0024072A" w:rsidRDefault="00D52692" w:rsidP="0025389A">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What is the contribution of the VC to the agriculture sector GDP?</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2F458463"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rPr>
              <w:t>VC agricultural actors’ Value Added in percentage of the agriculture sector GDP</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18F48D07" w14:textId="77777777" w:rsidR="00D52692" w:rsidRPr="002A3195" w:rsidRDefault="00D52692" w:rsidP="0025389A">
            <w:pPr>
              <w:contextualSpacing w:val="0"/>
              <w:rPr>
                <w:rFonts w:ascii="Calibri" w:eastAsia="Calibri" w:hAnsi="Calibri" w:cs="Calibri"/>
                <w:bCs/>
                <w:sz w:val="20"/>
                <w:szCs w:val="20"/>
                <w:lang w:val="en-GB"/>
              </w:rPr>
            </w:pPr>
            <w:r>
              <w:rPr>
                <w:rFonts w:ascii="Calibri" w:eastAsia="Calibri" w:hAnsi="Calibri" w:cs="Calibri"/>
                <w:bCs/>
                <w:sz w:val="20"/>
                <w:szCs w:val="20"/>
                <w:lang w:val="en-GB"/>
              </w:rPr>
              <w:t>4.2</w:t>
            </w:r>
            <w:r w:rsidRPr="002A3195">
              <w:rPr>
                <w:rFonts w:ascii="Calibri" w:eastAsia="Calibri" w:hAnsi="Calibri" w:cs="Calibri"/>
                <w:bCs/>
                <w:sz w:val="20"/>
                <w:szCs w:val="20"/>
                <w:lang w:val="en-GB"/>
              </w:rPr>
              <w:t xml:space="preserve">% </w:t>
            </w:r>
          </w:p>
        </w:tc>
      </w:tr>
      <w:tr w:rsidR="00D52692" w:rsidRPr="0024072A" w14:paraId="7D7C889B" w14:textId="77777777" w:rsidTr="0025389A">
        <w:tc>
          <w:tcPr>
            <w:tcW w:w="851" w:type="dxa"/>
            <w:vMerge w:val="restart"/>
            <w:tcBorders>
              <w:top w:val="single" w:sz="12" w:space="0" w:color="4472C4"/>
              <w:left w:val="single" w:sz="12" w:space="0" w:color="4472C4"/>
              <w:right w:val="single" w:sz="12" w:space="0" w:color="4472C4"/>
            </w:tcBorders>
            <w:shd w:val="clear" w:color="auto" w:fill="FBE4D5"/>
          </w:tcPr>
          <w:p w14:paraId="53EC80DB" w14:textId="77777777" w:rsidR="00D52692" w:rsidRPr="0024072A" w:rsidRDefault="00D52692" w:rsidP="0025389A">
            <w:pPr>
              <w:rPr>
                <w:rFonts w:ascii="Calibri" w:eastAsia="Calibri" w:hAnsi="Calibri" w:cs="Calibri"/>
                <w:sz w:val="20"/>
                <w:szCs w:val="20"/>
                <w:lang w:val="en-GB"/>
              </w:rPr>
            </w:pPr>
            <w:r w:rsidRPr="0024072A">
              <w:rPr>
                <w:rFonts w:ascii="Calibri" w:eastAsia="Calibri" w:hAnsi="Calibri" w:cs="Calibri"/>
                <w:sz w:val="20"/>
                <w:szCs w:val="20"/>
                <w:lang w:val="en-GB"/>
              </w:rPr>
              <w:t>CQ1.4</w:t>
            </w:r>
          </w:p>
        </w:tc>
        <w:tc>
          <w:tcPr>
            <w:tcW w:w="2428" w:type="dxa"/>
            <w:vMerge w:val="restart"/>
            <w:tcBorders>
              <w:top w:val="single" w:sz="12" w:space="0" w:color="4472C4"/>
              <w:left w:val="single" w:sz="12" w:space="0" w:color="4472C4"/>
              <w:right w:val="single" w:sz="12" w:space="0" w:color="4472C4"/>
            </w:tcBorders>
            <w:shd w:val="clear" w:color="auto" w:fill="FBE4D5"/>
          </w:tcPr>
          <w:p w14:paraId="3318210F" w14:textId="77777777" w:rsidR="00D52692" w:rsidRPr="0024072A" w:rsidRDefault="00D52692" w:rsidP="0025389A">
            <w:pPr>
              <w:rPr>
                <w:rFonts w:ascii="Calibri" w:eastAsia="Calibri" w:hAnsi="Calibri" w:cs="Calibri"/>
                <w:sz w:val="20"/>
                <w:szCs w:val="20"/>
                <w:lang w:val="en-GB"/>
              </w:rPr>
            </w:pPr>
            <w:r w:rsidRPr="0024072A">
              <w:rPr>
                <w:rFonts w:ascii="Calibri" w:eastAsia="Calibri" w:hAnsi="Calibri" w:cs="Calibri"/>
                <w:sz w:val="20"/>
                <w:szCs w:val="20"/>
                <w:lang w:val="en-GB"/>
              </w:rPr>
              <w:t>What is the contribution of the VC to the public finances?</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3FB90B93" w14:textId="77777777" w:rsidR="00D52692" w:rsidRPr="0024072A" w:rsidRDefault="00D52692" w:rsidP="0025389A">
            <w:pPr>
              <w:contextualSpacing w:val="0"/>
              <w:rPr>
                <w:rFonts w:ascii="Calibri" w:eastAsia="Calibri" w:hAnsi="Calibri" w:cs="Calibri"/>
                <w:b/>
                <w:sz w:val="20"/>
                <w:szCs w:val="20"/>
                <w:lang w:val="en-GB"/>
              </w:rPr>
            </w:pPr>
            <w:r>
              <w:rPr>
                <w:rFonts w:ascii="Calibri" w:eastAsia="Calibri" w:hAnsi="Calibri" w:cs="Calibri"/>
                <w:b/>
                <w:sz w:val="20"/>
                <w:szCs w:val="20"/>
                <w:lang w:val="en-GB"/>
              </w:rPr>
              <w:t xml:space="preserve">Receipts of the government (taxes, etc.)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38FDD90D" w14:textId="77777777" w:rsidR="00D52692" w:rsidRPr="002A3195" w:rsidRDefault="00D52692" w:rsidP="0025389A">
            <w:pPr>
              <w:contextualSpacing w:val="0"/>
              <w:rPr>
                <w:rFonts w:ascii="Calibri" w:eastAsia="Calibri" w:hAnsi="Calibri" w:cs="Calibri"/>
                <w:bCs/>
                <w:sz w:val="20"/>
                <w:szCs w:val="20"/>
                <w:lang w:val="en-GB"/>
              </w:rPr>
            </w:pPr>
            <w:r>
              <w:rPr>
                <w:rFonts w:ascii="Calibri" w:eastAsia="Calibri" w:hAnsi="Calibri" w:cs="Calibri"/>
                <w:bCs/>
                <w:sz w:val="20"/>
                <w:szCs w:val="20"/>
                <w:lang w:val="en-GB"/>
              </w:rPr>
              <w:t>85</w:t>
            </w:r>
          </w:p>
        </w:tc>
      </w:tr>
      <w:tr w:rsidR="00D52692" w:rsidRPr="0024072A" w14:paraId="468A8FAD" w14:textId="77777777" w:rsidTr="0025389A">
        <w:tc>
          <w:tcPr>
            <w:tcW w:w="851" w:type="dxa"/>
            <w:vMerge/>
            <w:tcBorders>
              <w:left w:val="single" w:sz="12" w:space="0" w:color="4472C4"/>
              <w:bottom w:val="single" w:sz="12" w:space="0" w:color="4472C4"/>
              <w:right w:val="single" w:sz="12" w:space="0" w:color="4472C4"/>
            </w:tcBorders>
            <w:shd w:val="clear" w:color="auto" w:fill="FBE4D5"/>
            <w:hideMark/>
          </w:tcPr>
          <w:p w14:paraId="2D91AE0D" w14:textId="77777777" w:rsidR="00D52692" w:rsidRPr="0024072A" w:rsidRDefault="00D52692" w:rsidP="0025389A">
            <w:pPr>
              <w:contextualSpacing w:val="0"/>
              <w:rPr>
                <w:rFonts w:ascii="Calibri" w:eastAsia="Calibri" w:hAnsi="Calibri" w:cs="Calibri"/>
                <w:sz w:val="20"/>
                <w:szCs w:val="20"/>
                <w:lang w:val="en-GB"/>
              </w:rPr>
            </w:pPr>
          </w:p>
        </w:tc>
        <w:tc>
          <w:tcPr>
            <w:tcW w:w="2428" w:type="dxa"/>
            <w:vMerge/>
            <w:tcBorders>
              <w:left w:val="single" w:sz="12" w:space="0" w:color="4472C4"/>
              <w:bottom w:val="single" w:sz="12" w:space="0" w:color="4472C4"/>
              <w:right w:val="single" w:sz="12" w:space="0" w:color="4472C4"/>
            </w:tcBorders>
            <w:shd w:val="clear" w:color="auto" w:fill="FBE4D5"/>
          </w:tcPr>
          <w:p w14:paraId="48CEF96C" w14:textId="77777777" w:rsidR="00D52692" w:rsidRPr="0024072A" w:rsidRDefault="00D52692" w:rsidP="0025389A">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47436FC3" w14:textId="77777777" w:rsidR="00D52692" w:rsidRPr="0024072A" w:rsidRDefault="00D52692" w:rsidP="0025389A">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Public Funds Balance</w:t>
            </w:r>
            <w:r>
              <w:rPr>
                <w:rFonts w:ascii="Calibri" w:eastAsia="Calibri" w:hAnsi="Calibri" w:cs="Calibri"/>
                <w:b/>
                <w:sz w:val="20"/>
                <w:szCs w:val="20"/>
                <w:lang w:val="en-GB"/>
              </w:rPr>
              <w:t xml:space="preserve">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01236948" w14:textId="77777777" w:rsidR="00D52692" w:rsidRPr="002A3195" w:rsidRDefault="00D52692" w:rsidP="0025389A">
            <w:pPr>
              <w:contextualSpacing w:val="0"/>
              <w:rPr>
                <w:rFonts w:ascii="Calibri" w:eastAsia="Calibri" w:hAnsi="Calibri" w:cs="Calibri"/>
                <w:bCs/>
                <w:sz w:val="20"/>
                <w:szCs w:val="20"/>
                <w:lang w:val="en-GB"/>
              </w:rPr>
            </w:pPr>
            <w:r>
              <w:rPr>
                <w:rFonts w:ascii="Calibri" w:eastAsia="Calibri" w:hAnsi="Calibri" w:cs="Calibri"/>
                <w:bCs/>
                <w:sz w:val="20"/>
                <w:szCs w:val="20"/>
                <w:lang w:val="en-GB"/>
              </w:rPr>
              <w:t>81</w:t>
            </w:r>
          </w:p>
        </w:tc>
      </w:tr>
      <w:tr w:rsidR="00D52692" w:rsidRPr="0024072A" w14:paraId="12CB4CAE" w14:textId="77777777" w:rsidTr="0025389A">
        <w:trPr>
          <w:trHeight w:val="245"/>
        </w:trPr>
        <w:tc>
          <w:tcPr>
            <w:tcW w:w="851" w:type="dxa"/>
            <w:vMerge w:val="restart"/>
            <w:tcBorders>
              <w:top w:val="single" w:sz="12" w:space="0" w:color="4472C4"/>
              <w:left w:val="single" w:sz="12" w:space="0" w:color="4472C4"/>
              <w:right w:val="single" w:sz="12" w:space="0" w:color="4472C4"/>
            </w:tcBorders>
            <w:shd w:val="clear" w:color="auto" w:fill="FBE4D5"/>
          </w:tcPr>
          <w:p w14:paraId="4CB6B33E" w14:textId="77777777" w:rsidR="00D52692" w:rsidRPr="0024072A" w:rsidRDefault="00D52692" w:rsidP="0025389A">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CQ1.5</w:t>
            </w:r>
          </w:p>
        </w:tc>
        <w:tc>
          <w:tcPr>
            <w:tcW w:w="2428" w:type="dxa"/>
            <w:vMerge w:val="restart"/>
            <w:tcBorders>
              <w:top w:val="single" w:sz="12" w:space="0" w:color="4472C4"/>
              <w:left w:val="single" w:sz="12" w:space="0" w:color="4472C4"/>
              <w:right w:val="single" w:sz="12" w:space="0" w:color="4472C4"/>
            </w:tcBorders>
            <w:shd w:val="clear" w:color="auto" w:fill="FBE4D5"/>
          </w:tcPr>
          <w:p w14:paraId="18073D33" w14:textId="77777777" w:rsidR="00D52692" w:rsidRPr="0024072A" w:rsidRDefault="00D52692" w:rsidP="0025389A">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What is the contribution of the VC to the balance of trade?</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8C381AD" w14:textId="77777777" w:rsidR="00D52692" w:rsidRPr="0024072A" w:rsidRDefault="00D52692" w:rsidP="0025389A">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VC exports</w:t>
            </w:r>
            <w:r>
              <w:rPr>
                <w:rFonts w:ascii="Calibri" w:eastAsia="Calibri" w:hAnsi="Calibri" w:cs="Calibri"/>
                <w:b/>
                <w:sz w:val="20"/>
                <w:szCs w:val="20"/>
                <w:lang w:val="en-GB"/>
              </w:rPr>
              <w:t xml:space="preserve">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2F52B3DF"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3,200</w:t>
            </w:r>
          </w:p>
        </w:tc>
      </w:tr>
      <w:tr w:rsidR="00D52692" w:rsidRPr="0024072A" w14:paraId="13D625CC" w14:textId="77777777" w:rsidTr="0025389A">
        <w:trPr>
          <w:trHeight w:val="245"/>
        </w:trPr>
        <w:tc>
          <w:tcPr>
            <w:tcW w:w="851" w:type="dxa"/>
            <w:vMerge/>
            <w:tcBorders>
              <w:left w:val="single" w:sz="12" w:space="0" w:color="4472C4"/>
              <w:right w:val="single" w:sz="12" w:space="0" w:color="4472C4"/>
            </w:tcBorders>
            <w:shd w:val="clear" w:color="auto" w:fill="FBE4D5"/>
            <w:hideMark/>
          </w:tcPr>
          <w:p w14:paraId="1C495A72" w14:textId="77777777" w:rsidR="00D52692" w:rsidRPr="0024072A" w:rsidRDefault="00D52692" w:rsidP="0025389A">
            <w:pPr>
              <w:contextualSpacing w:val="0"/>
              <w:jc w:val="left"/>
              <w:rPr>
                <w:rFonts w:ascii="Calibri" w:eastAsia="Calibri" w:hAnsi="Calibri" w:cs="Calibri"/>
                <w:sz w:val="20"/>
                <w:szCs w:val="20"/>
                <w:lang w:val="en-GB"/>
              </w:rPr>
            </w:pPr>
          </w:p>
        </w:tc>
        <w:tc>
          <w:tcPr>
            <w:tcW w:w="2428" w:type="dxa"/>
            <w:vMerge/>
            <w:tcBorders>
              <w:left w:val="single" w:sz="12" w:space="0" w:color="4472C4"/>
              <w:right w:val="single" w:sz="12" w:space="0" w:color="4472C4"/>
            </w:tcBorders>
            <w:shd w:val="clear" w:color="auto" w:fill="FBE4D5"/>
          </w:tcPr>
          <w:p w14:paraId="451F99D6" w14:textId="77777777" w:rsidR="00D52692" w:rsidRPr="0024072A" w:rsidRDefault="00D52692" w:rsidP="0025389A">
            <w:pPr>
              <w:contextualSpacing w:val="0"/>
              <w:jc w:val="left"/>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85D7916" w14:textId="77777777" w:rsidR="00D52692" w:rsidRPr="0024072A" w:rsidRDefault="00D52692" w:rsidP="0025389A">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VC total imports</w:t>
            </w:r>
            <w:r>
              <w:rPr>
                <w:rFonts w:ascii="Calibri" w:eastAsia="Calibri" w:hAnsi="Calibri" w:cs="Calibri"/>
                <w:b/>
                <w:sz w:val="20"/>
                <w:szCs w:val="20"/>
                <w:lang w:val="en-GB"/>
              </w:rPr>
              <w:t xml:space="preserve"> (goods and services)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64FB32BB" w14:textId="77777777" w:rsidR="00D52692" w:rsidRPr="002A3195" w:rsidRDefault="00D52692" w:rsidP="0025389A">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352</w:t>
            </w:r>
          </w:p>
        </w:tc>
      </w:tr>
      <w:tr w:rsidR="00D52692" w:rsidRPr="0017485E" w14:paraId="19AA2852" w14:textId="77777777" w:rsidTr="0025389A">
        <w:trPr>
          <w:trHeight w:val="245"/>
        </w:trPr>
        <w:tc>
          <w:tcPr>
            <w:tcW w:w="851" w:type="dxa"/>
            <w:vMerge/>
            <w:tcBorders>
              <w:left w:val="single" w:sz="12" w:space="0" w:color="4472C4"/>
              <w:bottom w:val="single" w:sz="12" w:space="0" w:color="4472C4"/>
              <w:right w:val="single" w:sz="12" w:space="0" w:color="4472C4"/>
            </w:tcBorders>
            <w:shd w:val="clear" w:color="auto" w:fill="FBE4D5"/>
          </w:tcPr>
          <w:p w14:paraId="1974D23D" w14:textId="77777777" w:rsidR="00D52692" w:rsidRPr="0024072A" w:rsidRDefault="00D52692" w:rsidP="0025389A">
            <w:pPr>
              <w:contextualSpacing w:val="0"/>
              <w:jc w:val="left"/>
              <w:rPr>
                <w:rFonts w:ascii="Calibri" w:eastAsia="Calibri" w:hAnsi="Calibri" w:cs="Calibri"/>
                <w:b/>
                <w:sz w:val="20"/>
                <w:szCs w:val="20"/>
                <w:lang w:val="en-GB"/>
              </w:rPr>
            </w:pPr>
          </w:p>
        </w:tc>
        <w:tc>
          <w:tcPr>
            <w:tcW w:w="2428" w:type="dxa"/>
            <w:vMerge/>
            <w:tcBorders>
              <w:left w:val="single" w:sz="12" w:space="0" w:color="4472C4"/>
              <w:bottom w:val="single" w:sz="12" w:space="0" w:color="4472C4"/>
              <w:right w:val="single" w:sz="12" w:space="0" w:color="4472C4"/>
            </w:tcBorders>
            <w:shd w:val="clear" w:color="auto" w:fill="FBE4D5"/>
          </w:tcPr>
          <w:p w14:paraId="31B21A72" w14:textId="77777777" w:rsidR="00D52692" w:rsidRPr="0024072A" w:rsidRDefault="00D52692" w:rsidP="0025389A">
            <w:pPr>
              <w:contextualSpacing w:val="0"/>
              <w:jc w:val="left"/>
              <w:rPr>
                <w:rFonts w:ascii="Calibri" w:eastAsia="Calibri" w:hAnsi="Calibri" w:cs="Calibri"/>
                <w:b/>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18AD484E" w14:textId="77777777" w:rsidR="00D52692" w:rsidRPr="0024072A" w:rsidRDefault="00D52692" w:rsidP="0025389A">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Balance of trade of the VC</w:t>
            </w:r>
            <w:r>
              <w:rPr>
                <w:rFonts w:ascii="Calibri" w:eastAsia="Calibri" w:hAnsi="Calibri" w:cs="Calibri"/>
                <w:b/>
                <w:sz w:val="20"/>
                <w:szCs w:val="20"/>
                <w:lang w:val="en-GB"/>
              </w:rPr>
              <w:t xml:space="preserve"> </w:t>
            </w:r>
            <w:r w:rsidRPr="00683B40">
              <w:rPr>
                <w:rFonts w:ascii="Calibri" w:eastAsia="Calibri" w:hAnsi="Calibri" w:cs="Calibri"/>
                <w:b/>
                <w:sz w:val="20"/>
                <w:szCs w:val="20"/>
              </w:rPr>
              <w:t>(</w:t>
            </w:r>
            <w:r>
              <w:rPr>
                <w:rFonts w:ascii="Calibri" w:eastAsia="Calibri" w:hAnsi="Calibri" w:cs="Calibri"/>
                <w:b/>
                <w:sz w:val="20"/>
                <w:szCs w:val="20"/>
                <w:lang w:val="en-GB"/>
              </w:rPr>
              <w:t>MSLE</w:t>
            </w:r>
            <w:r w:rsidRPr="00683B40">
              <w:rPr>
                <w:rFonts w:ascii="Calibri" w:eastAsia="Calibri" w:hAnsi="Calibri" w:cs="Calibri"/>
                <w:b/>
                <w:sz w:val="20"/>
                <w:szCs w:val="20"/>
              </w:rPr>
              <w:t>)</w:t>
            </w:r>
          </w:p>
        </w:tc>
        <w:tc>
          <w:tcPr>
            <w:tcW w:w="2693" w:type="dxa"/>
            <w:tcBorders>
              <w:top w:val="single" w:sz="12" w:space="0" w:color="4472C4"/>
              <w:left w:val="single" w:sz="12" w:space="0" w:color="4472C4"/>
              <w:bottom w:val="single" w:sz="12" w:space="0" w:color="4472C4"/>
              <w:right w:val="single" w:sz="12" w:space="0" w:color="4472C4"/>
            </w:tcBorders>
            <w:shd w:val="clear" w:color="auto" w:fill="FBE4D5"/>
          </w:tcPr>
          <w:p w14:paraId="4ABB975A" w14:textId="77777777" w:rsidR="00D52692" w:rsidRPr="002A3195" w:rsidRDefault="00D52692" w:rsidP="0025389A">
            <w:pPr>
              <w:contextualSpacing w:val="0"/>
              <w:jc w:val="left"/>
              <w:rPr>
                <w:rFonts w:ascii="Calibri" w:eastAsia="Calibri" w:hAnsi="Calibri" w:cs="Calibri"/>
                <w:bCs/>
                <w:sz w:val="20"/>
                <w:szCs w:val="20"/>
                <w:lang w:val="fr-FR"/>
              </w:rPr>
            </w:pPr>
            <w:r>
              <w:rPr>
                <w:rFonts w:ascii="Calibri" w:eastAsia="Calibri" w:hAnsi="Calibri" w:cs="Calibri"/>
                <w:bCs/>
                <w:sz w:val="20"/>
                <w:szCs w:val="20"/>
                <w:lang w:val="fr-FR"/>
              </w:rPr>
              <w:t>2,848</w:t>
            </w:r>
          </w:p>
        </w:tc>
      </w:tr>
    </w:tbl>
    <w:p w14:paraId="4E87EB1C" w14:textId="77777777" w:rsidR="00D52692" w:rsidRDefault="00D52692" w:rsidP="000447E4">
      <w:pPr>
        <w:contextualSpacing w:val="0"/>
        <w:jc w:val="left"/>
        <w:rPr>
          <w:rFonts w:ascii="Calibri" w:eastAsia="Calibri" w:hAnsi="Calibri" w:cs="Times New Roman"/>
          <w:sz w:val="20"/>
          <w:szCs w:val="20"/>
          <w:lang w:val="fr-FR"/>
        </w:rPr>
      </w:pPr>
    </w:p>
    <w:p w14:paraId="64E690B0" w14:textId="77777777" w:rsidR="00D52692" w:rsidRDefault="00D52692" w:rsidP="000447E4">
      <w:pPr>
        <w:contextualSpacing w:val="0"/>
        <w:jc w:val="left"/>
        <w:rPr>
          <w:rFonts w:ascii="Calibri" w:eastAsia="Calibri" w:hAnsi="Calibri" w:cs="Times New Roman"/>
          <w:sz w:val="20"/>
          <w:szCs w:val="20"/>
          <w:lang w:val="fr-FR"/>
        </w:rPr>
      </w:pPr>
    </w:p>
    <w:p w14:paraId="4B97591F" w14:textId="77777777" w:rsidR="000447E4" w:rsidRPr="0017485E" w:rsidRDefault="000447E4" w:rsidP="000447E4">
      <w:pPr>
        <w:contextualSpacing w:val="0"/>
        <w:jc w:val="left"/>
        <w:rPr>
          <w:rFonts w:ascii="Calibri" w:eastAsia="Calibri" w:hAnsi="Calibri" w:cs="Times New Roman"/>
          <w:sz w:val="20"/>
          <w:szCs w:val="20"/>
          <w:lang w:val="fr-FR"/>
        </w:rPr>
      </w:pPr>
    </w:p>
    <w:tbl>
      <w:tblPr>
        <w:tblStyle w:val="TableGrid3"/>
        <w:tblW w:w="9095"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3024"/>
        <w:gridCol w:w="3780"/>
        <w:gridCol w:w="1440"/>
      </w:tblGrid>
      <w:tr w:rsidR="000447E4" w:rsidRPr="0024072A" w14:paraId="21B34B32" w14:textId="77777777" w:rsidTr="00C446A6">
        <w:tc>
          <w:tcPr>
            <w:tcW w:w="3875" w:type="dxa"/>
            <w:gridSpan w:val="2"/>
            <w:tcBorders>
              <w:top w:val="single" w:sz="12" w:space="0" w:color="4472C4"/>
              <w:left w:val="single" w:sz="12" w:space="0" w:color="4472C4"/>
              <w:bottom w:val="single" w:sz="12" w:space="0" w:color="4472C4"/>
              <w:right w:val="single" w:sz="12" w:space="0" w:color="4472C4"/>
            </w:tcBorders>
          </w:tcPr>
          <w:p w14:paraId="0842EA6F" w14:textId="77777777" w:rsidR="000447E4" w:rsidRPr="004A3970" w:rsidRDefault="000447E4" w:rsidP="00C446A6">
            <w:pPr>
              <w:contextualSpacing w:val="0"/>
              <w:jc w:val="center"/>
              <w:rPr>
                <w:rFonts w:ascii="Calibri" w:eastAsia="Calibri" w:hAnsi="Calibri" w:cs="Calibri"/>
                <w:b/>
                <w:sz w:val="20"/>
                <w:szCs w:val="20"/>
                <w:lang w:val="en-GB"/>
              </w:rPr>
            </w:pPr>
          </w:p>
          <w:p w14:paraId="0A285495" w14:textId="77777777" w:rsidR="000447E4" w:rsidRPr="0024072A" w:rsidRDefault="000447E4" w:rsidP="00C446A6">
            <w:pPr>
              <w:contextualSpacing w:val="0"/>
              <w:jc w:val="center"/>
              <w:rPr>
                <w:rFonts w:ascii="Calibri" w:eastAsia="Calibri" w:hAnsi="Calibri" w:cs="Calibri"/>
                <w:b/>
                <w:sz w:val="20"/>
                <w:szCs w:val="20"/>
                <w:lang w:val="en-GB"/>
              </w:rPr>
            </w:pPr>
            <w:r w:rsidRPr="0024072A">
              <w:rPr>
                <w:rFonts w:ascii="Calibri" w:eastAsia="Calibri" w:hAnsi="Calibri" w:cs="Calibri"/>
                <w:b/>
                <w:sz w:val="20"/>
                <w:szCs w:val="20"/>
                <w:lang w:val="en-GB"/>
              </w:rPr>
              <w:t>Framing Question 1: What is the contribution of the VC to economic growth?</w:t>
            </w:r>
          </w:p>
          <w:p w14:paraId="48418AB5" w14:textId="77777777" w:rsidR="000447E4" w:rsidRPr="0024072A" w:rsidRDefault="000447E4" w:rsidP="00C446A6">
            <w:pPr>
              <w:contextualSpacing w:val="0"/>
              <w:jc w:val="center"/>
              <w:rPr>
                <w:rFonts w:ascii="Calibri" w:eastAsia="Calibri" w:hAnsi="Calibri" w:cs="Calibri"/>
                <w:b/>
                <w:sz w:val="20"/>
                <w:szCs w:val="20"/>
                <w:lang w:val="en-GB"/>
              </w:rPr>
            </w:pPr>
          </w:p>
        </w:tc>
        <w:tc>
          <w:tcPr>
            <w:tcW w:w="3780" w:type="dxa"/>
            <w:tcBorders>
              <w:top w:val="single" w:sz="12" w:space="0" w:color="4472C4"/>
              <w:left w:val="single" w:sz="12" w:space="0" w:color="4472C4"/>
              <w:bottom w:val="single" w:sz="12" w:space="0" w:color="4472C4"/>
              <w:right w:val="single" w:sz="12" w:space="0" w:color="4472C4"/>
            </w:tcBorders>
          </w:tcPr>
          <w:p w14:paraId="15730C89" w14:textId="77777777" w:rsidR="000447E4" w:rsidRPr="0024072A" w:rsidRDefault="000447E4" w:rsidP="00C446A6">
            <w:pPr>
              <w:contextualSpacing w:val="0"/>
              <w:jc w:val="center"/>
              <w:rPr>
                <w:rFonts w:ascii="Calibri" w:eastAsia="Calibri" w:hAnsi="Calibri" w:cs="Calibri"/>
                <w:b/>
                <w:sz w:val="20"/>
                <w:szCs w:val="20"/>
                <w:lang w:val="en-GB"/>
              </w:rPr>
            </w:pPr>
            <w:r w:rsidRPr="0024072A">
              <w:rPr>
                <w:rFonts w:ascii="Calibri" w:eastAsia="Calibri" w:hAnsi="Calibri" w:cs="Calibri"/>
                <w:b/>
                <w:sz w:val="20"/>
                <w:szCs w:val="20"/>
                <w:lang w:val="en-GB"/>
              </w:rPr>
              <w:t>INDICATORS</w:t>
            </w:r>
          </w:p>
        </w:tc>
        <w:tc>
          <w:tcPr>
            <w:tcW w:w="1440" w:type="dxa"/>
            <w:tcBorders>
              <w:top w:val="single" w:sz="12" w:space="0" w:color="4472C4"/>
              <w:left w:val="single" w:sz="12" w:space="0" w:color="4472C4"/>
              <w:bottom w:val="single" w:sz="12" w:space="0" w:color="4472C4"/>
              <w:right w:val="single" w:sz="12" w:space="0" w:color="4472C4"/>
            </w:tcBorders>
          </w:tcPr>
          <w:p w14:paraId="79B4A1E2" w14:textId="77777777" w:rsidR="000447E4" w:rsidRPr="0024072A" w:rsidRDefault="000447E4"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RESULTS</w:t>
            </w:r>
          </w:p>
        </w:tc>
      </w:tr>
      <w:tr w:rsidR="000447E4" w:rsidRPr="0024072A" w14:paraId="3323671D" w14:textId="77777777" w:rsidTr="00C446A6">
        <w:trPr>
          <w:trHeight w:val="245"/>
        </w:trPr>
        <w:tc>
          <w:tcPr>
            <w:tcW w:w="851" w:type="dxa"/>
            <w:vMerge w:val="restart"/>
            <w:tcBorders>
              <w:top w:val="single" w:sz="12" w:space="0" w:color="4472C4"/>
              <w:left w:val="single" w:sz="12" w:space="0" w:color="4472C4"/>
              <w:right w:val="single" w:sz="12" w:space="0" w:color="4472C4"/>
            </w:tcBorders>
            <w:shd w:val="clear" w:color="auto" w:fill="FBE4D5"/>
            <w:hideMark/>
          </w:tcPr>
          <w:p w14:paraId="76588CCF" w14:textId="77777777" w:rsidR="000447E4" w:rsidRPr="0024072A" w:rsidRDefault="000447E4"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CQ1.6</w:t>
            </w:r>
          </w:p>
        </w:tc>
        <w:tc>
          <w:tcPr>
            <w:tcW w:w="3024" w:type="dxa"/>
            <w:vMerge w:val="restart"/>
            <w:tcBorders>
              <w:top w:val="single" w:sz="12" w:space="0" w:color="4472C4"/>
              <w:left w:val="single" w:sz="12" w:space="0" w:color="4472C4"/>
              <w:right w:val="single" w:sz="12" w:space="0" w:color="4472C4"/>
            </w:tcBorders>
            <w:shd w:val="clear" w:color="auto" w:fill="FBE4D5"/>
          </w:tcPr>
          <w:p w14:paraId="3E1EE4A0" w14:textId="77777777" w:rsidR="000447E4" w:rsidRPr="0024072A" w:rsidRDefault="000447E4"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 xml:space="preserve">Is the VC viable in the international economy? </w:t>
            </w:r>
          </w:p>
        </w:tc>
        <w:tc>
          <w:tcPr>
            <w:tcW w:w="3780" w:type="dxa"/>
            <w:tcBorders>
              <w:top w:val="single" w:sz="12" w:space="0" w:color="4472C4"/>
              <w:left w:val="single" w:sz="12" w:space="0" w:color="4472C4"/>
              <w:bottom w:val="single" w:sz="12" w:space="0" w:color="4472C4"/>
              <w:right w:val="single" w:sz="12" w:space="0" w:color="4472C4"/>
            </w:tcBorders>
            <w:shd w:val="clear" w:color="auto" w:fill="FBE4D5"/>
          </w:tcPr>
          <w:p w14:paraId="423598AE" w14:textId="77777777" w:rsidR="000447E4" w:rsidRPr="0024072A" w:rsidRDefault="000447E4"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Nominal Protection Coefficient (NPC)</w:t>
            </w:r>
          </w:p>
        </w:tc>
        <w:tc>
          <w:tcPr>
            <w:tcW w:w="1440" w:type="dxa"/>
            <w:tcBorders>
              <w:top w:val="single" w:sz="12" w:space="0" w:color="4472C4"/>
              <w:left w:val="single" w:sz="12" w:space="0" w:color="4472C4"/>
              <w:bottom w:val="single" w:sz="12" w:space="0" w:color="4472C4"/>
              <w:right w:val="single" w:sz="12" w:space="0" w:color="4472C4"/>
            </w:tcBorders>
            <w:shd w:val="clear" w:color="auto" w:fill="FBE4D5"/>
          </w:tcPr>
          <w:p w14:paraId="1D2F1ACA" w14:textId="2A969441" w:rsidR="000447E4" w:rsidRPr="002A3195" w:rsidRDefault="002A1F16" w:rsidP="00C446A6">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0.98</w:t>
            </w:r>
          </w:p>
        </w:tc>
      </w:tr>
      <w:tr w:rsidR="000447E4" w:rsidRPr="0024072A" w14:paraId="7F74CB3E" w14:textId="77777777" w:rsidTr="00C446A6">
        <w:trPr>
          <w:trHeight w:val="245"/>
        </w:trPr>
        <w:tc>
          <w:tcPr>
            <w:tcW w:w="851" w:type="dxa"/>
            <w:vMerge/>
            <w:tcBorders>
              <w:left w:val="single" w:sz="12" w:space="0" w:color="4472C4"/>
              <w:right w:val="single" w:sz="12" w:space="0" w:color="4472C4"/>
            </w:tcBorders>
            <w:shd w:val="clear" w:color="auto" w:fill="FBE4D5"/>
          </w:tcPr>
          <w:p w14:paraId="7037920F" w14:textId="77777777" w:rsidR="000447E4" w:rsidRPr="0024072A" w:rsidRDefault="000447E4" w:rsidP="00C446A6">
            <w:pPr>
              <w:contextualSpacing w:val="0"/>
              <w:jc w:val="left"/>
              <w:rPr>
                <w:rFonts w:ascii="Calibri" w:eastAsia="Calibri" w:hAnsi="Calibri" w:cs="Calibri"/>
                <w:b/>
                <w:sz w:val="20"/>
                <w:szCs w:val="20"/>
                <w:lang w:val="en-GB"/>
              </w:rPr>
            </w:pPr>
          </w:p>
        </w:tc>
        <w:tc>
          <w:tcPr>
            <w:tcW w:w="3024" w:type="dxa"/>
            <w:vMerge/>
            <w:tcBorders>
              <w:left w:val="single" w:sz="12" w:space="0" w:color="4472C4"/>
              <w:right w:val="single" w:sz="12" w:space="0" w:color="4472C4"/>
            </w:tcBorders>
            <w:shd w:val="clear" w:color="auto" w:fill="FBE4D5"/>
          </w:tcPr>
          <w:p w14:paraId="1EEB3114" w14:textId="77777777" w:rsidR="000447E4" w:rsidRPr="0024072A" w:rsidRDefault="000447E4" w:rsidP="00C446A6">
            <w:pPr>
              <w:contextualSpacing w:val="0"/>
              <w:jc w:val="left"/>
              <w:rPr>
                <w:rFonts w:ascii="Calibri" w:eastAsia="Calibri" w:hAnsi="Calibri" w:cs="Calibri"/>
                <w:b/>
                <w:sz w:val="20"/>
                <w:szCs w:val="20"/>
                <w:lang w:val="en-GB"/>
              </w:rPr>
            </w:pPr>
          </w:p>
        </w:tc>
        <w:tc>
          <w:tcPr>
            <w:tcW w:w="3780" w:type="dxa"/>
            <w:tcBorders>
              <w:top w:val="single" w:sz="12" w:space="0" w:color="4472C4"/>
              <w:left w:val="single" w:sz="12" w:space="0" w:color="4472C4"/>
              <w:bottom w:val="single" w:sz="12" w:space="0" w:color="4472C4"/>
              <w:right w:val="single" w:sz="12" w:space="0" w:color="4472C4"/>
            </w:tcBorders>
            <w:shd w:val="clear" w:color="auto" w:fill="FBE4D5"/>
          </w:tcPr>
          <w:p w14:paraId="3FC687D5" w14:textId="77777777" w:rsidR="000447E4" w:rsidRPr="0024072A" w:rsidRDefault="000447E4"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Domestic Resource Cost Ratio (DRC)</w:t>
            </w:r>
          </w:p>
        </w:tc>
        <w:tc>
          <w:tcPr>
            <w:tcW w:w="1440" w:type="dxa"/>
            <w:tcBorders>
              <w:top w:val="single" w:sz="12" w:space="0" w:color="4472C4"/>
              <w:left w:val="single" w:sz="12" w:space="0" w:color="4472C4"/>
              <w:bottom w:val="single" w:sz="12" w:space="0" w:color="4472C4"/>
              <w:right w:val="single" w:sz="12" w:space="0" w:color="4472C4"/>
            </w:tcBorders>
            <w:shd w:val="clear" w:color="auto" w:fill="FBE4D5"/>
          </w:tcPr>
          <w:p w14:paraId="3E55DFBA" w14:textId="3DA4A8DB" w:rsidR="000447E4" w:rsidRPr="002A3195" w:rsidRDefault="000447E4" w:rsidP="00C446A6">
            <w:pPr>
              <w:contextualSpacing w:val="0"/>
              <w:jc w:val="left"/>
              <w:rPr>
                <w:rFonts w:ascii="Calibri" w:eastAsia="Calibri" w:hAnsi="Calibri" w:cs="Calibri"/>
                <w:bCs/>
                <w:sz w:val="20"/>
                <w:szCs w:val="20"/>
                <w:lang w:val="en-GB"/>
              </w:rPr>
            </w:pPr>
            <w:r w:rsidRPr="002A3195">
              <w:rPr>
                <w:rFonts w:ascii="Calibri" w:eastAsia="Calibri" w:hAnsi="Calibri" w:cs="Calibri"/>
                <w:bCs/>
                <w:sz w:val="20"/>
                <w:szCs w:val="20"/>
                <w:lang w:val="en-GB"/>
              </w:rPr>
              <w:t>0.</w:t>
            </w:r>
            <w:r w:rsidR="002A1F16">
              <w:rPr>
                <w:rFonts w:ascii="Calibri" w:eastAsia="Calibri" w:hAnsi="Calibri" w:cs="Calibri"/>
                <w:bCs/>
                <w:sz w:val="20"/>
                <w:szCs w:val="20"/>
                <w:lang w:val="en-GB"/>
              </w:rPr>
              <w:t>1</w:t>
            </w:r>
          </w:p>
        </w:tc>
      </w:tr>
    </w:tbl>
    <w:p w14:paraId="3EA60036" w14:textId="77777777" w:rsidR="000447E4" w:rsidRPr="0024072A" w:rsidRDefault="000447E4" w:rsidP="000447E4">
      <w:pPr>
        <w:contextualSpacing w:val="0"/>
        <w:jc w:val="left"/>
        <w:rPr>
          <w:rFonts w:ascii="Calibri" w:eastAsia="Calibri" w:hAnsi="Calibri" w:cs="Times New Roman"/>
          <w:sz w:val="20"/>
          <w:szCs w:val="20"/>
          <w:lang w:val="en-GB"/>
        </w:rPr>
      </w:pPr>
    </w:p>
    <w:p w14:paraId="0162E6AC" w14:textId="77777777" w:rsidR="000447E4" w:rsidRPr="0024072A" w:rsidRDefault="000447E4" w:rsidP="000447E4">
      <w:pPr>
        <w:contextualSpacing w:val="0"/>
        <w:jc w:val="left"/>
        <w:rPr>
          <w:rFonts w:ascii="Calibri" w:eastAsia="Calibri" w:hAnsi="Calibri" w:cs="Times New Roman"/>
          <w:sz w:val="20"/>
          <w:szCs w:val="20"/>
          <w:lang w:val="en-GB"/>
        </w:rPr>
      </w:pPr>
    </w:p>
    <w:p w14:paraId="58BCA234" w14:textId="77777777" w:rsidR="00B7733E" w:rsidRDefault="00B7733E" w:rsidP="0024072A">
      <w:pPr>
        <w:contextualSpacing w:val="0"/>
        <w:jc w:val="left"/>
        <w:rPr>
          <w:rFonts w:ascii="Times New Roman" w:eastAsia="Calibri" w:hAnsi="Times New Roman" w:cs="Times New Roman"/>
          <w:sz w:val="24"/>
          <w:szCs w:val="24"/>
          <w:lang w:val="it-IT"/>
        </w:rPr>
        <w:sectPr w:rsidR="00B7733E" w:rsidSect="00962C1A">
          <w:pgSz w:w="11906" w:h="16838"/>
          <w:pgMar w:top="1440" w:right="1440" w:bottom="1440" w:left="1440" w:header="708" w:footer="708" w:gutter="0"/>
          <w:cols w:space="708"/>
          <w:docGrid w:linePitch="360"/>
        </w:sectPr>
      </w:pPr>
    </w:p>
    <w:p w14:paraId="58A2E311" w14:textId="70D76BF8" w:rsidR="00752F47" w:rsidRPr="008E336D" w:rsidRDefault="00752F47" w:rsidP="008E336D">
      <w:pPr>
        <w:pStyle w:val="Heading1"/>
        <w:rPr>
          <w:rStyle w:val="IntenseEmphasis"/>
          <w:b/>
          <w:bCs/>
          <w:iCs w:val="0"/>
          <w:sz w:val="22"/>
        </w:rPr>
      </w:pPr>
      <w:bookmarkStart w:id="103" w:name="_Toc228701020"/>
      <w:r w:rsidRPr="008E336D">
        <w:rPr>
          <w:rStyle w:val="IntenseEmphasis"/>
          <w:b/>
          <w:bCs/>
          <w:iCs w:val="0"/>
          <w:sz w:val="22"/>
        </w:rPr>
        <w:lastRenderedPageBreak/>
        <w:t>IS TH</w:t>
      </w:r>
      <w:r w:rsidR="008E013F" w:rsidRPr="008E336D">
        <w:rPr>
          <w:rStyle w:val="IntenseEmphasis"/>
          <w:b/>
          <w:bCs/>
          <w:iCs w:val="0"/>
          <w:sz w:val="22"/>
        </w:rPr>
        <w:t>IS</w:t>
      </w:r>
      <w:r w:rsidRPr="008E336D">
        <w:rPr>
          <w:rStyle w:val="IntenseEmphasis"/>
          <w:b/>
          <w:bCs/>
          <w:iCs w:val="0"/>
          <w:sz w:val="22"/>
        </w:rPr>
        <w:t xml:space="preserve"> ECONOMIC GROWTH INCLUSIVE?</w:t>
      </w:r>
      <w:bookmarkEnd w:id="103"/>
    </w:p>
    <w:p w14:paraId="544E4B82" w14:textId="418D00DB" w:rsidR="00270485" w:rsidRDefault="00270485" w:rsidP="00270485">
      <w:pPr>
        <w:rPr>
          <w:rFonts w:cs="Open Sans"/>
          <w:sz w:val="20"/>
          <w:szCs w:val="20"/>
        </w:rPr>
      </w:pPr>
      <w:r w:rsidRPr="00270485">
        <w:rPr>
          <w:rFonts w:cs="Open Sans"/>
          <w:sz w:val="20"/>
          <w:szCs w:val="20"/>
        </w:rPr>
        <w:t>A critical aspect of the value chain analysis is</w:t>
      </w:r>
      <w:r w:rsidRPr="00EA2A26">
        <w:rPr>
          <w:rFonts w:cs="Open Sans"/>
          <w:sz w:val="20"/>
          <w:szCs w:val="20"/>
        </w:rPr>
        <w:t xml:space="preserve"> inclusiveness – who benefits from the </w:t>
      </w:r>
      <w:r w:rsidR="00CB6F58">
        <w:rPr>
          <w:rFonts w:cs="Open Sans"/>
          <w:sz w:val="20"/>
          <w:szCs w:val="20"/>
        </w:rPr>
        <w:t>cocoa</w:t>
      </w:r>
      <w:r w:rsidRPr="00EA2A26">
        <w:rPr>
          <w:rFonts w:cs="Open Sans"/>
          <w:sz w:val="20"/>
          <w:szCs w:val="20"/>
        </w:rPr>
        <w:t xml:space="preserve"> value chain in terms of income and employment?</w:t>
      </w:r>
      <w:r w:rsidRPr="00270485">
        <w:rPr>
          <w:rFonts w:cs="Open Sans"/>
          <w:sz w:val="20"/>
          <w:szCs w:val="20"/>
        </w:rPr>
        <w:t xml:space="preserve"> We address this by examining the distribution of profits (</w:t>
      </w:r>
      <w:proofErr w:type="gramStart"/>
      <w:r w:rsidRPr="00270485">
        <w:rPr>
          <w:rFonts w:cs="Open Sans"/>
          <w:sz w:val="20"/>
          <w:szCs w:val="20"/>
        </w:rPr>
        <w:t>incomes</w:t>
      </w:r>
      <w:proofErr w:type="gramEnd"/>
      <w:r w:rsidRPr="00270485">
        <w:rPr>
          <w:rFonts w:cs="Open Sans"/>
          <w:sz w:val="20"/>
          <w:szCs w:val="20"/>
        </w:rPr>
        <w:t xml:space="preserve">) across different </w:t>
      </w:r>
      <w:r w:rsidR="00EB31CD" w:rsidRPr="00270485">
        <w:rPr>
          <w:rFonts w:cs="Open Sans"/>
          <w:sz w:val="20"/>
          <w:szCs w:val="20"/>
        </w:rPr>
        <w:t>types of actors</w:t>
      </w:r>
      <w:r w:rsidRPr="00270485">
        <w:rPr>
          <w:rFonts w:cs="Open Sans"/>
          <w:sz w:val="20"/>
          <w:szCs w:val="20"/>
        </w:rPr>
        <w:t xml:space="preserve"> and by </w:t>
      </w:r>
      <w:proofErr w:type="spellStart"/>
      <w:r w:rsidRPr="00270485">
        <w:rPr>
          <w:rFonts w:cs="Open Sans"/>
          <w:sz w:val="20"/>
          <w:szCs w:val="20"/>
        </w:rPr>
        <w:t>analysing</w:t>
      </w:r>
      <w:proofErr w:type="spellEnd"/>
      <w:r w:rsidRPr="00270485">
        <w:rPr>
          <w:rFonts w:cs="Open Sans"/>
          <w:sz w:val="20"/>
          <w:szCs w:val="20"/>
        </w:rPr>
        <w:t xml:space="preserve"> the distribution of wages (paid employment) along the chain. This corresponds to VCA4D Framing Question 2 (FQ2), assessing whether the VC’s growth is inclusive of smallholders and workers.</w:t>
      </w:r>
    </w:p>
    <w:p w14:paraId="08A39D4C" w14:textId="77777777" w:rsidR="00E36D18" w:rsidRPr="00270485" w:rsidRDefault="00E36D18" w:rsidP="00270485">
      <w:pPr>
        <w:rPr>
          <w:rFonts w:cs="Open Sans"/>
          <w:sz w:val="20"/>
          <w:szCs w:val="20"/>
        </w:rPr>
      </w:pPr>
    </w:p>
    <w:p w14:paraId="5AB38AC6" w14:textId="48A3C381" w:rsidR="00270485" w:rsidRPr="00270485" w:rsidRDefault="00270485" w:rsidP="00EB31CD">
      <w:pPr>
        <w:pStyle w:val="Heading2"/>
      </w:pPr>
      <w:bookmarkStart w:id="104" w:name="_Toc228701021"/>
      <w:r w:rsidRPr="00270485">
        <w:t>Income Distribution Across Actors</w:t>
      </w:r>
      <w:bookmarkEnd w:id="104"/>
    </w:p>
    <w:p w14:paraId="34DFB1E3" w14:textId="12E6A2EF" w:rsidR="00270485" w:rsidRPr="00270485" w:rsidRDefault="00667E42" w:rsidP="00EB31CD">
      <w:pPr>
        <w:pStyle w:val="Heading3"/>
      </w:pPr>
      <w:bookmarkStart w:id="105" w:name="_Toc228701022"/>
      <w:r>
        <w:t>Net Operating Profit</w:t>
      </w:r>
      <w:r w:rsidR="00270485" w:rsidRPr="00270485">
        <w:t xml:space="preserve"> Distribution</w:t>
      </w:r>
      <w:bookmarkEnd w:id="105"/>
    </w:p>
    <w:p w14:paraId="06F83FB6" w14:textId="73AF4D49" w:rsidR="0032767B" w:rsidRPr="0032767B" w:rsidRDefault="00B92D72" w:rsidP="0032767B">
      <w:pPr>
        <w:rPr>
          <w:rFonts w:cs="Open Sans"/>
          <w:sz w:val="20"/>
          <w:szCs w:val="20"/>
        </w:rPr>
      </w:pPr>
      <w:r w:rsidRPr="006A1501">
        <w:rPr>
          <w:rFonts w:cs="Open Sans"/>
          <w:sz w:val="20"/>
          <w:szCs w:val="20"/>
        </w:rPr>
        <w:fldChar w:fldCharType="begin"/>
      </w:r>
      <w:r w:rsidRPr="006A1501">
        <w:rPr>
          <w:rFonts w:cs="Open Sans"/>
          <w:sz w:val="20"/>
          <w:szCs w:val="20"/>
        </w:rPr>
        <w:instrText xml:space="preserve"> REF _Ref227058651 \h </w:instrText>
      </w:r>
      <w:r w:rsidR="006A1501">
        <w:rPr>
          <w:rFonts w:cs="Open Sans"/>
          <w:sz w:val="20"/>
          <w:szCs w:val="20"/>
        </w:rPr>
        <w:instrText xml:space="preserve"> \* MERGEFORMAT </w:instrText>
      </w:r>
      <w:r w:rsidRPr="006A1501">
        <w:rPr>
          <w:rFonts w:cs="Open Sans"/>
          <w:sz w:val="20"/>
          <w:szCs w:val="20"/>
        </w:rPr>
      </w:r>
      <w:r w:rsidRPr="006A1501">
        <w:rPr>
          <w:rFonts w:cs="Open Sans"/>
          <w:sz w:val="20"/>
          <w:szCs w:val="20"/>
        </w:rPr>
        <w:fldChar w:fldCharType="separate"/>
      </w:r>
      <w:r w:rsidRPr="001F42F7">
        <w:rPr>
          <w:sz w:val="20"/>
          <w:szCs w:val="20"/>
        </w:rPr>
        <w:t xml:space="preserve">Figure </w:t>
      </w:r>
      <w:r w:rsidRPr="001F42F7">
        <w:rPr>
          <w:noProof/>
          <w:sz w:val="20"/>
          <w:szCs w:val="20"/>
        </w:rPr>
        <w:t>3</w:t>
      </w:r>
      <w:r w:rsidRPr="001F42F7">
        <w:rPr>
          <w:sz w:val="20"/>
          <w:szCs w:val="20"/>
        </w:rPr>
        <w:t>.</w:t>
      </w:r>
      <w:r w:rsidRPr="001F42F7">
        <w:rPr>
          <w:noProof/>
          <w:sz w:val="20"/>
          <w:szCs w:val="20"/>
        </w:rPr>
        <w:t>1</w:t>
      </w:r>
      <w:r w:rsidRPr="006A1501">
        <w:rPr>
          <w:rFonts w:cs="Open Sans"/>
          <w:sz w:val="20"/>
          <w:szCs w:val="20"/>
        </w:rPr>
        <w:fldChar w:fldCharType="end"/>
      </w:r>
      <w:r w:rsidRPr="006A1501">
        <w:rPr>
          <w:rFonts w:cs="Open Sans"/>
          <w:sz w:val="20"/>
          <w:szCs w:val="20"/>
        </w:rPr>
        <w:t xml:space="preserve"> </w:t>
      </w:r>
      <w:r w:rsidR="0032767B" w:rsidRPr="0032767B">
        <w:rPr>
          <w:rFonts w:cs="Open Sans"/>
          <w:sz w:val="20"/>
          <w:szCs w:val="20"/>
        </w:rPr>
        <w:t>presents the distribution of Net Operating Profit (NOP) across actors in the Sierra Leone cocoa value chain, providing a first indication of how economic gains are allocated within the system. The operating accounts show that all actor groups generate positive profits, confirming that value chain activities are, on average, financially viable across all stages.</w:t>
      </w:r>
    </w:p>
    <w:p w14:paraId="7CB0E1AF" w14:textId="77777777" w:rsidR="0032767B" w:rsidRPr="0032767B" w:rsidRDefault="0032767B" w:rsidP="0032767B">
      <w:pPr>
        <w:rPr>
          <w:rFonts w:cs="Open Sans"/>
          <w:sz w:val="20"/>
          <w:szCs w:val="20"/>
        </w:rPr>
      </w:pPr>
    </w:p>
    <w:p w14:paraId="28CEFC19" w14:textId="77777777" w:rsidR="0032767B" w:rsidRPr="0032767B" w:rsidRDefault="0032767B" w:rsidP="0032767B">
      <w:pPr>
        <w:rPr>
          <w:rFonts w:cs="Open Sans"/>
          <w:sz w:val="20"/>
          <w:szCs w:val="20"/>
        </w:rPr>
      </w:pPr>
      <w:r w:rsidRPr="0032767B">
        <w:rPr>
          <w:rFonts w:cs="Open Sans"/>
          <w:sz w:val="20"/>
          <w:szCs w:val="20"/>
        </w:rPr>
        <w:t xml:space="preserve">At the aggregate level, NOP constitutes the dominant component of value added, significantly exceeding the shares of wages and taxes. This reflects a structural feature of the cocoa value chain, where value creation accrues primarily as operating surplus rather than through formal </w:t>
      </w:r>
      <w:proofErr w:type="spellStart"/>
      <w:r w:rsidRPr="0032767B">
        <w:rPr>
          <w:rFonts w:cs="Open Sans"/>
          <w:sz w:val="20"/>
          <w:szCs w:val="20"/>
        </w:rPr>
        <w:t>labour</w:t>
      </w:r>
      <w:proofErr w:type="spellEnd"/>
      <w:r w:rsidRPr="0032767B">
        <w:rPr>
          <w:rFonts w:cs="Open Sans"/>
          <w:sz w:val="20"/>
          <w:szCs w:val="20"/>
        </w:rPr>
        <w:t xml:space="preserve"> remuneration. Such a pattern is characteristic of smallholder-based export systems, in which production relies heavily on family </w:t>
      </w:r>
      <w:proofErr w:type="spellStart"/>
      <w:r w:rsidRPr="0032767B">
        <w:rPr>
          <w:rFonts w:cs="Open Sans"/>
          <w:sz w:val="20"/>
          <w:szCs w:val="20"/>
        </w:rPr>
        <w:t>labour</w:t>
      </w:r>
      <w:proofErr w:type="spellEnd"/>
      <w:r w:rsidRPr="0032767B">
        <w:rPr>
          <w:rFonts w:cs="Open Sans"/>
          <w:sz w:val="20"/>
          <w:szCs w:val="20"/>
        </w:rPr>
        <w:t xml:space="preserve"> that is not explicitly recorded as a wage cost, and where the use of purchased intermediate inputs remains limited.</w:t>
      </w:r>
    </w:p>
    <w:p w14:paraId="27AA18EF" w14:textId="77777777" w:rsidR="0032767B" w:rsidRPr="0032767B" w:rsidRDefault="0032767B" w:rsidP="0032767B">
      <w:pPr>
        <w:rPr>
          <w:rFonts w:cs="Open Sans"/>
          <w:sz w:val="20"/>
          <w:szCs w:val="20"/>
        </w:rPr>
      </w:pPr>
    </w:p>
    <w:p w14:paraId="438B5819" w14:textId="77777777" w:rsidR="0032767B" w:rsidRPr="0032767B" w:rsidRDefault="0032767B" w:rsidP="0032767B">
      <w:pPr>
        <w:rPr>
          <w:rFonts w:cs="Open Sans"/>
          <w:sz w:val="20"/>
          <w:szCs w:val="20"/>
        </w:rPr>
      </w:pPr>
      <w:r w:rsidRPr="0032767B">
        <w:rPr>
          <w:rFonts w:cs="Open Sans"/>
          <w:sz w:val="20"/>
          <w:szCs w:val="20"/>
        </w:rPr>
        <w:t>The distribution of NOP across actors reveals a concentration of value capture at the production level. Smallholder producers account for approximately 43% of total NOP, while larger smallholders capture a further 24%, together representing around two-thirds of total operating surplus in the value chain. Exporters account for about 20% of NOP, reflecting their role in consolidation, quality control, and access to international markets. The remaining actors, including cooperatives, individual agents, and dealers, collectively capture only about 13% of total NOP, indicating a relatively limited share of value retention in intermediary functions.</w:t>
      </w:r>
    </w:p>
    <w:p w14:paraId="53BF97AA" w14:textId="77777777" w:rsidR="0032767B" w:rsidRPr="0032767B" w:rsidRDefault="0032767B" w:rsidP="0032767B">
      <w:pPr>
        <w:rPr>
          <w:rFonts w:cs="Open Sans"/>
          <w:sz w:val="20"/>
          <w:szCs w:val="20"/>
        </w:rPr>
      </w:pPr>
    </w:p>
    <w:p w14:paraId="782A33C4" w14:textId="5901E42A" w:rsidR="0032767B" w:rsidRPr="0032767B" w:rsidRDefault="0032767B" w:rsidP="0032767B">
      <w:pPr>
        <w:rPr>
          <w:rFonts w:cs="Open Sans"/>
          <w:sz w:val="20"/>
          <w:szCs w:val="20"/>
        </w:rPr>
      </w:pPr>
      <w:r w:rsidRPr="0032767B">
        <w:rPr>
          <w:rFonts w:cs="Open Sans"/>
          <w:sz w:val="20"/>
          <w:szCs w:val="20"/>
        </w:rPr>
        <w:t xml:space="preserve">From an inclusiveness perspective, this distribution presents a nuanced picture. On the one hand, the concentration of NOP among smallholder producers suggests that a significant share of value added is retained within rural areas, which is consistent with a broad-based distribution of income in a smallholder-dominated system. On the other hand, the interpretation of producer profitability requires caution. High observed profit shares do not necessarily translate into high welfare outcomes, as they often reflect the non-remuneration of family </w:t>
      </w:r>
      <w:proofErr w:type="spellStart"/>
      <w:r w:rsidRPr="0032767B">
        <w:rPr>
          <w:rFonts w:cs="Open Sans"/>
          <w:sz w:val="20"/>
          <w:szCs w:val="20"/>
        </w:rPr>
        <w:t>labour</w:t>
      </w:r>
      <w:proofErr w:type="spellEnd"/>
      <w:r w:rsidR="00021182">
        <w:rPr>
          <w:rStyle w:val="FootnoteReference"/>
          <w:rFonts w:cs="Open Sans"/>
          <w:sz w:val="20"/>
          <w:szCs w:val="20"/>
        </w:rPr>
        <w:footnoteReference w:id="2"/>
      </w:r>
      <w:r w:rsidRPr="0032767B">
        <w:rPr>
          <w:rFonts w:cs="Open Sans"/>
          <w:sz w:val="20"/>
          <w:szCs w:val="20"/>
        </w:rPr>
        <w:t xml:space="preserve"> and the small scale of production. In this context, operating surplus may overstate effective income once </w:t>
      </w:r>
      <w:proofErr w:type="spellStart"/>
      <w:r w:rsidRPr="0032767B">
        <w:rPr>
          <w:rFonts w:cs="Open Sans"/>
          <w:sz w:val="20"/>
          <w:szCs w:val="20"/>
        </w:rPr>
        <w:t>labour</w:t>
      </w:r>
      <w:proofErr w:type="spellEnd"/>
      <w:r w:rsidRPr="0032767B">
        <w:rPr>
          <w:rFonts w:cs="Open Sans"/>
          <w:sz w:val="20"/>
          <w:szCs w:val="20"/>
        </w:rPr>
        <w:t xml:space="preserve"> is appropriately valued, particularly in systems </w:t>
      </w:r>
      <w:proofErr w:type="spellStart"/>
      <w:r w:rsidRPr="0032767B">
        <w:rPr>
          <w:rFonts w:cs="Open Sans"/>
          <w:sz w:val="20"/>
          <w:szCs w:val="20"/>
        </w:rPr>
        <w:t>characterised</w:t>
      </w:r>
      <w:proofErr w:type="spellEnd"/>
      <w:r w:rsidRPr="0032767B">
        <w:rPr>
          <w:rFonts w:cs="Open Sans"/>
          <w:sz w:val="20"/>
          <w:szCs w:val="20"/>
        </w:rPr>
        <w:t xml:space="preserve"> by low productivity and limited market surplus.</w:t>
      </w:r>
    </w:p>
    <w:p w14:paraId="0610CC56" w14:textId="77777777" w:rsidR="0032767B" w:rsidRPr="0032767B" w:rsidRDefault="0032767B" w:rsidP="0032767B">
      <w:pPr>
        <w:rPr>
          <w:rFonts w:cs="Open Sans"/>
          <w:sz w:val="20"/>
          <w:szCs w:val="20"/>
        </w:rPr>
      </w:pPr>
    </w:p>
    <w:p w14:paraId="39EEBF22" w14:textId="1B172A74" w:rsidR="00FE4B15" w:rsidRDefault="0032767B" w:rsidP="0032767B">
      <w:pPr>
        <w:rPr>
          <w:rFonts w:cs="Open Sans"/>
          <w:sz w:val="20"/>
          <w:szCs w:val="20"/>
        </w:rPr>
      </w:pPr>
      <w:r w:rsidRPr="0032767B">
        <w:rPr>
          <w:rFonts w:cs="Open Sans"/>
          <w:sz w:val="20"/>
          <w:szCs w:val="20"/>
        </w:rPr>
        <w:t xml:space="preserve">Overall, while the value chain generates positive and widely distributed profits, the structure of NOP distribution highlights important limitations for inclusive growth. The dominance of operating surplus over wages, combined with the prevalence of low-productivity smallholder production, suggests that income gains may be broad but shallow. Enhancing inclusiveness will therefore depend not only on maintaining profitability at the farm level, but also on improving productivity, </w:t>
      </w:r>
      <w:r w:rsidRPr="0032767B">
        <w:rPr>
          <w:rFonts w:cs="Open Sans"/>
          <w:sz w:val="20"/>
          <w:szCs w:val="20"/>
        </w:rPr>
        <w:lastRenderedPageBreak/>
        <w:t xml:space="preserve">expanding scale, and strengthening the distribution of value through more remunerative and </w:t>
      </w:r>
      <w:proofErr w:type="spellStart"/>
      <w:r w:rsidRPr="0032767B">
        <w:rPr>
          <w:rFonts w:cs="Open Sans"/>
          <w:sz w:val="20"/>
          <w:szCs w:val="20"/>
        </w:rPr>
        <w:t>formalised</w:t>
      </w:r>
      <w:proofErr w:type="spellEnd"/>
      <w:r w:rsidRPr="0032767B">
        <w:rPr>
          <w:rFonts w:cs="Open Sans"/>
          <w:sz w:val="20"/>
          <w:szCs w:val="20"/>
        </w:rPr>
        <w:t xml:space="preserve"> employment opportunities across the value chain</w:t>
      </w:r>
      <w:r w:rsidR="00FE4B15" w:rsidRPr="00A3339E">
        <w:rPr>
          <w:rFonts w:cs="Open Sans"/>
          <w:sz w:val="20"/>
          <w:szCs w:val="20"/>
        </w:rPr>
        <w:t>.</w:t>
      </w:r>
    </w:p>
    <w:p w14:paraId="17274802" w14:textId="77777777" w:rsidR="00FE4B15" w:rsidRPr="00270485" w:rsidRDefault="00FE4B15" w:rsidP="00FE4B15">
      <w:pPr>
        <w:rPr>
          <w:rFonts w:cs="Open Sans"/>
          <w:sz w:val="20"/>
          <w:szCs w:val="20"/>
        </w:rPr>
      </w:pPr>
    </w:p>
    <w:p w14:paraId="47908C18" w14:textId="77777777" w:rsidR="00B92D72" w:rsidRDefault="00B11854" w:rsidP="00B92D72">
      <w:pPr>
        <w:pStyle w:val="Caption"/>
        <w:keepNext/>
        <w:jc w:val="center"/>
      </w:pPr>
      <w:r>
        <w:rPr>
          <w:noProof/>
        </w:rPr>
        <w:drawing>
          <wp:inline distT="0" distB="0" distL="0" distR="0" wp14:anchorId="37AB12A1" wp14:editId="18593066">
            <wp:extent cx="3084690" cy="2305050"/>
            <wp:effectExtent l="0" t="0" r="1905" b="0"/>
            <wp:docPr id="482929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29017" name="Picture 482929017"/>
                    <pic:cNvPicPr/>
                  </pic:nvPicPr>
                  <pic:blipFill rotWithShape="1">
                    <a:blip r:embed="rId33">
                      <a:extLst>
                        <a:ext uri="{28A0092B-C50C-407E-A947-70E740481C1C}">
                          <a14:useLocalDpi xmlns:a14="http://schemas.microsoft.com/office/drawing/2010/main" val="0"/>
                        </a:ext>
                      </a:extLst>
                    </a:blip>
                    <a:srcRect t="13034"/>
                    <a:stretch>
                      <a:fillRect/>
                    </a:stretch>
                  </pic:blipFill>
                  <pic:spPr bwMode="auto">
                    <a:xfrm>
                      <a:off x="0" y="0"/>
                      <a:ext cx="3084690" cy="2305050"/>
                    </a:xfrm>
                    <a:prstGeom prst="rect">
                      <a:avLst/>
                    </a:prstGeom>
                    <a:ln>
                      <a:noFill/>
                    </a:ln>
                    <a:extLst>
                      <a:ext uri="{53640926-AAD7-44D8-BBD7-CCE9431645EC}">
                        <a14:shadowObscured xmlns:a14="http://schemas.microsoft.com/office/drawing/2010/main"/>
                      </a:ext>
                    </a:extLst>
                  </pic:spPr>
                </pic:pic>
              </a:graphicData>
            </a:graphic>
          </wp:inline>
        </w:drawing>
      </w:r>
    </w:p>
    <w:p w14:paraId="5902213C" w14:textId="04BC20DD" w:rsidR="00FE4B15" w:rsidRDefault="00B92D72" w:rsidP="00B92D72">
      <w:pPr>
        <w:pStyle w:val="Caption"/>
        <w:jc w:val="center"/>
        <w:rPr>
          <w:rFonts w:cs="Open Sans"/>
          <w:i/>
          <w:szCs w:val="20"/>
        </w:rPr>
      </w:pPr>
      <w:bookmarkStart w:id="106" w:name="_Ref227058651"/>
      <w:bookmarkStart w:id="107" w:name="_Toc228701108"/>
      <w:r>
        <w:t xml:space="preserve">Figure </w:t>
      </w:r>
      <w:fldSimple w:instr=" STYLEREF 1 \s ">
        <w:r w:rsidR="007306EC">
          <w:rPr>
            <w:noProof/>
          </w:rPr>
          <w:t>3</w:t>
        </w:r>
      </w:fldSimple>
      <w:r w:rsidR="007306EC">
        <w:noBreakHyphen/>
      </w:r>
      <w:fldSimple w:instr=" SEQ Figure \* ARABIC \s 1 ">
        <w:r w:rsidR="007306EC">
          <w:rPr>
            <w:noProof/>
          </w:rPr>
          <w:t>1</w:t>
        </w:r>
      </w:fldSimple>
      <w:bookmarkEnd w:id="106"/>
      <w:r>
        <w:t xml:space="preserve"> </w:t>
      </w:r>
      <w:r w:rsidRPr="00E34820">
        <w:t>DISTRIBUTION OF NET OPERATING PROFIT BY ACTOR IN THE COCOA VALUE CHAIN</w:t>
      </w:r>
      <w:bookmarkEnd w:id="107"/>
    </w:p>
    <w:p w14:paraId="41C1D097" w14:textId="77777777" w:rsidR="00FE4B15" w:rsidRDefault="00FE4B15" w:rsidP="00FE4B15">
      <w:pPr>
        <w:keepNext/>
        <w:jc w:val="center"/>
      </w:pPr>
    </w:p>
    <w:p w14:paraId="74AB098A" w14:textId="3A0E7925" w:rsidR="00270485" w:rsidRDefault="00270485" w:rsidP="00CB4795">
      <w:pPr>
        <w:pStyle w:val="Heading3"/>
      </w:pPr>
      <w:bookmarkStart w:id="108" w:name="_Toc228701023"/>
      <w:r w:rsidRPr="00270485">
        <w:t>Wage Employment Distribution</w:t>
      </w:r>
      <w:bookmarkEnd w:id="108"/>
    </w:p>
    <w:p w14:paraId="4F8EF4DE" w14:textId="575DAE68" w:rsidR="001E07BF" w:rsidRPr="001E07BF" w:rsidRDefault="001E07BF" w:rsidP="001E07BF">
      <w:pPr>
        <w:rPr>
          <w:rFonts w:cs="Open Sans"/>
          <w:sz w:val="20"/>
          <w:szCs w:val="20"/>
        </w:rPr>
      </w:pPr>
      <w:r w:rsidRPr="001E07BF">
        <w:rPr>
          <w:rFonts w:cs="Open Sans"/>
          <w:sz w:val="20"/>
          <w:szCs w:val="20"/>
        </w:rPr>
        <w:t>Beyond profit distribution, the inclusiveness of the cocoa value chain can be assessed through the allocation of wage income across actors. Wage employment is a key channel through which economic gains are shared with individuals who do not own productive assets such as land.</w:t>
      </w:r>
      <w:r>
        <w:rPr>
          <w:rFonts w:cs="Open Sans"/>
          <w:sz w:val="20"/>
          <w:szCs w:val="20"/>
        </w:rPr>
        <w:t xml:space="preserve"> </w:t>
      </w:r>
      <w:r w:rsidR="00B92D72">
        <w:rPr>
          <w:rFonts w:cs="Open Sans"/>
          <w:sz w:val="20"/>
          <w:szCs w:val="20"/>
        </w:rPr>
        <w:fldChar w:fldCharType="begin"/>
      </w:r>
      <w:r w:rsidR="00B92D72">
        <w:rPr>
          <w:rFonts w:cs="Open Sans"/>
          <w:sz w:val="20"/>
          <w:szCs w:val="20"/>
        </w:rPr>
        <w:instrText xml:space="preserve"> REF _Ref227058800 \h </w:instrText>
      </w:r>
      <w:r w:rsidR="00B92D72">
        <w:rPr>
          <w:rFonts w:cs="Open Sans"/>
          <w:sz w:val="20"/>
          <w:szCs w:val="20"/>
        </w:rPr>
      </w:r>
      <w:r w:rsidR="00B92D72">
        <w:rPr>
          <w:rFonts w:cs="Open Sans"/>
          <w:sz w:val="20"/>
          <w:szCs w:val="20"/>
        </w:rPr>
        <w:fldChar w:fldCharType="separate"/>
      </w:r>
      <w:r w:rsidR="00B92D72">
        <w:t xml:space="preserve">Figure </w:t>
      </w:r>
      <w:r w:rsidR="00B92D72">
        <w:rPr>
          <w:noProof/>
        </w:rPr>
        <w:t>3</w:t>
      </w:r>
      <w:r w:rsidR="00B92D72">
        <w:t>.</w:t>
      </w:r>
      <w:r w:rsidR="00B92D72">
        <w:rPr>
          <w:noProof/>
        </w:rPr>
        <w:t>2</w:t>
      </w:r>
      <w:r w:rsidR="00B92D72">
        <w:rPr>
          <w:rFonts w:cs="Open Sans"/>
          <w:sz w:val="20"/>
          <w:szCs w:val="20"/>
        </w:rPr>
        <w:fldChar w:fldCharType="end"/>
      </w:r>
      <w:r w:rsidRPr="001E07BF">
        <w:rPr>
          <w:rFonts w:cs="Open Sans"/>
          <w:sz w:val="20"/>
          <w:szCs w:val="20"/>
        </w:rPr>
        <w:t xml:space="preserve"> shows a highly concentrated distribution of wage payments. Smallholder producers account for approximately 77% of total wages, followed by larger smallholders at around 15%. Together, primary production generates over 90% of wage income, while downstream actors, including exporters, cooperatives, agents, and dealers, contribute less than 10%.</w:t>
      </w:r>
    </w:p>
    <w:p w14:paraId="3A54CD94" w14:textId="77777777" w:rsidR="001E07BF" w:rsidRPr="001E07BF" w:rsidRDefault="001E07BF" w:rsidP="001E07BF">
      <w:pPr>
        <w:rPr>
          <w:rFonts w:cs="Open Sans"/>
          <w:sz w:val="20"/>
          <w:szCs w:val="20"/>
        </w:rPr>
      </w:pPr>
    </w:p>
    <w:p w14:paraId="7113D3BD" w14:textId="6549C2A5" w:rsidR="00CB4795" w:rsidRDefault="001E07BF" w:rsidP="001E07BF">
      <w:pPr>
        <w:rPr>
          <w:rFonts w:cs="Open Sans"/>
          <w:sz w:val="20"/>
          <w:szCs w:val="20"/>
        </w:rPr>
      </w:pPr>
      <w:r w:rsidRPr="001E07BF">
        <w:rPr>
          <w:rFonts w:cs="Open Sans"/>
          <w:sz w:val="20"/>
          <w:szCs w:val="20"/>
        </w:rPr>
        <w:t xml:space="preserve">This reflects the </w:t>
      </w:r>
      <w:proofErr w:type="spellStart"/>
      <w:r w:rsidRPr="001E07BF">
        <w:rPr>
          <w:rFonts w:cs="Open Sans"/>
          <w:sz w:val="20"/>
          <w:szCs w:val="20"/>
        </w:rPr>
        <w:t>labour-intensive</w:t>
      </w:r>
      <w:proofErr w:type="spellEnd"/>
      <w:r w:rsidRPr="001E07BF">
        <w:rPr>
          <w:rFonts w:cs="Open Sans"/>
          <w:sz w:val="20"/>
          <w:szCs w:val="20"/>
        </w:rPr>
        <w:t xml:space="preserve"> nature of cocoa farming, where hired </w:t>
      </w:r>
      <w:proofErr w:type="spellStart"/>
      <w:r w:rsidRPr="001E07BF">
        <w:rPr>
          <w:rFonts w:cs="Open Sans"/>
          <w:sz w:val="20"/>
          <w:szCs w:val="20"/>
        </w:rPr>
        <w:t>labour</w:t>
      </w:r>
      <w:proofErr w:type="spellEnd"/>
      <w:r w:rsidRPr="001E07BF">
        <w:rPr>
          <w:rFonts w:cs="Open Sans"/>
          <w:sz w:val="20"/>
          <w:szCs w:val="20"/>
        </w:rPr>
        <w:t xml:space="preserve"> is primarily used for on-farm activities. However, these jobs are typically seasonal, informal, and low-paid. In contrast, downstream segments generate fewer jobs but tend to offer more stable and formal employment, though at a limited scale.</w:t>
      </w:r>
      <w:r>
        <w:rPr>
          <w:rFonts w:cs="Open Sans"/>
          <w:sz w:val="20"/>
          <w:szCs w:val="20"/>
        </w:rPr>
        <w:t xml:space="preserve"> </w:t>
      </w:r>
      <w:r w:rsidRPr="001E07BF">
        <w:rPr>
          <w:rFonts w:cs="Open Sans"/>
          <w:sz w:val="20"/>
          <w:szCs w:val="20"/>
        </w:rPr>
        <w:t>From an inclusiveness perspective, this distribution suggests that while wage employment is widespread in rural areas, its quality remains low. The dominance of informal and seasonal work constrains the extent to which wage income can support sustained improvements in welfare</w:t>
      </w:r>
      <w:r w:rsidR="00D43ED0">
        <w:rPr>
          <w:rFonts w:cs="Open Sans"/>
          <w:sz w:val="20"/>
          <w:szCs w:val="20"/>
        </w:rPr>
        <w:t xml:space="preserve"> and attract youth into cocoa production</w:t>
      </w:r>
      <w:r w:rsidRPr="001E07BF">
        <w:rPr>
          <w:rFonts w:cs="Open Sans"/>
          <w:sz w:val="20"/>
          <w:szCs w:val="20"/>
        </w:rPr>
        <w:t>. Enhancing inclusiveness will therefore require expanding higher-quality employment opportunities, particularly in downstream segments of the value chain.</w:t>
      </w:r>
    </w:p>
    <w:p w14:paraId="65039161" w14:textId="77777777" w:rsidR="001E07BF" w:rsidRPr="005A2AD7" w:rsidRDefault="001E07BF" w:rsidP="00CB4795">
      <w:pPr>
        <w:rPr>
          <w:rFonts w:cs="Open Sans"/>
          <w:sz w:val="20"/>
          <w:szCs w:val="20"/>
          <w:lang w:val="cs-CZ"/>
        </w:rPr>
      </w:pPr>
    </w:p>
    <w:p w14:paraId="06D30DF2" w14:textId="77777777" w:rsidR="00B92D72" w:rsidRDefault="00FD0F2C" w:rsidP="00B92D72">
      <w:pPr>
        <w:keepNext/>
        <w:jc w:val="center"/>
      </w:pPr>
      <w:r>
        <w:rPr>
          <w:noProof/>
        </w:rPr>
        <w:drawing>
          <wp:inline distT="0" distB="0" distL="0" distR="0" wp14:anchorId="503BC5E5" wp14:editId="0C34BEDC">
            <wp:extent cx="3399155" cy="1701436"/>
            <wp:effectExtent l="0" t="0" r="0" b="0"/>
            <wp:docPr id="1999290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90164" name=""/>
                    <pic:cNvPicPr/>
                  </pic:nvPicPr>
                  <pic:blipFill rotWithShape="1">
                    <a:blip r:embed="rId34"/>
                    <a:srcRect t="22815" b="18403"/>
                    <a:stretch>
                      <a:fillRect/>
                    </a:stretch>
                  </pic:blipFill>
                  <pic:spPr bwMode="auto">
                    <a:xfrm>
                      <a:off x="0" y="0"/>
                      <a:ext cx="3400000" cy="1701859"/>
                    </a:xfrm>
                    <a:prstGeom prst="rect">
                      <a:avLst/>
                    </a:prstGeom>
                    <a:ln>
                      <a:noFill/>
                    </a:ln>
                    <a:extLst>
                      <a:ext uri="{53640926-AAD7-44D8-BBD7-CCE9431645EC}">
                        <a14:shadowObscured xmlns:a14="http://schemas.microsoft.com/office/drawing/2010/main"/>
                      </a:ext>
                    </a:extLst>
                  </pic:spPr>
                </pic:pic>
              </a:graphicData>
            </a:graphic>
          </wp:inline>
        </w:drawing>
      </w:r>
    </w:p>
    <w:p w14:paraId="009F07EF" w14:textId="41131031" w:rsidR="00CB4795" w:rsidRPr="00270485" w:rsidRDefault="00B92D72" w:rsidP="00B92D72">
      <w:pPr>
        <w:pStyle w:val="Caption"/>
        <w:jc w:val="center"/>
        <w:rPr>
          <w:rFonts w:cs="Open Sans"/>
          <w:szCs w:val="20"/>
        </w:rPr>
      </w:pPr>
      <w:bookmarkStart w:id="109" w:name="_Ref227058800"/>
      <w:bookmarkStart w:id="110" w:name="_Toc228701109"/>
      <w:r>
        <w:t xml:space="preserve">Figure </w:t>
      </w:r>
      <w:fldSimple w:instr=" STYLEREF 1 \s ">
        <w:r w:rsidR="007306EC">
          <w:rPr>
            <w:noProof/>
          </w:rPr>
          <w:t>3</w:t>
        </w:r>
      </w:fldSimple>
      <w:r w:rsidR="007306EC">
        <w:noBreakHyphen/>
      </w:r>
      <w:fldSimple w:instr=" SEQ Figure \* ARABIC \s 1 ">
        <w:r w:rsidR="007306EC">
          <w:rPr>
            <w:noProof/>
          </w:rPr>
          <w:t>2</w:t>
        </w:r>
      </w:fldSimple>
      <w:bookmarkEnd w:id="109"/>
      <w:r>
        <w:t xml:space="preserve"> </w:t>
      </w:r>
      <w:r w:rsidRPr="00FE063A">
        <w:t>DISTRIBUTION OF TOTAL WAGES PAID (%) BY EACH ACTOR CATEGORY</w:t>
      </w:r>
      <w:bookmarkEnd w:id="110"/>
    </w:p>
    <w:p w14:paraId="6DA8C856" w14:textId="089C5894" w:rsidR="00CB4795" w:rsidRDefault="00CB4795" w:rsidP="00270485">
      <w:pPr>
        <w:rPr>
          <w:rFonts w:cs="Open Sans"/>
          <w:sz w:val="20"/>
          <w:szCs w:val="20"/>
        </w:rPr>
      </w:pPr>
    </w:p>
    <w:p w14:paraId="7FAC48A2" w14:textId="633E7731" w:rsidR="00FB3557" w:rsidRDefault="00FB3557" w:rsidP="00FB3557">
      <w:pPr>
        <w:pStyle w:val="Heading3"/>
      </w:pPr>
      <w:bookmarkStart w:id="111" w:name="_Toc228701024"/>
      <w:r>
        <w:lastRenderedPageBreak/>
        <w:t xml:space="preserve">Distribution of </w:t>
      </w:r>
      <w:r w:rsidRPr="00270485">
        <w:t xml:space="preserve">Employment </w:t>
      </w:r>
      <w:r w:rsidR="00FD0F2C">
        <w:t xml:space="preserve">and </w:t>
      </w:r>
      <w:proofErr w:type="spellStart"/>
      <w:r w:rsidR="00FD0F2C">
        <w:t>Labour</w:t>
      </w:r>
      <w:bookmarkEnd w:id="111"/>
      <w:proofErr w:type="spellEnd"/>
    </w:p>
    <w:p w14:paraId="2448B2FF" w14:textId="4C15A68E" w:rsidR="00BC7778" w:rsidRDefault="00B92D72" w:rsidP="3821A05B">
      <w:pPr>
        <w:pStyle w:val="FirstParagraph"/>
        <w:jc w:val="both"/>
        <w:rPr>
          <w:rFonts w:ascii="Open Sans" w:hAnsi="Open Sans" w:cs="Open Sans"/>
          <w:color w:val="1F4E79" w:themeColor="accent5" w:themeShade="80"/>
          <w:sz w:val="20"/>
          <w:szCs w:val="20"/>
          <w:lang w:val="en-US"/>
        </w:rPr>
      </w:pPr>
      <w:r w:rsidRPr="00B92D72">
        <w:rPr>
          <w:rFonts w:ascii="Open Sans" w:hAnsi="Open Sans" w:cs="Open Sans"/>
          <w:sz w:val="20"/>
          <w:szCs w:val="20"/>
        </w:rPr>
        <w:fldChar w:fldCharType="begin"/>
      </w:r>
      <w:r w:rsidRPr="00B92D72">
        <w:rPr>
          <w:rFonts w:ascii="Open Sans" w:hAnsi="Open Sans" w:cs="Open Sans"/>
          <w:sz w:val="20"/>
          <w:szCs w:val="20"/>
        </w:rPr>
        <w:instrText xml:space="preserve"> REF _Ref227058872 \h  \* MERGEFORMAT </w:instrText>
      </w:r>
      <w:r w:rsidRPr="00B92D72">
        <w:rPr>
          <w:rFonts w:ascii="Open Sans" w:hAnsi="Open Sans" w:cs="Open Sans"/>
          <w:sz w:val="20"/>
          <w:szCs w:val="20"/>
        </w:rPr>
      </w:r>
      <w:r w:rsidRPr="00B92D72">
        <w:rPr>
          <w:rFonts w:ascii="Open Sans" w:hAnsi="Open Sans" w:cs="Open Sans"/>
          <w:sz w:val="20"/>
          <w:szCs w:val="20"/>
        </w:rPr>
        <w:fldChar w:fldCharType="separate"/>
      </w:r>
      <w:r w:rsidRPr="3821A05B">
        <w:rPr>
          <w:rFonts w:ascii="Open Sans" w:hAnsi="Open Sans" w:cs="Open Sans"/>
          <w:sz w:val="20"/>
          <w:szCs w:val="20"/>
          <w:lang w:val="en-US"/>
        </w:rPr>
        <w:t xml:space="preserve">Figure </w:t>
      </w:r>
      <w:r w:rsidRPr="3821A05B">
        <w:rPr>
          <w:rFonts w:ascii="Open Sans" w:hAnsi="Open Sans" w:cs="Open Sans"/>
          <w:noProof/>
          <w:sz w:val="20"/>
          <w:szCs w:val="20"/>
          <w:lang w:val="en-US"/>
        </w:rPr>
        <w:t>3</w:t>
      </w:r>
      <w:r w:rsidRPr="3821A05B">
        <w:rPr>
          <w:rFonts w:ascii="Open Sans" w:hAnsi="Open Sans" w:cs="Open Sans"/>
          <w:sz w:val="20"/>
          <w:szCs w:val="20"/>
          <w:lang w:val="en-US"/>
        </w:rPr>
        <w:t>.</w:t>
      </w:r>
      <w:r w:rsidRPr="3821A05B">
        <w:rPr>
          <w:rFonts w:ascii="Open Sans" w:hAnsi="Open Sans" w:cs="Open Sans"/>
          <w:noProof/>
          <w:sz w:val="20"/>
          <w:szCs w:val="20"/>
          <w:lang w:val="en-US"/>
        </w:rPr>
        <w:t>3</w:t>
      </w:r>
      <w:r w:rsidRPr="00B92D72">
        <w:rPr>
          <w:rFonts w:ascii="Open Sans" w:hAnsi="Open Sans" w:cs="Open Sans"/>
          <w:sz w:val="20"/>
          <w:szCs w:val="20"/>
        </w:rPr>
        <w:fldChar w:fldCharType="end"/>
      </w:r>
      <w:r w:rsidR="00053227" w:rsidRPr="3821A05B">
        <w:rPr>
          <w:rFonts w:ascii="Open Sans" w:hAnsi="Open Sans" w:cs="Open Sans"/>
          <w:sz w:val="20"/>
          <w:szCs w:val="20"/>
          <w:lang w:val="en-US"/>
        </w:rPr>
        <w:t xml:space="preserve"> presents the distribution of </w:t>
      </w:r>
      <w:proofErr w:type="spellStart"/>
      <w:r w:rsidR="00053227" w:rsidRPr="3821A05B">
        <w:rPr>
          <w:rFonts w:ascii="Open Sans" w:hAnsi="Open Sans" w:cs="Open Sans"/>
          <w:sz w:val="20"/>
          <w:szCs w:val="20"/>
          <w:lang w:val="en-US"/>
        </w:rPr>
        <w:t>labour</w:t>
      </w:r>
      <w:proofErr w:type="spellEnd"/>
      <w:r w:rsidR="00053227" w:rsidRPr="3821A05B">
        <w:rPr>
          <w:rFonts w:ascii="Open Sans" w:hAnsi="Open Sans" w:cs="Open Sans"/>
          <w:sz w:val="20"/>
          <w:szCs w:val="20"/>
          <w:lang w:val="en-US"/>
        </w:rPr>
        <w:t xml:space="preserve"> across actors in the Sierra Leone cocoa value chain, expressed in full-time equivalent (FTE) units (1 FTE = 200 </w:t>
      </w:r>
      <w:proofErr w:type="spellStart"/>
      <w:r w:rsidR="00053227" w:rsidRPr="3821A05B">
        <w:rPr>
          <w:rFonts w:ascii="Open Sans" w:hAnsi="Open Sans" w:cs="Open Sans"/>
          <w:sz w:val="20"/>
          <w:szCs w:val="20"/>
          <w:lang w:val="en-US"/>
        </w:rPr>
        <w:t>labour</w:t>
      </w:r>
      <w:proofErr w:type="spellEnd"/>
      <w:r w:rsidR="00053227" w:rsidRPr="3821A05B">
        <w:rPr>
          <w:rFonts w:ascii="Open Sans" w:hAnsi="Open Sans" w:cs="Open Sans"/>
          <w:sz w:val="20"/>
          <w:szCs w:val="20"/>
          <w:lang w:val="en-US"/>
        </w:rPr>
        <w:t xml:space="preserve"> days per year), and disaggregated by gender</w:t>
      </w:r>
      <w:r w:rsidR="00406A43" w:rsidRPr="3821A05B">
        <w:rPr>
          <w:rFonts w:ascii="Open Sans" w:hAnsi="Open Sans" w:cs="Open Sans"/>
          <w:sz w:val="20"/>
          <w:szCs w:val="20"/>
          <w:lang w:val="en-US"/>
        </w:rPr>
        <w:t xml:space="preserve"> (male and female)</w:t>
      </w:r>
      <w:r w:rsidR="007C797E" w:rsidRPr="3821A05B">
        <w:rPr>
          <w:rFonts w:ascii="Open Sans" w:hAnsi="Open Sans" w:cs="Open Sans"/>
          <w:sz w:val="20"/>
          <w:szCs w:val="20"/>
          <w:lang w:val="en-US"/>
        </w:rPr>
        <w:t>.</w:t>
      </w:r>
    </w:p>
    <w:p w14:paraId="5E65518B" w14:textId="51CB78A9" w:rsidR="00B92D72" w:rsidRDefault="00B857CD" w:rsidP="00B92D72">
      <w:pPr>
        <w:pStyle w:val="FirstParagraph"/>
        <w:keepNext/>
        <w:jc w:val="center"/>
      </w:pPr>
      <w:r>
        <w:rPr>
          <w:noProof/>
        </w:rPr>
        <w:drawing>
          <wp:inline distT="0" distB="0" distL="0" distR="0" wp14:anchorId="05E0CCE1" wp14:editId="220F7627">
            <wp:extent cx="5200650" cy="3159225"/>
            <wp:effectExtent l="0" t="0" r="0" b="3175"/>
            <wp:docPr id="63379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9041" name="Picture 63379041"/>
                    <pic:cNvPicPr/>
                  </pic:nvPicPr>
                  <pic:blipFill>
                    <a:blip r:embed="rId35">
                      <a:extLst>
                        <a:ext uri="{28A0092B-C50C-407E-A947-70E740481C1C}">
                          <a14:useLocalDpi xmlns:a14="http://schemas.microsoft.com/office/drawing/2010/main" val="0"/>
                        </a:ext>
                      </a:extLst>
                    </a:blip>
                    <a:stretch>
                      <a:fillRect/>
                    </a:stretch>
                  </pic:blipFill>
                  <pic:spPr>
                    <a:xfrm>
                      <a:off x="0" y="0"/>
                      <a:ext cx="5210134" cy="3164986"/>
                    </a:xfrm>
                    <a:prstGeom prst="rect">
                      <a:avLst/>
                    </a:prstGeom>
                  </pic:spPr>
                </pic:pic>
              </a:graphicData>
            </a:graphic>
          </wp:inline>
        </w:drawing>
      </w:r>
    </w:p>
    <w:p w14:paraId="47487C35" w14:textId="6ECD80B1" w:rsidR="007C797E" w:rsidRDefault="00B92D72" w:rsidP="00B92D72">
      <w:pPr>
        <w:pStyle w:val="Caption"/>
        <w:jc w:val="center"/>
      </w:pPr>
      <w:bookmarkStart w:id="112" w:name="_Ref227058872"/>
      <w:bookmarkStart w:id="113" w:name="_Toc228701110"/>
      <w:r>
        <w:t xml:space="preserve">Figure </w:t>
      </w:r>
      <w:fldSimple w:instr=" STYLEREF 1 \s ">
        <w:r w:rsidR="007306EC">
          <w:rPr>
            <w:noProof/>
          </w:rPr>
          <w:t>3</w:t>
        </w:r>
      </w:fldSimple>
      <w:r w:rsidR="007306EC">
        <w:noBreakHyphen/>
      </w:r>
      <w:fldSimple w:instr=" SEQ Figure \* ARABIC \s 1 ">
        <w:r w:rsidR="007306EC">
          <w:rPr>
            <w:noProof/>
          </w:rPr>
          <w:t>3</w:t>
        </w:r>
      </w:fldSimple>
      <w:bookmarkEnd w:id="112"/>
      <w:r>
        <w:t xml:space="preserve"> </w:t>
      </w:r>
      <w:r w:rsidRPr="00F64145">
        <w:t>DISTRIBUTION OF FULL-TIME EQUIVALENT (FTE) LABOUR BY ACTOR AND GENDER</w:t>
      </w:r>
      <w:bookmarkEnd w:id="113"/>
    </w:p>
    <w:p w14:paraId="7D8C3B8D" w14:textId="77777777" w:rsidR="00BC7778" w:rsidRPr="00BC7778" w:rsidRDefault="00BC7778" w:rsidP="00BC7778">
      <w:pPr>
        <w:pStyle w:val="BodyText"/>
        <w:rPr>
          <w:lang w:val="en" w:eastAsia="en-US"/>
        </w:rPr>
      </w:pPr>
    </w:p>
    <w:p w14:paraId="41BA5F9B" w14:textId="4C4FE5BB" w:rsidR="001E6EED" w:rsidRPr="001E6EED" w:rsidRDefault="001E6EED" w:rsidP="3821A05B">
      <w:pPr>
        <w:pStyle w:val="FirstParagraph"/>
        <w:jc w:val="both"/>
        <w:rPr>
          <w:rFonts w:ascii="Open Sans" w:hAnsi="Open Sans" w:cs="Open Sans"/>
          <w:sz w:val="20"/>
          <w:szCs w:val="20"/>
          <w:lang w:val="en-US"/>
        </w:rPr>
      </w:pPr>
      <w:r w:rsidRPr="3821A05B">
        <w:rPr>
          <w:rFonts w:ascii="Open Sans" w:hAnsi="Open Sans" w:cs="Open Sans"/>
          <w:sz w:val="20"/>
          <w:szCs w:val="20"/>
          <w:lang w:val="en-US"/>
        </w:rPr>
        <w:t xml:space="preserve">A defining feature of the employment structure is the overwhelming concentration of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 xml:space="preserve"> in primary production. Smallholder producers account for the largest share of total employment, followed by larger smallholders, while downstream actors collectively represent only a marginal proportion. This reflects the inherently </w:t>
      </w:r>
      <w:proofErr w:type="spellStart"/>
      <w:proofErr w:type="gramStart"/>
      <w:r w:rsidRPr="3821A05B">
        <w:rPr>
          <w:rFonts w:ascii="Open Sans" w:hAnsi="Open Sans" w:cs="Open Sans"/>
          <w:sz w:val="20"/>
          <w:szCs w:val="20"/>
          <w:lang w:val="en-US"/>
        </w:rPr>
        <w:t>labour-intensive</w:t>
      </w:r>
      <w:proofErr w:type="spellEnd"/>
      <w:proofErr w:type="gramEnd"/>
      <w:r w:rsidRPr="3821A05B">
        <w:rPr>
          <w:rFonts w:ascii="Open Sans" w:hAnsi="Open Sans" w:cs="Open Sans"/>
          <w:sz w:val="20"/>
          <w:szCs w:val="20"/>
          <w:lang w:val="en-US"/>
        </w:rPr>
        <w:t xml:space="preserve"> nature of cocoa production, where activities such as harvesting and post-harvest handling rely heavily on manual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 xml:space="preserve">, in contrast to downstream segments that are more capital- and coordination-intensive. This concentration underscores the central role of cocoa in supporting rural livelihoods. The sector generates widespread employment, but largely in low-productivity settings. Together, smallholder and larger smallholder producers account for </w:t>
      </w:r>
      <w:proofErr w:type="gramStart"/>
      <w:r w:rsidRPr="3821A05B">
        <w:rPr>
          <w:rFonts w:ascii="Open Sans" w:hAnsi="Open Sans" w:cs="Open Sans"/>
          <w:sz w:val="20"/>
          <w:szCs w:val="20"/>
          <w:lang w:val="en-US"/>
        </w:rPr>
        <w:t>the vast majority of</w:t>
      </w:r>
      <w:proofErr w:type="gramEnd"/>
      <w:r w:rsidRPr="3821A05B">
        <w:rPr>
          <w:rFonts w:ascii="Open Sans" w:hAnsi="Open Sans" w:cs="Open Sans"/>
          <w:sz w:val="20"/>
          <w:szCs w:val="20"/>
          <w:lang w:val="en-US"/>
        </w:rPr>
        <w:t xml:space="preserve">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 xml:space="preserve"> demand, highlighting the limited capacity of downstream segments to absorb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w:t>
      </w:r>
    </w:p>
    <w:p w14:paraId="6918A1E5" w14:textId="77777777" w:rsidR="001E6EED" w:rsidRPr="001E6EED" w:rsidRDefault="001E6EED" w:rsidP="3821A05B">
      <w:pPr>
        <w:pStyle w:val="FirstParagraph"/>
        <w:jc w:val="both"/>
        <w:rPr>
          <w:rFonts w:ascii="Open Sans" w:hAnsi="Open Sans" w:cs="Open Sans"/>
          <w:sz w:val="20"/>
          <w:szCs w:val="20"/>
          <w:lang w:val="en-US"/>
        </w:rPr>
      </w:pPr>
      <w:r w:rsidRPr="3821A05B">
        <w:rPr>
          <w:rFonts w:ascii="Open Sans" w:hAnsi="Open Sans" w:cs="Open Sans"/>
          <w:sz w:val="20"/>
          <w:szCs w:val="20"/>
          <w:lang w:val="en-US"/>
        </w:rPr>
        <w:t xml:space="preserve">The gender composition of employment reveals further structural imbalances. While both men and women participate extensively in production, male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 xml:space="preserve"> dominates across all segments. This reflects a gendered division of </w:t>
      </w:r>
      <w:proofErr w:type="spellStart"/>
      <w:r w:rsidRPr="3821A05B">
        <w:rPr>
          <w:rFonts w:ascii="Open Sans" w:hAnsi="Open Sans" w:cs="Open Sans"/>
          <w:sz w:val="20"/>
          <w:szCs w:val="20"/>
          <w:lang w:val="en-US"/>
        </w:rPr>
        <w:t>labour</w:t>
      </w:r>
      <w:proofErr w:type="spellEnd"/>
      <w:r w:rsidRPr="3821A05B">
        <w:rPr>
          <w:rFonts w:ascii="Open Sans" w:hAnsi="Open Sans" w:cs="Open Sans"/>
          <w:sz w:val="20"/>
          <w:szCs w:val="20"/>
          <w:lang w:val="en-US"/>
        </w:rPr>
        <w:t xml:space="preserve"> in which men are more engaged in physically intensive tasks, while women’s participation is constrained by access to resources and social norms. Gender disparities are more pronounced in downstream segments, where participation is lower overall and remains heavily male-biased, suggesting barriers to entry for women in higher-value activities.</w:t>
      </w:r>
    </w:p>
    <w:p w14:paraId="0A8F2A3A" w14:textId="19652AD1" w:rsidR="00FD0F2C" w:rsidRDefault="00B92D72" w:rsidP="00B92D72">
      <w:pPr>
        <w:rPr>
          <w:rFonts w:cs="Open Sans"/>
          <w:sz w:val="20"/>
          <w:szCs w:val="20"/>
        </w:rPr>
      </w:pPr>
      <w:r>
        <w:rPr>
          <w:rFonts w:cs="Open Sans"/>
          <w:sz w:val="20"/>
          <w:szCs w:val="20"/>
        </w:rPr>
        <w:fldChar w:fldCharType="begin"/>
      </w:r>
      <w:r>
        <w:rPr>
          <w:rFonts w:cs="Open Sans"/>
          <w:sz w:val="20"/>
          <w:szCs w:val="20"/>
        </w:rPr>
        <w:instrText xml:space="preserve"> REF _Ref227059024 \h  \* MERGEFORMAT </w:instrText>
      </w:r>
      <w:r>
        <w:rPr>
          <w:rFonts w:cs="Open Sans"/>
          <w:sz w:val="20"/>
          <w:szCs w:val="20"/>
        </w:rPr>
      </w:r>
      <w:r>
        <w:rPr>
          <w:rFonts w:cs="Open Sans"/>
          <w:sz w:val="20"/>
          <w:szCs w:val="20"/>
        </w:rPr>
        <w:fldChar w:fldCharType="separate"/>
      </w:r>
      <w:r w:rsidRPr="001F42F7">
        <w:rPr>
          <w:sz w:val="20"/>
          <w:szCs w:val="20"/>
        </w:rPr>
        <w:t xml:space="preserve">Table </w:t>
      </w:r>
      <w:r w:rsidRPr="001F42F7">
        <w:rPr>
          <w:noProof/>
          <w:sz w:val="20"/>
          <w:szCs w:val="20"/>
        </w:rPr>
        <w:t>3</w:t>
      </w:r>
      <w:r>
        <w:noBreakHyphen/>
      </w:r>
      <w:r>
        <w:rPr>
          <w:noProof/>
        </w:rPr>
        <w:t>1</w:t>
      </w:r>
      <w:r>
        <w:rPr>
          <w:rFonts w:cs="Open Sans"/>
          <w:sz w:val="20"/>
          <w:szCs w:val="20"/>
        </w:rPr>
        <w:fldChar w:fldCharType="end"/>
      </w:r>
      <w:r w:rsidR="001E6EED" w:rsidRPr="001E6EED">
        <w:rPr>
          <w:rFonts w:cs="Open Sans"/>
          <w:sz w:val="20"/>
          <w:szCs w:val="20"/>
        </w:rPr>
        <w:t xml:space="preserve"> further shows that employment in primary production is almost entirely temporary or seasonal, with negligible levels of permanent </w:t>
      </w:r>
      <w:proofErr w:type="spellStart"/>
      <w:r w:rsidR="001E6EED" w:rsidRPr="001E6EED">
        <w:rPr>
          <w:rFonts w:cs="Open Sans"/>
          <w:sz w:val="20"/>
          <w:szCs w:val="20"/>
        </w:rPr>
        <w:t>labour</w:t>
      </w:r>
      <w:proofErr w:type="spellEnd"/>
      <w:r w:rsidR="001E6EED" w:rsidRPr="001E6EED">
        <w:rPr>
          <w:rFonts w:cs="Open Sans"/>
          <w:sz w:val="20"/>
          <w:szCs w:val="20"/>
        </w:rPr>
        <w:t xml:space="preserve">. In contrast, permanent employment, both skilled and unskilled, is concentrated in </w:t>
      </w:r>
      <w:proofErr w:type="gramStart"/>
      <w:r w:rsidR="001E6EED" w:rsidRPr="001E6EED">
        <w:rPr>
          <w:rFonts w:cs="Open Sans"/>
          <w:sz w:val="20"/>
          <w:szCs w:val="20"/>
        </w:rPr>
        <w:t>cooperatives</w:t>
      </w:r>
      <w:proofErr w:type="gramEnd"/>
      <w:r w:rsidR="001E6EED" w:rsidRPr="001E6EED">
        <w:rPr>
          <w:rFonts w:cs="Open Sans"/>
          <w:sz w:val="20"/>
          <w:szCs w:val="20"/>
        </w:rPr>
        <w:t xml:space="preserve"> and exporting activities, albeit </w:t>
      </w:r>
      <w:proofErr w:type="gramStart"/>
      <w:r w:rsidR="001E6EED" w:rsidRPr="001E6EED">
        <w:rPr>
          <w:rFonts w:cs="Open Sans"/>
          <w:sz w:val="20"/>
          <w:szCs w:val="20"/>
        </w:rPr>
        <w:t>at</w:t>
      </w:r>
      <w:proofErr w:type="gramEnd"/>
      <w:r w:rsidR="001E6EED" w:rsidRPr="001E6EED">
        <w:rPr>
          <w:rFonts w:cs="Open Sans"/>
          <w:sz w:val="20"/>
          <w:szCs w:val="20"/>
        </w:rPr>
        <w:t xml:space="preserve"> a very small scale. As a result, the value chain is </w:t>
      </w:r>
      <w:proofErr w:type="spellStart"/>
      <w:r w:rsidR="001E6EED" w:rsidRPr="001E6EED">
        <w:rPr>
          <w:rFonts w:cs="Open Sans"/>
          <w:sz w:val="20"/>
          <w:szCs w:val="20"/>
        </w:rPr>
        <w:t>labour-intensive</w:t>
      </w:r>
      <w:proofErr w:type="spellEnd"/>
      <w:r w:rsidR="001E6EED" w:rsidRPr="001E6EED">
        <w:rPr>
          <w:rFonts w:cs="Open Sans"/>
          <w:sz w:val="20"/>
          <w:szCs w:val="20"/>
        </w:rPr>
        <w:t xml:space="preserve"> but not wage-intensive, with most employment </w:t>
      </w:r>
      <w:proofErr w:type="spellStart"/>
      <w:r w:rsidR="001E6EED" w:rsidRPr="001E6EED">
        <w:rPr>
          <w:rFonts w:cs="Open Sans"/>
          <w:sz w:val="20"/>
          <w:szCs w:val="20"/>
        </w:rPr>
        <w:t>characterised</w:t>
      </w:r>
      <w:proofErr w:type="spellEnd"/>
      <w:r w:rsidR="001E6EED" w:rsidRPr="001E6EED">
        <w:rPr>
          <w:rFonts w:cs="Open Sans"/>
          <w:sz w:val="20"/>
          <w:szCs w:val="20"/>
        </w:rPr>
        <w:t xml:space="preserve"> by informal, seasonal, or self-employed arrangements</w:t>
      </w:r>
      <w:r w:rsidR="00DA3DDC" w:rsidRPr="00DA3DDC">
        <w:rPr>
          <w:rFonts w:cs="Open Sans"/>
          <w:sz w:val="20"/>
          <w:szCs w:val="20"/>
        </w:rPr>
        <w:t>.</w:t>
      </w:r>
      <w:r w:rsidR="00FD0F2C" w:rsidRPr="00FD0F2C">
        <w:rPr>
          <w:rFonts w:cs="Open Sans"/>
          <w:sz w:val="20"/>
          <w:szCs w:val="20"/>
        </w:rPr>
        <w:t xml:space="preserve"> </w:t>
      </w:r>
    </w:p>
    <w:p w14:paraId="4C0BEF02" w14:textId="77777777" w:rsidR="00EE1629" w:rsidRDefault="00EE1629" w:rsidP="00EE1629">
      <w:pPr>
        <w:pStyle w:val="BodyText"/>
        <w:rPr>
          <w:lang w:val="en" w:eastAsia="en-US"/>
        </w:rPr>
      </w:pPr>
    </w:p>
    <w:p w14:paraId="208010C2" w14:textId="3C550637" w:rsidR="00B92D72" w:rsidRDefault="00B92D72" w:rsidP="00B92D72">
      <w:pPr>
        <w:pStyle w:val="Caption"/>
        <w:keepNext/>
      </w:pPr>
      <w:bookmarkStart w:id="114" w:name="_Ref227059024"/>
      <w:bookmarkStart w:id="115" w:name="_Toc228701076"/>
      <w:r>
        <w:lastRenderedPageBreak/>
        <w:t xml:space="preserve">Table </w:t>
      </w:r>
      <w:fldSimple w:instr=" STYLEREF 1 \s ">
        <w:r w:rsidR="006C1C4E">
          <w:rPr>
            <w:noProof/>
          </w:rPr>
          <w:t>3</w:t>
        </w:r>
      </w:fldSimple>
      <w:r w:rsidR="006C1C4E">
        <w:noBreakHyphen/>
      </w:r>
      <w:fldSimple w:instr=" SEQ Table \* ARABIC \s 1 ">
        <w:r w:rsidR="006C1C4E">
          <w:rPr>
            <w:noProof/>
          </w:rPr>
          <w:t>1</w:t>
        </w:r>
      </w:fldSimple>
      <w:bookmarkEnd w:id="114"/>
      <w:r>
        <w:t xml:space="preserve"> </w:t>
      </w:r>
      <w:r w:rsidRPr="00CF4A95">
        <w:t>FULL-TIME EQUIVALENT (FTE) LABOUR PER CATEGORY OF JOB BY VC ACTORS</w:t>
      </w:r>
      <w:bookmarkEnd w:id="115"/>
    </w:p>
    <w:tbl>
      <w:tblPr>
        <w:tblW w:w="9760" w:type="dxa"/>
        <w:tblLook w:val="04A0" w:firstRow="1" w:lastRow="0" w:firstColumn="1" w:lastColumn="0" w:noHBand="0" w:noVBand="1"/>
      </w:tblPr>
      <w:tblGrid>
        <w:gridCol w:w="2280"/>
        <w:gridCol w:w="1560"/>
        <w:gridCol w:w="1740"/>
        <w:gridCol w:w="1620"/>
        <w:gridCol w:w="1140"/>
        <w:gridCol w:w="1420"/>
      </w:tblGrid>
      <w:tr w:rsidR="00EE1629" w:rsidRPr="00EE1629" w14:paraId="300096EC" w14:textId="77777777" w:rsidTr="00EE1629">
        <w:trPr>
          <w:trHeight w:val="580"/>
        </w:trPr>
        <w:tc>
          <w:tcPr>
            <w:tcW w:w="2280" w:type="dxa"/>
            <w:tcBorders>
              <w:top w:val="single" w:sz="4" w:space="0" w:color="auto"/>
              <w:left w:val="nil"/>
              <w:bottom w:val="double" w:sz="6" w:space="0" w:color="auto"/>
              <w:right w:val="nil"/>
            </w:tcBorders>
            <w:vAlign w:val="bottom"/>
            <w:hideMark/>
          </w:tcPr>
          <w:p w14:paraId="0029FF76"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 xml:space="preserve">FTE labour </w:t>
            </w:r>
            <w:r w:rsidRPr="00EE1629">
              <w:rPr>
                <w:rFonts w:ascii="Arial" w:eastAsia="Times New Roman" w:hAnsi="Arial" w:cs="Arial"/>
                <w:color w:val="000000"/>
                <w:sz w:val="20"/>
                <w:szCs w:val="20"/>
                <w:lang w:val="en-GB" w:eastAsia="en-GB"/>
              </w:rPr>
              <w:br/>
              <w:t>per category</w:t>
            </w:r>
          </w:p>
        </w:tc>
        <w:tc>
          <w:tcPr>
            <w:tcW w:w="1560" w:type="dxa"/>
            <w:tcBorders>
              <w:top w:val="single" w:sz="4" w:space="0" w:color="auto"/>
              <w:left w:val="nil"/>
              <w:bottom w:val="double" w:sz="6" w:space="0" w:color="auto"/>
              <w:right w:val="nil"/>
            </w:tcBorders>
            <w:noWrap/>
            <w:vAlign w:val="center"/>
            <w:hideMark/>
          </w:tcPr>
          <w:p w14:paraId="663A0B56" w14:textId="77777777" w:rsidR="00EE1629" w:rsidRPr="00EE1629" w:rsidRDefault="00EE1629" w:rsidP="00BF3B0D">
            <w:pPr>
              <w:contextualSpacing w:val="0"/>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Total Temporary</w:t>
            </w:r>
          </w:p>
        </w:tc>
        <w:tc>
          <w:tcPr>
            <w:tcW w:w="1740" w:type="dxa"/>
            <w:tcBorders>
              <w:top w:val="single" w:sz="4" w:space="0" w:color="auto"/>
              <w:left w:val="nil"/>
              <w:bottom w:val="double" w:sz="6" w:space="0" w:color="auto"/>
              <w:right w:val="nil"/>
            </w:tcBorders>
            <w:vAlign w:val="center"/>
            <w:hideMark/>
          </w:tcPr>
          <w:p w14:paraId="5BD1C84B"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 xml:space="preserve">Total Permanent </w:t>
            </w:r>
            <w:r w:rsidRPr="00EE1629">
              <w:rPr>
                <w:rFonts w:ascii="Arial" w:eastAsia="Times New Roman" w:hAnsi="Arial" w:cs="Arial"/>
                <w:color w:val="000000"/>
                <w:sz w:val="20"/>
                <w:szCs w:val="20"/>
                <w:lang w:val="en-GB" w:eastAsia="en-GB"/>
              </w:rPr>
              <w:br/>
              <w:t xml:space="preserve">Unskilled </w:t>
            </w:r>
          </w:p>
        </w:tc>
        <w:tc>
          <w:tcPr>
            <w:tcW w:w="1620" w:type="dxa"/>
            <w:tcBorders>
              <w:top w:val="single" w:sz="4" w:space="0" w:color="auto"/>
              <w:left w:val="nil"/>
              <w:bottom w:val="double" w:sz="6" w:space="0" w:color="auto"/>
              <w:right w:val="nil"/>
            </w:tcBorders>
            <w:vAlign w:val="center"/>
            <w:hideMark/>
          </w:tcPr>
          <w:p w14:paraId="19FDDC9C"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 xml:space="preserve">Total Permanent </w:t>
            </w:r>
            <w:r w:rsidRPr="00EE1629">
              <w:rPr>
                <w:rFonts w:ascii="Arial" w:eastAsia="Times New Roman" w:hAnsi="Arial" w:cs="Arial"/>
                <w:color w:val="000000"/>
                <w:sz w:val="20"/>
                <w:szCs w:val="20"/>
                <w:lang w:val="en-GB" w:eastAsia="en-GB"/>
              </w:rPr>
              <w:br/>
              <w:t xml:space="preserve">Skilled </w:t>
            </w:r>
          </w:p>
        </w:tc>
        <w:tc>
          <w:tcPr>
            <w:tcW w:w="1140" w:type="dxa"/>
            <w:tcBorders>
              <w:top w:val="single" w:sz="4" w:space="0" w:color="auto"/>
              <w:left w:val="nil"/>
              <w:bottom w:val="double" w:sz="6" w:space="0" w:color="auto"/>
              <w:right w:val="nil"/>
            </w:tcBorders>
            <w:noWrap/>
            <w:vAlign w:val="center"/>
            <w:hideMark/>
          </w:tcPr>
          <w:p w14:paraId="3B050DB6"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Total Male</w:t>
            </w:r>
          </w:p>
        </w:tc>
        <w:tc>
          <w:tcPr>
            <w:tcW w:w="1420" w:type="dxa"/>
            <w:tcBorders>
              <w:top w:val="single" w:sz="4" w:space="0" w:color="auto"/>
              <w:left w:val="nil"/>
              <w:bottom w:val="double" w:sz="6" w:space="0" w:color="auto"/>
              <w:right w:val="nil"/>
            </w:tcBorders>
            <w:noWrap/>
            <w:vAlign w:val="center"/>
            <w:hideMark/>
          </w:tcPr>
          <w:p w14:paraId="4BEBCC11"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Total Female</w:t>
            </w:r>
          </w:p>
        </w:tc>
      </w:tr>
      <w:tr w:rsidR="00EE1629" w:rsidRPr="00EE1629" w14:paraId="662F8947" w14:textId="77777777" w:rsidTr="00EE1629">
        <w:trPr>
          <w:trHeight w:val="330"/>
        </w:trPr>
        <w:tc>
          <w:tcPr>
            <w:tcW w:w="2280" w:type="dxa"/>
            <w:tcBorders>
              <w:top w:val="nil"/>
              <w:left w:val="nil"/>
              <w:bottom w:val="nil"/>
              <w:right w:val="nil"/>
            </w:tcBorders>
            <w:noWrap/>
            <w:vAlign w:val="bottom"/>
            <w:hideMark/>
          </w:tcPr>
          <w:p w14:paraId="21AAA10C"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Cooperative</w:t>
            </w:r>
          </w:p>
        </w:tc>
        <w:tc>
          <w:tcPr>
            <w:tcW w:w="1560" w:type="dxa"/>
            <w:tcBorders>
              <w:top w:val="nil"/>
              <w:left w:val="nil"/>
              <w:bottom w:val="nil"/>
              <w:right w:val="nil"/>
            </w:tcBorders>
            <w:noWrap/>
            <w:vAlign w:val="center"/>
            <w:hideMark/>
          </w:tcPr>
          <w:p w14:paraId="29F0FD83"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740" w:type="dxa"/>
            <w:tcBorders>
              <w:top w:val="nil"/>
              <w:left w:val="nil"/>
              <w:bottom w:val="nil"/>
              <w:right w:val="nil"/>
            </w:tcBorders>
            <w:noWrap/>
            <w:vAlign w:val="center"/>
            <w:hideMark/>
          </w:tcPr>
          <w:p w14:paraId="1D3A4E41"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196</w:t>
            </w:r>
          </w:p>
        </w:tc>
        <w:tc>
          <w:tcPr>
            <w:tcW w:w="1620" w:type="dxa"/>
            <w:tcBorders>
              <w:top w:val="nil"/>
              <w:left w:val="nil"/>
              <w:bottom w:val="nil"/>
              <w:right w:val="nil"/>
            </w:tcBorders>
            <w:noWrap/>
            <w:vAlign w:val="center"/>
            <w:hideMark/>
          </w:tcPr>
          <w:p w14:paraId="60D8C7E9"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34</w:t>
            </w:r>
          </w:p>
        </w:tc>
        <w:tc>
          <w:tcPr>
            <w:tcW w:w="1140" w:type="dxa"/>
            <w:tcBorders>
              <w:top w:val="nil"/>
              <w:left w:val="nil"/>
              <w:bottom w:val="nil"/>
              <w:right w:val="nil"/>
            </w:tcBorders>
            <w:noWrap/>
            <w:vAlign w:val="center"/>
            <w:hideMark/>
          </w:tcPr>
          <w:p w14:paraId="777A2D9A"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191</w:t>
            </w:r>
          </w:p>
        </w:tc>
        <w:tc>
          <w:tcPr>
            <w:tcW w:w="1420" w:type="dxa"/>
            <w:tcBorders>
              <w:top w:val="nil"/>
              <w:left w:val="nil"/>
              <w:bottom w:val="nil"/>
              <w:right w:val="nil"/>
            </w:tcBorders>
            <w:noWrap/>
            <w:vAlign w:val="center"/>
            <w:hideMark/>
          </w:tcPr>
          <w:p w14:paraId="253465BB"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39</w:t>
            </w:r>
          </w:p>
        </w:tc>
      </w:tr>
      <w:tr w:rsidR="00EE1629" w:rsidRPr="00EE1629" w14:paraId="30649B57" w14:textId="77777777" w:rsidTr="00EE1629">
        <w:trPr>
          <w:trHeight w:val="330"/>
        </w:trPr>
        <w:tc>
          <w:tcPr>
            <w:tcW w:w="2280" w:type="dxa"/>
            <w:tcBorders>
              <w:top w:val="nil"/>
              <w:left w:val="nil"/>
              <w:bottom w:val="nil"/>
              <w:right w:val="nil"/>
            </w:tcBorders>
            <w:noWrap/>
            <w:vAlign w:val="bottom"/>
            <w:hideMark/>
          </w:tcPr>
          <w:p w14:paraId="48B25A89"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Exporter</w:t>
            </w:r>
          </w:p>
        </w:tc>
        <w:tc>
          <w:tcPr>
            <w:tcW w:w="1560" w:type="dxa"/>
            <w:tcBorders>
              <w:top w:val="nil"/>
              <w:left w:val="nil"/>
              <w:bottom w:val="nil"/>
              <w:right w:val="nil"/>
            </w:tcBorders>
            <w:noWrap/>
            <w:vAlign w:val="center"/>
            <w:hideMark/>
          </w:tcPr>
          <w:p w14:paraId="7D480944"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399</w:t>
            </w:r>
          </w:p>
        </w:tc>
        <w:tc>
          <w:tcPr>
            <w:tcW w:w="1740" w:type="dxa"/>
            <w:tcBorders>
              <w:top w:val="nil"/>
              <w:left w:val="nil"/>
              <w:bottom w:val="nil"/>
              <w:right w:val="nil"/>
            </w:tcBorders>
            <w:noWrap/>
            <w:vAlign w:val="center"/>
            <w:hideMark/>
          </w:tcPr>
          <w:p w14:paraId="4F986B31"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111</w:t>
            </w:r>
          </w:p>
        </w:tc>
        <w:tc>
          <w:tcPr>
            <w:tcW w:w="1620" w:type="dxa"/>
            <w:tcBorders>
              <w:top w:val="nil"/>
              <w:left w:val="nil"/>
              <w:bottom w:val="nil"/>
              <w:right w:val="nil"/>
            </w:tcBorders>
            <w:noWrap/>
            <w:vAlign w:val="center"/>
            <w:hideMark/>
          </w:tcPr>
          <w:p w14:paraId="25550973"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44</w:t>
            </w:r>
          </w:p>
        </w:tc>
        <w:tc>
          <w:tcPr>
            <w:tcW w:w="1140" w:type="dxa"/>
            <w:tcBorders>
              <w:top w:val="nil"/>
              <w:left w:val="nil"/>
              <w:bottom w:val="nil"/>
              <w:right w:val="nil"/>
            </w:tcBorders>
            <w:noWrap/>
            <w:vAlign w:val="center"/>
            <w:hideMark/>
          </w:tcPr>
          <w:p w14:paraId="4A5841AA"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421</w:t>
            </w:r>
          </w:p>
        </w:tc>
        <w:tc>
          <w:tcPr>
            <w:tcW w:w="1420" w:type="dxa"/>
            <w:tcBorders>
              <w:top w:val="nil"/>
              <w:left w:val="nil"/>
              <w:bottom w:val="nil"/>
              <w:right w:val="nil"/>
            </w:tcBorders>
            <w:noWrap/>
            <w:vAlign w:val="center"/>
            <w:hideMark/>
          </w:tcPr>
          <w:p w14:paraId="36DBFC23"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133</w:t>
            </w:r>
          </w:p>
        </w:tc>
      </w:tr>
      <w:tr w:rsidR="00EE1629" w:rsidRPr="00EE1629" w14:paraId="55716983" w14:textId="77777777" w:rsidTr="00EE1629">
        <w:trPr>
          <w:trHeight w:val="330"/>
        </w:trPr>
        <w:tc>
          <w:tcPr>
            <w:tcW w:w="2280" w:type="dxa"/>
            <w:tcBorders>
              <w:top w:val="nil"/>
              <w:left w:val="nil"/>
              <w:bottom w:val="nil"/>
              <w:right w:val="nil"/>
            </w:tcBorders>
            <w:noWrap/>
            <w:vAlign w:val="bottom"/>
            <w:hideMark/>
          </w:tcPr>
          <w:p w14:paraId="1EA81D2B"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Individual Agent</w:t>
            </w:r>
          </w:p>
        </w:tc>
        <w:tc>
          <w:tcPr>
            <w:tcW w:w="1560" w:type="dxa"/>
            <w:tcBorders>
              <w:top w:val="nil"/>
              <w:left w:val="nil"/>
              <w:bottom w:val="nil"/>
              <w:right w:val="nil"/>
            </w:tcBorders>
            <w:noWrap/>
            <w:vAlign w:val="center"/>
            <w:hideMark/>
          </w:tcPr>
          <w:p w14:paraId="3273B5D1"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450</w:t>
            </w:r>
          </w:p>
        </w:tc>
        <w:tc>
          <w:tcPr>
            <w:tcW w:w="1740" w:type="dxa"/>
            <w:tcBorders>
              <w:top w:val="nil"/>
              <w:left w:val="nil"/>
              <w:bottom w:val="nil"/>
              <w:right w:val="nil"/>
            </w:tcBorders>
            <w:noWrap/>
            <w:vAlign w:val="center"/>
            <w:hideMark/>
          </w:tcPr>
          <w:p w14:paraId="1C12D970"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188</w:t>
            </w:r>
          </w:p>
        </w:tc>
        <w:tc>
          <w:tcPr>
            <w:tcW w:w="1620" w:type="dxa"/>
            <w:tcBorders>
              <w:top w:val="nil"/>
              <w:left w:val="nil"/>
              <w:bottom w:val="nil"/>
              <w:right w:val="nil"/>
            </w:tcBorders>
            <w:noWrap/>
            <w:vAlign w:val="center"/>
            <w:hideMark/>
          </w:tcPr>
          <w:p w14:paraId="1A2C4E3E"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25</w:t>
            </w:r>
          </w:p>
        </w:tc>
        <w:tc>
          <w:tcPr>
            <w:tcW w:w="1140" w:type="dxa"/>
            <w:tcBorders>
              <w:top w:val="nil"/>
              <w:left w:val="nil"/>
              <w:bottom w:val="nil"/>
              <w:right w:val="nil"/>
            </w:tcBorders>
            <w:noWrap/>
            <w:vAlign w:val="center"/>
            <w:hideMark/>
          </w:tcPr>
          <w:p w14:paraId="30C26EFA"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444</w:t>
            </w:r>
          </w:p>
        </w:tc>
        <w:tc>
          <w:tcPr>
            <w:tcW w:w="1420" w:type="dxa"/>
            <w:tcBorders>
              <w:top w:val="nil"/>
              <w:left w:val="nil"/>
              <w:bottom w:val="nil"/>
              <w:right w:val="nil"/>
            </w:tcBorders>
            <w:noWrap/>
            <w:vAlign w:val="center"/>
            <w:hideMark/>
          </w:tcPr>
          <w:p w14:paraId="2E28271E"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219</w:t>
            </w:r>
          </w:p>
        </w:tc>
      </w:tr>
      <w:tr w:rsidR="00EE1629" w:rsidRPr="00EE1629" w14:paraId="71E60B65" w14:textId="77777777" w:rsidTr="00EE1629">
        <w:trPr>
          <w:trHeight w:val="330"/>
        </w:trPr>
        <w:tc>
          <w:tcPr>
            <w:tcW w:w="2280" w:type="dxa"/>
            <w:tcBorders>
              <w:top w:val="nil"/>
              <w:left w:val="nil"/>
              <w:bottom w:val="nil"/>
              <w:right w:val="nil"/>
            </w:tcBorders>
            <w:noWrap/>
            <w:vAlign w:val="bottom"/>
            <w:hideMark/>
          </w:tcPr>
          <w:p w14:paraId="7AE9A898"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Individual Dealer</w:t>
            </w:r>
          </w:p>
        </w:tc>
        <w:tc>
          <w:tcPr>
            <w:tcW w:w="1560" w:type="dxa"/>
            <w:tcBorders>
              <w:top w:val="nil"/>
              <w:left w:val="nil"/>
              <w:bottom w:val="nil"/>
              <w:right w:val="nil"/>
            </w:tcBorders>
            <w:noWrap/>
            <w:vAlign w:val="center"/>
            <w:hideMark/>
          </w:tcPr>
          <w:p w14:paraId="70F5BF89"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80</w:t>
            </w:r>
          </w:p>
        </w:tc>
        <w:tc>
          <w:tcPr>
            <w:tcW w:w="1740" w:type="dxa"/>
            <w:tcBorders>
              <w:top w:val="nil"/>
              <w:left w:val="nil"/>
              <w:bottom w:val="nil"/>
              <w:right w:val="nil"/>
            </w:tcBorders>
            <w:noWrap/>
            <w:vAlign w:val="center"/>
            <w:hideMark/>
          </w:tcPr>
          <w:p w14:paraId="1EC1CF67"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620" w:type="dxa"/>
            <w:tcBorders>
              <w:top w:val="nil"/>
              <w:left w:val="nil"/>
              <w:bottom w:val="nil"/>
              <w:right w:val="nil"/>
            </w:tcBorders>
            <w:noWrap/>
            <w:vAlign w:val="center"/>
            <w:hideMark/>
          </w:tcPr>
          <w:p w14:paraId="0C3E53CD"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140" w:type="dxa"/>
            <w:tcBorders>
              <w:top w:val="nil"/>
              <w:left w:val="nil"/>
              <w:bottom w:val="nil"/>
              <w:right w:val="nil"/>
            </w:tcBorders>
            <w:noWrap/>
            <w:vAlign w:val="center"/>
            <w:hideMark/>
          </w:tcPr>
          <w:p w14:paraId="4E21877C"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48</w:t>
            </w:r>
          </w:p>
        </w:tc>
        <w:tc>
          <w:tcPr>
            <w:tcW w:w="1420" w:type="dxa"/>
            <w:tcBorders>
              <w:top w:val="nil"/>
              <w:left w:val="nil"/>
              <w:bottom w:val="nil"/>
              <w:right w:val="nil"/>
            </w:tcBorders>
            <w:noWrap/>
            <w:vAlign w:val="center"/>
            <w:hideMark/>
          </w:tcPr>
          <w:p w14:paraId="775779BC"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32</w:t>
            </w:r>
          </w:p>
        </w:tc>
      </w:tr>
      <w:tr w:rsidR="00EE1629" w:rsidRPr="00EE1629" w14:paraId="3F7D6B7F" w14:textId="77777777" w:rsidTr="00EE1629">
        <w:trPr>
          <w:trHeight w:val="330"/>
        </w:trPr>
        <w:tc>
          <w:tcPr>
            <w:tcW w:w="2280" w:type="dxa"/>
            <w:tcBorders>
              <w:top w:val="nil"/>
              <w:left w:val="nil"/>
              <w:bottom w:val="nil"/>
              <w:right w:val="nil"/>
            </w:tcBorders>
            <w:noWrap/>
            <w:vAlign w:val="bottom"/>
            <w:hideMark/>
          </w:tcPr>
          <w:p w14:paraId="21500353"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Larger Smallholder Prod</w:t>
            </w:r>
          </w:p>
        </w:tc>
        <w:tc>
          <w:tcPr>
            <w:tcW w:w="1560" w:type="dxa"/>
            <w:tcBorders>
              <w:top w:val="nil"/>
              <w:left w:val="nil"/>
              <w:bottom w:val="nil"/>
              <w:right w:val="nil"/>
            </w:tcBorders>
            <w:noWrap/>
            <w:vAlign w:val="center"/>
            <w:hideMark/>
          </w:tcPr>
          <w:p w14:paraId="159C54B5" w14:textId="2DC35C3F"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156</w:t>
            </w:r>
          </w:p>
        </w:tc>
        <w:tc>
          <w:tcPr>
            <w:tcW w:w="1740" w:type="dxa"/>
            <w:tcBorders>
              <w:top w:val="nil"/>
              <w:left w:val="nil"/>
              <w:bottom w:val="nil"/>
              <w:right w:val="nil"/>
            </w:tcBorders>
            <w:noWrap/>
            <w:vAlign w:val="center"/>
            <w:hideMark/>
          </w:tcPr>
          <w:p w14:paraId="296A5728"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620" w:type="dxa"/>
            <w:tcBorders>
              <w:top w:val="nil"/>
              <w:left w:val="nil"/>
              <w:bottom w:val="nil"/>
              <w:right w:val="nil"/>
            </w:tcBorders>
            <w:noWrap/>
            <w:vAlign w:val="center"/>
            <w:hideMark/>
          </w:tcPr>
          <w:p w14:paraId="6F9E643B"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140" w:type="dxa"/>
            <w:tcBorders>
              <w:top w:val="nil"/>
              <w:left w:val="nil"/>
              <w:bottom w:val="nil"/>
              <w:right w:val="nil"/>
            </w:tcBorders>
            <w:noWrap/>
            <w:vAlign w:val="center"/>
            <w:hideMark/>
          </w:tcPr>
          <w:p w14:paraId="2A782F4F" w14:textId="622174AD"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2</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494</w:t>
            </w:r>
          </w:p>
        </w:tc>
        <w:tc>
          <w:tcPr>
            <w:tcW w:w="1420" w:type="dxa"/>
            <w:tcBorders>
              <w:top w:val="nil"/>
              <w:left w:val="nil"/>
              <w:bottom w:val="nil"/>
              <w:right w:val="nil"/>
            </w:tcBorders>
            <w:noWrap/>
            <w:vAlign w:val="center"/>
            <w:hideMark/>
          </w:tcPr>
          <w:p w14:paraId="5FBBB78C" w14:textId="294EAAFA"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662</w:t>
            </w:r>
          </w:p>
        </w:tc>
      </w:tr>
      <w:tr w:rsidR="00EE1629" w:rsidRPr="00EE1629" w14:paraId="0A53DEC4" w14:textId="77777777" w:rsidTr="00EE1629">
        <w:trPr>
          <w:trHeight w:val="330"/>
        </w:trPr>
        <w:tc>
          <w:tcPr>
            <w:tcW w:w="2280" w:type="dxa"/>
            <w:tcBorders>
              <w:top w:val="nil"/>
              <w:left w:val="nil"/>
              <w:bottom w:val="nil"/>
              <w:right w:val="nil"/>
            </w:tcBorders>
            <w:noWrap/>
            <w:vAlign w:val="bottom"/>
            <w:hideMark/>
          </w:tcPr>
          <w:p w14:paraId="4991C7B8"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Smallholder Prod</w:t>
            </w:r>
          </w:p>
        </w:tc>
        <w:tc>
          <w:tcPr>
            <w:tcW w:w="1560" w:type="dxa"/>
            <w:tcBorders>
              <w:top w:val="nil"/>
              <w:left w:val="nil"/>
              <w:bottom w:val="nil"/>
              <w:right w:val="nil"/>
            </w:tcBorders>
            <w:noWrap/>
            <w:vAlign w:val="center"/>
            <w:hideMark/>
          </w:tcPr>
          <w:p w14:paraId="78A7BCDA" w14:textId="7D85D1B5"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20</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783</w:t>
            </w:r>
          </w:p>
        </w:tc>
        <w:tc>
          <w:tcPr>
            <w:tcW w:w="1740" w:type="dxa"/>
            <w:tcBorders>
              <w:top w:val="nil"/>
              <w:left w:val="nil"/>
              <w:bottom w:val="nil"/>
              <w:right w:val="nil"/>
            </w:tcBorders>
            <w:noWrap/>
            <w:vAlign w:val="center"/>
            <w:hideMark/>
          </w:tcPr>
          <w:p w14:paraId="5604DD52"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620" w:type="dxa"/>
            <w:tcBorders>
              <w:top w:val="nil"/>
              <w:left w:val="nil"/>
              <w:bottom w:val="nil"/>
              <w:right w:val="nil"/>
            </w:tcBorders>
            <w:noWrap/>
            <w:vAlign w:val="center"/>
            <w:hideMark/>
          </w:tcPr>
          <w:p w14:paraId="13AB82CF"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0</w:t>
            </w:r>
          </w:p>
        </w:tc>
        <w:tc>
          <w:tcPr>
            <w:tcW w:w="1140" w:type="dxa"/>
            <w:tcBorders>
              <w:top w:val="nil"/>
              <w:left w:val="nil"/>
              <w:bottom w:val="nil"/>
              <w:right w:val="nil"/>
            </w:tcBorders>
            <w:noWrap/>
            <w:vAlign w:val="center"/>
            <w:hideMark/>
          </w:tcPr>
          <w:p w14:paraId="35C607E1" w14:textId="221C8A90"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12</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470</w:t>
            </w:r>
          </w:p>
        </w:tc>
        <w:tc>
          <w:tcPr>
            <w:tcW w:w="1420" w:type="dxa"/>
            <w:tcBorders>
              <w:top w:val="nil"/>
              <w:left w:val="nil"/>
              <w:bottom w:val="nil"/>
              <w:right w:val="nil"/>
            </w:tcBorders>
            <w:noWrap/>
            <w:vAlign w:val="center"/>
            <w:hideMark/>
          </w:tcPr>
          <w:p w14:paraId="092923ED" w14:textId="7DF358D3"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8</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313</w:t>
            </w:r>
          </w:p>
        </w:tc>
      </w:tr>
      <w:tr w:rsidR="00EE1629" w:rsidRPr="00EE1629" w14:paraId="100695B1" w14:textId="77777777" w:rsidTr="00EE1629">
        <w:trPr>
          <w:trHeight w:val="330"/>
        </w:trPr>
        <w:tc>
          <w:tcPr>
            <w:tcW w:w="2280" w:type="dxa"/>
            <w:tcBorders>
              <w:top w:val="nil"/>
              <w:left w:val="nil"/>
              <w:bottom w:val="single" w:sz="4" w:space="0" w:color="auto"/>
              <w:right w:val="nil"/>
            </w:tcBorders>
            <w:noWrap/>
            <w:vAlign w:val="bottom"/>
            <w:hideMark/>
          </w:tcPr>
          <w:p w14:paraId="4E95CA5D" w14:textId="77777777" w:rsidR="00EE1629" w:rsidRPr="00EE1629" w:rsidRDefault="00EE1629" w:rsidP="00EE1629">
            <w:pPr>
              <w:contextualSpacing w:val="0"/>
              <w:jc w:val="left"/>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Total</w:t>
            </w:r>
          </w:p>
        </w:tc>
        <w:tc>
          <w:tcPr>
            <w:tcW w:w="1560" w:type="dxa"/>
            <w:tcBorders>
              <w:top w:val="nil"/>
              <w:left w:val="nil"/>
              <w:bottom w:val="single" w:sz="4" w:space="0" w:color="auto"/>
              <w:right w:val="nil"/>
            </w:tcBorders>
            <w:noWrap/>
            <w:vAlign w:val="center"/>
            <w:hideMark/>
          </w:tcPr>
          <w:p w14:paraId="63811E5C" w14:textId="0218435E"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25</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868</w:t>
            </w:r>
          </w:p>
        </w:tc>
        <w:tc>
          <w:tcPr>
            <w:tcW w:w="1740" w:type="dxa"/>
            <w:tcBorders>
              <w:top w:val="nil"/>
              <w:left w:val="nil"/>
              <w:bottom w:val="single" w:sz="4" w:space="0" w:color="auto"/>
              <w:right w:val="nil"/>
            </w:tcBorders>
            <w:noWrap/>
            <w:vAlign w:val="center"/>
            <w:hideMark/>
          </w:tcPr>
          <w:p w14:paraId="6B76A1AF"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495</w:t>
            </w:r>
          </w:p>
        </w:tc>
        <w:tc>
          <w:tcPr>
            <w:tcW w:w="1620" w:type="dxa"/>
            <w:tcBorders>
              <w:top w:val="nil"/>
              <w:left w:val="nil"/>
              <w:bottom w:val="single" w:sz="4" w:space="0" w:color="auto"/>
              <w:right w:val="nil"/>
            </w:tcBorders>
            <w:noWrap/>
            <w:vAlign w:val="center"/>
            <w:hideMark/>
          </w:tcPr>
          <w:p w14:paraId="4125B6DA" w14:textId="77777777"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103</w:t>
            </w:r>
          </w:p>
        </w:tc>
        <w:tc>
          <w:tcPr>
            <w:tcW w:w="1140" w:type="dxa"/>
            <w:tcBorders>
              <w:top w:val="nil"/>
              <w:left w:val="nil"/>
              <w:bottom w:val="single" w:sz="4" w:space="0" w:color="auto"/>
              <w:right w:val="nil"/>
            </w:tcBorders>
            <w:noWrap/>
            <w:vAlign w:val="center"/>
            <w:hideMark/>
          </w:tcPr>
          <w:p w14:paraId="5EE4A1D5" w14:textId="71FA3FAB"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16</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067</w:t>
            </w:r>
          </w:p>
        </w:tc>
        <w:tc>
          <w:tcPr>
            <w:tcW w:w="1420" w:type="dxa"/>
            <w:tcBorders>
              <w:top w:val="nil"/>
              <w:left w:val="nil"/>
              <w:bottom w:val="single" w:sz="4" w:space="0" w:color="auto"/>
              <w:right w:val="nil"/>
            </w:tcBorders>
            <w:noWrap/>
            <w:vAlign w:val="center"/>
            <w:hideMark/>
          </w:tcPr>
          <w:p w14:paraId="04216404" w14:textId="4566180B" w:rsidR="00EE1629" w:rsidRPr="00EE1629" w:rsidRDefault="00EE1629" w:rsidP="00EE1629">
            <w:pPr>
              <w:contextualSpacing w:val="0"/>
              <w:jc w:val="center"/>
              <w:rPr>
                <w:rFonts w:ascii="Arial" w:eastAsia="Times New Roman" w:hAnsi="Arial" w:cs="Arial"/>
                <w:color w:val="000000"/>
                <w:sz w:val="20"/>
                <w:szCs w:val="20"/>
                <w:lang w:val="en-GB" w:eastAsia="en-GB"/>
              </w:rPr>
            </w:pPr>
            <w:r w:rsidRPr="00EE1629">
              <w:rPr>
                <w:rFonts w:ascii="Arial" w:eastAsia="Times New Roman" w:hAnsi="Arial" w:cs="Arial"/>
                <w:color w:val="000000"/>
                <w:sz w:val="20"/>
                <w:szCs w:val="20"/>
                <w:lang w:val="en-GB" w:eastAsia="en-GB"/>
              </w:rPr>
              <w:t>10</w:t>
            </w:r>
            <w:r w:rsidR="006A1501">
              <w:rPr>
                <w:rFonts w:ascii="Arial" w:eastAsia="Times New Roman" w:hAnsi="Arial" w:cs="Arial"/>
                <w:color w:val="000000"/>
                <w:sz w:val="20"/>
                <w:szCs w:val="20"/>
                <w:lang w:val="en-GB" w:eastAsia="en-GB"/>
              </w:rPr>
              <w:t>,</w:t>
            </w:r>
            <w:r w:rsidRPr="00EE1629">
              <w:rPr>
                <w:rFonts w:ascii="Arial" w:eastAsia="Times New Roman" w:hAnsi="Arial" w:cs="Arial"/>
                <w:color w:val="000000"/>
                <w:sz w:val="20"/>
                <w:szCs w:val="20"/>
                <w:lang w:val="en-GB" w:eastAsia="en-GB"/>
              </w:rPr>
              <w:t>399</w:t>
            </w:r>
          </w:p>
        </w:tc>
      </w:tr>
    </w:tbl>
    <w:p w14:paraId="3BCE99C6" w14:textId="44D8A245" w:rsidR="00EE1629" w:rsidRPr="00EE1629" w:rsidRDefault="00EE1629" w:rsidP="3821A05B">
      <w:pPr>
        <w:pStyle w:val="BodyText"/>
        <w:rPr>
          <w:lang w:val="en-US" w:eastAsia="en-US"/>
        </w:rPr>
      </w:pPr>
      <w:r w:rsidRPr="3821A05B">
        <w:rPr>
          <w:lang w:val="en-US" w:eastAsia="en-US"/>
        </w:rPr>
        <w:t xml:space="preserve">Note: 1 full-time equivalent (FTE) </w:t>
      </w:r>
      <w:proofErr w:type="spellStart"/>
      <w:r w:rsidRPr="3821A05B">
        <w:rPr>
          <w:lang w:val="en-US" w:eastAsia="en-US"/>
        </w:rPr>
        <w:t>labour</w:t>
      </w:r>
      <w:proofErr w:type="spellEnd"/>
      <w:r w:rsidRPr="3821A05B">
        <w:rPr>
          <w:lang w:val="en-US" w:eastAsia="en-US"/>
        </w:rPr>
        <w:t xml:space="preserve"> unit equals 200 days per year. </w:t>
      </w:r>
    </w:p>
    <w:p w14:paraId="34649003" w14:textId="77777777" w:rsidR="00225F5E" w:rsidRDefault="00225F5E" w:rsidP="00FD0F2C">
      <w:pPr>
        <w:pStyle w:val="BodyText"/>
        <w:rPr>
          <w:rFonts w:ascii="Open Sans" w:hAnsi="Open Sans" w:cs="Open Sans"/>
          <w:sz w:val="20"/>
        </w:rPr>
      </w:pPr>
    </w:p>
    <w:p w14:paraId="39BA6653" w14:textId="229836CE" w:rsidR="00225F5E" w:rsidRDefault="001E6EED" w:rsidP="001E6EED">
      <w:pPr>
        <w:pStyle w:val="BodyText"/>
        <w:rPr>
          <w:rFonts w:ascii="Open Sans" w:hAnsi="Open Sans" w:cs="Open Sans"/>
          <w:sz w:val="20"/>
        </w:rPr>
      </w:pPr>
      <w:r w:rsidRPr="001E6EED">
        <w:rPr>
          <w:rFonts w:ascii="Open Sans" w:hAnsi="Open Sans" w:cs="Open Sans"/>
          <w:sz w:val="20"/>
        </w:rPr>
        <w:t>From an inclusiveness perspective, this structure presents clear limitations. Although the cocoa value chain generates substantial employment, it is concentrated in low-productivity, informal activities with limited income stability. At the same time, access to more stable and higher-value employment remains restricted, particularly for women and in downstream segments.</w:t>
      </w:r>
      <w:r>
        <w:rPr>
          <w:rFonts w:ascii="Open Sans" w:hAnsi="Open Sans" w:cs="Open Sans"/>
          <w:sz w:val="20"/>
        </w:rPr>
        <w:t xml:space="preserve"> </w:t>
      </w:r>
      <w:r w:rsidRPr="001E6EED">
        <w:rPr>
          <w:rFonts w:ascii="Open Sans" w:hAnsi="Open Sans" w:cs="Open Sans"/>
          <w:sz w:val="20"/>
        </w:rPr>
        <w:t>Overall, enhancing inclusiveness will require a dual approach: improving productivity and returns within smallholder production, while simultaneously promoting the development of downstream activities capable of generating more stable, formal, and higher-quality employment opportunities</w:t>
      </w:r>
      <w:r w:rsidR="00DA3DDC" w:rsidRPr="00DA3DDC">
        <w:rPr>
          <w:rFonts w:ascii="Open Sans" w:hAnsi="Open Sans" w:cs="Open Sans"/>
          <w:sz w:val="20"/>
        </w:rPr>
        <w:t>.</w:t>
      </w:r>
      <w:r w:rsidR="00DA3DDC">
        <w:rPr>
          <w:rFonts w:ascii="Open Sans" w:hAnsi="Open Sans" w:cs="Open Sans"/>
          <w:sz w:val="20"/>
        </w:rPr>
        <w:t xml:space="preserve"> </w:t>
      </w:r>
    </w:p>
    <w:p w14:paraId="12A3B39F" w14:textId="77777777" w:rsidR="00FB3557" w:rsidRPr="00270485" w:rsidRDefault="00FB3557" w:rsidP="00270485">
      <w:pPr>
        <w:rPr>
          <w:rFonts w:cs="Open Sans"/>
          <w:b/>
          <w:bCs/>
          <w:sz w:val="20"/>
          <w:szCs w:val="20"/>
        </w:rPr>
      </w:pPr>
    </w:p>
    <w:p w14:paraId="54B930BD" w14:textId="29572973" w:rsidR="00270485" w:rsidRPr="00270485" w:rsidRDefault="00270485" w:rsidP="00CB4795">
      <w:pPr>
        <w:pStyle w:val="Heading2"/>
      </w:pPr>
      <w:bookmarkStart w:id="116" w:name="_Toc228701025"/>
      <w:r w:rsidRPr="00270485">
        <w:t>Income Inequality among Actors</w:t>
      </w:r>
      <w:bookmarkEnd w:id="116"/>
    </w:p>
    <w:p w14:paraId="0110CDE9" w14:textId="38550500" w:rsidR="00B0084F" w:rsidRDefault="0073697F" w:rsidP="00270485">
      <w:pPr>
        <w:rPr>
          <w:rFonts w:cs="Open Sans"/>
          <w:sz w:val="20"/>
          <w:szCs w:val="20"/>
        </w:rPr>
      </w:pPr>
      <w:r w:rsidRPr="0073697F">
        <w:rPr>
          <w:rFonts w:cs="Open Sans"/>
          <w:sz w:val="20"/>
          <w:szCs w:val="20"/>
        </w:rPr>
        <w:t>The distribution of net operating profit (NOP) across actors reveals a highly unequal pattern of income generation within the Sierra Leone cocoa value chain. To quantify this inequality, a Gini coefficient is computed based on the distribution of NOP across value chain agents. The Gini coefficient ranges from 0, indicating perfect equality, to 1, indicating maximum inequality, and is derived from the Lorenz curve, which plots the cumulative share of income against the cumulative share of agents ranked from lowest to highest income.</w:t>
      </w:r>
      <w:r>
        <w:rPr>
          <w:rFonts w:cs="Open Sans"/>
          <w:sz w:val="20"/>
          <w:szCs w:val="20"/>
        </w:rPr>
        <w:t xml:space="preserve"> </w:t>
      </w:r>
      <w:r w:rsidR="00270485" w:rsidRPr="00270485">
        <w:rPr>
          <w:rFonts w:cs="Open Sans"/>
          <w:sz w:val="20"/>
          <w:szCs w:val="20"/>
        </w:rPr>
        <w:t xml:space="preserve">The FAO considers a Gini coefficient of 0.35 and over as indicative of a high degree of inequality. </w:t>
      </w:r>
    </w:p>
    <w:p w14:paraId="3DFCCAB1" w14:textId="77777777" w:rsidR="00B0084F" w:rsidRDefault="00B0084F" w:rsidP="00270485">
      <w:pPr>
        <w:rPr>
          <w:rFonts w:cs="Open Sans"/>
          <w:sz w:val="20"/>
          <w:szCs w:val="20"/>
        </w:rPr>
      </w:pPr>
    </w:p>
    <w:p w14:paraId="533133D9" w14:textId="1CD0E478" w:rsidR="0073697F" w:rsidRPr="0073697F" w:rsidRDefault="0073697F" w:rsidP="0073697F">
      <w:pPr>
        <w:rPr>
          <w:rFonts w:cs="Open Sans"/>
          <w:sz w:val="20"/>
          <w:szCs w:val="20"/>
        </w:rPr>
      </w:pPr>
      <w:r w:rsidRPr="0073697F">
        <w:rPr>
          <w:rFonts w:cs="Open Sans"/>
          <w:sz w:val="20"/>
          <w:szCs w:val="20"/>
        </w:rPr>
        <w:t>The estimated Gini coefficient of 0.62 indicates a high degree of income concentration within the value chain. This level of inequality is substantially above commonly observed thresholds for high inequality (typically above 0.</w:t>
      </w:r>
      <w:r w:rsidR="00811715">
        <w:rPr>
          <w:rFonts w:cs="Open Sans"/>
          <w:sz w:val="20"/>
          <w:szCs w:val="20"/>
        </w:rPr>
        <w:t>35</w:t>
      </w:r>
      <w:r w:rsidRPr="0073697F">
        <w:rPr>
          <w:rFonts w:cs="Open Sans"/>
          <w:sz w:val="20"/>
          <w:szCs w:val="20"/>
        </w:rPr>
        <w:t xml:space="preserve">) and exceeds national-level inequality estimates for Sierra Leone, where the Gini coefficient is approximately 0.36 based on World Bank data (World Bank, 2018). </w:t>
      </w:r>
      <w:r w:rsidR="001B39D2" w:rsidRPr="001B39D2">
        <w:rPr>
          <w:rFonts w:cs="Open Sans"/>
          <w:sz w:val="20"/>
          <w:szCs w:val="20"/>
        </w:rPr>
        <w:t xml:space="preserve">These comparisons suggest that income disparities within the cocoa value chain are relatively pronounced. However, comparisons between value chain-specific Gini coefficients and national household-level inequality indicators should be interpreted cautiously, as commodity value chains structurally tend to exhibit higher concentration due to the limited number of intermediary and downstream actors involved in aggregation, processing, and export functions. In comparative perspective, the estimated Gini coefficient for the Sierra Leone cocoa value chain (0.62) is broadly consistent with findings from other VCA4D studies, including Liberia cocoa (0.64) and Tanzania coffee systems, where inequality levels ranged from 0.45 in Arabica systems to 0.82 in Robusta systems. This suggests that relatively high concentration of value capture is a common structural feature of export-oriented </w:t>
      </w:r>
      <w:proofErr w:type="gramStart"/>
      <w:r w:rsidR="001B39D2" w:rsidRPr="001B39D2">
        <w:rPr>
          <w:rFonts w:cs="Open Sans"/>
          <w:sz w:val="20"/>
          <w:szCs w:val="20"/>
        </w:rPr>
        <w:t>agricultural commodity</w:t>
      </w:r>
      <w:proofErr w:type="gramEnd"/>
      <w:r w:rsidR="001B39D2" w:rsidRPr="001B39D2">
        <w:rPr>
          <w:rFonts w:cs="Open Sans"/>
          <w:sz w:val="20"/>
          <w:szCs w:val="20"/>
        </w:rPr>
        <w:t xml:space="preserve"> chains</w:t>
      </w:r>
      <w:r w:rsidRPr="0073697F">
        <w:rPr>
          <w:rFonts w:cs="Open Sans"/>
          <w:sz w:val="20"/>
          <w:szCs w:val="20"/>
        </w:rPr>
        <w:t>.</w:t>
      </w:r>
    </w:p>
    <w:p w14:paraId="219EEF6A" w14:textId="77777777" w:rsidR="0073697F" w:rsidRPr="0073697F" w:rsidRDefault="0073697F" w:rsidP="0073697F">
      <w:pPr>
        <w:rPr>
          <w:rFonts w:cs="Open Sans"/>
          <w:sz w:val="20"/>
          <w:szCs w:val="20"/>
        </w:rPr>
      </w:pPr>
    </w:p>
    <w:p w14:paraId="5F8FB021" w14:textId="53CC9821" w:rsidR="00270485" w:rsidRDefault="0073697F" w:rsidP="0073697F">
      <w:pPr>
        <w:rPr>
          <w:rFonts w:cs="Open Sans"/>
          <w:sz w:val="20"/>
          <w:szCs w:val="20"/>
        </w:rPr>
      </w:pPr>
      <w:r w:rsidRPr="0073697F">
        <w:rPr>
          <w:rFonts w:cs="Open Sans"/>
          <w:sz w:val="20"/>
          <w:szCs w:val="20"/>
        </w:rPr>
        <w:lastRenderedPageBreak/>
        <w:t xml:space="preserve">The underlying distributional structure explains this result. As shown in </w:t>
      </w:r>
      <w:r w:rsidR="00B92D72">
        <w:rPr>
          <w:rFonts w:cs="Open Sans"/>
          <w:sz w:val="20"/>
          <w:szCs w:val="20"/>
        </w:rPr>
        <w:fldChar w:fldCharType="begin"/>
      </w:r>
      <w:r w:rsidR="00B92D72">
        <w:rPr>
          <w:rFonts w:cs="Open Sans"/>
          <w:sz w:val="20"/>
          <w:szCs w:val="20"/>
        </w:rPr>
        <w:instrText xml:space="preserve"> REF _Ref227059220 \h </w:instrText>
      </w:r>
      <w:r w:rsidR="006A1501">
        <w:rPr>
          <w:rFonts w:cs="Open Sans"/>
          <w:sz w:val="20"/>
          <w:szCs w:val="20"/>
        </w:rPr>
        <w:instrText xml:space="preserve"> \* MERGEFORMAT </w:instrText>
      </w:r>
      <w:r w:rsidR="00B92D72">
        <w:rPr>
          <w:rFonts w:cs="Open Sans"/>
          <w:sz w:val="20"/>
          <w:szCs w:val="20"/>
        </w:rPr>
      </w:r>
      <w:r w:rsidR="00B92D72">
        <w:rPr>
          <w:rFonts w:cs="Open Sans"/>
          <w:sz w:val="20"/>
          <w:szCs w:val="20"/>
        </w:rPr>
        <w:fldChar w:fldCharType="separate"/>
      </w:r>
      <w:r w:rsidR="00B92D72" w:rsidRPr="001F42F7">
        <w:rPr>
          <w:sz w:val="20"/>
          <w:szCs w:val="20"/>
        </w:rPr>
        <w:t xml:space="preserve">Table </w:t>
      </w:r>
      <w:r w:rsidR="00B92D72">
        <w:rPr>
          <w:noProof/>
        </w:rPr>
        <w:t>3</w:t>
      </w:r>
      <w:r w:rsidR="00B92D72">
        <w:noBreakHyphen/>
      </w:r>
      <w:r w:rsidR="00B92D72">
        <w:rPr>
          <w:noProof/>
        </w:rPr>
        <w:t>2</w:t>
      </w:r>
      <w:r w:rsidR="00B92D72">
        <w:rPr>
          <w:rFonts w:cs="Open Sans"/>
          <w:sz w:val="20"/>
          <w:szCs w:val="20"/>
        </w:rPr>
        <w:fldChar w:fldCharType="end"/>
      </w:r>
      <w:r w:rsidRPr="0073697F">
        <w:rPr>
          <w:rFonts w:cs="Open Sans"/>
          <w:sz w:val="20"/>
          <w:szCs w:val="20"/>
        </w:rPr>
        <w:t>, the value chain exhibits a pronounced “thin top, thick base” configuration. Smallholder producers constitute approximately 82.75% of all actors yet capture only 42.52% of total NOP. In contrast, exporters represent just 0.02% of agents but account for nearly 20% of total profit. Similarly, larger smallholders, comprising around 10.9% of actors, capture approximately 24.24% of NOP. Collectively, this implies that a very small number of downstream and relatively larger actors capture a disproportionately large share of total income</w:t>
      </w:r>
      <w:r w:rsidR="00B0084F" w:rsidRPr="00B0084F">
        <w:rPr>
          <w:rFonts w:cs="Open Sans"/>
          <w:sz w:val="20"/>
          <w:szCs w:val="20"/>
        </w:rPr>
        <w:t xml:space="preserve">. </w:t>
      </w:r>
    </w:p>
    <w:p w14:paraId="200782AB" w14:textId="77777777" w:rsidR="005F6F38" w:rsidRDefault="005F6F38" w:rsidP="00270485">
      <w:pPr>
        <w:rPr>
          <w:rFonts w:cs="Open Sans"/>
          <w:sz w:val="20"/>
          <w:szCs w:val="20"/>
        </w:rPr>
      </w:pPr>
    </w:p>
    <w:p w14:paraId="02B9AA74" w14:textId="438C99A9" w:rsidR="00B92D72" w:rsidRDefault="00B0084F" w:rsidP="00B92D72">
      <w:pPr>
        <w:pStyle w:val="Caption"/>
        <w:keepNext/>
      </w:pPr>
      <w:r>
        <w:t xml:space="preserve">                                            </w:t>
      </w:r>
      <w:r w:rsidRPr="00B0084F">
        <w:rPr>
          <w:iCs/>
          <w:szCs w:val="20"/>
        </w:rPr>
        <w:t xml:space="preserve"> </w:t>
      </w:r>
      <w:bookmarkStart w:id="117" w:name="_Ref227059220"/>
      <w:bookmarkStart w:id="118" w:name="_Toc228701077"/>
      <w:r w:rsidR="00B92D72">
        <w:t xml:space="preserve">Table </w:t>
      </w:r>
      <w:fldSimple w:instr=" STYLEREF 1 \s ">
        <w:r w:rsidR="006C1C4E">
          <w:rPr>
            <w:noProof/>
          </w:rPr>
          <w:t>3</w:t>
        </w:r>
      </w:fldSimple>
      <w:r w:rsidR="006C1C4E">
        <w:noBreakHyphen/>
      </w:r>
      <w:fldSimple w:instr=" SEQ Table \* ARABIC \s 1 ">
        <w:r w:rsidR="006C1C4E">
          <w:rPr>
            <w:noProof/>
          </w:rPr>
          <w:t>2</w:t>
        </w:r>
      </w:fldSimple>
      <w:bookmarkEnd w:id="117"/>
      <w:r w:rsidR="00B92D72">
        <w:t xml:space="preserve"> </w:t>
      </w:r>
      <w:r w:rsidR="00B92D72" w:rsidRPr="001054DE">
        <w:t>DISTRIBUTION OF NET OPERATING PROFIT</w:t>
      </w:r>
      <w:bookmarkEnd w:id="118"/>
    </w:p>
    <w:tbl>
      <w:tblPr>
        <w:tblW w:w="8400" w:type="dxa"/>
        <w:jc w:val="center"/>
        <w:tblLook w:val="04A0" w:firstRow="1" w:lastRow="0" w:firstColumn="1" w:lastColumn="0" w:noHBand="0" w:noVBand="1"/>
      </w:tblPr>
      <w:tblGrid>
        <w:gridCol w:w="2410"/>
        <w:gridCol w:w="1250"/>
        <w:gridCol w:w="1440"/>
        <w:gridCol w:w="1520"/>
        <w:gridCol w:w="1780"/>
      </w:tblGrid>
      <w:tr w:rsidR="005F6F38" w:rsidRPr="005F6F38" w14:paraId="69B044BD" w14:textId="77777777" w:rsidTr="00C13A06">
        <w:trPr>
          <w:trHeight w:val="280"/>
          <w:jc w:val="center"/>
        </w:trPr>
        <w:tc>
          <w:tcPr>
            <w:tcW w:w="2410" w:type="dxa"/>
            <w:tcBorders>
              <w:top w:val="single" w:sz="4" w:space="0" w:color="auto"/>
              <w:left w:val="nil"/>
              <w:bottom w:val="double" w:sz="6" w:space="0" w:color="auto"/>
              <w:right w:val="nil"/>
            </w:tcBorders>
            <w:noWrap/>
            <w:vAlign w:val="bottom"/>
            <w:hideMark/>
          </w:tcPr>
          <w:p w14:paraId="6DB67588"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Agent Name</w:t>
            </w:r>
          </w:p>
        </w:tc>
        <w:tc>
          <w:tcPr>
            <w:tcW w:w="1250" w:type="dxa"/>
            <w:tcBorders>
              <w:top w:val="single" w:sz="4" w:space="0" w:color="auto"/>
              <w:left w:val="nil"/>
              <w:bottom w:val="double" w:sz="6" w:space="0" w:color="auto"/>
              <w:right w:val="nil"/>
            </w:tcBorders>
            <w:noWrap/>
            <w:vAlign w:val="center"/>
            <w:hideMark/>
          </w:tcPr>
          <w:p w14:paraId="0BC7DFB1"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 Agent</w:t>
            </w:r>
          </w:p>
        </w:tc>
        <w:tc>
          <w:tcPr>
            <w:tcW w:w="1440" w:type="dxa"/>
            <w:tcBorders>
              <w:top w:val="single" w:sz="4" w:space="0" w:color="auto"/>
              <w:left w:val="nil"/>
              <w:bottom w:val="double" w:sz="6" w:space="0" w:color="auto"/>
              <w:right w:val="nil"/>
            </w:tcBorders>
            <w:noWrap/>
            <w:vAlign w:val="center"/>
            <w:hideMark/>
          </w:tcPr>
          <w:p w14:paraId="0DDD3164"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 NOP</w:t>
            </w:r>
          </w:p>
        </w:tc>
        <w:tc>
          <w:tcPr>
            <w:tcW w:w="1520" w:type="dxa"/>
            <w:tcBorders>
              <w:top w:val="single" w:sz="4" w:space="0" w:color="auto"/>
              <w:left w:val="nil"/>
              <w:bottom w:val="double" w:sz="6" w:space="0" w:color="auto"/>
              <w:right w:val="nil"/>
            </w:tcBorders>
            <w:noWrap/>
            <w:vAlign w:val="center"/>
            <w:hideMark/>
          </w:tcPr>
          <w:p w14:paraId="79BC839F"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 Total Agents</w:t>
            </w:r>
          </w:p>
        </w:tc>
        <w:tc>
          <w:tcPr>
            <w:tcW w:w="1780" w:type="dxa"/>
            <w:tcBorders>
              <w:top w:val="single" w:sz="4" w:space="0" w:color="auto"/>
              <w:left w:val="nil"/>
              <w:bottom w:val="double" w:sz="6" w:space="0" w:color="auto"/>
              <w:right w:val="nil"/>
            </w:tcBorders>
            <w:noWrap/>
            <w:vAlign w:val="center"/>
            <w:hideMark/>
          </w:tcPr>
          <w:p w14:paraId="501250BD"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 Total NOP</w:t>
            </w:r>
          </w:p>
        </w:tc>
      </w:tr>
      <w:tr w:rsidR="005F6F38" w:rsidRPr="005F6F38" w14:paraId="5D2855AA" w14:textId="77777777" w:rsidTr="00C13A06">
        <w:trPr>
          <w:trHeight w:val="280"/>
          <w:jc w:val="center"/>
        </w:trPr>
        <w:tc>
          <w:tcPr>
            <w:tcW w:w="2410" w:type="dxa"/>
            <w:tcBorders>
              <w:top w:val="nil"/>
              <w:left w:val="nil"/>
              <w:bottom w:val="nil"/>
              <w:right w:val="nil"/>
            </w:tcBorders>
            <w:noWrap/>
            <w:vAlign w:val="bottom"/>
            <w:hideMark/>
          </w:tcPr>
          <w:p w14:paraId="2A49FDF3"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Smallholder Prod</w:t>
            </w:r>
          </w:p>
        </w:tc>
        <w:tc>
          <w:tcPr>
            <w:tcW w:w="1250" w:type="dxa"/>
            <w:tcBorders>
              <w:top w:val="nil"/>
              <w:left w:val="nil"/>
              <w:bottom w:val="nil"/>
              <w:right w:val="nil"/>
            </w:tcBorders>
            <w:noWrap/>
            <w:vAlign w:val="center"/>
            <w:hideMark/>
          </w:tcPr>
          <w:p w14:paraId="73A00D58"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82.75%</w:t>
            </w:r>
          </w:p>
        </w:tc>
        <w:tc>
          <w:tcPr>
            <w:tcW w:w="1440" w:type="dxa"/>
            <w:tcBorders>
              <w:top w:val="nil"/>
              <w:left w:val="nil"/>
              <w:bottom w:val="nil"/>
              <w:right w:val="nil"/>
            </w:tcBorders>
            <w:noWrap/>
            <w:vAlign w:val="center"/>
            <w:hideMark/>
          </w:tcPr>
          <w:p w14:paraId="5E2CE067"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42.52%</w:t>
            </w:r>
          </w:p>
        </w:tc>
        <w:tc>
          <w:tcPr>
            <w:tcW w:w="1520" w:type="dxa"/>
            <w:tcBorders>
              <w:top w:val="nil"/>
              <w:left w:val="nil"/>
              <w:bottom w:val="nil"/>
              <w:right w:val="nil"/>
            </w:tcBorders>
            <w:noWrap/>
            <w:vAlign w:val="center"/>
            <w:hideMark/>
          </w:tcPr>
          <w:p w14:paraId="7AA9BDEF"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82.75%</w:t>
            </w:r>
          </w:p>
        </w:tc>
        <w:tc>
          <w:tcPr>
            <w:tcW w:w="1780" w:type="dxa"/>
            <w:tcBorders>
              <w:top w:val="nil"/>
              <w:left w:val="nil"/>
              <w:bottom w:val="nil"/>
              <w:right w:val="nil"/>
            </w:tcBorders>
            <w:noWrap/>
            <w:vAlign w:val="center"/>
            <w:hideMark/>
          </w:tcPr>
          <w:p w14:paraId="5CE876F4"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42.52%</w:t>
            </w:r>
          </w:p>
        </w:tc>
      </w:tr>
      <w:tr w:rsidR="005F6F38" w:rsidRPr="005F6F38" w14:paraId="508FEFF1" w14:textId="77777777" w:rsidTr="00C13A06">
        <w:trPr>
          <w:trHeight w:val="280"/>
          <w:jc w:val="center"/>
        </w:trPr>
        <w:tc>
          <w:tcPr>
            <w:tcW w:w="2410" w:type="dxa"/>
            <w:tcBorders>
              <w:top w:val="nil"/>
              <w:left w:val="nil"/>
              <w:bottom w:val="nil"/>
              <w:right w:val="nil"/>
            </w:tcBorders>
            <w:noWrap/>
            <w:vAlign w:val="bottom"/>
            <w:hideMark/>
          </w:tcPr>
          <w:p w14:paraId="6F6B5197"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Individual Dealer</w:t>
            </w:r>
          </w:p>
        </w:tc>
        <w:tc>
          <w:tcPr>
            <w:tcW w:w="1250" w:type="dxa"/>
            <w:tcBorders>
              <w:top w:val="nil"/>
              <w:left w:val="nil"/>
              <w:bottom w:val="nil"/>
              <w:right w:val="nil"/>
            </w:tcBorders>
            <w:noWrap/>
            <w:vAlign w:val="center"/>
            <w:hideMark/>
          </w:tcPr>
          <w:p w14:paraId="03261135"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2.78%</w:t>
            </w:r>
          </w:p>
        </w:tc>
        <w:tc>
          <w:tcPr>
            <w:tcW w:w="1440" w:type="dxa"/>
            <w:tcBorders>
              <w:top w:val="nil"/>
              <w:left w:val="nil"/>
              <w:bottom w:val="nil"/>
              <w:right w:val="nil"/>
            </w:tcBorders>
            <w:noWrap/>
            <w:vAlign w:val="center"/>
            <w:hideMark/>
          </w:tcPr>
          <w:p w14:paraId="666EE1C3"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4.02%</w:t>
            </w:r>
          </w:p>
        </w:tc>
        <w:tc>
          <w:tcPr>
            <w:tcW w:w="1520" w:type="dxa"/>
            <w:tcBorders>
              <w:top w:val="nil"/>
              <w:left w:val="nil"/>
              <w:bottom w:val="nil"/>
              <w:right w:val="nil"/>
            </w:tcBorders>
            <w:noWrap/>
            <w:vAlign w:val="center"/>
            <w:hideMark/>
          </w:tcPr>
          <w:p w14:paraId="46D7E8EF"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85.53%</w:t>
            </w:r>
          </w:p>
        </w:tc>
        <w:tc>
          <w:tcPr>
            <w:tcW w:w="1780" w:type="dxa"/>
            <w:tcBorders>
              <w:top w:val="nil"/>
              <w:left w:val="nil"/>
              <w:bottom w:val="nil"/>
              <w:right w:val="nil"/>
            </w:tcBorders>
            <w:noWrap/>
            <w:vAlign w:val="center"/>
            <w:hideMark/>
          </w:tcPr>
          <w:p w14:paraId="640FE34D"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46.54%</w:t>
            </w:r>
          </w:p>
        </w:tc>
      </w:tr>
      <w:tr w:rsidR="005F6F38" w:rsidRPr="005F6F38" w14:paraId="6E94121D" w14:textId="77777777" w:rsidTr="00C13A06">
        <w:trPr>
          <w:trHeight w:val="280"/>
          <w:jc w:val="center"/>
        </w:trPr>
        <w:tc>
          <w:tcPr>
            <w:tcW w:w="2410" w:type="dxa"/>
            <w:tcBorders>
              <w:top w:val="nil"/>
              <w:left w:val="nil"/>
              <w:bottom w:val="nil"/>
              <w:right w:val="nil"/>
            </w:tcBorders>
            <w:noWrap/>
            <w:vAlign w:val="bottom"/>
            <w:hideMark/>
          </w:tcPr>
          <w:p w14:paraId="3CF4CAC4"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Individual Agent</w:t>
            </w:r>
          </w:p>
        </w:tc>
        <w:tc>
          <w:tcPr>
            <w:tcW w:w="1250" w:type="dxa"/>
            <w:tcBorders>
              <w:top w:val="nil"/>
              <w:left w:val="nil"/>
              <w:bottom w:val="nil"/>
              <w:right w:val="nil"/>
            </w:tcBorders>
            <w:noWrap/>
            <w:vAlign w:val="center"/>
            <w:hideMark/>
          </w:tcPr>
          <w:p w14:paraId="16138F5B"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3.48%</w:t>
            </w:r>
          </w:p>
        </w:tc>
        <w:tc>
          <w:tcPr>
            <w:tcW w:w="1440" w:type="dxa"/>
            <w:tcBorders>
              <w:top w:val="nil"/>
              <w:left w:val="nil"/>
              <w:bottom w:val="nil"/>
              <w:right w:val="nil"/>
            </w:tcBorders>
            <w:noWrap/>
            <w:vAlign w:val="center"/>
            <w:hideMark/>
          </w:tcPr>
          <w:p w14:paraId="076F5AD9"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6.15%</w:t>
            </w:r>
          </w:p>
        </w:tc>
        <w:tc>
          <w:tcPr>
            <w:tcW w:w="1520" w:type="dxa"/>
            <w:tcBorders>
              <w:top w:val="nil"/>
              <w:left w:val="nil"/>
              <w:bottom w:val="nil"/>
              <w:right w:val="nil"/>
            </w:tcBorders>
            <w:noWrap/>
            <w:vAlign w:val="center"/>
            <w:hideMark/>
          </w:tcPr>
          <w:p w14:paraId="55FCE091"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89.01%</w:t>
            </w:r>
          </w:p>
        </w:tc>
        <w:tc>
          <w:tcPr>
            <w:tcW w:w="1780" w:type="dxa"/>
            <w:tcBorders>
              <w:top w:val="nil"/>
              <w:left w:val="nil"/>
              <w:bottom w:val="nil"/>
              <w:right w:val="nil"/>
            </w:tcBorders>
            <w:noWrap/>
            <w:vAlign w:val="center"/>
            <w:hideMark/>
          </w:tcPr>
          <w:p w14:paraId="613FFB2F"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52.69%</w:t>
            </w:r>
          </w:p>
        </w:tc>
      </w:tr>
      <w:tr w:rsidR="005F6F38" w:rsidRPr="005F6F38" w14:paraId="1C58C521" w14:textId="77777777" w:rsidTr="00C13A06">
        <w:trPr>
          <w:trHeight w:val="280"/>
          <w:jc w:val="center"/>
        </w:trPr>
        <w:tc>
          <w:tcPr>
            <w:tcW w:w="2410" w:type="dxa"/>
            <w:tcBorders>
              <w:top w:val="nil"/>
              <w:left w:val="nil"/>
              <w:bottom w:val="nil"/>
              <w:right w:val="nil"/>
            </w:tcBorders>
            <w:noWrap/>
            <w:vAlign w:val="bottom"/>
            <w:hideMark/>
          </w:tcPr>
          <w:p w14:paraId="4187CCC9"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Larger Smallholder Prod</w:t>
            </w:r>
          </w:p>
        </w:tc>
        <w:tc>
          <w:tcPr>
            <w:tcW w:w="1250" w:type="dxa"/>
            <w:tcBorders>
              <w:top w:val="nil"/>
              <w:left w:val="nil"/>
              <w:bottom w:val="nil"/>
              <w:right w:val="nil"/>
            </w:tcBorders>
            <w:noWrap/>
            <w:vAlign w:val="center"/>
            <w:hideMark/>
          </w:tcPr>
          <w:p w14:paraId="11C80461"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10.92%</w:t>
            </w:r>
          </w:p>
        </w:tc>
        <w:tc>
          <w:tcPr>
            <w:tcW w:w="1440" w:type="dxa"/>
            <w:tcBorders>
              <w:top w:val="nil"/>
              <w:left w:val="nil"/>
              <w:bottom w:val="nil"/>
              <w:right w:val="nil"/>
            </w:tcBorders>
            <w:noWrap/>
            <w:vAlign w:val="center"/>
            <w:hideMark/>
          </w:tcPr>
          <w:p w14:paraId="415CAA0C"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24.24%</w:t>
            </w:r>
          </w:p>
        </w:tc>
        <w:tc>
          <w:tcPr>
            <w:tcW w:w="1520" w:type="dxa"/>
            <w:tcBorders>
              <w:top w:val="nil"/>
              <w:left w:val="nil"/>
              <w:bottom w:val="nil"/>
              <w:right w:val="nil"/>
            </w:tcBorders>
            <w:noWrap/>
            <w:vAlign w:val="center"/>
            <w:hideMark/>
          </w:tcPr>
          <w:p w14:paraId="1AF459AA"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99.94%</w:t>
            </w:r>
          </w:p>
        </w:tc>
        <w:tc>
          <w:tcPr>
            <w:tcW w:w="1780" w:type="dxa"/>
            <w:tcBorders>
              <w:top w:val="nil"/>
              <w:left w:val="nil"/>
              <w:bottom w:val="nil"/>
              <w:right w:val="nil"/>
            </w:tcBorders>
            <w:noWrap/>
            <w:vAlign w:val="center"/>
            <w:hideMark/>
          </w:tcPr>
          <w:p w14:paraId="2B20974A"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76.92%</w:t>
            </w:r>
          </w:p>
        </w:tc>
      </w:tr>
      <w:tr w:rsidR="005F6F38" w:rsidRPr="005F6F38" w14:paraId="0A002FB9" w14:textId="77777777" w:rsidTr="00C13A06">
        <w:trPr>
          <w:trHeight w:val="280"/>
          <w:jc w:val="center"/>
        </w:trPr>
        <w:tc>
          <w:tcPr>
            <w:tcW w:w="2410" w:type="dxa"/>
            <w:tcBorders>
              <w:top w:val="nil"/>
              <w:left w:val="nil"/>
              <w:bottom w:val="nil"/>
              <w:right w:val="nil"/>
            </w:tcBorders>
            <w:noWrap/>
            <w:vAlign w:val="bottom"/>
            <w:hideMark/>
          </w:tcPr>
          <w:p w14:paraId="148F5543"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Cooperative</w:t>
            </w:r>
          </w:p>
        </w:tc>
        <w:tc>
          <w:tcPr>
            <w:tcW w:w="1250" w:type="dxa"/>
            <w:tcBorders>
              <w:top w:val="nil"/>
              <w:left w:val="nil"/>
              <w:bottom w:val="nil"/>
              <w:right w:val="nil"/>
            </w:tcBorders>
            <w:noWrap/>
            <w:vAlign w:val="center"/>
            <w:hideMark/>
          </w:tcPr>
          <w:p w14:paraId="59C6AFC0"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0.05%</w:t>
            </w:r>
          </w:p>
        </w:tc>
        <w:tc>
          <w:tcPr>
            <w:tcW w:w="1440" w:type="dxa"/>
            <w:tcBorders>
              <w:top w:val="nil"/>
              <w:left w:val="nil"/>
              <w:bottom w:val="nil"/>
              <w:right w:val="nil"/>
            </w:tcBorders>
            <w:noWrap/>
            <w:vAlign w:val="center"/>
            <w:hideMark/>
          </w:tcPr>
          <w:p w14:paraId="36512C5F"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3.18%</w:t>
            </w:r>
          </w:p>
        </w:tc>
        <w:tc>
          <w:tcPr>
            <w:tcW w:w="1520" w:type="dxa"/>
            <w:tcBorders>
              <w:top w:val="nil"/>
              <w:left w:val="nil"/>
              <w:bottom w:val="nil"/>
              <w:right w:val="nil"/>
            </w:tcBorders>
            <w:noWrap/>
            <w:vAlign w:val="center"/>
            <w:hideMark/>
          </w:tcPr>
          <w:p w14:paraId="63200742"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99.98%</w:t>
            </w:r>
          </w:p>
        </w:tc>
        <w:tc>
          <w:tcPr>
            <w:tcW w:w="1780" w:type="dxa"/>
            <w:tcBorders>
              <w:top w:val="nil"/>
              <w:left w:val="nil"/>
              <w:bottom w:val="nil"/>
              <w:right w:val="nil"/>
            </w:tcBorders>
            <w:noWrap/>
            <w:vAlign w:val="center"/>
            <w:hideMark/>
          </w:tcPr>
          <w:p w14:paraId="5EC36B81"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80.10%</w:t>
            </w:r>
          </w:p>
        </w:tc>
      </w:tr>
      <w:tr w:rsidR="005F6F38" w:rsidRPr="005F6F38" w14:paraId="064764F4" w14:textId="77777777" w:rsidTr="00C13A06">
        <w:trPr>
          <w:trHeight w:val="280"/>
          <w:jc w:val="center"/>
        </w:trPr>
        <w:tc>
          <w:tcPr>
            <w:tcW w:w="2410" w:type="dxa"/>
            <w:tcBorders>
              <w:top w:val="nil"/>
              <w:left w:val="nil"/>
              <w:bottom w:val="single" w:sz="4" w:space="0" w:color="auto"/>
              <w:right w:val="nil"/>
            </w:tcBorders>
            <w:noWrap/>
            <w:vAlign w:val="bottom"/>
            <w:hideMark/>
          </w:tcPr>
          <w:p w14:paraId="44338959" w14:textId="77777777" w:rsidR="005F6F38" w:rsidRPr="005F6F38" w:rsidRDefault="005F6F38" w:rsidP="005F6F38">
            <w:pPr>
              <w:contextualSpacing w:val="0"/>
              <w:jc w:val="left"/>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Exporter</w:t>
            </w:r>
          </w:p>
        </w:tc>
        <w:tc>
          <w:tcPr>
            <w:tcW w:w="1250" w:type="dxa"/>
            <w:tcBorders>
              <w:top w:val="nil"/>
              <w:left w:val="nil"/>
              <w:bottom w:val="single" w:sz="4" w:space="0" w:color="auto"/>
              <w:right w:val="nil"/>
            </w:tcBorders>
            <w:noWrap/>
            <w:vAlign w:val="center"/>
            <w:hideMark/>
          </w:tcPr>
          <w:p w14:paraId="0828FD91"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0.02%</w:t>
            </w:r>
          </w:p>
        </w:tc>
        <w:tc>
          <w:tcPr>
            <w:tcW w:w="1440" w:type="dxa"/>
            <w:tcBorders>
              <w:top w:val="nil"/>
              <w:left w:val="nil"/>
              <w:bottom w:val="single" w:sz="4" w:space="0" w:color="auto"/>
              <w:right w:val="nil"/>
            </w:tcBorders>
            <w:noWrap/>
            <w:vAlign w:val="center"/>
            <w:hideMark/>
          </w:tcPr>
          <w:p w14:paraId="27945C2C"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19.90%</w:t>
            </w:r>
          </w:p>
        </w:tc>
        <w:tc>
          <w:tcPr>
            <w:tcW w:w="1520" w:type="dxa"/>
            <w:tcBorders>
              <w:top w:val="nil"/>
              <w:left w:val="nil"/>
              <w:bottom w:val="single" w:sz="4" w:space="0" w:color="auto"/>
              <w:right w:val="nil"/>
            </w:tcBorders>
            <w:noWrap/>
            <w:vAlign w:val="center"/>
            <w:hideMark/>
          </w:tcPr>
          <w:p w14:paraId="01A0DC2E"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100.00%</w:t>
            </w:r>
          </w:p>
        </w:tc>
        <w:tc>
          <w:tcPr>
            <w:tcW w:w="1780" w:type="dxa"/>
            <w:tcBorders>
              <w:top w:val="nil"/>
              <w:left w:val="nil"/>
              <w:bottom w:val="single" w:sz="4" w:space="0" w:color="auto"/>
              <w:right w:val="nil"/>
            </w:tcBorders>
            <w:noWrap/>
            <w:vAlign w:val="center"/>
            <w:hideMark/>
          </w:tcPr>
          <w:p w14:paraId="132B7C2C" w14:textId="77777777" w:rsidR="005F6F38" w:rsidRPr="005F6F38" w:rsidRDefault="005F6F38" w:rsidP="005F6F38">
            <w:pPr>
              <w:contextualSpacing w:val="0"/>
              <w:jc w:val="center"/>
              <w:rPr>
                <w:rFonts w:ascii="Arial" w:eastAsia="Times New Roman" w:hAnsi="Arial" w:cs="Arial"/>
                <w:color w:val="000000"/>
                <w:sz w:val="20"/>
                <w:szCs w:val="20"/>
                <w:lang w:val="en-GB" w:eastAsia="en-GB"/>
              </w:rPr>
            </w:pPr>
            <w:r w:rsidRPr="005F6F38">
              <w:rPr>
                <w:rFonts w:ascii="Arial" w:eastAsia="Times New Roman" w:hAnsi="Arial" w:cs="Arial"/>
                <w:color w:val="000000"/>
                <w:sz w:val="20"/>
                <w:szCs w:val="20"/>
                <w:lang w:val="en-GB" w:eastAsia="en-GB"/>
              </w:rPr>
              <w:t>100.00%</w:t>
            </w:r>
          </w:p>
        </w:tc>
      </w:tr>
    </w:tbl>
    <w:p w14:paraId="6FB82441" w14:textId="77777777" w:rsidR="005F6F38" w:rsidRPr="00270485" w:rsidRDefault="005F6F38" w:rsidP="00270485">
      <w:pPr>
        <w:rPr>
          <w:rFonts w:cs="Open Sans"/>
          <w:sz w:val="20"/>
          <w:szCs w:val="20"/>
        </w:rPr>
      </w:pPr>
    </w:p>
    <w:p w14:paraId="5EF9FB69" w14:textId="77777777" w:rsidR="00E36D18" w:rsidRDefault="00E36D18" w:rsidP="00270485">
      <w:pPr>
        <w:rPr>
          <w:rFonts w:cs="Open Sans"/>
          <w:sz w:val="20"/>
          <w:szCs w:val="20"/>
        </w:rPr>
      </w:pPr>
    </w:p>
    <w:p w14:paraId="19E2D6BA" w14:textId="34896AA8" w:rsidR="00E36D18" w:rsidRDefault="0073697F" w:rsidP="00270485">
      <w:pPr>
        <w:rPr>
          <w:rFonts w:cs="Open Sans"/>
          <w:sz w:val="20"/>
          <w:szCs w:val="20"/>
        </w:rPr>
      </w:pPr>
      <w:r w:rsidRPr="0073697F">
        <w:rPr>
          <w:rFonts w:cs="Open Sans"/>
          <w:sz w:val="20"/>
          <w:szCs w:val="20"/>
        </w:rPr>
        <w:t>This concentration is clearly illustrated in the Lorenz curve (</w:t>
      </w:r>
      <w:r w:rsidR="00EF64FC">
        <w:rPr>
          <w:rFonts w:cs="Open Sans"/>
          <w:sz w:val="20"/>
          <w:szCs w:val="20"/>
        </w:rPr>
        <w:fldChar w:fldCharType="begin"/>
      </w:r>
      <w:r w:rsidR="00EF64FC">
        <w:rPr>
          <w:rFonts w:cs="Open Sans"/>
          <w:sz w:val="20"/>
          <w:szCs w:val="20"/>
        </w:rPr>
        <w:instrText xml:space="preserve"> REF _Ref227059245 \h </w:instrText>
      </w:r>
      <w:r w:rsidR="00EF64FC">
        <w:rPr>
          <w:rFonts w:cs="Open Sans"/>
          <w:sz w:val="20"/>
          <w:szCs w:val="20"/>
        </w:rPr>
      </w:r>
      <w:r w:rsidR="00EF64FC">
        <w:rPr>
          <w:rFonts w:cs="Open Sans"/>
          <w:sz w:val="20"/>
          <w:szCs w:val="20"/>
        </w:rPr>
        <w:fldChar w:fldCharType="separate"/>
      </w:r>
      <w:r w:rsidR="00EF64FC">
        <w:t xml:space="preserve">Figure </w:t>
      </w:r>
      <w:r w:rsidR="00EF64FC">
        <w:rPr>
          <w:noProof/>
        </w:rPr>
        <w:t>3</w:t>
      </w:r>
      <w:r w:rsidR="00EF64FC">
        <w:t>.</w:t>
      </w:r>
      <w:r w:rsidR="00EF64FC">
        <w:rPr>
          <w:noProof/>
        </w:rPr>
        <w:t>4</w:t>
      </w:r>
      <w:r w:rsidR="00EF64FC">
        <w:rPr>
          <w:rFonts w:cs="Open Sans"/>
          <w:sz w:val="20"/>
          <w:szCs w:val="20"/>
        </w:rPr>
        <w:fldChar w:fldCharType="end"/>
      </w:r>
      <w:r w:rsidRPr="0073697F">
        <w:rPr>
          <w:rFonts w:cs="Open Sans"/>
          <w:sz w:val="20"/>
          <w:szCs w:val="20"/>
        </w:rPr>
        <w:t>), where the distribution follows a relatively gradual increase for most of the population before exhibiting a sharp upward shift at the upper end. This “vertical jump” reflects the inclusion of exporters and cooperatives, whose relatively small numbers correspond to large increments in cumulative income shares. The result is a distribution in which a large mass of small-scale producers shares a limited portion of total profit, while a small number of actors at the top capture substantial returns.</w:t>
      </w:r>
    </w:p>
    <w:p w14:paraId="089CC45F" w14:textId="77777777" w:rsidR="0073697F" w:rsidRPr="00270485" w:rsidRDefault="0073697F" w:rsidP="00270485">
      <w:pPr>
        <w:rPr>
          <w:rFonts w:cs="Open Sans"/>
          <w:sz w:val="20"/>
          <w:szCs w:val="20"/>
        </w:rPr>
      </w:pPr>
    </w:p>
    <w:p w14:paraId="0D5BF5E5" w14:textId="77777777" w:rsidR="00B92D72" w:rsidRDefault="00F22005" w:rsidP="00B92D72">
      <w:pPr>
        <w:keepNext/>
        <w:jc w:val="center"/>
      </w:pPr>
      <w:r w:rsidRPr="00605F8D">
        <w:rPr>
          <w:noProof/>
        </w:rPr>
        <w:drawing>
          <wp:inline distT="0" distB="0" distL="0" distR="0" wp14:anchorId="3F12C127" wp14:editId="1EFECC7A">
            <wp:extent cx="3276600" cy="3063453"/>
            <wp:effectExtent l="0" t="0" r="0" b="3810"/>
            <wp:docPr id="61658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85388" name=""/>
                    <pic:cNvPicPr/>
                  </pic:nvPicPr>
                  <pic:blipFill>
                    <a:blip r:embed="rId36"/>
                    <a:stretch>
                      <a:fillRect/>
                    </a:stretch>
                  </pic:blipFill>
                  <pic:spPr>
                    <a:xfrm>
                      <a:off x="0" y="0"/>
                      <a:ext cx="3280883" cy="3067457"/>
                    </a:xfrm>
                    <a:prstGeom prst="rect">
                      <a:avLst/>
                    </a:prstGeom>
                  </pic:spPr>
                </pic:pic>
              </a:graphicData>
            </a:graphic>
          </wp:inline>
        </w:drawing>
      </w:r>
    </w:p>
    <w:p w14:paraId="3478EED2" w14:textId="2827F976" w:rsidR="0092513A" w:rsidRDefault="00B92D72" w:rsidP="00B92D72">
      <w:pPr>
        <w:pStyle w:val="Caption"/>
        <w:jc w:val="center"/>
      </w:pPr>
      <w:bookmarkStart w:id="119" w:name="_Ref227059245"/>
      <w:bookmarkStart w:id="120" w:name="_Toc228701111"/>
      <w:r>
        <w:t xml:space="preserve">Figure </w:t>
      </w:r>
      <w:fldSimple w:instr=" STYLEREF 1 \s ">
        <w:r w:rsidR="007306EC">
          <w:rPr>
            <w:noProof/>
          </w:rPr>
          <w:t>3</w:t>
        </w:r>
      </w:fldSimple>
      <w:r w:rsidR="007306EC">
        <w:noBreakHyphen/>
      </w:r>
      <w:fldSimple w:instr=" SEQ Figure \* ARABIC \s 1 ">
        <w:r w:rsidR="007306EC">
          <w:rPr>
            <w:noProof/>
          </w:rPr>
          <w:t>4</w:t>
        </w:r>
      </w:fldSimple>
      <w:bookmarkEnd w:id="119"/>
      <w:r>
        <w:t xml:space="preserve"> </w:t>
      </w:r>
      <w:r w:rsidRPr="00CC76A7">
        <w:t>GINI COEFFICIENT (0.62) FOR THE COCOA VALUE CHAIN</w:t>
      </w:r>
      <w:bookmarkEnd w:id="120"/>
    </w:p>
    <w:p w14:paraId="13A4E025" w14:textId="77777777" w:rsidR="00270485" w:rsidRPr="00270485" w:rsidRDefault="00270485" w:rsidP="00270485">
      <w:pPr>
        <w:rPr>
          <w:rFonts w:cs="Open Sans"/>
          <w:b/>
          <w:bCs/>
          <w:sz w:val="20"/>
          <w:szCs w:val="20"/>
        </w:rPr>
      </w:pPr>
    </w:p>
    <w:p w14:paraId="306A6522" w14:textId="629BEC20" w:rsidR="0073697F" w:rsidRDefault="0073697F" w:rsidP="0073697F">
      <w:pPr>
        <w:rPr>
          <w:rFonts w:cs="Open Sans"/>
          <w:sz w:val="20"/>
          <w:szCs w:val="20"/>
        </w:rPr>
      </w:pPr>
      <w:r w:rsidRPr="0073697F">
        <w:rPr>
          <w:rFonts w:cs="Open Sans"/>
          <w:sz w:val="20"/>
          <w:szCs w:val="20"/>
        </w:rPr>
        <w:t xml:space="preserve">From an inclusiveness perspective, this pattern raises important concerns. Although value creation is widely distributed </w:t>
      </w:r>
      <w:r w:rsidR="00EF64FC">
        <w:rPr>
          <w:rFonts w:cs="Open Sans"/>
          <w:sz w:val="20"/>
          <w:szCs w:val="20"/>
        </w:rPr>
        <w:t>among many</w:t>
      </w:r>
      <w:r w:rsidRPr="0073697F">
        <w:rPr>
          <w:rFonts w:cs="Open Sans"/>
          <w:sz w:val="20"/>
          <w:szCs w:val="20"/>
        </w:rPr>
        <w:t xml:space="preserve"> smallholder producers, the benefits in terms of income are unevenly shared. The dominance of smallholders in terms of participation does not translate into proportional income gains, reflecting both low productivity and limited scale at the farm level. At the same time, downstream actors, particularly exporters, benefit from scale economies, </w:t>
      </w:r>
      <w:r w:rsidRPr="0073697F">
        <w:rPr>
          <w:rFonts w:cs="Open Sans"/>
          <w:sz w:val="20"/>
          <w:szCs w:val="20"/>
        </w:rPr>
        <w:lastRenderedPageBreak/>
        <w:t>market access, and stronger bargaining positions, enabling them to capture a significant share of value.</w:t>
      </w:r>
      <w:r>
        <w:rPr>
          <w:rFonts w:cs="Open Sans"/>
          <w:sz w:val="20"/>
          <w:szCs w:val="20"/>
        </w:rPr>
        <w:t xml:space="preserve"> </w:t>
      </w:r>
      <w:r w:rsidRPr="0073697F">
        <w:rPr>
          <w:rFonts w:cs="Open Sans"/>
          <w:sz w:val="20"/>
          <w:szCs w:val="20"/>
        </w:rPr>
        <w:t>Overall, the high degree of income inequality suggests that the cocoa value chain, while broadly participatory, is not fully inclusive in terms of income distribution. Addressing this imbalance will require interventions that enhance productivity and market access for smallholders, strengthen collective action through cooperatives, and improve the distribution of value along the chain.</w:t>
      </w:r>
    </w:p>
    <w:p w14:paraId="174DE3F6" w14:textId="77777777" w:rsidR="0073697F" w:rsidRDefault="0073697F" w:rsidP="0073697F">
      <w:pPr>
        <w:rPr>
          <w:rFonts w:cs="Open Sans"/>
          <w:sz w:val="20"/>
          <w:szCs w:val="20"/>
        </w:rPr>
      </w:pPr>
    </w:p>
    <w:p w14:paraId="17FC7004" w14:textId="64F404C5" w:rsidR="00F777A5" w:rsidRPr="003E66A2" w:rsidRDefault="00EC6E03" w:rsidP="003E66A2">
      <w:pPr>
        <w:pStyle w:val="Heading2"/>
        <w:ind w:left="0"/>
      </w:pPr>
      <w:bookmarkStart w:id="121" w:name="_Toc228701026"/>
      <w:r>
        <w:t>Participation in Value Chain Governance and Inclusion</w:t>
      </w:r>
      <w:bookmarkEnd w:id="121"/>
    </w:p>
    <w:p w14:paraId="1D87622E" w14:textId="77777777" w:rsidR="007F5F95" w:rsidRPr="007F5F95" w:rsidRDefault="007F5F95" w:rsidP="007F5F95">
      <w:pPr>
        <w:rPr>
          <w:rFonts w:cs="Open Sans"/>
          <w:sz w:val="20"/>
          <w:szCs w:val="20"/>
        </w:rPr>
      </w:pPr>
      <w:r w:rsidRPr="007F5F95">
        <w:rPr>
          <w:rFonts w:cs="Open Sans"/>
          <w:sz w:val="20"/>
          <w:szCs w:val="20"/>
        </w:rPr>
        <w:t>Institutional arrangements, market structures, and social capital play a central role in shaping participation and inclusion within the Sierra Leone cocoa value chain. Governance determines not only how value is created and distributed, but also who is able to participate effectively in markets and capture economic benefits. While the current governance framework enables market functioning, its inclusiveness remains uneven.</w:t>
      </w:r>
    </w:p>
    <w:p w14:paraId="6DCE3BE3" w14:textId="77777777" w:rsidR="007F5F95" w:rsidRPr="007F5F95" w:rsidRDefault="007F5F95" w:rsidP="007F5F95">
      <w:pPr>
        <w:rPr>
          <w:rFonts w:cs="Open Sans"/>
          <w:sz w:val="20"/>
          <w:szCs w:val="20"/>
        </w:rPr>
      </w:pPr>
    </w:p>
    <w:p w14:paraId="1BDC6C5D" w14:textId="77777777" w:rsidR="007F5F95" w:rsidRPr="007F5F95" w:rsidRDefault="007F5F95" w:rsidP="007F5F95">
      <w:pPr>
        <w:rPr>
          <w:rFonts w:cs="Open Sans"/>
          <w:sz w:val="20"/>
          <w:szCs w:val="20"/>
        </w:rPr>
      </w:pPr>
      <w:r w:rsidRPr="007F5F95">
        <w:rPr>
          <w:rFonts w:cs="Open Sans"/>
          <w:sz w:val="20"/>
          <w:szCs w:val="20"/>
        </w:rPr>
        <w:t xml:space="preserve">Cocoa cooperatives are intended to serve as key institutional mechanisms for inclusion, facilitating aggregation, improving bargaining power, and linking smallholders to higher-value markets. At present, however, their effectiveness is constrained by weak </w:t>
      </w:r>
      <w:proofErr w:type="spellStart"/>
      <w:r w:rsidRPr="007F5F95">
        <w:rPr>
          <w:rFonts w:cs="Open Sans"/>
          <w:sz w:val="20"/>
          <w:szCs w:val="20"/>
        </w:rPr>
        <w:t>organisational</w:t>
      </w:r>
      <w:proofErr w:type="spellEnd"/>
      <w:r w:rsidRPr="007F5F95">
        <w:rPr>
          <w:rFonts w:cs="Open Sans"/>
          <w:sz w:val="20"/>
          <w:szCs w:val="20"/>
        </w:rPr>
        <w:t xml:space="preserve"> capacity, limited financial resources, and strong dependence on exporters for pre-financing and market access. Only around 30% of national cocoa output is marketed through cooperatives, with the remainder traded through agents and exporters in a largely </w:t>
      </w:r>
      <w:proofErr w:type="spellStart"/>
      <w:r w:rsidRPr="007F5F95">
        <w:rPr>
          <w:rFonts w:cs="Open Sans"/>
          <w:sz w:val="20"/>
          <w:szCs w:val="20"/>
        </w:rPr>
        <w:t>liberalised</w:t>
      </w:r>
      <w:proofErr w:type="spellEnd"/>
      <w:r w:rsidRPr="007F5F95">
        <w:rPr>
          <w:rFonts w:cs="Open Sans"/>
          <w:sz w:val="20"/>
          <w:szCs w:val="20"/>
        </w:rPr>
        <w:t xml:space="preserve"> and competitive environment.</w:t>
      </w:r>
    </w:p>
    <w:p w14:paraId="7235F570" w14:textId="77777777" w:rsidR="007F5F95" w:rsidRPr="007F5F95" w:rsidRDefault="007F5F95" w:rsidP="007F5F95">
      <w:pPr>
        <w:rPr>
          <w:rFonts w:cs="Open Sans"/>
          <w:sz w:val="20"/>
          <w:szCs w:val="20"/>
        </w:rPr>
      </w:pPr>
    </w:p>
    <w:p w14:paraId="1B15B8BC" w14:textId="77777777" w:rsidR="007F5F95" w:rsidRPr="007F5F95" w:rsidRDefault="007F5F95" w:rsidP="007F5F95">
      <w:pPr>
        <w:rPr>
          <w:rFonts w:cs="Open Sans"/>
          <w:sz w:val="20"/>
          <w:szCs w:val="20"/>
        </w:rPr>
      </w:pPr>
      <w:r w:rsidRPr="007F5F95">
        <w:rPr>
          <w:rFonts w:cs="Open Sans"/>
          <w:sz w:val="20"/>
          <w:szCs w:val="20"/>
        </w:rPr>
        <w:t>This dependence on exporters has important implications for governance and inclusion. Exporters often provide working capital and determine transaction terms, which places them in a dominant position within the value chain. As a result, farmers and cooperatives operate with limited bargaining power and are frequently price-takers. Although the Produce Monitoring Board sets indicative minimum prices based on international markets, price discovery and negotiation remain influenced by exporters, reinforcing asymmetries in market power and information.</w:t>
      </w:r>
    </w:p>
    <w:p w14:paraId="2B5CBF44" w14:textId="77777777" w:rsidR="007F5F95" w:rsidRPr="007F5F95" w:rsidRDefault="007F5F95" w:rsidP="007F5F95">
      <w:pPr>
        <w:rPr>
          <w:rFonts w:cs="Open Sans"/>
          <w:sz w:val="20"/>
          <w:szCs w:val="20"/>
        </w:rPr>
      </w:pPr>
    </w:p>
    <w:p w14:paraId="20226BAC" w14:textId="77777777" w:rsidR="007F5F95" w:rsidRPr="007F5F95" w:rsidRDefault="007F5F95" w:rsidP="007F5F95">
      <w:pPr>
        <w:rPr>
          <w:rFonts w:cs="Open Sans"/>
          <w:sz w:val="20"/>
          <w:szCs w:val="20"/>
        </w:rPr>
      </w:pPr>
      <w:r w:rsidRPr="007F5F95">
        <w:rPr>
          <w:rFonts w:cs="Open Sans"/>
          <w:sz w:val="20"/>
          <w:szCs w:val="20"/>
        </w:rPr>
        <w:t>The limited capacity of cooperatives further constrains their ability to deliver inclusive outcomes. Many operate primarily as marketing entities, offering few additional services such as credit, input supply, or technical support. As a result, farmers often perceive limited benefits from membership. Side-selling, although formally discouraged, is widespread and reflects underlying liquidity constraints rather than weak commitment. Farmers frequently sell outside cooperative channels to meet urgent household needs, including food, healthcare, and education expenses.</w:t>
      </w:r>
    </w:p>
    <w:p w14:paraId="63896266" w14:textId="77777777" w:rsidR="007F5F95" w:rsidRPr="007F5F95" w:rsidRDefault="007F5F95" w:rsidP="007F5F95">
      <w:pPr>
        <w:rPr>
          <w:rFonts w:cs="Open Sans"/>
          <w:sz w:val="20"/>
          <w:szCs w:val="20"/>
        </w:rPr>
      </w:pPr>
    </w:p>
    <w:p w14:paraId="2890D6BF" w14:textId="77777777" w:rsidR="007F5F95" w:rsidRPr="007F5F95" w:rsidRDefault="007F5F95" w:rsidP="007F5F95">
      <w:pPr>
        <w:rPr>
          <w:rFonts w:cs="Open Sans"/>
          <w:sz w:val="20"/>
          <w:szCs w:val="20"/>
        </w:rPr>
      </w:pPr>
      <w:r w:rsidRPr="007F5F95">
        <w:rPr>
          <w:rFonts w:cs="Open Sans"/>
          <w:sz w:val="20"/>
          <w:szCs w:val="20"/>
        </w:rPr>
        <w:t>Coverage of cooperative membership also remains limited. With approximately 120,000 cocoa-producing households and only about 59,550 cooperative members across 33 active cocoa cooperatives, a large share of producers remains outside formal collective structures. These non-member farmers are particularly vulnerable, lacking access to collective bargaining, certification schemes, and structured market channels. Barriers to entry, including limited awareness of cooperative formation and administrative requirements, further restrict participation.</w:t>
      </w:r>
    </w:p>
    <w:p w14:paraId="578B223F" w14:textId="77777777" w:rsidR="007F5F95" w:rsidRPr="007F5F95" w:rsidRDefault="007F5F95" w:rsidP="007F5F95">
      <w:pPr>
        <w:rPr>
          <w:rFonts w:cs="Open Sans"/>
          <w:sz w:val="20"/>
          <w:szCs w:val="20"/>
        </w:rPr>
      </w:pPr>
    </w:p>
    <w:p w14:paraId="0FADA1F5" w14:textId="77777777" w:rsidR="007F5F95" w:rsidRPr="007F5F95" w:rsidRDefault="007F5F95" w:rsidP="007F5F95">
      <w:pPr>
        <w:rPr>
          <w:rFonts w:cs="Open Sans"/>
          <w:sz w:val="20"/>
          <w:szCs w:val="20"/>
        </w:rPr>
      </w:pPr>
      <w:r w:rsidRPr="007F5F95">
        <w:rPr>
          <w:rFonts w:cs="Open Sans"/>
          <w:sz w:val="20"/>
          <w:szCs w:val="20"/>
        </w:rPr>
        <w:t>Certification systems, particularly for organic and Fairtrade cocoa, represent another important governance mechanism with potential inclusion benefits. However, the process of obtaining and maintaining certification, including the Certificate of Inspection (COI), remains costly and time-consuming. Delays in certification and shipment processes reduce incentives for participation, while many farmers produce according to organic practices without receiving corresponding price premiums. This weakens the link between compliance and reward, undermining incentives for quality upgrading and sustainable practices.</w:t>
      </w:r>
    </w:p>
    <w:p w14:paraId="132AEA08" w14:textId="77777777" w:rsidR="007F5F95" w:rsidRPr="007F5F95" w:rsidRDefault="007F5F95" w:rsidP="007F5F95">
      <w:pPr>
        <w:rPr>
          <w:rFonts w:cs="Open Sans"/>
          <w:sz w:val="20"/>
          <w:szCs w:val="20"/>
        </w:rPr>
      </w:pPr>
    </w:p>
    <w:p w14:paraId="7060E6F5" w14:textId="77777777" w:rsidR="007F5F95" w:rsidRPr="007F5F95" w:rsidRDefault="007F5F95" w:rsidP="007F5F95">
      <w:pPr>
        <w:rPr>
          <w:rFonts w:cs="Open Sans"/>
          <w:sz w:val="20"/>
          <w:szCs w:val="20"/>
        </w:rPr>
      </w:pPr>
      <w:r w:rsidRPr="007F5F95">
        <w:rPr>
          <w:rFonts w:cs="Open Sans"/>
          <w:sz w:val="20"/>
          <w:szCs w:val="20"/>
        </w:rPr>
        <w:t xml:space="preserve">Governance constraints are also reflected in limited value addition and </w:t>
      </w:r>
      <w:proofErr w:type="spellStart"/>
      <w:r w:rsidRPr="007F5F95">
        <w:rPr>
          <w:rFonts w:cs="Open Sans"/>
          <w:sz w:val="20"/>
          <w:szCs w:val="20"/>
        </w:rPr>
        <w:t>organisational</w:t>
      </w:r>
      <w:proofErr w:type="spellEnd"/>
      <w:r w:rsidRPr="007F5F95">
        <w:rPr>
          <w:rFonts w:cs="Open Sans"/>
          <w:sz w:val="20"/>
          <w:szCs w:val="20"/>
        </w:rPr>
        <w:t xml:space="preserve"> fragmentation. Most cooperatives are engaged only in basic post-harvest activities such as fermentation and drying, with minimal downstream processing. Despite some progress in capacity building, many cooperatives remain dependent on exporter </w:t>
      </w:r>
      <w:proofErr w:type="spellStart"/>
      <w:r w:rsidRPr="007F5F95">
        <w:rPr>
          <w:rFonts w:cs="Open Sans"/>
          <w:sz w:val="20"/>
          <w:szCs w:val="20"/>
        </w:rPr>
        <w:t>licences</w:t>
      </w:r>
      <w:proofErr w:type="spellEnd"/>
      <w:r w:rsidRPr="007F5F95">
        <w:rPr>
          <w:rFonts w:cs="Open Sans"/>
          <w:sz w:val="20"/>
          <w:szCs w:val="20"/>
        </w:rPr>
        <w:t xml:space="preserve"> and capture only a small share of final market value. Leadership structures also reflect inclusiveness gaps: women’s participation in governance remains limited, with few female-led cooperatives and uncertain influence of women in decision-making processes.</w:t>
      </w:r>
    </w:p>
    <w:p w14:paraId="50892BBB" w14:textId="77777777" w:rsidR="007F5F95" w:rsidRPr="007F5F95" w:rsidRDefault="007F5F95" w:rsidP="007F5F95">
      <w:pPr>
        <w:rPr>
          <w:rFonts w:cs="Open Sans"/>
          <w:sz w:val="20"/>
          <w:szCs w:val="20"/>
        </w:rPr>
      </w:pPr>
    </w:p>
    <w:p w14:paraId="395F7FF9" w14:textId="77777777" w:rsidR="007F5F95" w:rsidRPr="007F5F95" w:rsidRDefault="007F5F95" w:rsidP="007F5F95">
      <w:pPr>
        <w:rPr>
          <w:rFonts w:cs="Open Sans"/>
          <w:sz w:val="20"/>
          <w:szCs w:val="20"/>
        </w:rPr>
      </w:pPr>
      <w:r w:rsidRPr="007F5F95">
        <w:rPr>
          <w:rFonts w:cs="Open Sans"/>
          <w:sz w:val="20"/>
          <w:szCs w:val="20"/>
        </w:rPr>
        <w:t>These structural challenges point to a governance system that is only partially inclusive. While participation in production is broad, effective participation in decision-making, market access, and value capture remains uneven. To enhance inclusiveness, governance reforms will need to address both institutional capacity and market structure. Key priorities include strengthening cooperative autonomy and financial capacity, improving access to affordable certification, reducing information asymmetries through transparent pricing mechanisms, and expanding access to agricultural finance to reduce dependence on exporters.</w:t>
      </w:r>
    </w:p>
    <w:p w14:paraId="1FBD4189" w14:textId="77777777" w:rsidR="007F5F95" w:rsidRPr="007F5F95" w:rsidRDefault="007F5F95" w:rsidP="007F5F95">
      <w:pPr>
        <w:rPr>
          <w:rFonts w:cs="Open Sans"/>
          <w:sz w:val="20"/>
          <w:szCs w:val="20"/>
        </w:rPr>
      </w:pPr>
    </w:p>
    <w:p w14:paraId="3A87E296" w14:textId="77777777" w:rsidR="007F5F95" w:rsidRPr="007F5F95" w:rsidRDefault="007F5F95" w:rsidP="007F5F95">
      <w:pPr>
        <w:rPr>
          <w:rFonts w:cs="Open Sans"/>
          <w:sz w:val="20"/>
          <w:szCs w:val="20"/>
        </w:rPr>
      </w:pPr>
      <w:r w:rsidRPr="007F5F95">
        <w:rPr>
          <w:rFonts w:cs="Open Sans"/>
          <w:sz w:val="20"/>
          <w:szCs w:val="20"/>
        </w:rPr>
        <w:t xml:space="preserve">In parallel, targeted interventions in technology and market </w:t>
      </w:r>
      <w:proofErr w:type="spellStart"/>
      <w:r w:rsidRPr="007F5F95">
        <w:rPr>
          <w:rFonts w:cs="Open Sans"/>
          <w:sz w:val="20"/>
          <w:szCs w:val="20"/>
        </w:rPr>
        <w:t>organisation</w:t>
      </w:r>
      <w:proofErr w:type="spellEnd"/>
      <w:r w:rsidRPr="007F5F95">
        <w:rPr>
          <w:rFonts w:cs="Open Sans"/>
          <w:sz w:val="20"/>
          <w:szCs w:val="20"/>
        </w:rPr>
        <w:t xml:space="preserve"> can support more inclusive participation. Investments in digital traceability, real-time market information systems, and post-harvest infrastructure such as solar dryers can improve quality and transparency. Financial instruments, including warehouse receipt systems, forward contracts, and micro-insurance, can help address liquidity constraints and reduce the need for distress sales.</w:t>
      </w:r>
    </w:p>
    <w:p w14:paraId="0A0C68B7" w14:textId="77777777" w:rsidR="007F5F95" w:rsidRPr="007F5F95" w:rsidRDefault="007F5F95" w:rsidP="007F5F95">
      <w:pPr>
        <w:rPr>
          <w:rFonts w:cs="Open Sans"/>
          <w:sz w:val="20"/>
          <w:szCs w:val="20"/>
        </w:rPr>
      </w:pPr>
    </w:p>
    <w:p w14:paraId="55D7D8D2" w14:textId="12D5E8D1" w:rsidR="00A57502" w:rsidRPr="00A57502" w:rsidRDefault="007F5F95" w:rsidP="007F5F95">
      <w:pPr>
        <w:rPr>
          <w:rFonts w:cs="Open Sans"/>
          <w:sz w:val="20"/>
          <w:szCs w:val="20"/>
        </w:rPr>
      </w:pPr>
      <w:r w:rsidRPr="007F5F95">
        <w:rPr>
          <w:rFonts w:cs="Open Sans"/>
          <w:sz w:val="20"/>
          <w:szCs w:val="20"/>
        </w:rPr>
        <w:t>Overall, enhancing inclusion in the cocoa value chain will require moving beyond participation in production towards meaningful participation in governance and market systems. Strengthening institutional arrangements, improving access to services, and addressing structural inequalities, particularly those affecting smallholders and women, will be critical to ensuring that the benefits of the value chain are more equitably distributed</w:t>
      </w:r>
      <w:r w:rsidR="00A57502" w:rsidRPr="00A57502">
        <w:rPr>
          <w:rFonts w:cs="Open Sans"/>
          <w:sz w:val="20"/>
          <w:szCs w:val="20"/>
        </w:rPr>
        <w:t>.</w:t>
      </w:r>
    </w:p>
    <w:p w14:paraId="54A5CA5A" w14:textId="77777777" w:rsidR="00A57502" w:rsidRPr="00A57502" w:rsidRDefault="00A57502" w:rsidP="00A57502">
      <w:pPr>
        <w:rPr>
          <w:rFonts w:cs="Open Sans"/>
          <w:sz w:val="20"/>
          <w:szCs w:val="20"/>
        </w:rPr>
      </w:pPr>
    </w:p>
    <w:p w14:paraId="7B572EEF" w14:textId="77777777" w:rsidR="00264A20" w:rsidRDefault="00264A20" w:rsidP="00264A20">
      <w:pPr>
        <w:rPr>
          <w:rFonts w:eastAsiaTheme="majorEastAsia" w:cstheme="majorBidi"/>
          <w:sz w:val="20"/>
          <w:szCs w:val="20"/>
        </w:rPr>
      </w:pPr>
    </w:p>
    <w:p w14:paraId="1639C142" w14:textId="77777777" w:rsidR="00F370A5" w:rsidRDefault="00F370A5" w:rsidP="00264A20">
      <w:pPr>
        <w:rPr>
          <w:rFonts w:eastAsiaTheme="majorEastAsia" w:cstheme="majorBidi"/>
          <w:sz w:val="20"/>
          <w:szCs w:val="20"/>
        </w:rPr>
      </w:pPr>
    </w:p>
    <w:p w14:paraId="66CE470E" w14:textId="77777777" w:rsidR="00F370A5" w:rsidRDefault="00F370A5" w:rsidP="00264A20">
      <w:pPr>
        <w:rPr>
          <w:rFonts w:eastAsiaTheme="majorEastAsia" w:cstheme="majorBidi"/>
          <w:sz w:val="20"/>
          <w:szCs w:val="20"/>
        </w:rPr>
      </w:pPr>
    </w:p>
    <w:p w14:paraId="741844B9" w14:textId="77777777" w:rsidR="00F370A5" w:rsidRDefault="00F370A5" w:rsidP="00264A20">
      <w:pPr>
        <w:rPr>
          <w:rFonts w:eastAsiaTheme="majorEastAsia" w:cstheme="majorBidi"/>
          <w:sz w:val="20"/>
          <w:szCs w:val="20"/>
        </w:rPr>
      </w:pPr>
    </w:p>
    <w:p w14:paraId="02684FB8" w14:textId="77777777" w:rsidR="00F370A5" w:rsidRDefault="00F370A5" w:rsidP="00264A20">
      <w:pPr>
        <w:rPr>
          <w:rFonts w:eastAsiaTheme="majorEastAsia" w:cstheme="majorBidi"/>
          <w:sz w:val="20"/>
          <w:szCs w:val="20"/>
        </w:rPr>
      </w:pPr>
    </w:p>
    <w:p w14:paraId="152B917D" w14:textId="77777777" w:rsidR="00F370A5" w:rsidRDefault="00F370A5" w:rsidP="00264A20">
      <w:pPr>
        <w:rPr>
          <w:rFonts w:eastAsiaTheme="majorEastAsia" w:cstheme="majorBidi"/>
          <w:sz w:val="20"/>
          <w:szCs w:val="20"/>
        </w:rPr>
      </w:pPr>
    </w:p>
    <w:p w14:paraId="6138B6CD" w14:textId="77777777" w:rsidR="00F370A5" w:rsidRDefault="00F370A5" w:rsidP="00264A20">
      <w:pPr>
        <w:rPr>
          <w:rFonts w:eastAsiaTheme="majorEastAsia" w:cstheme="majorBidi"/>
          <w:sz w:val="20"/>
          <w:szCs w:val="20"/>
        </w:rPr>
      </w:pPr>
    </w:p>
    <w:p w14:paraId="332AF3B3" w14:textId="77777777" w:rsidR="00F370A5" w:rsidRDefault="00F370A5" w:rsidP="00264A20">
      <w:pPr>
        <w:rPr>
          <w:rFonts w:eastAsiaTheme="majorEastAsia" w:cstheme="majorBidi"/>
          <w:sz w:val="20"/>
          <w:szCs w:val="20"/>
        </w:rPr>
      </w:pPr>
    </w:p>
    <w:p w14:paraId="6E961F55" w14:textId="77777777" w:rsidR="00F370A5" w:rsidRDefault="00F370A5" w:rsidP="00264A20">
      <w:pPr>
        <w:rPr>
          <w:rFonts w:eastAsiaTheme="majorEastAsia" w:cstheme="majorBidi"/>
          <w:sz w:val="20"/>
          <w:szCs w:val="20"/>
        </w:rPr>
      </w:pPr>
    </w:p>
    <w:p w14:paraId="2E44E29A" w14:textId="77777777" w:rsidR="00F370A5" w:rsidRDefault="00F370A5" w:rsidP="00264A20">
      <w:pPr>
        <w:rPr>
          <w:rFonts w:eastAsiaTheme="majorEastAsia" w:cstheme="majorBidi"/>
          <w:sz w:val="20"/>
          <w:szCs w:val="20"/>
        </w:rPr>
      </w:pPr>
    </w:p>
    <w:p w14:paraId="1C36035A" w14:textId="77777777" w:rsidR="00F370A5" w:rsidRDefault="00F370A5" w:rsidP="00264A20">
      <w:pPr>
        <w:rPr>
          <w:rFonts w:eastAsiaTheme="majorEastAsia" w:cstheme="majorBidi"/>
          <w:sz w:val="20"/>
          <w:szCs w:val="20"/>
        </w:rPr>
      </w:pPr>
    </w:p>
    <w:p w14:paraId="0018D8A8" w14:textId="77777777" w:rsidR="00F370A5" w:rsidRDefault="00F370A5" w:rsidP="00264A20">
      <w:pPr>
        <w:rPr>
          <w:rFonts w:eastAsiaTheme="majorEastAsia" w:cstheme="majorBidi"/>
          <w:sz w:val="20"/>
          <w:szCs w:val="20"/>
        </w:rPr>
      </w:pPr>
    </w:p>
    <w:p w14:paraId="45C280BF" w14:textId="77777777" w:rsidR="00F370A5" w:rsidRDefault="00F370A5" w:rsidP="00264A20">
      <w:pPr>
        <w:rPr>
          <w:rFonts w:eastAsiaTheme="majorEastAsia" w:cstheme="majorBidi"/>
          <w:sz w:val="20"/>
          <w:szCs w:val="20"/>
        </w:rPr>
      </w:pPr>
    </w:p>
    <w:p w14:paraId="69A84F1A" w14:textId="77777777" w:rsidR="00F370A5" w:rsidRDefault="00F370A5" w:rsidP="00264A20">
      <w:pPr>
        <w:rPr>
          <w:rFonts w:eastAsiaTheme="majorEastAsia" w:cstheme="majorBidi"/>
          <w:sz w:val="20"/>
          <w:szCs w:val="20"/>
        </w:rPr>
      </w:pPr>
    </w:p>
    <w:p w14:paraId="07CF859D" w14:textId="77777777" w:rsidR="00F370A5" w:rsidRDefault="00F370A5" w:rsidP="00264A20">
      <w:pPr>
        <w:rPr>
          <w:rFonts w:eastAsiaTheme="majorEastAsia" w:cstheme="majorBidi"/>
          <w:sz w:val="20"/>
          <w:szCs w:val="20"/>
        </w:rPr>
      </w:pPr>
    </w:p>
    <w:p w14:paraId="71F76D3B" w14:textId="77777777" w:rsidR="00F370A5" w:rsidRDefault="00F370A5" w:rsidP="00264A20">
      <w:pPr>
        <w:rPr>
          <w:rFonts w:eastAsiaTheme="majorEastAsia" w:cstheme="majorBidi"/>
          <w:sz w:val="20"/>
          <w:szCs w:val="20"/>
        </w:rPr>
      </w:pPr>
    </w:p>
    <w:p w14:paraId="44C40374" w14:textId="77777777" w:rsidR="00F370A5" w:rsidRDefault="00F370A5" w:rsidP="00264A20">
      <w:pPr>
        <w:rPr>
          <w:rFonts w:eastAsiaTheme="majorEastAsia" w:cstheme="majorBidi"/>
          <w:sz w:val="20"/>
          <w:szCs w:val="20"/>
        </w:rPr>
      </w:pPr>
    </w:p>
    <w:p w14:paraId="59972A44" w14:textId="77777777" w:rsidR="00F370A5" w:rsidRDefault="00F370A5" w:rsidP="00264A20">
      <w:pPr>
        <w:rPr>
          <w:rFonts w:eastAsiaTheme="majorEastAsia" w:cstheme="majorBidi"/>
          <w:sz w:val="20"/>
          <w:szCs w:val="20"/>
        </w:rPr>
      </w:pPr>
    </w:p>
    <w:p w14:paraId="7EDB50C6" w14:textId="77777777" w:rsidR="00F370A5" w:rsidRPr="00270485" w:rsidRDefault="00F370A5" w:rsidP="00264A20">
      <w:pPr>
        <w:rPr>
          <w:rFonts w:eastAsiaTheme="majorEastAsia" w:cstheme="majorBidi"/>
          <w:sz w:val="20"/>
          <w:szCs w:val="20"/>
        </w:rPr>
      </w:pPr>
    </w:p>
    <w:p w14:paraId="7571CB46" w14:textId="1647B94A" w:rsidR="00270485" w:rsidRPr="00C82A71" w:rsidRDefault="00C82A71" w:rsidP="00CB4795">
      <w:pPr>
        <w:pStyle w:val="Heading2"/>
      </w:pPr>
      <w:bookmarkStart w:id="122" w:name="_Toc228701027"/>
      <w:r w:rsidRPr="00C82A71">
        <w:lastRenderedPageBreak/>
        <w:t>Summary of economic indicators for framing question 2</w:t>
      </w:r>
      <w:bookmarkEnd w:id="122"/>
    </w:p>
    <w:p w14:paraId="1DDD3FBE" w14:textId="77777777" w:rsidR="00270485" w:rsidRPr="0040372E" w:rsidRDefault="00270485" w:rsidP="0040372E">
      <w:pPr>
        <w:rPr>
          <w:rFonts w:eastAsiaTheme="majorEastAsia" w:cstheme="majorBidi"/>
          <w:color w:val="4472C4" w:themeColor="accent1"/>
          <w:sz w:val="22"/>
          <w:szCs w:val="26"/>
        </w:rPr>
      </w:pPr>
    </w:p>
    <w:p w14:paraId="060DD0EF" w14:textId="4CCB8B4F" w:rsidR="00226A54" w:rsidRPr="00825499" w:rsidRDefault="00226A54" w:rsidP="00226A54">
      <w:pPr>
        <w:spacing w:after="200"/>
        <w:contextualSpacing w:val="0"/>
        <w:rPr>
          <w:rFonts w:eastAsia="Calibri" w:cs="Open Sans"/>
          <w:bCs/>
          <w:iCs/>
          <w:color w:val="000000"/>
          <w:sz w:val="20"/>
          <w:szCs w:val="20"/>
          <w:lang w:val="en-GB"/>
        </w:rPr>
      </w:pPr>
      <w:r w:rsidRPr="00825499">
        <w:rPr>
          <w:rFonts w:eastAsia="Calibri" w:cs="Open Sans"/>
          <w:bCs/>
          <w:iCs/>
          <w:color w:val="000000"/>
          <w:sz w:val="20"/>
          <w:szCs w:val="20"/>
          <w:lang w:val="en-GB"/>
        </w:rPr>
        <w:t xml:space="preserve">The summary table of indicators for framing question </w:t>
      </w:r>
      <w:r>
        <w:rPr>
          <w:rFonts w:eastAsia="Calibri" w:cs="Open Sans"/>
          <w:bCs/>
          <w:iCs/>
          <w:color w:val="000000"/>
          <w:sz w:val="20"/>
          <w:szCs w:val="20"/>
          <w:lang w:val="en-GB"/>
        </w:rPr>
        <w:t>2</w:t>
      </w:r>
      <w:r w:rsidRPr="00825499">
        <w:rPr>
          <w:rFonts w:eastAsia="Calibri" w:cs="Open Sans"/>
          <w:bCs/>
          <w:iCs/>
          <w:color w:val="000000"/>
          <w:sz w:val="20"/>
          <w:szCs w:val="20"/>
          <w:lang w:val="en-GB"/>
        </w:rPr>
        <w:t xml:space="preserve"> (See definitions of economic terms before the Executive Summary)</w:t>
      </w:r>
      <w:r>
        <w:rPr>
          <w:rFonts w:eastAsia="Calibri" w:cs="Open Sans"/>
          <w:bCs/>
          <w:iCs/>
          <w:color w:val="000000"/>
          <w:sz w:val="20"/>
          <w:szCs w:val="20"/>
          <w:lang w:val="en-GB"/>
        </w:rPr>
        <w:t xml:space="preserve"> is presented in </w:t>
      </w:r>
      <w:r w:rsidR="00EF64FC">
        <w:rPr>
          <w:rFonts w:eastAsia="Calibri" w:cs="Open Sans"/>
          <w:bCs/>
          <w:iCs/>
          <w:color w:val="000000"/>
          <w:sz w:val="20"/>
          <w:szCs w:val="20"/>
          <w:lang w:val="en-GB"/>
        </w:rPr>
        <w:fldChar w:fldCharType="begin"/>
      </w:r>
      <w:r w:rsidR="00EF64FC">
        <w:rPr>
          <w:rFonts w:eastAsia="Calibri" w:cs="Open Sans"/>
          <w:bCs/>
          <w:iCs/>
          <w:color w:val="000000"/>
          <w:sz w:val="20"/>
          <w:szCs w:val="20"/>
          <w:lang w:val="en-GB"/>
        </w:rPr>
        <w:instrText xml:space="preserve"> REF _Ref227059451 \h </w:instrText>
      </w:r>
      <w:r w:rsidR="00EF64FC">
        <w:rPr>
          <w:rFonts w:eastAsia="Calibri" w:cs="Open Sans"/>
          <w:bCs/>
          <w:iCs/>
          <w:color w:val="000000"/>
          <w:sz w:val="20"/>
          <w:szCs w:val="20"/>
          <w:lang w:val="en-GB"/>
        </w:rPr>
      </w:r>
      <w:r w:rsidR="00EF64FC">
        <w:rPr>
          <w:rFonts w:eastAsia="Calibri" w:cs="Open Sans"/>
          <w:bCs/>
          <w:iCs/>
          <w:color w:val="000000"/>
          <w:sz w:val="20"/>
          <w:szCs w:val="20"/>
          <w:lang w:val="en-GB"/>
        </w:rPr>
        <w:fldChar w:fldCharType="separate"/>
      </w:r>
      <w:r w:rsidR="00EF64FC">
        <w:t xml:space="preserve">Table </w:t>
      </w:r>
      <w:r w:rsidR="00EF64FC">
        <w:rPr>
          <w:noProof/>
        </w:rPr>
        <w:t>3</w:t>
      </w:r>
      <w:r w:rsidR="00EF64FC">
        <w:noBreakHyphen/>
      </w:r>
      <w:r w:rsidR="00EF64FC">
        <w:rPr>
          <w:noProof/>
        </w:rPr>
        <w:t>3</w:t>
      </w:r>
      <w:r w:rsidR="00EF64FC">
        <w:rPr>
          <w:rFonts w:eastAsia="Calibri" w:cs="Open Sans"/>
          <w:bCs/>
          <w:iCs/>
          <w:color w:val="000000"/>
          <w:sz w:val="20"/>
          <w:szCs w:val="20"/>
          <w:lang w:val="en-GB"/>
        </w:rPr>
        <w:fldChar w:fldCharType="end"/>
      </w:r>
      <w:r>
        <w:rPr>
          <w:rFonts w:eastAsia="Calibri" w:cs="Open Sans"/>
          <w:bCs/>
          <w:iCs/>
          <w:color w:val="000000"/>
          <w:sz w:val="20"/>
          <w:szCs w:val="20"/>
          <w:lang w:val="en-GB"/>
        </w:rPr>
        <w:t>.</w:t>
      </w:r>
    </w:p>
    <w:p w14:paraId="201A9A10" w14:textId="70ABF159" w:rsidR="00EF64FC" w:rsidRDefault="00EF64FC" w:rsidP="00EF64FC">
      <w:pPr>
        <w:pStyle w:val="Caption"/>
        <w:keepNext/>
      </w:pPr>
      <w:bookmarkStart w:id="123" w:name="_Ref227059451"/>
      <w:bookmarkStart w:id="124" w:name="_Toc228701078"/>
      <w:r>
        <w:t xml:space="preserve">Table </w:t>
      </w:r>
      <w:fldSimple w:instr=" STYLEREF 1 \s ">
        <w:r w:rsidR="006C1C4E">
          <w:rPr>
            <w:noProof/>
          </w:rPr>
          <w:t>3</w:t>
        </w:r>
      </w:fldSimple>
      <w:r w:rsidR="006C1C4E">
        <w:noBreakHyphen/>
      </w:r>
      <w:fldSimple w:instr=" SEQ Table \* ARABIC \s 1 ">
        <w:r w:rsidR="006C1C4E">
          <w:rPr>
            <w:noProof/>
          </w:rPr>
          <w:t>3</w:t>
        </w:r>
      </w:fldSimple>
      <w:bookmarkEnd w:id="123"/>
      <w:r>
        <w:t xml:space="preserve"> </w:t>
      </w:r>
      <w:r w:rsidRPr="00531B87">
        <w:t>SUMMARY TABLE OF INDICATORS FOR FRAMING QUESTION 2</w:t>
      </w:r>
      <w:bookmarkEnd w:id="124"/>
    </w:p>
    <w:tbl>
      <w:tblPr>
        <w:tblStyle w:val="TableGrid4"/>
        <w:tblW w:w="9095"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992"/>
        <w:gridCol w:w="1862"/>
        <w:gridCol w:w="3402"/>
        <w:gridCol w:w="2839"/>
      </w:tblGrid>
      <w:tr w:rsidR="0006642D" w:rsidRPr="0024072A" w14:paraId="7ADE8917" w14:textId="77777777" w:rsidTr="00C446A6">
        <w:trPr>
          <w:trHeight w:val="732"/>
        </w:trPr>
        <w:tc>
          <w:tcPr>
            <w:tcW w:w="2854" w:type="dxa"/>
            <w:gridSpan w:val="2"/>
            <w:tcBorders>
              <w:top w:val="single" w:sz="12" w:space="0" w:color="4472C4"/>
              <w:left w:val="single" w:sz="12" w:space="0" w:color="4472C4"/>
              <w:right w:val="single" w:sz="12" w:space="0" w:color="4472C4"/>
            </w:tcBorders>
          </w:tcPr>
          <w:p w14:paraId="7CBE873A" w14:textId="77777777" w:rsidR="0006642D" w:rsidRPr="0024072A" w:rsidRDefault="0006642D" w:rsidP="00C446A6">
            <w:pPr>
              <w:contextualSpacing w:val="0"/>
              <w:jc w:val="center"/>
              <w:rPr>
                <w:rFonts w:ascii="Calibri" w:eastAsia="Calibri" w:hAnsi="Calibri" w:cs="Calibri"/>
                <w:b/>
                <w:sz w:val="20"/>
                <w:szCs w:val="20"/>
                <w:lang w:val="en-GB"/>
              </w:rPr>
            </w:pPr>
          </w:p>
          <w:p w14:paraId="3456AAD1" w14:textId="77777777" w:rsidR="0006642D" w:rsidRPr="0024072A" w:rsidRDefault="0006642D" w:rsidP="00C446A6">
            <w:pPr>
              <w:contextualSpacing w:val="0"/>
              <w:jc w:val="center"/>
              <w:rPr>
                <w:rFonts w:ascii="Calibri" w:eastAsia="Calibri" w:hAnsi="Calibri" w:cs="Calibri"/>
                <w:b/>
                <w:sz w:val="20"/>
                <w:szCs w:val="20"/>
                <w:lang w:val="en-GB"/>
              </w:rPr>
            </w:pPr>
            <w:r w:rsidRPr="0024072A">
              <w:rPr>
                <w:rFonts w:ascii="Calibri" w:eastAsia="Calibri" w:hAnsi="Calibri" w:cs="Calibri"/>
                <w:b/>
                <w:sz w:val="20"/>
                <w:szCs w:val="20"/>
                <w:lang w:val="en-GB"/>
              </w:rPr>
              <w:t>Framing Question 2: Is this economic growth inclusive?</w:t>
            </w:r>
          </w:p>
          <w:p w14:paraId="7BE3D962" w14:textId="77777777" w:rsidR="0006642D" w:rsidRPr="0024072A" w:rsidRDefault="0006642D" w:rsidP="00C446A6">
            <w:pPr>
              <w:contextualSpacing w:val="0"/>
              <w:jc w:val="center"/>
              <w:rPr>
                <w:rFonts w:ascii="Calibri" w:eastAsia="Calibri" w:hAnsi="Calibri" w:cs="Calibri"/>
                <w:b/>
                <w:sz w:val="20"/>
                <w:szCs w:val="20"/>
                <w:lang w:val="en-GB"/>
              </w:rPr>
            </w:pPr>
            <w:r w:rsidRPr="0024072A">
              <w:rPr>
                <w:rFonts w:ascii="Calibri" w:eastAsia="Calibri" w:hAnsi="Calibri" w:cs="Calibri"/>
                <w:i/>
                <w:sz w:val="20"/>
                <w:szCs w:val="20"/>
                <w:lang w:val="en-GB"/>
              </w:rPr>
              <w:t>(To be completed with Social Analysis results)</w:t>
            </w:r>
          </w:p>
        </w:tc>
        <w:tc>
          <w:tcPr>
            <w:tcW w:w="3402" w:type="dxa"/>
            <w:tcBorders>
              <w:top w:val="single" w:sz="12" w:space="0" w:color="4472C4"/>
              <w:left w:val="single" w:sz="12" w:space="0" w:color="4472C4"/>
              <w:right w:val="single" w:sz="12" w:space="0" w:color="4472C4"/>
            </w:tcBorders>
          </w:tcPr>
          <w:p w14:paraId="6F176D0D" w14:textId="77777777" w:rsidR="0006642D" w:rsidRPr="0024072A" w:rsidRDefault="0006642D" w:rsidP="00C446A6">
            <w:pPr>
              <w:contextualSpacing w:val="0"/>
              <w:jc w:val="center"/>
              <w:rPr>
                <w:rFonts w:ascii="Calibri" w:eastAsia="Calibri" w:hAnsi="Calibri" w:cs="Calibri"/>
                <w:b/>
                <w:sz w:val="20"/>
                <w:szCs w:val="20"/>
                <w:lang w:val="en-GB"/>
              </w:rPr>
            </w:pPr>
            <w:r w:rsidRPr="0024072A">
              <w:rPr>
                <w:rFonts w:ascii="Calibri" w:eastAsia="Calibri" w:hAnsi="Calibri" w:cs="Calibri"/>
                <w:b/>
                <w:sz w:val="20"/>
                <w:szCs w:val="20"/>
                <w:lang w:val="en-GB"/>
              </w:rPr>
              <w:t>INDICATORS</w:t>
            </w:r>
          </w:p>
        </w:tc>
        <w:tc>
          <w:tcPr>
            <w:tcW w:w="2839" w:type="dxa"/>
            <w:tcBorders>
              <w:top w:val="single" w:sz="12" w:space="0" w:color="4472C4"/>
              <w:left w:val="single" w:sz="12" w:space="0" w:color="4472C4"/>
              <w:right w:val="single" w:sz="12" w:space="0" w:color="4472C4"/>
            </w:tcBorders>
          </w:tcPr>
          <w:p w14:paraId="70BF6DA7" w14:textId="77777777" w:rsidR="0006642D" w:rsidRPr="0024072A" w:rsidRDefault="0006642D"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RESULTS</w:t>
            </w:r>
          </w:p>
        </w:tc>
      </w:tr>
      <w:tr w:rsidR="0006642D" w:rsidRPr="0024072A" w14:paraId="73ED6E77" w14:textId="77777777" w:rsidTr="00C446A6">
        <w:trPr>
          <w:trHeight w:val="164"/>
        </w:trPr>
        <w:tc>
          <w:tcPr>
            <w:tcW w:w="992" w:type="dxa"/>
            <w:vMerge w:val="restart"/>
            <w:tcBorders>
              <w:top w:val="single" w:sz="12" w:space="0" w:color="4472C4"/>
              <w:left w:val="single" w:sz="12" w:space="0" w:color="4472C4"/>
              <w:right w:val="single" w:sz="12" w:space="0" w:color="4472C4"/>
            </w:tcBorders>
            <w:shd w:val="clear" w:color="auto" w:fill="FBE4D5"/>
          </w:tcPr>
          <w:p w14:paraId="463E2713" w14:textId="77777777" w:rsidR="0006642D" w:rsidRPr="0024072A" w:rsidRDefault="0006642D"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CQ2.1</w:t>
            </w:r>
          </w:p>
        </w:tc>
        <w:tc>
          <w:tcPr>
            <w:tcW w:w="1862" w:type="dxa"/>
            <w:vMerge w:val="restart"/>
            <w:tcBorders>
              <w:top w:val="single" w:sz="12" w:space="0" w:color="4472C4"/>
              <w:left w:val="single" w:sz="12" w:space="0" w:color="4472C4"/>
              <w:right w:val="single" w:sz="12" w:space="0" w:color="4472C4"/>
            </w:tcBorders>
            <w:shd w:val="clear" w:color="auto" w:fill="FBE4D5"/>
          </w:tcPr>
          <w:p w14:paraId="596DD725" w14:textId="77777777" w:rsidR="0006642D" w:rsidRPr="0024072A" w:rsidRDefault="0006642D"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 xml:space="preserve">How is income distributed across actors of the VC? </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5E39F13" w14:textId="77777777" w:rsidR="0006642D" w:rsidRPr="0024072A" w:rsidRDefault="0006642D"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 xml:space="preserve">Disaggregated </w:t>
            </w:r>
            <w:r>
              <w:rPr>
                <w:rFonts w:ascii="Calibri" w:eastAsia="Calibri" w:hAnsi="Calibri" w:cs="Calibri"/>
                <w:b/>
                <w:sz w:val="20"/>
                <w:szCs w:val="20"/>
                <w:lang w:val="en-GB"/>
              </w:rPr>
              <w:t>Value Added</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685A86AC" w14:textId="0952C2D0" w:rsidR="0006642D" w:rsidRPr="0001321D" w:rsidRDefault="00747CEC" w:rsidP="00C446A6">
            <w:pPr>
              <w:contextualSpacing w:val="0"/>
              <w:jc w:val="left"/>
              <w:rPr>
                <w:rFonts w:ascii="Calibri" w:eastAsia="Calibri" w:hAnsi="Calibri" w:cs="Calibri"/>
                <w:bCs/>
                <w:sz w:val="20"/>
                <w:szCs w:val="20"/>
                <w:lang w:val="en-GB"/>
              </w:rPr>
            </w:pPr>
            <w:r w:rsidRPr="00C91423">
              <w:rPr>
                <w:rFonts w:ascii="Calibri" w:eastAsia="Calibri" w:hAnsi="Calibri" w:cs="Calibri"/>
                <w:bCs/>
                <w:sz w:val="20"/>
                <w:szCs w:val="20"/>
                <w:lang w:val="en-GB"/>
              </w:rPr>
              <w:t>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45%</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Larger 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23%</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Cooperative</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3%</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Agent</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6%</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Dealer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4%</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Exporter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20%</w:t>
            </w:r>
          </w:p>
        </w:tc>
      </w:tr>
      <w:tr w:rsidR="0006642D" w:rsidRPr="0024072A" w14:paraId="1424E97B" w14:textId="77777777" w:rsidTr="00C446A6">
        <w:trPr>
          <w:trHeight w:val="164"/>
        </w:trPr>
        <w:tc>
          <w:tcPr>
            <w:tcW w:w="992" w:type="dxa"/>
            <w:vMerge/>
            <w:tcBorders>
              <w:left w:val="single" w:sz="12" w:space="0" w:color="4472C4"/>
              <w:right w:val="single" w:sz="12" w:space="0" w:color="4472C4"/>
            </w:tcBorders>
            <w:shd w:val="clear" w:color="auto" w:fill="FBE4D5"/>
            <w:hideMark/>
          </w:tcPr>
          <w:p w14:paraId="6E7B07EC" w14:textId="77777777" w:rsidR="0006642D" w:rsidRPr="0024072A" w:rsidRDefault="0006642D" w:rsidP="00C446A6">
            <w:pPr>
              <w:contextualSpacing w:val="0"/>
              <w:jc w:val="left"/>
              <w:rPr>
                <w:rFonts w:ascii="Calibri" w:eastAsia="Calibri" w:hAnsi="Calibri" w:cs="Calibri"/>
                <w:sz w:val="20"/>
                <w:szCs w:val="20"/>
                <w:lang w:val="en-GB"/>
              </w:rPr>
            </w:pPr>
          </w:p>
        </w:tc>
        <w:tc>
          <w:tcPr>
            <w:tcW w:w="1862" w:type="dxa"/>
            <w:vMerge/>
            <w:tcBorders>
              <w:left w:val="single" w:sz="12" w:space="0" w:color="4472C4"/>
              <w:right w:val="single" w:sz="12" w:space="0" w:color="4472C4"/>
            </w:tcBorders>
            <w:shd w:val="clear" w:color="auto" w:fill="FBE4D5"/>
          </w:tcPr>
          <w:p w14:paraId="00EBED49" w14:textId="77777777" w:rsidR="0006642D" w:rsidRPr="0024072A" w:rsidRDefault="0006642D" w:rsidP="00C446A6">
            <w:pPr>
              <w:contextualSpacing w:val="0"/>
              <w:jc w:val="left"/>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75FAC96E" w14:textId="7A249DB8" w:rsidR="0006642D" w:rsidRPr="0024072A" w:rsidRDefault="0006642D"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lang w:val="en-GB"/>
              </w:rPr>
              <w:t>Total farm income</w:t>
            </w:r>
            <w:r w:rsidR="00747CEC">
              <w:rPr>
                <w:rFonts w:ascii="Calibri" w:eastAsia="Calibri" w:hAnsi="Calibri" w:cs="Calibri"/>
                <w:b/>
                <w:sz w:val="20"/>
                <w:szCs w:val="20"/>
                <w:lang w:val="en-GB"/>
              </w:rPr>
              <w:t xml:space="preserve"> (MSLE)</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310E7ED8" w14:textId="7935B608" w:rsidR="0006642D" w:rsidRPr="0001321D" w:rsidRDefault="00747CEC" w:rsidP="00C446A6">
            <w:pPr>
              <w:contextualSpacing w:val="0"/>
              <w:jc w:val="left"/>
              <w:rPr>
                <w:rFonts w:ascii="Calibri" w:eastAsia="Calibri" w:hAnsi="Calibri" w:cs="Calibri"/>
                <w:bCs/>
                <w:sz w:val="20"/>
                <w:szCs w:val="20"/>
                <w:lang w:val="en-GB"/>
              </w:rPr>
            </w:pPr>
            <w:r w:rsidRPr="00C91423">
              <w:rPr>
                <w:rFonts w:ascii="Calibri" w:eastAsia="Calibri" w:hAnsi="Calibri" w:cs="Calibri"/>
                <w:bCs/>
                <w:sz w:val="20"/>
                <w:szCs w:val="20"/>
                <w:lang w:val="en-GB"/>
              </w:rPr>
              <w:t>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1,043</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Larger Smallholder Prod</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595</w:t>
            </w:r>
            <w:r w:rsidRPr="003D489C">
              <w:rPr>
                <w:rFonts w:ascii="Calibri" w:eastAsia="Calibri" w:hAnsi="Calibri" w:cs="Calibri"/>
                <w:bCs/>
                <w:sz w:val="20"/>
                <w:szCs w:val="20"/>
                <w:lang w:val="en-GB"/>
              </w:rPr>
              <w:t xml:space="preserve">; </w:t>
            </w:r>
            <w:r w:rsidRPr="00D3590C">
              <w:rPr>
                <w:rFonts w:ascii="Calibri" w:eastAsia="Calibri" w:hAnsi="Calibri" w:cs="Calibri"/>
                <w:bCs/>
                <w:sz w:val="20"/>
                <w:szCs w:val="20"/>
                <w:lang w:val="en-GB"/>
              </w:rPr>
              <w:t>Cooperative</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78</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Agent</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151</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Individual Dealer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99</w:t>
            </w:r>
            <w:r w:rsidRPr="003D489C">
              <w:rPr>
                <w:rFonts w:ascii="Calibri" w:eastAsia="Calibri" w:hAnsi="Calibri" w:cs="Calibri"/>
                <w:bCs/>
                <w:sz w:val="20"/>
                <w:szCs w:val="20"/>
                <w:lang w:val="en-GB"/>
              </w:rPr>
              <w:t xml:space="preserve">; </w:t>
            </w:r>
            <w:r w:rsidRPr="004A53DA">
              <w:rPr>
                <w:rFonts w:ascii="Calibri" w:eastAsia="Calibri" w:hAnsi="Calibri" w:cs="Calibri"/>
                <w:bCs/>
                <w:sz w:val="20"/>
                <w:szCs w:val="20"/>
                <w:lang w:val="en-GB"/>
              </w:rPr>
              <w:t>Exporter</w:t>
            </w:r>
            <w:r w:rsidRPr="003D489C">
              <w:rPr>
                <w:rFonts w:ascii="Calibri" w:eastAsia="Calibri" w:hAnsi="Calibri" w:cs="Calibri"/>
                <w:bCs/>
                <w:sz w:val="20"/>
                <w:szCs w:val="20"/>
                <w:lang w:val="en-GB"/>
              </w:rPr>
              <w:t xml:space="preserve">: </w:t>
            </w:r>
            <w:r>
              <w:rPr>
                <w:rFonts w:ascii="Calibri" w:eastAsia="Calibri" w:hAnsi="Calibri" w:cs="Calibri"/>
                <w:bCs/>
                <w:sz w:val="20"/>
                <w:szCs w:val="20"/>
                <w:lang w:val="en-GB"/>
              </w:rPr>
              <w:t>488</w:t>
            </w:r>
          </w:p>
        </w:tc>
      </w:tr>
      <w:tr w:rsidR="0006642D" w:rsidRPr="0024072A" w14:paraId="0B1628F0" w14:textId="77777777" w:rsidTr="00C446A6">
        <w:trPr>
          <w:trHeight w:val="163"/>
        </w:trPr>
        <w:tc>
          <w:tcPr>
            <w:tcW w:w="992" w:type="dxa"/>
            <w:vMerge/>
            <w:tcBorders>
              <w:left w:val="single" w:sz="12" w:space="0" w:color="4472C4"/>
              <w:right w:val="single" w:sz="12" w:space="0" w:color="4472C4"/>
            </w:tcBorders>
            <w:shd w:val="clear" w:color="auto" w:fill="FBE4D5"/>
          </w:tcPr>
          <w:p w14:paraId="791F36CD" w14:textId="77777777" w:rsidR="0006642D" w:rsidRPr="0024072A" w:rsidRDefault="0006642D" w:rsidP="00C446A6">
            <w:pPr>
              <w:contextualSpacing w:val="0"/>
              <w:jc w:val="left"/>
              <w:rPr>
                <w:rFonts w:ascii="Calibri" w:eastAsia="Calibri" w:hAnsi="Calibri" w:cs="Calibri"/>
                <w:sz w:val="20"/>
                <w:szCs w:val="20"/>
                <w:lang w:val="en-GB"/>
              </w:rPr>
            </w:pPr>
          </w:p>
        </w:tc>
        <w:tc>
          <w:tcPr>
            <w:tcW w:w="1862" w:type="dxa"/>
            <w:vMerge/>
            <w:tcBorders>
              <w:left w:val="single" w:sz="12" w:space="0" w:color="4472C4"/>
              <w:right w:val="single" w:sz="12" w:space="0" w:color="4472C4"/>
            </w:tcBorders>
            <w:shd w:val="clear" w:color="auto" w:fill="FBE4D5"/>
          </w:tcPr>
          <w:p w14:paraId="3D8642BF" w14:textId="77777777" w:rsidR="0006642D" w:rsidRPr="0024072A" w:rsidRDefault="0006642D" w:rsidP="00C446A6">
            <w:pPr>
              <w:contextualSpacing w:val="0"/>
              <w:jc w:val="left"/>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2BB5EFE" w14:textId="2286E9B9" w:rsidR="0006642D" w:rsidRPr="0024072A" w:rsidRDefault="0006642D" w:rsidP="00C446A6">
            <w:pPr>
              <w:contextualSpacing w:val="0"/>
              <w:jc w:val="left"/>
              <w:rPr>
                <w:rFonts w:ascii="Calibri" w:eastAsia="Calibri" w:hAnsi="Calibri" w:cs="Calibri"/>
                <w:b/>
                <w:sz w:val="20"/>
                <w:szCs w:val="20"/>
                <w:lang w:val="en-GB"/>
              </w:rPr>
            </w:pPr>
            <w:r>
              <w:rPr>
                <w:rFonts w:ascii="Calibri" w:eastAsia="Calibri" w:hAnsi="Calibri" w:cs="Calibri"/>
                <w:b/>
                <w:sz w:val="20"/>
                <w:szCs w:val="20"/>
                <w:lang w:val="en-GB"/>
              </w:rPr>
              <w:t>W</w:t>
            </w:r>
            <w:r w:rsidRPr="0024072A">
              <w:rPr>
                <w:rFonts w:ascii="Calibri" w:eastAsia="Calibri" w:hAnsi="Calibri" w:cs="Calibri"/>
                <w:b/>
                <w:sz w:val="20"/>
                <w:szCs w:val="20"/>
                <w:lang w:val="en-GB"/>
              </w:rPr>
              <w:t>ages and salaries</w:t>
            </w:r>
            <w:r>
              <w:rPr>
                <w:rFonts w:ascii="Calibri" w:eastAsia="Calibri" w:hAnsi="Calibri" w:cs="Calibri"/>
                <w:b/>
                <w:sz w:val="20"/>
                <w:szCs w:val="20"/>
                <w:lang w:val="en-GB"/>
              </w:rPr>
              <w:t xml:space="preserve"> (at every stage, all activities)</w:t>
            </w:r>
            <w:r w:rsidR="00747CEC">
              <w:rPr>
                <w:rFonts w:ascii="Calibri" w:eastAsia="Calibri" w:hAnsi="Calibri" w:cs="Calibri"/>
                <w:b/>
                <w:sz w:val="20"/>
                <w:szCs w:val="20"/>
                <w:lang w:val="en-GB"/>
              </w:rPr>
              <w:t xml:space="preserve"> (MSLE)</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49382CA9" w14:textId="30EC24B3" w:rsidR="0006642D" w:rsidRPr="0001321D" w:rsidRDefault="0006642D" w:rsidP="00C446A6">
            <w:pPr>
              <w:contextualSpacing w:val="0"/>
              <w:jc w:val="left"/>
              <w:rPr>
                <w:rFonts w:ascii="Calibri" w:eastAsia="Calibri" w:hAnsi="Calibri" w:cs="Calibri"/>
                <w:bCs/>
                <w:sz w:val="20"/>
                <w:szCs w:val="20"/>
                <w:lang w:val="en-GB"/>
              </w:rPr>
            </w:pPr>
            <w:r w:rsidRPr="0001321D">
              <w:rPr>
                <w:rFonts w:ascii="Calibri" w:eastAsia="Calibri" w:hAnsi="Calibri" w:cs="Calibri"/>
                <w:bCs/>
                <w:sz w:val="20"/>
                <w:szCs w:val="20"/>
                <w:lang w:val="en-GB"/>
              </w:rPr>
              <w:t xml:space="preserve">Total wages paid: </w:t>
            </w:r>
            <w:r w:rsidR="00747CEC">
              <w:rPr>
                <w:rFonts w:ascii="Calibri" w:eastAsia="Calibri" w:hAnsi="Calibri" w:cs="Calibri"/>
                <w:bCs/>
                <w:sz w:val="20"/>
                <w:szCs w:val="20"/>
                <w:lang w:val="en-GB"/>
              </w:rPr>
              <w:t>268</w:t>
            </w:r>
          </w:p>
        </w:tc>
      </w:tr>
      <w:tr w:rsidR="0006642D" w:rsidRPr="0024072A" w14:paraId="769D8FD0" w14:textId="77777777" w:rsidTr="00C446A6">
        <w:trPr>
          <w:trHeight w:val="163"/>
        </w:trPr>
        <w:tc>
          <w:tcPr>
            <w:tcW w:w="992" w:type="dxa"/>
            <w:vMerge/>
            <w:tcBorders>
              <w:left w:val="single" w:sz="12" w:space="0" w:color="4472C4"/>
              <w:bottom w:val="single" w:sz="12" w:space="0" w:color="4472C4"/>
              <w:right w:val="single" w:sz="12" w:space="0" w:color="4472C4"/>
            </w:tcBorders>
            <w:shd w:val="clear" w:color="auto" w:fill="FBE4D5"/>
          </w:tcPr>
          <w:p w14:paraId="6C2D34FC" w14:textId="77777777" w:rsidR="0006642D" w:rsidRPr="0024072A" w:rsidRDefault="0006642D" w:rsidP="00C446A6">
            <w:pPr>
              <w:contextualSpacing w:val="0"/>
              <w:jc w:val="left"/>
              <w:rPr>
                <w:rFonts w:ascii="Calibri" w:eastAsia="Calibri" w:hAnsi="Calibri" w:cs="Calibri"/>
                <w:sz w:val="20"/>
                <w:szCs w:val="20"/>
                <w:lang w:val="en-GB"/>
              </w:rPr>
            </w:pPr>
          </w:p>
        </w:tc>
        <w:tc>
          <w:tcPr>
            <w:tcW w:w="1862" w:type="dxa"/>
            <w:vMerge/>
            <w:tcBorders>
              <w:left w:val="single" w:sz="12" w:space="0" w:color="4472C4"/>
              <w:bottom w:val="single" w:sz="12" w:space="0" w:color="4472C4"/>
              <w:right w:val="single" w:sz="12" w:space="0" w:color="4472C4"/>
            </w:tcBorders>
            <w:shd w:val="clear" w:color="auto" w:fill="FBE4D5"/>
          </w:tcPr>
          <w:p w14:paraId="1D56916C" w14:textId="77777777" w:rsidR="0006642D" w:rsidRPr="0024072A" w:rsidRDefault="0006642D" w:rsidP="00C446A6">
            <w:pPr>
              <w:contextualSpacing w:val="0"/>
              <w:jc w:val="left"/>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1D15A90A" w14:textId="77777777" w:rsidR="0006642D" w:rsidRPr="0024072A" w:rsidRDefault="0006642D" w:rsidP="00C446A6">
            <w:pPr>
              <w:contextualSpacing w:val="0"/>
              <w:jc w:val="left"/>
              <w:rPr>
                <w:rFonts w:ascii="Calibri" w:eastAsia="Calibri" w:hAnsi="Calibri" w:cs="Calibri"/>
                <w:b/>
                <w:sz w:val="20"/>
                <w:szCs w:val="20"/>
                <w:lang w:val="en-GB"/>
              </w:rPr>
            </w:pPr>
            <w:r w:rsidRPr="0024072A">
              <w:rPr>
                <w:rFonts w:ascii="Calibri" w:eastAsia="Calibri" w:hAnsi="Calibri" w:cs="Calibri"/>
                <w:b/>
                <w:sz w:val="20"/>
                <w:szCs w:val="20"/>
              </w:rPr>
              <w:t>Total income accruing to marginalized and vulnerable groups</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63029F13" w14:textId="0EE114FA" w:rsidR="0006642D" w:rsidRPr="0001321D" w:rsidRDefault="0006642D" w:rsidP="00C446A6">
            <w:pPr>
              <w:contextualSpacing w:val="0"/>
              <w:jc w:val="left"/>
              <w:rPr>
                <w:rFonts w:ascii="Calibri" w:eastAsia="Calibri" w:hAnsi="Calibri" w:cs="Calibri"/>
                <w:bCs/>
                <w:sz w:val="20"/>
                <w:szCs w:val="20"/>
                <w:lang w:val="en-GB"/>
              </w:rPr>
            </w:pPr>
            <w:r w:rsidRPr="0001321D">
              <w:rPr>
                <w:rFonts w:ascii="Calibri" w:eastAsia="Calibri" w:hAnsi="Calibri" w:cs="Calibri"/>
                <w:bCs/>
                <w:sz w:val="20"/>
                <w:szCs w:val="20"/>
                <w:lang w:val="en-GB"/>
              </w:rPr>
              <w:t xml:space="preserve">Smallholders </w:t>
            </w:r>
            <w:r w:rsidR="00E541E1">
              <w:rPr>
                <w:rFonts w:ascii="Calibri" w:eastAsia="Calibri" w:hAnsi="Calibri" w:cs="Calibri"/>
                <w:bCs/>
                <w:sz w:val="20"/>
                <w:szCs w:val="20"/>
                <w:lang w:val="en-GB"/>
              </w:rPr>
              <w:t xml:space="preserve">receive modest </w:t>
            </w:r>
            <w:r w:rsidRPr="0001321D">
              <w:rPr>
                <w:rFonts w:ascii="Calibri" w:eastAsia="Calibri" w:hAnsi="Calibri" w:cs="Calibri"/>
                <w:bCs/>
                <w:sz w:val="20"/>
                <w:szCs w:val="20"/>
                <w:lang w:val="en-GB"/>
              </w:rPr>
              <w:t>returns to family labour (</w:t>
            </w:r>
            <w:r w:rsidR="00E541E1">
              <w:rPr>
                <w:rFonts w:ascii="Calibri" w:eastAsia="Calibri" w:hAnsi="Calibri" w:cs="Calibri"/>
                <w:bCs/>
                <w:sz w:val="20"/>
                <w:szCs w:val="20"/>
                <w:lang w:val="en-GB"/>
              </w:rPr>
              <w:t>111 SLE</w:t>
            </w:r>
            <w:r w:rsidRPr="0001321D">
              <w:rPr>
                <w:rFonts w:ascii="Calibri" w:eastAsia="Calibri" w:hAnsi="Calibri" w:cs="Calibri"/>
                <w:bCs/>
                <w:sz w:val="20"/>
                <w:szCs w:val="20"/>
                <w:lang w:val="en-GB"/>
              </w:rPr>
              <w:t xml:space="preserve">/day). This </w:t>
            </w:r>
            <w:r w:rsidR="00E541E1">
              <w:rPr>
                <w:rFonts w:ascii="Calibri" w:eastAsia="Calibri" w:hAnsi="Calibri" w:cs="Calibri"/>
                <w:bCs/>
                <w:sz w:val="20"/>
                <w:szCs w:val="20"/>
                <w:lang w:val="en-GB"/>
              </w:rPr>
              <w:t>attracts</w:t>
            </w:r>
            <w:r w:rsidRPr="0001321D">
              <w:rPr>
                <w:rFonts w:ascii="Calibri" w:eastAsia="Calibri" w:hAnsi="Calibri" w:cs="Calibri"/>
                <w:bCs/>
                <w:sz w:val="20"/>
                <w:szCs w:val="20"/>
                <w:lang w:val="en-GB"/>
              </w:rPr>
              <w:t xml:space="preserve"> their long-term engagement and livelihood sustainability.</w:t>
            </w:r>
          </w:p>
        </w:tc>
      </w:tr>
      <w:tr w:rsidR="0006642D" w:rsidRPr="0024072A" w14:paraId="065911C1" w14:textId="77777777" w:rsidTr="00C446A6">
        <w:tc>
          <w:tcPr>
            <w:tcW w:w="992" w:type="dxa"/>
            <w:vMerge w:val="restart"/>
            <w:tcBorders>
              <w:top w:val="single" w:sz="12" w:space="0" w:color="4472C4"/>
              <w:left w:val="single" w:sz="12" w:space="0" w:color="4472C4"/>
              <w:right w:val="single" w:sz="12" w:space="0" w:color="4472C4"/>
            </w:tcBorders>
            <w:shd w:val="clear" w:color="auto" w:fill="FBE4D5"/>
            <w:hideMark/>
          </w:tcPr>
          <w:p w14:paraId="15A31EB1" w14:textId="77777777" w:rsidR="0006642D" w:rsidRPr="0024072A" w:rsidRDefault="0006642D"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CQ2.2</w:t>
            </w:r>
          </w:p>
        </w:tc>
        <w:tc>
          <w:tcPr>
            <w:tcW w:w="1862" w:type="dxa"/>
            <w:vMerge w:val="restart"/>
            <w:tcBorders>
              <w:top w:val="single" w:sz="12" w:space="0" w:color="4472C4"/>
              <w:left w:val="single" w:sz="12" w:space="0" w:color="4472C4"/>
              <w:right w:val="single" w:sz="12" w:space="0" w:color="4472C4"/>
            </w:tcBorders>
            <w:shd w:val="clear" w:color="auto" w:fill="FBE4D5"/>
          </w:tcPr>
          <w:p w14:paraId="2DDD3728" w14:textId="77777777" w:rsidR="0006642D" w:rsidRPr="0024072A" w:rsidRDefault="0006642D" w:rsidP="00C446A6">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 xml:space="preserve">What is the impact of the governance systems on income distribution? </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1A99BE9E" w14:textId="77777777" w:rsidR="0006642D" w:rsidRPr="0024072A" w:rsidRDefault="0006642D"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 xml:space="preserve">Income distribution among actors </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17327902" w14:textId="6E5E604F" w:rsidR="0006642D" w:rsidRPr="0001321D" w:rsidRDefault="0006642D" w:rsidP="00C446A6">
            <w:pPr>
              <w:contextualSpacing w:val="0"/>
              <w:jc w:val="left"/>
              <w:rPr>
                <w:rFonts w:ascii="Calibri" w:eastAsia="Calibri" w:hAnsi="Calibri" w:cs="Calibri"/>
                <w:bCs/>
                <w:sz w:val="20"/>
                <w:szCs w:val="20"/>
                <w:lang w:val="en-GB"/>
              </w:rPr>
            </w:pPr>
            <w:r w:rsidRPr="0001321D">
              <w:rPr>
                <w:rFonts w:ascii="Calibri" w:eastAsia="Calibri" w:hAnsi="Calibri" w:cs="Calibri"/>
                <w:bCs/>
                <w:sz w:val="20"/>
                <w:szCs w:val="20"/>
                <w:lang w:val="en-GB"/>
              </w:rPr>
              <w:t>Gini coefficient of 0.</w:t>
            </w:r>
            <w:r w:rsidR="00322C43">
              <w:rPr>
                <w:rFonts w:ascii="Calibri" w:eastAsia="Calibri" w:hAnsi="Calibri" w:cs="Calibri"/>
                <w:bCs/>
                <w:sz w:val="20"/>
                <w:szCs w:val="20"/>
                <w:lang w:val="en-GB"/>
              </w:rPr>
              <w:t>62</w:t>
            </w:r>
            <w:r w:rsidRPr="0001321D">
              <w:rPr>
                <w:rFonts w:ascii="Calibri" w:eastAsia="Calibri" w:hAnsi="Calibri" w:cs="Calibri"/>
                <w:bCs/>
                <w:sz w:val="20"/>
                <w:szCs w:val="20"/>
                <w:lang w:val="en-GB"/>
              </w:rPr>
              <w:t xml:space="preserve"> (</w:t>
            </w:r>
            <w:r w:rsidR="00322C43">
              <w:rPr>
                <w:rFonts w:ascii="Calibri" w:eastAsia="Calibri" w:hAnsi="Calibri" w:cs="Calibri"/>
                <w:bCs/>
                <w:sz w:val="20"/>
                <w:szCs w:val="20"/>
                <w:lang w:val="en-GB"/>
              </w:rPr>
              <w:t>Highly</w:t>
            </w:r>
            <w:r w:rsidRPr="0001321D">
              <w:rPr>
                <w:rFonts w:ascii="Calibri" w:eastAsia="Calibri" w:hAnsi="Calibri" w:cs="Calibri"/>
                <w:bCs/>
                <w:sz w:val="20"/>
                <w:szCs w:val="20"/>
                <w:lang w:val="en-GB"/>
              </w:rPr>
              <w:t xml:space="preserve"> skewed</w:t>
            </w:r>
            <w:r w:rsidR="00322C43">
              <w:rPr>
                <w:rFonts w:ascii="Calibri" w:eastAsia="Calibri" w:hAnsi="Calibri" w:cs="Calibri"/>
                <w:bCs/>
                <w:sz w:val="20"/>
                <w:szCs w:val="20"/>
                <w:lang w:val="en-GB"/>
              </w:rPr>
              <w:t xml:space="preserve"> and </w:t>
            </w:r>
            <w:r w:rsidRPr="0001321D">
              <w:rPr>
                <w:rFonts w:ascii="Calibri" w:eastAsia="Calibri" w:hAnsi="Calibri" w:cs="Calibri"/>
                <w:bCs/>
                <w:sz w:val="20"/>
                <w:szCs w:val="20"/>
                <w:lang w:val="en-GB"/>
              </w:rPr>
              <w:t>unequitable).</w:t>
            </w:r>
            <w:r w:rsidR="00322C43">
              <w:rPr>
                <w:rFonts w:ascii="Calibri" w:eastAsia="Calibri" w:hAnsi="Calibri" w:cs="Calibri"/>
                <w:bCs/>
                <w:sz w:val="20"/>
                <w:szCs w:val="20"/>
                <w:lang w:val="en-GB"/>
              </w:rPr>
              <w:t xml:space="preserve"> </w:t>
            </w:r>
            <w:r w:rsidR="00322C43" w:rsidRPr="00322C43">
              <w:rPr>
                <w:rFonts w:ascii="Calibri" w:eastAsia="Calibri" w:hAnsi="Calibri" w:cs="Calibri"/>
                <w:bCs/>
                <w:sz w:val="20"/>
                <w:szCs w:val="20"/>
                <w:lang w:val="en-GB"/>
              </w:rPr>
              <w:t>Smallholder producers constitute approximately 82.75% of all actors yet capture only 42.52% of total NOP</w:t>
            </w:r>
            <w:r w:rsidRPr="0001321D">
              <w:rPr>
                <w:rFonts w:ascii="Calibri" w:eastAsia="Calibri" w:hAnsi="Calibri" w:cs="Calibri"/>
                <w:bCs/>
                <w:sz w:val="20"/>
                <w:szCs w:val="20"/>
                <w:lang w:val="en-GB"/>
              </w:rPr>
              <w:t>.</w:t>
            </w:r>
          </w:p>
        </w:tc>
      </w:tr>
      <w:tr w:rsidR="0006642D" w:rsidRPr="0024072A" w14:paraId="022BB082" w14:textId="77777777" w:rsidTr="00C446A6">
        <w:tc>
          <w:tcPr>
            <w:tcW w:w="992" w:type="dxa"/>
            <w:vMerge/>
            <w:tcBorders>
              <w:left w:val="single" w:sz="12" w:space="0" w:color="4472C4"/>
              <w:bottom w:val="single" w:sz="12" w:space="0" w:color="4472C4"/>
              <w:right w:val="single" w:sz="12" w:space="0" w:color="4472C4"/>
            </w:tcBorders>
            <w:shd w:val="clear" w:color="auto" w:fill="FBE4D5"/>
          </w:tcPr>
          <w:p w14:paraId="13A3352D" w14:textId="77777777" w:rsidR="0006642D" w:rsidRPr="0024072A" w:rsidRDefault="0006642D" w:rsidP="00C446A6">
            <w:pPr>
              <w:contextualSpacing w:val="0"/>
              <w:jc w:val="left"/>
              <w:rPr>
                <w:rFonts w:ascii="Calibri" w:eastAsia="Calibri" w:hAnsi="Calibri" w:cs="Calibri"/>
                <w:sz w:val="20"/>
                <w:szCs w:val="20"/>
                <w:lang w:val="en-GB"/>
              </w:rPr>
            </w:pPr>
          </w:p>
        </w:tc>
        <w:tc>
          <w:tcPr>
            <w:tcW w:w="1862" w:type="dxa"/>
            <w:vMerge/>
            <w:tcBorders>
              <w:left w:val="single" w:sz="12" w:space="0" w:color="4472C4"/>
              <w:bottom w:val="single" w:sz="12" w:space="0" w:color="4472C4"/>
              <w:right w:val="single" w:sz="12" w:space="0" w:color="4472C4"/>
            </w:tcBorders>
            <w:shd w:val="clear" w:color="auto" w:fill="FBE4D5"/>
          </w:tcPr>
          <w:p w14:paraId="773BB25F" w14:textId="77777777" w:rsidR="0006642D" w:rsidRPr="0024072A" w:rsidRDefault="0006642D" w:rsidP="00C446A6">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4836DB1A" w14:textId="77777777" w:rsidR="0006642D" w:rsidRPr="0024072A" w:rsidRDefault="0006642D"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rPr>
              <w:t>Share of farm gate price in the final price (%)</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7B804032" w14:textId="0FD4B5C5" w:rsidR="0006642D" w:rsidRPr="0001321D" w:rsidRDefault="00EE3EF4" w:rsidP="00C446A6">
            <w:pPr>
              <w:contextualSpacing w:val="0"/>
              <w:jc w:val="left"/>
              <w:rPr>
                <w:rFonts w:ascii="Calibri" w:eastAsia="Calibri" w:hAnsi="Calibri" w:cs="Calibri"/>
                <w:bCs/>
                <w:sz w:val="20"/>
                <w:szCs w:val="20"/>
                <w:lang w:val="en-GB"/>
              </w:rPr>
            </w:pPr>
            <w:r>
              <w:rPr>
                <w:rFonts w:ascii="Calibri" w:eastAsia="Calibri" w:hAnsi="Calibri" w:cs="Calibri"/>
                <w:bCs/>
                <w:sz w:val="20"/>
                <w:szCs w:val="20"/>
                <w:lang w:val="en-GB"/>
              </w:rPr>
              <w:t>72.5</w:t>
            </w:r>
            <w:r w:rsidR="0006642D" w:rsidRPr="0001321D">
              <w:rPr>
                <w:rFonts w:ascii="Calibri" w:eastAsia="Calibri" w:hAnsi="Calibri" w:cs="Calibri"/>
                <w:bCs/>
                <w:sz w:val="20"/>
                <w:szCs w:val="20"/>
                <w:lang w:val="en-GB"/>
              </w:rPr>
              <w:t>%</w:t>
            </w:r>
          </w:p>
        </w:tc>
      </w:tr>
      <w:tr w:rsidR="0006642D" w:rsidRPr="0024072A" w14:paraId="525F4F36" w14:textId="77777777" w:rsidTr="00C446A6">
        <w:tc>
          <w:tcPr>
            <w:tcW w:w="992" w:type="dxa"/>
            <w:vMerge w:val="restart"/>
            <w:tcBorders>
              <w:top w:val="single" w:sz="12" w:space="0" w:color="4472C4"/>
              <w:left w:val="single" w:sz="12" w:space="0" w:color="4472C4"/>
              <w:right w:val="single" w:sz="12" w:space="0" w:color="4472C4"/>
            </w:tcBorders>
            <w:shd w:val="clear" w:color="auto" w:fill="FBE4D5"/>
            <w:hideMark/>
          </w:tcPr>
          <w:p w14:paraId="611F25E5" w14:textId="77777777" w:rsidR="0006642D" w:rsidRPr="0024072A" w:rsidRDefault="0006642D" w:rsidP="00C446A6">
            <w:pPr>
              <w:contextualSpacing w:val="0"/>
              <w:jc w:val="left"/>
              <w:rPr>
                <w:rFonts w:ascii="Calibri" w:eastAsia="Calibri" w:hAnsi="Calibri" w:cs="Calibri"/>
                <w:sz w:val="20"/>
                <w:szCs w:val="20"/>
                <w:lang w:val="en-GB"/>
              </w:rPr>
            </w:pPr>
            <w:r w:rsidRPr="0024072A">
              <w:rPr>
                <w:rFonts w:ascii="Calibri" w:eastAsia="Calibri" w:hAnsi="Calibri" w:cs="Calibri"/>
                <w:sz w:val="20"/>
                <w:szCs w:val="20"/>
                <w:lang w:val="en-GB"/>
              </w:rPr>
              <w:t>CQ2.3</w:t>
            </w:r>
          </w:p>
        </w:tc>
        <w:tc>
          <w:tcPr>
            <w:tcW w:w="1862" w:type="dxa"/>
            <w:vMerge w:val="restart"/>
            <w:tcBorders>
              <w:top w:val="single" w:sz="12" w:space="0" w:color="4472C4"/>
              <w:left w:val="single" w:sz="12" w:space="0" w:color="4472C4"/>
              <w:right w:val="single" w:sz="12" w:space="0" w:color="4472C4"/>
            </w:tcBorders>
            <w:shd w:val="clear" w:color="auto" w:fill="FBE4D5"/>
          </w:tcPr>
          <w:p w14:paraId="02FDA4A7" w14:textId="77777777" w:rsidR="0006642D" w:rsidRPr="0024072A" w:rsidRDefault="0006642D" w:rsidP="00C446A6">
            <w:pPr>
              <w:contextualSpacing w:val="0"/>
              <w:rPr>
                <w:rFonts w:ascii="Calibri" w:eastAsia="Calibri" w:hAnsi="Calibri" w:cs="Calibri"/>
                <w:sz w:val="20"/>
                <w:szCs w:val="20"/>
                <w:lang w:val="en-GB"/>
              </w:rPr>
            </w:pPr>
            <w:r w:rsidRPr="0024072A">
              <w:rPr>
                <w:rFonts w:ascii="Calibri" w:eastAsia="Calibri" w:hAnsi="Calibri" w:cs="Calibri"/>
                <w:sz w:val="20"/>
                <w:szCs w:val="20"/>
                <w:lang w:val="en-GB"/>
              </w:rPr>
              <w:t xml:space="preserve">How is employment distributed across the VC? </w:t>
            </w: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57A258B5" w14:textId="77777777" w:rsidR="0006642D" w:rsidRPr="0024072A" w:rsidRDefault="0006642D"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 xml:space="preserve">Number of jobs </w:t>
            </w:r>
            <w:r w:rsidRPr="0024072A">
              <w:rPr>
                <w:rFonts w:ascii="Calibri" w:eastAsia="Calibri" w:hAnsi="Calibri" w:cs="Calibri"/>
                <w:b/>
                <w:sz w:val="20"/>
                <w:szCs w:val="20"/>
              </w:rPr>
              <w:t>(family, self- and formal employment) at different VC stages (permanent/ temporary, skilled/unskilled…)</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3B58A283" w14:textId="1923FD20" w:rsidR="0006642D" w:rsidRPr="0001321D" w:rsidRDefault="0006642D" w:rsidP="00C446A6">
            <w:pPr>
              <w:contextualSpacing w:val="0"/>
              <w:jc w:val="left"/>
              <w:rPr>
                <w:rFonts w:ascii="Calibri" w:eastAsia="Calibri" w:hAnsi="Calibri" w:cs="Calibri"/>
                <w:bCs/>
                <w:sz w:val="20"/>
                <w:szCs w:val="20"/>
                <w:lang w:val="en-GB"/>
              </w:rPr>
            </w:pPr>
            <w:r w:rsidRPr="0001321D">
              <w:rPr>
                <w:rFonts w:ascii="Calibri" w:eastAsia="Calibri" w:hAnsi="Calibri" w:cs="Calibri"/>
                <w:bCs/>
                <w:sz w:val="20"/>
                <w:szCs w:val="20"/>
                <w:lang w:val="en-GB"/>
              </w:rPr>
              <w:t>Full-time equivalent (FTE)</w:t>
            </w:r>
            <w:r>
              <w:rPr>
                <w:rFonts w:ascii="Calibri" w:eastAsia="Calibri" w:hAnsi="Calibri" w:cs="Calibri"/>
                <w:bCs/>
                <w:sz w:val="20"/>
                <w:szCs w:val="20"/>
                <w:lang w:val="en-GB"/>
              </w:rPr>
              <w:t xml:space="preserve"> for Temporary = </w:t>
            </w:r>
            <w:r w:rsidR="00C549C0">
              <w:rPr>
                <w:rFonts w:ascii="Calibri" w:eastAsia="Calibri" w:hAnsi="Calibri" w:cs="Calibri"/>
                <w:bCs/>
                <w:sz w:val="20"/>
                <w:szCs w:val="20"/>
                <w:lang w:val="en-GB"/>
              </w:rPr>
              <w:t>25,868</w:t>
            </w:r>
            <w:r>
              <w:rPr>
                <w:rFonts w:ascii="Calibri" w:eastAsia="Calibri" w:hAnsi="Calibri" w:cs="Calibri"/>
                <w:bCs/>
                <w:sz w:val="20"/>
                <w:szCs w:val="20"/>
                <w:lang w:val="en-GB"/>
              </w:rPr>
              <w:t xml:space="preserve">; Permanent skilled = </w:t>
            </w:r>
            <w:r w:rsidR="00C549C0">
              <w:rPr>
                <w:rFonts w:ascii="Calibri" w:eastAsia="Calibri" w:hAnsi="Calibri" w:cs="Calibri"/>
                <w:bCs/>
                <w:sz w:val="20"/>
                <w:szCs w:val="20"/>
                <w:lang w:val="en-GB"/>
              </w:rPr>
              <w:t>103</w:t>
            </w:r>
            <w:r>
              <w:rPr>
                <w:rFonts w:ascii="Calibri" w:eastAsia="Calibri" w:hAnsi="Calibri" w:cs="Calibri"/>
                <w:bCs/>
                <w:sz w:val="20"/>
                <w:szCs w:val="20"/>
                <w:lang w:val="en-GB"/>
              </w:rPr>
              <w:t xml:space="preserve">; Permanent unskilled = </w:t>
            </w:r>
            <w:r w:rsidR="00C549C0">
              <w:rPr>
                <w:rFonts w:ascii="Calibri" w:eastAsia="Calibri" w:hAnsi="Calibri" w:cs="Calibri"/>
                <w:bCs/>
                <w:sz w:val="20"/>
                <w:szCs w:val="20"/>
                <w:lang w:val="en-GB"/>
              </w:rPr>
              <w:t>495</w:t>
            </w:r>
            <w:r>
              <w:rPr>
                <w:rFonts w:ascii="Calibri" w:eastAsia="Calibri" w:hAnsi="Calibri" w:cs="Calibri"/>
                <w:bCs/>
                <w:sz w:val="20"/>
                <w:szCs w:val="20"/>
                <w:lang w:val="en-GB"/>
              </w:rPr>
              <w:t xml:space="preserve">. </w:t>
            </w:r>
            <w:r w:rsidR="00C549C0">
              <w:rPr>
                <w:rFonts w:ascii="Calibri" w:eastAsia="Calibri" w:hAnsi="Calibri" w:cs="Calibri"/>
                <w:bCs/>
                <w:sz w:val="20"/>
                <w:szCs w:val="20"/>
                <w:lang w:val="en-GB"/>
              </w:rPr>
              <w:t>(see details, including breakdown by VC stages in Section 3.1.3)</w:t>
            </w:r>
          </w:p>
        </w:tc>
      </w:tr>
      <w:tr w:rsidR="0006642D" w:rsidRPr="00C549C0" w14:paraId="27F7229C" w14:textId="77777777" w:rsidTr="00C446A6">
        <w:tc>
          <w:tcPr>
            <w:tcW w:w="992" w:type="dxa"/>
            <w:vMerge/>
            <w:tcBorders>
              <w:left w:val="single" w:sz="12" w:space="0" w:color="4472C4"/>
              <w:bottom w:val="single" w:sz="12" w:space="0" w:color="4472C4"/>
              <w:right w:val="single" w:sz="12" w:space="0" w:color="4472C4"/>
            </w:tcBorders>
            <w:shd w:val="clear" w:color="auto" w:fill="FBE4D5"/>
          </w:tcPr>
          <w:p w14:paraId="2D6E995E" w14:textId="77777777" w:rsidR="0006642D" w:rsidRPr="0024072A" w:rsidRDefault="0006642D" w:rsidP="00C446A6">
            <w:pPr>
              <w:contextualSpacing w:val="0"/>
              <w:jc w:val="left"/>
              <w:rPr>
                <w:rFonts w:ascii="Calibri" w:eastAsia="Calibri" w:hAnsi="Calibri" w:cs="Calibri"/>
                <w:sz w:val="20"/>
                <w:szCs w:val="20"/>
                <w:lang w:val="en-GB"/>
              </w:rPr>
            </w:pPr>
          </w:p>
        </w:tc>
        <w:tc>
          <w:tcPr>
            <w:tcW w:w="1862" w:type="dxa"/>
            <w:vMerge/>
            <w:tcBorders>
              <w:left w:val="single" w:sz="12" w:space="0" w:color="4472C4"/>
              <w:bottom w:val="single" w:sz="12" w:space="0" w:color="4472C4"/>
              <w:right w:val="single" w:sz="12" w:space="0" w:color="4472C4"/>
            </w:tcBorders>
            <w:shd w:val="clear" w:color="auto" w:fill="FBE4D5"/>
          </w:tcPr>
          <w:p w14:paraId="06FE8152" w14:textId="77777777" w:rsidR="0006642D" w:rsidRPr="0024072A" w:rsidRDefault="0006642D" w:rsidP="00C446A6">
            <w:pPr>
              <w:contextualSpacing w:val="0"/>
              <w:rPr>
                <w:rFonts w:ascii="Calibri" w:eastAsia="Calibri" w:hAnsi="Calibri" w:cs="Calibri"/>
                <w:sz w:val="20"/>
                <w:szCs w:val="20"/>
                <w:lang w:val="en-GB"/>
              </w:rPr>
            </w:pPr>
          </w:p>
        </w:tc>
        <w:tc>
          <w:tcPr>
            <w:tcW w:w="3402" w:type="dxa"/>
            <w:tcBorders>
              <w:top w:val="single" w:sz="12" w:space="0" w:color="4472C4"/>
              <w:left w:val="single" w:sz="12" w:space="0" w:color="4472C4"/>
              <w:bottom w:val="single" w:sz="12" w:space="0" w:color="4472C4"/>
              <w:right w:val="single" w:sz="12" w:space="0" w:color="4472C4"/>
            </w:tcBorders>
            <w:shd w:val="clear" w:color="auto" w:fill="FBE4D5"/>
          </w:tcPr>
          <w:p w14:paraId="6CB3D5EB" w14:textId="77777777" w:rsidR="0006642D" w:rsidRPr="0024072A" w:rsidRDefault="0006642D" w:rsidP="00C446A6">
            <w:pPr>
              <w:contextualSpacing w:val="0"/>
              <w:rPr>
                <w:rFonts w:ascii="Calibri" w:eastAsia="Calibri" w:hAnsi="Calibri" w:cs="Calibri"/>
                <w:b/>
                <w:sz w:val="20"/>
                <w:szCs w:val="20"/>
                <w:lang w:val="en-GB"/>
              </w:rPr>
            </w:pPr>
            <w:r w:rsidRPr="0024072A">
              <w:rPr>
                <w:rFonts w:ascii="Calibri" w:eastAsia="Calibri" w:hAnsi="Calibri" w:cs="Calibri"/>
                <w:b/>
                <w:sz w:val="20"/>
                <w:szCs w:val="20"/>
                <w:lang w:val="en-GB"/>
              </w:rPr>
              <w:t>Employment of women</w:t>
            </w:r>
          </w:p>
        </w:tc>
        <w:tc>
          <w:tcPr>
            <w:tcW w:w="2839" w:type="dxa"/>
            <w:tcBorders>
              <w:top w:val="single" w:sz="12" w:space="0" w:color="4472C4"/>
              <w:left w:val="single" w:sz="12" w:space="0" w:color="4472C4"/>
              <w:bottom w:val="single" w:sz="12" w:space="0" w:color="4472C4"/>
              <w:right w:val="single" w:sz="12" w:space="0" w:color="4472C4"/>
            </w:tcBorders>
            <w:shd w:val="clear" w:color="auto" w:fill="FBE4D5"/>
          </w:tcPr>
          <w:p w14:paraId="4A227BE0" w14:textId="3C1213A4" w:rsidR="0006642D" w:rsidRPr="00AC7219" w:rsidRDefault="0006642D" w:rsidP="00C446A6">
            <w:pPr>
              <w:contextualSpacing w:val="0"/>
              <w:jc w:val="left"/>
              <w:rPr>
                <w:rFonts w:ascii="Calibri" w:eastAsia="Calibri" w:hAnsi="Calibri" w:cs="Calibri"/>
                <w:bCs/>
                <w:color w:val="C00000"/>
                <w:sz w:val="20"/>
                <w:szCs w:val="20"/>
                <w:lang w:val="en-GB"/>
              </w:rPr>
            </w:pPr>
            <w:r w:rsidRPr="00AC7219">
              <w:rPr>
                <w:rFonts w:ascii="Calibri" w:eastAsia="Calibri" w:hAnsi="Calibri" w:cs="Calibri"/>
                <w:bCs/>
                <w:sz w:val="20"/>
                <w:szCs w:val="20"/>
                <w:lang w:val="en-GB"/>
              </w:rPr>
              <w:t xml:space="preserve">The estimated female employment rate in the </w:t>
            </w:r>
            <w:r w:rsidR="00C549C0">
              <w:rPr>
                <w:rFonts w:ascii="Calibri" w:eastAsia="Calibri" w:hAnsi="Calibri" w:cs="Calibri"/>
                <w:bCs/>
                <w:sz w:val="20"/>
                <w:szCs w:val="20"/>
                <w:lang w:val="en-GB"/>
              </w:rPr>
              <w:t>cocoa</w:t>
            </w:r>
            <w:r w:rsidRPr="00AC7219">
              <w:rPr>
                <w:rFonts w:ascii="Calibri" w:eastAsia="Calibri" w:hAnsi="Calibri" w:cs="Calibri"/>
                <w:bCs/>
                <w:sz w:val="20"/>
                <w:szCs w:val="20"/>
                <w:lang w:val="en-GB"/>
              </w:rPr>
              <w:t xml:space="preserve"> value chain</w:t>
            </w:r>
            <w:r>
              <w:rPr>
                <w:rFonts w:ascii="Calibri" w:eastAsia="Calibri" w:hAnsi="Calibri" w:cs="Calibri"/>
                <w:bCs/>
                <w:sz w:val="20"/>
                <w:szCs w:val="20"/>
                <w:lang w:val="en-GB"/>
              </w:rPr>
              <w:t xml:space="preserve"> </w:t>
            </w:r>
            <w:r w:rsidR="00C549C0">
              <w:rPr>
                <w:rFonts w:ascii="Calibri" w:eastAsia="Calibri" w:hAnsi="Calibri" w:cs="Calibri"/>
                <w:bCs/>
                <w:sz w:val="20"/>
                <w:szCs w:val="20"/>
                <w:lang w:val="en-GB"/>
              </w:rPr>
              <w:t>is</w:t>
            </w:r>
            <w:r>
              <w:rPr>
                <w:rFonts w:ascii="Calibri" w:eastAsia="Calibri" w:hAnsi="Calibri" w:cs="Calibri"/>
                <w:bCs/>
                <w:sz w:val="20"/>
                <w:szCs w:val="20"/>
                <w:lang w:val="en-GB"/>
              </w:rPr>
              <w:t xml:space="preserve"> </w:t>
            </w:r>
            <w:r w:rsidRPr="00AC7219">
              <w:rPr>
                <w:rFonts w:ascii="Calibri" w:eastAsia="Calibri" w:hAnsi="Calibri" w:cs="Calibri"/>
                <w:bCs/>
                <w:sz w:val="20"/>
                <w:szCs w:val="20"/>
                <w:lang w:val="en-GB"/>
              </w:rPr>
              <w:t>approximately</w:t>
            </w:r>
            <w:r>
              <w:rPr>
                <w:rFonts w:ascii="Calibri" w:eastAsia="Calibri" w:hAnsi="Calibri" w:cs="Calibri"/>
                <w:bCs/>
                <w:sz w:val="20"/>
                <w:szCs w:val="20"/>
                <w:lang w:val="en-GB"/>
              </w:rPr>
              <w:t xml:space="preserve"> </w:t>
            </w:r>
            <w:r w:rsidR="00C549C0">
              <w:rPr>
                <w:rFonts w:ascii="Calibri" w:eastAsia="Calibri" w:hAnsi="Calibri" w:cs="Calibri"/>
                <w:bCs/>
                <w:sz w:val="20"/>
                <w:szCs w:val="20"/>
                <w:lang w:val="en-GB"/>
              </w:rPr>
              <w:t>40%</w:t>
            </w:r>
            <w:r>
              <w:rPr>
                <w:rFonts w:ascii="Calibri" w:eastAsia="Calibri" w:hAnsi="Calibri" w:cs="Calibri"/>
                <w:bCs/>
                <w:sz w:val="20"/>
                <w:szCs w:val="20"/>
                <w:lang w:val="en-GB"/>
              </w:rPr>
              <w:t xml:space="preserve">, </w:t>
            </w:r>
            <w:r w:rsidRPr="00AC7219">
              <w:rPr>
                <w:rFonts w:ascii="Calibri" w:eastAsia="Calibri" w:hAnsi="Calibri" w:cs="Calibri"/>
                <w:bCs/>
                <w:sz w:val="20"/>
                <w:szCs w:val="20"/>
                <w:lang w:val="en-GB"/>
              </w:rPr>
              <w:t>based on total labour days.</w:t>
            </w:r>
            <w:r>
              <w:rPr>
                <w:rFonts w:ascii="Calibri" w:eastAsia="Calibri" w:hAnsi="Calibri" w:cs="Calibri"/>
                <w:bCs/>
                <w:sz w:val="20"/>
                <w:szCs w:val="20"/>
                <w:lang w:val="en-GB"/>
              </w:rPr>
              <w:t xml:space="preserve"> </w:t>
            </w:r>
            <w:r w:rsidR="00C549C0" w:rsidRPr="00C549C0">
              <w:rPr>
                <w:rFonts w:ascii="Calibri" w:eastAsia="Calibri" w:hAnsi="Calibri" w:cs="Calibri"/>
                <w:bCs/>
                <w:sz w:val="20"/>
                <w:szCs w:val="20"/>
                <w:lang w:val="en-GB"/>
              </w:rPr>
              <w:t>This reflects a gendered division of labour</w:t>
            </w:r>
            <w:r w:rsidRPr="00AC7219">
              <w:rPr>
                <w:rFonts w:ascii="Calibri" w:eastAsia="Calibri" w:hAnsi="Calibri" w:cs="Calibri"/>
                <w:bCs/>
                <w:sz w:val="20"/>
                <w:szCs w:val="20"/>
                <w:lang w:val="en-GB"/>
              </w:rPr>
              <w:t xml:space="preserve">. </w:t>
            </w:r>
          </w:p>
        </w:tc>
      </w:tr>
    </w:tbl>
    <w:p w14:paraId="4EF7732B" w14:textId="77777777" w:rsidR="0006642D" w:rsidRPr="0024072A" w:rsidRDefault="0006642D" w:rsidP="0006642D">
      <w:pPr>
        <w:contextualSpacing w:val="0"/>
        <w:jc w:val="left"/>
        <w:rPr>
          <w:rFonts w:ascii="Times New Roman" w:eastAsia="Calibri" w:hAnsi="Times New Roman" w:cs="Times New Roman"/>
          <w:sz w:val="24"/>
          <w:szCs w:val="24"/>
          <w:lang w:val="en-GB"/>
        </w:rPr>
      </w:pPr>
    </w:p>
    <w:p w14:paraId="5D235C5A" w14:textId="7DDCEF22" w:rsidR="00543018" w:rsidRPr="00543018" w:rsidRDefault="00543018" w:rsidP="00543018">
      <w:pPr>
        <w:pStyle w:val="Heading2"/>
      </w:pPr>
      <w:bookmarkStart w:id="125" w:name="_Toc228701028"/>
      <w:r>
        <w:lastRenderedPageBreak/>
        <w:t xml:space="preserve">Overall </w:t>
      </w:r>
      <w:r w:rsidRPr="00543018">
        <w:t xml:space="preserve">Conclusion and </w:t>
      </w:r>
      <w:r w:rsidR="00B53AD9">
        <w:t>Major Findings</w:t>
      </w:r>
      <w:bookmarkEnd w:id="125"/>
    </w:p>
    <w:p w14:paraId="16E93AC8" w14:textId="77777777" w:rsidR="000F5B97" w:rsidRPr="000F5B97" w:rsidRDefault="000F5B97" w:rsidP="000F5B97">
      <w:pPr>
        <w:rPr>
          <w:rFonts w:cs="Open Sans"/>
          <w:sz w:val="20"/>
          <w:szCs w:val="20"/>
        </w:rPr>
      </w:pPr>
      <w:r w:rsidRPr="000F5B97">
        <w:rPr>
          <w:rFonts w:cs="Open Sans"/>
          <w:sz w:val="20"/>
          <w:szCs w:val="20"/>
        </w:rPr>
        <w:t>The Sierra Leone cocoa value chain is a significant contributor to the national economy, generating value added, foreign exchange, and widespread rural livelihoods. The sector is economically viable across all actors, contributes around 1.8% to national GDP and 4.2% to agricultural GDP, and exhibits strong international competitiveness supported by low-cost domestic production systems and a high degree of economic integration.</w:t>
      </w:r>
    </w:p>
    <w:p w14:paraId="0C80D537" w14:textId="77777777" w:rsidR="000F5B97" w:rsidRPr="000F5B97" w:rsidRDefault="000F5B97" w:rsidP="000F5B97">
      <w:pPr>
        <w:rPr>
          <w:rFonts w:cs="Open Sans"/>
          <w:sz w:val="20"/>
          <w:szCs w:val="20"/>
        </w:rPr>
      </w:pPr>
    </w:p>
    <w:p w14:paraId="45804831" w14:textId="77777777" w:rsidR="000F5B97" w:rsidRPr="000F5B97" w:rsidRDefault="000F5B97" w:rsidP="000F5B97">
      <w:pPr>
        <w:rPr>
          <w:rFonts w:cs="Open Sans"/>
          <w:sz w:val="20"/>
          <w:szCs w:val="20"/>
        </w:rPr>
      </w:pPr>
      <w:r w:rsidRPr="000F5B97">
        <w:rPr>
          <w:rFonts w:cs="Open Sans"/>
          <w:sz w:val="20"/>
          <w:szCs w:val="20"/>
        </w:rPr>
        <w:t>However, the distribution of benefits is uneven. While value creation is concentrated at the farm level, smallholder incomes remain low due to limited scale and productivity. Income is largely captured as operating surplus rather than wages, and inequality is pronounced, with a Gini coefficient of 0.62. Employment is substantial but predominantly informal, seasonal, and low-productivity, with limited opportunities for stable and higher-value jobs, particularly for women.</w:t>
      </w:r>
    </w:p>
    <w:p w14:paraId="655E55E4" w14:textId="77777777" w:rsidR="000F5B97" w:rsidRPr="000F5B97" w:rsidRDefault="000F5B97" w:rsidP="000F5B97">
      <w:pPr>
        <w:rPr>
          <w:rFonts w:cs="Open Sans"/>
          <w:sz w:val="20"/>
          <w:szCs w:val="20"/>
        </w:rPr>
      </w:pPr>
    </w:p>
    <w:p w14:paraId="665D3CB3" w14:textId="20B2541C" w:rsidR="00AC3BFC" w:rsidRDefault="000F5B97" w:rsidP="000F5B97">
      <w:r w:rsidRPr="000F5B97">
        <w:rPr>
          <w:rFonts w:cs="Open Sans"/>
          <w:sz w:val="20"/>
          <w:szCs w:val="20"/>
        </w:rPr>
        <w:t>Governance constraints, including weak cooperatives, market power asymmetries, and barriers to certification and finance, further limit inclusive participation. Overall, while the cocoa value chain is competitive and growth-enhancing, its developmental impact is constrained by structural inequalities. Strengthening productivity, institutional capacity, and downstream value addition will be critical to achieving more inclusive and sustainable growth</w:t>
      </w:r>
      <w:r w:rsidR="00543018" w:rsidRPr="00543018">
        <w:rPr>
          <w:rFonts w:cs="Open Sans"/>
          <w:sz w:val="20"/>
          <w:szCs w:val="20"/>
        </w:rPr>
        <w:t>.</w:t>
      </w:r>
    </w:p>
    <w:p w14:paraId="75237042" w14:textId="77777777" w:rsidR="00AC3BFC" w:rsidRDefault="00AC3BFC" w:rsidP="00283198"/>
    <w:p w14:paraId="6A26ADEE" w14:textId="77777777" w:rsidR="00AC3BFC" w:rsidRDefault="00AC3BFC" w:rsidP="00283198"/>
    <w:p w14:paraId="1477CC08" w14:textId="77777777" w:rsidR="00A55435" w:rsidRDefault="00A55435" w:rsidP="00283198">
      <w:pPr>
        <w:sectPr w:rsidR="00A55435" w:rsidSect="00962C1A">
          <w:pgSz w:w="11906" w:h="16838"/>
          <w:pgMar w:top="1440" w:right="1440" w:bottom="1440" w:left="1440" w:header="708" w:footer="708" w:gutter="0"/>
          <w:cols w:space="708"/>
          <w:docGrid w:linePitch="360"/>
        </w:sectPr>
      </w:pPr>
    </w:p>
    <w:p w14:paraId="4E1EA221" w14:textId="41F158A3" w:rsidR="001612D3" w:rsidRDefault="00752F47" w:rsidP="004B1916">
      <w:pPr>
        <w:pStyle w:val="Heading1"/>
        <w:rPr>
          <w:rStyle w:val="IntenseEmphasis"/>
          <w:b/>
          <w:bCs/>
          <w:iCs w:val="0"/>
          <w:sz w:val="22"/>
        </w:rPr>
      </w:pPr>
      <w:bookmarkStart w:id="126" w:name="_Toc228701029"/>
      <w:r w:rsidRPr="004B1916">
        <w:rPr>
          <w:rStyle w:val="IntenseEmphasis"/>
          <w:b/>
          <w:bCs/>
          <w:iCs w:val="0"/>
          <w:sz w:val="22"/>
        </w:rPr>
        <w:lastRenderedPageBreak/>
        <w:t>IS THE VALUE CHAIN SOCIALLY SUSTAINABLE?</w:t>
      </w:r>
      <w:bookmarkEnd w:id="126"/>
    </w:p>
    <w:p w14:paraId="5FDD5BCC" w14:textId="1FAD8713" w:rsidR="00550B89" w:rsidRDefault="00D305C6" w:rsidP="00550B89">
      <w:pPr>
        <w:rPr>
          <w:sz w:val="20"/>
          <w:szCs w:val="20"/>
          <w:lang w:val="en-GB"/>
        </w:rPr>
      </w:pPr>
      <w:r w:rsidRPr="005A2AD7">
        <w:rPr>
          <w:sz w:val="20"/>
          <w:szCs w:val="20"/>
          <w:lang w:val="en-GB"/>
        </w:rPr>
        <w:t xml:space="preserve">The social analysis </w:t>
      </w:r>
      <w:r w:rsidR="00FA690D" w:rsidRPr="005A2AD7">
        <w:rPr>
          <w:sz w:val="20"/>
          <w:szCs w:val="20"/>
          <w:lang w:val="en-GB"/>
        </w:rPr>
        <w:t>provides</w:t>
      </w:r>
      <w:r w:rsidRPr="005A2AD7">
        <w:rPr>
          <w:sz w:val="20"/>
          <w:szCs w:val="20"/>
          <w:lang w:val="en-GB"/>
        </w:rPr>
        <w:t xml:space="preserve"> insights into </w:t>
      </w:r>
      <w:r w:rsidR="00FA690D" w:rsidRPr="005A2AD7">
        <w:rPr>
          <w:sz w:val="20"/>
          <w:szCs w:val="20"/>
          <w:lang w:val="en-GB"/>
        </w:rPr>
        <w:t>six</w:t>
      </w:r>
      <w:r w:rsidRPr="005A2AD7">
        <w:rPr>
          <w:sz w:val="20"/>
          <w:szCs w:val="20"/>
          <w:lang w:val="en-GB"/>
        </w:rPr>
        <w:t xml:space="preserve"> key </w:t>
      </w:r>
      <w:r w:rsidR="00762050" w:rsidRPr="005A2AD7">
        <w:rPr>
          <w:sz w:val="20"/>
          <w:szCs w:val="20"/>
          <w:lang w:val="en-GB"/>
        </w:rPr>
        <w:t>dimensions</w:t>
      </w:r>
      <w:r w:rsidRPr="005A2AD7">
        <w:rPr>
          <w:sz w:val="20"/>
          <w:szCs w:val="20"/>
          <w:lang w:val="en-GB"/>
        </w:rPr>
        <w:t xml:space="preserve"> </w:t>
      </w:r>
      <w:r w:rsidR="00FA690D" w:rsidRPr="005A2AD7">
        <w:rPr>
          <w:sz w:val="20"/>
          <w:szCs w:val="20"/>
          <w:lang w:val="en-GB"/>
        </w:rPr>
        <w:t>of social sustainability</w:t>
      </w:r>
      <w:r w:rsidR="00E65D6B">
        <w:rPr>
          <w:sz w:val="20"/>
          <w:szCs w:val="20"/>
          <w:lang w:val="en-GB"/>
        </w:rPr>
        <w:t xml:space="preserve"> of the cocoa value chain</w:t>
      </w:r>
      <w:r w:rsidR="00FA690D" w:rsidRPr="005A2AD7">
        <w:rPr>
          <w:sz w:val="20"/>
          <w:szCs w:val="20"/>
          <w:lang w:val="en-GB"/>
        </w:rPr>
        <w:t>: working conditions, land and water rights, gender equality, food and nutrition security, social capital</w:t>
      </w:r>
      <w:r w:rsidR="00E227CA">
        <w:rPr>
          <w:sz w:val="20"/>
          <w:szCs w:val="20"/>
          <w:lang w:val="en-GB"/>
        </w:rPr>
        <w:t>,</w:t>
      </w:r>
      <w:r w:rsidR="00FA690D" w:rsidRPr="005A2AD7">
        <w:rPr>
          <w:sz w:val="20"/>
          <w:szCs w:val="20"/>
          <w:lang w:val="en-GB"/>
        </w:rPr>
        <w:t xml:space="preserve"> and living conditions. </w:t>
      </w:r>
      <w:r w:rsidR="00762050" w:rsidRPr="005A2AD7">
        <w:rPr>
          <w:sz w:val="20"/>
          <w:szCs w:val="20"/>
          <w:lang w:val="en-GB"/>
        </w:rPr>
        <w:t xml:space="preserve">Each dimension is divided into </w:t>
      </w:r>
      <w:r w:rsidR="00662C97" w:rsidRPr="005A2AD7">
        <w:rPr>
          <w:sz w:val="20"/>
          <w:szCs w:val="20"/>
          <w:lang w:val="en-GB"/>
        </w:rPr>
        <w:t xml:space="preserve">its respective sub-dimensions, and the findings for each are described in the text; their score levels are visualized using the </w:t>
      </w:r>
      <w:r w:rsidR="0093249A" w:rsidRPr="005A2AD7">
        <w:rPr>
          <w:sz w:val="20"/>
          <w:szCs w:val="20"/>
          <w:lang w:val="en-GB"/>
        </w:rPr>
        <w:t xml:space="preserve">traffic light assessment </w:t>
      </w:r>
      <w:r w:rsidR="00445805" w:rsidRPr="005A2AD7">
        <w:rPr>
          <w:sz w:val="20"/>
          <w:szCs w:val="20"/>
          <w:lang w:val="en-GB"/>
        </w:rPr>
        <w:t xml:space="preserve">below. The traffic light assessment should be read as follows: red </w:t>
      </w:r>
      <w:r w:rsidR="008F614C" w:rsidRPr="005A2AD7">
        <w:rPr>
          <w:sz w:val="20"/>
          <w:szCs w:val="20"/>
          <w:lang w:val="en-GB"/>
        </w:rPr>
        <w:t>–</w:t>
      </w:r>
      <w:r w:rsidR="00445805" w:rsidRPr="005A2AD7">
        <w:rPr>
          <w:sz w:val="20"/>
          <w:szCs w:val="20"/>
          <w:lang w:val="en-GB"/>
        </w:rPr>
        <w:t xml:space="preserve"> </w:t>
      </w:r>
      <w:r w:rsidR="008F614C" w:rsidRPr="005A2AD7">
        <w:rPr>
          <w:sz w:val="20"/>
          <w:szCs w:val="20"/>
          <w:lang w:val="en-GB"/>
        </w:rPr>
        <w:t>very low</w:t>
      </w:r>
      <w:r w:rsidR="00A412D3" w:rsidRPr="005A2AD7">
        <w:rPr>
          <w:sz w:val="20"/>
          <w:szCs w:val="20"/>
          <w:lang w:val="en-GB"/>
        </w:rPr>
        <w:t>/not at all</w:t>
      </w:r>
      <w:r w:rsidR="008F614C" w:rsidRPr="005A2AD7">
        <w:rPr>
          <w:sz w:val="20"/>
          <w:szCs w:val="20"/>
          <w:lang w:val="en-GB"/>
        </w:rPr>
        <w:t xml:space="preserve">, orange </w:t>
      </w:r>
      <w:r w:rsidR="00A412D3" w:rsidRPr="005A2AD7">
        <w:rPr>
          <w:sz w:val="20"/>
          <w:szCs w:val="20"/>
          <w:lang w:val="en-GB"/>
        </w:rPr>
        <w:t xml:space="preserve">– moderate/low, </w:t>
      </w:r>
      <w:r w:rsidR="002B2E8E" w:rsidRPr="005A2AD7">
        <w:rPr>
          <w:sz w:val="20"/>
          <w:szCs w:val="20"/>
          <w:lang w:val="en-GB"/>
        </w:rPr>
        <w:t>green – substantial</w:t>
      </w:r>
      <w:r w:rsidR="006974AA">
        <w:rPr>
          <w:sz w:val="20"/>
          <w:szCs w:val="20"/>
          <w:lang w:val="en-GB"/>
        </w:rPr>
        <w:t xml:space="preserve"> score levels</w:t>
      </w:r>
      <w:r w:rsidR="002B2E8E" w:rsidRPr="005A2AD7">
        <w:rPr>
          <w:sz w:val="20"/>
          <w:szCs w:val="20"/>
          <w:lang w:val="en-GB"/>
        </w:rPr>
        <w:t xml:space="preserve">. </w:t>
      </w:r>
    </w:p>
    <w:p w14:paraId="52247B3F" w14:textId="77777777" w:rsidR="00F213CE" w:rsidRPr="005A2AD7" w:rsidRDefault="00F213CE" w:rsidP="00550B89">
      <w:pPr>
        <w:rPr>
          <w:sz w:val="20"/>
          <w:szCs w:val="20"/>
          <w:lang w:val="en-GB"/>
        </w:rPr>
      </w:pPr>
    </w:p>
    <w:p w14:paraId="2CBD64BD" w14:textId="62E8A379" w:rsidR="002B2E8E" w:rsidRDefault="002B2E8E" w:rsidP="005A2AD7">
      <w:pPr>
        <w:rPr>
          <w:sz w:val="20"/>
          <w:szCs w:val="20"/>
          <w:lang w:val="en-GB"/>
        </w:rPr>
      </w:pPr>
      <w:r w:rsidRPr="005A2AD7">
        <w:rPr>
          <w:sz w:val="20"/>
          <w:szCs w:val="20"/>
          <w:lang w:val="en-GB"/>
        </w:rPr>
        <w:t xml:space="preserve">The </w:t>
      </w:r>
      <w:r w:rsidR="00CB0CA8" w:rsidRPr="005A2AD7">
        <w:rPr>
          <w:sz w:val="20"/>
          <w:szCs w:val="20"/>
          <w:lang w:val="en-GB"/>
        </w:rPr>
        <w:t xml:space="preserve">primary </w:t>
      </w:r>
      <w:r w:rsidRPr="005A2AD7">
        <w:rPr>
          <w:sz w:val="20"/>
          <w:szCs w:val="20"/>
          <w:lang w:val="en-GB"/>
        </w:rPr>
        <w:t xml:space="preserve">data used in the </w:t>
      </w:r>
      <w:r w:rsidR="00CB0CA8" w:rsidRPr="005A2AD7">
        <w:rPr>
          <w:sz w:val="20"/>
          <w:szCs w:val="20"/>
          <w:lang w:val="en-GB"/>
        </w:rPr>
        <w:t>analy</w:t>
      </w:r>
      <w:r w:rsidR="00CE2D3F" w:rsidRPr="005A2AD7">
        <w:rPr>
          <w:sz w:val="20"/>
          <w:szCs w:val="20"/>
          <w:lang w:val="en-GB"/>
        </w:rPr>
        <w:t>sis comes from the</w:t>
      </w:r>
      <w:r w:rsidR="006B17D6" w:rsidRPr="005A2AD7">
        <w:rPr>
          <w:sz w:val="20"/>
          <w:szCs w:val="20"/>
          <w:lang w:val="en-GB"/>
        </w:rPr>
        <w:t xml:space="preserve"> combination of stakeholders key informant interviews (in total </w:t>
      </w:r>
      <w:r w:rsidR="007F7815">
        <w:rPr>
          <w:sz w:val="20"/>
          <w:szCs w:val="20"/>
          <w:lang w:val="en-GB"/>
        </w:rPr>
        <w:t>2</w:t>
      </w:r>
      <w:r w:rsidR="009E340B">
        <w:rPr>
          <w:sz w:val="20"/>
          <w:szCs w:val="20"/>
          <w:lang w:val="en-GB"/>
        </w:rPr>
        <w:t>7</w:t>
      </w:r>
      <w:r w:rsidR="006B17D6" w:rsidRPr="005A2AD7">
        <w:rPr>
          <w:sz w:val="20"/>
          <w:szCs w:val="20"/>
          <w:lang w:val="en-GB"/>
        </w:rPr>
        <w:t>)</w:t>
      </w:r>
      <w:r w:rsidR="009E340B">
        <w:rPr>
          <w:sz w:val="20"/>
          <w:szCs w:val="20"/>
          <w:lang w:val="en-GB"/>
        </w:rPr>
        <w:t xml:space="preserve"> and stakeholder meetings</w:t>
      </w:r>
      <w:r w:rsidR="006B17D6" w:rsidRPr="005A2AD7">
        <w:rPr>
          <w:sz w:val="20"/>
          <w:szCs w:val="20"/>
          <w:lang w:val="en-GB"/>
        </w:rPr>
        <w:t xml:space="preserve">, </w:t>
      </w:r>
      <w:r w:rsidR="00704D0A" w:rsidRPr="005A2AD7">
        <w:rPr>
          <w:sz w:val="20"/>
          <w:szCs w:val="20"/>
          <w:lang w:val="en-GB"/>
        </w:rPr>
        <w:t xml:space="preserve">at </w:t>
      </w:r>
      <w:r w:rsidR="00E227CA">
        <w:rPr>
          <w:sz w:val="20"/>
          <w:szCs w:val="20"/>
          <w:lang w:val="en-GB"/>
        </w:rPr>
        <w:t xml:space="preserve">the </w:t>
      </w:r>
      <w:r w:rsidR="00704D0A" w:rsidRPr="005A2AD7">
        <w:rPr>
          <w:sz w:val="20"/>
          <w:szCs w:val="20"/>
          <w:lang w:val="en-GB"/>
        </w:rPr>
        <w:t>farmer</w:t>
      </w:r>
      <w:r w:rsidR="00AB7C12">
        <w:rPr>
          <w:sz w:val="20"/>
          <w:szCs w:val="20"/>
          <w:lang w:val="en-GB"/>
        </w:rPr>
        <w:t>s’</w:t>
      </w:r>
      <w:r w:rsidR="00704D0A" w:rsidRPr="005A2AD7">
        <w:rPr>
          <w:sz w:val="20"/>
          <w:szCs w:val="20"/>
          <w:lang w:val="en-GB"/>
        </w:rPr>
        <w:t xml:space="preserve"> level</w:t>
      </w:r>
      <w:r w:rsidR="00CE2D3F" w:rsidRPr="005A2AD7">
        <w:rPr>
          <w:sz w:val="20"/>
          <w:szCs w:val="20"/>
          <w:lang w:val="en-GB"/>
        </w:rPr>
        <w:t xml:space="preserve"> </w:t>
      </w:r>
      <w:r w:rsidR="009E340B">
        <w:rPr>
          <w:sz w:val="20"/>
          <w:szCs w:val="20"/>
          <w:lang w:val="en-GB"/>
        </w:rPr>
        <w:t>-</w:t>
      </w:r>
      <w:r w:rsidR="0092640D" w:rsidRPr="005A2AD7">
        <w:rPr>
          <w:sz w:val="20"/>
          <w:szCs w:val="20"/>
          <w:lang w:val="en-GB"/>
        </w:rPr>
        <w:t xml:space="preserve">11 FGDs conducted during the </w:t>
      </w:r>
      <w:r w:rsidR="00B07CFA" w:rsidRPr="005A2AD7">
        <w:rPr>
          <w:sz w:val="20"/>
          <w:szCs w:val="20"/>
          <w:lang w:val="en-GB"/>
        </w:rPr>
        <w:t>first and second mission with total number of 1</w:t>
      </w:r>
      <w:r w:rsidR="00C6481B">
        <w:rPr>
          <w:sz w:val="20"/>
          <w:szCs w:val="20"/>
          <w:lang w:val="en-GB"/>
        </w:rPr>
        <w:t>33</w:t>
      </w:r>
      <w:r w:rsidR="00B07CFA" w:rsidRPr="005A2AD7">
        <w:rPr>
          <w:sz w:val="20"/>
          <w:szCs w:val="20"/>
          <w:lang w:val="en-GB"/>
        </w:rPr>
        <w:t xml:space="preserve"> participants</w:t>
      </w:r>
      <w:r w:rsidR="006060F2" w:rsidRPr="005A2AD7">
        <w:rPr>
          <w:sz w:val="20"/>
          <w:szCs w:val="20"/>
          <w:lang w:val="en-GB"/>
        </w:rPr>
        <w:footnoteReference w:id="3"/>
      </w:r>
      <w:r w:rsidR="00B07CFA" w:rsidRPr="005A2AD7">
        <w:rPr>
          <w:sz w:val="20"/>
          <w:szCs w:val="20"/>
          <w:lang w:val="en-GB"/>
        </w:rPr>
        <w:t xml:space="preserve"> </w:t>
      </w:r>
      <w:r w:rsidR="00125812" w:rsidRPr="005A2AD7">
        <w:rPr>
          <w:sz w:val="20"/>
          <w:szCs w:val="20"/>
          <w:lang w:val="en-GB"/>
        </w:rPr>
        <w:t>(women 95, men 3</w:t>
      </w:r>
      <w:r w:rsidR="00C6481B">
        <w:rPr>
          <w:sz w:val="20"/>
          <w:szCs w:val="20"/>
          <w:lang w:val="en-GB"/>
        </w:rPr>
        <w:t>8</w:t>
      </w:r>
      <w:r w:rsidR="00125812" w:rsidRPr="005A2AD7">
        <w:rPr>
          <w:sz w:val="20"/>
          <w:szCs w:val="20"/>
          <w:lang w:val="en-GB"/>
        </w:rPr>
        <w:t>)</w:t>
      </w:r>
      <w:r w:rsidR="00715685" w:rsidRPr="005A2AD7">
        <w:rPr>
          <w:sz w:val="20"/>
          <w:szCs w:val="20"/>
          <w:lang w:val="en-GB"/>
        </w:rPr>
        <w:t xml:space="preserve"> and the </w:t>
      </w:r>
      <w:proofErr w:type="spellStart"/>
      <w:r w:rsidR="00715685" w:rsidRPr="005A2AD7">
        <w:rPr>
          <w:sz w:val="20"/>
          <w:szCs w:val="20"/>
          <w:lang w:val="en-GB"/>
        </w:rPr>
        <w:t>minisurvey</w:t>
      </w:r>
      <w:proofErr w:type="spellEnd"/>
      <w:r w:rsidR="00715685" w:rsidRPr="005A2AD7">
        <w:rPr>
          <w:sz w:val="20"/>
          <w:szCs w:val="20"/>
          <w:lang w:val="en-GB"/>
        </w:rPr>
        <w:t xml:space="preserve"> with </w:t>
      </w:r>
      <w:r w:rsidR="00704D0A" w:rsidRPr="005A2AD7">
        <w:rPr>
          <w:sz w:val="20"/>
          <w:szCs w:val="20"/>
          <w:lang w:val="en-GB"/>
        </w:rPr>
        <w:t>32 responde</w:t>
      </w:r>
      <w:r w:rsidR="00AB7C12">
        <w:rPr>
          <w:sz w:val="20"/>
          <w:szCs w:val="20"/>
          <w:lang w:val="en-GB"/>
        </w:rPr>
        <w:t>n</w:t>
      </w:r>
      <w:r w:rsidR="00704D0A" w:rsidRPr="005A2AD7">
        <w:rPr>
          <w:sz w:val="20"/>
          <w:szCs w:val="20"/>
          <w:lang w:val="en-GB"/>
        </w:rPr>
        <w:t>ts (</w:t>
      </w:r>
      <w:r w:rsidR="006060F2" w:rsidRPr="005A2AD7">
        <w:rPr>
          <w:sz w:val="20"/>
          <w:szCs w:val="20"/>
          <w:lang w:val="en-GB"/>
        </w:rPr>
        <w:t>women 19, men 13)</w:t>
      </w:r>
      <w:r w:rsidR="00781174" w:rsidRPr="005A2AD7">
        <w:rPr>
          <w:sz w:val="20"/>
          <w:szCs w:val="20"/>
          <w:lang w:val="en-GB"/>
        </w:rPr>
        <w:t xml:space="preserve"> and on-site visits</w:t>
      </w:r>
      <w:r w:rsidR="00E32FD4" w:rsidRPr="005A2AD7">
        <w:rPr>
          <w:sz w:val="20"/>
          <w:szCs w:val="20"/>
          <w:lang w:val="en-GB"/>
        </w:rPr>
        <w:t xml:space="preserve"> in 11 cocoa communities across the three cocoa districts – Kenema, Kailahun and Kono</w:t>
      </w:r>
      <w:r w:rsidR="0013042D">
        <w:rPr>
          <w:sz w:val="20"/>
          <w:szCs w:val="20"/>
          <w:lang w:val="en-GB"/>
        </w:rPr>
        <w:t xml:space="preserve"> – conducted during the two field missions</w:t>
      </w:r>
      <w:r w:rsidR="00E32FD4" w:rsidRPr="005A2AD7">
        <w:rPr>
          <w:sz w:val="20"/>
          <w:szCs w:val="20"/>
          <w:lang w:val="en-GB"/>
        </w:rPr>
        <w:t xml:space="preserve">. </w:t>
      </w:r>
    </w:p>
    <w:p w14:paraId="74E4B867" w14:textId="77777777" w:rsidR="00F213CE" w:rsidRDefault="00F213CE" w:rsidP="005A2AD7">
      <w:pPr>
        <w:rPr>
          <w:sz w:val="20"/>
          <w:szCs w:val="20"/>
          <w:lang w:val="en-GB"/>
        </w:rPr>
      </w:pPr>
    </w:p>
    <w:p w14:paraId="7661EF23" w14:textId="2696F88F" w:rsidR="00C733D1" w:rsidRDefault="00C733D1" w:rsidP="005A2AD7">
      <w:pPr>
        <w:rPr>
          <w:sz w:val="20"/>
          <w:szCs w:val="20"/>
          <w:lang w:val="en-GB"/>
        </w:rPr>
      </w:pPr>
      <w:r w:rsidRPr="00C733D1">
        <w:rPr>
          <w:sz w:val="20"/>
          <w:szCs w:val="20"/>
        </w:rPr>
        <w:t xml:space="preserve">At the end of this chapter, the findings of this VCA4D study are compared with the VCA4D analysis of the cocoa value chain in Liberia to provide a regional perspective and to distinguish between context-specific and structural features of cocoa-based livelihoods. In addition, the analysis is complemented by comparisons with VCA4D studies on cashew </w:t>
      </w:r>
      <w:r w:rsidR="00115104">
        <w:rPr>
          <w:sz w:val="20"/>
          <w:szCs w:val="20"/>
        </w:rPr>
        <w:t>(</w:t>
      </w:r>
      <w:r w:rsidR="00115104" w:rsidRPr="00C733D1">
        <w:rPr>
          <w:sz w:val="20"/>
          <w:szCs w:val="20"/>
        </w:rPr>
        <w:t>Michel et al., 2018</w:t>
      </w:r>
      <w:r w:rsidR="00115104">
        <w:rPr>
          <w:sz w:val="20"/>
          <w:szCs w:val="20"/>
        </w:rPr>
        <w:t xml:space="preserve">) </w:t>
      </w:r>
      <w:r w:rsidRPr="00C733D1">
        <w:rPr>
          <w:sz w:val="20"/>
          <w:szCs w:val="20"/>
        </w:rPr>
        <w:t xml:space="preserve">and palm oil </w:t>
      </w:r>
      <w:r w:rsidR="00115104" w:rsidRPr="00C733D1">
        <w:rPr>
          <w:sz w:val="20"/>
          <w:szCs w:val="20"/>
        </w:rPr>
        <w:t>(Bessou et al., 2018)</w:t>
      </w:r>
      <w:r w:rsidR="00115104">
        <w:rPr>
          <w:sz w:val="20"/>
          <w:szCs w:val="20"/>
        </w:rPr>
        <w:t xml:space="preserve"> </w:t>
      </w:r>
      <w:r w:rsidRPr="00C733D1">
        <w:rPr>
          <w:sz w:val="20"/>
          <w:szCs w:val="20"/>
        </w:rPr>
        <w:t xml:space="preserve">in Sierra Leone, allowing for the identification of cross-cutting social constraints and value chain–specific dynamics. Together, these comparisons strengthen the analytical robustness of the study and provide clearer, evidence-based entry points for </w:t>
      </w:r>
      <w:r w:rsidR="00F213CE">
        <w:rPr>
          <w:sz w:val="20"/>
          <w:szCs w:val="20"/>
        </w:rPr>
        <w:t>policymakers</w:t>
      </w:r>
      <w:r w:rsidRPr="00C733D1">
        <w:rPr>
          <w:sz w:val="20"/>
          <w:szCs w:val="20"/>
        </w:rPr>
        <w:t xml:space="preserve"> by highlighting both shared systemic challenges and sector-specific opportunities for socially sustainable value chain development</w:t>
      </w:r>
      <w:r w:rsidR="00F213CE">
        <w:rPr>
          <w:sz w:val="20"/>
          <w:szCs w:val="20"/>
        </w:rPr>
        <w:t xml:space="preserve">. </w:t>
      </w:r>
    </w:p>
    <w:p w14:paraId="5AD52E74" w14:textId="77777777" w:rsidR="00614F1B" w:rsidRPr="00D93D57" w:rsidRDefault="00614F1B" w:rsidP="00D93D57">
      <w:pPr>
        <w:pStyle w:val="Heading2"/>
      </w:pPr>
      <w:bookmarkStart w:id="127" w:name="_Toc201844304"/>
      <w:bookmarkStart w:id="128" w:name="_Toc228701030"/>
      <w:bookmarkStart w:id="129" w:name="_Hlk204771298"/>
      <w:r w:rsidRPr="00D93D57">
        <w:t>Working conditions</w:t>
      </w:r>
      <w:bookmarkEnd w:id="127"/>
      <w:bookmarkEnd w:id="128"/>
      <w:r w:rsidRPr="00D93D57">
        <w:t xml:space="preserve"> </w:t>
      </w:r>
      <w:bookmarkStart w:id="130" w:name="_Hlk84602567"/>
    </w:p>
    <w:bookmarkEnd w:id="129"/>
    <w:p w14:paraId="65CF937F" w14:textId="1AD175C1" w:rsidR="00C22380" w:rsidRPr="00C22380" w:rsidRDefault="00AB7C12" w:rsidP="00C22380">
      <w:pPr>
        <w:rPr>
          <w:sz w:val="20"/>
          <w:szCs w:val="20"/>
          <w:lang w:val="en-GB"/>
        </w:rPr>
      </w:pPr>
      <w:r>
        <w:rPr>
          <w:sz w:val="20"/>
          <w:szCs w:val="20"/>
          <w:lang w:val="en-GB"/>
        </w:rPr>
        <w:t>The</w:t>
      </w:r>
      <w:r w:rsidR="00C22380" w:rsidRPr="00C22380">
        <w:rPr>
          <w:sz w:val="20"/>
          <w:szCs w:val="20"/>
          <w:lang w:val="en-GB"/>
        </w:rPr>
        <w:t xml:space="preserve"> analysis of working conditions in CVC indicates that, while a relatively strong legal and normative framework is in place, actual labour outcomes remain weak and uneven, reflecting a structurally informal system. Sierra Leone has ratified the ICCPR, ICESCR, and all ILO fundamental conventions, and recent reforms such as the Employment Act 2023 </w:t>
      </w:r>
      <w:r w:rsidR="00E954C8">
        <w:rPr>
          <w:sz w:val="20"/>
          <w:szCs w:val="20"/>
          <w:lang w:val="en-GB"/>
        </w:rPr>
        <w:t>(</w:t>
      </w:r>
      <w:r w:rsidR="00F257A7" w:rsidRPr="00C22380">
        <w:rPr>
          <w:sz w:val="20"/>
          <w:szCs w:val="20"/>
          <w:lang w:val="en-GB"/>
        </w:rPr>
        <w:t>Government of Sierra Leone, 2023</w:t>
      </w:r>
      <w:r w:rsidR="00E954C8">
        <w:rPr>
          <w:sz w:val="20"/>
          <w:szCs w:val="20"/>
          <w:lang w:val="en-GB"/>
        </w:rPr>
        <w:t xml:space="preserve">) </w:t>
      </w:r>
      <w:r w:rsidR="00C22380" w:rsidRPr="00C22380">
        <w:rPr>
          <w:sz w:val="20"/>
          <w:szCs w:val="20"/>
          <w:lang w:val="en-GB"/>
        </w:rPr>
        <w:t>provide a solid legal basis for labour protection (OHCHR, n.d.). However, as consistently highlighted across both literature and field evidence, the key constraint is not the absence of standards but their limited implementation in a highly informal, smallholder-dominated production system (MAFS, 202</w:t>
      </w:r>
      <w:r w:rsidR="00E954C8">
        <w:rPr>
          <w:sz w:val="20"/>
          <w:szCs w:val="20"/>
          <w:lang w:val="en-GB"/>
        </w:rPr>
        <w:t>4</w:t>
      </w:r>
      <w:r w:rsidR="00C22380" w:rsidRPr="00C22380">
        <w:rPr>
          <w:sz w:val="20"/>
          <w:szCs w:val="20"/>
          <w:lang w:val="en-GB"/>
        </w:rPr>
        <w:t>; World Bank, 2023).</w:t>
      </w:r>
    </w:p>
    <w:p w14:paraId="675A5EC7" w14:textId="77777777" w:rsidR="00C22380" w:rsidRPr="00C22380" w:rsidRDefault="00C22380" w:rsidP="00C22380">
      <w:pPr>
        <w:rPr>
          <w:sz w:val="20"/>
          <w:szCs w:val="20"/>
          <w:lang w:val="en-GB"/>
        </w:rPr>
      </w:pPr>
    </w:p>
    <w:p w14:paraId="10F2EADD" w14:textId="77777777" w:rsidR="00C22380" w:rsidRPr="00C22380" w:rsidRDefault="00C22380" w:rsidP="00C22380">
      <w:pPr>
        <w:rPr>
          <w:sz w:val="20"/>
          <w:szCs w:val="20"/>
          <w:lang w:val="en-GB"/>
        </w:rPr>
      </w:pPr>
      <w:r w:rsidRPr="00C22380">
        <w:rPr>
          <w:sz w:val="20"/>
          <w:szCs w:val="20"/>
          <w:lang w:val="en-GB"/>
        </w:rPr>
        <w:t>At the core of this challenge is the structure of the CVC itself. Most production is carried out by smallholders and family labour, while trading is dominated by informal intermediaries. This shifts labour relations away from regulated workplaces into dispersed rural settings where monitoring and enforcement are inherently difficult. The broader labour market context reinforces this pattern: nearly 90% of jobs in Sierra Leone are informal, with low education levels and limited institutional reach constraining enforcement capacity (Ministry of Employment, Labour and Social Security, 2023). Therefore, labour standards in the CVC are applied unevenly across its nodes, creating a dual system in which compliance is concentrated among formal exporters but largely absent at the farm level.</w:t>
      </w:r>
    </w:p>
    <w:p w14:paraId="5228C958" w14:textId="77777777" w:rsidR="00C22380" w:rsidRPr="00C22380" w:rsidRDefault="00C22380" w:rsidP="00C22380">
      <w:pPr>
        <w:rPr>
          <w:sz w:val="20"/>
          <w:szCs w:val="20"/>
          <w:lang w:val="en-GB"/>
        </w:rPr>
      </w:pPr>
    </w:p>
    <w:p w14:paraId="01C1237E" w14:textId="2972D9F4" w:rsidR="00C22380" w:rsidRPr="00C22380" w:rsidRDefault="00C22380" w:rsidP="00C22380">
      <w:pPr>
        <w:rPr>
          <w:sz w:val="20"/>
          <w:szCs w:val="20"/>
          <w:lang w:val="en-GB"/>
        </w:rPr>
      </w:pPr>
      <w:r w:rsidRPr="00C22380">
        <w:rPr>
          <w:sz w:val="20"/>
          <w:szCs w:val="20"/>
          <w:lang w:val="en-GB"/>
        </w:rPr>
        <w:lastRenderedPageBreak/>
        <w:t xml:space="preserve">Field evidence clearly illustrates this duality. </w:t>
      </w:r>
      <w:r w:rsidR="001A3A73">
        <w:rPr>
          <w:sz w:val="20"/>
          <w:szCs w:val="20"/>
          <w:lang w:val="en-GB"/>
        </w:rPr>
        <w:t>Interviewed e</w:t>
      </w:r>
      <w:r w:rsidRPr="00C22380">
        <w:rPr>
          <w:sz w:val="20"/>
          <w:szCs w:val="20"/>
          <w:lang w:val="en-GB"/>
        </w:rPr>
        <w:t xml:space="preserve">xporters and larger enterprises reported compliance with national labour legislation, including written contracts, fixed salaries, and structured employment conditions. </w:t>
      </w:r>
      <w:r w:rsidR="00520CD3">
        <w:rPr>
          <w:sz w:val="20"/>
          <w:szCs w:val="20"/>
          <w:lang w:val="en-GB"/>
        </w:rPr>
        <w:t xml:space="preserve">Interview results revealed that </w:t>
      </w:r>
      <w:r w:rsidR="0067732E">
        <w:rPr>
          <w:sz w:val="20"/>
          <w:szCs w:val="20"/>
          <w:lang w:val="en-GB"/>
        </w:rPr>
        <w:t>p</w:t>
      </w:r>
      <w:r w:rsidRPr="00C22380">
        <w:rPr>
          <w:sz w:val="20"/>
          <w:szCs w:val="20"/>
          <w:lang w:val="en-GB"/>
        </w:rPr>
        <w:t>ermanent workers receive monthly salaries in the interval of 1,800 - 2,200 SLE, which exceeds the national minimum wage</w:t>
      </w:r>
      <w:r w:rsidRPr="00C22380">
        <w:rPr>
          <w:rStyle w:val="FootnoteReference"/>
          <w:sz w:val="20"/>
          <w:szCs w:val="20"/>
          <w:lang w:val="en-GB"/>
        </w:rPr>
        <w:footnoteReference w:id="4"/>
      </w:r>
      <w:r w:rsidRPr="00C22380">
        <w:rPr>
          <w:sz w:val="20"/>
          <w:szCs w:val="20"/>
          <w:lang w:val="en-GB"/>
        </w:rPr>
        <w:t xml:space="preserve"> by 2.25 – 2.75 times, while seasonal workers </w:t>
      </w:r>
      <w:r w:rsidR="00116B6C">
        <w:rPr>
          <w:sz w:val="20"/>
          <w:szCs w:val="20"/>
          <w:lang w:val="en-GB"/>
        </w:rPr>
        <w:t xml:space="preserve">have more precarious conditions, as they are </w:t>
      </w:r>
      <w:r w:rsidRPr="00C22380">
        <w:rPr>
          <w:sz w:val="20"/>
          <w:szCs w:val="20"/>
          <w:lang w:val="en-GB"/>
        </w:rPr>
        <w:t>paid (and also hired) on a daily basis, approximately 60 SLE per day</w:t>
      </w:r>
      <w:r w:rsidR="007F713C">
        <w:rPr>
          <w:sz w:val="20"/>
          <w:szCs w:val="20"/>
          <w:lang w:val="en-GB"/>
        </w:rPr>
        <w:t>, without written contracts</w:t>
      </w:r>
      <w:r w:rsidRPr="00C22380">
        <w:rPr>
          <w:sz w:val="20"/>
          <w:szCs w:val="20"/>
          <w:lang w:val="en-GB"/>
        </w:rPr>
        <w:t>. In contrast, farm-level labour relations are overwhelmingly informal, with seasonal workers hired mainly for a few days of brushing and harvesting, depending on the cocoa plot size, without contracts and paid between 30 and 100 SLE per day, often supplemented with food or payment in cocoa beans. Similarly, agents and sub-agents rely on oral agreements and trust-based systems rather than formal contracts. This confirms that the closer actors are to formal markets and certification systems, the higher the level of compliance, while upstream segments remain largely unregulated.</w:t>
      </w:r>
    </w:p>
    <w:p w14:paraId="697B492D" w14:textId="77777777" w:rsidR="00C22380" w:rsidRPr="00C22380" w:rsidRDefault="00C22380" w:rsidP="00C22380">
      <w:pPr>
        <w:rPr>
          <w:sz w:val="20"/>
          <w:szCs w:val="20"/>
          <w:lang w:val="en-GB"/>
        </w:rPr>
      </w:pPr>
    </w:p>
    <w:p w14:paraId="39B32A3A" w14:textId="5226B07F" w:rsidR="00C22380" w:rsidRPr="00C22380" w:rsidRDefault="00C22380" w:rsidP="00C22380">
      <w:pPr>
        <w:rPr>
          <w:sz w:val="20"/>
          <w:szCs w:val="20"/>
          <w:lang w:val="en-GB"/>
        </w:rPr>
      </w:pPr>
      <w:r w:rsidRPr="00C22380">
        <w:rPr>
          <w:sz w:val="20"/>
          <w:szCs w:val="20"/>
          <w:lang w:val="en-GB"/>
        </w:rPr>
        <w:t>Freedom of association is legally guaranteed, but its practical effectiveness is limited. In the cocoa sector, collective organisation takes the form of cooperatives and farmer-based organisations rather than trade unions. While these structures are present and generally trusted</w:t>
      </w:r>
      <w:r w:rsidR="00C575BB">
        <w:rPr>
          <w:sz w:val="20"/>
          <w:szCs w:val="20"/>
          <w:lang w:val="en-GB"/>
        </w:rPr>
        <w:t xml:space="preserve"> (</w:t>
      </w:r>
      <w:r w:rsidRPr="00C22380">
        <w:rPr>
          <w:sz w:val="20"/>
          <w:szCs w:val="20"/>
          <w:lang w:val="en-GB"/>
        </w:rPr>
        <w:t xml:space="preserve">97% of </w:t>
      </w:r>
      <w:r w:rsidR="00602B0C">
        <w:rPr>
          <w:sz w:val="20"/>
          <w:szCs w:val="20"/>
          <w:lang w:val="en-GB"/>
        </w:rPr>
        <w:t>mini-surveyed</w:t>
      </w:r>
      <w:r w:rsidR="00602B0C" w:rsidRPr="00C22380">
        <w:rPr>
          <w:sz w:val="20"/>
          <w:szCs w:val="20"/>
          <w:lang w:val="en-GB"/>
        </w:rPr>
        <w:t xml:space="preserve"> </w:t>
      </w:r>
      <w:r w:rsidRPr="00C22380">
        <w:rPr>
          <w:sz w:val="20"/>
          <w:szCs w:val="20"/>
          <w:lang w:val="en-GB"/>
        </w:rPr>
        <w:t>cooperative members</w:t>
      </w:r>
      <w:r w:rsidR="00602B0C">
        <w:rPr>
          <w:rStyle w:val="FootnoteReference"/>
          <w:sz w:val="20"/>
          <w:szCs w:val="20"/>
          <w:lang w:val="en-GB"/>
        </w:rPr>
        <w:t xml:space="preserve"> </w:t>
      </w:r>
      <w:r w:rsidRPr="00C22380">
        <w:rPr>
          <w:sz w:val="20"/>
          <w:szCs w:val="20"/>
          <w:lang w:val="en-GB"/>
        </w:rPr>
        <w:t>reported high levels of trust and engagement</w:t>
      </w:r>
      <w:r w:rsidR="00C575BB">
        <w:rPr>
          <w:sz w:val="20"/>
          <w:szCs w:val="20"/>
          <w:lang w:val="en-GB"/>
        </w:rPr>
        <w:t>)</w:t>
      </w:r>
      <w:r w:rsidRPr="00C22380">
        <w:rPr>
          <w:sz w:val="20"/>
          <w:szCs w:val="20"/>
          <w:lang w:val="en-GB"/>
        </w:rPr>
        <w:t xml:space="preserve">, they do not translate into strong bargaining power. Generally, fewer than 20–30% of </w:t>
      </w:r>
      <w:r w:rsidR="00EC52F0">
        <w:rPr>
          <w:sz w:val="20"/>
          <w:szCs w:val="20"/>
          <w:lang w:val="en-GB"/>
        </w:rPr>
        <w:t xml:space="preserve">cocoa </w:t>
      </w:r>
      <w:r w:rsidRPr="00C22380">
        <w:rPr>
          <w:sz w:val="20"/>
          <w:szCs w:val="20"/>
          <w:lang w:val="en-GB"/>
        </w:rPr>
        <w:t>farmers are members of formal cooperatives, and most continue to sell through informal channels without collective price negotiation (MAFS, 202</w:t>
      </w:r>
      <w:r w:rsidR="00E02EDF">
        <w:rPr>
          <w:sz w:val="20"/>
          <w:szCs w:val="20"/>
          <w:lang w:val="en-GB"/>
        </w:rPr>
        <w:t>4</w:t>
      </w:r>
      <w:r w:rsidRPr="00C22380">
        <w:rPr>
          <w:sz w:val="20"/>
          <w:szCs w:val="20"/>
          <w:lang w:val="en-GB"/>
        </w:rPr>
        <w:t>), which has little influence over prices. Even organised cooperatives remain dependent on external buyers and global market conditions. Farmers consistently report accepting prices offered by agents or exporters, reflecting weak bargaining power and limited access to reliable market information. As a result, the association exists but does not significantly improve economic outcomes, limiting its contribution to social sustainability.</w:t>
      </w:r>
    </w:p>
    <w:p w14:paraId="2967CC9C" w14:textId="77777777" w:rsidR="00C22380" w:rsidRPr="00C22380" w:rsidRDefault="00C22380" w:rsidP="00C22380">
      <w:pPr>
        <w:rPr>
          <w:sz w:val="20"/>
          <w:szCs w:val="20"/>
          <w:lang w:val="en-GB"/>
        </w:rPr>
      </w:pPr>
    </w:p>
    <w:p w14:paraId="0E2158D6" w14:textId="77777777" w:rsidR="00C22380" w:rsidRPr="00C22380" w:rsidRDefault="00C22380" w:rsidP="00C22380">
      <w:pPr>
        <w:rPr>
          <w:sz w:val="20"/>
          <w:szCs w:val="20"/>
          <w:lang w:val="en-GB"/>
        </w:rPr>
      </w:pPr>
      <w:r w:rsidRPr="00C22380">
        <w:rPr>
          <w:sz w:val="20"/>
          <w:szCs w:val="20"/>
          <w:lang w:val="en-GB"/>
        </w:rPr>
        <w:t>The absence of enforceable and fair contracts reinforces this dynamic. Across the CVC, formal contracts are largely confined to exporters and, to some extent, cooperative structures. Outside these settings, economic relationships are governed by custom, reputation, and immediate exchange. Farmers rely on repeated interactions and trust, while side-selling is common, reflecting both opportunistic behaviour and survival strategies. This lack of formalisation creates uncertainty and exposes actors to price volatility, opportunistic practices, and unstable income flows. While Fairtrade-certified cooperatives demonstrate more formalised arrangements, low literacy among rural populations constrains transparency and effective understanding of contractual terms, including premium and bonus distribution. Overall, the absence of enforceable contracts undermines predictability and fairness in the value chain.</w:t>
      </w:r>
    </w:p>
    <w:p w14:paraId="3059CD41" w14:textId="77777777" w:rsidR="00C22380" w:rsidRPr="00C22380" w:rsidRDefault="00C22380" w:rsidP="00C22380">
      <w:pPr>
        <w:rPr>
          <w:sz w:val="20"/>
          <w:szCs w:val="20"/>
          <w:lang w:val="en-GB"/>
        </w:rPr>
      </w:pPr>
    </w:p>
    <w:p w14:paraId="00240358" w14:textId="4FFCB7C0" w:rsidR="00C22380" w:rsidRPr="00C22380" w:rsidRDefault="00C22380" w:rsidP="00C22380">
      <w:pPr>
        <w:rPr>
          <w:sz w:val="20"/>
          <w:szCs w:val="20"/>
          <w:lang w:val="en-GB"/>
        </w:rPr>
      </w:pPr>
      <w:r w:rsidRPr="00C22380">
        <w:rPr>
          <w:sz w:val="20"/>
          <w:szCs w:val="20"/>
          <w:lang w:val="en-GB"/>
        </w:rPr>
        <w:t>The analysis of forced labour risks highlights a similar structural pattern. Although there is no direct evidence of forced labour in the strict legal sense, underlying vulnerabilities remain significant. Respondents perceive that labour demand at the production level is high, working hours are widely described as unmanageable, and family labour, including children, is frequently used. A key finding from the field data is the universal indebtedness of interviewed farmers</w:t>
      </w:r>
      <w:r w:rsidR="003570EA">
        <w:rPr>
          <w:rStyle w:val="FootnoteReference"/>
          <w:sz w:val="20"/>
          <w:szCs w:val="20"/>
          <w:lang w:val="en-GB"/>
        </w:rPr>
        <w:footnoteReference w:id="5"/>
      </w:r>
      <w:r w:rsidRPr="00C22380">
        <w:rPr>
          <w:sz w:val="20"/>
          <w:szCs w:val="20"/>
          <w:lang w:val="en-GB"/>
        </w:rPr>
        <w:t>, who rely on VSLAs or pre-financing from agents</w:t>
      </w:r>
      <w:r w:rsidR="00055DA0">
        <w:rPr>
          <w:sz w:val="20"/>
          <w:szCs w:val="20"/>
          <w:lang w:val="en-GB"/>
        </w:rPr>
        <w:t xml:space="preserve"> or cooperatives, both of which are pre-financed by exporters,</w:t>
      </w:r>
      <w:r w:rsidRPr="00C22380">
        <w:rPr>
          <w:sz w:val="20"/>
          <w:szCs w:val="20"/>
          <w:lang w:val="en-GB"/>
        </w:rPr>
        <w:t xml:space="preserve"> to cover essential needs. Repayment systems, such as exchanging one bag of rice (600–670 SLE/50kg) for one bag of cocoa beans (over 6000 SLE/62.4 kg), create strong economic </w:t>
      </w:r>
      <w:r w:rsidRPr="00C22380">
        <w:rPr>
          <w:sz w:val="20"/>
          <w:szCs w:val="20"/>
          <w:lang w:val="en-GB"/>
        </w:rPr>
        <w:lastRenderedPageBreak/>
        <w:t xml:space="preserve">dependency and tie farmers to specific buyers. Our findings indicate that this is particularly practised by poor or female-headed households in the hungry month of August, when food shortages are highest, and these households reduce to one meal a day. </w:t>
      </w:r>
      <w:r w:rsidR="008C2FFA">
        <w:rPr>
          <w:sz w:val="20"/>
          <w:szCs w:val="20"/>
          <w:lang w:val="en-GB"/>
        </w:rPr>
        <w:t xml:space="preserve">But at </w:t>
      </w:r>
      <w:r w:rsidR="002D0563">
        <w:rPr>
          <w:sz w:val="20"/>
          <w:szCs w:val="20"/>
          <w:lang w:val="en-GB"/>
        </w:rPr>
        <w:t xml:space="preserve">a broader scale, this </w:t>
      </w:r>
      <w:r w:rsidR="009E6021">
        <w:rPr>
          <w:sz w:val="20"/>
          <w:szCs w:val="20"/>
          <w:lang w:val="en-GB"/>
        </w:rPr>
        <w:t>exploitative</w:t>
      </w:r>
      <w:r w:rsidR="002D0563">
        <w:rPr>
          <w:sz w:val="20"/>
          <w:szCs w:val="20"/>
          <w:lang w:val="en-GB"/>
        </w:rPr>
        <w:t xml:space="preserve"> practice has been </w:t>
      </w:r>
      <w:r w:rsidR="00EE1DC6">
        <w:rPr>
          <w:sz w:val="20"/>
          <w:szCs w:val="20"/>
          <w:lang w:val="en-GB"/>
        </w:rPr>
        <w:t xml:space="preserve">recently </w:t>
      </w:r>
      <w:r w:rsidR="002D0563">
        <w:rPr>
          <w:sz w:val="20"/>
          <w:szCs w:val="20"/>
          <w:lang w:val="en-GB"/>
        </w:rPr>
        <w:t xml:space="preserve">declining among producers connected to cooperatives or agents pre-financed by exporters. </w:t>
      </w:r>
      <w:r w:rsidRPr="00C22380">
        <w:rPr>
          <w:sz w:val="20"/>
          <w:szCs w:val="20"/>
          <w:lang w:val="en-GB"/>
        </w:rPr>
        <w:t>While not coercive in a formal sense, these arrangements limit autonomy and reinforce unequal power relations, indicating that economic vulnerability functions as a structural driver of labour risks.</w:t>
      </w:r>
    </w:p>
    <w:p w14:paraId="00A0FA73" w14:textId="77777777" w:rsidR="00C22380" w:rsidRPr="00C22380" w:rsidRDefault="00C22380" w:rsidP="00C22380">
      <w:pPr>
        <w:rPr>
          <w:sz w:val="20"/>
          <w:szCs w:val="20"/>
          <w:lang w:val="en-GB"/>
        </w:rPr>
      </w:pPr>
    </w:p>
    <w:p w14:paraId="7109E539" w14:textId="403AD8B9" w:rsidR="00531ECC" w:rsidRPr="00C22380" w:rsidRDefault="00C22380" w:rsidP="00C22380">
      <w:pPr>
        <w:rPr>
          <w:sz w:val="20"/>
          <w:szCs w:val="20"/>
          <w:lang w:val="en-GB"/>
        </w:rPr>
      </w:pPr>
      <w:r w:rsidRPr="00C22380">
        <w:rPr>
          <w:sz w:val="20"/>
          <w:szCs w:val="20"/>
          <w:lang w:val="en-GB"/>
        </w:rPr>
        <w:t>Discrimination, particularly along gender lines, remains a systemic issue. Despite improvements in the legal framework, including the Customary Land Rights Act</w:t>
      </w:r>
      <w:r w:rsidR="000B3323">
        <w:rPr>
          <w:sz w:val="20"/>
          <w:szCs w:val="20"/>
          <w:lang w:val="en-GB"/>
        </w:rPr>
        <w:t xml:space="preserve"> (</w:t>
      </w:r>
      <w:r w:rsidR="000B3323" w:rsidRPr="000B3323">
        <w:rPr>
          <w:sz w:val="20"/>
          <w:szCs w:val="20"/>
        </w:rPr>
        <w:t>Government of Sierra Leone, 2022a)</w:t>
      </w:r>
      <w:r w:rsidRPr="00C22380">
        <w:rPr>
          <w:sz w:val="20"/>
          <w:szCs w:val="20"/>
          <w:lang w:val="en-GB"/>
        </w:rPr>
        <w:t xml:space="preserve"> and the Gender Equality and Women’s Empowerment Act</w:t>
      </w:r>
      <w:r w:rsidR="00D232B7">
        <w:rPr>
          <w:sz w:val="20"/>
          <w:szCs w:val="20"/>
          <w:lang w:val="en-GB"/>
        </w:rPr>
        <w:t xml:space="preserve"> (</w:t>
      </w:r>
      <w:r w:rsidR="00D232B7" w:rsidRPr="005A2AD7">
        <w:rPr>
          <w:sz w:val="20"/>
          <w:szCs w:val="20"/>
          <w:lang w:val="en-GB"/>
        </w:rPr>
        <w:t>Government of Sierra Leone, 2022b)</w:t>
      </w:r>
      <w:r w:rsidRPr="00C22380">
        <w:rPr>
          <w:sz w:val="20"/>
          <w:szCs w:val="20"/>
          <w:lang w:val="en-GB"/>
        </w:rPr>
        <w:t>, structural inequalities remain deeply embedded in both the household and the value chain. National data show that only 12.9% of women report secure land tenure compared to 20.4% of men, and women have consistently lower access to finance across all channels (Statistics Sierra Leone &amp; MAFS, 2024). Field evidence confirms that women contribute extensively to cocoa production but have less control over income and resources. In our sample</w:t>
      </w:r>
      <w:r w:rsidR="00CE60CC">
        <w:rPr>
          <w:rStyle w:val="FootnoteReference"/>
          <w:sz w:val="20"/>
          <w:szCs w:val="20"/>
          <w:lang w:val="en-GB"/>
        </w:rPr>
        <w:footnoteReference w:id="6"/>
      </w:r>
      <w:r w:rsidRPr="00C22380">
        <w:rPr>
          <w:sz w:val="20"/>
          <w:szCs w:val="20"/>
          <w:lang w:val="en-GB"/>
        </w:rPr>
        <w:t>, women operate smaller farms (6.0 vs 9.7 acres), have lower empowerment scores</w:t>
      </w:r>
      <w:r w:rsidR="00BA13E9">
        <w:rPr>
          <w:rStyle w:val="FootnoteReference"/>
          <w:sz w:val="20"/>
          <w:szCs w:val="20"/>
          <w:lang w:val="en-GB"/>
        </w:rPr>
        <w:footnoteReference w:id="7"/>
      </w:r>
      <w:r w:rsidR="00BF6504">
        <w:rPr>
          <w:sz w:val="20"/>
          <w:szCs w:val="20"/>
          <w:vertAlign w:val="superscript"/>
          <w:lang w:val="en-GB"/>
        </w:rPr>
        <w:t>,</w:t>
      </w:r>
      <w:r w:rsidR="00065835">
        <w:rPr>
          <w:rStyle w:val="FootnoteReference"/>
          <w:sz w:val="20"/>
          <w:szCs w:val="20"/>
          <w:lang w:val="en-GB"/>
        </w:rPr>
        <w:footnoteReference w:id="8"/>
      </w:r>
      <w:r w:rsidRPr="00C22380">
        <w:rPr>
          <w:sz w:val="20"/>
          <w:szCs w:val="20"/>
          <w:lang w:val="en-GB"/>
        </w:rPr>
        <w:t xml:space="preserve"> (0.62 vs 0.81), and significantly lower control over farm resources</w:t>
      </w:r>
      <w:r w:rsidR="00B3362C" w:rsidRPr="005A2AD7">
        <w:rPr>
          <w:sz w:val="20"/>
          <w:szCs w:val="20"/>
          <w:vertAlign w:val="superscript"/>
          <w:lang w:val="en-GB"/>
        </w:rPr>
        <w:t>9</w:t>
      </w:r>
      <w:r w:rsidR="00BF6504">
        <w:rPr>
          <w:sz w:val="20"/>
          <w:szCs w:val="20"/>
          <w:vertAlign w:val="superscript"/>
          <w:lang w:val="en-GB"/>
        </w:rPr>
        <w:t>,</w:t>
      </w:r>
      <w:r w:rsidR="00B3362C">
        <w:rPr>
          <w:rStyle w:val="FootnoteReference"/>
          <w:sz w:val="20"/>
          <w:szCs w:val="20"/>
          <w:lang w:val="en-GB"/>
        </w:rPr>
        <w:footnoteReference w:id="9"/>
      </w:r>
      <w:r w:rsidRPr="00C22380">
        <w:rPr>
          <w:sz w:val="20"/>
          <w:szCs w:val="20"/>
          <w:lang w:val="en-GB"/>
        </w:rPr>
        <w:t xml:space="preserve"> (0.39 vs 0.73). Access to market information is also gendered, with only women reporting low access. These disparities are reinforced by social norms and household dynamics, particularly in polygamous households, and by limited representation in trading and intermediary roles. These patterns reflect a system in which women’s labour contributions are substantial but not matched by economic empowerment, reinforcing inequality and limiting inclusive development.</w:t>
      </w:r>
    </w:p>
    <w:p w14:paraId="422D68C1" w14:textId="77777777" w:rsidR="00C22380" w:rsidRPr="00C22380" w:rsidRDefault="00C22380" w:rsidP="00C22380">
      <w:pPr>
        <w:rPr>
          <w:sz w:val="20"/>
          <w:szCs w:val="20"/>
          <w:lang w:val="en-GB"/>
        </w:rPr>
      </w:pPr>
    </w:p>
    <w:p w14:paraId="63189884" w14:textId="53A78141" w:rsidR="00C22380" w:rsidRPr="00C22380" w:rsidRDefault="00C22380" w:rsidP="00C22380">
      <w:pPr>
        <w:rPr>
          <w:sz w:val="20"/>
          <w:szCs w:val="20"/>
          <w:lang w:val="en-GB"/>
        </w:rPr>
      </w:pPr>
      <w:r w:rsidRPr="00C22380">
        <w:rPr>
          <w:sz w:val="20"/>
          <w:szCs w:val="20"/>
          <w:lang w:val="en-GB"/>
        </w:rPr>
        <w:t>At the household level, working conditions are further shaped by the interaction between low income, labour demand, and vulnerability. Cocoa farming is labour-intensive, with farmers reporting long working hours, often exceeding ten hours per day during peak periods. Occupational safety is weak, with most interviewed farmers</w:t>
      </w:r>
      <w:r w:rsidR="0058067B">
        <w:rPr>
          <w:rStyle w:val="FootnoteReference"/>
          <w:sz w:val="20"/>
          <w:szCs w:val="20"/>
          <w:lang w:val="en-GB"/>
        </w:rPr>
        <w:footnoteReference w:id="10"/>
      </w:r>
      <w:r w:rsidRPr="00C22380">
        <w:rPr>
          <w:sz w:val="20"/>
          <w:szCs w:val="20"/>
          <w:lang w:val="en-GB"/>
        </w:rPr>
        <w:t xml:space="preserve"> lacking access to protective equipment and reporting exposure to physically demanding and hazardous tasks such as brushing (69%), harvesting (50%), and transport (16%). Only two respondents reported owning PPE, and some farmers presented visible work-related injuries. Combined with weak healthcare systems, this significantly increases vulnerability and reduces productivity.</w:t>
      </w:r>
    </w:p>
    <w:p w14:paraId="419FE914" w14:textId="77777777" w:rsidR="00C22380" w:rsidRPr="00C22380" w:rsidRDefault="00C22380" w:rsidP="00C22380">
      <w:pPr>
        <w:rPr>
          <w:sz w:val="20"/>
          <w:szCs w:val="20"/>
          <w:lang w:val="en-GB"/>
        </w:rPr>
      </w:pPr>
    </w:p>
    <w:p w14:paraId="2EBD7809" w14:textId="60498106" w:rsidR="00C22380" w:rsidRPr="00C22380" w:rsidRDefault="00C22380" w:rsidP="00C22380">
      <w:pPr>
        <w:rPr>
          <w:sz w:val="20"/>
          <w:szCs w:val="20"/>
        </w:rPr>
      </w:pPr>
      <w:r w:rsidRPr="00C22380">
        <w:rPr>
          <w:sz w:val="20"/>
          <w:szCs w:val="20"/>
          <w:lang w:val="en-GB"/>
        </w:rPr>
        <w:t>At the same time, cocoa remains economically unattractive for many young people. Prices have declined from approximately 150–160 SLE/kg to 80–90 SLE/kg</w:t>
      </w:r>
      <w:r w:rsidRPr="00C22380">
        <w:rPr>
          <w:rStyle w:val="FootnoteReference"/>
          <w:sz w:val="20"/>
          <w:szCs w:val="20"/>
          <w:lang w:val="en-GB"/>
        </w:rPr>
        <w:footnoteReference w:id="11"/>
      </w:r>
      <w:r w:rsidRPr="00C22380">
        <w:rPr>
          <w:sz w:val="20"/>
          <w:szCs w:val="20"/>
          <w:lang w:val="en-GB"/>
        </w:rPr>
        <w:t xml:space="preserve"> </w:t>
      </w:r>
      <w:r w:rsidR="0034214D" w:rsidRPr="0034214D">
        <w:rPr>
          <w:sz w:val="20"/>
          <w:szCs w:val="20"/>
          <w:lang w:val="en-GB"/>
        </w:rPr>
        <w:t>over the current period, while labour costs remain high</w:t>
      </w:r>
      <w:r w:rsidRPr="00C22380">
        <w:rPr>
          <w:sz w:val="20"/>
          <w:szCs w:val="20"/>
          <w:lang w:val="en-GB"/>
        </w:rPr>
        <w:t xml:space="preserve">. Our </w:t>
      </w:r>
      <w:proofErr w:type="gramStart"/>
      <w:r w:rsidRPr="00C22380">
        <w:rPr>
          <w:sz w:val="20"/>
          <w:szCs w:val="20"/>
          <w:lang w:val="en-GB"/>
        </w:rPr>
        <w:t>mini-survey</w:t>
      </w:r>
      <w:proofErr w:type="gramEnd"/>
      <w:r w:rsidRPr="00C22380">
        <w:rPr>
          <w:sz w:val="20"/>
          <w:szCs w:val="20"/>
          <w:lang w:val="en-GB"/>
        </w:rPr>
        <w:t xml:space="preserve"> shows that 63% of farmers perceive income as insufficient, only 6% consider it sufficient, and 90% report instability. This income constraint reinforces reliance on informal labour, </w:t>
      </w:r>
      <w:r w:rsidR="00D76933">
        <w:rPr>
          <w:sz w:val="20"/>
          <w:szCs w:val="20"/>
          <w:lang w:val="en-GB"/>
        </w:rPr>
        <w:t xml:space="preserve">intra-household </w:t>
      </w:r>
      <w:r w:rsidR="00A2674D">
        <w:rPr>
          <w:sz w:val="20"/>
          <w:szCs w:val="20"/>
          <w:lang w:val="en-GB"/>
        </w:rPr>
        <w:t>work of children/</w:t>
      </w:r>
      <w:r w:rsidRPr="00C22380">
        <w:rPr>
          <w:sz w:val="20"/>
          <w:szCs w:val="20"/>
          <w:lang w:val="en-GB"/>
        </w:rPr>
        <w:t>child labour</w:t>
      </w:r>
      <w:r w:rsidR="00D76933">
        <w:rPr>
          <w:rStyle w:val="FootnoteReference"/>
          <w:sz w:val="20"/>
          <w:szCs w:val="20"/>
          <w:lang w:val="en-GB"/>
        </w:rPr>
        <w:footnoteReference w:id="12"/>
      </w:r>
      <w:r w:rsidRPr="00C22380">
        <w:rPr>
          <w:sz w:val="20"/>
          <w:szCs w:val="20"/>
          <w:lang w:val="en-GB"/>
        </w:rPr>
        <w:t xml:space="preserve">, and </w:t>
      </w:r>
      <w:r w:rsidRPr="00C22380">
        <w:rPr>
          <w:sz w:val="20"/>
          <w:szCs w:val="20"/>
          <w:lang w:val="en-GB"/>
        </w:rPr>
        <w:lastRenderedPageBreak/>
        <w:t>farmers’ debt, creating a cycle in which poor working conditions are both a cause and a consequence of low income. It also contributes to youth disengagement, as younger generations perceive cocoa as less attractive than alternative livelihoods such as mining or driving</w:t>
      </w:r>
      <w:r w:rsidR="00D242CF">
        <w:rPr>
          <w:rStyle w:val="FootnoteReference"/>
          <w:sz w:val="20"/>
          <w:szCs w:val="20"/>
          <w:lang w:val="en-GB"/>
        </w:rPr>
        <w:footnoteReference w:id="13"/>
      </w:r>
      <w:r w:rsidRPr="00C22380">
        <w:rPr>
          <w:sz w:val="20"/>
          <w:szCs w:val="20"/>
          <w:lang w:val="en-GB"/>
        </w:rPr>
        <w:t xml:space="preserve"> in urban areas.  </w:t>
      </w:r>
      <w:r w:rsidRPr="00C22380">
        <w:rPr>
          <w:sz w:val="20"/>
          <w:szCs w:val="20"/>
        </w:rPr>
        <w:t xml:space="preserve">Some development interventions have addressed this challenge by creating </w:t>
      </w:r>
      <w:proofErr w:type="spellStart"/>
      <w:r w:rsidRPr="00C22380">
        <w:rPr>
          <w:sz w:val="20"/>
          <w:szCs w:val="20"/>
        </w:rPr>
        <w:t>specialised</w:t>
      </w:r>
      <w:proofErr w:type="spellEnd"/>
      <w:r w:rsidRPr="00C22380">
        <w:rPr>
          <w:sz w:val="20"/>
          <w:szCs w:val="20"/>
        </w:rPr>
        <w:t xml:space="preserve"> youth work gangs trained to perform specific tasks, such as pruning. At the same time, the </w:t>
      </w:r>
      <w:proofErr w:type="spellStart"/>
      <w:r w:rsidRPr="00C22380">
        <w:rPr>
          <w:sz w:val="20"/>
          <w:szCs w:val="20"/>
        </w:rPr>
        <w:t>labour-intensive</w:t>
      </w:r>
      <w:proofErr w:type="spellEnd"/>
      <w:r w:rsidRPr="00C22380">
        <w:rPr>
          <w:sz w:val="20"/>
          <w:szCs w:val="20"/>
        </w:rPr>
        <w:t xml:space="preserve"> nature of cocoa production, combined with limited household </w:t>
      </w:r>
      <w:proofErr w:type="spellStart"/>
      <w:r w:rsidRPr="00C22380">
        <w:rPr>
          <w:sz w:val="20"/>
          <w:szCs w:val="20"/>
        </w:rPr>
        <w:t>labour</w:t>
      </w:r>
      <w:proofErr w:type="spellEnd"/>
      <w:r w:rsidRPr="00C22380">
        <w:rPr>
          <w:sz w:val="20"/>
          <w:szCs w:val="20"/>
        </w:rPr>
        <w:t xml:space="preserve"> availability, requires the use of hired workers. In this context, cocoa producers also act as employers, but largely within precarious and informal </w:t>
      </w:r>
      <w:proofErr w:type="spellStart"/>
      <w:r w:rsidRPr="00C22380">
        <w:rPr>
          <w:sz w:val="20"/>
          <w:szCs w:val="20"/>
        </w:rPr>
        <w:t>labour</w:t>
      </w:r>
      <w:proofErr w:type="spellEnd"/>
      <w:r w:rsidRPr="00C22380">
        <w:rPr>
          <w:sz w:val="20"/>
          <w:szCs w:val="20"/>
        </w:rPr>
        <w:t xml:space="preserve"> arrangements. These conditions, along with the physically demanding nature of cocoa production, reduce its attractiveness to young people.</w:t>
      </w:r>
    </w:p>
    <w:p w14:paraId="35B2CDF5" w14:textId="77777777" w:rsidR="00C22380" w:rsidRPr="00C22380" w:rsidRDefault="00C22380" w:rsidP="00C22380">
      <w:pPr>
        <w:rPr>
          <w:sz w:val="20"/>
          <w:szCs w:val="20"/>
        </w:rPr>
      </w:pPr>
    </w:p>
    <w:p w14:paraId="2793FDEE" w14:textId="302AD31C" w:rsidR="00C22380" w:rsidRPr="00C22380" w:rsidRDefault="00C22380" w:rsidP="00C22380">
      <w:pPr>
        <w:rPr>
          <w:sz w:val="20"/>
          <w:szCs w:val="20"/>
          <w:lang w:val="en-GB"/>
        </w:rPr>
      </w:pPr>
      <w:r w:rsidRPr="00C22380">
        <w:rPr>
          <w:sz w:val="20"/>
          <w:szCs w:val="20"/>
          <w:lang w:val="en-GB"/>
        </w:rPr>
        <w:t>Overall, the findings demonstrate that working conditions in the CVC are shaped by interconnected structural constraints: informality, low income, weak organisation, and limited-service provision. While legal frameworks and cooperative structures provide a foundation for improvement, they have not yet translated into consistent and equitable labour outcomes</w:t>
      </w:r>
      <w:r w:rsidR="001D7AAC">
        <w:rPr>
          <w:sz w:val="20"/>
          <w:szCs w:val="20"/>
          <w:lang w:val="en-GB"/>
        </w:rPr>
        <w:t xml:space="preserve"> (</w:t>
      </w:r>
      <w:r w:rsidR="001D7AAC">
        <w:rPr>
          <w:sz w:val="20"/>
          <w:szCs w:val="20"/>
          <w:lang w:val="en-GB"/>
        </w:rPr>
        <w:fldChar w:fldCharType="begin"/>
      </w:r>
      <w:r w:rsidR="001D7AAC">
        <w:rPr>
          <w:sz w:val="20"/>
          <w:szCs w:val="20"/>
          <w:lang w:val="en-GB"/>
        </w:rPr>
        <w:instrText xml:space="preserve"> REF _Ref227059880 \h </w:instrText>
      </w:r>
      <w:r w:rsidR="001D7AAC">
        <w:rPr>
          <w:sz w:val="20"/>
          <w:szCs w:val="20"/>
          <w:lang w:val="en-GB"/>
        </w:rPr>
      </w:r>
      <w:r w:rsidR="001D7AAC">
        <w:rPr>
          <w:sz w:val="20"/>
          <w:szCs w:val="20"/>
          <w:lang w:val="en-GB"/>
        </w:rPr>
        <w:fldChar w:fldCharType="separate"/>
      </w:r>
      <w:r w:rsidR="001D7AAC">
        <w:t xml:space="preserve">Table </w:t>
      </w:r>
      <w:r w:rsidR="001D7AAC">
        <w:rPr>
          <w:noProof/>
        </w:rPr>
        <w:t>4</w:t>
      </w:r>
      <w:r w:rsidR="001D7AAC">
        <w:noBreakHyphen/>
      </w:r>
      <w:r w:rsidR="001D7AAC">
        <w:rPr>
          <w:noProof/>
        </w:rPr>
        <w:t>1</w:t>
      </w:r>
      <w:r w:rsidR="001D7AAC">
        <w:rPr>
          <w:sz w:val="20"/>
          <w:szCs w:val="20"/>
          <w:lang w:val="en-GB"/>
        </w:rPr>
        <w:fldChar w:fldCharType="end"/>
      </w:r>
      <w:r w:rsidR="001D7AAC">
        <w:rPr>
          <w:sz w:val="20"/>
          <w:szCs w:val="20"/>
          <w:lang w:val="en-GB"/>
        </w:rPr>
        <w:t>)</w:t>
      </w:r>
      <w:r w:rsidRPr="00C22380">
        <w:rPr>
          <w:sz w:val="20"/>
          <w:szCs w:val="20"/>
          <w:lang w:val="en-GB"/>
        </w:rPr>
        <w:t>.</w:t>
      </w:r>
    </w:p>
    <w:p w14:paraId="738169B3" w14:textId="77777777" w:rsidR="00C22380" w:rsidRDefault="00C22380" w:rsidP="00C22380">
      <w:pPr>
        <w:rPr>
          <w:lang w:val="en-GB"/>
        </w:rPr>
      </w:pPr>
    </w:p>
    <w:p w14:paraId="65AA7A61" w14:textId="52056544" w:rsidR="001D7AAC" w:rsidRDefault="001D7AAC" w:rsidP="001D7AAC">
      <w:pPr>
        <w:pStyle w:val="Caption"/>
        <w:keepNext/>
        <w:jc w:val="center"/>
      </w:pPr>
      <w:bookmarkStart w:id="131" w:name="_Ref227059880"/>
      <w:bookmarkStart w:id="132" w:name="_Toc228701079"/>
      <w:r>
        <w:t xml:space="preserve">Table </w:t>
      </w:r>
      <w:fldSimple w:instr=" STYLEREF 1 \s ">
        <w:r w:rsidR="006C1C4E">
          <w:rPr>
            <w:noProof/>
          </w:rPr>
          <w:t>4</w:t>
        </w:r>
      </w:fldSimple>
      <w:r w:rsidR="006C1C4E">
        <w:noBreakHyphen/>
      </w:r>
      <w:fldSimple w:instr=" SEQ Table \* ARABIC \s 1 ">
        <w:r w:rsidR="006C1C4E">
          <w:rPr>
            <w:noProof/>
          </w:rPr>
          <w:t>1</w:t>
        </w:r>
      </w:fldSimple>
      <w:bookmarkEnd w:id="131"/>
      <w:r>
        <w:t xml:space="preserve"> </w:t>
      </w:r>
      <w:r w:rsidRPr="00E65A1D">
        <w:t>Assessment of Working Conditions</w:t>
      </w:r>
      <w:bookmarkEnd w:id="132"/>
    </w:p>
    <w:tbl>
      <w:tblPr>
        <w:tblStyle w:val="TableGrid"/>
        <w:tblW w:w="0" w:type="auto"/>
        <w:jc w:val="center"/>
        <w:tblLook w:val="04A0" w:firstRow="1" w:lastRow="0" w:firstColumn="1" w:lastColumn="0" w:noHBand="0" w:noVBand="1"/>
      </w:tblPr>
      <w:tblGrid>
        <w:gridCol w:w="2547"/>
        <w:gridCol w:w="1961"/>
      </w:tblGrid>
      <w:tr w:rsidR="00C22380" w:rsidRPr="0079547A" w14:paraId="49463C1D"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74645CBA" w14:textId="77777777" w:rsidR="00C22380" w:rsidRPr="0079547A" w:rsidRDefault="00C22380" w:rsidP="00930C4A">
            <w:pPr>
              <w:rPr>
                <w:bCs/>
                <w:lang w:val="tr-TR"/>
              </w:rPr>
            </w:pPr>
            <w:r w:rsidRPr="0079547A">
              <w:rPr>
                <w:bCs/>
                <w:lang w:val="tr-TR"/>
              </w:rPr>
              <w:t>Working Conditions</w:t>
            </w:r>
          </w:p>
        </w:tc>
      </w:tr>
      <w:tr w:rsidR="00C22380" w:rsidRPr="0079547A" w14:paraId="1730BFE0" w14:textId="77777777" w:rsidTr="00930C4A">
        <w:trPr>
          <w:jc w:val="center"/>
        </w:trPr>
        <w:tc>
          <w:tcPr>
            <w:tcW w:w="2547" w:type="dxa"/>
          </w:tcPr>
          <w:p w14:paraId="267CF7C8" w14:textId="77777777" w:rsidR="00C22380" w:rsidRPr="0079547A" w:rsidRDefault="00C22380" w:rsidP="00930C4A">
            <w:pPr>
              <w:rPr>
                <w:lang w:val="tr-TR"/>
              </w:rPr>
            </w:pPr>
            <w:r w:rsidRPr="0079547A">
              <w:rPr>
                <w:lang w:val="tr-TR"/>
              </w:rPr>
              <w:t>Respect of Labour Rights</w:t>
            </w:r>
          </w:p>
        </w:tc>
        <w:tc>
          <w:tcPr>
            <w:tcW w:w="1961" w:type="dxa"/>
            <w:shd w:val="clear" w:color="auto" w:fill="FFC000"/>
          </w:tcPr>
          <w:p w14:paraId="233A85EE" w14:textId="77777777" w:rsidR="00C22380" w:rsidRPr="0079547A" w:rsidRDefault="00C22380" w:rsidP="00930C4A">
            <w:pPr>
              <w:rPr>
                <w:lang w:val="tr-TR"/>
              </w:rPr>
            </w:pPr>
          </w:p>
        </w:tc>
      </w:tr>
      <w:tr w:rsidR="00C22380" w:rsidRPr="00863E9E" w14:paraId="2BFAF41D" w14:textId="77777777" w:rsidTr="00930C4A">
        <w:trPr>
          <w:jc w:val="center"/>
        </w:trPr>
        <w:tc>
          <w:tcPr>
            <w:tcW w:w="2547" w:type="dxa"/>
          </w:tcPr>
          <w:p w14:paraId="443DA1A2" w14:textId="77777777" w:rsidR="00C22380" w:rsidRPr="0079547A" w:rsidRDefault="00C22380" w:rsidP="00930C4A">
            <w:pPr>
              <w:rPr>
                <w:lang w:val="tr-TR"/>
              </w:rPr>
            </w:pPr>
            <w:r w:rsidRPr="0079547A">
              <w:rPr>
                <w:lang w:val="tr-TR"/>
              </w:rPr>
              <w:t xml:space="preserve">Child Labour </w:t>
            </w:r>
          </w:p>
        </w:tc>
        <w:tc>
          <w:tcPr>
            <w:tcW w:w="1961" w:type="dxa"/>
            <w:shd w:val="clear" w:color="auto" w:fill="FFC000"/>
          </w:tcPr>
          <w:p w14:paraId="0B6E929B" w14:textId="77777777" w:rsidR="00C22380" w:rsidRPr="0079547A" w:rsidRDefault="00C22380" w:rsidP="00930C4A">
            <w:pPr>
              <w:rPr>
                <w:lang w:val="tr-TR"/>
              </w:rPr>
            </w:pPr>
          </w:p>
        </w:tc>
      </w:tr>
      <w:tr w:rsidR="00C22380" w:rsidRPr="0079547A" w14:paraId="48B8C097" w14:textId="77777777" w:rsidTr="00930C4A">
        <w:trPr>
          <w:jc w:val="center"/>
        </w:trPr>
        <w:tc>
          <w:tcPr>
            <w:tcW w:w="2547" w:type="dxa"/>
          </w:tcPr>
          <w:p w14:paraId="5573D207" w14:textId="77777777" w:rsidR="00C22380" w:rsidRPr="0079547A" w:rsidRDefault="00C22380" w:rsidP="00930C4A">
            <w:pPr>
              <w:rPr>
                <w:lang w:val="tr-TR"/>
              </w:rPr>
            </w:pPr>
            <w:r w:rsidRPr="0079547A">
              <w:rPr>
                <w:lang w:val="tr-TR"/>
              </w:rPr>
              <w:t>Job Safety</w:t>
            </w:r>
          </w:p>
        </w:tc>
        <w:tc>
          <w:tcPr>
            <w:tcW w:w="1961" w:type="dxa"/>
            <w:shd w:val="clear" w:color="auto" w:fill="EE0000"/>
          </w:tcPr>
          <w:p w14:paraId="574D3A0C" w14:textId="77777777" w:rsidR="00C22380" w:rsidRPr="0079547A" w:rsidRDefault="00C22380" w:rsidP="00930C4A">
            <w:pPr>
              <w:rPr>
                <w:b/>
                <w:bCs/>
                <w:lang w:val="en-GB"/>
              </w:rPr>
            </w:pPr>
          </w:p>
        </w:tc>
      </w:tr>
      <w:tr w:rsidR="00C22380" w:rsidRPr="0079547A" w14:paraId="391CC362" w14:textId="77777777" w:rsidTr="00930C4A">
        <w:trPr>
          <w:jc w:val="center"/>
        </w:trPr>
        <w:tc>
          <w:tcPr>
            <w:tcW w:w="2547" w:type="dxa"/>
          </w:tcPr>
          <w:p w14:paraId="72C13FB6" w14:textId="77777777" w:rsidR="00C22380" w:rsidRPr="0079547A" w:rsidRDefault="00C22380" w:rsidP="00930C4A">
            <w:pPr>
              <w:rPr>
                <w:lang w:val="tr-TR"/>
              </w:rPr>
            </w:pPr>
            <w:r w:rsidRPr="0079547A">
              <w:rPr>
                <w:lang w:val="tr-TR"/>
              </w:rPr>
              <w:t>Attractiveness</w:t>
            </w:r>
          </w:p>
        </w:tc>
        <w:tc>
          <w:tcPr>
            <w:tcW w:w="1961" w:type="dxa"/>
            <w:shd w:val="clear" w:color="auto" w:fill="FFC000"/>
          </w:tcPr>
          <w:p w14:paraId="7AB627AB" w14:textId="77777777" w:rsidR="00C22380" w:rsidRPr="0079547A" w:rsidRDefault="00C22380" w:rsidP="00930C4A">
            <w:pPr>
              <w:rPr>
                <w:b/>
                <w:bCs/>
                <w:lang w:val="en-GB"/>
              </w:rPr>
            </w:pPr>
          </w:p>
        </w:tc>
      </w:tr>
    </w:tbl>
    <w:p w14:paraId="1F804E9C" w14:textId="77777777" w:rsidR="00C22380" w:rsidRPr="007A779E" w:rsidRDefault="00C22380" w:rsidP="00C22380"/>
    <w:p w14:paraId="1AD0DB18" w14:textId="08FF0305" w:rsidR="00614F1B" w:rsidRPr="001821AF" w:rsidRDefault="00614F1B" w:rsidP="00C22380">
      <w:pPr>
        <w:rPr>
          <w:b/>
          <w:bCs/>
          <w:sz w:val="20"/>
          <w:szCs w:val="20"/>
        </w:rPr>
      </w:pPr>
      <w:bookmarkStart w:id="133" w:name="_Toc201844306"/>
      <w:bookmarkEnd w:id="130"/>
    </w:p>
    <w:p w14:paraId="5971DA25" w14:textId="77777777" w:rsidR="00614F1B" w:rsidRPr="00D93D57" w:rsidRDefault="00614F1B" w:rsidP="00D93D57">
      <w:pPr>
        <w:pStyle w:val="Heading2"/>
      </w:pPr>
      <w:bookmarkStart w:id="134" w:name="_Toc228701031"/>
      <w:bookmarkEnd w:id="133"/>
      <w:r w:rsidRPr="00D93D57">
        <w:t>Land and water rights</w:t>
      </w:r>
      <w:bookmarkEnd w:id="134"/>
    </w:p>
    <w:p w14:paraId="7A9B7317" w14:textId="34506BDA" w:rsidR="00C22380" w:rsidRPr="00C22380" w:rsidRDefault="00C22380" w:rsidP="00C22380">
      <w:pPr>
        <w:rPr>
          <w:sz w:val="20"/>
          <w:szCs w:val="20"/>
        </w:rPr>
      </w:pPr>
      <w:r w:rsidRPr="00C22380">
        <w:rPr>
          <w:sz w:val="20"/>
          <w:szCs w:val="20"/>
        </w:rPr>
        <w:t xml:space="preserve">The analysis of land and water rights indicates that the system is </w:t>
      </w:r>
      <w:proofErr w:type="spellStart"/>
      <w:r w:rsidRPr="00C22380">
        <w:rPr>
          <w:sz w:val="20"/>
          <w:szCs w:val="20"/>
        </w:rPr>
        <w:t>characterised</w:t>
      </w:r>
      <w:proofErr w:type="spellEnd"/>
      <w:r w:rsidRPr="00C22380">
        <w:rPr>
          <w:sz w:val="20"/>
          <w:szCs w:val="20"/>
        </w:rPr>
        <w:t xml:space="preserve"> by a strong and improving legal framework, but weak and uneven implementation in practice. The adoption of the Customary Land Rights Act (2022) represents a significant step toward alignment with the </w:t>
      </w:r>
      <w:r w:rsidRPr="00C22380">
        <w:rPr>
          <w:sz w:val="20"/>
          <w:szCs w:val="20"/>
        </w:rPr>
        <w:lastRenderedPageBreak/>
        <w:t>Voluntary Guidelines on the Responsible Governance of Tenure (VGGT), embedding principles of equity, transparency, accountability, non-discrimination, consultation, and compensation into national legislation. However, as evidenced across both the literature and field findings, the core challenge lies in translating these formal provisions into consistent, inclusive outcomes at the local level.</w:t>
      </w:r>
    </w:p>
    <w:p w14:paraId="389B3D01" w14:textId="77777777" w:rsidR="00C22380" w:rsidRPr="00C22380" w:rsidRDefault="00C22380" w:rsidP="00C22380">
      <w:pPr>
        <w:rPr>
          <w:sz w:val="20"/>
          <w:szCs w:val="20"/>
        </w:rPr>
      </w:pPr>
    </w:p>
    <w:p w14:paraId="36802EBF" w14:textId="0B23A293" w:rsidR="00C22380" w:rsidRPr="00C22380" w:rsidRDefault="00C22380" w:rsidP="00C22380">
      <w:pPr>
        <w:rPr>
          <w:sz w:val="20"/>
          <w:szCs w:val="20"/>
        </w:rPr>
      </w:pPr>
      <w:r w:rsidRPr="00C22380">
        <w:rPr>
          <w:sz w:val="20"/>
          <w:szCs w:val="20"/>
        </w:rPr>
        <w:t xml:space="preserve">At the macro level, the institutional trajectory is broadly VGGT-consistent, but land governance remains dominated by customary systems, with overlapping mandates among ministries and limited enforcement capacity (World Bank, 2024a). Government stakeholders </w:t>
      </w:r>
      <w:proofErr w:type="spellStart"/>
      <w:r w:rsidRPr="00C22380">
        <w:rPr>
          <w:sz w:val="20"/>
          <w:szCs w:val="20"/>
        </w:rPr>
        <w:t>emphasise</w:t>
      </w:r>
      <w:proofErr w:type="spellEnd"/>
      <w:r w:rsidRPr="00C22380">
        <w:rPr>
          <w:sz w:val="20"/>
          <w:szCs w:val="20"/>
        </w:rPr>
        <w:t xml:space="preserve"> the absence of comprehensive land data systems and weak institutional coordination, which constrain effective monitoring and implementation (Statistics Sierra Leone &amp; </w:t>
      </w:r>
      <w:r w:rsidR="001668F9">
        <w:rPr>
          <w:sz w:val="20"/>
          <w:szCs w:val="20"/>
        </w:rPr>
        <w:t>MAFS,</w:t>
      </w:r>
      <w:r w:rsidRPr="00C22380">
        <w:rPr>
          <w:sz w:val="20"/>
          <w:szCs w:val="20"/>
        </w:rPr>
        <w:t xml:space="preserve"> 2024). While legal provisions for consultation, compensation, and livelihood restoration are clearly defined, their </w:t>
      </w:r>
      <w:proofErr w:type="spellStart"/>
      <w:r w:rsidRPr="00C22380">
        <w:rPr>
          <w:sz w:val="20"/>
          <w:szCs w:val="20"/>
        </w:rPr>
        <w:t>operationalisation</w:t>
      </w:r>
      <w:proofErr w:type="spellEnd"/>
      <w:r w:rsidRPr="00C22380">
        <w:rPr>
          <w:sz w:val="20"/>
          <w:szCs w:val="20"/>
        </w:rPr>
        <w:t xml:space="preserve"> remains limited. This creates a situation in which formal frameworks are relatively advanced, but institutional capacity to implement them remains insufficient, particularly in rural cocoa-growing areas.</w:t>
      </w:r>
    </w:p>
    <w:p w14:paraId="6E8E37FD" w14:textId="77777777" w:rsidR="00C22380" w:rsidRPr="00C22380" w:rsidRDefault="00C22380" w:rsidP="00C22380">
      <w:pPr>
        <w:rPr>
          <w:sz w:val="20"/>
          <w:szCs w:val="20"/>
        </w:rPr>
      </w:pPr>
    </w:p>
    <w:p w14:paraId="6106E69C" w14:textId="77777777" w:rsidR="00C22380" w:rsidRPr="00C22380" w:rsidRDefault="00C22380" w:rsidP="00C22380">
      <w:pPr>
        <w:rPr>
          <w:sz w:val="20"/>
          <w:szCs w:val="20"/>
        </w:rPr>
      </w:pPr>
      <w:r w:rsidRPr="00C22380">
        <w:rPr>
          <w:sz w:val="20"/>
          <w:szCs w:val="20"/>
        </w:rPr>
        <w:t xml:space="preserve">At the value chain level, adherence to VGGT principles is largely implicit rather than formally </w:t>
      </w:r>
      <w:proofErr w:type="spellStart"/>
      <w:r w:rsidRPr="00C22380">
        <w:rPr>
          <w:sz w:val="20"/>
          <w:szCs w:val="20"/>
        </w:rPr>
        <w:t>institutionalised</w:t>
      </w:r>
      <w:proofErr w:type="spellEnd"/>
      <w:r w:rsidRPr="00C22380">
        <w:rPr>
          <w:sz w:val="20"/>
          <w:szCs w:val="20"/>
        </w:rPr>
        <w:t>. Private sector actors and cooperatives do not explicitly reference VGGT frameworks, although some practices, such as mapping, traceability systems, and compliance with international regulations like the EUDR, suggest partial alignment with responsible land governance principles. These practices, however, are uneven and primarily driven by external market requirements rather than domestic policy frameworks. As a result, land governance in the cocoa sector can be described as locally legitimate but institutionally weak, with customary systems providing stability but not fully ensuring transparency, accountability, or inclusiveness.</w:t>
      </w:r>
    </w:p>
    <w:p w14:paraId="60C9D8B2" w14:textId="77777777" w:rsidR="00C22380" w:rsidRPr="00C22380" w:rsidRDefault="00C22380" w:rsidP="00C22380">
      <w:pPr>
        <w:rPr>
          <w:sz w:val="20"/>
          <w:szCs w:val="20"/>
        </w:rPr>
      </w:pPr>
    </w:p>
    <w:p w14:paraId="3A8AFF54" w14:textId="5B8DD998" w:rsidR="00C22380" w:rsidRPr="00C22380" w:rsidRDefault="00C22380" w:rsidP="00C22380">
      <w:pPr>
        <w:rPr>
          <w:sz w:val="20"/>
          <w:szCs w:val="20"/>
        </w:rPr>
      </w:pPr>
      <w:r w:rsidRPr="00C22380">
        <w:rPr>
          <w:sz w:val="20"/>
          <w:szCs w:val="20"/>
        </w:rPr>
        <w:t>At the farm and household level, land access is widely perceived as secure, with</w:t>
      </w:r>
      <w:r w:rsidR="00210B45">
        <w:rPr>
          <w:sz w:val="20"/>
          <w:szCs w:val="20"/>
        </w:rPr>
        <w:t xml:space="preserve"> </w:t>
      </w:r>
      <w:r w:rsidRPr="00C22380">
        <w:rPr>
          <w:sz w:val="20"/>
          <w:szCs w:val="20"/>
        </w:rPr>
        <w:t xml:space="preserve">94% of </w:t>
      </w:r>
      <w:r w:rsidR="00210B45">
        <w:rPr>
          <w:sz w:val="20"/>
          <w:szCs w:val="20"/>
        </w:rPr>
        <w:t xml:space="preserve">interviewed </w:t>
      </w:r>
      <w:r w:rsidRPr="00C22380">
        <w:rPr>
          <w:sz w:val="20"/>
          <w:szCs w:val="20"/>
        </w:rPr>
        <w:t>farmers</w:t>
      </w:r>
      <w:r w:rsidR="00210B45">
        <w:rPr>
          <w:rStyle w:val="FootnoteReference"/>
          <w:sz w:val="20"/>
          <w:szCs w:val="20"/>
        </w:rPr>
        <w:footnoteReference w:id="14"/>
      </w:r>
      <w:r w:rsidR="00210B45" w:rsidRPr="00C22380">
        <w:rPr>
          <w:sz w:val="20"/>
          <w:szCs w:val="20"/>
        </w:rPr>
        <w:t xml:space="preserve"> </w:t>
      </w:r>
      <w:r w:rsidRPr="00C22380">
        <w:rPr>
          <w:sz w:val="20"/>
          <w:szCs w:val="20"/>
        </w:rPr>
        <w:t xml:space="preserve"> reporting high tenure security under customary arrangements. Additionally, our </w:t>
      </w:r>
      <w:r w:rsidR="005078AF">
        <w:rPr>
          <w:sz w:val="20"/>
          <w:szCs w:val="20"/>
        </w:rPr>
        <w:t xml:space="preserve">small-sample </w:t>
      </w:r>
      <w:r w:rsidRPr="00C22380">
        <w:rPr>
          <w:sz w:val="20"/>
          <w:szCs w:val="20"/>
        </w:rPr>
        <w:t xml:space="preserve">findings show that land disputes are described as rare, in contrast to what the NGO sector reports (WHH and Solidaridad, 2025), and are typically resolved through chiefs or community-level mechanisms, indicating that customary systems continue to play an effective role in maintaining local stability. However, this perceived security coexists with limited </w:t>
      </w:r>
      <w:proofErr w:type="spellStart"/>
      <w:r w:rsidRPr="00C22380">
        <w:rPr>
          <w:sz w:val="20"/>
          <w:szCs w:val="20"/>
        </w:rPr>
        <w:t>formalisation</w:t>
      </w:r>
      <w:proofErr w:type="spellEnd"/>
      <w:r w:rsidRPr="00C22380">
        <w:rPr>
          <w:sz w:val="20"/>
          <w:szCs w:val="20"/>
        </w:rPr>
        <w:t xml:space="preserve">: 97% of </w:t>
      </w:r>
      <w:proofErr w:type="gramStart"/>
      <w:r w:rsidR="00210B45">
        <w:rPr>
          <w:sz w:val="20"/>
          <w:szCs w:val="20"/>
        </w:rPr>
        <w:t>interviewed</w:t>
      </w:r>
      <w:r w:rsidRPr="00C22380">
        <w:rPr>
          <w:sz w:val="20"/>
          <w:szCs w:val="20"/>
        </w:rPr>
        <w:t xml:space="preserve"> </w:t>
      </w:r>
      <w:r w:rsidR="00210B45">
        <w:rPr>
          <w:sz w:val="20"/>
          <w:szCs w:val="20"/>
        </w:rPr>
        <w:t>farmers</w:t>
      </w:r>
      <w:proofErr w:type="gramEnd"/>
      <w:r w:rsidR="00210B45">
        <w:rPr>
          <w:sz w:val="20"/>
          <w:szCs w:val="20"/>
        </w:rPr>
        <w:t xml:space="preserve"> lack</w:t>
      </w:r>
      <w:r w:rsidRPr="00C22380">
        <w:rPr>
          <w:sz w:val="20"/>
          <w:szCs w:val="20"/>
        </w:rPr>
        <w:t xml:space="preserve"> formal land titles, and many are uncertain whether their land is officially registered. This creates a fundamental mismatch between formal legal requirements and customary governance systems, complicating efforts to verify land rights, ensure transparency, and support due diligence processes.</w:t>
      </w:r>
    </w:p>
    <w:p w14:paraId="01720B1E" w14:textId="77777777" w:rsidR="00C22380" w:rsidRPr="00C22380" w:rsidRDefault="00C22380" w:rsidP="00C22380">
      <w:pPr>
        <w:rPr>
          <w:sz w:val="20"/>
          <w:szCs w:val="20"/>
        </w:rPr>
      </w:pPr>
    </w:p>
    <w:p w14:paraId="0F2129F6" w14:textId="1EB6629C" w:rsidR="00C22380" w:rsidRPr="00C22380" w:rsidRDefault="00C22380" w:rsidP="00C22380">
      <w:pPr>
        <w:rPr>
          <w:sz w:val="20"/>
          <w:szCs w:val="20"/>
        </w:rPr>
      </w:pPr>
      <w:r w:rsidRPr="00C22380">
        <w:rPr>
          <w:sz w:val="20"/>
          <w:szCs w:val="20"/>
        </w:rPr>
        <w:t>This mismatch becomes particularly relevant in the context of land acquisition and investment. While no large-scale land acquisition cases were identified in the cocoa sector during field missions, the legal framework requires consultation, socio-economic baseline studies, compensation, and protection against livelihood deterioration, in line with due diligence standards and FPIC principles (Government of Sierra Leone, 2022a). However, the absence of clear documentation and overlapping claims makes it difficult to identify legitimate rights holders and ensure inclusive participation. The experience of the ethical grower</w:t>
      </w:r>
      <w:r w:rsidR="00000D94">
        <w:rPr>
          <w:sz w:val="20"/>
          <w:szCs w:val="20"/>
        </w:rPr>
        <w:t xml:space="preserve">, </w:t>
      </w:r>
      <w:r w:rsidRPr="00C22380">
        <w:rPr>
          <w:sz w:val="20"/>
          <w:szCs w:val="20"/>
        </w:rPr>
        <w:t>aggregator</w:t>
      </w:r>
      <w:r w:rsidR="00000D94">
        <w:rPr>
          <w:sz w:val="20"/>
          <w:szCs w:val="20"/>
        </w:rPr>
        <w:t xml:space="preserve"> and exporter</w:t>
      </w:r>
      <w:r w:rsidRPr="00C22380">
        <w:rPr>
          <w:sz w:val="20"/>
          <w:szCs w:val="20"/>
        </w:rPr>
        <w:t xml:space="preserve"> in Kailahun further highlights the complexity and time required to secure consent in such contexts. Evidence from other sectors, such as </w:t>
      </w:r>
      <w:r w:rsidR="00BE25A9" w:rsidRPr="00C22380">
        <w:rPr>
          <w:sz w:val="20"/>
          <w:szCs w:val="20"/>
        </w:rPr>
        <w:t>palm</w:t>
      </w:r>
      <w:r w:rsidR="00BE25A9">
        <w:rPr>
          <w:sz w:val="20"/>
          <w:szCs w:val="20"/>
        </w:rPr>
        <w:t xml:space="preserve"> </w:t>
      </w:r>
      <w:r w:rsidRPr="00C22380">
        <w:rPr>
          <w:sz w:val="20"/>
          <w:szCs w:val="20"/>
        </w:rPr>
        <w:t xml:space="preserve">oil, shows that weak implementation of these processes can lead to disputes and governance challenges (Business &amp; Human Rights Resource Centre, 2020; Land for Life, 2023). </w:t>
      </w:r>
    </w:p>
    <w:p w14:paraId="06536E5B" w14:textId="77777777" w:rsidR="00C22380" w:rsidRPr="00C22380" w:rsidRDefault="00C22380" w:rsidP="00C22380">
      <w:pPr>
        <w:rPr>
          <w:sz w:val="20"/>
          <w:szCs w:val="20"/>
        </w:rPr>
      </w:pPr>
    </w:p>
    <w:p w14:paraId="49BD4993" w14:textId="77777777" w:rsidR="00C22380" w:rsidRPr="00C22380" w:rsidRDefault="00C22380" w:rsidP="00C22380">
      <w:pPr>
        <w:rPr>
          <w:sz w:val="20"/>
          <w:szCs w:val="20"/>
        </w:rPr>
      </w:pPr>
      <w:r w:rsidRPr="00C22380">
        <w:rPr>
          <w:sz w:val="20"/>
          <w:szCs w:val="20"/>
        </w:rPr>
        <w:lastRenderedPageBreak/>
        <w:t>Overall, the absence of fully operational due diligence mechanisms reflects the broader structural informality of the sector. While this may reduce the likelihood of large-scale conflicts in the cocoa sector, it also limits safeguards against exclusion, inequitable land distribution, and potential environmental risks.</w:t>
      </w:r>
    </w:p>
    <w:p w14:paraId="7DBC6A8C" w14:textId="77777777" w:rsidR="00C22380" w:rsidRPr="00C22380" w:rsidRDefault="00C22380" w:rsidP="00C22380">
      <w:pPr>
        <w:rPr>
          <w:sz w:val="20"/>
          <w:szCs w:val="20"/>
        </w:rPr>
      </w:pPr>
    </w:p>
    <w:p w14:paraId="405072CC" w14:textId="77777777" w:rsidR="00C22380" w:rsidRPr="00C22380" w:rsidRDefault="00C22380" w:rsidP="00C22380">
      <w:pPr>
        <w:rPr>
          <w:sz w:val="20"/>
          <w:szCs w:val="20"/>
        </w:rPr>
      </w:pPr>
      <w:r w:rsidRPr="00C22380">
        <w:rPr>
          <w:sz w:val="20"/>
          <w:szCs w:val="20"/>
        </w:rPr>
        <w:t xml:space="preserve">Transparency, participation, and consultation represent another area where the gap between formal provisions and practice is evident. Although the Customary Land Rights Act mandates transparent and inclusive processes, evidence suggests that implementation remains uneven. Non-transparent land allocation practices, limited awareness of legal changes, and overlapping statutory and customary systems continue to constrain effective governance (World Bank, 2024a; Statistics Sierra Leone &amp; MAFS, 2024). In the cocoa sector, these challenges are compounded by weak producer </w:t>
      </w:r>
      <w:proofErr w:type="spellStart"/>
      <w:r w:rsidRPr="00C22380">
        <w:rPr>
          <w:sz w:val="20"/>
          <w:szCs w:val="20"/>
        </w:rPr>
        <w:t>organisations</w:t>
      </w:r>
      <w:proofErr w:type="spellEnd"/>
      <w:r w:rsidRPr="00C22380">
        <w:rPr>
          <w:sz w:val="20"/>
          <w:szCs w:val="20"/>
        </w:rPr>
        <w:t xml:space="preserve"> and the underrepresentation of women and youth in decision-making processes. Participation mechanisms exist, but they are often formal rather than substantive, limiting their effectiveness in ensuring inclusive governance.</w:t>
      </w:r>
    </w:p>
    <w:p w14:paraId="6950D25A" w14:textId="77777777" w:rsidR="00C22380" w:rsidRPr="00C22380" w:rsidRDefault="00C22380" w:rsidP="00C22380">
      <w:pPr>
        <w:rPr>
          <w:sz w:val="20"/>
          <w:szCs w:val="20"/>
        </w:rPr>
      </w:pPr>
    </w:p>
    <w:p w14:paraId="5CA2A328" w14:textId="77777777" w:rsidR="00C22380" w:rsidRPr="00C22380" w:rsidRDefault="00C22380" w:rsidP="00C22380">
      <w:pPr>
        <w:rPr>
          <w:sz w:val="20"/>
          <w:szCs w:val="20"/>
        </w:rPr>
      </w:pPr>
      <w:r w:rsidRPr="00C22380">
        <w:rPr>
          <w:sz w:val="20"/>
          <w:szCs w:val="20"/>
        </w:rPr>
        <w:t>Equity, compensation, and justice further illustrate this structural imbalance. While the legal framework guarantees equal land rights for women and men and provides for prompt and adequate compensation, implementation remains constrained by social norms and institutional limitations. National data show that only 12.9% of women report ownership or secure tenure over agricultural land compared to 20.4% of men, highlighting persistent gender disparities (Statistics Sierra Leone &amp; MAFS, 2024). Field evidence confirms that, although tenure security is perceived as high, ownership and control remain gendered, with men holding primary rights and women accessing land mainly through marriage or inheritance.</w:t>
      </w:r>
    </w:p>
    <w:p w14:paraId="665A14EA" w14:textId="77777777" w:rsidR="00C22380" w:rsidRPr="00C22380" w:rsidRDefault="00C22380" w:rsidP="00C22380">
      <w:pPr>
        <w:rPr>
          <w:sz w:val="20"/>
          <w:szCs w:val="20"/>
        </w:rPr>
      </w:pPr>
    </w:p>
    <w:p w14:paraId="28E1379D" w14:textId="0FE8A57D" w:rsidR="00C22380" w:rsidRPr="00C22380" w:rsidRDefault="00C22380" w:rsidP="00C22380">
      <w:pPr>
        <w:rPr>
          <w:sz w:val="20"/>
          <w:szCs w:val="20"/>
        </w:rPr>
      </w:pPr>
      <w:r w:rsidRPr="00C22380">
        <w:rPr>
          <w:sz w:val="20"/>
          <w:szCs w:val="20"/>
        </w:rPr>
        <w:t xml:space="preserve">This indicates that Sierra Leone has achieved a significant legal shift toward tenure justice, but this has not yet translated into equitable outcomes in practice. Women’s limited </w:t>
      </w:r>
      <w:proofErr w:type="gramStart"/>
      <w:r w:rsidRPr="00C22380">
        <w:rPr>
          <w:sz w:val="20"/>
          <w:szCs w:val="20"/>
        </w:rPr>
        <w:t>land</w:t>
      </w:r>
      <w:r w:rsidR="007D72F3">
        <w:rPr>
          <w:sz w:val="20"/>
          <w:szCs w:val="20"/>
        </w:rPr>
        <w:t xml:space="preserve"> </w:t>
      </w:r>
      <w:r w:rsidRPr="00C22380">
        <w:rPr>
          <w:sz w:val="20"/>
          <w:szCs w:val="20"/>
        </w:rPr>
        <w:t>ownership</w:t>
      </w:r>
      <w:proofErr w:type="gramEnd"/>
      <w:r w:rsidRPr="00C22380">
        <w:rPr>
          <w:sz w:val="20"/>
          <w:szCs w:val="20"/>
        </w:rPr>
        <w:t xml:space="preserve"> constrains their access to finance, reduces their ability to invest, and limits their overall participation in the value chain. As a result, equity remains a central challenge despite formal progress, with implications for both social sustainability and productivity.</w:t>
      </w:r>
    </w:p>
    <w:p w14:paraId="631F5D5F" w14:textId="77777777" w:rsidR="00C22380" w:rsidRPr="00C22380" w:rsidRDefault="00C22380" w:rsidP="00C22380">
      <w:pPr>
        <w:rPr>
          <w:sz w:val="20"/>
          <w:szCs w:val="20"/>
        </w:rPr>
      </w:pPr>
    </w:p>
    <w:p w14:paraId="454DEF76" w14:textId="77777777" w:rsidR="00C22380" w:rsidRPr="00C22380" w:rsidRDefault="00C22380" w:rsidP="00C22380">
      <w:pPr>
        <w:rPr>
          <w:sz w:val="20"/>
          <w:szCs w:val="20"/>
        </w:rPr>
      </w:pPr>
      <w:r w:rsidRPr="00C22380">
        <w:rPr>
          <w:sz w:val="20"/>
          <w:szCs w:val="20"/>
        </w:rPr>
        <w:t>In cases of livelihood disruption, the absence of structured support mechanisms further highlights the limitations of the current system. Livelihood diversification into rice, cassava, oil palm, vegetables, and petty trade emerges as the primary coping strategy, but these activities are largely household-driven rather than supported by coordinated institutional interventions. While they provide some resilience, they are often low-return and insufficient to fully offset shocks.</w:t>
      </w:r>
    </w:p>
    <w:p w14:paraId="59E85590" w14:textId="77777777" w:rsidR="00C22380" w:rsidRPr="00C22380" w:rsidRDefault="00C22380" w:rsidP="00C22380">
      <w:pPr>
        <w:rPr>
          <w:sz w:val="20"/>
          <w:szCs w:val="20"/>
        </w:rPr>
      </w:pPr>
    </w:p>
    <w:p w14:paraId="41274B08" w14:textId="77777777" w:rsidR="00C22380" w:rsidRPr="00C22380" w:rsidRDefault="00C22380" w:rsidP="00C22380">
      <w:pPr>
        <w:rPr>
          <w:sz w:val="20"/>
          <w:szCs w:val="20"/>
        </w:rPr>
      </w:pPr>
      <w:r w:rsidRPr="00C22380">
        <w:rPr>
          <w:sz w:val="20"/>
          <w:szCs w:val="20"/>
        </w:rPr>
        <w:t xml:space="preserve">Grievance and dispute resolution mechanisms are similarly </w:t>
      </w:r>
      <w:proofErr w:type="spellStart"/>
      <w:r w:rsidRPr="00C22380">
        <w:rPr>
          <w:sz w:val="20"/>
          <w:szCs w:val="20"/>
        </w:rPr>
        <w:t>characterised</w:t>
      </w:r>
      <w:proofErr w:type="spellEnd"/>
      <w:r w:rsidRPr="00C22380">
        <w:rPr>
          <w:sz w:val="20"/>
          <w:szCs w:val="20"/>
        </w:rPr>
        <w:t xml:space="preserve"> by informality. Chiefs and community leaders play a central role in resolving disputes, and these systems are generally accessible and locally legitimate. However, they lack </w:t>
      </w:r>
      <w:proofErr w:type="spellStart"/>
      <w:r w:rsidRPr="00C22380">
        <w:rPr>
          <w:sz w:val="20"/>
          <w:szCs w:val="20"/>
        </w:rPr>
        <w:t>formalisation</w:t>
      </w:r>
      <w:proofErr w:type="spellEnd"/>
      <w:r w:rsidRPr="00C22380">
        <w:rPr>
          <w:sz w:val="20"/>
          <w:szCs w:val="20"/>
        </w:rPr>
        <w:t xml:space="preserve">, transparency, and consistency, particularly in cases involving multiple stakeholders or external investments. Cooperatives provide some additional channels </w:t>
      </w:r>
      <w:proofErr w:type="gramStart"/>
      <w:r w:rsidRPr="00C22380">
        <w:rPr>
          <w:sz w:val="20"/>
          <w:szCs w:val="20"/>
        </w:rPr>
        <w:t>to</w:t>
      </w:r>
      <w:proofErr w:type="gramEnd"/>
      <w:r w:rsidRPr="00C22380">
        <w:rPr>
          <w:sz w:val="20"/>
          <w:szCs w:val="20"/>
        </w:rPr>
        <w:t xml:space="preserve"> their members, but their capacity remains limited. This reliance on informal systems can constrain fairness and accountability, particularly for vulnerable groups such as women, youth, and migrants.</w:t>
      </w:r>
    </w:p>
    <w:p w14:paraId="1B7643F5" w14:textId="77777777" w:rsidR="00C22380" w:rsidRPr="00C22380" w:rsidRDefault="00C22380" w:rsidP="00C22380">
      <w:pPr>
        <w:rPr>
          <w:sz w:val="20"/>
          <w:szCs w:val="20"/>
        </w:rPr>
      </w:pPr>
    </w:p>
    <w:p w14:paraId="2319BD83" w14:textId="77777777" w:rsidR="00C22380" w:rsidRPr="00C22380" w:rsidRDefault="00C22380" w:rsidP="00C22380">
      <w:pPr>
        <w:rPr>
          <w:sz w:val="20"/>
          <w:szCs w:val="20"/>
        </w:rPr>
      </w:pPr>
      <w:r w:rsidRPr="00C22380">
        <w:rPr>
          <w:sz w:val="20"/>
          <w:szCs w:val="20"/>
        </w:rPr>
        <w:t>The findings suggest that land and water governance in the cocoa value chain is shaped by a dual system: a relatively strong and evolving legal framework coexisting with deeply rooted customary practices. While this system provides local stability and perceived tenure security, it does not yet ensure full transparency, equity, or accountability.</w:t>
      </w:r>
    </w:p>
    <w:p w14:paraId="2D880436" w14:textId="77777777" w:rsidR="00C22380" w:rsidRPr="00C22380" w:rsidRDefault="00C22380" w:rsidP="00C22380">
      <w:pPr>
        <w:rPr>
          <w:sz w:val="20"/>
          <w:szCs w:val="20"/>
        </w:rPr>
      </w:pPr>
    </w:p>
    <w:p w14:paraId="16C243AA" w14:textId="2A1E4762" w:rsidR="00746807" w:rsidRDefault="00C22380" w:rsidP="00C22380">
      <w:pPr>
        <w:rPr>
          <w:sz w:val="20"/>
          <w:szCs w:val="20"/>
        </w:rPr>
      </w:pPr>
      <w:r w:rsidRPr="00C22380">
        <w:rPr>
          <w:sz w:val="20"/>
          <w:szCs w:val="20"/>
        </w:rPr>
        <w:t xml:space="preserve">In conclusion, land and water rights in Sierra Leone’s cocoa value chain are partially aligned with VGGT principles in structure but not fully </w:t>
      </w:r>
      <w:proofErr w:type="spellStart"/>
      <w:r w:rsidRPr="00C22380">
        <w:rPr>
          <w:sz w:val="20"/>
          <w:szCs w:val="20"/>
        </w:rPr>
        <w:t>realised</w:t>
      </w:r>
      <w:proofErr w:type="spellEnd"/>
      <w:r w:rsidRPr="00C22380">
        <w:rPr>
          <w:sz w:val="20"/>
          <w:szCs w:val="20"/>
        </w:rPr>
        <w:t xml:space="preserve"> in practice. The system performs moderately in </w:t>
      </w:r>
      <w:r w:rsidRPr="00C22380">
        <w:rPr>
          <w:sz w:val="20"/>
          <w:szCs w:val="20"/>
        </w:rPr>
        <w:lastRenderedPageBreak/>
        <w:t xml:space="preserve">terms of tenure security and conflict management but remains constrained by weak </w:t>
      </w:r>
      <w:proofErr w:type="spellStart"/>
      <w:r w:rsidRPr="00C22380">
        <w:rPr>
          <w:sz w:val="20"/>
          <w:szCs w:val="20"/>
        </w:rPr>
        <w:t>formalisation</w:t>
      </w:r>
      <w:proofErr w:type="spellEnd"/>
      <w:r w:rsidRPr="00C22380">
        <w:rPr>
          <w:sz w:val="20"/>
          <w:szCs w:val="20"/>
        </w:rPr>
        <w:t>, gender inequality, limited institutional capacity, and uneven implementation of due diligence, compensation, and grievance mechanisms. Achieving socially sustainable land governance will require strengthening the interface between customary and formal systems, improving documentation and transparency, and ensuring that legal provisions translate into equitable and inclusive outcomes at the local level.</w:t>
      </w:r>
    </w:p>
    <w:p w14:paraId="22E7169D" w14:textId="77777777" w:rsidR="00F84CA9" w:rsidRPr="00C22380" w:rsidRDefault="00F84CA9" w:rsidP="00C22380">
      <w:pPr>
        <w:rPr>
          <w:sz w:val="20"/>
          <w:szCs w:val="20"/>
        </w:rPr>
      </w:pPr>
    </w:p>
    <w:p w14:paraId="36F9C34B" w14:textId="50775719" w:rsidR="00F84CA9" w:rsidRDefault="00F84CA9" w:rsidP="00F84CA9">
      <w:pPr>
        <w:pStyle w:val="Caption"/>
        <w:keepNext/>
        <w:jc w:val="center"/>
      </w:pPr>
      <w:bookmarkStart w:id="135" w:name="_Toc228701080"/>
      <w:r>
        <w:t xml:space="preserve">Table </w:t>
      </w:r>
      <w:fldSimple w:instr=" STYLEREF 1 \s ">
        <w:r w:rsidR="006C1C4E">
          <w:rPr>
            <w:noProof/>
          </w:rPr>
          <w:t>4</w:t>
        </w:r>
      </w:fldSimple>
      <w:r w:rsidR="006C1C4E">
        <w:noBreakHyphen/>
      </w:r>
      <w:fldSimple w:instr=" SEQ Table \* ARABIC \s 1 ">
        <w:r w:rsidR="006C1C4E">
          <w:rPr>
            <w:noProof/>
          </w:rPr>
          <w:t>2</w:t>
        </w:r>
      </w:fldSimple>
      <w:r>
        <w:t xml:space="preserve"> </w:t>
      </w:r>
      <w:r w:rsidRPr="00A42971">
        <w:t>Assessment of Land and Water Rights</w:t>
      </w:r>
      <w:bookmarkEnd w:id="135"/>
    </w:p>
    <w:tbl>
      <w:tblPr>
        <w:tblStyle w:val="TableGrid"/>
        <w:tblW w:w="0" w:type="auto"/>
        <w:jc w:val="center"/>
        <w:tblLook w:val="04A0" w:firstRow="1" w:lastRow="0" w:firstColumn="1" w:lastColumn="0" w:noHBand="0" w:noVBand="1"/>
      </w:tblPr>
      <w:tblGrid>
        <w:gridCol w:w="2547"/>
        <w:gridCol w:w="1961"/>
      </w:tblGrid>
      <w:tr w:rsidR="00C22380" w:rsidRPr="0079547A" w14:paraId="05B88DD7"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3AC72A8F" w14:textId="77777777" w:rsidR="00C22380" w:rsidRPr="0079547A" w:rsidRDefault="00C22380" w:rsidP="00930C4A">
            <w:pPr>
              <w:rPr>
                <w:bCs/>
                <w:lang w:val="tr-TR"/>
              </w:rPr>
            </w:pPr>
            <w:r>
              <w:rPr>
                <w:bCs/>
                <w:lang w:val="tr-TR"/>
              </w:rPr>
              <w:t>Land and Water Rights</w:t>
            </w:r>
          </w:p>
        </w:tc>
      </w:tr>
      <w:tr w:rsidR="00C22380" w:rsidRPr="0079547A" w14:paraId="5A04A77E" w14:textId="77777777" w:rsidTr="00930C4A">
        <w:trPr>
          <w:jc w:val="center"/>
        </w:trPr>
        <w:tc>
          <w:tcPr>
            <w:tcW w:w="2547" w:type="dxa"/>
          </w:tcPr>
          <w:p w14:paraId="14261513" w14:textId="77777777" w:rsidR="00C22380" w:rsidRPr="0079547A" w:rsidRDefault="00C22380" w:rsidP="00930C4A">
            <w:pPr>
              <w:rPr>
                <w:lang w:val="tr-TR"/>
              </w:rPr>
            </w:pPr>
            <w:r>
              <w:rPr>
                <w:lang w:val="tr-TR"/>
              </w:rPr>
              <w:t>Adherence to VGGT</w:t>
            </w:r>
          </w:p>
        </w:tc>
        <w:tc>
          <w:tcPr>
            <w:tcW w:w="1961" w:type="dxa"/>
            <w:shd w:val="clear" w:color="auto" w:fill="FFC000"/>
          </w:tcPr>
          <w:p w14:paraId="14033493" w14:textId="77777777" w:rsidR="00C22380" w:rsidRPr="0079547A" w:rsidRDefault="00C22380" w:rsidP="00930C4A">
            <w:pPr>
              <w:rPr>
                <w:lang w:val="tr-TR"/>
              </w:rPr>
            </w:pPr>
          </w:p>
        </w:tc>
      </w:tr>
      <w:tr w:rsidR="00C22380" w:rsidRPr="00863E9E" w14:paraId="2F1F2550" w14:textId="77777777" w:rsidTr="00930C4A">
        <w:trPr>
          <w:jc w:val="center"/>
        </w:trPr>
        <w:tc>
          <w:tcPr>
            <w:tcW w:w="2547" w:type="dxa"/>
          </w:tcPr>
          <w:p w14:paraId="7F9A8089" w14:textId="77777777" w:rsidR="00C22380" w:rsidRPr="0079547A" w:rsidRDefault="00C22380" w:rsidP="00930C4A">
            <w:pPr>
              <w:rPr>
                <w:lang w:val="tr-TR"/>
              </w:rPr>
            </w:pPr>
            <w:r>
              <w:rPr>
                <w:lang w:val="tr-TR"/>
              </w:rPr>
              <w:t>Transparency, participation and consultation</w:t>
            </w:r>
          </w:p>
        </w:tc>
        <w:tc>
          <w:tcPr>
            <w:tcW w:w="1961" w:type="dxa"/>
            <w:shd w:val="clear" w:color="auto" w:fill="FFC000"/>
          </w:tcPr>
          <w:p w14:paraId="6541F9F5" w14:textId="77777777" w:rsidR="00C22380" w:rsidRPr="0079547A" w:rsidRDefault="00C22380" w:rsidP="00930C4A">
            <w:pPr>
              <w:rPr>
                <w:lang w:val="tr-TR"/>
              </w:rPr>
            </w:pPr>
          </w:p>
        </w:tc>
      </w:tr>
      <w:tr w:rsidR="00C22380" w:rsidRPr="0079547A" w14:paraId="5894ADFB" w14:textId="77777777" w:rsidTr="00930C4A">
        <w:trPr>
          <w:jc w:val="center"/>
        </w:trPr>
        <w:tc>
          <w:tcPr>
            <w:tcW w:w="2547" w:type="dxa"/>
          </w:tcPr>
          <w:p w14:paraId="58E74AD3" w14:textId="77777777" w:rsidR="00C22380" w:rsidRPr="0079547A" w:rsidRDefault="00C22380" w:rsidP="00930C4A">
            <w:pPr>
              <w:rPr>
                <w:lang w:val="tr-TR"/>
              </w:rPr>
            </w:pPr>
            <w:r>
              <w:rPr>
                <w:lang w:val="tr-TR"/>
              </w:rPr>
              <w:t>Equity, compensation and justice</w:t>
            </w:r>
          </w:p>
        </w:tc>
        <w:tc>
          <w:tcPr>
            <w:tcW w:w="1961" w:type="dxa"/>
            <w:shd w:val="clear" w:color="auto" w:fill="FFC000"/>
          </w:tcPr>
          <w:p w14:paraId="3C2E558C" w14:textId="77777777" w:rsidR="00C22380" w:rsidRPr="0079547A" w:rsidRDefault="00C22380" w:rsidP="00930C4A">
            <w:pPr>
              <w:rPr>
                <w:b/>
                <w:bCs/>
                <w:lang w:val="en-GB"/>
              </w:rPr>
            </w:pPr>
          </w:p>
        </w:tc>
      </w:tr>
    </w:tbl>
    <w:p w14:paraId="1A837C4B" w14:textId="09664BF4" w:rsidR="00614F1B" w:rsidRPr="001821AF" w:rsidRDefault="00614F1B" w:rsidP="00614F1B">
      <w:pPr>
        <w:rPr>
          <w:sz w:val="20"/>
          <w:szCs w:val="20"/>
          <w:lang w:val="en-GB"/>
        </w:rPr>
      </w:pPr>
    </w:p>
    <w:p w14:paraId="41441586" w14:textId="765B4318" w:rsidR="00614F1B" w:rsidRPr="00D93D57" w:rsidRDefault="00614F1B" w:rsidP="00D93D57">
      <w:pPr>
        <w:pStyle w:val="Heading2"/>
      </w:pPr>
      <w:bookmarkStart w:id="136" w:name="_Toc228701032"/>
      <w:bookmarkStart w:id="137" w:name="_Toc201844308"/>
      <w:r w:rsidRPr="00D93D57">
        <w:t xml:space="preserve">Gender </w:t>
      </w:r>
      <w:r w:rsidR="00A51282">
        <w:t>equality</w:t>
      </w:r>
      <w:bookmarkEnd w:id="136"/>
      <w:r w:rsidRPr="00D93D57">
        <w:t xml:space="preserve"> </w:t>
      </w:r>
      <w:bookmarkEnd w:id="137"/>
    </w:p>
    <w:p w14:paraId="0898E0C4" w14:textId="30DD77B3" w:rsidR="00F36B65" w:rsidRPr="00F36B65" w:rsidRDefault="00F36B65" w:rsidP="00F36B65">
      <w:pPr>
        <w:rPr>
          <w:sz w:val="20"/>
          <w:szCs w:val="20"/>
        </w:rPr>
      </w:pPr>
      <w:r w:rsidRPr="00F36B65">
        <w:rPr>
          <w:sz w:val="20"/>
          <w:szCs w:val="20"/>
        </w:rPr>
        <w:t xml:space="preserve">The analysis of gender equality in the CVC shows that women are central to production and household livelihoods, but their participation does not translate into equal benefit, control, or empowerment. While the legal and policy framework has improved significantly, including provisions for equal land rights and broader gender inclusion, the findings demonstrate that structural inequalities remain deeply embedded across economic activities, resource access, decision-making, leadership, and </w:t>
      </w:r>
      <w:proofErr w:type="spellStart"/>
      <w:r w:rsidRPr="00F36B65">
        <w:rPr>
          <w:sz w:val="20"/>
          <w:szCs w:val="20"/>
        </w:rPr>
        <w:t>labour</w:t>
      </w:r>
      <w:proofErr w:type="spellEnd"/>
      <w:r w:rsidRPr="00F36B65">
        <w:rPr>
          <w:sz w:val="20"/>
          <w:szCs w:val="20"/>
        </w:rPr>
        <w:t xml:space="preserve"> distribution.</w:t>
      </w:r>
    </w:p>
    <w:p w14:paraId="6BF37154" w14:textId="77777777" w:rsidR="00F36B65" w:rsidRPr="00F36B65" w:rsidRDefault="00F36B65" w:rsidP="00F36B65">
      <w:pPr>
        <w:rPr>
          <w:sz w:val="20"/>
          <w:szCs w:val="20"/>
        </w:rPr>
      </w:pPr>
    </w:p>
    <w:p w14:paraId="754F9135" w14:textId="702B1CB9" w:rsidR="00F36B65" w:rsidRPr="00F36B65" w:rsidRDefault="00F36B65" w:rsidP="00F36B65">
      <w:pPr>
        <w:rPr>
          <w:sz w:val="20"/>
          <w:szCs w:val="20"/>
        </w:rPr>
      </w:pPr>
      <w:r w:rsidRPr="00F36B65">
        <w:rPr>
          <w:sz w:val="20"/>
          <w:szCs w:val="20"/>
        </w:rPr>
        <w:t>At the level of economic activities, women are highly active throughout the CVC</w:t>
      </w:r>
      <w:r w:rsidR="00891DE8">
        <w:rPr>
          <w:sz w:val="20"/>
          <w:szCs w:val="20"/>
        </w:rPr>
        <w:t>. Confirming</w:t>
      </w:r>
      <w:r w:rsidRPr="00F36B65">
        <w:rPr>
          <w:sz w:val="20"/>
          <w:szCs w:val="20"/>
        </w:rPr>
        <w:t xml:space="preserve"> both national policy (MAFS, 2024) and broader regional evidence (Osorio et al., 2019)</w:t>
      </w:r>
      <w:r w:rsidR="005D4F27">
        <w:rPr>
          <w:sz w:val="20"/>
          <w:szCs w:val="20"/>
        </w:rPr>
        <w:t>, women</w:t>
      </w:r>
      <w:r w:rsidRPr="00F36B65">
        <w:rPr>
          <w:sz w:val="20"/>
          <w:szCs w:val="20"/>
        </w:rPr>
        <w:t xml:space="preserve"> are key contributors to cocoa production. Women participate in nearly all stages, including seedling management, under-brushing, harvesting, fermentation, drying, and, to some extent, in marketing. However, this high level of participation is concentrated in </w:t>
      </w:r>
      <w:proofErr w:type="spellStart"/>
      <w:r w:rsidRPr="00F36B65">
        <w:rPr>
          <w:sz w:val="20"/>
          <w:szCs w:val="20"/>
        </w:rPr>
        <w:t>labour-intensive</w:t>
      </w:r>
      <w:proofErr w:type="spellEnd"/>
      <w:r w:rsidRPr="00F36B65">
        <w:rPr>
          <w:sz w:val="20"/>
          <w:szCs w:val="20"/>
        </w:rPr>
        <w:t xml:space="preserve"> and lower-value segments, while women remain largely excluded from higher-value roles such as trading, price negotiation, and intermediary functions. Field findings confirm that, although women manage their own plots and engage in income-generating activities such as petty trading, control over the income generated is often retained by male household members. Only a small number of women reported being able to independently manage income from their cocoa plots. This indicates that participation is not synonymous with empowerment, and that women’s economic role remains constrained within the value chain.</w:t>
      </w:r>
    </w:p>
    <w:p w14:paraId="08829B76" w14:textId="77777777" w:rsidR="00F36B65" w:rsidRPr="00F36B65" w:rsidRDefault="00F36B65" w:rsidP="00F36B65">
      <w:pPr>
        <w:rPr>
          <w:sz w:val="20"/>
          <w:szCs w:val="20"/>
        </w:rPr>
      </w:pPr>
    </w:p>
    <w:p w14:paraId="1592C56D" w14:textId="41070100" w:rsidR="00F36B65" w:rsidRPr="00F36B65" w:rsidRDefault="00F36B65" w:rsidP="00F36B65">
      <w:pPr>
        <w:rPr>
          <w:sz w:val="20"/>
          <w:szCs w:val="20"/>
        </w:rPr>
      </w:pPr>
      <w:r w:rsidRPr="00F36B65">
        <w:rPr>
          <w:sz w:val="20"/>
          <w:szCs w:val="20"/>
        </w:rPr>
        <w:t>Access to resources and services further reinforces this pattern of inequality. While the legal framework guarantees equal land rights, actual access remains uneven. Interviewed women operate smaller farms on average (6.0 acres compared to 9.7 acres for men)</w:t>
      </w:r>
      <w:r w:rsidR="004004CD">
        <w:rPr>
          <w:rStyle w:val="FootnoteReference"/>
          <w:sz w:val="20"/>
          <w:szCs w:val="20"/>
        </w:rPr>
        <w:footnoteReference w:id="15"/>
      </w:r>
      <w:r w:rsidRPr="00F36B65">
        <w:rPr>
          <w:sz w:val="20"/>
          <w:szCs w:val="20"/>
        </w:rPr>
        <w:t>, indicating that access exists but is not equal in scale or quality. National data (Statistics Sierra Leone &amp; MAFS, 2024) confirm this disparity: only 39.9% of women have accessed financial services, compared to 53.7% of men, and women rely more heavily on informal, less diversified financial channels. Access to credit, extension, and training is similarly constrained, as highlighted in both the national cocoa policy and field findings. At the same time, mechanisms such as VSLAs provide an important entry point for improving women’s financial access, particularly during periods of food insecurity. Overall, resource access is improving but remains structurally unequal, limiting women’s productivity and capacity to benefit from the value chain.</w:t>
      </w:r>
    </w:p>
    <w:p w14:paraId="3AACABFB" w14:textId="77777777" w:rsidR="00F36B65" w:rsidRPr="00F36B65" w:rsidRDefault="00F36B65" w:rsidP="00F36B65">
      <w:pPr>
        <w:rPr>
          <w:sz w:val="20"/>
          <w:szCs w:val="20"/>
        </w:rPr>
      </w:pPr>
    </w:p>
    <w:p w14:paraId="0D4E9DAB" w14:textId="62353DA1" w:rsidR="00F36B65" w:rsidRPr="00F36B65" w:rsidRDefault="00F36B65" w:rsidP="00F36B65">
      <w:pPr>
        <w:rPr>
          <w:sz w:val="20"/>
          <w:szCs w:val="20"/>
        </w:rPr>
      </w:pPr>
      <w:r w:rsidRPr="00F36B65">
        <w:rPr>
          <w:sz w:val="20"/>
          <w:szCs w:val="20"/>
        </w:rPr>
        <w:lastRenderedPageBreak/>
        <w:t xml:space="preserve">Decision-making patterns illustrate a similar gap between participation and control. The mini-survey results show that women are highly involved in decision-making, with an average decision score </w:t>
      </w:r>
      <w:r w:rsidR="00E35506">
        <w:rPr>
          <w:rStyle w:val="FootnoteReference"/>
          <w:sz w:val="20"/>
          <w:szCs w:val="20"/>
        </w:rPr>
        <w:footnoteReference w:id="16"/>
      </w:r>
      <w:r w:rsidRPr="00F36B65">
        <w:rPr>
          <w:sz w:val="20"/>
          <w:szCs w:val="20"/>
        </w:rPr>
        <w:t>of 0.92, compared to 0.94 for men. Qualitative findings confirm that most women describe decisions as joint or shared. However, this high level of participation does not translate into equivalent agency. The average control score</w:t>
      </w:r>
      <w:r w:rsidR="00EE12B7">
        <w:rPr>
          <w:rStyle w:val="FootnoteReference"/>
          <w:sz w:val="20"/>
          <w:szCs w:val="20"/>
        </w:rPr>
        <w:footnoteReference w:id="17"/>
      </w:r>
      <w:r w:rsidRPr="00F36B65">
        <w:rPr>
          <w:sz w:val="20"/>
          <w:szCs w:val="20"/>
        </w:rPr>
        <w:t xml:space="preserve"> for women is significantly lower at 0.39 than for men at 0.73, indicating that final decision-making power remains male-dominated. This is further reflected in the distribution of control over resources: 39% of women surveyed report low control, while none of the men does, and 46% of men report high or male-dominant control compared to only 17% of women. These findings highlight a structural imbalance in agency: women contribute to decision-making but have less influence over outcomes, particularly regarding income and resource allocation. Household dynamics, including polygamous structures, further reinforce these inequalities.</w:t>
      </w:r>
    </w:p>
    <w:p w14:paraId="1C0368AA" w14:textId="77777777" w:rsidR="00F36B65" w:rsidRPr="00F36B65" w:rsidRDefault="00F36B65" w:rsidP="00F36B65">
      <w:pPr>
        <w:rPr>
          <w:sz w:val="20"/>
          <w:szCs w:val="20"/>
        </w:rPr>
      </w:pPr>
    </w:p>
    <w:p w14:paraId="49D2F66F" w14:textId="3B3297BA" w:rsidR="00F36B65" w:rsidRPr="00F36B65" w:rsidRDefault="00F36B65" w:rsidP="00F36B65">
      <w:pPr>
        <w:rPr>
          <w:sz w:val="20"/>
          <w:szCs w:val="20"/>
        </w:rPr>
      </w:pPr>
      <w:r w:rsidRPr="00F36B65">
        <w:rPr>
          <w:sz w:val="20"/>
          <w:szCs w:val="20"/>
        </w:rPr>
        <w:t xml:space="preserve">Leadership and empowerment within producer </w:t>
      </w:r>
      <w:proofErr w:type="spellStart"/>
      <w:r w:rsidRPr="00F36B65">
        <w:rPr>
          <w:sz w:val="20"/>
          <w:szCs w:val="20"/>
        </w:rPr>
        <w:t>organisations</w:t>
      </w:r>
      <w:proofErr w:type="spellEnd"/>
      <w:r w:rsidRPr="00F36B65">
        <w:rPr>
          <w:sz w:val="20"/>
          <w:szCs w:val="20"/>
        </w:rPr>
        <w:t xml:space="preserve"> show some progress but remain limited. Women participate widely in cooperatives and groups, and all</w:t>
      </w:r>
      <w:r w:rsidR="00A917AE">
        <w:rPr>
          <w:sz w:val="20"/>
          <w:szCs w:val="20"/>
        </w:rPr>
        <w:t xml:space="preserve"> ten</w:t>
      </w:r>
      <w:r w:rsidRPr="00F36B65">
        <w:rPr>
          <w:sz w:val="20"/>
          <w:szCs w:val="20"/>
        </w:rPr>
        <w:t xml:space="preserve"> visited cooperatives</w:t>
      </w:r>
      <w:r w:rsidR="004444E3">
        <w:rPr>
          <w:sz w:val="20"/>
          <w:szCs w:val="20"/>
        </w:rPr>
        <w:t xml:space="preserve"> </w:t>
      </w:r>
      <w:r w:rsidRPr="00F36B65">
        <w:rPr>
          <w:sz w:val="20"/>
          <w:szCs w:val="20"/>
        </w:rPr>
        <w:t>apply a minimum quota of 30% female representation on boards. However, leadership positions remain scarce, with only 2 chairwomen identified among</w:t>
      </w:r>
      <w:r w:rsidR="00A917AE">
        <w:rPr>
          <w:sz w:val="20"/>
          <w:szCs w:val="20"/>
        </w:rPr>
        <w:t xml:space="preserve"> the</w:t>
      </w:r>
      <w:r w:rsidRPr="00F36B65">
        <w:rPr>
          <w:sz w:val="20"/>
          <w:szCs w:val="20"/>
        </w:rPr>
        <w:t xml:space="preserve"> visited cooperatives. This reflects a broader pattern observed in both literature and field evidence, where membership does not translate into influence. Constraints such as low levels of education, limited access to information, and prevailing social norms continue to restrict women’s leadership roles. While project-based interventions demonstrate that targeted measures can increase women’s participation and leadership (IFAD, 2024; Fairtrade International, 2024), these gains remain rather siloed </w:t>
      </w:r>
      <w:r w:rsidR="003F698E">
        <w:rPr>
          <w:sz w:val="20"/>
          <w:szCs w:val="20"/>
        </w:rPr>
        <w:t xml:space="preserve">and </w:t>
      </w:r>
      <w:r w:rsidR="00F97CBC">
        <w:rPr>
          <w:sz w:val="20"/>
          <w:szCs w:val="20"/>
        </w:rPr>
        <w:t xml:space="preserve">project-driven </w:t>
      </w:r>
      <w:r w:rsidRPr="00F36B65">
        <w:rPr>
          <w:sz w:val="20"/>
          <w:szCs w:val="20"/>
        </w:rPr>
        <w:t>across the sector.</w:t>
      </w:r>
    </w:p>
    <w:p w14:paraId="3D44CE66" w14:textId="77777777" w:rsidR="00F36B65" w:rsidRPr="00F36B65" w:rsidRDefault="00F36B65" w:rsidP="00F36B65">
      <w:pPr>
        <w:rPr>
          <w:sz w:val="20"/>
          <w:szCs w:val="20"/>
        </w:rPr>
      </w:pPr>
    </w:p>
    <w:p w14:paraId="13AF033D" w14:textId="6C7EEDB6" w:rsidR="00F36B65" w:rsidRPr="00F36B65" w:rsidRDefault="00F36B65" w:rsidP="00F36B65">
      <w:pPr>
        <w:rPr>
          <w:sz w:val="20"/>
          <w:szCs w:val="20"/>
        </w:rPr>
      </w:pPr>
      <w:r w:rsidRPr="00F36B65">
        <w:rPr>
          <w:sz w:val="20"/>
          <w:szCs w:val="20"/>
        </w:rPr>
        <w:t xml:space="preserve">The dimension of hardship and division of </w:t>
      </w:r>
      <w:proofErr w:type="spellStart"/>
      <w:r w:rsidRPr="00F36B65">
        <w:rPr>
          <w:sz w:val="20"/>
          <w:szCs w:val="20"/>
        </w:rPr>
        <w:t>labour</w:t>
      </w:r>
      <w:proofErr w:type="spellEnd"/>
      <w:r w:rsidRPr="00F36B65">
        <w:rPr>
          <w:sz w:val="20"/>
          <w:szCs w:val="20"/>
        </w:rPr>
        <w:t xml:space="preserve"> reveals the most pronounced inequality. Women’s workloads are consistently higher than men’s due to the combination of productive and domestic responsibilities. In our sample</w:t>
      </w:r>
      <w:r w:rsidR="00400153">
        <w:rPr>
          <w:rStyle w:val="FootnoteReference"/>
          <w:sz w:val="20"/>
          <w:szCs w:val="20"/>
        </w:rPr>
        <w:footnoteReference w:id="18"/>
      </w:r>
      <w:r w:rsidRPr="00F36B65">
        <w:rPr>
          <w:sz w:val="20"/>
          <w:szCs w:val="20"/>
        </w:rPr>
        <w:t xml:space="preserve">, the </w:t>
      </w:r>
      <w:proofErr w:type="spellStart"/>
      <w:r w:rsidRPr="00F36B65">
        <w:rPr>
          <w:sz w:val="20"/>
          <w:szCs w:val="20"/>
        </w:rPr>
        <w:t>labour</w:t>
      </w:r>
      <w:proofErr w:type="spellEnd"/>
      <w:r w:rsidRPr="00F36B65">
        <w:rPr>
          <w:sz w:val="20"/>
          <w:szCs w:val="20"/>
        </w:rPr>
        <w:t>-intensity index</w:t>
      </w:r>
      <w:r w:rsidR="002C2B1A">
        <w:rPr>
          <w:rStyle w:val="FootnoteReference"/>
          <w:sz w:val="20"/>
          <w:szCs w:val="20"/>
        </w:rPr>
        <w:footnoteReference w:id="19"/>
      </w:r>
      <w:r w:rsidRPr="00F36B65">
        <w:rPr>
          <w:sz w:val="20"/>
          <w:szCs w:val="20"/>
        </w:rPr>
        <w:t xml:space="preserve"> shows a higher workload for women (0.56) than for men (0.52), and when domestic </w:t>
      </w:r>
      <w:proofErr w:type="spellStart"/>
      <w:r w:rsidRPr="00F36B65">
        <w:rPr>
          <w:sz w:val="20"/>
          <w:szCs w:val="20"/>
        </w:rPr>
        <w:t>labour</w:t>
      </w:r>
      <w:proofErr w:type="spellEnd"/>
      <w:r w:rsidR="000B2604">
        <w:rPr>
          <w:rStyle w:val="FootnoteReference"/>
          <w:sz w:val="20"/>
          <w:szCs w:val="20"/>
        </w:rPr>
        <w:footnoteReference w:id="20"/>
      </w:r>
      <w:r w:rsidRPr="00F36B65">
        <w:rPr>
          <w:sz w:val="20"/>
          <w:szCs w:val="20"/>
        </w:rPr>
        <w:t xml:space="preserve"> is included, this difference increases significantly to 0.85. Almost all respondents reported unmanageable working hours, with women particularly affected. Field evidence highlights that women perform a wide range of </w:t>
      </w:r>
      <w:proofErr w:type="spellStart"/>
      <w:r w:rsidRPr="00F36B65">
        <w:rPr>
          <w:sz w:val="20"/>
          <w:szCs w:val="20"/>
        </w:rPr>
        <w:t>labour-intensive</w:t>
      </w:r>
      <w:proofErr w:type="spellEnd"/>
      <w:r w:rsidRPr="00F36B65">
        <w:rPr>
          <w:sz w:val="20"/>
          <w:szCs w:val="20"/>
        </w:rPr>
        <w:t xml:space="preserve"> tasks in cocoa production, including weeding, pod collection, fermentation, drying, and post-harvest processing, while also carrying primary responsibility for domestic work such as cooking, childcare, water and firewood collection, and food crop production. When women manage their own plots, they are responsible for all activities, often requiring them to hire </w:t>
      </w:r>
      <w:proofErr w:type="spellStart"/>
      <w:r w:rsidRPr="00F36B65">
        <w:rPr>
          <w:sz w:val="20"/>
          <w:szCs w:val="20"/>
        </w:rPr>
        <w:t>labour</w:t>
      </w:r>
      <w:proofErr w:type="spellEnd"/>
      <w:r w:rsidRPr="00F36B65">
        <w:rPr>
          <w:sz w:val="20"/>
          <w:szCs w:val="20"/>
        </w:rPr>
        <w:t xml:space="preserve"> for physically demanding tasks, which creates additional financial pressure and dependency.</w:t>
      </w:r>
    </w:p>
    <w:p w14:paraId="3C1BE904" w14:textId="7B58F3F0" w:rsidR="00F36B65" w:rsidRPr="00F36B65" w:rsidRDefault="00F36B65" w:rsidP="00F36B65">
      <w:pPr>
        <w:rPr>
          <w:sz w:val="20"/>
          <w:szCs w:val="20"/>
        </w:rPr>
      </w:pPr>
      <w:proofErr w:type="spellStart"/>
      <w:r w:rsidRPr="00F36B65">
        <w:rPr>
          <w:sz w:val="20"/>
          <w:szCs w:val="20"/>
        </w:rPr>
        <w:t>Labour</w:t>
      </w:r>
      <w:proofErr w:type="spellEnd"/>
      <w:r w:rsidRPr="00F36B65">
        <w:rPr>
          <w:sz w:val="20"/>
          <w:szCs w:val="20"/>
        </w:rPr>
        <w:t xml:space="preserve"> division within households is therefore strongly gendered. Men tend to control land, engage in physically demanding tasks such as clearing and pruning, manage transport, and make </w:t>
      </w:r>
      <w:r w:rsidRPr="00F36B65">
        <w:rPr>
          <w:sz w:val="20"/>
          <w:szCs w:val="20"/>
        </w:rPr>
        <w:lastRenderedPageBreak/>
        <w:t xml:space="preserve">final decisions regarding sales and income use. Women and children provide substantial </w:t>
      </w:r>
      <w:proofErr w:type="spellStart"/>
      <w:r w:rsidRPr="00F36B65">
        <w:rPr>
          <w:sz w:val="20"/>
          <w:szCs w:val="20"/>
        </w:rPr>
        <w:t>labour</w:t>
      </w:r>
      <w:proofErr w:type="spellEnd"/>
      <w:r w:rsidRPr="00F36B65">
        <w:rPr>
          <w:sz w:val="20"/>
          <w:szCs w:val="20"/>
        </w:rPr>
        <w:t xml:space="preserve"> inputs that are less visible and less directly linked to economic returns or decision-making power. Children typically contribute through lighter tasks, although this raises concerns </w:t>
      </w:r>
      <w:r w:rsidR="000C3760">
        <w:rPr>
          <w:sz w:val="20"/>
          <w:szCs w:val="20"/>
        </w:rPr>
        <w:t>when it intersects with schooling or exposure to hazardous work</w:t>
      </w:r>
      <w:r w:rsidR="00F14511">
        <w:rPr>
          <w:sz w:val="20"/>
          <w:szCs w:val="20"/>
        </w:rPr>
        <w:t>. As the evidence is missing</w:t>
      </w:r>
      <w:r w:rsidR="00131D5A">
        <w:rPr>
          <w:sz w:val="20"/>
          <w:szCs w:val="20"/>
        </w:rPr>
        <w:t xml:space="preserve">, </w:t>
      </w:r>
      <w:r w:rsidR="000C3760">
        <w:rPr>
          <w:sz w:val="20"/>
          <w:szCs w:val="20"/>
        </w:rPr>
        <w:t>a large monitoring survey would provide a clear picture</w:t>
      </w:r>
      <w:r w:rsidRPr="00F36B65">
        <w:rPr>
          <w:sz w:val="20"/>
          <w:szCs w:val="20"/>
        </w:rPr>
        <w:t>. Overall, women sustain household and value chain functioning but do not benefit equally from it, reinforcing structural inequality.</w:t>
      </w:r>
    </w:p>
    <w:p w14:paraId="15C71E97" w14:textId="77777777" w:rsidR="00F36B65" w:rsidRPr="00F36B65" w:rsidRDefault="00F36B65" w:rsidP="00F36B65">
      <w:pPr>
        <w:rPr>
          <w:sz w:val="20"/>
          <w:szCs w:val="20"/>
        </w:rPr>
      </w:pPr>
    </w:p>
    <w:p w14:paraId="12ED3C0F" w14:textId="77777777" w:rsidR="00F36B65" w:rsidRDefault="00F36B65" w:rsidP="00F36B65">
      <w:pPr>
        <w:rPr>
          <w:sz w:val="20"/>
          <w:szCs w:val="20"/>
        </w:rPr>
      </w:pPr>
      <w:r w:rsidRPr="00F36B65">
        <w:rPr>
          <w:sz w:val="20"/>
          <w:szCs w:val="20"/>
        </w:rPr>
        <w:t xml:space="preserve">The findings indicate that gender inequality in the CVC is not the result of exclusion from participation, but rather the outcome of systemic constraints in access, control, and benefit distribution. Legal reforms and targeted interventions have created important progress, particularly in </w:t>
      </w:r>
      <w:proofErr w:type="spellStart"/>
      <w:r w:rsidRPr="00F36B65">
        <w:rPr>
          <w:sz w:val="20"/>
          <w:szCs w:val="20"/>
        </w:rPr>
        <w:t>recognising</w:t>
      </w:r>
      <w:proofErr w:type="spellEnd"/>
      <w:r w:rsidRPr="00F36B65">
        <w:rPr>
          <w:sz w:val="20"/>
          <w:szCs w:val="20"/>
        </w:rPr>
        <w:t xml:space="preserve"> women’s rights and increasing participation. However, these gains remain uneven and are often limited to specific projects or </w:t>
      </w:r>
      <w:proofErr w:type="spellStart"/>
      <w:r w:rsidRPr="00F36B65">
        <w:rPr>
          <w:sz w:val="20"/>
          <w:szCs w:val="20"/>
        </w:rPr>
        <w:t>localised</w:t>
      </w:r>
      <w:proofErr w:type="spellEnd"/>
      <w:r w:rsidRPr="00F36B65">
        <w:rPr>
          <w:sz w:val="20"/>
          <w:szCs w:val="20"/>
        </w:rPr>
        <w:t xml:space="preserve"> contexts.</w:t>
      </w:r>
    </w:p>
    <w:p w14:paraId="7FA72F1F" w14:textId="77777777" w:rsidR="007901FD" w:rsidRDefault="007901FD" w:rsidP="00F36B65">
      <w:pPr>
        <w:rPr>
          <w:sz w:val="20"/>
          <w:szCs w:val="20"/>
        </w:rPr>
      </w:pPr>
    </w:p>
    <w:p w14:paraId="4DE0A7F7" w14:textId="53E24E1A" w:rsidR="007901FD" w:rsidRPr="00F36B65" w:rsidRDefault="000427D5" w:rsidP="00F36B65">
      <w:pPr>
        <w:rPr>
          <w:sz w:val="20"/>
          <w:szCs w:val="20"/>
        </w:rPr>
      </w:pPr>
      <w:r w:rsidRPr="000427D5">
        <w:rPr>
          <w:sz w:val="20"/>
          <w:szCs w:val="20"/>
          <w:lang w:val="en-GB"/>
        </w:rPr>
        <w:t>Th</w:t>
      </w:r>
      <w:r>
        <w:rPr>
          <w:sz w:val="20"/>
          <w:szCs w:val="20"/>
          <w:lang w:val="en-GB"/>
        </w:rPr>
        <w:t xml:space="preserve">is </w:t>
      </w:r>
      <w:r w:rsidRPr="000427D5">
        <w:rPr>
          <w:sz w:val="20"/>
          <w:szCs w:val="20"/>
          <w:lang w:val="en-GB"/>
        </w:rPr>
        <w:t xml:space="preserve">does not suggest that women’s involvement in the CVC necessarily makes their situation worse </w:t>
      </w:r>
      <w:r w:rsidR="003D305C">
        <w:rPr>
          <w:sz w:val="20"/>
          <w:szCs w:val="20"/>
          <w:lang w:val="en-GB"/>
        </w:rPr>
        <w:t xml:space="preserve">than their general position </w:t>
      </w:r>
      <w:r w:rsidRPr="000427D5">
        <w:rPr>
          <w:sz w:val="20"/>
          <w:szCs w:val="20"/>
          <w:lang w:val="en-GB"/>
        </w:rPr>
        <w:t xml:space="preserve">in Sierra Leonean society. Rather, the CVC largely reflects and reproduces broader structural gender inequalities, especially unequal land access, limited control over income, low representation in leadership, and a high unpaid labour burden. At the same time, the CVC also </w:t>
      </w:r>
      <w:r w:rsidR="003D305C">
        <w:rPr>
          <w:sz w:val="20"/>
          <w:szCs w:val="20"/>
          <w:lang w:val="en-GB"/>
        </w:rPr>
        <w:t>offers potential entry points for improving women’s status, particularly through women’s membership in cooperatives and</w:t>
      </w:r>
      <w:r w:rsidRPr="000427D5">
        <w:rPr>
          <w:sz w:val="20"/>
          <w:szCs w:val="20"/>
          <w:lang w:val="en-GB"/>
        </w:rPr>
        <w:t xml:space="preserve"> VSLAs, access to cocoa-related income, targeted training, and leadership quotas. Therefore, women’s participation in cocoa should be understood as both constrained by existing gender norms and potentially transformative if accompanied by measures that increase women’s control over resources, income, and decision-making</w:t>
      </w:r>
      <w:r w:rsidR="008E2C9F">
        <w:rPr>
          <w:sz w:val="20"/>
          <w:szCs w:val="20"/>
          <w:lang w:val="en-GB"/>
        </w:rPr>
        <w:t xml:space="preserve">. </w:t>
      </w:r>
    </w:p>
    <w:p w14:paraId="3225BD94" w14:textId="77777777" w:rsidR="00F36B65" w:rsidRPr="00F36B65" w:rsidRDefault="00F36B65" w:rsidP="00F36B65">
      <w:pPr>
        <w:rPr>
          <w:sz w:val="20"/>
          <w:szCs w:val="20"/>
        </w:rPr>
      </w:pPr>
    </w:p>
    <w:p w14:paraId="5FC1DD86" w14:textId="7CC5E3F7" w:rsidR="00F24CC2" w:rsidRDefault="00F36B65" w:rsidP="00F36B65">
      <w:pPr>
        <w:rPr>
          <w:sz w:val="20"/>
          <w:szCs w:val="20"/>
        </w:rPr>
      </w:pPr>
      <w:r w:rsidRPr="00F36B65">
        <w:rPr>
          <w:sz w:val="20"/>
          <w:szCs w:val="20"/>
        </w:rPr>
        <w:t xml:space="preserve">In conclusion, gender equality in the CVC can be </w:t>
      </w:r>
      <w:proofErr w:type="spellStart"/>
      <w:r w:rsidRPr="00F36B65">
        <w:rPr>
          <w:sz w:val="20"/>
          <w:szCs w:val="20"/>
        </w:rPr>
        <w:t>characterised</w:t>
      </w:r>
      <w:proofErr w:type="spellEnd"/>
      <w:r w:rsidRPr="00F36B65">
        <w:rPr>
          <w:sz w:val="20"/>
          <w:szCs w:val="20"/>
        </w:rPr>
        <w:t xml:space="preserve"> as high in participation but low in </w:t>
      </w:r>
      <w:r w:rsidR="006B0686" w:rsidRPr="00F36B65">
        <w:rPr>
          <w:sz w:val="20"/>
          <w:szCs w:val="20"/>
        </w:rPr>
        <w:t>empowerment</w:t>
      </w:r>
      <w:r w:rsidR="006B0686">
        <w:rPr>
          <w:sz w:val="20"/>
          <w:szCs w:val="20"/>
        </w:rPr>
        <w:t xml:space="preserve"> and</w:t>
      </w:r>
      <w:r w:rsidR="00E705C3">
        <w:rPr>
          <w:sz w:val="20"/>
          <w:szCs w:val="20"/>
        </w:rPr>
        <w:t xml:space="preserve"> remains broadly in line with wider gender inequalities in SL</w:t>
      </w:r>
      <w:r w:rsidR="006B0686">
        <w:rPr>
          <w:sz w:val="20"/>
          <w:szCs w:val="20"/>
        </w:rPr>
        <w:t xml:space="preserve">: women contribute substantially but benefit less than men. </w:t>
      </w:r>
      <w:r w:rsidRPr="00F36B65">
        <w:rPr>
          <w:sz w:val="20"/>
          <w:szCs w:val="20"/>
        </w:rPr>
        <w:t xml:space="preserve">Women are central to production and livelihoods but face persistent constraints in accessing resources, controlling income, participating in leadership, and distributing workloads. The coexistence of improved legal frameworks with entrenched social norms and structural barriers limits the translation of participation into equitable outcomes. </w:t>
      </w:r>
      <w:r w:rsidR="00F24CC2">
        <w:rPr>
          <w:sz w:val="20"/>
          <w:szCs w:val="20"/>
        </w:rPr>
        <w:t xml:space="preserve">However, the CVC can become a venue for improving women’s status if investments </w:t>
      </w:r>
      <w:r w:rsidR="0095137B">
        <w:rPr>
          <w:sz w:val="20"/>
          <w:szCs w:val="20"/>
        </w:rPr>
        <w:t xml:space="preserve">move beyond participation and explicitly target </w:t>
      </w:r>
      <w:r w:rsidR="0095137B" w:rsidRPr="00F36B65">
        <w:rPr>
          <w:sz w:val="20"/>
          <w:szCs w:val="20"/>
        </w:rPr>
        <w:t xml:space="preserve">these structural constraints simultaneously, including improving access to </w:t>
      </w:r>
      <w:proofErr w:type="gramStart"/>
      <w:r w:rsidR="0095137B" w:rsidRPr="00F36B65">
        <w:rPr>
          <w:sz w:val="20"/>
          <w:szCs w:val="20"/>
        </w:rPr>
        <w:t>land</w:t>
      </w:r>
      <w:r w:rsidR="00EE72D0">
        <w:rPr>
          <w:sz w:val="20"/>
          <w:szCs w:val="20"/>
        </w:rPr>
        <w:t xml:space="preserve">, </w:t>
      </w:r>
      <w:r w:rsidR="0095137B" w:rsidRPr="00F36B65">
        <w:rPr>
          <w:sz w:val="20"/>
          <w:szCs w:val="20"/>
        </w:rPr>
        <w:t xml:space="preserve"> finance</w:t>
      </w:r>
      <w:proofErr w:type="gramEnd"/>
      <w:r w:rsidR="00EE72D0">
        <w:rPr>
          <w:sz w:val="20"/>
          <w:szCs w:val="20"/>
        </w:rPr>
        <w:t xml:space="preserve"> and information</w:t>
      </w:r>
      <w:r w:rsidR="0095137B" w:rsidRPr="00F36B65">
        <w:rPr>
          <w:sz w:val="20"/>
          <w:szCs w:val="20"/>
        </w:rPr>
        <w:t xml:space="preserve">, strengthening women’s decision-making power, reducing </w:t>
      </w:r>
      <w:proofErr w:type="spellStart"/>
      <w:r w:rsidR="0095137B" w:rsidRPr="00F36B65">
        <w:rPr>
          <w:sz w:val="20"/>
          <w:szCs w:val="20"/>
        </w:rPr>
        <w:t>labour</w:t>
      </w:r>
      <w:proofErr w:type="spellEnd"/>
      <w:r w:rsidR="0095137B" w:rsidRPr="00F36B65">
        <w:rPr>
          <w:sz w:val="20"/>
          <w:szCs w:val="20"/>
        </w:rPr>
        <w:t xml:space="preserve"> burdens</w:t>
      </w:r>
      <w:r w:rsidR="006F619F">
        <w:rPr>
          <w:sz w:val="20"/>
          <w:szCs w:val="20"/>
        </w:rPr>
        <w:t xml:space="preserve"> </w:t>
      </w:r>
      <w:r w:rsidR="00EE72D0">
        <w:rPr>
          <w:sz w:val="20"/>
          <w:szCs w:val="20"/>
        </w:rPr>
        <w:t>through</w:t>
      </w:r>
      <w:r w:rsidR="006F619F">
        <w:rPr>
          <w:sz w:val="20"/>
          <w:szCs w:val="20"/>
        </w:rPr>
        <w:t xml:space="preserve"> </w:t>
      </w:r>
      <w:proofErr w:type="spellStart"/>
      <w:r w:rsidR="006F619F">
        <w:rPr>
          <w:sz w:val="20"/>
          <w:szCs w:val="20"/>
        </w:rPr>
        <w:t>labour-saving</w:t>
      </w:r>
      <w:proofErr w:type="spellEnd"/>
      <w:r w:rsidR="006F619F">
        <w:rPr>
          <w:sz w:val="20"/>
          <w:szCs w:val="20"/>
        </w:rPr>
        <w:t xml:space="preserve"> support</w:t>
      </w:r>
      <w:r w:rsidR="0095137B" w:rsidRPr="00F36B65">
        <w:rPr>
          <w:sz w:val="20"/>
          <w:szCs w:val="20"/>
        </w:rPr>
        <w:t>, and expanding leadership opportunities. Without such systemic changes, gender inequality will continue to limit both social sustainability and the overall performance of the CVC.</w:t>
      </w:r>
    </w:p>
    <w:p w14:paraId="4F330EEE" w14:textId="0209706C" w:rsidR="00C61D34" w:rsidRDefault="00C61D34" w:rsidP="00F36B65">
      <w:pPr>
        <w:rPr>
          <w:sz w:val="20"/>
          <w:szCs w:val="20"/>
        </w:rPr>
      </w:pPr>
    </w:p>
    <w:p w14:paraId="298E793F" w14:textId="77777777" w:rsidR="00F84CA9" w:rsidRPr="00F36B65" w:rsidRDefault="00F84CA9" w:rsidP="00F36B65">
      <w:pPr>
        <w:rPr>
          <w:sz w:val="20"/>
          <w:szCs w:val="20"/>
        </w:rPr>
      </w:pPr>
    </w:p>
    <w:p w14:paraId="239035AB" w14:textId="295F979A" w:rsidR="00F84CA9" w:rsidRDefault="00F84CA9" w:rsidP="00F84CA9">
      <w:pPr>
        <w:pStyle w:val="Caption"/>
        <w:keepNext/>
        <w:jc w:val="center"/>
      </w:pPr>
      <w:bookmarkStart w:id="138" w:name="_Toc228701081"/>
      <w:r>
        <w:t xml:space="preserve">Table </w:t>
      </w:r>
      <w:fldSimple w:instr=" STYLEREF 1 \s ">
        <w:r w:rsidR="006C1C4E">
          <w:rPr>
            <w:noProof/>
          </w:rPr>
          <w:t>4</w:t>
        </w:r>
      </w:fldSimple>
      <w:r w:rsidR="006C1C4E">
        <w:noBreakHyphen/>
      </w:r>
      <w:fldSimple w:instr=" SEQ Table \* ARABIC \s 1 ">
        <w:r w:rsidR="006C1C4E">
          <w:rPr>
            <w:noProof/>
          </w:rPr>
          <w:t>3</w:t>
        </w:r>
      </w:fldSimple>
      <w:r>
        <w:t xml:space="preserve"> </w:t>
      </w:r>
      <w:r w:rsidRPr="00FC4C06">
        <w:t>Assessment of Gender Equality</w:t>
      </w:r>
      <w:bookmarkEnd w:id="138"/>
    </w:p>
    <w:tbl>
      <w:tblPr>
        <w:tblStyle w:val="TableGrid"/>
        <w:tblW w:w="0" w:type="auto"/>
        <w:jc w:val="center"/>
        <w:tblLook w:val="04A0" w:firstRow="1" w:lastRow="0" w:firstColumn="1" w:lastColumn="0" w:noHBand="0" w:noVBand="1"/>
      </w:tblPr>
      <w:tblGrid>
        <w:gridCol w:w="2547"/>
        <w:gridCol w:w="1961"/>
      </w:tblGrid>
      <w:tr w:rsidR="00F36B65" w:rsidRPr="0079547A" w14:paraId="55CA446A"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0C0C7AA8" w14:textId="77777777" w:rsidR="00F36B65" w:rsidRPr="0079547A" w:rsidRDefault="00F36B65" w:rsidP="00930C4A">
            <w:pPr>
              <w:rPr>
                <w:bCs/>
                <w:lang w:val="tr-TR"/>
              </w:rPr>
            </w:pPr>
            <w:r>
              <w:rPr>
                <w:bCs/>
                <w:lang w:val="tr-TR"/>
              </w:rPr>
              <w:t>Gender Equality</w:t>
            </w:r>
          </w:p>
        </w:tc>
      </w:tr>
      <w:tr w:rsidR="00F36B65" w:rsidRPr="0079547A" w14:paraId="47FAA89A" w14:textId="77777777" w:rsidTr="00930C4A">
        <w:trPr>
          <w:jc w:val="center"/>
        </w:trPr>
        <w:tc>
          <w:tcPr>
            <w:tcW w:w="2547" w:type="dxa"/>
          </w:tcPr>
          <w:p w14:paraId="4BAF77FD" w14:textId="77777777" w:rsidR="00F36B65" w:rsidRPr="0079547A" w:rsidRDefault="00F36B65" w:rsidP="00930C4A">
            <w:pPr>
              <w:rPr>
                <w:lang w:val="tr-TR"/>
              </w:rPr>
            </w:pPr>
            <w:r>
              <w:rPr>
                <w:lang w:val="tr-TR"/>
              </w:rPr>
              <w:t>Economic Activities</w:t>
            </w:r>
          </w:p>
        </w:tc>
        <w:tc>
          <w:tcPr>
            <w:tcW w:w="1961" w:type="dxa"/>
            <w:shd w:val="clear" w:color="auto" w:fill="92D050"/>
          </w:tcPr>
          <w:p w14:paraId="259B0AD1" w14:textId="77777777" w:rsidR="00F36B65" w:rsidRPr="0079547A" w:rsidRDefault="00F36B65" w:rsidP="00930C4A">
            <w:pPr>
              <w:rPr>
                <w:lang w:val="tr-TR"/>
              </w:rPr>
            </w:pPr>
          </w:p>
        </w:tc>
      </w:tr>
      <w:tr w:rsidR="00F36B65" w:rsidRPr="00863E9E" w14:paraId="1384FBEF" w14:textId="77777777" w:rsidTr="00930C4A">
        <w:trPr>
          <w:jc w:val="center"/>
        </w:trPr>
        <w:tc>
          <w:tcPr>
            <w:tcW w:w="2547" w:type="dxa"/>
          </w:tcPr>
          <w:p w14:paraId="7622EA05" w14:textId="77777777" w:rsidR="00F36B65" w:rsidRPr="0079547A" w:rsidRDefault="00F36B65" w:rsidP="00930C4A">
            <w:pPr>
              <w:rPr>
                <w:lang w:val="tr-TR"/>
              </w:rPr>
            </w:pPr>
            <w:r>
              <w:rPr>
                <w:lang w:val="tr-TR"/>
              </w:rPr>
              <w:t>Access to resources and services</w:t>
            </w:r>
          </w:p>
        </w:tc>
        <w:tc>
          <w:tcPr>
            <w:tcW w:w="1961" w:type="dxa"/>
            <w:shd w:val="clear" w:color="auto" w:fill="FFC000"/>
          </w:tcPr>
          <w:p w14:paraId="3478A5FF" w14:textId="77777777" w:rsidR="00F36B65" w:rsidRPr="0079547A" w:rsidRDefault="00F36B65" w:rsidP="00930C4A">
            <w:pPr>
              <w:rPr>
                <w:lang w:val="tr-TR"/>
              </w:rPr>
            </w:pPr>
          </w:p>
        </w:tc>
      </w:tr>
      <w:tr w:rsidR="00F36B65" w:rsidRPr="0079547A" w14:paraId="1C6C640E" w14:textId="77777777" w:rsidTr="00930C4A">
        <w:trPr>
          <w:jc w:val="center"/>
        </w:trPr>
        <w:tc>
          <w:tcPr>
            <w:tcW w:w="2547" w:type="dxa"/>
          </w:tcPr>
          <w:p w14:paraId="6FC1C08F" w14:textId="77777777" w:rsidR="00F36B65" w:rsidRPr="0079547A" w:rsidRDefault="00F36B65" w:rsidP="00930C4A">
            <w:pPr>
              <w:rPr>
                <w:lang w:val="tr-TR"/>
              </w:rPr>
            </w:pPr>
            <w:r>
              <w:rPr>
                <w:lang w:val="tr-TR"/>
              </w:rPr>
              <w:t>Decision making</w:t>
            </w:r>
          </w:p>
        </w:tc>
        <w:tc>
          <w:tcPr>
            <w:tcW w:w="1961" w:type="dxa"/>
            <w:shd w:val="clear" w:color="auto" w:fill="FFC000"/>
          </w:tcPr>
          <w:p w14:paraId="77052BC0" w14:textId="77777777" w:rsidR="00F36B65" w:rsidRPr="0079547A" w:rsidRDefault="00F36B65" w:rsidP="00930C4A">
            <w:pPr>
              <w:rPr>
                <w:b/>
                <w:bCs/>
                <w:lang w:val="en-GB"/>
              </w:rPr>
            </w:pPr>
          </w:p>
        </w:tc>
      </w:tr>
      <w:tr w:rsidR="00F36B65" w:rsidRPr="0079547A" w14:paraId="7EF87BD2" w14:textId="77777777" w:rsidTr="00930C4A">
        <w:trPr>
          <w:jc w:val="center"/>
        </w:trPr>
        <w:tc>
          <w:tcPr>
            <w:tcW w:w="2547" w:type="dxa"/>
          </w:tcPr>
          <w:p w14:paraId="054737F1" w14:textId="77777777" w:rsidR="00F36B65" w:rsidRPr="0079547A" w:rsidRDefault="00F36B65" w:rsidP="00930C4A">
            <w:pPr>
              <w:rPr>
                <w:lang w:val="tr-TR"/>
              </w:rPr>
            </w:pPr>
            <w:r>
              <w:rPr>
                <w:lang w:val="tr-TR"/>
              </w:rPr>
              <w:t>Leadership and Empowerment</w:t>
            </w:r>
          </w:p>
        </w:tc>
        <w:tc>
          <w:tcPr>
            <w:tcW w:w="1961" w:type="dxa"/>
            <w:shd w:val="clear" w:color="auto" w:fill="FFC000"/>
          </w:tcPr>
          <w:p w14:paraId="1839DDA3" w14:textId="77777777" w:rsidR="00F36B65" w:rsidRPr="0079547A" w:rsidRDefault="00F36B65" w:rsidP="00930C4A">
            <w:pPr>
              <w:rPr>
                <w:b/>
                <w:bCs/>
                <w:lang w:val="en-GB"/>
              </w:rPr>
            </w:pPr>
          </w:p>
        </w:tc>
      </w:tr>
      <w:tr w:rsidR="00F36B65" w:rsidRPr="0079547A" w14:paraId="6AA06520" w14:textId="77777777" w:rsidTr="00930C4A">
        <w:trPr>
          <w:jc w:val="center"/>
        </w:trPr>
        <w:tc>
          <w:tcPr>
            <w:tcW w:w="2547" w:type="dxa"/>
          </w:tcPr>
          <w:p w14:paraId="1DB31DAE" w14:textId="77777777" w:rsidR="00F36B65" w:rsidRDefault="00F36B65" w:rsidP="00930C4A">
            <w:pPr>
              <w:rPr>
                <w:lang w:val="tr-TR"/>
              </w:rPr>
            </w:pPr>
            <w:r>
              <w:rPr>
                <w:lang w:val="tr-TR"/>
              </w:rPr>
              <w:t>Hardship and division of labour</w:t>
            </w:r>
          </w:p>
        </w:tc>
        <w:tc>
          <w:tcPr>
            <w:tcW w:w="1961" w:type="dxa"/>
            <w:shd w:val="clear" w:color="auto" w:fill="FFC000"/>
          </w:tcPr>
          <w:p w14:paraId="7B864F62" w14:textId="77777777" w:rsidR="00F36B65" w:rsidRPr="0079547A" w:rsidRDefault="00F36B65" w:rsidP="00930C4A">
            <w:pPr>
              <w:rPr>
                <w:b/>
                <w:bCs/>
                <w:lang w:val="en-GB"/>
              </w:rPr>
            </w:pPr>
          </w:p>
        </w:tc>
      </w:tr>
    </w:tbl>
    <w:p w14:paraId="265466A7" w14:textId="77777777" w:rsidR="00F36B65" w:rsidRPr="0079547A" w:rsidRDefault="00F36B65" w:rsidP="00F36B65"/>
    <w:p w14:paraId="0EF2C8F9" w14:textId="77777777" w:rsidR="00F36B65" w:rsidRPr="00726E05" w:rsidRDefault="00F36B65" w:rsidP="00F36B65"/>
    <w:p w14:paraId="32435E68" w14:textId="77777777" w:rsidR="00614F1B" w:rsidRPr="00D93D57" w:rsidRDefault="00614F1B" w:rsidP="00D93D57">
      <w:pPr>
        <w:pStyle w:val="Heading2"/>
      </w:pPr>
      <w:bookmarkStart w:id="139" w:name="_Toc201844310"/>
      <w:bookmarkStart w:id="140" w:name="_Toc228701033"/>
      <w:r w:rsidRPr="00D93D57">
        <w:lastRenderedPageBreak/>
        <w:t>Food and nutrition security</w:t>
      </w:r>
      <w:bookmarkEnd w:id="139"/>
      <w:bookmarkEnd w:id="140"/>
      <w:r w:rsidRPr="00D93D57">
        <w:t xml:space="preserve"> </w:t>
      </w:r>
    </w:p>
    <w:p w14:paraId="354935F9" w14:textId="075770FF" w:rsidR="002A0BC6" w:rsidRPr="002A0BC6" w:rsidRDefault="002A0BC6" w:rsidP="002A0BC6">
      <w:pPr>
        <w:rPr>
          <w:sz w:val="20"/>
          <w:szCs w:val="20"/>
        </w:rPr>
      </w:pPr>
      <w:r w:rsidRPr="002A0BC6">
        <w:rPr>
          <w:sz w:val="20"/>
          <w:szCs w:val="20"/>
        </w:rPr>
        <w:t xml:space="preserve">The analysis of food and nutrition security in the CVC indicates that, despite the central role of cocoa as a source of income for producers’ households, food security outcomes remain weak, highly seasonal, and structurally vulnerable. While national policy (MAFS, 2024) frames cocoa development as a pathway to improving livelihoods and addressing food insecurity, </w:t>
      </w:r>
      <w:r w:rsidR="005B3741">
        <w:rPr>
          <w:sz w:val="20"/>
          <w:szCs w:val="20"/>
        </w:rPr>
        <w:t xml:space="preserve">our findings </w:t>
      </w:r>
      <w:proofErr w:type="gramStart"/>
      <w:r w:rsidRPr="002A0BC6">
        <w:rPr>
          <w:sz w:val="20"/>
          <w:szCs w:val="20"/>
        </w:rPr>
        <w:t>suggests</w:t>
      </w:r>
      <w:proofErr w:type="gramEnd"/>
      <w:r w:rsidRPr="002A0BC6">
        <w:rPr>
          <w:sz w:val="20"/>
          <w:szCs w:val="20"/>
        </w:rPr>
        <w:t xml:space="preserve"> that income gains from cocoa alone are insufficient to ensure stable and adequate food access, particularly in a context </w:t>
      </w:r>
      <w:proofErr w:type="spellStart"/>
      <w:r w:rsidRPr="002A0BC6">
        <w:rPr>
          <w:sz w:val="20"/>
          <w:szCs w:val="20"/>
        </w:rPr>
        <w:t>characterised</w:t>
      </w:r>
      <w:proofErr w:type="spellEnd"/>
      <w:r w:rsidRPr="002A0BC6">
        <w:rPr>
          <w:sz w:val="20"/>
          <w:szCs w:val="20"/>
        </w:rPr>
        <w:t xml:space="preserve"> by macroeconomic instability and weak rural systems.</w:t>
      </w:r>
    </w:p>
    <w:p w14:paraId="54A84F46" w14:textId="77777777" w:rsidR="002A0BC6" w:rsidRPr="002A0BC6" w:rsidRDefault="002A0BC6" w:rsidP="002A0BC6">
      <w:pPr>
        <w:rPr>
          <w:sz w:val="20"/>
          <w:szCs w:val="20"/>
        </w:rPr>
      </w:pPr>
    </w:p>
    <w:p w14:paraId="57F604A6" w14:textId="77777777" w:rsidR="002A0BC6" w:rsidRDefault="002A0BC6" w:rsidP="002A0BC6">
      <w:pPr>
        <w:rPr>
          <w:sz w:val="20"/>
          <w:szCs w:val="20"/>
        </w:rPr>
      </w:pPr>
      <w:r w:rsidRPr="002A0BC6">
        <w:rPr>
          <w:sz w:val="20"/>
          <w:szCs w:val="20"/>
        </w:rPr>
        <w:t xml:space="preserve">At the macro level, food security conditions in Sierra Leone have deteriorated in recent years, driven by a combination of internal and external shocks. High inflation, currency depreciation, and rising food and fuel prices, compounded by global disruptions such as the COVID-19 pandemic and the </w:t>
      </w:r>
      <w:proofErr w:type="gramStart"/>
      <w:r w:rsidRPr="002A0BC6">
        <w:rPr>
          <w:sz w:val="20"/>
          <w:szCs w:val="20"/>
        </w:rPr>
        <w:t>Russian-Ukrainian</w:t>
      </w:r>
      <w:proofErr w:type="gramEnd"/>
      <w:r w:rsidRPr="002A0BC6">
        <w:rPr>
          <w:sz w:val="20"/>
          <w:szCs w:val="20"/>
        </w:rPr>
        <w:t xml:space="preserve"> conflict, have significantly reduced purchasing power (WFP, 2024). The situation remains critical, with 78% of the population classified as food insecure and households spending approximately 75% of their income on food (WFP, 2025). Although recent reductions in rice prices, 18% for imported rice and 3% for local rice, have slightly eased pressure, they have not fundamentally altered the underlying vulnerability of rural households (WFP, 2025). This broader context directly shapes the CVC, in which food security is closely linked to income rather than production.</w:t>
      </w:r>
    </w:p>
    <w:p w14:paraId="22F0ABA8" w14:textId="77777777" w:rsidR="00D629B5" w:rsidRPr="00F305AC" w:rsidRDefault="00D629B5" w:rsidP="002A0BC6">
      <w:pPr>
        <w:rPr>
          <w:sz w:val="20"/>
          <w:szCs w:val="20"/>
          <w:lang w:val="en-GB"/>
        </w:rPr>
      </w:pPr>
    </w:p>
    <w:p w14:paraId="1239AE0E" w14:textId="2543B5BA" w:rsidR="00D80974" w:rsidRDefault="00D80974" w:rsidP="00D80974">
      <w:pPr>
        <w:rPr>
          <w:sz w:val="20"/>
          <w:szCs w:val="20"/>
          <w:lang w:val="en-GB"/>
        </w:rPr>
      </w:pPr>
      <w:r w:rsidRPr="00F305AC">
        <w:rPr>
          <w:sz w:val="20"/>
          <w:szCs w:val="20"/>
          <w:lang w:val="en-GB"/>
        </w:rPr>
        <w:t xml:space="preserve">Focusing on the three cocoa districts and comparing them with the rest of the country, the results indicate that cocoa districts do not exhibit a uniformly worse food-security profile in Sierra Leone </w:t>
      </w:r>
      <w:r w:rsidR="00172A70">
        <w:rPr>
          <w:sz w:val="20"/>
          <w:szCs w:val="20"/>
          <w:lang w:val="en-GB"/>
        </w:rPr>
        <w:t xml:space="preserve">(data from </w:t>
      </w:r>
      <w:r w:rsidR="00172A70" w:rsidRPr="00176C8C">
        <w:rPr>
          <w:sz w:val="20"/>
          <w:szCs w:val="20"/>
          <w:lang w:val="en-GB"/>
        </w:rPr>
        <w:t>WFP, 2024</w:t>
      </w:r>
      <w:r w:rsidR="00172A70">
        <w:rPr>
          <w:sz w:val="20"/>
          <w:szCs w:val="20"/>
          <w:lang w:val="en-GB"/>
        </w:rPr>
        <w:t xml:space="preserve">) </w:t>
      </w:r>
      <w:r w:rsidRPr="00F305AC">
        <w:rPr>
          <w:sz w:val="20"/>
          <w:szCs w:val="20"/>
          <w:lang w:val="en-GB"/>
        </w:rPr>
        <w:t>(Table A1 in the Appendix for Social Analysis). However, important differences exist within this group: Kenema stands out as particularly vulnerable, especially in terms of poor FCS and emergency livelihood coping, while Kailahun performs comparatively well and Kono shows mixed but not extreme outcomes.</w:t>
      </w:r>
      <w:r w:rsidR="00770F84" w:rsidRPr="00F305AC">
        <w:rPr>
          <w:sz w:val="20"/>
          <w:szCs w:val="20"/>
          <w:lang w:val="en-GB"/>
        </w:rPr>
        <w:t xml:space="preserve"> </w:t>
      </w:r>
      <w:r w:rsidRPr="00F305AC">
        <w:rPr>
          <w:sz w:val="20"/>
          <w:szCs w:val="20"/>
          <w:lang w:val="en-GB"/>
        </w:rPr>
        <w:t xml:space="preserve">At national level, 14% of households had poor FCS, 62% borderline and 25% acceptable (WFP, 2024). Within cocoa districts, Kenema records one of the highest shares of poor FCS, whereas Kailahun has one of the lowest (3.2%), underscoring substantial intra-group variation (WFP, 2024). </w:t>
      </w:r>
      <w:r w:rsidR="00495D81">
        <w:rPr>
          <w:sz w:val="20"/>
          <w:szCs w:val="20"/>
          <w:lang w:val="en-GB"/>
        </w:rPr>
        <w:t xml:space="preserve">The overview of the FCS per cocoa districts </w:t>
      </w:r>
      <w:proofErr w:type="gramStart"/>
      <w:r w:rsidR="00495D81">
        <w:rPr>
          <w:sz w:val="20"/>
          <w:szCs w:val="20"/>
          <w:lang w:val="en-GB"/>
        </w:rPr>
        <w:t xml:space="preserve">and in comparison </w:t>
      </w:r>
      <w:proofErr w:type="gramEnd"/>
      <w:r w:rsidR="00495D81">
        <w:rPr>
          <w:sz w:val="20"/>
          <w:szCs w:val="20"/>
          <w:lang w:val="en-GB"/>
        </w:rPr>
        <w:t xml:space="preserve">with the country average is in </w:t>
      </w:r>
      <w:r w:rsidR="00E214E6">
        <w:rPr>
          <w:sz w:val="20"/>
          <w:szCs w:val="20"/>
          <w:lang w:val="en-GB"/>
        </w:rPr>
        <w:fldChar w:fldCharType="begin"/>
      </w:r>
      <w:r w:rsidR="00E214E6">
        <w:rPr>
          <w:sz w:val="20"/>
          <w:szCs w:val="20"/>
          <w:lang w:val="en-GB"/>
        </w:rPr>
        <w:instrText xml:space="preserve"> REF _Ref228700662 \h </w:instrText>
      </w:r>
      <w:r w:rsidR="00E214E6">
        <w:rPr>
          <w:sz w:val="20"/>
          <w:szCs w:val="20"/>
          <w:lang w:val="en-GB"/>
        </w:rPr>
      </w:r>
      <w:r w:rsidR="00E214E6">
        <w:rPr>
          <w:sz w:val="20"/>
          <w:szCs w:val="20"/>
          <w:lang w:val="en-GB"/>
        </w:rPr>
        <w:fldChar w:fldCharType="separate"/>
      </w:r>
      <w:r w:rsidR="00E214E6">
        <w:t xml:space="preserve">Figure </w:t>
      </w:r>
      <w:r w:rsidR="00E214E6">
        <w:rPr>
          <w:noProof/>
        </w:rPr>
        <w:t>4</w:t>
      </w:r>
      <w:r w:rsidR="00E214E6">
        <w:t>.</w:t>
      </w:r>
      <w:r w:rsidR="00E214E6">
        <w:rPr>
          <w:noProof/>
        </w:rPr>
        <w:t>1</w:t>
      </w:r>
      <w:r w:rsidR="00E214E6">
        <w:rPr>
          <w:sz w:val="20"/>
          <w:szCs w:val="20"/>
          <w:lang w:val="en-GB"/>
        </w:rPr>
        <w:fldChar w:fldCharType="end"/>
      </w:r>
      <w:r w:rsidR="00495D81" w:rsidRPr="00E214E6">
        <w:rPr>
          <w:sz w:val="20"/>
          <w:szCs w:val="20"/>
          <w:lang w:val="en-GB"/>
        </w:rPr>
        <w:t>.</w:t>
      </w:r>
      <w:r w:rsidR="00495D81">
        <w:rPr>
          <w:sz w:val="20"/>
          <w:szCs w:val="20"/>
          <w:lang w:val="en-GB"/>
        </w:rPr>
        <w:t xml:space="preserve"> </w:t>
      </w:r>
      <w:r w:rsidRPr="00F305AC">
        <w:rPr>
          <w:sz w:val="20"/>
          <w:szCs w:val="20"/>
          <w:lang w:val="en-GB"/>
        </w:rPr>
        <w:t>A similar pattern is observed for dietary diversity: although it remains weak nationally (62% consuming ≤5 food groups), cocoa districts perform somewhat better, with shares ranging from 51% in Kailahun to 58% in Kono (WFP, 2024). In terms of short-term coping</w:t>
      </w:r>
      <w:r w:rsidR="00382CCA">
        <w:rPr>
          <w:sz w:val="20"/>
          <w:szCs w:val="20"/>
          <w:lang w:val="en-GB"/>
        </w:rPr>
        <w:t xml:space="preserve"> (</w:t>
      </w:r>
      <w:r w:rsidR="00E214E6">
        <w:rPr>
          <w:sz w:val="20"/>
          <w:szCs w:val="20"/>
          <w:lang w:val="en-GB"/>
        </w:rPr>
        <w:fldChar w:fldCharType="begin"/>
      </w:r>
      <w:r w:rsidR="00E214E6">
        <w:rPr>
          <w:sz w:val="20"/>
          <w:szCs w:val="20"/>
          <w:lang w:val="en-GB"/>
        </w:rPr>
        <w:instrText xml:space="preserve"> REF _Ref228700754 \h </w:instrText>
      </w:r>
      <w:r w:rsidR="00E214E6">
        <w:rPr>
          <w:sz w:val="20"/>
          <w:szCs w:val="20"/>
          <w:lang w:val="en-GB"/>
        </w:rPr>
      </w:r>
      <w:r w:rsidR="00E214E6">
        <w:rPr>
          <w:sz w:val="20"/>
          <w:szCs w:val="20"/>
          <w:lang w:val="en-GB"/>
        </w:rPr>
        <w:fldChar w:fldCharType="separate"/>
      </w:r>
      <w:r w:rsidR="00E214E6">
        <w:t xml:space="preserve">Figure </w:t>
      </w:r>
      <w:r w:rsidR="00E214E6">
        <w:rPr>
          <w:noProof/>
        </w:rPr>
        <w:t>4</w:t>
      </w:r>
      <w:r w:rsidR="00E214E6">
        <w:t>.</w:t>
      </w:r>
      <w:r w:rsidR="00E214E6">
        <w:rPr>
          <w:noProof/>
        </w:rPr>
        <w:t>2</w:t>
      </w:r>
      <w:r w:rsidR="00E214E6">
        <w:rPr>
          <w:sz w:val="20"/>
          <w:szCs w:val="20"/>
          <w:lang w:val="en-GB"/>
        </w:rPr>
        <w:fldChar w:fldCharType="end"/>
      </w:r>
      <w:r w:rsidR="00382CCA">
        <w:rPr>
          <w:sz w:val="20"/>
          <w:szCs w:val="20"/>
          <w:lang w:val="en-GB"/>
        </w:rPr>
        <w:t>)</w:t>
      </w:r>
      <w:r w:rsidRPr="00F305AC">
        <w:rPr>
          <w:sz w:val="20"/>
          <w:szCs w:val="20"/>
          <w:lang w:val="en-GB"/>
        </w:rPr>
        <w:t xml:space="preserve">, lower </w:t>
      </w:r>
      <w:proofErr w:type="spellStart"/>
      <w:r w:rsidRPr="00F305AC">
        <w:rPr>
          <w:sz w:val="20"/>
          <w:szCs w:val="20"/>
          <w:lang w:val="en-GB"/>
        </w:rPr>
        <w:t>rCSI</w:t>
      </w:r>
      <w:proofErr w:type="spellEnd"/>
      <w:r w:rsidRPr="00F305AC">
        <w:rPr>
          <w:sz w:val="20"/>
          <w:szCs w:val="20"/>
          <w:lang w:val="en-GB"/>
        </w:rPr>
        <w:t xml:space="preserve"> values in cocoa districts (5.4–8.9) </w:t>
      </w:r>
      <w:r w:rsidR="00382CCA">
        <w:rPr>
          <w:sz w:val="20"/>
          <w:szCs w:val="20"/>
          <w:lang w:val="en-GB"/>
        </w:rPr>
        <w:t xml:space="preserve">than the national average (9.4) </w:t>
      </w:r>
      <w:proofErr w:type="gramStart"/>
      <w:r w:rsidR="00382CCA">
        <w:rPr>
          <w:sz w:val="20"/>
          <w:szCs w:val="20"/>
          <w:lang w:val="en-GB"/>
        </w:rPr>
        <w:t>suggest</w:t>
      </w:r>
      <w:proofErr w:type="gramEnd"/>
      <w:r w:rsidR="00382CCA">
        <w:rPr>
          <w:sz w:val="20"/>
          <w:szCs w:val="20"/>
          <w:lang w:val="en-GB"/>
        </w:rPr>
        <w:t xml:space="preserve"> a relatively lower</w:t>
      </w:r>
      <w:r w:rsidRPr="00F305AC">
        <w:rPr>
          <w:sz w:val="20"/>
          <w:szCs w:val="20"/>
          <w:lang w:val="en-GB"/>
        </w:rPr>
        <w:t xml:space="preserve"> reliance on consumption-based coping strategies (WFP, 2024). Nevertheless, Kenema remains a concern due to the high prevalence of emergency livelihood coping (28%) (WFP, 2024).</w:t>
      </w:r>
      <w:r w:rsidR="00F32FCF">
        <w:rPr>
          <w:sz w:val="20"/>
          <w:szCs w:val="20"/>
          <w:lang w:val="en-GB"/>
        </w:rPr>
        <w:t xml:space="preserve"> This </w:t>
      </w:r>
      <w:r w:rsidR="008766A2">
        <w:rPr>
          <w:sz w:val="20"/>
          <w:szCs w:val="20"/>
          <w:lang w:val="en-GB"/>
        </w:rPr>
        <w:t>points to a more nuanced targeting strategy</w:t>
      </w:r>
      <w:r w:rsidR="007027FA">
        <w:rPr>
          <w:sz w:val="20"/>
          <w:szCs w:val="20"/>
          <w:lang w:val="en-GB"/>
        </w:rPr>
        <w:t xml:space="preserve"> based on the </w:t>
      </w:r>
      <w:r w:rsidR="00182FD6">
        <w:rPr>
          <w:sz w:val="20"/>
          <w:szCs w:val="20"/>
          <w:lang w:val="en-GB"/>
        </w:rPr>
        <w:t>district's</w:t>
      </w:r>
      <w:r w:rsidR="007027FA">
        <w:rPr>
          <w:sz w:val="20"/>
          <w:szCs w:val="20"/>
          <w:lang w:val="en-GB"/>
        </w:rPr>
        <w:t xml:space="preserve"> </w:t>
      </w:r>
      <w:r w:rsidR="00182FD6">
        <w:rPr>
          <w:sz w:val="20"/>
          <w:szCs w:val="20"/>
          <w:lang w:val="en-GB"/>
        </w:rPr>
        <w:t>food security profiles, rather than treating</w:t>
      </w:r>
      <w:r w:rsidR="008E2C77">
        <w:rPr>
          <w:sz w:val="20"/>
          <w:szCs w:val="20"/>
          <w:lang w:val="en-GB"/>
        </w:rPr>
        <w:t xml:space="preserve"> coc</w:t>
      </w:r>
      <w:r w:rsidR="007027FA">
        <w:rPr>
          <w:sz w:val="20"/>
          <w:szCs w:val="20"/>
          <w:lang w:val="en-GB"/>
        </w:rPr>
        <w:t>o</w:t>
      </w:r>
      <w:r w:rsidR="008E2C77">
        <w:rPr>
          <w:sz w:val="20"/>
          <w:szCs w:val="20"/>
          <w:lang w:val="en-GB"/>
        </w:rPr>
        <w:t xml:space="preserve">a </w:t>
      </w:r>
      <w:r w:rsidR="007027FA">
        <w:rPr>
          <w:sz w:val="20"/>
          <w:szCs w:val="20"/>
          <w:lang w:val="en-GB"/>
        </w:rPr>
        <w:t>districts</w:t>
      </w:r>
      <w:r w:rsidR="008E2C77">
        <w:rPr>
          <w:sz w:val="20"/>
          <w:szCs w:val="20"/>
          <w:lang w:val="en-GB"/>
        </w:rPr>
        <w:t xml:space="preserve"> as a </w:t>
      </w:r>
      <w:r w:rsidR="007027FA">
        <w:rPr>
          <w:sz w:val="20"/>
          <w:szCs w:val="20"/>
          <w:lang w:val="en-GB"/>
        </w:rPr>
        <w:t>homogeneous</w:t>
      </w:r>
      <w:r w:rsidR="008E2C77">
        <w:rPr>
          <w:sz w:val="20"/>
          <w:szCs w:val="20"/>
          <w:lang w:val="en-GB"/>
        </w:rPr>
        <w:t xml:space="preserve"> group</w:t>
      </w:r>
      <w:r w:rsidR="00182FD6">
        <w:rPr>
          <w:sz w:val="20"/>
          <w:szCs w:val="20"/>
          <w:lang w:val="en-GB"/>
        </w:rPr>
        <w:t xml:space="preserve">. </w:t>
      </w:r>
    </w:p>
    <w:p w14:paraId="742F42D4" w14:textId="77777777" w:rsidR="00217BA9" w:rsidRDefault="00217BA9" w:rsidP="00D80974">
      <w:pPr>
        <w:rPr>
          <w:sz w:val="20"/>
          <w:szCs w:val="20"/>
          <w:lang w:val="en-GB"/>
        </w:rPr>
      </w:pPr>
    </w:p>
    <w:p w14:paraId="263F18C1" w14:textId="77777777" w:rsidR="00E214E6" w:rsidRDefault="002B1B26" w:rsidP="00E214E6">
      <w:pPr>
        <w:keepNext/>
      </w:pPr>
      <w:r>
        <w:rPr>
          <w:noProof/>
        </w:rPr>
        <w:lastRenderedPageBreak/>
        <w:drawing>
          <wp:inline distT="0" distB="0" distL="0" distR="0" wp14:anchorId="4A611C47" wp14:editId="4AAD4F72">
            <wp:extent cx="5334635" cy="2605177"/>
            <wp:effectExtent l="0" t="0" r="0" b="5080"/>
            <wp:docPr id="741789687" name="Graf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C4B527" w14:textId="1D471EBF" w:rsidR="00217BA9" w:rsidRPr="00F305AC" w:rsidRDefault="00E214E6" w:rsidP="00E214E6">
      <w:pPr>
        <w:pStyle w:val="Caption"/>
        <w:jc w:val="both"/>
        <w:rPr>
          <w:szCs w:val="20"/>
          <w:lang w:val="en-GB"/>
        </w:rPr>
      </w:pPr>
      <w:r>
        <w:t xml:space="preserve">                    </w:t>
      </w:r>
      <w:bookmarkStart w:id="141" w:name="_Ref228700662"/>
      <w:bookmarkStart w:id="142" w:name="_Toc228701112"/>
      <w:r>
        <w:t xml:space="preserve">Figure </w:t>
      </w:r>
      <w:fldSimple w:instr=" STYLEREF 1 \s ">
        <w:r w:rsidR="007306EC">
          <w:rPr>
            <w:noProof/>
          </w:rPr>
          <w:t>4</w:t>
        </w:r>
      </w:fldSimple>
      <w:r w:rsidR="007306EC">
        <w:noBreakHyphen/>
      </w:r>
      <w:fldSimple w:instr=" SEQ Figure \* ARABIC \s 1 ">
        <w:r w:rsidR="007306EC">
          <w:rPr>
            <w:noProof/>
          </w:rPr>
          <w:t>1</w:t>
        </w:r>
      </w:fldSimple>
      <w:bookmarkEnd w:id="141"/>
      <w:r>
        <w:t xml:space="preserve"> </w:t>
      </w:r>
      <w:r w:rsidRPr="00891B3C">
        <w:t>Food Consumption Score (FCS) Profile of Cocoa Districts</w:t>
      </w:r>
      <w:bookmarkEnd w:id="142"/>
    </w:p>
    <w:p w14:paraId="4B459ED0" w14:textId="77777777" w:rsidR="00836008" w:rsidRDefault="00836008" w:rsidP="002A0BC6">
      <w:pPr>
        <w:rPr>
          <w:sz w:val="20"/>
          <w:szCs w:val="20"/>
          <w:lang w:val="en-GB"/>
        </w:rPr>
      </w:pPr>
    </w:p>
    <w:p w14:paraId="6BC5FEC4" w14:textId="77777777" w:rsidR="005F3E35" w:rsidRDefault="005F3E35" w:rsidP="002A0BC6">
      <w:pPr>
        <w:rPr>
          <w:sz w:val="20"/>
          <w:szCs w:val="20"/>
          <w:lang w:val="en-GB"/>
        </w:rPr>
      </w:pPr>
    </w:p>
    <w:p w14:paraId="77F8E769" w14:textId="77777777" w:rsidR="00E214E6" w:rsidRDefault="005F3E35" w:rsidP="00E214E6">
      <w:pPr>
        <w:keepNext/>
        <w:jc w:val="center"/>
      </w:pPr>
      <w:r>
        <w:rPr>
          <w:noProof/>
        </w:rPr>
        <w:drawing>
          <wp:inline distT="0" distB="0" distL="0" distR="0" wp14:anchorId="4B077D3E" wp14:editId="26DC16F2">
            <wp:extent cx="4270075" cy="2484408"/>
            <wp:effectExtent l="0" t="0" r="0" b="0"/>
            <wp:docPr id="292906819" name="Graf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D64FD43" w14:textId="602975D8" w:rsidR="005F3E35" w:rsidRDefault="00E214E6" w:rsidP="00E214E6">
      <w:pPr>
        <w:pStyle w:val="Caption"/>
        <w:jc w:val="center"/>
        <w:rPr>
          <w:szCs w:val="20"/>
          <w:lang w:val="en-GB"/>
        </w:rPr>
      </w:pPr>
      <w:bookmarkStart w:id="143" w:name="_Ref228700754"/>
      <w:bookmarkStart w:id="144" w:name="_Toc228701113"/>
      <w:r>
        <w:t xml:space="preserve">Figure </w:t>
      </w:r>
      <w:fldSimple w:instr=" STYLEREF 1 \s ">
        <w:r w:rsidR="007306EC">
          <w:rPr>
            <w:noProof/>
          </w:rPr>
          <w:t>4</w:t>
        </w:r>
      </w:fldSimple>
      <w:r w:rsidR="007306EC">
        <w:noBreakHyphen/>
      </w:r>
      <w:fldSimple w:instr=" SEQ Figure \* ARABIC \s 1 ">
        <w:r w:rsidR="007306EC">
          <w:rPr>
            <w:noProof/>
          </w:rPr>
          <w:t>2</w:t>
        </w:r>
      </w:fldSimple>
      <w:bookmarkEnd w:id="143"/>
      <w:r>
        <w:t xml:space="preserve"> </w:t>
      </w:r>
      <w:r w:rsidRPr="003D6664">
        <w:t xml:space="preserve"> Short-term Coping Stress (</w:t>
      </w:r>
      <w:proofErr w:type="spellStart"/>
      <w:r w:rsidRPr="003D6664">
        <w:t>rCSI</w:t>
      </w:r>
      <w:proofErr w:type="spellEnd"/>
      <w:r w:rsidRPr="003D6664">
        <w:t>) in Cocoa Districts</w:t>
      </w:r>
      <w:bookmarkEnd w:id="144"/>
    </w:p>
    <w:p w14:paraId="5248946B" w14:textId="77777777" w:rsidR="005F3E35" w:rsidRDefault="005F3E35" w:rsidP="002A0BC6">
      <w:pPr>
        <w:rPr>
          <w:sz w:val="20"/>
          <w:szCs w:val="20"/>
          <w:lang w:val="en-GB"/>
        </w:rPr>
      </w:pPr>
    </w:p>
    <w:p w14:paraId="3F718840" w14:textId="397B93F8" w:rsidR="002A0BC6" w:rsidRPr="002A0BC6" w:rsidRDefault="002B1B26" w:rsidP="002A0BC6">
      <w:pPr>
        <w:rPr>
          <w:sz w:val="20"/>
          <w:szCs w:val="20"/>
        </w:rPr>
      </w:pPr>
      <w:r>
        <w:rPr>
          <w:sz w:val="20"/>
          <w:szCs w:val="20"/>
        </w:rPr>
        <w:t>At</w:t>
      </w:r>
      <w:r w:rsidR="002A0BC6" w:rsidRPr="002A0BC6">
        <w:rPr>
          <w:sz w:val="20"/>
          <w:szCs w:val="20"/>
        </w:rPr>
        <w:t xml:space="preserve"> the producers’ level, cocoa plays a central but insufficient role in ensuring food availability and access. The expansion of cocoa production has not translated into increased local food production or improved food supply in cocoa-growing areas. </w:t>
      </w:r>
      <w:r w:rsidR="00F51751" w:rsidRPr="00F51751">
        <w:rPr>
          <w:sz w:val="20"/>
          <w:szCs w:val="20"/>
          <w:lang w:val="en-GB"/>
        </w:rPr>
        <w:t>In principle, cocoa income can improve food access when producer prices are favourable, payments are timely, and staple food</w:t>
      </w:r>
      <w:r w:rsidR="006378AD">
        <w:rPr>
          <w:sz w:val="20"/>
          <w:szCs w:val="20"/>
          <w:lang w:val="en-GB"/>
        </w:rPr>
        <w:t xml:space="preserve"> (mainly rice)</w:t>
      </w:r>
      <w:r w:rsidR="00F51751" w:rsidRPr="00F51751">
        <w:rPr>
          <w:sz w:val="20"/>
          <w:szCs w:val="20"/>
          <w:lang w:val="en-GB"/>
        </w:rPr>
        <w:t xml:space="preserve"> prices remain affordable. However, in </w:t>
      </w:r>
      <w:r w:rsidR="006378AD">
        <w:rPr>
          <w:sz w:val="20"/>
          <w:szCs w:val="20"/>
          <w:lang w:val="en-GB"/>
        </w:rPr>
        <w:t>Sierra Leone, cocoa-producing households covered by this study, food security appears vulnerable because cocoa income is seasonal and unstable, while rice and other basic foods must be purchased year-round</w:t>
      </w:r>
      <w:r w:rsidR="00F51751" w:rsidRPr="00F51751">
        <w:rPr>
          <w:sz w:val="20"/>
          <w:szCs w:val="20"/>
          <w:lang w:val="en-GB"/>
        </w:rPr>
        <w:t>. The issue is therefore not market dependence per se, but the interaction between seasonal cocoa income, volatile farm-gate prices, limited food-crop production, weak purchasing power, and high reliance on credit during the lean season</w:t>
      </w:r>
      <w:r w:rsidR="001641C0">
        <w:rPr>
          <w:sz w:val="20"/>
          <w:szCs w:val="20"/>
          <w:lang w:val="en-GB"/>
        </w:rPr>
        <w:t xml:space="preserve">. </w:t>
      </w:r>
      <w:r w:rsidR="002A0BC6" w:rsidRPr="002A0BC6">
        <w:rPr>
          <w:sz w:val="20"/>
          <w:szCs w:val="20"/>
        </w:rPr>
        <w:t xml:space="preserve">Field findings confirm that cocoa income is the primary means through which households manage seasonal food shortages, with </w:t>
      </w:r>
      <w:r w:rsidR="0068659B">
        <w:rPr>
          <w:sz w:val="20"/>
          <w:szCs w:val="20"/>
        </w:rPr>
        <w:t xml:space="preserve">interviewed </w:t>
      </w:r>
      <w:r w:rsidR="002A0BC6" w:rsidRPr="002A0BC6">
        <w:rPr>
          <w:sz w:val="20"/>
          <w:szCs w:val="20"/>
        </w:rPr>
        <w:t>farmers</w:t>
      </w:r>
      <w:r w:rsidR="0068659B">
        <w:rPr>
          <w:rStyle w:val="FootnoteReference"/>
          <w:sz w:val="20"/>
          <w:szCs w:val="20"/>
        </w:rPr>
        <w:footnoteReference w:id="21"/>
      </w:r>
      <w:r w:rsidR="002A0BC6" w:rsidRPr="002A0BC6">
        <w:rPr>
          <w:sz w:val="20"/>
          <w:szCs w:val="20"/>
        </w:rPr>
        <w:t xml:space="preserve"> relying on it for an average of 4.8 months per year. However, this reliance is highly seasonal and closely linked to harvest cycles, creating periods of relative food sufficiency followed by extended periods of shortage.</w:t>
      </w:r>
    </w:p>
    <w:p w14:paraId="0184D7BF" w14:textId="77777777" w:rsidR="002A0BC6" w:rsidRPr="002A0BC6" w:rsidRDefault="002A0BC6" w:rsidP="002A0BC6">
      <w:pPr>
        <w:rPr>
          <w:sz w:val="20"/>
          <w:szCs w:val="20"/>
        </w:rPr>
      </w:pPr>
    </w:p>
    <w:p w14:paraId="60555B5B" w14:textId="4123E9E7" w:rsidR="002A0BC6" w:rsidRPr="002A0BC6" w:rsidRDefault="002A0BC6" w:rsidP="002A0BC6">
      <w:pPr>
        <w:rPr>
          <w:sz w:val="20"/>
          <w:szCs w:val="20"/>
        </w:rPr>
      </w:pPr>
      <w:r w:rsidRPr="002A0BC6">
        <w:rPr>
          <w:sz w:val="20"/>
          <w:szCs w:val="20"/>
        </w:rPr>
        <w:lastRenderedPageBreak/>
        <w:t>Access to credit is a critical mechanism within this system. A large majority of interviewed respondents</w:t>
      </w:r>
      <w:r w:rsidR="00A15964">
        <w:rPr>
          <w:rStyle w:val="FootnoteReference"/>
          <w:sz w:val="20"/>
          <w:szCs w:val="20"/>
        </w:rPr>
        <w:footnoteReference w:id="22"/>
      </w:r>
      <w:r w:rsidRPr="002A0BC6">
        <w:rPr>
          <w:sz w:val="20"/>
          <w:szCs w:val="20"/>
        </w:rPr>
        <w:t xml:space="preserve"> (84%) reported taking loans during the pre-harvest period (July–September), with August widely identified as the “hungry month.” These loans are primarily used to purchase rice and cover basic consumption needs. However, access to credit varies significantly across communities. Cooperative members</w:t>
      </w:r>
      <w:r w:rsidR="00ED04C4">
        <w:rPr>
          <w:sz w:val="20"/>
          <w:szCs w:val="20"/>
        </w:rPr>
        <w:t xml:space="preserve"> often</w:t>
      </w:r>
      <w:r w:rsidRPr="002A0BC6">
        <w:rPr>
          <w:sz w:val="20"/>
          <w:szCs w:val="20"/>
        </w:rPr>
        <w:t xml:space="preserve"> benefit from VSLAs, which provide relatively affordable, structured financial support, while non-members rely on agents offering less </w:t>
      </w:r>
      <w:proofErr w:type="spellStart"/>
      <w:r w:rsidRPr="002A0BC6">
        <w:rPr>
          <w:sz w:val="20"/>
          <w:szCs w:val="20"/>
        </w:rPr>
        <w:t>favourable</w:t>
      </w:r>
      <w:proofErr w:type="spellEnd"/>
      <w:r w:rsidRPr="002A0BC6">
        <w:rPr>
          <w:sz w:val="20"/>
          <w:szCs w:val="20"/>
        </w:rPr>
        <w:t>, often unequal terms. This difference may directly affect household resilience, as cooperative members interviewed report fewer difficulties repaying loans</w:t>
      </w:r>
      <w:r w:rsidRPr="002A0BC6">
        <w:rPr>
          <w:rStyle w:val="FootnoteReference"/>
          <w:sz w:val="20"/>
          <w:szCs w:val="20"/>
        </w:rPr>
        <w:footnoteReference w:id="23"/>
      </w:r>
      <w:r w:rsidRPr="002A0BC6">
        <w:rPr>
          <w:sz w:val="20"/>
          <w:szCs w:val="20"/>
        </w:rPr>
        <w:t>. Nevertheless, the overall dependence on credit indicates that food security is not achieved through stable income or production, but through borrowing and delayed repayment, reinforcing vulnerability.</w:t>
      </w:r>
    </w:p>
    <w:p w14:paraId="459E88E7" w14:textId="77777777" w:rsidR="002A0BC6" w:rsidRPr="002A0BC6" w:rsidRDefault="002A0BC6" w:rsidP="002A0BC6">
      <w:pPr>
        <w:rPr>
          <w:sz w:val="20"/>
          <w:szCs w:val="20"/>
        </w:rPr>
      </w:pPr>
    </w:p>
    <w:p w14:paraId="6DF6D8DC" w14:textId="77777777" w:rsidR="002A0BC6" w:rsidRPr="002A0BC6" w:rsidRDefault="002A0BC6" w:rsidP="002A0BC6">
      <w:pPr>
        <w:rPr>
          <w:sz w:val="20"/>
          <w:szCs w:val="20"/>
        </w:rPr>
      </w:pPr>
      <w:r w:rsidRPr="002A0BC6">
        <w:rPr>
          <w:sz w:val="20"/>
          <w:szCs w:val="20"/>
        </w:rPr>
        <w:t>At the household level, these dynamics translate into clear patterns of food insecurity and constrained consumption. Food availability is not constant throughout the year but fluctuates with income cycles. 78% of respondents report that food access is adequate only during and shortly after the harvest, while 22% experience relatively stable conditions year-round. Consumption patterns further illustrate this vulnerability: 61% of households typically consume two meals per day, 28% reduce intake to one meal during periods of acute shortage, and only 11% maintain three meals daily throughout the year. These figures indicate that food access is both quantitatively and qualitatively constrained, with households adjusting consumption in response to income fluctuations.</w:t>
      </w:r>
    </w:p>
    <w:p w14:paraId="31EA730C" w14:textId="77777777" w:rsidR="002A0BC6" w:rsidRPr="002A0BC6" w:rsidRDefault="002A0BC6" w:rsidP="002A0BC6">
      <w:pPr>
        <w:rPr>
          <w:sz w:val="20"/>
          <w:szCs w:val="20"/>
        </w:rPr>
      </w:pPr>
    </w:p>
    <w:p w14:paraId="0A4C6868" w14:textId="77777777" w:rsidR="002A0BC6" w:rsidRPr="002A0BC6" w:rsidRDefault="002A0BC6" w:rsidP="002A0BC6">
      <w:pPr>
        <w:rPr>
          <w:sz w:val="20"/>
          <w:szCs w:val="20"/>
        </w:rPr>
      </w:pPr>
      <w:r w:rsidRPr="002A0BC6">
        <w:rPr>
          <w:sz w:val="20"/>
          <w:szCs w:val="20"/>
        </w:rPr>
        <w:t xml:space="preserve">The analysis of food </w:t>
      </w:r>
      <w:proofErr w:type="spellStart"/>
      <w:r w:rsidRPr="002A0BC6">
        <w:rPr>
          <w:sz w:val="20"/>
          <w:szCs w:val="20"/>
        </w:rPr>
        <w:t>utilisation</w:t>
      </w:r>
      <w:proofErr w:type="spellEnd"/>
      <w:r w:rsidRPr="002A0BC6">
        <w:rPr>
          <w:sz w:val="20"/>
          <w:szCs w:val="20"/>
        </w:rPr>
        <w:t xml:space="preserve">, dietary diversity, and stability reveals additional structural weaknesses. Nutrition outcomes remain poor at the national level, with persistent challenges despite some improvements in stunting rates (UN, 2024). Evidence consistently shows that cash-crop development alone does not lead to improved diets, as nutritional outcomes depend on both income and complementary interventions (IFAD, 2024). Field data confirm that diets among cocoa-farming households are heavily </w:t>
      </w:r>
      <w:proofErr w:type="spellStart"/>
      <w:r w:rsidRPr="002A0BC6">
        <w:rPr>
          <w:sz w:val="20"/>
          <w:szCs w:val="20"/>
        </w:rPr>
        <w:t>centred</w:t>
      </w:r>
      <w:proofErr w:type="spellEnd"/>
      <w:r w:rsidRPr="002A0BC6">
        <w:rPr>
          <w:sz w:val="20"/>
          <w:szCs w:val="20"/>
        </w:rPr>
        <w:t xml:space="preserve"> on staple foods, with 83% of respondents reporting rice as their main daily food, typically accompanied by basic sauces. Only 39% report occasional consumption of protein-rich foods such as fish or meat, indicating limited dietary diversity.</w:t>
      </w:r>
    </w:p>
    <w:p w14:paraId="304E177A" w14:textId="77777777" w:rsidR="002A0BC6" w:rsidRPr="002A0BC6" w:rsidRDefault="002A0BC6" w:rsidP="002A0BC6">
      <w:pPr>
        <w:rPr>
          <w:sz w:val="20"/>
          <w:szCs w:val="20"/>
        </w:rPr>
      </w:pPr>
    </w:p>
    <w:p w14:paraId="3EE777EA" w14:textId="77777777" w:rsidR="002A0BC6" w:rsidRPr="002A0BC6" w:rsidRDefault="002A0BC6" w:rsidP="002A0BC6">
      <w:pPr>
        <w:rPr>
          <w:sz w:val="20"/>
          <w:szCs w:val="20"/>
        </w:rPr>
      </w:pPr>
      <w:r w:rsidRPr="002A0BC6">
        <w:rPr>
          <w:sz w:val="20"/>
          <w:szCs w:val="20"/>
        </w:rPr>
        <w:t xml:space="preserve">While some improvement is observed immediately after the cocoa harvest, 56% of respondents reported improved dietary diversity during this period, these gains are not sustained. Consumption patterns deteriorate during the lean season, with 28% of households reducing both meal frequency and dietary quality. This highlights the strong dependence of food </w:t>
      </w:r>
      <w:proofErr w:type="spellStart"/>
      <w:r w:rsidRPr="002A0BC6">
        <w:rPr>
          <w:sz w:val="20"/>
          <w:szCs w:val="20"/>
        </w:rPr>
        <w:t>utilisation</w:t>
      </w:r>
      <w:proofErr w:type="spellEnd"/>
      <w:r w:rsidRPr="002A0BC6">
        <w:rPr>
          <w:sz w:val="20"/>
          <w:szCs w:val="20"/>
        </w:rPr>
        <w:t xml:space="preserve"> on income seasonality and credit access. As a result, both dietary diversity and nutritional adequacy remain constrained, and households remain vulnerable to malnutrition and health risks, particularly during off-season periods.</w:t>
      </w:r>
    </w:p>
    <w:p w14:paraId="50F0289E" w14:textId="77777777" w:rsidR="002A0BC6" w:rsidRPr="002A0BC6" w:rsidRDefault="002A0BC6" w:rsidP="002A0BC6">
      <w:pPr>
        <w:rPr>
          <w:sz w:val="20"/>
          <w:szCs w:val="20"/>
        </w:rPr>
      </w:pPr>
    </w:p>
    <w:p w14:paraId="285322B8" w14:textId="77777777" w:rsidR="002A0BC6" w:rsidRPr="002A0BC6" w:rsidRDefault="002A0BC6" w:rsidP="002A0BC6">
      <w:pPr>
        <w:rPr>
          <w:sz w:val="20"/>
          <w:szCs w:val="20"/>
        </w:rPr>
      </w:pPr>
      <w:r w:rsidRPr="002A0BC6">
        <w:rPr>
          <w:sz w:val="20"/>
          <w:szCs w:val="20"/>
        </w:rPr>
        <w:t>Food stability emerges as one of the most critical weaknesses in the system. The combination of seasonal income patterns, reliance on credit, and exposure to price shocks creates a highly unstable food security situation. Even where households achieve temporary improvements in food access, these gains are not maintained over time. This instability is further reinforced by broader macroeconomic conditions and weak rural service systems, which limit households’ ability to cope with shocks.</w:t>
      </w:r>
    </w:p>
    <w:p w14:paraId="1867C736" w14:textId="77777777" w:rsidR="002A0BC6" w:rsidRPr="002A0BC6" w:rsidRDefault="002A0BC6" w:rsidP="002A0BC6">
      <w:pPr>
        <w:rPr>
          <w:sz w:val="20"/>
          <w:szCs w:val="20"/>
        </w:rPr>
      </w:pPr>
    </w:p>
    <w:p w14:paraId="60521857" w14:textId="77777777" w:rsidR="002A0BC6" w:rsidRPr="002A0BC6" w:rsidRDefault="002A0BC6" w:rsidP="002A0BC6">
      <w:pPr>
        <w:rPr>
          <w:sz w:val="20"/>
          <w:szCs w:val="20"/>
        </w:rPr>
      </w:pPr>
      <w:r w:rsidRPr="002A0BC6">
        <w:rPr>
          <w:sz w:val="20"/>
          <w:szCs w:val="20"/>
        </w:rPr>
        <w:t xml:space="preserve">Overall, the findings indicate that food and nutrition security in the CVC is shaped by a structural dependence on cocoa income, limited production diversity, limited purchasing power, and insufficient institutional support. While cocoa provides an essential source of cash, it does not </w:t>
      </w:r>
      <w:r w:rsidRPr="002A0BC6">
        <w:rPr>
          <w:sz w:val="20"/>
          <w:szCs w:val="20"/>
        </w:rPr>
        <w:lastRenderedPageBreak/>
        <w:t>guarantee food security and, in some cases, may reinforce dependence on markets and exposure to price volatility.</w:t>
      </w:r>
    </w:p>
    <w:p w14:paraId="487CA483" w14:textId="77777777" w:rsidR="002A0BC6" w:rsidRPr="002A0BC6" w:rsidRDefault="002A0BC6" w:rsidP="002A0BC6">
      <w:pPr>
        <w:rPr>
          <w:sz w:val="20"/>
          <w:szCs w:val="20"/>
        </w:rPr>
      </w:pPr>
    </w:p>
    <w:p w14:paraId="5BA80046" w14:textId="4FE603E5" w:rsidR="00BA7827" w:rsidRPr="002A0BC6" w:rsidRDefault="00BA7827" w:rsidP="002A0BC6">
      <w:pPr>
        <w:rPr>
          <w:sz w:val="20"/>
          <w:szCs w:val="20"/>
        </w:rPr>
      </w:pPr>
      <w:r w:rsidRPr="00BA7827">
        <w:rPr>
          <w:sz w:val="20"/>
          <w:szCs w:val="20"/>
        </w:rPr>
        <w:t xml:space="preserve">At the same time, </w:t>
      </w:r>
      <w:r w:rsidR="00870517">
        <w:rPr>
          <w:sz w:val="20"/>
          <w:szCs w:val="20"/>
        </w:rPr>
        <w:t>secondary sources</w:t>
      </w:r>
      <w:r w:rsidRPr="00BA7827">
        <w:rPr>
          <w:sz w:val="20"/>
          <w:szCs w:val="20"/>
        </w:rPr>
        <w:t xml:space="preserve"> suggest that increased income</w:t>
      </w:r>
      <w:r w:rsidR="00870517">
        <w:rPr>
          <w:sz w:val="20"/>
          <w:szCs w:val="20"/>
        </w:rPr>
        <w:t xml:space="preserve">, </w:t>
      </w:r>
      <w:r w:rsidRPr="00BA7827">
        <w:rPr>
          <w:sz w:val="20"/>
          <w:szCs w:val="20"/>
        </w:rPr>
        <w:t>particularly when supported by structured interventions</w:t>
      </w:r>
      <w:r w:rsidR="00870517">
        <w:rPr>
          <w:sz w:val="20"/>
          <w:szCs w:val="20"/>
        </w:rPr>
        <w:t xml:space="preserve">, </w:t>
      </w:r>
      <w:r w:rsidRPr="00BA7827">
        <w:rPr>
          <w:sz w:val="20"/>
          <w:szCs w:val="20"/>
        </w:rPr>
        <w:t>can improve food security outcomes, as IFAD (2024) finds that higher income among project beneficiaries, especially women, is associated with improved household living conditions.</w:t>
      </w:r>
    </w:p>
    <w:p w14:paraId="11C3D028" w14:textId="77777777" w:rsidR="002A0BC6" w:rsidRPr="002A0BC6" w:rsidRDefault="002A0BC6" w:rsidP="002A0BC6">
      <w:pPr>
        <w:rPr>
          <w:sz w:val="20"/>
          <w:szCs w:val="20"/>
        </w:rPr>
      </w:pPr>
    </w:p>
    <w:p w14:paraId="20153D83" w14:textId="7F28A478" w:rsidR="002A0BC6" w:rsidRDefault="002A0BC6" w:rsidP="002A0BC6">
      <w:pPr>
        <w:rPr>
          <w:sz w:val="20"/>
          <w:szCs w:val="20"/>
        </w:rPr>
      </w:pPr>
      <w:r w:rsidRPr="002A0BC6">
        <w:rPr>
          <w:sz w:val="20"/>
          <w:szCs w:val="20"/>
        </w:rPr>
        <w:t xml:space="preserve">In conclusion, </w:t>
      </w:r>
      <w:r w:rsidR="00266C27">
        <w:rPr>
          <w:sz w:val="20"/>
          <w:szCs w:val="20"/>
        </w:rPr>
        <w:t xml:space="preserve">being involved in </w:t>
      </w:r>
      <w:r w:rsidR="00F57F0F">
        <w:rPr>
          <w:sz w:val="20"/>
          <w:szCs w:val="20"/>
        </w:rPr>
        <w:t>the C</w:t>
      </w:r>
      <w:r w:rsidRPr="002A0BC6">
        <w:rPr>
          <w:sz w:val="20"/>
          <w:szCs w:val="20"/>
        </w:rPr>
        <w:t>VC</w:t>
      </w:r>
      <w:r w:rsidR="00F57F0F">
        <w:rPr>
          <w:sz w:val="20"/>
          <w:szCs w:val="20"/>
        </w:rPr>
        <w:t xml:space="preserve"> provides an important source </w:t>
      </w:r>
      <w:r w:rsidR="007B274D">
        <w:rPr>
          <w:sz w:val="20"/>
          <w:szCs w:val="20"/>
        </w:rPr>
        <w:t>of</w:t>
      </w:r>
      <w:r w:rsidR="00F57F0F">
        <w:rPr>
          <w:sz w:val="20"/>
          <w:szCs w:val="20"/>
        </w:rPr>
        <w:t xml:space="preserve"> income, </w:t>
      </w:r>
      <w:r w:rsidR="00571A0C">
        <w:rPr>
          <w:sz w:val="20"/>
          <w:szCs w:val="20"/>
        </w:rPr>
        <w:t xml:space="preserve">but this </w:t>
      </w:r>
      <w:r w:rsidR="00B63C22">
        <w:rPr>
          <w:sz w:val="20"/>
          <w:szCs w:val="20"/>
        </w:rPr>
        <w:t xml:space="preserve">alone does not </w:t>
      </w:r>
      <w:r w:rsidR="00571A0C">
        <w:rPr>
          <w:sz w:val="20"/>
          <w:szCs w:val="20"/>
        </w:rPr>
        <w:t>ensure improved food and nutrition</w:t>
      </w:r>
      <w:r w:rsidR="00ED7431">
        <w:rPr>
          <w:sz w:val="20"/>
          <w:szCs w:val="20"/>
        </w:rPr>
        <w:t xml:space="preserve"> security</w:t>
      </w:r>
      <w:r w:rsidR="002808FB">
        <w:rPr>
          <w:sz w:val="20"/>
          <w:szCs w:val="20"/>
        </w:rPr>
        <w:t xml:space="preserve">. </w:t>
      </w:r>
      <w:r w:rsidRPr="002A0BC6">
        <w:rPr>
          <w:sz w:val="20"/>
          <w:szCs w:val="20"/>
        </w:rPr>
        <w:t>Achieving food security will require moving beyond a narrow focus on cash-crop income toward a more integrated approach that combines income stabil</w:t>
      </w:r>
      <w:r w:rsidR="007B274D">
        <w:rPr>
          <w:sz w:val="20"/>
          <w:szCs w:val="20"/>
        </w:rPr>
        <w:t>ity</w:t>
      </w:r>
      <w:r w:rsidRPr="002A0BC6">
        <w:rPr>
          <w:sz w:val="20"/>
          <w:szCs w:val="20"/>
        </w:rPr>
        <w:t xml:space="preserve">, </w:t>
      </w:r>
      <w:r w:rsidR="007B274D">
        <w:rPr>
          <w:sz w:val="20"/>
          <w:szCs w:val="20"/>
        </w:rPr>
        <w:t xml:space="preserve">cocoa-to-food price relations, </w:t>
      </w:r>
      <w:r w:rsidRPr="002A0BC6">
        <w:rPr>
          <w:sz w:val="20"/>
          <w:szCs w:val="20"/>
        </w:rPr>
        <w:t xml:space="preserve">livelihood diversification, improved access to </w:t>
      </w:r>
      <w:r w:rsidR="007B274D">
        <w:rPr>
          <w:sz w:val="20"/>
          <w:szCs w:val="20"/>
        </w:rPr>
        <w:t xml:space="preserve">fair </w:t>
      </w:r>
      <w:r w:rsidRPr="002A0BC6">
        <w:rPr>
          <w:sz w:val="20"/>
          <w:szCs w:val="20"/>
        </w:rPr>
        <w:t>credit, and targeted nutrition interventions. Without addressing these interconnected factors, food insecurity will remain a persistent constraint on the social sustainability of the CVC.</w:t>
      </w:r>
    </w:p>
    <w:p w14:paraId="593E82E4" w14:textId="77777777" w:rsidR="00F84CA9" w:rsidRPr="002A0BC6" w:rsidRDefault="00F84CA9" w:rsidP="002A0BC6">
      <w:pPr>
        <w:rPr>
          <w:sz w:val="20"/>
          <w:szCs w:val="20"/>
        </w:rPr>
      </w:pPr>
    </w:p>
    <w:p w14:paraId="433F468F" w14:textId="150FD347" w:rsidR="00F84CA9" w:rsidRDefault="00F84CA9" w:rsidP="00F84CA9">
      <w:pPr>
        <w:pStyle w:val="Caption"/>
        <w:keepNext/>
        <w:jc w:val="center"/>
      </w:pPr>
      <w:bookmarkStart w:id="145" w:name="_Toc228701082"/>
      <w:r>
        <w:t xml:space="preserve">Table </w:t>
      </w:r>
      <w:fldSimple w:instr=" STYLEREF 1 \s ">
        <w:r w:rsidR="006C1C4E">
          <w:rPr>
            <w:noProof/>
          </w:rPr>
          <w:t>4</w:t>
        </w:r>
      </w:fldSimple>
      <w:r w:rsidR="006C1C4E">
        <w:noBreakHyphen/>
      </w:r>
      <w:fldSimple w:instr=" SEQ Table \* ARABIC \s 1 ">
        <w:r w:rsidR="006C1C4E">
          <w:rPr>
            <w:noProof/>
          </w:rPr>
          <w:t>4</w:t>
        </w:r>
      </w:fldSimple>
      <w:r>
        <w:t xml:space="preserve"> </w:t>
      </w:r>
      <w:r w:rsidRPr="002D144D">
        <w:t>Assessment of Food and Nutrition Security</w:t>
      </w:r>
      <w:bookmarkEnd w:id="145"/>
    </w:p>
    <w:tbl>
      <w:tblPr>
        <w:tblStyle w:val="TableGrid"/>
        <w:tblW w:w="0" w:type="auto"/>
        <w:jc w:val="center"/>
        <w:tblLook w:val="04A0" w:firstRow="1" w:lastRow="0" w:firstColumn="1" w:lastColumn="0" w:noHBand="0" w:noVBand="1"/>
      </w:tblPr>
      <w:tblGrid>
        <w:gridCol w:w="2547"/>
        <w:gridCol w:w="1961"/>
      </w:tblGrid>
      <w:tr w:rsidR="002A0BC6" w:rsidRPr="0079547A" w14:paraId="4BEC4979"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293E0902" w14:textId="77777777" w:rsidR="002A0BC6" w:rsidRPr="0079547A" w:rsidRDefault="002A0BC6" w:rsidP="00930C4A">
            <w:pPr>
              <w:rPr>
                <w:bCs/>
                <w:lang w:val="tr-TR"/>
              </w:rPr>
            </w:pPr>
            <w:r>
              <w:rPr>
                <w:bCs/>
                <w:lang w:val="tr-TR"/>
              </w:rPr>
              <w:t>Food and Nutrition Security</w:t>
            </w:r>
          </w:p>
        </w:tc>
      </w:tr>
      <w:tr w:rsidR="002A0BC6" w:rsidRPr="0079547A" w14:paraId="1DB5112D" w14:textId="77777777" w:rsidTr="00930C4A">
        <w:trPr>
          <w:jc w:val="center"/>
        </w:trPr>
        <w:tc>
          <w:tcPr>
            <w:tcW w:w="2547" w:type="dxa"/>
          </w:tcPr>
          <w:p w14:paraId="42CB8631" w14:textId="77777777" w:rsidR="002A0BC6" w:rsidRPr="0079547A" w:rsidRDefault="002A0BC6" w:rsidP="00930C4A">
            <w:pPr>
              <w:rPr>
                <w:lang w:val="tr-TR"/>
              </w:rPr>
            </w:pPr>
            <w:r>
              <w:rPr>
                <w:lang w:val="tr-TR"/>
              </w:rPr>
              <w:t>Availability of food</w:t>
            </w:r>
          </w:p>
        </w:tc>
        <w:tc>
          <w:tcPr>
            <w:tcW w:w="1961" w:type="dxa"/>
            <w:shd w:val="clear" w:color="auto" w:fill="EE0000"/>
          </w:tcPr>
          <w:p w14:paraId="14E7DA79" w14:textId="77777777" w:rsidR="002A0BC6" w:rsidRPr="0079547A" w:rsidRDefault="002A0BC6" w:rsidP="00930C4A">
            <w:pPr>
              <w:rPr>
                <w:lang w:val="tr-TR"/>
              </w:rPr>
            </w:pPr>
          </w:p>
        </w:tc>
      </w:tr>
      <w:tr w:rsidR="002A0BC6" w:rsidRPr="00863E9E" w14:paraId="59C2D320" w14:textId="77777777" w:rsidTr="00930C4A">
        <w:trPr>
          <w:jc w:val="center"/>
        </w:trPr>
        <w:tc>
          <w:tcPr>
            <w:tcW w:w="2547" w:type="dxa"/>
          </w:tcPr>
          <w:p w14:paraId="4660AE2F" w14:textId="77777777" w:rsidR="002A0BC6" w:rsidRPr="0079547A" w:rsidRDefault="002A0BC6" w:rsidP="00930C4A">
            <w:pPr>
              <w:rPr>
                <w:lang w:val="tr-TR"/>
              </w:rPr>
            </w:pPr>
            <w:r>
              <w:rPr>
                <w:lang w:val="tr-TR"/>
              </w:rPr>
              <w:t>Accessibility of food</w:t>
            </w:r>
          </w:p>
        </w:tc>
        <w:tc>
          <w:tcPr>
            <w:tcW w:w="1961" w:type="dxa"/>
            <w:shd w:val="clear" w:color="auto" w:fill="FFC000"/>
          </w:tcPr>
          <w:p w14:paraId="06071BD1" w14:textId="77777777" w:rsidR="002A0BC6" w:rsidRPr="0079547A" w:rsidRDefault="002A0BC6" w:rsidP="00930C4A">
            <w:pPr>
              <w:rPr>
                <w:lang w:val="tr-TR"/>
              </w:rPr>
            </w:pPr>
          </w:p>
        </w:tc>
      </w:tr>
      <w:tr w:rsidR="002A0BC6" w:rsidRPr="0079547A" w14:paraId="79BF8629" w14:textId="77777777" w:rsidTr="00930C4A">
        <w:trPr>
          <w:jc w:val="center"/>
        </w:trPr>
        <w:tc>
          <w:tcPr>
            <w:tcW w:w="2547" w:type="dxa"/>
          </w:tcPr>
          <w:p w14:paraId="222A674A" w14:textId="77777777" w:rsidR="002A0BC6" w:rsidRPr="0079547A" w:rsidRDefault="002A0BC6" w:rsidP="00930C4A">
            <w:pPr>
              <w:rPr>
                <w:lang w:val="tr-TR"/>
              </w:rPr>
            </w:pPr>
            <w:r>
              <w:rPr>
                <w:lang w:val="tr-TR"/>
              </w:rPr>
              <w:t>Utilisation and nutritional adequacy</w:t>
            </w:r>
          </w:p>
        </w:tc>
        <w:tc>
          <w:tcPr>
            <w:tcW w:w="1961" w:type="dxa"/>
            <w:shd w:val="clear" w:color="auto" w:fill="FFC000"/>
          </w:tcPr>
          <w:p w14:paraId="4FC9549A" w14:textId="77777777" w:rsidR="002A0BC6" w:rsidRPr="0079547A" w:rsidRDefault="002A0BC6" w:rsidP="00930C4A">
            <w:pPr>
              <w:rPr>
                <w:b/>
                <w:bCs/>
                <w:lang w:val="en-GB"/>
              </w:rPr>
            </w:pPr>
          </w:p>
        </w:tc>
      </w:tr>
      <w:tr w:rsidR="002A0BC6" w:rsidRPr="0079547A" w14:paraId="7D95736B" w14:textId="77777777" w:rsidTr="00930C4A">
        <w:trPr>
          <w:jc w:val="center"/>
        </w:trPr>
        <w:tc>
          <w:tcPr>
            <w:tcW w:w="2547" w:type="dxa"/>
          </w:tcPr>
          <w:p w14:paraId="438ADA84" w14:textId="77777777" w:rsidR="002A0BC6" w:rsidRPr="0079547A" w:rsidRDefault="002A0BC6" w:rsidP="00930C4A">
            <w:pPr>
              <w:rPr>
                <w:lang w:val="tr-TR"/>
              </w:rPr>
            </w:pPr>
            <w:r>
              <w:rPr>
                <w:lang w:val="tr-TR"/>
              </w:rPr>
              <w:t>Stability</w:t>
            </w:r>
          </w:p>
        </w:tc>
        <w:tc>
          <w:tcPr>
            <w:tcW w:w="1961" w:type="dxa"/>
            <w:shd w:val="clear" w:color="auto" w:fill="EE0000"/>
          </w:tcPr>
          <w:p w14:paraId="40EDCB1A" w14:textId="77777777" w:rsidR="002A0BC6" w:rsidRPr="0079547A" w:rsidRDefault="002A0BC6" w:rsidP="00930C4A">
            <w:pPr>
              <w:rPr>
                <w:b/>
                <w:bCs/>
                <w:lang w:val="en-GB"/>
              </w:rPr>
            </w:pPr>
          </w:p>
        </w:tc>
      </w:tr>
    </w:tbl>
    <w:p w14:paraId="6979BAF1" w14:textId="77777777" w:rsidR="002A0BC6" w:rsidRPr="0079547A" w:rsidRDefault="002A0BC6" w:rsidP="002A0BC6"/>
    <w:p w14:paraId="1197D952" w14:textId="77777777" w:rsidR="00614F1B" w:rsidRPr="001821AF" w:rsidRDefault="00614F1B" w:rsidP="00614F1B">
      <w:pPr>
        <w:rPr>
          <w:sz w:val="20"/>
          <w:szCs w:val="20"/>
        </w:rPr>
      </w:pPr>
    </w:p>
    <w:p w14:paraId="0978D14B" w14:textId="77777777" w:rsidR="00614F1B" w:rsidRPr="00D93D57" w:rsidRDefault="00614F1B" w:rsidP="00D93D57">
      <w:pPr>
        <w:pStyle w:val="Heading2"/>
      </w:pPr>
      <w:bookmarkStart w:id="146" w:name="_Toc201844312"/>
      <w:bookmarkStart w:id="147" w:name="_Toc228701034"/>
      <w:r w:rsidRPr="00D93D57">
        <w:t>Social capital</w:t>
      </w:r>
      <w:bookmarkEnd w:id="146"/>
      <w:bookmarkEnd w:id="147"/>
      <w:r w:rsidRPr="00D93D57">
        <w:t xml:space="preserve"> </w:t>
      </w:r>
    </w:p>
    <w:p w14:paraId="6653FC31" w14:textId="3D76C0D9" w:rsidR="002A0BC6" w:rsidRPr="002A0BC6" w:rsidRDefault="002A0BC6" w:rsidP="002A0BC6">
      <w:pPr>
        <w:rPr>
          <w:sz w:val="20"/>
          <w:szCs w:val="20"/>
        </w:rPr>
      </w:pPr>
      <w:r w:rsidRPr="002A0BC6">
        <w:rPr>
          <w:sz w:val="20"/>
          <w:szCs w:val="20"/>
        </w:rPr>
        <w:t xml:space="preserve">The analysis of social capital reveals a system </w:t>
      </w:r>
      <w:proofErr w:type="spellStart"/>
      <w:r w:rsidRPr="002A0BC6">
        <w:rPr>
          <w:sz w:val="20"/>
          <w:szCs w:val="20"/>
        </w:rPr>
        <w:t>characterised</w:t>
      </w:r>
      <w:proofErr w:type="spellEnd"/>
      <w:r w:rsidRPr="002A0BC6">
        <w:rPr>
          <w:sz w:val="20"/>
          <w:szCs w:val="20"/>
        </w:rPr>
        <w:t xml:space="preserve"> by strong local social structures and participation, but weak </w:t>
      </w:r>
      <w:proofErr w:type="spellStart"/>
      <w:r w:rsidRPr="002A0BC6">
        <w:rPr>
          <w:sz w:val="20"/>
          <w:szCs w:val="20"/>
        </w:rPr>
        <w:t>institutionalisation</w:t>
      </w:r>
      <w:proofErr w:type="spellEnd"/>
      <w:r w:rsidRPr="002A0BC6">
        <w:rPr>
          <w:sz w:val="20"/>
          <w:szCs w:val="20"/>
        </w:rPr>
        <w:t xml:space="preserve">, coordination, and market influence. While community-level </w:t>
      </w:r>
      <w:proofErr w:type="spellStart"/>
      <w:r w:rsidRPr="002A0BC6">
        <w:rPr>
          <w:sz w:val="20"/>
          <w:szCs w:val="20"/>
        </w:rPr>
        <w:t>organisation</w:t>
      </w:r>
      <w:proofErr w:type="spellEnd"/>
      <w:r w:rsidRPr="002A0BC6">
        <w:rPr>
          <w:sz w:val="20"/>
          <w:szCs w:val="20"/>
        </w:rPr>
        <w:t>, trust, and collective action mechanisms are present and often functional, they do not translate into effective market coordination, inclusive governance, or improved economic outcomes. As a result, social capital remains locally strong but structurally constrained, limiting its contribution to broader social sustainability.</w:t>
      </w:r>
    </w:p>
    <w:p w14:paraId="3EFEDDB6" w14:textId="77777777" w:rsidR="002A0BC6" w:rsidRPr="002A0BC6" w:rsidRDefault="002A0BC6" w:rsidP="002A0BC6">
      <w:pPr>
        <w:rPr>
          <w:sz w:val="20"/>
          <w:szCs w:val="20"/>
        </w:rPr>
      </w:pPr>
    </w:p>
    <w:p w14:paraId="528C56E6" w14:textId="6F3BCDB2" w:rsidR="002A0BC6" w:rsidRPr="002A0BC6" w:rsidRDefault="002A0BC6" w:rsidP="002A0BC6">
      <w:pPr>
        <w:rPr>
          <w:sz w:val="20"/>
          <w:szCs w:val="20"/>
        </w:rPr>
      </w:pPr>
      <w:r w:rsidRPr="002A0BC6">
        <w:rPr>
          <w:sz w:val="20"/>
          <w:szCs w:val="20"/>
        </w:rPr>
        <w:t xml:space="preserve">At the producer </w:t>
      </w:r>
      <w:proofErr w:type="spellStart"/>
      <w:r w:rsidRPr="002A0BC6">
        <w:rPr>
          <w:sz w:val="20"/>
          <w:szCs w:val="20"/>
        </w:rPr>
        <w:t>organisation</w:t>
      </w:r>
      <w:proofErr w:type="spellEnd"/>
      <w:r w:rsidRPr="002A0BC6">
        <w:rPr>
          <w:sz w:val="20"/>
          <w:szCs w:val="20"/>
        </w:rPr>
        <w:t xml:space="preserve"> level, the CVC operates within a hybrid system in which formal cooperatives coexist with dominant informal trading networks. National policy frameworks </w:t>
      </w:r>
      <w:proofErr w:type="spellStart"/>
      <w:r w:rsidRPr="002A0BC6">
        <w:rPr>
          <w:sz w:val="20"/>
          <w:szCs w:val="20"/>
        </w:rPr>
        <w:t>emphasise</w:t>
      </w:r>
      <w:proofErr w:type="spellEnd"/>
      <w:r w:rsidRPr="002A0BC6">
        <w:rPr>
          <w:sz w:val="20"/>
          <w:szCs w:val="20"/>
        </w:rPr>
        <w:t xml:space="preserve"> the role of cooperatives and farmer-based </w:t>
      </w:r>
      <w:proofErr w:type="spellStart"/>
      <w:r w:rsidRPr="002A0BC6">
        <w:rPr>
          <w:sz w:val="20"/>
          <w:szCs w:val="20"/>
        </w:rPr>
        <w:t>organisations</w:t>
      </w:r>
      <w:proofErr w:type="spellEnd"/>
      <w:r w:rsidRPr="002A0BC6">
        <w:rPr>
          <w:sz w:val="20"/>
          <w:szCs w:val="20"/>
        </w:rPr>
        <w:t xml:space="preserve"> in structuring the sector (MAF, 2019); however, in practice</w:t>
      </w:r>
      <w:r w:rsidR="00B3181D">
        <w:rPr>
          <w:sz w:val="20"/>
          <w:szCs w:val="20"/>
        </w:rPr>
        <w:t>,</w:t>
      </w:r>
      <w:r w:rsidRPr="002A0BC6">
        <w:rPr>
          <w:sz w:val="20"/>
          <w:szCs w:val="20"/>
        </w:rPr>
        <w:t xml:space="preserve"> most cocoa </w:t>
      </w:r>
      <w:r w:rsidR="00B3181D">
        <w:rPr>
          <w:sz w:val="20"/>
          <w:szCs w:val="20"/>
        </w:rPr>
        <w:t>is still</w:t>
      </w:r>
      <w:r w:rsidRPr="002A0BC6">
        <w:rPr>
          <w:sz w:val="20"/>
          <w:szCs w:val="20"/>
        </w:rPr>
        <w:t xml:space="preserve"> marketed through informal channels. Field evidence consistently shows that farmers</w:t>
      </w:r>
      <w:r w:rsidR="00A57541">
        <w:rPr>
          <w:sz w:val="20"/>
          <w:szCs w:val="20"/>
        </w:rPr>
        <w:t>, often forced by their survival strategies,</w:t>
      </w:r>
      <w:r w:rsidRPr="002A0BC6">
        <w:rPr>
          <w:sz w:val="20"/>
          <w:szCs w:val="20"/>
        </w:rPr>
        <w:t xml:space="preserve"> sell to the first </w:t>
      </w:r>
      <w:r w:rsidR="00A57541">
        <w:rPr>
          <w:sz w:val="20"/>
          <w:szCs w:val="20"/>
        </w:rPr>
        <w:t xml:space="preserve">buyer available at harvest, reflecting a </w:t>
      </w:r>
      <w:proofErr w:type="spellStart"/>
      <w:r w:rsidR="00A57541">
        <w:rPr>
          <w:sz w:val="20"/>
          <w:szCs w:val="20"/>
        </w:rPr>
        <w:t>decentralised</w:t>
      </w:r>
      <w:proofErr w:type="spellEnd"/>
      <w:r w:rsidR="00A57541">
        <w:rPr>
          <w:sz w:val="20"/>
          <w:szCs w:val="20"/>
        </w:rPr>
        <w:t>,</w:t>
      </w:r>
      <w:r w:rsidRPr="002A0BC6">
        <w:rPr>
          <w:sz w:val="20"/>
          <w:szCs w:val="20"/>
        </w:rPr>
        <w:t xml:space="preserve"> opportunistic market structure. Agents and intermediaries remain the dominant buyers, particularly for farmers in need of immediate cash or food, as they provide instant liquidity even under less </w:t>
      </w:r>
      <w:proofErr w:type="spellStart"/>
      <w:r w:rsidRPr="002A0BC6">
        <w:rPr>
          <w:sz w:val="20"/>
          <w:szCs w:val="20"/>
        </w:rPr>
        <w:t>favourable</w:t>
      </w:r>
      <w:proofErr w:type="spellEnd"/>
      <w:r w:rsidRPr="002A0BC6">
        <w:rPr>
          <w:sz w:val="20"/>
          <w:szCs w:val="20"/>
        </w:rPr>
        <w:t xml:space="preserve"> conditions. In contrast, cooperatives often impose stricter quality requirements and delayed payments, which discourages exclusive participation.</w:t>
      </w:r>
    </w:p>
    <w:p w14:paraId="6CEE8FD7" w14:textId="77777777" w:rsidR="002A0BC6" w:rsidRPr="002A0BC6" w:rsidRDefault="002A0BC6" w:rsidP="002A0BC6">
      <w:pPr>
        <w:rPr>
          <w:sz w:val="20"/>
          <w:szCs w:val="20"/>
        </w:rPr>
      </w:pPr>
    </w:p>
    <w:p w14:paraId="17112697" w14:textId="4E9B1100" w:rsidR="002A0BC6" w:rsidRPr="002A0BC6" w:rsidRDefault="002A0BC6" w:rsidP="002A0BC6">
      <w:pPr>
        <w:rPr>
          <w:sz w:val="20"/>
          <w:szCs w:val="20"/>
        </w:rPr>
      </w:pPr>
      <w:r w:rsidRPr="002A0BC6">
        <w:rPr>
          <w:sz w:val="20"/>
          <w:szCs w:val="20"/>
        </w:rPr>
        <w:t xml:space="preserve">This dynamic reinforces the persistence of informal marketing systems despite the presence of </w:t>
      </w:r>
      <w:proofErr w:type="spellStart"/>
      <w:r w:rsidRPr="002A0BC6">
        <w:rPr>
          <w:sz w:val="20"/>
          <w:szCs w:val="20"/>
        </w:rPr>
        <w:t>organised</w:t>
      </w:r>
      <w:proofErr w:type="spellEnd"/>
      <w:r w:rsidRPr="002A0BC6">
        <w:rPr>
          <w:sz w:val="20"/>
          <w:szCs w:val="20"/>
        </w:rPr>
        <w:t xml:space="preserve"> structures. As a result, cooperatives function primarily as aggregators and</w:t>
      </w:r>
      <w:r w:rsidR="000036F4">
        <w:rPr>
          <w:sz w:val="20"/>
          <w:szCs w:val="20"/>
        </w:rPr>
        <w:t xml:space="preserve">, to a very limited extent, </w:t>
      </w:r>
      <w:r w:rsidRPr="002A0BC6">
        <w:rPr>
          <w:sz w:val="20"/>
          <w:szCs w:val="20"/>
        </w:rPr>
        <w:t xml:space="preserve">service providers (facilitating training, input access, and certification) rather than as strong market actors. However, their role is mostly shaped by external support, as many are driven by NGOs and exporters rather than operating as financially autonomous </w:t>
      </w:r>
      <w:proofErr w:type="spellStart"/>
      <w:r w:rsidRPr="002A0BC6">
        <w:rPr>
          <w:sz w:val="20"/>
          <w:szCs w:val="20"/>
        </w:rPr>
        <w:t>organisations</w:t>
      </w:r>
      <w:proofErr w:type="spellEnd"/>
      <w:r w:rsidRPr="002A0BC6">
        <w:rPr>
          <w:sz w:val="20"/>
          <w:szCs w:val="20"/>
        </w:rPr>
        <w:t xml:space="preserve">. Stakeholder consultations confirm that actors in the sector have historically operated in isolation, </w:t>
      </w:r>
      <w:r w:rsidRPr="002A0BC6">
        <w:rPr>
          <w:sz w:val="20"/>
          <w:szCs w:val="20"/>
        </w:rPr>
        <w:lastRenderedPageBreak/>
        <w:t xml:space="preserve">with limited collaboration among cooperatives, NGOs, and private-sector actors (Welthungerhilfe &amp; Solidaridad, 2025). Competition </w:t>
      </w:r>
      <w:r w:rsidR="00D42F7C">
        <w:rPr>
          <w:sz w:val="20"/>
          <w:szCs w:val="20"/>
        </w:rPr>
        <w:t xml:space="preserve">among buyers further undermines collective action, weakening producer </w:t>
      </w:r>
      <w:proofErr w:type="spellStart"/>
      <w:r w:rsidR="00D42F7C">
        <w:rPr>
          <w:sz w:val="20"/>
          <w:szCs w:val="20"/>
        </w:rPr>
        <w:t>organisations'</w:t>
      </w:r>
      <w:proofErr w:type="spellEnd"/>
      <w:r w:rsidR="00D42F7C">
        <w:rPr>
          <w:sz w:val="20"/>
          <w:szCs w:val="20"/>
        </w:rPr>
        <w:t xml:space="preserve"> capacity</w:t>
      </w:r>
      <w:r w:rsidRPr="002A0BC6">
        <w:rPr>
          <w:sz w:val="20"/>
          <w:szCs w:val="20"/>
        </w:rPr>
        <w:t xml:space="preserve"> to coordinate markets or influence prices.</w:t>
      </w:r>
    </w:p>
    <w:p w14:paraId="08022F86" w14:textId="77777777" w:rsidR="002A0BC6" w:rsidRPr="002A0BC6" w:rsidRDefault="002A0BC6" w:rsidP="002A0BC6">
      <w:pPr>
        <w:rPr>
          <w:sz w:val="20"/>
          <w:szCs w:val="20"/>
        </w:rPr>
      </w:pPr>
    </w:p>
    <w:p w14:paraId="56E5D1CA" w14:textId="6702765C" w:rsidR="002A0BC6" w:rsidRPr="002A0BC6" w:rsidRDefault="002A0BC6" w:rsidP="002A0BC6">
      <w:pPr>
        <w:rPr>
          <w:sz w:val="20"/>
          <w:szCs w:val="20"/>
        </w:rPr>
      </w:pPr>
      <w:r w:rsidRPr="002A0BC6">
        <w:rPr>
          <w:sz w:val="20"/>
          <w:szCs w:val="20"/>
        </w:rPr>
        <w:t xml:space="preserve">The institutional landscape of cooperatives reflects these structural constraints. Data on cooperatives is fragmented and inconsistent, with estimates ranging from approximately 12 active cooperatives to over 70 mapped </w:t>
      </w:r>
      <w:proofErr w:type="spellStart"/>
      <w:r w:rsidRPr="002A0BC6">
        <w:rPr>
          <w:sz w:val="20"/>
          <w:szCs w:val="20"/>
        </w:rPr>
        <w:t>organisations</w:t>
      </w:r>
      <w:proofErr w:type="spellEnd"/>
      <w:r w:rsidRPr="002A0BC6">
        <w:rPr>
          <w:sz w:val="20"/>
          <w:szCs w:val="20"/>
        </w:rPr>
        <w:t xml:space="preserve"> across cocoa districts, many of which are inactive or only partially engaged in cocoa. This lack of reliable data highlights weaknesses in monitoring and coordination systems. The Cooperative Department (under MAFS), responsible for registration and oversight, is understaffed and under-resourced, limiting its ability to </w:t>
      </w:r>
      <w:r w:rsidR="00B62E95">
        <w:rPr>
          <w:sz w:val="20"/>
          <w:szCs w:val="20"/>
        </w:rPr>
        <w:t>effectively support and regulate cooperatives</w:t>
      </w:r>
      <w:r w:rsidRPr="002A0BC6">
        <w:rPr>
          <w:sz w:val="20"/>
          <w:szCs w:val="20"/>
        </w:rPr>
        <w:t>. The legal framework, still largely based on the Cooperative Societies Act of 1977, further constrains institutional development, though revisions are underway</w:t>
      </w:r>
      <w:r w:rsidRPr="002A0BC6">
        <w:rPr>
          <w:rStyle w:val="FootnoteReference"/>
          <w:sz w:val="20"/>
          <w:szCs w:val="20"/>
        </w:rPr>
        <w:footnoteReference w:id="24"/>
      </w:r>
      <w:r w:rsidRPr="002A0BC6">
        <w:rPr>
          <w:sz w:val="20"/>
          <w:szCs w:val="20"/>
        </w:rPr>
        <w:t>. In practice, many cooperatives remain project- and/or exporter- dependent and lack financial sustainability.</w:t>
      </w:r>
    </w:p>
    <w:p w14:paraId="49AE0F5E" w14:textId="77777777" w:rsidR="002A0BC6" w:rsidRPr="002A0BC6" w:rsidRDefault="002A0BC6" w:rsidP="002A0BC6">
      <w:pPr>
        <w:rPr>
          <w:sz w:val="20"/>
          <w:szCs w:val="20"/>
        </w:rPr>
      </w:pPr>
    </w:p>
    <w:p w14:paraId="359072F3" w14:textId="1005F67D" w:rsidR="002A0BC6" w:rsidRDefault="002A0BC6" w:rsidP="002A0BC6">
      <w:pPr>
        <w:rPr>
          <w:sz w:val="20"/>
          <w:szCs w:val="20"/>
        </w:rPr>
      </w:pPr>
      <w:r w:rsidRPr="002A0BC6">
        <w:rPr>
          <w:sz w:val="20"/>
          <w:szCs w:val="20"/>
        </w:rPr>
        <w:t xml:space="preserve">Despite these limitations, some cooperatives demonstrate relatively stronger capacity. Examples such as </w:t>
      </w:r>
      <w:proofErr w:type="spellStart"/>
      <w:r w:rsidRPr="002A0BC6">
        <w:rPr>
          <w:sz w:val="20"/>
          <w:szCs w:val="20"/>
        </w:rPr>
        <w:t>Moawoma</w:t>
      </w:r>
      <w:proofErr w:type="spellEnd"/>
      <w:r w:rsidR="00EC4ACD">
        <w:rPr>
          <w:sz w:val="20"/>
          <w:szCs w:val="20"/>
        </w:rPr>
        <w:t xml:space="preserve"> cooperative</w:t>
      </w:r>
      <w:r w:rsidRPr="002A0BC6">
        <w:rPr>
          <w:sz w:val="20"/>
          <w:szCs w:val="20"/>
        </w:rPr>
        <w:t xml:space="preserve"> demonstrate more advanced </w:t>
      </w:r>
      <w:proofErr w:type="spellStart"/>
      <w:r w:rsidRPr="002A0BC6">
        <w:rPr>
          <w:sz w:val="20"/>
          <w:szCs w:val="20"/>
        </w:rPr>
        <w:t>organisational</w:t>
      </w:r>
      <w:proofErr w:type="spellEnd"/>
      <w:r w:rsidRPr="002A0BC6">
        <w:rPr>
          <w:sz w:val="20"/>
          <w:szCs w:val="20"/>
        </w:rPr>
        <w:t xml:space="preserve"> structures, including </w:t>
      </w:r>
      <w:proofErr w:type="spellStart"/>
      <w:r w:rsidRPr="002A0BC6">
        <w:rPr>
          <w:sz w:val="20"/>
          <w:szCs w:val="20"/>
        </w:rPr>
        <w:t>centralised</w:t>
      </w:r>
      <w:proofErr w:type="spellEnd"/>
      <w:r w:rsidRPr="002A0BC6">
        <w:rPr>
          <w:sz w:val="20"/>
          <w:szCs w:val="20"/>
        </w:rPr>
        <w:t xml:space="preserve"> fermentation and storage systems, and established relationships with exporters. However, such cases remain exceptions. Overall, </w:t>
      </w:r>
      <w:proofErr w:type="gramStart"/>
      <w:r w:rsidRPr="002A0BC6">
        <w:rPr>
          <w:sz w:val="20"/>
          <w:szCs w:val="20"/>
        </w:rPr>
        <w:t xml:space="preserve">producer </w:t>
      </w:r>
      <w:proofErr w:type="spellStart"/>
      <w:r w:rsidRPr="002A0BC6">
        <w:rPr>
          <w:sz w:val="20"/>
          <w:szCs w:val="20"/>
        </w:rPr>
        <w:t>organisations</w:t>
      </w:r>
      <w:proofErr w:type="spellEnd"/>
      <w:proofErr w:type="gramEnd"/>
      <w:r w:rsidRPr="002A0BC6">
        <w:rPr>
          <w:sz w:val="20"/>
          <w:szCs w:val="20"/>
        </w:rPr>
        <w:t xml:space="preserve"> have significant potential but remain underdeveloped to shape market dynamics or improve price outcomes, reflected in their limited bargaining power.</w:t>
      </w:r>
    </w:p>
    <w:p w14:paraId="3CBB42C2" w14:textId="77777777" w:rsidR="006B73F3" w:rsidRDefault="006B73F3" w:rsidP="002A0BC6">
      <w:pPr>
        <w:rPr>
          <w:sz w:val="20"/>
          <w:szCs w:val="20"/>
        </w:rPr>
      </w:pPr>
    </w:p>
    <w:p w14:paraId="01969A0A" w14:textId="77777777" w:rsidR="002A0BC6" w:rsidRPr="002A0BC6" w:rsidRDefault="002A0BC6" w:rsidP="002A0BC6">
      <w:pPr>
        <w:rPr>
          <w:sz w:val="20"/>
          <w:szCs w:val="20"/>
        </w:rPr>
      </w:pPr>
    </w:p>
    <w:p w14:paraId="09A0293C" w14:textId="5CE07F8D" w:rsidR="002A0BC6" w:rsidRPr="002A0BC6" w:rsidRDefault="002A0BC6" w:rsidP="002A0BC6">
      <w:pPr>
        <w:rPr>
          <w:sz w:val="20"/>
          <w:szCs w:val="20"/>
        </w:rPr>
      </w:pPr>
      <w:r w:rsidRPr="002A0BC6">
        <w:rPr>
          <w:sz w:val="20"/>
          <w:szCs w:val="20"/>
        </w:rPr>
        <w:t xml:space="preserve">Inclusiveness within producer </w:t>
      </w:r>
      <w:proofErr w:type="spellStart"/>
      <w:r w:rsidRPr="002A0BC6">
        <w:rPr>
          <w:sz w:val="20"/>
          <w:szCs w:val="20"/>
        </w:rPr>
        <w:t>organisations</w:t>
      </w:r>
      <w:proofErr w:type="spellEnd"/>
      <w:r w:rsidRPr="002A0BC6">
        <w:rPr>
          <w:sz w:val="20"/>
          <w:szCs w:val="20"/>
        </w:rPr>
        <w:t xml:space="preserve"> remains uneven. While policy frameworks promote the participation of women and youth, structural barriers persist. Field findings show that membership does not translate into equal influence: women are often registered members but remain excluded from decision-making on land, income, and marketing. FGDs</w:t>
      </w:r>
      <w:r w:rsidR="003228A4">
        <w:rPr>
          <w:sz w:val="20"/>
          <w:szCs w:val="20"/>
        </w:rPr>
        <w:t xml:space="preserve"> </w:t>
      </w:r>
      <w:r w:rsidR="009111FB">
        <w:rPr>
          <w:sz w:val="20"/>
          <w:szCs w:val="20"/>
        </w:rPr>
        <w:t>findings</w:t>
      </w:r>
      <w:r w:rsidRPr="002A0BC6">
        <w:rPr>
          <w:sz w:val="20"/>
          <w:szCs w:val="20"/>
        </w:rPr>
        <w:t xml:space="preserve"> highlight limited awareness of governance processes and low participation in leadership roles. Similarly, youth engagement is constrained, with many young people opting for alternative livelihoods due to low profitability and high </w:t>
      </w:r>
      <w:proofErr w:type="spellStart"/>
      <w:r w:rsidRPr="002A0BC6">
        <w:rPr>
          <w:sz w:val="20"/>
          <w:szCs w:val="20"/>
        </w:rPr>
        <w:t>labour</w:t>
      </w:r>
      <w:proofErr w:type="spellEnd"/>
      <w:r w:rsidRPr="002A0BC6">
        <w:rPr>
          <w:sz w:val="20"/>
          <w:szCs w:val="20"/>
        </w:rPr>
        <w:t xml:space="preserve"> demands in cocoa farming. This indicates that inclusion is largely quantitative rather than substantive, limiting the transformative potential of cooperatives.</w:t>
      </w:r>
    </w:p>
    <w:p w14:paraId="605A8DBB" w14:textId="77777777" w:rsidR="002A0BC6" w:rsidRPr="002A0BC6" w:rsidRDefault="002A0BC6" w:rsidP="002A0BC6">
      <w:pPr>
        <w:rPr>
          <w:sz w:val="20"/>
          <w:szCs w:val="20"/>
        </w:rPr>
      </w:pPr>
    </w:p>
    <w:p w14:paraId="0CFC2759" w14:textId="77777777" w:rsidR="002A0BC6" w:rsidRDefault="002A0BC6" w:rsidP="002A0BC6">
      <w:pPr>
        <w:rPr>
          <w:sz w:val="20"/>
          <w:szCs w:val="20"/>
        </w:rPr>
      </w:pPr>
      <w:r w:rsidRPr="002A0BC6">
        <w:rPr>
          <w:sz w:val="20"/>
          <w:szCs w:val="20"/>
        </w:rPr>
        <w:t xml:space="preserve">Governance and accountability within cooperatives represent a further challenge. While the </w:t>
      </w:r>
      <w:proofErr w:type="gramStart"/>
      <w:r w:rsidRPr="002A0BC6">
        <w:rPr>
          <w:sz w:val="20"/>
          <w:szCs w:val="20"/>
        </w:rPr>
        <w:t>mini-survey</w:t>
      </w:r>
      <w:proofErr w:type="gramEnd"/>
      <w:r w:rsidRPr="002A0BC6">
        <w:rPr>
          <w:sz w:val="20"/>
          <w:szCs w:val="20"/>
        </w:rPr>
        <w:t xml:space="preserve"> indicates relatively positive perceptions of cooperative governance, 73% of respondents rated transparency and trust as high, and 20% as medium; field evidence, however, reveals gaps in practice. Farmers frequently report limited interaction with cooperative leadership, unclear communication on pricing and premium distribution, and weak transparency in decision-making. These findings align with broader evidence of weak institutional capacity and low trust in governance systems (MAF, 2019). High certification costs and dependence on external actors further limit cooperative autonomy and accountability.</w:t>
      </w:r>
    </w:p>
    <w:p w14:paraId="018B5949" w14:textId="77777777" w:rsidR="000036F4" w:rsidRPr="002A0BC6" w:rsidRDefault="000036F4" w:rsidP="002A0BC6">
      <w:pPr>
        <w:rPr>
          <w:sz w:val="20"/>
          <w:szCs w:val="20"/>
        </w:rPr>
      </w:pPr>
    </w:p>
    <w:p w14:paraId="407E4C69" w14:textId="77777777" w:rsidR="002A0BC6" w:rsidRPr="002A0BC6" w:rsidRDefault="002A0BC6" w:rsidP="002A0BC6">
      <w:pPr>
        <w:rPr>
          <w:sz w:val="20"/>
          <w:szCs w:val="20"/>
        </w:rPr>
      </w:pPr>
      <w:r w:rsidRPr="002A0BC6">
        <w:rPr>
          <w:sz w:val="20"/>
          <w:szCs w:val="20"/>
        </w:rPr>
        <w:t xml:space="preserve">The limited bargaining power of producer </w:t>
      </w:r>
      <w:proofErr w:type="spellStart"/>
      <w:r w:rsidRPr="002A0BC6">
        <w:rPr>
          <w:sz w:val="20"/>
          <w:szCs w:val="20"/>
        </w:rPr>
        <w:t>organisations</w:t>
      </w:r>
      <w:proofErr w:type="spellEnd"/>
      <w:r w:rsidRPr="002A0BC6">
        <w:rPr>
          <w:sz w:val="20"/>
          <w:szCs w:val="20"/>
        </w:rPr>
        <w:t xml:space="preserve"> is a central constraint. Although cooperatives improve access to inputs and certification schemes, they have little influence over price formation. Prices are largely determined by exporters and market conditions, with farmers receiving only a small share of the global cocoa price (</w:t>
      </w:r>
      <w:proofErr w:type="spellStart"/>
      <w:r w:rsidRPr="002A0BC6">
        <w:rPr>
          <w:sz w:val="20"/>
          <w:szCs w:val="20"/>
        </w:rPr>
        <w:t>TrustAfrica</w:t>
      </w:r>
      <w:proofErr w:type="spellEnd"/>
      <w:r w:rsidRPr="002A0BC6">
        <w:rPr>
          <w:sz w:val="20"/>
          <w:szCs w:val="20"/>
        </w:rPr>
        <w:t xml:space="preserve">, 2024). Farmers consistently report that price differences between buyers are small and unpredictable, and that quality-based pricing is inconsistently applied. Side-selling is common, even among cooperative members, as farmers </w:t>
      </w:r>
      <w:proofErr w:type="spellStart"/>
      <w:r w:rsidRPr="002A0BC6">
        <w:rPr>
          <w:sz w:val="20"/>
          <w:szCs w:val="20"/>
        </w:rPr>
        <w:t>prioritise</w:t>
      </w:r>
      <w:proofErr w:type="spellEnd"/>
      <w:r w:rsidRPr="002A0BC6">
        <w:rPr>
          <w:sz w:val="20"/>
          <w:szCs w:val="20"/>
        </w:rPr>
        <w:t xml:space="preserve"> immediate liquidity or marginally higher prices offered by agents. This </w:t>
      </w:r>
      <w:proofErr w:type="spellStart"/>
      <w:r w:rsidRPr="002A0BC6">
        <w:rPr>
          <w:sz w:val="20"/>
          <w:szCs w:val="20"/>
        </w:rPr>
        <w:t>behaviour</w:t>
      </w:r>
      <w:proofErr w:type="spellEnd"/>
      <w:r w:rsidRPr="002A0BC6">
        <w:rPr>
          <w:sz w:val="20"/>
          <w:szCs w:val="20"/>
        </w:rPr>
        <w:t xml:space="preserve"> undermines collective marketing efforts and further weakens cooperative bargaining power.</w:t>
      </w:r>
    </w:p>
    <w:p w14:paraId="48463222" w14:textId="77777777" w:rsidR="002A0BC6" w:rsidRPr="002A0BC6" w:rsidRDefault="002A0BC6" w:rsidP="002A0BC6">
      <w:pPr>
        <w:rPr>
          <w:sz w:val="20"/>
          <w:szCs w:val="20"/>
        </w:rPr>
      </w:pPr>
    </w:p>
    <w:p w14:paraId="47FE21F6" w14:textId="77777777" w:rsidR="002A0BC6" w:rsidRPr="002A0BC6" w:rsidRDefault="002A0BC6" w:rsidP="002A0BC6">
      <w:pPr>
        <w:rPr>
          <w:sz w:val="20"/>
          <w:szCs w:val="20"/>
        </w:rPr>
      </w:pPr>
      <w:r w:rsidRPr="002A0BC6">
        <w:rPr>
          <w:sz w:val="20"/>
          <w:szCs w:val="20"/>
        </w:rPr>
        <w:t xml:space="preserve">Access to information and confidence in the market system are similarly constrained. Policy frameworks </w:t>
      </w:r>
      <w:proofErr w:type="spellStart"/>
      <w:r w:rsidRPr="002A0BC6">
        <w:rPr>
          <w:sz w:val="20"/>
          <w:szCs w:val="20"/>
        </w:rPr>
        <w:t>emphasise</w:t>
      </w:r>
      <w:proofErr w:type="spellEnd"/>
      <w:r w:rsidRPr="002A0BC6">
        <w:rPr>
          <w:sz w:val="20"/>
          <w:szCs w:val="20"/>
        </w:rPr>
        <w:t xml:space="preserve"> the need for accessible market information systems, but these remain underdeveloped in practice (MAF, 2019). Farmers rely heavily on buyers and intermediaries for price information, creating structural asymmetries. The </w:t>
      </w:r>
      <w:proofErr w:type="gramStart"/>
      <w:r w:rsidRPr="002A0BC6">
        <w:rPr>
          <w:sz w:val="20"/>
          <w:szCs w:val="20"/>
        </w:rPr>
        <w:t>mini-survey</w:t>
      </w:r>
      <w:proofErr w:type="gramEnd"/>
      <w:r w:rsidRPr="002A0BC6">
        <w:rPr>
          <w:sz w:val="20"/>
          <w:szCs w:val="20"/>
        </w:rPr>
        <w:t xml:space="preserve"> shows that 74% of respondents report medium access to information, only about 3% report high access, and approximately 26% report low access (all of whom are women). This gendered information gap further reinforces inequality. Farmers often accept prices without negotiation, citing a lack of alternatives or reliable information.</w:t>
      </w:r>
    </w:p>
    <w:p w14:paraId="7B69AB83" w14:textId="77777777" w:rsidR="002A0BC6" w:rsidRPr="002A0BC6" w:rsidRDefault="002A0BC6" w:rsidP="002A0BC6">
      <w:pPr>
        <w:rPr>
          <w:sz w:val="20"/>
          <w:szCs w:val="20"/>
        </w:rPr>
      </w:pPr>
    </w:p>
    <w:p w14:paraId="1FE5B5EE" w14:textId="77777777" w:rsidR="002A0BC6" w:rsidRPr="002A0BC6" w:rsidRDefault="002A0BC6" w:rsidP="002A0BC6">
      <w:pPr>
        <w:rPr>
          <w:sz w:val="20"/>
          <w:szCs w:val="20"/>
        </w:rPr>
      </w:pPr>
      <w:r w:rsidRPr="002A0BC6">
        <w:rPr>
          <w:sz w:val="20"/>
          <w:szCs w:val="20"/>
        </w:rPr>
        <w:t xml:space="preserve">Technical information is more widely available, particularly among cooperative members who benefit from training </w:t>
      </w:r>
      <w:proofErr w:type="gramStart"/>
      <w:r w:rsidRPr="002A0BC6">
        <w:rPr>
          <w:sz w:val="20"/>
          <w:szCs w:val="20"/>
        </w:rPr>
        <w:t>on</w:t>
      </w:r>
      <w:proofErr w:type="gramEnd"/>
      <w:r w:rsidRPr="002A0BC6">
        <w:rPr>
          <w:sz w:val="20"/>
          <w:szCs w:val="20"/>
        </w:rPr>
        <w:t xml:space="preserve"> agricultural practices and post-harvest handling. However, access remains uneven, with non-members and remote farmers receiving significantly less support. Certification awareness is also limited, with many farmers unclear about the requirements and the distribution of benefits. These information gaps contribute to low trust in the broader market system, as farmers express concerns about weighing practices, pricing transparency, and potential buyer manipulation.</w:t>
      </w:r>
    </w:p>
    <w:p w14:paraId="4A813052" w14:textId="77777777" w:rsidR="002A0BC6" w:rsidRPr="002A0BC6" w:rsidRDefault="002A0BC6" w:rsidP="002A0BC6">
      <w:pPr>
        <w:rPr>
          <w:sz w:val="20"/>
          <w:szCs w:val="20"/>
        </w:rPr>
      </w:pPr>
    </w:p>
    <w:p w14:paraId="592790DB" w14:textId="77777777" w:rsidR="002A0BC6" w:rsidRPr="002A0BC6" w:rsidRDefault="002A0BC6" w:rsidP="002A0BC6">
      <w:pPr>
        <w:rPr>
          <w:sz w:val="20"/>
          <w:szCs w:val="20"/>
        </w:rPr>
      </w:pPr>
      <w:r w:rsidRPr="002A0BC6">
        <w:rPr>
          <w:sz w:val="20"/>
          <w:szCs w:val="20"/>
        </w:rPr>
        <w:t xml:space="preserve">Trust dynamics reflect this pattern. While trust within cooperatives is relatively stronger, it remains fragile, particularly regarding transparency and benefit distribution. The </w:t>
      </w:r>
      <w:proofErr w:type="gramStart"/>
      <w:r w:rsidRPr="002A0BC6">
        <w:rPr>
          <w:sz w:val="20"/>
          <w:szCs w:val="20"/>
        </w:rPr>
        <w:t>mini-survey</w:t>
      </w:r>
      <w:proofErr w:type="gramEnd"/>
      <w:r w:rsidRPr="002A0BC6">
        <w:rPr>
          <w:sz w:val="20"/>
          <w:szCs w:val="20"/>
        </w:rPr>
        <w:t xml:space="preserve"> indicates that 79% of respondents rate trust as medium, 21% as low, and only 3% as high. Trust-building mechanisms such as VSLAs and group activities are effective at the local level, strengthening mutual support and financial management. However, this trust does not extend to the wider value chain, where asymmetries in information and power persist.</w:t>
      </w:r>
    </w:p>
    <w:p w14:paraId="5DECFDF2" w14:textId="77777777" w:rsidR="002A0BC6" w:rsidRPr="002A0BC6" w:rsidRDefault="002A0BC6" w:rsidP="002A0BC6">
      <w:pPr>
        <w:rPr>
          <w:sz w:val="20"/>
          <w:szCs w:val="20"/>
        </w:rPr>
      </w:pPr>
    </w:p>
    <w:p w14:paraId="67D70554" w14:textId="5BD17C12" w:rsidR="002A0BC6" w:rsidRPr="002A0BC6" w:rsidRDefault="002A0BC6" w:rsidP="002A0BC6">
      <w:pPr>
        <w:rPr>
          <w:sz w:val="20"/>
          <w:szCs w:val="20"/>
        </w:rPr>
      </w:pPr>
      <w:r w:rsidRPr="002A0BC6">
        <w:rPr>
          <w:sz w:val="20"/>
          <w:szCs w:val="20"/>
        </w:rPr>
        <w:t xml:space="preserve">Social involvement at the community level is relatively strong but uneven. Traditional systems of </w:t>
      </w:r>
      <w:proofErr w:type="spellStart"/>
      <w:r w:rsidRPr="002A0BC6">
        <w:rPr>
          <w:sz w:val="20"/>
          <w:szCs w:val="20"/>
        </w:rPr>
        <w:t>labour</w:t>
      </w:r>
      <w:proofErr w:type="spellEnd"/>
      <w:r w:rsidRPr="002A0BC6">
        <w:rPr>
          <w:sz w:val="20"/>
          <w:szCs w:val="20"/>
        </w:rPr>
        <w:t xml:space="preserve"> sharing, group farming, and mutual support remain important, particularly during peak </w:t>
      </w:r>
      <w:proofErr w:type="spellStart"/>
      <w:r w:rsidRPr="002A0BC6">
        <w:rPr>
          <w:sz w:val="20"/>
          <w:szCs w:val="20"/>
        </w:rPr>
        <w:t>labour</w:t>
      </w:r>
      <w:proofErr w:type="spellEnd"/>
      <w:r w:rsidRPr="002A0BC6">
        <w:rPr>
          <w:sz w:val="20"/>
          <w:szCs w:val="20"/>
        </w:rPr>
        <w:t xml:space="preserve"> periods (brushing,</w:t>
      </w:r>
      <w:r w:rsidR="00962261">
        <w:rPr>
          <w:sz w:val="20"/>
          <w:szCs w:val="20"/>
        </w:rPr>
        <w:t xml:space="preserve"> </w:t>
      </w:r>
      <w:r w:rsidRPr="002A0BC6">
        <w:rPr>
          <w:sz w:val="20"/>
          <w:szCs w:val="20"/>
        </w:rPr>
        <w:t>harvesting). Project interventions have introduced participatory mechanisms, including community meetings and FBO structures, and have strengthened local engagement in some areas (</w:t>
      </w:r>
      <w:proofErr w:type="spellStart"/>
      <w:r w:rsidRPr="002A0BC6">
        <w:rPr>
          <w:sz w:val="20"/>
          <w:szCs w:val="20"/>
        </w:rPr>
        <w:t>MoPADA</w:t>
      </w:r>
      <w:proofErr w:type="spellEnd"/>
      <w:r w:rsidRPr="002A0BC6">
        <w:rPr>
          <w:sz w:val="20"/>
          <w:szCs w:val="20"/>
        </w:rPr>
        <w:t>-SL, 2025). Traditional knowledge systems, such as intercropping and agroforestry, continue to play a central role and are increasingly integrated into development approaches (Welthungerhilfe, 2024).</w:t>
      </w:r>
    </w:p>
    <w:p w14:paraId="3EF44E3E" w14:textId="77777777" w:rsidR="002A0BC6" w:rsidRPr="002A0BC6" w:rsidRDefault="002A0BC6" w:rsidP="002A0BC6">
      <w:pPr>
        <w:rPr>
          <w:sz w:val="20"/>
          <w:szCs w:val="20"/>
        </w:rPr>
      </w:pPr>
    </w:p>
    <w:p w14:paraId="3D6A7B7D" w14:textId="77777777" w:rsidR="002A0BC6" w:rsidRPr="002A0BC6" w:rsidRDefault="002A0BC6" w:rsidP="002A0BC6">
      <w:pPr>
        <w:rPr>
          <w:sz w:val="20"/>
          <w:szCs w:val="20"/>
        </w:rPr>
      </w:pPr>
      <w:r w:rsidRPr="002A0BC6">
        <w:rPr>
          <w:sz w:val="20"/>
          <w:szCs w:val="20"/>
        </w:rPr>
        <w:t xml:space="preserve">However, participation remains constrained by structural inequalities and institutional limitations. Decision-making at the household level is often male-dominated, and women and youth are less actively engaged in community processes. Participation is frequently formal rather than substantive, and its effectiveness depends heavily on the presence of projects or cooperative structures. In communities without such support, social involvement is less structured and less consistent. Economic pressures and competing livelihood </w:t>
      </w:r>
      <w:proofErr w:type="gramStart"/>
      <w:r w:rsidRPr="002A0BC6">
        <w:rPr>
          <w:sz w:val="20"/>
          <w:szCs w:val="20"/>
        </w:rPr>
        <w:t>demands</w:t>
      </w:r>
      <w:proofErr w:type="gramEnd"/>
      <w:r w:rsidRPr="002A0BC6">
        <w:rPr>
          <w:sz w:val="20"/>
          <w:szCs w:val="20"/>
        </w:rPr>
        <w:t xml:space="preserve"> also reduce participation over time.</w:t>
      </w:r>
    </w:p>
    <w:p w14:paraId="39103185" w14:textId="77777777" w:rsidR="002A0BC6" w:rsidRPr="002A0BC6" w:rsidRDefault="002A0BC6" w:rsidP="002A0BC6">
      <w:pPr>
        <w:rPr>
          <w:sz w:val="20"/>
          <w:szCs w:val="20"/>
        </w:rPr>
      </w:pPr>
    </w:p>
    <w:p w14:paraId="3D487D41" w14:textId="77777777" w:rsidR="002A0BC6" w:rsidRDefault="002A0BC6" w:rsidP="002A0BC6">
      <w:pPr>
        <w:rPr>
          <w:sz w:val="20"/>
          <w:szCs w:val="20"/>
        </w:rPr>
      </w:pPr>
      <w:r w:rsidRPr="002A0BC6">
        <w:rPr>
          <w:sz w:val="20"/>
          <w:szCs w:val="20"/>
        </w:rPr>
        <w:t xml:space="preserve">Overall, the findings indicate that social capital in the CVC is </w:t>
      </w:r>
      <w:proofErr w:type="spellStart"/>
      <w:r w:rsidRPr="002A0BC6">
        <w:rPr>
          <w:sz w:val="20"/>
          <w:szCs w:val="20"/>
        </w:rPr>
        <w:t>characterised</w:t>
      </w:r>
      <w:proofErr w:type="spellEnd"/>
      <w:r w:rsidRPr="002A0BC6">
        <w:rPr>
          <w:sz w:val="20"/>
          <w:szCs w:val="20"/>
        </w:rPr>
        <w:t xml:space="preserve"> by a paradox: strong local </w:t>
      </w:r>
      <w:proofErr w:type="spellStart"/>
      <w:r w:rsidRPr="002A0BC6">
        <w:rPr>
          <w:sz w:val="20"/>
          <w:szCs w:val="20"/>
        </w:rPr>
        <w:t>organisation</w:t>
      </w:r>
      <w:proofErr w:type="spellEnd"/>
      <w:r w:rsidRPr="002A0BC6">
        <w:rPr>
          <w:sz w:val="20"/>
          <w:szCs w:val="20"/>
        </w:rPr>
        <w:t xml:space="preserve"> and participation coexist with weak institutional capacity, limited coordination, and low market influence. While communities demonstrate resilience and collective action at the local level, these strengths do not translate into systemic change within the CVC.</w:t>
      </w:r>
    </w:p>
    <w:p w14:paraId="040CA974" w14:textId="77777777" w:rsidR="00AF27E6" w:rsidRDefault="00AF27E6" w:rsidP="002A0BC6">
      <w:pPr>
        <w:rPr>
          <w:sz w:val="20"/>
          <w:szCs w:val="20"/>
        </w:rPr>
      </w:pPr>
    </w:p>
    <w:p w14:paraId="6FF3649B" w14:textId="003E75DC" w:rsidR="00AF27E6" w:rsidRPr="00AF27E6" w:rsidRDefault="00AF27E6" w:rsidP="00AF27E6">
      <w:pPr>
        <w:rPr>
          <w:sz w:val="20"/>
          <w:szCs w:val="20"/>
        </w:rPr>
      </w:pPr>
      <w:r w:rsidRPr="00AF27E6">
        <w:rPr>
          <w:sz w:val="20"/>
          <w:szCs w:val="20"/>
        </w:rPr>
        <w:t xml:space="preserve">A possible entry point for strengthening social capital and local value addition in </w:t>
      </w:r>
      <w:r>
        <w:rPr>
          <w:sz w:val="20"/>
          <w:szCs w:val="20"/>
        </w:rPr>
        <w:t>CVC</w:t>
      </w:r>
      <w:r w:rsidRPr="00AF27E6">
        <w:rPr>
          <w:sz w:val="20"/>
          <w:szCs w:val="20"/>
        </w:rPr>
        <w:t xml:space="preserve"> is the piloting of cooperative-linked Community Processing Units (CPUs). The cashew VCA4D study shows that CPUs in S</w:t>
      </w:r>
      <w:r>
        <w:rPr>
          <w:sz w:val="20"/>
          <w:szCs w:val="20"/>
        </w:rPr>
        <w:t>L</w:t>
      </w:r>
      <w:r w:rsidRPr="00AF27E6">
        <w:rPr>
          <w:sz w:val="20"/>
          <w:szCs w:val="20"/>
        </w:rPr>
        <w:t xml:space="preserve"> were developed as community-owned and community-run business entities linked to ABCs, FBOs and farmer groups, with functions related to collection, processing, market access and women’s economic participation (Michel et al., 2018). For cocoa, CPUs should be understood as </w:t>
      </w:r>
      <w:r w:rsidRPr="00AF27E6">
        <w:rPr>
          <w:sz w:val="20"/>
          <w:szCs w:val="20"/>
        </w:rPr>
        <w:lastRenderedPageBreak/>
        <w:t xml:space="preserve">community post-harvest and service hubs. Their feasible role would be </w:t>
      </w:r>
      <w:proofErr w:type="spellStart"/>
      <w:r w:rsidRPr="00AF27E6">
        <w:rPr>
          <w:sz w:val="20"/>
          <w:szCs w:val="20"/>
        </w:rPr>
        <w:t>centralised</w:t>
      </w:r>
      <w:proofErr w:type="spellEnd"/>
      <w:r w:rsidRPr="00AF27E6">
        <w:rPr>
          <w:sz w:val="20"/>
          <w:szCs w:val="20"/>
        </w:rPr>
        <w:t xml:space="preserve"> fermentation, drying, storage, grading, quality control, traceability, collective marketing, input distribution, training, and links to VSLAs or cooperative credit. Such hubs could improve bean quality, strengthen bargaining power, reduce post-harvest losses, support traceability requirements, and create paid roles for women and youth in quality control, record-keeping, storage management and cooperative services. However, the cashew experience also suggests that CPUs require clear business planning, working capital, trained management, equipment maintenance and reliable buyer relationships; otherwise, they risk becoming grant-dependent infrastructure rather than viable social enterprises.</w:t>
      </w:r>
    </w:p>
    <w:p w14:paraId="1AFEB7E2" w14:textId="77777777" w:rsidR="00AF27E6" w:rsidRPr="002A0BC6" w:rsidRDefault="00AF27E6" w:rsidP="002A0BC6">
      <w:pPr>
        <w:rPr>
          <w:sz w:val="20"/>
          <w:szCs w:val="20"/>
        </w:rPr>
      </w:pPr>
    </w:p>
    <w:p w14:paraId="310A3E29" w14:textId="77777777" w:rsidR="002A0BC6" w:rsidRDefault="002A0BC6" w:rsidP="002A0BC6">
      <w:pPr>
        <w:rPr>
          <w:sz w:val="20"/>
          <w:szCs w:val="20"/>
        </w:rPr>
      </w:pPr>
      <w:r w:rsidRPr="002A0BC6">
        <w:rPr>
          <w:sz w:val="20"/>
          <w:szCs w:val="20"/>
        </w:rPr>
        <w:t xml:space="preserve">In conclusion, social capital can be assessed as moderate, with strong local foundations but limited structural impact. Producer </w:t>
      </w:r>
      <w:proofErr w:type="spellStart"/>
      <w:r w:rsidRPr="002A0BC6">
        <w:rPr>
          <w:sz w:val="20"/>
          <w:szCs w:val="20"/>
        </w:rPr>
        <w:t>organisations</w:t>
      </w:r>
      <w:proofErr w:type="spellEnd"/>
      <w:r w:rsidRPr="002A0BC6">
        <w:rPr>
          <w:sz w:val="20"/>
          <w:szCs w:val="20"/>
        </w:rPr>
        <w:t xml:space="preserve">, information systems, and participatory mechanisms provide important building blocks, but remain constrained by weak </w:t>
      </w:r>
      <w:proofErr w:type="spellStart"/>
      <w:r w:rsidRPr="002A0BC6">
        <w:rPr>
          <w:sz w:val="20"/>
          <w:szCs w:val="20"/>
        </w:rPr>
        <w:t>institutionalisation</w:t>
      </w:r>
      <w:proofErr w:type="spellEnd"/>
      <w:r w:rsidRPr="002A0BC6">
        <w:rPr>
          <w:sz w:val="20"/>
          <w:szCs w:val="20"/>
        </w:rPr>
        <w:t xml:space="preserve">, limited inclusiveness, and low bargaining power. To enhance social sustainability, it will be necessary to strengthen the capacity (including financial) of producer </w:t>
      </w:r>
      <w:proofErr w:type="spellStart"/>
      <w:r w:rsidRPr="002A0BC6">
        <w:rPr>
          <w:sz w:val="20"/>
          <w:szCs w:val="20"/>
        </w:rPr>
        <w:t>organisations</w:t>
      </w:r>
      <w:proofErr w:type="spellEnd"/>
      <w:r w:rsidRPr="002A0BC6">
        <w:rPr>
          <w:sz w:val="20"/>
          <w:szCs w:val="20"/>
        </w:rPr>
        <w:t>, their autonomy and coordination, improve transparency and information flows, and ensure that participation translates into meaningful influence and economic benefits across the value chain.</w:t>
      </w:r>
    </w:p>
    <w:p w14:paraId="13E4E774" w14:textId="77777777" w:rsidR="00F84CA9" w:rsidRPr="002A0BC6" w:rsidRDefault="00F84CA9" w:rsidP="002A0BC6">
      <w:pPr>
        <w:rPr>
          <w:sz w:val="20"/>
          <w:szCs w:val="20"/>
        </w:rPr>
      </w:pPr>
    </w:p>
    <w:p w14:paraId="3C074231" w14:textId="1C6712E3" w:rsidR="00F84CA9" w:rsidRDefault="00F84CA9" w:rsidP="00F84CA9">
      <w:pPr>
        <w:pStyle w:val="Caption"/>
        <w:keepNext/>
        <w:jc w:val="center"/>
      </w:pPr>
      <w:bookmarkStart w:id="148" w:name="_Toc228701083"/>
      <w:r>
        <w:t xml:space="preserve">Table </w:t>
      </w:r>
      <w:fldSimple w:instr=" STYLEREF 1 \s ">
        <w:r w:rsidR="006C1C4E">
          <w:rPr>
            <w:noProof/>
          </w:rPr>
          <w:t>4</w:t>
        </w:r>
      </w:fldSimple>
      <w:r w:rsidR="006C1C4E">
        <w:noBreakHyphen/>
      </w:r>
      <w:fldSimple w:instr=" SEQ Table \* ARABIC \s 1 ">
        <w:r w:rsidR="006C1C4E">
          <w:rPr>
            <w:noProof/>
          </w:rPr>
          <w:t>5</w:t>
        </w:r>
      </w:fldSimple>
      <w:r>
        <w:t xml:space="preserve"> </w:t>
      </w:r>
      <w:r w:rsidRPr="0031509A">
        <w:t>Assessment of Social Capital</w:t>
      </w:r>
      <w:bookmarkEnd w:id="148"/>
    </w:p>
    <w:tbl>
      <w:tblPr>
        <w:tblStyle w:val="TableGrid"/>
        <w:tblW w:w="0" w:type="auto"/>
        <w:jc w:val="center"/>
        <w:tblLook w:val="04A0" w:firstRow="1" w:lastRow="0" w:firstColumn="1" w:lastColumn="0" w:noHBand="0" w:noVBand="1"/>
      </w:tblPr>
      <w:tblGrid>
        <w:gridCol w:w="2547"/>
        <w:gridCol w:w="1961"/>
      </w:tblGrid>
      <w:tr w:rsidR="002A0BC6" w:rsidRPr="0079547A" w14:paraId="38DA0BE2"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132CCDA6" w14:textId="77777777" w:rsidR="002A0BC6" w:rsidRPr="0079547A" w:rsidRDefault="002A0BC6" w:rsidP="00930C4A">
            <w:pPr>
              <w:rPr>
                <w:bCs/>
                <w:lang w:val="tr-TR"/>
              </w:rPr>
            </w:pPr>
            <w:r>
              <w:rPr>
                <w:bCs/>
                <w:lang w:val="tr-TR"/>
              </w:rPr>
              <w:t>Social Capital</w:t>
            </w:r>
          </w:p>
        </w:tc>
      </w:tr>
      <w:tr w:rsidR="002A0BC6" w:rsidRPr="0079547A" w14:paraId="0DAFF914" w14:textId="77777777" w:rsidTr="00930C4A">
        <w:trPr>
          <w:jc w:val="center"/>
        </w:trPr>
        <w:tc>
          <w:tcPr>
            <w:tcW w:w="2547" w:type="dxa"/>
          </w:tcPr>
          <w:p w14:paraId="2006A7E2" w14:textId="77777777" w:rsidR="002A0BC6" w:rsidRPr="0079547A" w:rsidRDefault="002A0BC6" w:rsidP="00930C4A">
            <w:pPr>
              <w:rPr>
                <w:lang w:val="tr-TR"/>
              </w:rPr>
            </w:pPr>
            <w:r>
              <w:rPr>
                <w:lang w:val="tr-TR"/>
              </w:rPr>
              <w:t>Strength of producer organisations</w:t>
            </w:r>
          </w:p>
        </w:tc>
        <w:tc>
          <w:tcPr>
            <w:tcW w:w="1961" w:type="dxa"/>
            <w:shd w:val="clear" w:color="auto" w:fill="92D050"/>
          </w:tcPr>
          <w:p w14:paraId="3A634738" w14:textId="77777777" w:rsidR="002A0BC6" w:rsidRPr="0079547A" w:rsidRDefault="002A0BC6" w:rsidP="00930C4A">
            <w:pPr>
              <w:rPr>
                <w:lang w:val="tr-TR"/>
              </w:rPr>
            </w:pPr>
          </w:p>
        </w:tc>
      </w:tr>
      <w:tr w:rsidR="002A0BC6" w:rsidRPr="00863E9E" w14:paraId="226FC5ED" w14:textId="77777777" w:rsidTr="00930C4A">
        <w:trPr>
          <w:jc w:val="center"/>
        </w:trPr>
        <w:tc>
          <w:tcPr>
            <w:tcW w:w="2547" w:type="dxa"/>
          </w:tcPr>
          <w:p w14:paraId="32F31D8D" w14:textId="77777777" w:rsidR="002A0BC6" w:rsidRPr="0079547A" w:rsidRDefault="002A0BC6" w:rsidP="00930C4A">
            <w:pPr>
              <w:rPr>
                <w:lang w:val="tr-TR"/>
              </w:rPr>
            </w:pPr>
            <w:r>
              <w:rPr>
                <w:lang w:val="tr-TR"/>
              </w:rPr>
              <w:t>Information and confidence</w:t>
            </w:r>
            <w:r w:rsidRPr="0079547A">
              <w:rPr>
                <w:lang w:val="tr-TR"/>
              </w:rPr>
              <w:t xml:space="preserve"> </w:t>
            </w:r>
          </w:p>
        </w:tc>
        <w:tc>
          <w:tcPr>
            <w:tcW w:w="1961" w:type="dxa"/>
            <w:shd w:val="clear" w:color="auto" w:fill="FFC000"/>
          </w:tcPr>
          <w:p w14:paraId="33C18749" w14:textId="77777777" w:rsidR="002A0BC6" w:rsidRPr="0079547A" w:rsidRDefault="002A0BC6" w:rsidP="00930C4A">
            <w:pPr>
              <w:rPr>
                <w:lang w:val="tr-TR"/>
              </w:rPr>
            </w:pPr>
          </w:p>
        </w:tc>
      </w:tr>
      <w:tr w:rsidR="002A0BC6" w:rsidRPr="0079547A" w14:paraId="6477BCA0" w14:textId="77777777" w:rsidTr="00930C4A">
        <w:trPr>
          <w:jc w:val="center"/>
        </w:trPr>
        <w:tc>
          <w:tcPr>
            <w:tcW w:w="2547" w:type="dxa"/>
          </w:tcPr>
          <w:p w14:paraId="3508D6BC" w14:textId="77777777" w:rsidR="002A0BC6" w:rsidRPr="0079547A" w:rsidRDefault="002A0BC6" w:rsidP="00930C4A">
            <w:pPr>
              <w:rPr>
                <w:lang w:val="tr-TR"/>
              </w:rPr>
            </w:pPr>
            <w:r>
              <w:rPr>
                <w:lang w:val="tr-TR"/>
              </w:rPr>
              <w:t>Social involvement</w:t>
            </w:r>
          </w:p>
        </w:tc>
        <w:tc>
          <w:tcPr>
            <w:tcW w:w="1961" w:type="dxa"/>
            <w:shd w:val="clear" w:color="auto" w:fill="FFC000"/>
          </w:tcPr>
          <w:p w14:paraId="2F22C8A2" w14:textId="77777777" w:rsidR="002A0BC6" w:rsidRPr="0079547A" w:rsidRDefault="002A0BC6" w:rsidP="00930C4A">
            <w:pPr>
              <w:rPr>
                <w:b/>
                <w:bCs/>
                <w:lang w:val="en-GB"/>
              </w:rPr>
            </w:pPr>
          </w:p>
        </w:tc>
      </w:tr>
    </w:tbl>
    <w:p w14:paraId="608C34CB" w14:textId="77777777" w:rsidR="002A0BC6" w:rsidRPr="0079547A" w:rsidRDefault="002A0BC6" w:rsidP="002A0BC6"/>
    <w:p w14:paraId="7DD23472" w14:textId="77777777" w:rsidR="002A0BC6" w:rsidRPr="00726E05" w:rsidRDefault="002A0BC6" w:rsidP="002A0BC6"/>
    <w:p w14:paraId="63FEF56A" w14:textId="2B973065" w:rsidR="00614F1B" w:rsidRPr="00D93D57" w:rsidRDefault="00614F1B" w:rsidP="00D93D57">
      <w:pPr>
        <w:pStyle w:val="Heading2"/>
      </w:pPr>
      <w:bookmarkStart w:id="149" w:name="_Toc201844314"/>
      <w:bookmarkStart w:id="150" w:name="_Toc228701035"/>
      <w:r w:rsidRPr="00D93D57">
        <w:t>Living conditions</w:t>
      </w:r>
      <w:bookmarkEnd w:id="149"/>
      <w:bookmarkEnd w:id="150"/>
    </w:p>
    <w:p w14:paraId="70D5EF34" w14:textId="16F85B71" w:rsidR="002A0BC6" w:rsidRPr="002A0BC6" w:rsidRDefault="002A0BC6" w:rsidP="002A0BC6">
      <w:pPr>
        <w:rPr>
          <w:sz w:val="20"/>
          <w:szCs w:val="20"/>
        </w:rPr>
      </w:pPr>
      <w:r w:rsidRPr="002A0BC6">
        <w:rPr>
          <w:sz w:val="20"/>
          <w:szCs w:val="20"/>
        </w:rPr>
        <w:t>The analysis of living conditions shows that access to basic services remains limited, uneven, and structurally constrained, despite ongoing policy reforms and targeted interventions. Across health, housing, water and sanitation, education, and mobility, the findings consistently indicate that cocoa-producing households face restricted access, high costs, and strong spatial and seasonal inequalities, which reduce resilience and limit overall social sustainability.</w:t>
      </w:r>
    </w:p>
    <w:p w14:paraId="5A467F99" w14:textId="77777777" w:rsidR="002A0BC6" w:rsidRPr="002A0BC6" w:rsidRDefault="002A0BC6" w:rsidP="002A0BC6">
      <w:pPr>
        <w:rPr>
          <w:sz w:val="20"/>
          <w:szCs w:val="20"/>
        </w:rPr>
      </w:pPr>
    </w:p>
    <w:p w14:paraId="5D99E506" w14:textId="77777777" w:rsidR="002A0BC6" w:rsidRPr="002A0BC6" w:rsidRDefault="002A0BC6" w:rsidP="002A0BC6">
      <w:pPr>
        <w:rPr>
          <w:sz w:val="20"/>
          <w:szCs w:val="20"/>
        </w:rPr>
      </w:pPr>
      <w:r w:rsidRPr="002A0BC6">
        <w:rPr>
          <w:sz w:val="20"/>
          <w:szCs w:val="20"/>
        </w:rPr>
        <w:t xml:space="preserve">At the macro level, living conditions are shaped by broader systemic constraints in rural service delivery. The UN Common Country Analysis highlights persistent shortages of skilled health workers, inadequate infrastructure, and weak service systems (United Nations Sierra Leone, 2024). Similarly, policy frameworks </w:t>
      </w:r>
      <w:proofErr w:type="spellStart"/>
      <w:r w:rsidRPr="002A0BC6">
        <w:rPr>
          <w:sz w:val="20"/>
          <w:szCs w:val="20"/>
        </w:rPr>
        <w:t>recognise</w:t>
      </w:r>
      <w:proofErr w:type="spellEnd"/>
      <w:r w:rsidRPr="002A0BC6">
        <w:rPr>
          <w:sz w:val="20"/>
          <w:szCs w:val="20"/>
        </w:rPr>
        <w:t xml:space="preserve"> that cocoa-growing areas are underserved and require targeted investments in infrastructure and services (MAFS, 2024). While these frameworks provide direction, implementation remains uneven, and rural populations continue to face limited access to quality services.</w:t>
      </w:r>
    </w:p>
    <w:p w14:paraId="73F40C37" w14:textId="77777777" w:rsidR="002A0BC6" w:rsidRPr="002A0BC6" w:rsidRDefault="002A0BC6" w:rsidP="002A0BC6">
      <w:pPr>
        <w:rPr>
          <w:sz w:val="20"/>
          <w:szCs w:val="20"/>
        </w:rPr>
      </w:pPr>
    </w:p>
    <w:p w14:paraId="74858F8A" w14:textId="3F888C3A" w:rsidR="002A0BC6" w:rsidRPr="002A0BC6" w:rsidRDefault="002A0BC6" w:rsidP="002A0BC6">
      <w:pPr>
        <w:rPr>
          <w:sz w:val="20"/>
          <w:szCs w:val="20"/>
        </w:rPr>
      </w:pPr>
      <w:r w:rsidRPr="002A0BC6">
        <w:rPr>
          <w:sz w:val="20"/>
          <w:szCs w:val="20"/>
        </w:rPr>
        <w:t xml:space="preserve">At the household level, access to health services illustrates these constraints most clearly. Although health facilities are present, access is uneven and often constrained by distance, poor infrastructure, and cost. </w:t>
      </w:r>
      <w:r w:rsidR="006A26FD">
        <w:rPr>
          <w:sz w:val="20"/>
          <w:szCs w:val="20"/>
        </w:rPr>
        <w:t>Our mini-s</w:t>
      </w:r>
      <w:r w:rsidRPr="002A0BC6">
        <w:rPr>
          <w:sz w:val="20"/>
          <w:szCs w:val="20"/>
        </w:rPr>
        <w:t xml:space="preserve">urvey results indicate that 60% of farmers report low access to healthcare, and qualitative evidence shows that households rely heavily on cocoa income to cover health expenditures. Health spending was consistently identified as one of the main uses of cocoa income in both mixed and women’s FGDs, suggesting that healthcare is available but not easily accessible as a basic public service. This reliance on income to access care indicates that health services are not effectively </w:t>
      </w:r>
      <w:proofErr w:type="spellStart"/>
      <w:r w:rsidRPr="002A0BC6">
        <w:rPr>
          <w:sz w:val="20"/>
          <w:szCs w:val="20"/>
        </w:rPr>
        <w:t>decommodified</w:t>
      </w:r>
      <w:proofErr w:type="spellEnd"/>
      <w:r w:rsidRPr="002A0BC6">
        <w:rPr>
          <w:sz w:val="20"/>
          <w:szCs w:val="20"/>
        </w:rPr>
        <w:t xml:space="preserve">, and that households remain vulnerable to health </w:t>
      </w:r>
      <w:r w:rsidRPr="002A0BC6">
        <w:rPr>
          <w:sz w:val="20"/>
          <w:szCs w:val="20"/>
        </w:rPr>
        <w:lastRenderedPageBreak/>
        <w:t>shocks. As a result, even where income increases, access to healthcare remains financially burdensome and limits resilience.</w:t>
      </w:r>
    </w:p>
    <w:p w14:paraId="42E0A12F" w14:textId="77777777" w:rsidR="002A0BC6" w:rsidRPr="002A0BC6" w:rsidRDefault="002A0BC6" w:rsidP="002A0BC6">
      <w:pPr>
        <w:rPr>
          <w:sz w:val="20"/>
          <w:szCs w:val="20"/>
        </w:rPr>
      </w:pPr>
    </w:p>
    <w:p w14:paraId="3E94723F" w14:textId="77777777" w:rsidR="002A0BC6" w:rsidRPr="002A0BC6" w:rsidRDefault="002A0BC6" w:rsidP="002A0BC6">
      <w:pPr>
        <w:rPr>
          <w:sz w:val="20"/>
          <w:szCs w:val="20"/>
        </w:rPr>
      </w:pPr>
      <w:r w:rsidRPr="002A0BC6">
        <w:rPr>
          <w:sz w:val="20"/>
          <w:szCs w:val="20"/>
        </w:rPr>
        <w:t>Housing, water, and sanitation conditions further reflect constrained living standards. Field findings indicate that housing is a key priority for households, alongside food, health, and education, suggesting that improvements are needed but often underfunded. While some households invest in gradual improvements, these remain at a basic level rather than improving overall quality. Access to water and sanitation is particularly limited. National data indicate that around 50% of the population lacks basic sanitation and about 70% lacks hygiene facilities, with only 31% having access to at least basic sanitation (World Bank, 2024b; United Nations Sierra Leone, 2024). These constraints are reflected in cocoa-growing communities, where FGD participants report uneven, often inadequate access to clean water and sanitation, which contributes to low living standards and health risks. Project interventions targeting hygiene and sanitation confirm that this remains an area of active development need rather than an established service.</w:t>
      </w:r>
    </w:p>
    <w:p w14:paraId="5FEFC37C" w14:textId="77777777" w:rsidR="002A0BC6" w:rsidRPr="002A0BC6" w:rsidRDefault="002A0BC6" w:rsidP="002A0BC6">
      <w:pPr>
        <w:rPr>
          <w:sz w:val="20"/>
          <w:szCs w:val="20"/>
        </w:rPr>
      </w:pPr>
    </w:p>
    <w:p w14:paraId="0C2B5BC5" w14:textId="77777777" w:rsidR="002A0BC6" w:rsidRPr="002A0BC6" w:rsidRDefault="002A0BC6" w:rsidP="002A0BC6">
      <w:pPr>
        <w:rPr>
          <w:sz w:val="20"/>
          <w:szCs w:val="20"/>
        </w:rPr>
      </w:pPr>
      <w:r w:rsidRPr="002A0BC6">
        <w:rPr>
          <w:sz w:val="20"/>
          <w:szCs w:val="20"/>
        </w:rPr>
        <w:t xml:space="preserve">Education and training present a similarly mixed picture. On the one hand, access to primary and secondary education has improved through reforms such as the Free Quality School Education (FQSE) </w:t>
      </w:r>
      <w:proofErr w:type="spellStart"/>
      <w:r w:rsidRPr="002A0BC6">
        <w:rPr>
          <w:sz w:val="20"/>
          <w:szCs w:val="20"/>
        </w:rPr>
        <w:t>programme</w:t>
      </w:r>
      <w:proofErr w:type="spellEnd"/>
      <w:r w:rsidRPr="002A0BC6">
        <w:rPr>
          <w:sz w:val="20"/>
          <w:szCs w:val="20"/>
        </w:rPr>
        <w:t xml:space="preserve">, supported by school feeding and learning materials (United Nations Sierra Leone, 2024). On the other hand, significant gaps remain, particularly in rural areas. Literacy levels among cocoa farmers are low, estimated at around 35–40%, and most producers have only primary or no formal education (MAF, 2019; </w:t>
      </w:r>
      <w:proofErr w:type="spellStart"/>
      <w:r w:rsidRPr="002A0BC6">
        <w:rPr>
          <w:sz w:val="20"/>
          <w:szCs w:val="20"/>
        </w:rPr>
        <w:t>Moinina</w:t>
      </w:r>
      <w:proofErr w:type="spellEnd"/>
      <w:r w:rsidRPr="002A0BC6">
        <w:rPr>
          <w:sz w:val="20"/>
          <w:szCs w:val="20"/>
        </w:rPr>
        <w:t xml:space="preserve"> et al., 2023). Field evidence confirms that many farmers do not keep records of production or income, limiting their ability to engage effectively with markets and manage their farms. These constraints are more pronounced among women, whose lower literacy levels further restrict access to information, training, and decision-making opportunities.</w:t>
      </w:r>
    </w:p>
    <w:p w14:paraId="766C415F" w14:textId="77777777" w:rsidR="002A0BC6" w:rsidRPr="002A0BC6" w:rsidRDefault="002A0BC6" w:rsidP="002A0BC6">
      <w:pPr>
        <w:rPr>
          <w:sz w:val="20"/>
          <w:szCs w:val="20"/>
        </w:rPr>
      </w:pPr>
    </w:p>
    <w:p w14:paraId="3214CB2E" w14:textId="35BB509E" w:rsidR="002A0BC6" w:rsidRPr="002A0BC6" w:rsidRDefault="002A0BC6" w:rsidP="002A0BC6">
      <w:pPr>
        <w:rPr>
          <w:sz w:val="20"/>
          <w:szCs w:val="20"/>
        </w:rPr>
      </w:pPr>
      <w:r w:rsidRPr="002A0BC6">
        <w:rPr>
          <w:sz w:val="20"/>
          <w:szCs w:val="20"/>
        </w:rPr>
        <w:t>While primary education is generally available and valued by farmers, access remains financially constrained in practice. Households consistently report that school</w:t>
      </w:r>
      <w:r w:rsidR="005A4F07">
        <w:rPr>
          <w:sz w:val="20"/>
          <w:szCs w:val="20"/>
        </w:rPr>
        <w:t>-related</w:t>
      </w:r>
      <w:r w:rsidRPr="002A0BC6">
        <w:rPr>
          <w:sz w:val="20"/>
          <w:szCs w:val="20"/>
        </w:rPr>
        <w:t xml:space="preserve"> fees are a major expenditure</w:t>
      </w:r>
      <w:r w:rsidR="005A4F07">
        <w:rPr>
          <w:sz w:val="20"/>
          <w:szCs w:val="20"/>
        </w:rPr>
        <w:t xml:space="preserve"> and a</w:t>
      </w:r>
      <w:r w:rsidR="001C487F">
        <w:rPr>
          <w:sz w:val="20"/>
          <w:szCs w:val="20"/>
        </w:rPr>
        <w:t>re covered with cocoa income</w:t>
      </w:r>
      <w:r w:rsidRPr="002A0BC6">
        <w:rPr>
          <w:sz w:val="20"/>
          <w:szCs w:val="20"/>
        </w:rPr>
        <w:t xml:space="preserve">. In some cooperative and project-driven contexts, improved school attendance and reduced </w:t>
      </w:r>
      <w:r w:rsidR="0008782F">
        <w:rPr>
          <w:sz w:val="20"/>
          <w:szCs w:val="20"/>
        </w:rPr>
        <w:t>in</w:t>
      </w:r>
      <w:r w:rsidR="00053DAE">
        <w:rPr>
          <w:sz w:val="20"/>
          <w:szCs w:val="20"/>
        </w:rPr>
        <w:t xml:space="preserve">trahousehold </w:t>
      </w:r>
      <w:r w:rsidRPr="002A0BC6">
        <w:rPr>
          <w:sz w:val="20"/>
          <w:szCs w:val="20"/>
        </w:rPr>
        <w:t xml:space="preserve">child </w:t>
      </w:r>
      <w:proofErr w:type="spellStart"/>
      <w:r w:rsidRPr="002A0BC6">
        <w:rPr>
          <w:sz w:val="20"/>
          <w:szCs w:val="20"/>
        </w:rPr>
        <w:t>labour</w:t>
      </w:r>
      <w:proofErr w:type="spellEnd"/>
      <w:r w:rsidRPr="002A0BC6">
        <w:rPr>
          <w:sz w:val="20"/>
          <w:szCs w:val="20"/>
        </w:rPr>
        <w:t xml:space="preserve"> are reported, suggesting that </w:t>
      </w:r>
      <w:proofErr w:type="spellStart"/>
      <w:r w:rsidRPr="002A0BC6">
        <w:rPr>
          <w:sz w:val="20"/>
          <w:szCs w:val="20"/>
        </w:rPr>
        <w:t>organisational</w:t>
      </w:r>
      <w:proofErr w:type="spellEnd"/>
      <w:r w:rsidRPr="002A0BC6">
        <w:rPr>
          <w:sz w:val="20"/>
          <w:szCs w:val="20"/>
        </w:rPr>
        <w:t xml:space="preserve"> support can enhance outcomes. However, secondary and vocational education remain significantly less accessible. There is no well-established national system for cocoa-related technical training, and existing opportunities are limited, project-based, and unevenly distributed (MAFS, 2024; Welthungerhilfe Sierra Leone, n.d.). This limits the development of the skills necessary to improve productivity and sustainability in the value chain.</w:t>
      </w:r>
    </w:p>
    <w:p w14:paraId="62C36C51" w14:textId="77777777" w:rsidR="002A0BC6" w:rsidRPr="002A0BC6" w:rsidRDefault="002A0BC6" w:rsidP="002A0BC6">
      <w:pPr>
        <w:rPr>
          <w:sz w:val="20"/>
          <w:szCs w:val="20"/>
        </w:rPr>
      </w:pPr>
    </w:p>
    <w:p w14:paraId="7E1F39A3" w14:textId="77777777" w:rsidR="002A0BC6" w:rsidRPr="002A0BC6" w:rsidRDefault="002A0BC6" w:rsidP="002A0BC6">
      <w:pPr>
        <w:rPr>
          <w:sz w:val="20"/>
          <w:szCs w:val="20"/>
        </w:rPr>
      </w:pPr>
      <w:r w:rsidRPr="002A0BC6">
        <w:rPr>
          <w:sz w:val="20"/>
          <w:szCs w:val="20"/>
        </w:rPr>
        <w:t xml:space="preserve">Informal vocational training within the CVC exists but is largely fragmented and externally driven. Training </w:t>
      </w:r>
      <w:proofErr w:type="spellStart"/>
      <w:r w:rsidRPr="002A0BC6">
        <w:rPr>
          <w:sz w:val="20"/>
          <w:szCs w:val="20"/>
        </w:rPr>
        <w:t>programmes</w:t>
      </w:r>
      <w:proofErr w:type="spellEnd"/>
      <w:r w:rsidRPr="002A0BC6">
        <w:rPr>
          <w:sz w:val="20"/>
          <w:szCs w:val="20"/>
        </w:rPr>
        <w:t xml:space="preserve"> focus on agricultural practices, post-harvest handling, and certification requirements, but their coverage and long-term impact are uneven. KIIs findings suggest that training does not always translate into sustained practice or </w:t>
      </w:r>
      <w:proofErr w:type="spellStart"/>
      <w:r w:rsidRPr="002A0BC6">
        <w:rPr>
          <w:sz w:val="20"/>
          <w:szCs w:val="20"/>
        </w:rPr>
        <w:t>organisational</w:t>
      </w:r>
      <w:proofErr w:type="spellEnd"/>
      <w:r w:rsidRPr="002A0BC6">
        <w:rPr>
          <w:sz w:val="20"/>
          <w:szCs w:val="20"/>
        </w:rPr>
        <w:t xml:space="preserve"> strengthening. As a result, education and training systems do not yet provide the skills base required for a more productive and resilient CVC, particularly for youth, who often seek alternative livelihoods outside the sector.</w:t>
      </w:r>
    </w:p>
    <w:p w14:paraId="0EF316BB" w14:textId="77777777" w:rsidR="002A0BC6" w:rsidRPr="002A0BC6" w:rsidRDefault="002A0BC6" w:rsidP="002A0BC6">
      <w:pPr>
        <w:rPr>
          <w:sz w:val="20"/>
          <w:szCs w:val="20"/>
        </w:rPr>
      </w:pPr>
    </w:p>
    <w:p w14:paraId="1EBBC8CC" w14:textId="77777777" w:rsidR="002A0BC6" w:rsidRPr="002A0BC6" w:rsidRDefault="002A0BC6" w:rsidP="002A0BC6">
      <w:pPr>
        <w:rPr>
          <w:sz w:val="20"/>
          <w:szCs w:val="20"/>
        </w:rPr>
      </w:pPr>
      <w:r w:rsidRPr="002A0BC6">
        <w:rPr>
          <w:sz w:val="20"/>
          <w:szCs w:val="20"/>
        </w:rPr>
        <w:t xml:space="preserve">Mobility emerges as a critical cross-cutting constraint affecting all aspects of living conditions. Poor feeder roads and transport systems, particularly during the rainy season, limit access to markets, health services, inputs, </w:t>
      </w:r>
      <w:proofErr w:type="spellStart"/>
      <w:r w:rsidRPr="002A0BC6">
        <w:rPr>
          <w:sz w:val="20"/>
          <w:szCs w:val="20"/>
        </w:rPr>
        <w:t>labour</w:t>
      </w:r>
      <w:proofErr w:type="spellEnd"/>
      <w:r w:rsidRPr="002A0BC6">
        <w:rPr>
          <w:sz w:val="20"/>
          <w:szCs w:val="20"/>
        </w:rPr>
        <w:t>, and education. All sources - policy (MAFS, 2024), literature (</w:t>
      </w:r>
      <w:proofErr w:type="spellStart"/>
      <w:r w:rsidRPr="002A0BC6">
        <w:rPr>
          <w:sz w:val="20"/>
          <w:szCs w:val="20"/>
        </w:rPr>
        <w:t>TrustAfrica</w:t>
      </w:r>
      <w:proofErr w:type="spellEnd"/>
      <w:r w:rsidRPr="002A0BC6">
        <w:rPr>
          <w:sz w:val="20"/>
          <w:szCs w:val="20"/>
        </w:rPr>
        <w:t xml:space="preserve">, 2024) and field evidence - highlight infrastructure as a major bottleneck.  Interviewed farmers report that transport from farms to collection points often relies on motorbikes, and poor road conditions increase costs and delays. This results in a system where mobility is costly, </w:t>
      </w:r>
      <w:r w:rsidRPr="002A0BC6">
        <w:rPr>
          <w:sz w:val="20"/>
          <w:szCs w:val="20"/>
        </w:rPr>
        <w:lastRenderedPageBreak/>
        <w:t>seasonal, and unreliable, directly affecting household welfare and economic opportunities. Limited mobility also reinforces dependence on local buyers and reduces access to alternative markets, thereby affecting income levels and bargaining power.</w:t>
      </w:r>
    </w:p>
    <w:p w14:paraId="2512EAD1" w14:textId="77777777" w:rsidR="002A0BC6" w:rsidRPr="002A0BC6" w:rsidRDefault="002A0BC6" w:rsidP="002A0BC6">
      <w:pPr>
        <w:rPr>
          <w:sz w:val="20"/>
          <w:szCs w:val="20"/>
        </w:rPr>
      </w:pPr>
    </w:p>
    <w:p w14:paraId="61C709F3" w14:textId="77777777" w:rsidR="002A0BC6" w:rsidRPr="002A0BC6" w:rsidRDefault="002A0BC6" w:rsidP="002A0BC6">
      <w:pPr>
        <w:rPr>
          <w:sz w:val="20"/>
          <w:szCs w:val="20"/>
        </w:rPr>
      </w:pPr>
      <w:r w:rsidRPr="002A0BC6">
        <w:rPr>
          <w:sz w:val="20"/>
          <w:szCs w:val="20"/>
        </w:rPr>
        <w:t>Across all dimensions, living conditions are shaped by the interaction between income constraints, weak service provision, and infrastructural limitations. While cocoa income is used to finance essential needs such as health, education, and housing, it is often insufficient and unstable, limiting households’ ability to achieve sustained improvements in living standards. As a result, improvements in one area are often offset by constraints in others, creating a cycle of vulnerability.</w:t>
      </w:r>
    </w:p>
    <w:p w14:paraId="2BD587B2" w14:textId="77777777" w:rsidR="002A0BC6" w:rsidRPr="002A0BC6" w:rsidRDefault="002A0BC6" w:rsidP="002A0BC6">
      <w:pPr>
        <w:rPr>
          <w:sz w:val="20"/>
          <w:szCs w:val="20"/>
        </w:rPr>
      </w:pPr>
    </w:p>
    <w:p w14:paraId="39C37807" w14:textId="77777777" w:rsidR="002A0BC6" w:rsidRDefault="002A0BC6" w:rsidP="002A0BC6">
      <w:pPr>
        <w:rPr>
          <w:sz w:val="20"/>
          <w:szCs w:val="20"/>
        </w:rPr>
      </w:pPr>
      <w:r w:rsidRPr="002A0BC6">
        <w:rPr>
          <w:sz w:val="20"/>
          <w:szCs w:val="20"/>
        </w:rPr>
        <w:t xml:space="preserve">In conclusion, living conditions in the CVC are low and structurally constrained, </w:t>
      </w:r>
      <w:proofErr w:type="spellStart"/>
      <w:r w:rsidRPr="002A0BC6">
        <w:rPr>
          <w:sz w:val="20"/>
          <w:szCs w:val="20"/>
        </w:rPr>
        <w:t>characterised</w:t>
      </w:r>
      <w:proofErr w:type="spellEnd"/>
      <w:r w:rsidRPr="002A0BC6">
        <w:rPr>
          <w:sz w:val="20"/>
          <w:szCs w:val="20"/>
        </w:rPr>
        <w:t xml:space="preserve"> by limited access to services, high costs, and strong spatial and seasonal inequalities. While policy frameworks and targeted interventions offer important entry points for improvement, they have not yet </w:t>
      </w:r>
      <w:proofErr w:type="gramStart"/>
      <w:r w:rsidRPr="002A0BC6">
        <w:rPr>
          <w:sz w:val="20"/>
          <w:szCs w:val="20"/>
        </w:rPr>
        <w:t>translated</w:t>
      </w:r>
      <w:proofErr w:type="gramEnd"/>
      <w:r w:rsidRPr="002A0BC6">
        <w:rPr>
          <w:sz w:val="20"/>
          <w:szCs w:val="20"/>
        </w:rPr>
        <w:t xml:space="preserve"> into consistent, adequate service provision for cocoa-growing households. Achieving improved living conditions will require a systemic approach that combines income growth with investments in rural infrastructure, health, education, water and sanitation, and transport systems. Without addressing these interconnected constraints, living conditions will continue to limit both household resilience and the overall social sustainability of the value chain.</w:t>
      </w:r>
    </w:p>
    <w:p w14:paraId="08B4A972" w14:textId="77777777" w:rsidR="00844BB4" w:rsidRPr="002A0BC6" w:rsidRDefault="00844BB4" w:rsidP="002A0BC6">
      <w:pPr>
        <w:rPr>
          <w:sz w:val="20"/>
          <w:szCs w:val="20"/>
        </w:rPr>
      </w:pPr>
    </w:p>
    <w:p w14:paraId="06B57221" w14:textId="5BA70F32" w:rsidR="00F84CA9" w:rsidRDefault="00F84CA9" w:rsidP="00F84CA9">
      <w:pPr>
        <w:pStyle w:val="Caption"/>
        <w:keepNext/>
        <w:jc w:val="center"/>
      </w:pPr>
      <w:bookmarkStart w:id="151" w:name="_Toc228701084"/>
      <w:r>
        <w:t xml:space="preserve">Table </w:t>
      </w:r>
      <w:fldSimple w:instr=" STYLEREF 1 \s ">
        <w:r w:rsidR="006C1C4E">
          <w:rPr>
            <w:noProof/>
          </w:rPr>
          <w:t>4</w:t>
        </w:r>
      </w:fldSimple>
      <w:r w:rsidR="006C1C4E">
        <w:noBreakHyphen/>
      </w:r>
      <w:fldSimple w:instr=" SEQ Table \* ARABIC \s 1 ">
        <w:r w:rsidR="006C1C4E">
          <w:rPr>
            <w:noProof/>
          </w:rPr>
          <w:t>6</w:t>
        </w:r>
      </w:fldSimple>
      <w:r>
        <w:t xml:space="preserve"> </w:t>
      </w:r>
      <w:r w:rsidRPr="006C4C72">
        <w:t>Assessment of Living Conditions</w:t>
      </w:r>
      <w:bookmarkEnd w:id="151"/>
    </w:p>
    <w:tbl>
      <w:tblPr>
        <w:tblStyle w:val="TableGrid"/>
        <w:tblW w:w="0" w:type="auto"/>
        <w:jc w:val="center"/>
        <w:tblLook w:val="04A0" w:firstRow="1" w:lastRow="0" w:firstColumn="1" w:lastColumn="0" w:noHBand="0" w:noVBand="1"/>
      </w:tblPr>
      <w:tblGrid>
        <w:gridCol w:w="2547"/>
        <w:gridCol w:w="1961"/>
      </w:tblGrid>
      <w:tr w:rsidR="002A0BC6" w:rsidRPr="0079547A" w14:paraId="58A4562E" w14:textId="77777777" w:rsidTr="00930C4A">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31886556" w14:textId="77777777" w:rsidR="002A0BC6" w:rsidRPr="0079547A" w:rsidRDefault="002A0BC6" w:rsidP="00930C4A">
            <w:pPr>
              <w:rPr>
                <w:bCs/>
                <w:lang w:val="tr-TR"/>
              </w:rPr>
            </w:pPr>
            <w:r>
              <w:rPr>
                <w:bCs/>
                <w:lang w:val="tr-TR"/>
              </w:rPr>
              <w:t>Living Conditions</w:t>
            </w:r>
          </w:p>
        </w:tc>
      </w:tr>
      <w:tr w:rsidR="002A0BC6" w:rsidRPr="0079547A" w14:paraId="229AD954" w14:textId="77777777" w:rsidTr="00930C4A">
        <w:trPr>
          <w:jc w:val="center"/>
        </w:trPr>
        <w:tc>
          <w:tcPr>
            <w:tcW w:w="2547" w:type="dxa"/>
          </w:tcPr>
          <w:p w14:paraId="338AF68F" w14:textId="77777777" w:rsidR="002A0BC6" w:rsidRPr="0079547A" w:rsidRDefault="002A0BC6" w:rsidP="00930C4A">
            <w:pPr>
              <w:rPr>
                <w:lang w:val="tr-TR"/>
              </w:rPr>
            </w:pPr>
            <w:r>
              <w:rPr>
                <w:lang w:val="tr-TR"/>
              </w:rPr>
              <w:t>Health services</w:t>
            </w:r>
          </w:p>
        </w:tc>
        <w:tc>
          <w:tcPr>
            <w:tcW w:w="1961" w:type="dxa"/>
            <w:shd w:val="clear" w:color="auto" w:fill="FFC000"/>
          </w:tcPr>
          <w:p w14:paraId="7521893D" w14:textId="77777777" w:rsidR="002A0BC6" w:rsidRPr="0079547A" w:rsidRDefault="002A0BC6" w:rsidP="00930C4A">
            <w:pPr>
              <w:rPr>
                <w:lang w:val="tr-TR"/>
              </w:rPr>
            </w:pPr>
          </w:p>
        </w:tc>
      </w:tr>
      <w:tr w:rsidR="002A0BC6" w:rsidRPr="00863E9E" w14:paraId="69A6D0EA" w14:textId="77777777" w:rsidTr="00930C4A">
        <w:trPr>
          <w:jc w:val="center"/>
        </w:trPr>
        <w:tc>
          <w:tcPr>
            <w:tcW w:w="2547" w:type="dxa"/>
          </w:tcPr>
          <w:p w14:paraId="29904236" w14:textId="77777777" w:rsidR="002A0BC6" w:rsidRPr="0079547A" w:rsidRDefault="002A0BC6" w:rsidP="00930C4A">
            <w:pPr>
              <w:rPr>
                <w:lang w:val="tr-TR"/>
              </w:rPr>
            </w:pPr>
            <w:r>
              <w:rPr>
                <w:lang w:val="tr-TR"/>
              </w:rPr>
              <w:t>Housing</w:t>
            </w:r>
            <w:r w:rsidRPr="0079547A">
              <w:rPr>
                <w:lang w:val="tr-TR"/>
              </w:rPr>
              <w:t xml:space="preserve"> </w:t>
            </w:r>
          </w:p>
        </w:tc>
        <w:tc>
          <w:tcPr>
            <w:tcW w:w="1961" w:type="dxa"/>
            <w:shd w:val="clear" w:color="auto" w:fill="FFC000"/>
          </w:tcPr>
          <w:p w14:paraId="1E48CB2A" w14:textId="77777777" w:rsidR="002A0BC6" w:rsidRPr="0079547A" w:rsidRDefault="002A0BC6" w:rsidP="00930C4A">
            <w:pPr>
              <w:rPr>
                <w:lang w:val="tr-TR"/>
              </w:rPr>
            </w:pPr>
          </w:p>
        </w:tc>
      </w:tr>
      <w:tr w:rsidR="002A0BC6" w:rsidRPr="0079547A" w14:paraId="28EE042F" w14:textId="77777777" w:rsidTr="00930C4A">
        <w:trPr>
          <w:jc w:val="center"/>
        </w:trPr>
        <w:tc>
          <w:tcPr>
            <w:tcW w:w="2547" w:type="dxa"/>
          </w:tcPr>
          <w:p w14:paraId="3FA985DD" w14:textId="77777777" w:rsidR="002A0BC6" w:rsidRPr="0079547A" w:rsidRDefault="002A0BC6" w:rsidP="00930C4A">
            <w:pPr>
              <w:rPr>
                <w:lang w:val="tr-TR"/>
              </w:rPr>
            </w:pPr>
            <w:r>
              <w:rPr>
                <w:lang w:val="tr-TR"/>
              </w:rPr>
              <w:t>Education and training</w:t>
            </w:r>
          </w:p>
        </w:tc>
        <w:tc>
          <w:tcPr>
            <w:tcW w:w="1961" w:type="dxa"/>
            <w:shd w:val="clear" w:color="auto" w:fill="FFC000"/>
          </w:tcPr>
          <w:p w14:paraId="6581357E" w14:textId="77777777" w:rsidR="002A0BC6" w:rsidRPr="0079547A" w:rsidRDefault="002A0BC6" w:rsidP="00930C4A">
            <w:pPr>
              <w:rPr>
                <w:b/>
                <w:bCs/>
                <w:lang w:val="en-GB"/>
              </w:rPr>
            </w:pPr>
          </w:p>
        </w:tc>
      </w:tr>
      <w:tr w:rsidR="002A0BC6" w:rsidRPr="0079547A" w14:paraId="6EB07725" w14:textId="77777777" w:rsidTr="00930C4A">
        <w:trPr>
          <w:jc w:val="center"/>
        </w:trPr>
        <w:tc>
          <w:tcPr>
            <w:tcW w:w="2547" w:type="dxa"/>
          </w:tcPr>
          <w:p w14:paraId="4E2337A5" w14:textId="77777777" w:rsidR="002A0BC6" w:rsidRPr="0079547A" w:rsidRDefault="002A0BC6" w:rsidP="00930C4A">
            <w:pPr>
              <w:rPr>
                <w:lang w:val="tr-TR"/>
              </w:rPr>
            </w:pPr>
            <w:r>
              <w:rPr>
                <w:lang w:val="tr-TR"/>
              </w:rPr>
              <w:t>Mobility</w:t>
            </w:r>
          </w:p>
        </w:tc>
        <w:tc>
          <w:tcPr>
            <w:tcW w:w="1961" w:type="dxa"/>
            <w:shd w:val="clear" w:color="auto" w:fill="EE0000"/>
          </w:tcPr>
          <w:p w14:paraId="381A941A" w14:textId="77777777" w:rsidR="002A0BC6" w:rsidRPr="0079547A" w:rsidRDefault="002A0BC6" w:rsidP="00930C4A">
            <w:pPr>
              <w:rPr>
                <w:b/>
                <w:bCs/>
                <w:lang w:val="en-GB"/>
              </w:rPr>
            </w:pPr>
          </w:p>
        </w:tc>
      </w:tr>
    </w:tbl>
    <w:p w14:paraId="02D7AE25" w14:textId="77777777" w:rsidR="002A0BC6" w:rsidRPr="0079547A" w:rsidRDefault="002A0BC6" w:rsidP="002A0BC6"/>
    <w:p w14:paraId="274083E8" w14:textId="77777777" w:rsidR="002A0BC6" w:rsidRPr="00726E05" w:rsidRDefault="002A0BC6" w:rsidP="002A0BC6"/>
    <w:p w14:paraId="4C3D9902" w14:textId="762E9001" w:rsidR="00D93D57" w:rsidRDefault="002A0BC6" w:rsidP="0009216E">
      <w:pPr>
        <w:pStyle w:val="Heading2"/>
      </w:pPr>
      <w:bookmarkStart w:id="152" w:name="_Toc228701036"/>
      <w:r>
        <w:t>Answer to the Framing Question 3</w:t>
      </w:r>
      <w:r w:rsidR="00D93D57" w:rsidRPr="0009216E">
        <w:t xml:space="preserve">: </w:t>
      </w:r>
      <w:r>
        <w:t>Is the value chain socially sustainable?</w:t>
      </w:r>
      <w:bookmarkEnd w:id="152"/>
      <w:r w:rsidR="00D93D57" w:rsidRPr="0009216E">
        <w:t xml:space="preserve"> </w:t>
      </w:r>
    </w:p>
    <w:p w14:paraId="196BC7EE" w14:textId="67AB6D4D" w:rsidR="00F126A0" w:rsidRPr="00F126A0" w:rsidRDefault="00F126A0" w:rsidP="00F126A0">
      <w:pPr>
        <w:rPr>
          <w:sz w:val="20"/>
          <w:szCs w:val="20"/>
        </w:rPr>
      </w:pPr>
      <w:r w:rsidRPr="00F126A0">
        <w:rPr>
          <w:sz w:val="20"/>
          <w:szCs w:val="20"/>
        </w:rPr>
        <w:t xml:space="preserve">Our analysis suggests that the CVC is not yet socially sustainable, though it has made progress and shows potential. The radar </w:t>
      </w:r>
      <w:r w:rsidRPr="007D0D31">
        <w:rPr>
          <w:sz w:val="20"/>
          <w:szCs w:val="20"/>
        </w:rPr>
        <w:t xml:space="preserve">chart </w:t>
      </w:r>
      <w:r w:rsidR="00371560" w:rsidRPr="007D0D31">
        <w:rPr>
          <w:sz w:val="20"/>
          <w:szCs w:val="20"/>
        </w:rPr>
        <w:t>(</w:t>
      </w:r>
      <w:r w:rsidR="00371560" w:rsidRPr="007D0D31">
        <w:rPr>
          <w:sz w:val="20"/>
          <w:szCs w:val="20"/>
        </w:rPr>
        <w:fldChar w:fldCharType="begin"/>
      </w:r>
      <w:r w:rsidR="00371560" w:rsidRPr="007D0D31">
        <w:rPr>
          <w:sz w:val="20"/>
          <w:szCs w:val="20"/>
        </w:rPr>
        <w:instrText xml:space="preserve"> REF _Ref227060497 \h </w:instrText>
      </w:r>
      <w:r w:rsidR="007D0D31">
        <w:rPr>
          <w:sz w:val="20"/>
          <w:szCs w:val="20"/>
        </w:rPr>
        <w:instrText xml:space="preserve"> \* MERGEFORMAT </w:instrText>
      </w:r>
      <w:r w:rsidR="00371560" w:rsidRPr="007D0D31">
        <w:rPr>
          <w:sz w:val="20"/>
          <w:szCs w:val="20"/>
        </w:rPr>
      </w:r>
      <w:r w:rsidR="00371560" w:rsidRPr="007D0D31">
        <w:rPr>
          <w:sz w:val="20"/>
          <w:szCs w:val="20"/>
        </w:rPr>
        <w:fldChar w:fldCharType="separate"/>
      </w:r>
      <w:r w:rsidR="00371560" w:rsidRPr="001F42F7">
        <w:rPr>
          <w:sz w:val="20"/>
          <w:szCs w:val="20"/>
        </w:rPr>
        <w:t xml:space="preserve">Figure </w:t>
      </w:r>
      <w:r w:rsidR="00371560" w:rsidRPr="001F42F7">
        <w:rPr>
          <w:noProof/>
          <w:sz w:val="20"/>
          <w:szCs w:val="20"/>
        </w:rPr>
        <w:t>4</w:t>
      </w:r>
      <w:r w:rsidR="00371560" w:rsidRPr="001F42F7">
        <w:rPr>
          <w:sz w:val="20"/>
          <w:szCs w:val="20"/>
        </w:rPr>
        <w:t>.</w:t>
      </w:r>
      <w:r w:rsidR="00371560" w:rsidRPr="001F42F7">
        <w:rPr>
          <w:noProof/>
          <w:sz w:val="20"/>
          <w:szCs w:val="20"/>
        </w:rPr>
        <w:t>1</w:t>
      </w:r>
      <w:r w:rsidR="00371560" w:rsidRPr="007D0D31">
        <w:rPr>
          <w:sz w:val="20"/>
          <w:szCs w:val="20"/>
        </w:rPr>
        <w:fldChar w:fldCharType="end"/>
      </w:r>
      <w:r w:rsidRPr="007D0D31">
        <w:rPr>
          <w:sz w:val="20"/>
          <w:szCs w:val="20"/>
        </w:rPr>
        <w:t>)</w:t>
      </w:r>
      <w:r w:rsidRPr="00F126A0">
        <w:rPr>
          <w:sz w:val="20"/>
          <w:szCs w:val="20"/>
        </w:rPr>
        <w:t xml:space="preserve"> reflects a structurally unbalanced system, where moderate performance in land governance and social capital coexists with weak outcomes in working conditions, gender equality, food security, and living conditions. This is consistent with a value chain that is legally improving but remains constrained by low incomes, informality, and a weak rural service system.</w:t>
      </w:r>
    </w:p>
    <w:p w14:paraId="56E1C4F5" w14:textId="77777777" w:rsidR="00F126A0" w:rsidRPr="00F126A0" w:rsidRDefault="00F126A0" w:rsidP="00F126A0">
      <w:pPr>
        <w:rPr>
          <w:sz w:val="20"/>
          <w:szCs w:val="20"/>
        </w:rPr>
      </w:pPr>
    </w:p>
    <w:p w14:paraId="2E4DE07E" w14:textId="77777777" w:rsidR="00F126A0" w:rsidRPr="00F126A0" w:rsidRDefault="00F126A0" w:rsidP="00F126A0">
      <w:pPr>
        <w:rPr>
          <w:sz w:val="20"/>
          <w:szCs w:val="20"/>
        </w:rPr>
      </w:pPr>
      <w:r w:rsidRPr="00F126A0">
        <w:rPr>
          <w:sz w:val="20"/>
          <w:szCs w:val="20"/>
        </w:rPr>
        <w:t xml:space="preserve">At the macro level, the sector benefits from a relatively strong legal and policy framework, but implementation remains limited and governance fragmented between formal and customary systems. Market </w:t>
      </w:r>
      <w:proofErr w:type="spellStart"/>
      <w:r w:rsidRPr="00F126A0">
        <w:rPr>
          <w:sz w:val="20"/>
          <w:szCs w:val="20"/>
        </w:rPr>
        <w:t>organisation</w:t>
      </w:r>
      <w:proofErr w:type="spellEnd"/>
      <w:r w:rsidRPr="00F126A0">
        <w:rPr>
          <w:sz w:val="20"/>
          <w:szCs w:val="20"/>
        </w:rPr>
        <w:t xml:space="preserve"> is weak, with no </w:t>
      </w:r>
      <w:proofErr w:type="spellStart"/>
      <w:r w:rsidRPr="00F126A0">
        <w:rPr>
          <w:sz w:val="20"/>
          <w:szCs w:val="20"/>
        </w:rPr>
        <w:t>standardised</w:t>
      </w:r>
      <w:proofErr w:type="spellEnd"/>
      <w:r w:rsidRPr="00F126A0">
        <w:rPr>
          <w:sz w:val="20"/>
          <w:szCs w:val="20"/>
        </w:rPr>
        <w:t xml:space="preserve"> pricing, limited transparency, and low coordination among actors. Infrastructure and rural services, particularly roads, health, and extension, remain underdeveloped, constraining access to markets and basic services.</w:t>
      </w:r>
    </w:p>
    <w:p w14:paraId="7CAA146A" w14:textId="77777777" w:rsidR="00F126A0" w:rsidRPr="00F126A0" w:rsidRDefault="00F126A0" w:rsidP="00F126A0">
      <w:pPr>
        <w:rPr>
          <w:sz w:val="20"/>
          <w:szCs w:val="20"/>
        </w:rPr>
      </w:pPr>
    </w:p>
    <w:p w14:paraId="23DE3420" w14:textId="0792F87C" w:rsidR="00F126A0" w:rsidRPr="00F126A0" w:rsidRDefault="00F126A0" w:rsidP="00F126A0">
      <w:pPr>
        <w:rPr>
          <w:sz w:val="20"/>
          <w:szCs w:val="20"/>
        </w:rPr>
      </w:pPr>
      <w:r w:rsidRPr="00F126A0">
        <w:rPr>
          <w:sz w:val="20"/>
          <w:szCs w:val="20"/>
        </w:rPr>
        <w:t xml:space="preserve">The CVC is </w:t>
      </w:r>
      <w:proofErr w:type="spellStart"/>
      <w:r w:rsidRPr="00F126A0">
        <w:rPr>
          <w:sz w:val="20"/>
          <w:szCs w:val="20"/>
        </w:rPr>
        <w:t>characterised</w:t>
      </w:r>
      <w:proofErr w:type="spellEnd"/>
      <w:r w:rsidRPr="00F126A0">
        <w:rPr>
          <w:sz w:val="20"/>
          <w:szCs w:val="20"/>
        </w:rPr>
        <w:t xml:space="preserve"> by a hybrid structure in which cooperatives coexist with dominant informal trading systems. While membership and trust are relatively strong, their ability to influence prices or coordinate markets remains limited. Farmers operate under buyer-driven conditions with weak bargaining power and limited access to reliable information. Informality persists, occupational safety is weak, and </w:t>
      </w:r>
      <w:r w:rsidR="00053DAE">
        <w:rPr>
          <w:sz w:val="20"/>
          <w:szCs w:val="20"/>
        </w:rPr>
        <w:t>intra</w:t>
      </w:r>
      <w:r w:rsidR="00423826">
        <w:rPr>
          <w:sz w:val="20"/>
          <w:szCs w:val="20"/>
        </w:rPr>
        <w:t>-</w:t>
      </w:r>
      <w:r w:rsidR="00053DAE">
        <w:rPr>
          <w:sz w:val="20"/>
          <w:szCs w:val="20"/>
        </w:rPr>
        <w:t>household work of children/</w:t>
      </w:r>
      <w:r w:rsidRPr="00F126A0">
        <w:rPr>
          <w:sz w:val="20"/>
          <w:szCs w:val="20"/>
        </w:rPr>
        <w:t xml:space="preserve">child </w:t>
      </w:r>
      <w:proofErr w:type="spellStart"/>
      <w:r w:rsidRPr="00F126A0">
        <w:rPr>
          <w:sz w:val="20"/>
          <w:szCs w:val="20"/>
        </w:rPr>
        <w:t>labour</w:t>
      </w:r>
      <w:proofErr w:type="spellEnd"/>
      <w:r w:rsidRPr="00F126A0">
        <w:rPr>
          <w:sz w:val="20"/>
          <w:szCs w:val="20"/>
        </w:rPr>
        <w:t xml:space="preserve"> remains a coping mechanism in poor and </w:t>
      </w:r>
      <w:proofErr w:type="spellStart"/>
      <w:r w:rsidRPr="00F126A0">
        <w:rPr>
          <w:sz w:val="20"/>
          <w:szCs w:val="20"/>
        </w:rPr>
        <w:t>labour</w:t>
      </w:r>
      <w:proofErr w:type="spellEnd"/>
      <w:r w:rsidRPr="00F126A0">
        <w:rPr>
          <w:sz w:val="20"/>
          <w:szCs w:val="20"/>
        </w:rPr>
        <w:t>-constrained households.</w:t>
      </w:r>
    </w:p>
    <w:p w14:paraId="1E826ECB" w14:textId="77777777" w:rsidR="00F126A0" w:rsidRPr="00F126A0" w:rsidRDefault="00F126A0" w:rsidP="00F126A0">
      <w:pPr>
        <w:rPr>
          <w:sz w:val="20"/>
          <w:szCs w:val="20"/>
        </w:rPr>
      </w:pPr>
    </w:p>
    <w:p w14:paraId="4EACA4E5" w14:textId="77777777" w:rsidR="003B44AA" w:rsidRDefault="00F126A0" w:rsidP="00F126A0">
      <w:pPr>
        <w:rPr>
          <w:sz w:val="20"/>
          <w:szCs w:val="20"/>
        </w:rPr>
      </w:pPr>
      <w:r w:rsidRPr="00F126A0">
        <w:rPr>
          <w:sz w:val="20"/>
          <w:szCs w:val="20"/>
        </w:rPr>
        <w:lastRenderedPageBreak/>
        <w:t xml:space="preserve">At the household level, the main constraints are income instability, food insecurity, and inequality. Cocoa income is central to the household economy but is insufficient and volatile, with most households unable to meet basic needs without borrowing. Food security is seasonal, with an average food shortage of 4.8 months, reliance on credit, and limited dietary diversity. </w:t>
      </w:r>
      <w:r w:rsidR="003B44AA">
        <w:rPr>
          <w:sz w:val="20"/>
          <w:szCs w:val="20"/>
        </w:rPr>
        <w:t>H</w:t>
      </w:r>
      <w:r w:rsidR="003B44AA" w:rsidRPr="003B44AA">
        <w:rPr>
          <w:sz w:val="20"/>
          <w:szCs w:val="20"/>
        </w:rPr>
        <w:t xml:space="preserve">owever, the analysis also shows that cocoa-producing districts do not exhibit a uniformly worse </w:t>
      </w:r>
      <w:r w:rsidR="003B44AA">
        <w:rPr>
          <w:sz w:val="20"/>
          <w:szCs w:val="20"/>
        </w:rPr>
        <w:t>food security profile than the national average and, in some dimensions,</w:t>
      </w:r>
      <w:r w:rsidR="003B44AA" w:rsidRPr="003B44AA">
        <w:rPr>
          <w:sz w:val="20"/>
          <w:szCs w:val="20"/>
        </w:rPr>
        <w:t xml:space="preserve"> perform slightly better, particularly in terms of dietary diversity and lower reliance on short-term coping strategies (WFP, 2024). At the same time, significant intra-district variation exists, with areas such as Kenema facing particularly high vulnerability, while others</w:t>
      </w:r>
      <w:r w:rsidR="003B44AA">
        <w:rPr>
          <w:sz w:val="20"/>
          <w:szCs w:val="20"/>
        </w:rPr>
        <w:t>, such as Kailahun,</w:t>
      </w:r>
      <w:r w:rsidR="003B44AA" w:rsidRPr="003B44AA">
        <w:rPr>
          <w:sz w:val="20"/>
          <w:szCs w:val="20"/>
        </w:rPr>
        <w:t xml:space="preserve"> perform comparatively better (WFP, 2024). This indicates that cocoa income can contribute to short-term resilience under certain </w:t>
      </w:r>
      <w:proofErr w:type="gramStart"/>
      <w:r w:rsidR="003B44AA" w:rsidRPr="003B44AA">
        <w:rPr>
          <w:sz w:val="20"/>
          <w:szCs w:val="20"/>
        </w:rPr>
        <w:t>conditions, but</w:t>
      </w:r>
      <w:proofErr w:type="gramEnd"/>
      <w:r w:rsidR="003B44AA" w:rsidRPr="003B44AA">
        <w:rPr>
          <w:sz w:val="20"/>
          <w:szCs w:val="20"/>
        </w:rPr>
        <w:t xml:space="preserve"> does not guarantee improved food security outcomes.</w:t>
      </w:r>
      <w:r w:rsidR="003B44AA">
        <w:rPr>
          <w:sz w:val="20"/>
          <w:szCs w:val="20"/>
        </w:rPr>
        <w:t xml:space="preserve"> </w:t>
      </w:r>
    </w:p>
    <w:p w14:paraId="2D70FA79" w14:textId="77777777" w:rsidR="003B44AA" w:rsidRDefault="003B44AA" w:rsidP="00F126A0">
      <w:pPr>
        <w:rPr>
          <w:sz w:val="20"/>
          <w:szCs w:val="20"/>
        </w:rPr>
      </w:pPr>
    </w:p>
    <w:p w14:paraId="0CE119F2" w14:textId="65F97100" w:rsidR="00F126A0" w:rsidRPr="00F126A0" w:rsidRDefault="00F126A0" w:rsidP="00F126A0">
      <w:pPr>
        <w:rPr>
          <w:sz w:val="20"/>
          <w:szCs w:val="20"/>
        </w:rPr>
      </w:pPr>
      <w:r w:rsidRPr="00F126A0">
        <w:rPr>
          <w:sz w:val="20"/>
          <w:szCs w:val="20"/>
        </w:rPr>
        <w:t>Gender inequality remains structural, with women contributing significantly but having less control over land, income, and decision-making, while carrying heavier workloads. Living conditions are further constrained by limited access to health care, low literacy, inadequate sanitation, and poor mobility.</w:t>
      </w:r>
    </w:p>
    <w:p w14:paraId="32AD153C" w14:textId="77777777" w:rsidR="00F126A0" w:rsidRPr="00F126A0" w:rsidRDefault="00F126A0" w:rsidP="00F126A0">
      <w:pPr>
        <w:rPr>
          <w:sz w:val="20"/>
          <w:szCs w:val="20"/>
        </w:rPr>
      </w:pPr>
    </w:p>
    <w:p w14:paraId="35145ABE" w14:textId="77777777" w:rsidR="00F126A0" w:rsidRPr="00F126A0" w:rsidRDefault="00F126A0" w:rsidP="00F126A0">
      <w:pPr>
        <w:rPr>
          <w:sz w:val="20"/>
          <w:szCs w:val="20"/>
        </w:rPr>
      </w:pPr>
      <w:r w:rsidRPr="00F126A0">
        <w:rPr>
          <w:sz w:val="20"/>
          <w:szCs w:val="20"/>
        </w:rPr>
        <w:t xml:space="preserve">The aggregated findings demonstrate that the CVC performs moderately in participation and </w:t>
      </w:r>
      <w:proofErr w:type="spellStart"/>
      <w:r w:rsidRPr="00F126A0">
        <w:rPr>
          <w:sz w:val="20"/>
          <w:szCs w:val="20"/>
        </w:rPr>
        <w:t>organisation</w:t>
      </w:r>
      <w:proofErr w:type="spellEnd"/>
      <w:r w:rsidRPr="00F126A0">
        <w:rPr>
          <w:sz w:val="20"/>
          <w:szCs w:val="20"/>
        </w:rPr>
        <w:t xml:space="preserve">, but poorly in well-being, equity, and resilience. The key driver across all dimensions is low and unstable producer income, which reinforces vulnerability. Without addressing this, improvements in governance or </w:t>
      </w:r>
      <w:proofErr w:type="spellStart"/>
      <w:r w:rsidRPr="00F126A0">
        <w:rPr>
          <w:sz w:val="20"/>
          <w:szCs w:val="20"/>
        </w:rPr>
        <w:t>organisation</w:t>
      </w:r>
      <w:proofErr w:type="spellEnd"/>
      <w:r w:rsidRPr="00F126A0">
        <w:rPr>
          <w:sz w:val="20"/>
          <w:szCs w:val="20"/>
        </w:rPr>
        <w:t xml:space="preserve"> are unlikely to translate into social sustainability.</w:t>
      </w:r>
    </w:p>
    <w:p w14:paraId="68E9EA7C" w14:textId="77777777" w:rsidR="00F126A0" w:rsidRPr="00F126A0" w:rsidRDefault="00F126A0" w:rsidP="00F126A0">
      <w:pPr>
        <w:rPr>
          <w:sz w:val="20"/>
          <w:szCs w:val="20"/>
        </w:rPr>
      </w:pPr>
    </w:p>
    <w:p w14:paraId="70D5917A" w14:textId="39047350" w:rsidR="00F126A0" w:rsidRPr="00F126A0" w:rsidRDefault="00F126A0" w:rsidP="00F126A0">
      <w:pPr>
        <w:rPr>
          <w:sz w:val="20"/>
          <w:szCs w:val="20"/>
        </w:rPr>
      </w:pPr>
      <w:r w:rsidRPr="00F126A0">
        <w:rPr>
          <w:sz w:val="20"/>
          <w:szCs w:val="20"/>
        </w:rPr>
        <w:t xml:space="preserve">The analysis identifies clear areas for improvement. Strengthening cooperatives, improving price transparency, expanding access to finance, and investing in rural services can improve income stability. </w:t>
      </w:r>
      <w:r w:rsidR="00E23BC5" w:rsidRPr="00E23BC5">
        <w:rPr>
          <w:sz w:val="20"/>
          <w:szCs w:val="20"/>
        </w:rPr>
        <w:t xml:space="preserve">Strengthening land documentation and inclusive governance systems will also be critical to avoid future land-related conflicts as the sector develops. </w:t>
      </w:r>
      <w:r w:rsidRPr="00F126A0">
        <w:rPr>
          <w:sz w:val="20"/>
          <w:szCs w:val="20"/>
        </w:rPr>
        <w:t>Targeted measures on gender equality,</w:t>
      </w:r>
      <w:r w:rsidR="00423826">
        <w:rPr>
          <w:sz w:val="20"/>
          <w:szCs w:val="20"/>
        </w:rPr>
        <w:t xml:space="preserve"> intra-household </w:t>
      </w:r>
      <w:r w:rsidRPr="00F126A0">
        <w:rPr>
          <w:sz w:val="20"/>
          <w:szCs w:val="20"/>
        </w:rPr>
        <w:t xml:space="preserve">child </w:t>
      </w:r>
      <w:proofErr w:type="spellStart"/>
      <w:r w:rsidRPr="00F126A0">
        <w:rPr>
          <w:sz w:val="20"/>
          <w:szCs w:val="20"/>
        </w:rPr>
        <w:t>labour</w:t>
      </w:r>
      <w:proofErr w:type="spellEnd"/>
      <w:r w:rsidRPr="00F126A0">
        <w:rPr>
          <w:sz w:val="20"/>
          <w:szCs w:val="20"/>
        </w:rPr>
        <w:t>, safety, and food security can reduce vulnerability. Existing local systems (VSLAs, cooperatives, customary governance) provide a basis for gradual transformation if better integrated.</w:t>
      </w:r>
    </w:p>
    <w:p w14:paraId="4C3AEDE1" w14:textId="77777777" w:rsidR="00F126A0" w:rsidRPr="00F126A0" w:rsidRDefault="00F126A0" w:rsidP="00F126A0">
      <w:pPr>
        <w:rPr>
          <w:sz w:val="20"/>
          <w:szCs w:val="20"/>
        </w:rPr>
      </w:pPr>
    </w:p>
    <w:p w14:paraId="0BC4B49F" w14:textId="77777777" w:rsidR="00F126A0" w:rsidRPr="00F126A0" w:rsidRDefault="00F126A0" w:rsidP="00F126A0">
      <w:pPr>
        <w:rPr>
          <w:sz w:val="20"/>
          <w:szCs w:val="20"/>
        </w:rPr>
      </w:pPr>
      <w:r w:rsidRPr="00F126A0">
        <w:rPr>
          <w:sz w:val="20"/>
          <w:szCs w:val="20"/>
        </w:rPr>
        <w:t xml:space="preserve">In conclusion, the CVC is </w:t>
      </w:r>
      <w:r w:rsidRPr="00F126A0">
        <w:rPr>
          <w:b/>
          <w:bCs/>
          <w:sz w:val="20"/>
          <w:szCs w:val="20"/>
        </w:rPr>
        <w:t>partially socially sustainable</w:t>
      </w:r>
      <w:r w:rsidRPr="00F126A0">
        <w:rPr>
          <w:sz w:val="20"/>
          <w:szCs w:val="20"/>
        </w:rPr>
        <w:t xml:space="preserve"> in its structure but not in its outcomes. Achieving social sustainability will require a systemic approach that addresses income, services, governance, and inclusion at the sector, value chain, and household levels.</w:t>
      </w:r>
    </w:p>
    <w:p w14:paraId="1451F01C" w14:textId="77777777" w:rsidR="00F126A0" w:rsidRDefault="00F126A0" w:rsidP="00F126A0">
      <w:pPr>
        <w:rPr>
          <w:rFonts w:eastAsia="Aptos" w:cs="Open Sans"/>
          <w:kern w:val="2"/>
          <w:sz w:val="20"/>
          <w:szCs w:val="20"/>
          <w:lang w:val="en-GB"/>
          <w14:ligatures w14:val="standardContextual"/>
        </w:rPr>
      </w:pPr>
    </w:p>
    <w:p w14:paraId="31CA5153" w14:textId="77777777" w:rsidR="00371560" w:rsidRDefault="00F126A0" w:rsidP="00371560">
      <w:pPr>
        <w:keepNext/>
        <w:spacing w:line="278" w:lineRule="auto"/>
        <w:contextualSpacing w:val="0"/>
        <w:jc w:val="center"/>
      </w:pPr>
      <w:r w:rsidRPr="00C871E2">
        <w:rPr>
          <w:rFonts w:eastAsia="Aptos" w:cs="Open Sans"/>
          <w:noProof/>
          <w:kern w:val="2"/>
          <w:sz w:val="20"/>
          <w:szCs w:val="20"/>
          <w:lang w:val="en-GB"/>
          <w14:ligatures w14:val="standardContextual"/>
        </w:rPr>
        <w:drawing>
          <wp:inline distT="0" distB="0" distL="0" distR="0" wp14:anchorId="19D19590" wp14:editId="086DB079">
            <wp:extent cx="2873066" cy="2740345"/>
            <wp:effectExtent l="0" t="0" r="3810" b="3175"/>
            <wp:docPr id="15084009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00923" name=""/>
                    <pic:cNvPicPr/>
                  </pic:nvPicPr>
                  <pic:blipFill>
                    <a:blip r:embed="rId16"/>
                    <a:stretch>
                      <a:fillRect/>
                    </a:stretch>
                  </pic:blipFill>
                  <pic:spPr>
                    <a:xfrm>
                      <a:off x="0" y="0"/>
                      <a:ext cx="2881703" cy="2748583"/>
                    </a:xfrm>
                    <a:prstGeom prst="rect">
                      <a:avLst/>
                    </a:prstGeom>
                  </pic:spPr>
                </pic:pic>
              </a:graphicData>
            </a:graphic>
          </wp:inline>
        </w:drawing>
      </w:r>
    </w:p>
    <w:p w14:paraId="26752C6D" w14:textId="4B52D414" w:rsidR="00F126A0" w:rsidRDefault="00371560" w:rsidP="00371560">
      <w:pPr>
        <w:pStyle w:val="Caption"/>
        <w:jc w:val="center"/>
      </w:pPr>
      <w:bookmarkStart w:id="153" w:name="_Ref227060497"/>
      <w:bookmarkStart w:id="154" w:name="_Toc228701114"/>
      <w:r>
        <w:t xml:space="preserve">Figure </w:t>
      </w:r>
      <w:fldSimple w:instr=" STYLEREF 1 \s ">
        <w:r w:rsidR="007306EC">
          <w:rPr>
            <w:noProof/>
          </w:rPr>
          <w:t>4</w:t>
        </w:r>
      </w:fldSimple>
      <w:r w:rsidR="007306EC">
        <w:noBreakHyphen/>
      </w:r>
      <w:fldSimple w:instr=" SEQ Figure \* ARABIC \s 1 ">
        <w:r w:rsidR="007306EC">
          <w:rPr>
            <w:noProof/>
          </w:rPr>
          <w:t>3</w:t>
        </w:r>
      </w:fldSimple>
      <w:bookmarkEnd w:id="153"/>
      <w:r>
        <w:t xml:space="preserve"> </w:t>
      </w:r>
      <w:r w:rsidRPr="00011376">
        <w:t xml:space="preserve">RADAR CHART OF THE </w:t>
      </w:r>
      <w:r w:rsidR="00F370A5">
        <w:t xml:space="preserve">COCOA </w:t>
      </w:r>
      <w:r w:rsidRPr="00011376">
        <w:t>VC SOCIAL PROFILE</w:t>
      </w:r>
      <w:bookmarkEnd w:id="154"/>
    </w:p>
    <w:p w14:paraId="19954A71" w14:textId="77777777" w:rsidR="00E227CA" w:rsidRDefault="00E227CA" w:rsidP="00E227CA">
      <w:pPr>
        <w:rPr>
          <w:b/>
          <w:bCs/>
          <w:sz w:val="20"/>
          <w:szCs w:val="20"/>
        </w:rPr>
      </w:pPr>
    </w:p>
    <w:p w14:paraId="287299BC" w14:textId="7852D29C" w:rsidR="00D05A9B" w:rsidRDefault="005D294C" w:rsidP="00E227CA">
      <w:pPr>
        <w:rPr>
          <w:b/>
          <w:bCs/>
          <w:sz w:val="20"/>
          <w:szCs w:val="20"/>
        </w:rPr>
      </w:pPr>
      <w:r>
        <w:rPr>
          <w:b/>
          <w:bCs/>
          <w:sz w:val="20"/>
          <w:szCs w:val="20"/>
        </w:rPr>
        <w:t>C</w:t>
      </w:r>
      <w:r w:rsidRPr="005D294C">
        <w:rPr>
          <w:b/>
          <w:bCs/>
          <w:sz w:val="20"/>
          <w:szCs w:val="20"/>
        </w:rPr>
        <w:t>omparative Social Analysis of Cocoa Value Chains in Sierra Leone and Liberia</w:t>
      </w:r>
      <w:r w:rsidR="00E15A75">
        <w:rPr>
          <w:b/>
          <w:bCs/>
          <w:sz w:val="20"/>
          <w:szCs w:val="20"/>
        </w:rPr>
        <w:t xml:space="preserve"> (VCA4D studies)</w:t>
      </w:r>
    </w:p>
    <w:p w14:paraId="3D7770B5" w14:textId="77777777" w:rsidR="005D294C" w:rsidRDefault="005D294C" w:rsidP="00E227CA">
      <w:pPr>
        <w:rPr>
          <w:b/>
          <w:bCs/>
          <w:sz w:val="20"/>
          <w:szCs w:val="20"/>
        </w:rPr>
      </w:pPr>
    </w:p>
    <w:p w14:paraId="2957CFCA" w14:textId="000305DC" w:rsidR="002768AD" w:rsidRDefault="0092349A" w:rsidP="0092349A">
      <w:pPr>
        <w:rPr>
          <w:sz w:val="20"/>
          <w:szCs w:val="20"/>
          <w:lang w:val="en-GB"/>
        </w:rPr>
      </w:pPr>
      <w:r w:rsidRPr="007270FB">
        <w:rPr>
          <w:sz w:val="20"/>
          <w:szCs w:val="20"/>
          <w:lang w:val="en-GB"/>
        </w:rPr>
        <w:t>The comparison with Liberia shows that many social constraints in S</w:t>
      </w:r>
      <w:r>
        <w:rPr>
          <w:sz w:val="20"/>
          <w:szCs w:val="20"/>
          <w:lang w:val="en-GB"/>
        </w:rPr>
        <w:t>L CVC</w:t>
      </w:r>
      <w:r w:rsidRPr="007270FB">
        <w:rPr>
          <w:sz w:val="20"/>
          <w:szCs w:val="20"/>
          <w:lang w:val="en-GB"/>
        </w:rPr>
        <w:t xml:space="preserve"> are not isolated national problems, but part of a wider</w:t>
      </w:r>
      <w:r w:rsidR="00A23DEA">
        <w:rPr>
          <w:sz w:val="20"/>
          <w:szCs w:val="20"/>
          <w:lang w:val="en-GB"/>
        </w:rPr>
        <w:t xml:space="preserve"> regional</w:t>
      </w:r>
      <w:r w:rsidRPr="007270FB">
        <w:rPr>
          <w:sz w:val="20"/>
          <w:szCs w:val="20"/>
          <w:lang w:val="en-GB"/>
        </w:rPr>
        <w:t xml:space="preserve"> cocoa economy shaped by informality, weak rural infrastructure, seasonal food insecurity, </w:t>
      </w:r>
      <w:proofErr w:type="gramStart"/>
      <w:r w:rsidRPr="007270FB">
        <w:rPr>
          <w:sz w:val="20"/>
          <w:szCs w:val="20"/>
          <w:lang w:val="en-GB"/>
        </w:rPr>
        <w:t>limited service</w:t>
      </w:r>
      <w:proofErr w:type="gramEnd"/>
      <w:r w:rsidRPr="007270FB">
        <w:rPr>
          <w:sz w:val="20"/>
          <w:szCs w:val="20"/>
          <w:lang w:val="en-GB"/>
        </w:rPr>
        <w:t xml:space="preserve"> provision, and unequal gender relations. </w:t>
      </w:r>
      <w:r w:rsidR="009E2F5B">
        <w:rPr>
          <w:sz w:val="20"/>
          <w:szCs w:val="20"/>
          <w:lang w:val="en-GB"/>
        </w:rPr>
        <w:t xml:space="preserve">The comparisons per social dimension are presented in </w:t>
      </w:r>
      <w:r w:rsidR="009E2F5B" w:rsidRPr="00BB79EF">
        <w:rPr>
          <w:sz w:val="20"/>
          <w:szCs w:val="20"/>
          <w:lang w:val="en-GB"/>
        </w:rPr>
        <w:t xml:space="preserve">Table </w:t>
      </w:r>
      <w:r w:rsidR="00BB79EF" w:rsidRPr="007270FB">
        <w:rPr>
          <w:sz w:val="20"/>
          <w:szCs w:val="20"/>
          <w:lang w:val="en-GB"/>
        </w:rPr>
        <w:t>A2 in</w:t>
      </w:r>
      <w:r w:rsidR="009E2F5B" w:rsidRPr="00BB79EF">
        <w:rPr>
          <w:sz w:val="20"/>
          <w:szCs w:val="20"/>
          <w:lang w:val="en-GB"/>
        </w:rPr>
        <w:t xml:space="preserve"> </w:t>
      </w:r>
      <w:r w:rsidR="00BB79EF">
        <w:rPr>
          <w:sz w:val="20"/>
          <w:szCs w:val="20"/>
          <w:lang w:val="en-GB"/>
        </w:rPr>
        <w:t xml:space="preserve">the </w:t>
      </w:r>
      <w:r w:rsidR="009E2F5B" w:rsidRPr="00BB79EF">
        <w:rPr>
          <w:sz w:val="20"/>
          <w:szCs w:val="20"/>
          <w:lang w:val="en-GB"/>
        </w:rPr>
        <w:t>A</w:t>
      </w:r>
      <w:r w:rsidR="00FB0F98" w:rsidRPr="007270FB">
        <w:rPr>
          <w:sz w:val="20"/>
          <w:szCs w:val="20"/>
          <w:lang w:val="en-GB"/>
        </w:rPr>
        <w:t>ppendix for Social Analysis</w:t>
      </w:r>
      <w:r w:rsidR="009E2F5B" w:rsidRPr="00BB79EF">
        <w:rPr>
          <w:sz w:val="20"/>
          <w:szCs w:val="20"/>
          <w:lang w:val="en-GB"/>
        </w:rPr>
        <w:t xml:space="preserve">. </w:t>
      </w:r>
      <w:r w:rsidRPr="007270FB">
        <w:rPr>
          <w:sz w:val="20"/>
          <w:szCs w:val="20"/>
          <w:lang w:val="en-GB"/>
        </w:rPr>
        <w:t>Sierra Leone appears more structured than Liberia in terms of certification, cooperative engagement and formal market linkages. The Liberia VCA4D study notes that Liberia’s cocoa sector is poorly regulated, weakly documented, and strongly affected by informal cross-border flows, including possible exports from Liberia into Sierra Leone’s certified/organic cocoa chain (Lescuyer et al., 2024). This comparison strengthens the policy message for Sierra Leone: investments should not only increase cocoa production, but also protect the credibility, traceability and social sustainability of the national cocoa sector</w:t>
      </w:r>
      <w:r w:rsidR="00FB0F98" w:rsidRPr="00BB79EF">
        <w:rPr>
          <w:sz w:val="20"/>
          <w:szCs w:val="20"/>
          <w:lang w:val="en-GB"/>
        </w:rPr>
        <w:t xml:space="preserve"> (detailed entry points for policy are in </w:t>
      </w:r>
      <w:r w:rsidR="00BB79EF">
        <w:rPr>
          <w:sz w:val="20"/>
          <w:szCs w:val="20"/>
          <w:lang w:val="en-GB"/>
        </w:rPr>
        <w:t xml:space="preserve">Table A2 in the </w:t>
      </w:r>
      <w:r w:rsidR="00FB0F98" w:rsidRPr="00BB79EF">
        <w:rPr>
          <w:sz w:val="20"/>
          <w:szCs w:val="20"/>
          <w:lang w:val="en-GB"/>
        </w:rPr>
        <w:t>Appendix</w:t>
      </w:r>
      <w:r w:rsidR="000C7E6F" w:rsidRPr="00BB79EF">
        <w:rPr>
          <w:sz w:val="20"/>
          <w:szCs w:val="20"/>
          <w:lang w:val="en-GB"/>
        </w:rPr>
        <w:t xml:space="preserve"> for Social Analysis</w:t>
      </w:r>
      <w:r w:rsidR="000C4DF2" w:rsidRPr="007270FB">
        <w:rPr>
          <w:sz w:val="20"/>
          <w:szCs w:val="20"/>
          <w:lang w:val="en-GB"/>
        </w:rPr>
        <w:t>)</w:t>
      </w:r>
      <w:r w:rsidR="000C7E6F" w:rsidRPr="00BB79EF">
        <w:rPr>
          <w:sz w:val="20"/>
          <w:szCs w:val="20"/>
          <w:lang w:val="en-GB"/>
        </w:rPr>
        <w:t>.</w:t>
      </w:r>
      <w:r w:rsidR="000C7E6F">
        <w:rPr>
          <w:sz w:val="20"/>
          <w:szCs w:val="20"/>
          <w:lang w:val="en-GB"/>
        </w:rPr>
        <w:t xml:space="preserve"> </w:t>
      </w:r>
    </w:p>
    <w:p w14:paraId="17E80B5E" w14:textId="77777777" w:rsidR="002768AD" w:rsidRDefault="002768AD" w:rsidP="0092349A">
      <w:pPr>
        <w:rPr>
          <w:sz w:val="20"/>
          <w:szCs w:val="20"/>
          <w:lang w:val="en-GB"/>
        </w:rPr>
      </w:pPr>
    </w:p>
    <w:p w14:paraId="7F7C67A3" w14:textId="77777777" w:rsidR="00993C18" w:rsidRDefault="00993C18" w:rsidP="0092349A">
      <w:pPr>
        <w:rPr>
          <w:sz w:val="20"/>
          <w:szCs w:val="20"/>
          <w:lang w:val="en-GB"/>
        </w:rPr>
      </w:pPr>
    </w:p>
    <w:p w14:paraId="0D3B1E9A" w14:textId="4A732F4E" w:rsidR="001F6FA0" w:rsidRPr="007270FB" w:rsidRDefault="001F6FA0" w:rsidP="0092349A">
      <w:pPr>
        <w:rPr>
          <w:b/>
          <w:bCs/>
          <w:sz w:val="20"/>
          <w:szCs w:val="20"/>
          <w:lang w:val="en-GB"/>
        </w:rPr>
      </w:pPr>
      <w:r w:rsidRPr="007270FB">
        <w:rPr>
          <w:b/>
          <w:bCs/>
          <w:sz w:val="20"/>
          <w:szCs w:val="20"/>
          <w:lang w:val="en-GB"/>
        </w:rPr>
        <w:t>Comparative Social Ana</w:t>
      </w:r>
      <w:r w:rsidR="00942429" w:rsidRPr="007270FB">
        <w:rPr>
          <w:b/>
          <w:bCs/>
          <w:sz w:val="20"/>
          <w:szCs w:val="20"/>
          <w:lang w:val="en-GB"/>
        </w:rPr>
        <w:t xml:space="preserve">lysis of </w:t>
      </w:r>
      <w:r w:rsidR="00FE50C0" w:rsidRPr="007270FB">
        <w:rPr>
          <w:b/>
          <w:bCs/>
          <w:sz w:val="20"/>
          <w:szCs w:val="20"/>
          <w:lang w:val="en-GB"/>
        </w:rPr>
        <w:t>Value Chains Analysed in VCA4D</w:t>
      </w:r>
      <w:r w:rsidR="000C7E6F" w:rsidRPr="007270FB">
        <w:rPr>
          <w:b/>
          <w:bCs/>
          <w:sz w:val="20"/>
          <w:szCs w:val="20"/>
          <w:lang w:val="en-GB"/>
        </w:rPr>
        <w:t xml:space="preserve"> – </w:t>
      </w:r>
      <w:r w:rsidR="00AB56FF">
        <w:rPr>
          <w:b/>
          <w:bCs/>
          <w:sz w:val="20"/>
          <w:szCs w:val="20"/>
          <w:lang w:val="en-GB"/>
        </w:rPr>
        <w:t>C</w:t>
      </w:r>
      <w:r w:rsidR="000C7E6F" w:rsidRPr="007270FB">
        <w:rPr>
          <w:b/>
          <w:bCs/>
          <w:sz w:val="20"/>
          <w:szCs w:val="20"/>
          <w:lang w:val="en-GB"/>
        </w:rPr>
        <w:t xml:space="preserve">ocoa, </w:t>
      </w:r>
      <w:r w:rsidR="00AB56FF">
        <w:rPr>
          <w:b/>
          <w:bCs/>
          <w:sz w:val="20"/>
          <w:szCs w:val="20"/>
          <w:lang w:val="en-GB"/>
        </w:rPr>
        <w:t>C</w:t>
      </w:r>
      <w:r w:rsidR="000C7E6F" w:rsidRPr="007270FB">
        <w:rPr>
          <w:b/>
          <w:bCs/>
          <w:sz w:val="20"/>
          <w:szCs w:val="20"/>
          <w:lang w:val="en-GB"/>
        </w:rPr>
        <w:t xml:space="preserve">ashew, </w:t>
      </w:r>
      <w:r w:rsidR="00AB56FF">
        <w:rPr>
          <w:b/>
          <w:bCs/>
          <w:sz w:val="20"/>
          <w:szCs w:val="20"/>
          <w:lang w:val="en-GB"/>
        </w:rPr>
        <w:t>O</w:t>
      </w:r>
      <w:r w:rsidR="001F4321" w:rsidRPr="007270FB">
        <w:rPr>
          <w:b/>
          <w:bCs/>
          <w:sz w:val="20"/>
          <w:szCs w:val="20"/>
          <w:lang w:val="en-GB"/>
        </w:rPr>
        <w:t xml:space="preserve">il </w:t>
      </w:r>
      <w:r w:rsidR="00AB56FF">
        <w:rPr>
          <w:b/>
          <w:bCs/>
          <w:sz w:val="20"/>
          <w:szCs w:val="20"/>
          <w:lang w:val="en-GB"/>
        </w:rPr>
        <w:t>P</w:t>
      </w:r>
      <w:r w:rsidR="001F4321" w:rsidRPr="007270FB">
        <w:rPr>
          <w:b/>
          <w:bCs/>
          <w:sz w:val="20"/>
          <w:szCs w:val="20"/>
          <w:lang w:val="en-GB"/>
        </w:rPr>
        <w:t>alm</w:t>
      </w:r>
    </w:p>
    <w:p w14:paraId="4955B02D" w14:textId="77777777" w:rsidR="001F4321" w:rsidRDefault="001F4321" w:rsidP="0092349A">
      <w:pPr>
        <w:rPr>
          <w:sz w:val="20"/>
          <w:szCs w:val="20"/>
          <w:lang w:val="en-GB"/>
        </w:rPr>
      </w:pPr>
    </w:p>
    <w:p w14:paraId="6C08BCC1" w14:textId="65C6736F" w:rsidR="001F4321" w:rsidRPr="007270FB" w:rsidRDefault="008C5DC2" w:rsidP="001F4321">
      <w:pPr>
        <w:rPr>
          <w:sz w:val="20"/>
          <w:szCs w:val="20"/>
          <w:lang w:val="en-GB"/>
        </w:rPr>
      </w:pPr>
      <w:r>
        <w:rPr>
          <w:sz w:val="20"/>
          <w:szCs w:val="20"/>
          <w:lang w:val="en-GB"/>
        </w:rPr>
        <w:t xml:space="preserve">The </w:t>
      </w:r>
      <w:r w:rsidR="00651929">
        <w:rPr>
          <w:sz w:val="20"/>
          <w:szCs w:val="20"/>
          <w:lang w:val="en-GB"/>
        </w:rPr>
        <w:t xml:space="preserve">comparison with the two previous VCA4D social </w:t>
      </w:r>
      <w:r w:rsidR="00BB79EF">
        <w:rPr>
          <w:sz w:val="20"/>
          <w:szCs w:val="20"/>
          <w:lang w:val="en-GB"/>
        </w:rPr>
        <w:t xml:space="preserve">analyses conducted in Sierra Leone on cashew (Michel et al., 2018) and oil palm (Bessou et al., 2018) (Table A3 in the </w:t>
      </w:r>
      <w:r w:rsidR="00384AD9" w:rsidRPr="007270FB">
        <w:rPr>
          <w:sz w:val="20"/>
          <w:szCs w:val="20"/>
          <w:lang w:val="en-GB"/>
        </w:rPr>
        <w:t>Appendix for Social Analysis).</w:t>
      </w:r>
      <w:r w:rsidR="00384AD9">
        <w:rPr>
          <w:sz w:val="20"/>
          <w:szCs w:val="20"/>
          <w:lang w:val="en-GB"/>
        </w:rPr>
        <w:t xml:space="preserve"> </w:t>
      </w:r>
      <w:r w:rsidR="001475E2">
        <w:rPr>
          <w:sz w:val="20"/>
          <w:szCs w:val="20"/>
          <w:lang w:val="en-GB"/>
        </w:rPr>
        <w:t xml:space="preserve"> allows us </w:t>
      </w:r>
      <w:r w:rsidR="00E77A9C">
        <w:rPr>
          <w:sz w:val="20"/>
          <w:szCs w:val="20"/>
          <w:lang w:val="en-GB"/>
        </w:rPr>
        <w:t xml:space="preserve">to state that </w:t>
      </w:r>
      <w:r w:rsidR="001F4321" w:rsidRPr="007270FB">
        <w:rPr>
          <w:sz w:val="20"/>
          <w:szCs w:val="20"/>
          <w:lang w:val="en-GB"/>
        </w:rPr>
        <w:t xml:space="preserve">most constraints are systemic rather than </w:t>
      </w:r>
      <w:proofErr w:type="gramStart"/>
      <w:r w:rsidR="001F4321" w:rsidRPr="007270FB">
        <w:rPr>
          <w:sz w:val="20"/>
          <w:szCs w:val="20"/>
          <w:lang w:val="en-GB"/>
        </w:rPr>
        <w:t>commodity-specific</w:t>
      </w:r>
      <w:proofErr w:type="gramEnd"/>
      <w:r w:rsidR="001F4321" w:rsidRPr="007270FB">
        <w:rPr>
          <w:sz w:val="20"/>
          <w:szCs w:val="20"/>
          <w:lang w:val="en-GB"/>
        </w:rPr>
        <w:t xml:space="preserve">. Informal labour arrangements, weak enforcement of labour standards, gender inequality in access to land and income, seasonal food insecurity, limited social capital, and poor rural services consistently shape outcomes across all three chains. This means that participation in any single value chain does not automatically translate into improved welfare. Instead, social outcomes depend on how income is generated, distributed and stabilised, and whether households have access to complementary services such as finance, infrastructure, health, education and markets. </w:t>
      </w:r>
      <w:r w:rsidR="0043263B">
        <w:rPr>
          <w:sz w:val="20"/>
          <w:szCs w:val="20"/>
          <w:lang w:val="en-GB"/>
        </w:rPr>
        <w:t>Therefore</w:t>
      </w:r>
      <w:r w:rsidR="001F4321" w:rsidRPr="007270FB">
        <w:rPr>
          <w:sz w:val="20"/>
          <w:szCs w:val="20"/>
          <w:lang w:val="en-GB"/>
        </w:rPr>
        <w:t>, the key implication is that value chain development must be integrated with rural development policies, including labour monitoring through cooperatives, gender-responsive access to assets and finance, nutrition-sensitive agriculture, and investments in basic services and infrastructure.</w:t>
      </w:r>
      <w:r w:rsidR="00A72135">
        <w:rPr>
          <w:sz w:val="20"/>
          <w:szCs w:val="20"/>
          <w:lang w:val="en-GB"/>
        </w:rPr>
        <w:t xml:space="preserve"> </w:t>
      </w:r>
      <w:r w:rsidR="001F4321" w:rsidRPr="007270FB">
        <w:rPr>
          <w:sz w:val="20"/>
          <w:szCs w:val="20"/>
          <w:lang w:val="en-GB"/>
        </w:rPr>
        <w:t>At the same time, the comparison highlights distinct entry points and strategic roles for each value chain</w:t>
      </w:r>
      <w:r w:rsidR="000C4DF2">
        <w:rPr>
          <w:sz w:val="20"/>
          <w:szCs w:val="20"/>
          <w:lang w:val="en-GB"/>
        </w:rPr>
        <w:t xml:space="preserve"> </w:t>
      </w:r>
      <w:r w:rsidR="00BB79EF">
        <w:rPr>
          <w:sz w:val="20"/>
          <w:szCs w:val="20"/>
          <w:lang w:val="en-GB"/>
        </w:rPr>
        <w:t xml:space="preserve">(Table A3 in the </w:t>
      </w:r>
      <w:r w:rsidR="00BB79EF" w:rsidRPr="003C7588">
        <w:rPr>
          <w:sz w:val="20"/>
          <w:szCs w:val="20"/>
          <w:lang w:val="en-GB"/>
        </w:rPr>
        <w:t>Appendix for Social Analysis)</w:t>
      </w:r>
      <w:r w:rsidR="001F4321" w:rsidRPr="007270FB">
        <w:rPr>
          <w:sz w:val="20"/>
          <w:szCs w:val="20"/>
          <w:lang w:val="en-GB"/>
        </w:rPr>
        <w:t xml:space="preserve">. </w:t>
      </w:r>
    </w:p>
    <w:p w14:paraId="5AAEE8E0" w14:textId="77777777" w:rsidR="001F4321" w:rsidRPr="007270FB" w:rsidRDefault="001F4321" w:rsidP="0092349A">
      <w:pPr>
        <w:rPr>
          <w:sz w:val="20"/>
          <w:szCs w:val="20"/>
          <w:lang w:val="en-GB"/>
        </w:rPr>
      </w:pPr>
    </w:p>
    <w:p w14:paraId="6A43B117" w14:textId="6FFEB5E7" w:rsidR="00613FE2" w:rsidRPr="00E227CA" w:rsidRDefault="00F126A0" w:rsidP="00E227CA">
      <w:pPr>
        <w:rPr>
          <w:b/>
          <w:bCs/>
          <w:sz w:val="20"/>
          <w:szCs w:val="20"/>
        </w:rPr>
      </w:pPr>
      <w:r w:rsidRPr="00E227CA">
        <w:rPr>
          <w:b/>
          <w:bCs/>
          <w:sz w:val="20"/>
          <w:szCs w:val="20"/>
        </w:rPr>
        <w:t>Summary of main findings</w:t>
      </w:r>
    </w:p>
    <w:p w14:paraId="35E036AB" w14:textId="7BCBD978" w:rsidR="00F126A0" w:rsidRDefault="000930C8" w:rsidP="00613FE2">
      <w:pPr>
        <w:rPr>
          <w:sz w:val="20"/>
          <w:szCs w:val="20"/>
        </w:rPr>
      </w:pPr>
      <w:r>
        <w:rPr>
          <w:sz w:val="20"/>
          <w:szCs w:val="20"/>
        </w:rPr>
        <w:t>Table 4</w:t>
      </w:r>
      <w:r>
        <w:rPr>
          <w:sz w:val="20"/>
          <w:szCs w:val="20"/>
        </w:rPr>
        <w:noBreakHyphen/>
        <w:t>7 provides an</w:t>
      </w:r>
      <w:r w:rsidR="00F126A0">
        <w:rPr>
          <w:sz w:val="20"/>
          <w:szCs w:val="20"/>
        </w:rPr>
        <w:t xml:space="preserve"> o</w:t>
      </w:r>
      <w:r w:rsidR="00F126A0" w:rsidRPr="00F126A0">
        <w:rPr>
          <w:sz w:val="20"/>
          <w:szCs w:val="20"/>
        </w:rPr>
        <w:t xml:space="preserve">verview of key issues and mitigation measures per dimension in the </w:t>
      </w:r>
      <w:r w:rsidR="007A3880">
        <w:rPr>
          <w:sz w:val="20"/>
          <w:szCs w:val="20"/>
        </w:rPr>
        <w:t>Sierra Leone cocoa</w:t>
      </w:r>
      <w:r w:rsidR="00F126A0" w:rsidRPr="00F126A0">
        <w:rPr>
          <w:sz w:val="20"/>
          <w:szCs w:val="20"/>
        </w:rPr>
        <w:t xml:space="preserve"> </w:t>
      </w:r>
      <w:r w:rsidR="007A3880">
        <w:rPr>
          <w:sz w:val="20"/>
          <w:szCs w:val="20"/>
        </w:rPr>
        <w:t xml:space="preserve">value chain </w:t>
      </w:r>
      <w:r w:rsidR="00F126A0" w:rsidRPr="00F126A0">
        <w:rPr>
          <w:sz w:val="20"/>
          <w:szCs w:val="20"/>
        </w:rPr>
        <w:t>social profile</w:t>
      </w:r>
      <w:r w:rsidR="00F126A0">
        <w:rPr>
          <w:sz w:val="20"/>
          <w:szCs w:val="20"/>
        </w:rPr>
        <w:t>.</w:t>
      </w:r>
    </w:p>
    <w:p w14:paraId="032F4C3D" w14:textId="77777777" w:rsidR="00F370A5" w:rsidRDefault="00F370A5" w:rsidP="00613FE2">
      <w:pPr>
        <w:rPr>
          <w:sz w:val="20"/>
          <w:szCs w:val="20"/>
        </w:rPr>
      </w:pPr>
    </w:p>
    <w:p w14:paraId="4C93C48A" w14:textId="77777777" w:rsidR="00F370A5" w:rsidRDefault="00F370A5" w:rsidP="00613FE2">
      <w:pPr>
        <w:rPr>
          <w:sz w:val="20"/>
          <w:szCs w:val="20"/>
        </w:rPr>
      </w:pPr>
    </w:p>
    <w:p w14:paraId="64680E06" w14:textId="77777777" w:rsidR="00F370A5" w:rsidRDefault="00F370A5" w:rsidP="00613FE2">
      <w:pPr>
        <w:rPr>
          <w:sz w:val="20"/>
          <w:szCs w:val="20"/>
        </w:rPr>
      </w:pPr>
    </w:p>
    <w:p w14:paraId="15F0F455" w14:textId="77777777" w:rsidR="00F370A5" w:rsidRDefault="00F370A5" w:rsidP="00613FE2">
      <w:pPr>
        <w:rPr>
          <w:sz w:val="20"/>
          <w:szCs w:val="20"/>
        </w:rPr>
      </w:pPr>
    </w:p>
    <w:p w14:paraId="66C41C47" w14:textId="77777777" w:rsidR="00F370A5" w:rsidRDefault="00F370A5" w:rsidP="00613FE2">
      <w:pPr>
        <w:rPr>
          <w:sz w:val="20"/>
          <w:szCs w:val="20"/>
        </w:rPr>
      </w:pPr>
    </w:p>
    <w:p w14:paraId="4DECA5FC" w14:textId="77777777" w:rsidR="00F370A5" w:rsidRDefault="00F370A5" w:rsidP="00613FE2">
      <w:pPr>
        <w:rPr>
          <w:sz w:val="20"/>
          <w:szCs w:val="20"/>
        </w:rPr>
      </w:pPr>
    </w:p>
    <w:p w14:paraId="01EF20AC" w14:textId="77777777" w:rsidR="00F370A5" w:rsidRDefault="00F370A5" w:rsidP="00613FE2">
      <w:pPr>
        <w:rPr>
          <w:sz w:val="20"/>
          <w:szCs w:val="20"/>
        </w:rPr>
      </w:pPr>
    </w:p>
    <w:p w14:paraId="1D1488F5" w14:textId="77777777" w:rsidR="00F370A5" w:rsidRDefault="00F370A5" w:rsidP="00613FE2">
      <w:pPr>
        <w:rPr>
          <w:sz w:val="20"/>
          <w:szCs w:val="20"/>
        </w:rPr>
      </w:pPr>
    </w:p>
    <w:p w14:paraId="4B2F7DFF" w14:textId="77777777" w:rsidR="00F370A5" w:rsidRDefault="00F370A5" w:rsidP="00613FE2">
      <w:pPr>
        <w:rPr>
          <w:sz w:val="20"/>
          <w:szCs w:val="20"/>
        </w:rPr>
      </w:pPr>
    </w:p>
    <w:p w14:paraId="6C6FE58D" w14:textId="77777777" w:rsidR="00F370A5" w:rsidRDefault="00F370A5" w:rsidP="00613FE2">
      <w:pPr>
        <w:rPr>
          <w:sz w:val="20"/>
          <w:szCs w:val="20"/>
        </w:rPr>
      </w:pPr>
    </w:p>
    <w:p w14:paraId="1D6FA9BC" w14:textId="77777777" w:rsidR="00F370A5" w:rsidRDefault="00F370A5" w:rsidP="00613FE2">
      <w:pPr>
        <w:rPr>
          <w:sz w:val="20"/>
          <w:szCs w:val="20"/>
        </w:rPr>
      </w:pPr>
    </w:p>
    <w:p w14:paraId="37999717" w14:textId="77777777" w:rsidR="006C30DE" w:rsidRPr="00F02285" w:rsidRDefault="006C30DE" w:rsidP="00613FE2">
      <w:pPr>
        <w:rPr>
          <w:sz w:val="20"/>
          <w:szCs w:val="20"/>
        </w:rPr>
      </w:pPr>
    </w:p>
    <w:p w14:paraId="36EEADED" w14:textId="253E8123" w:rsidR="006C30DE" w:rsidRDefault="006C30DE" w:rsidP="006C30DE">
      <w:pPr>
        <w:pStyle w:val="Caption"/>
        <w:keepNext/>
      </w:pPr>
      <w:bookmarkStart w:id="155" w:name="_Ref227060870"/>
      <w:bookmarkStart w:id="156" w:name="_Toc228701085"/>
      <w:r>
        <w:lastRenderedPageBreak/>
        <w:t xml:space="preserve">Table </w:t>
      </w:r>
      <w:fldSimple w:instr=" STYLEREF 1 \s ">
        <w:r w:rsidR="006C1C4E">
          <w:rPr>
            <w:noProof/>
          </w:rPr>
          <w:t>4</w:t>
        </w:r>
      </w:fldSimple>
      <w:r w:rsidR="006C1C4E">
        <w:noBreakHyphen/>
      </w:r>
      <w:fldSimple w:instr=" SEQ Table \* ARABIC \s 1 ">
        <w:r w:rsidR="006C1C4E">
          <w:rPr>
            <w:noProof/>
          </w:rPr>
          <w:t>7</w:t>
        </w:r>
      </w:fldSimple>
      <w:bookmarkEnd w:id="155"/>
      <w:r>
        <w:t xml:space="preserve"> O</w:t>
      </w:r>
      <w:r w:rsidRPr="00AF23D4">
        <w:t>verview of key issues and mitigation measures</w:t>
      </w:r>
      <w:bookmarkEnd w:id="156"/>
    </w:p>
    <w:tbl>
      <w:tblPr>
        <w:tblStyle w:val="TableGrid"/>
        <w:tblW w:w="0" w:type="auto"/>
        <w:tblLook w:val="04A0" w:firstRow="1" w:lastRow="0" w:firstColumn="1" w:lastColumn="0" w:noHBand="0" w:noVBand="1"/>
      </w:tblPr>
      <w:tblGrid>
        <w:gridCol w:w="1489"/>
        <w:gridCol w:w="3538"/>
        <w:gridCol w:w="3999"/>
      </w:tblGrid>
      <w:tr w:rsidR="00133170" w:rsidRPr="00F370A5" w14:paraId="0EB28E8B" w14:textId="77777777" w:rsidTr="00930C4A">
        <w:trPr>
          <w:cnfStyle w:val="100000000000" w:firstRow="1" w:lastRow="0" w:firstColumn="0" w:lastColumn="0" w:oddVBand="0" w:evenVBand="0" w:oddHBand="0" w:evenHBand="0" w:firstRowFirstColumn="0" w:firstRowLastColumn="0" w:lastRowFirstColumn="0" w:lastRowLastColumn="0"/>
        </w:trPr>
        <w:tc>
          <w:tcPr>
            <w:tcW w:w="1489" w:type="dxa"/>
          </w:tcPr>
          <w:p w14:paraId="759DFE8E" w14:textId="77777777" w:rsidR="00F126A0" w:rsidRPr="00F370A5" w:rsidRDefault="00F126A0" w:rsidP="006C30DE">
            <w:pPr>
              <w:rPr>
                <w:sz w:val="16"/>
                <w:szCs w:val="16"/>
              </w:rPr>
            </w:pPr>
          </w:p>
        </w:tc>
        <w:tc>
          <w:tcPr>
            <w:tcW w:w="0" w:type="auto"/>
          </w:tcPr>
          <w:p w14:paraId="493B95E1" w14:textId="77777777" w:rsidR="00F126A0" w:rsidRPr="00F370A5" w:rsidRDefault="00F126A0" w:rsidP="006C30DE">
            <w:pPr>
              <w:rPr>
                <w:sz w:val="16"/>
                <w:szCs w:val="16"/>
              </w:rPr>
            </w:pPr>
          </w:p>
        </w:tc>
        <w:tc>
          <w:tcPr>
            <w:tcW w:w="0" w:type="auto"/>
          </w:tcPr>
          <w:p w14:paraId="0DF1C22A" w14:textId="77777777" w:rsidR="00F126A0" w:rsidRPr="00F370A5" w:rsidRDefault="00F126A0" w:rsidP="006C30DE">
            <w:pPr>
              <w:rPr>
                <w:sz w:val="16"/>
                <w:szCs w:val="16"/>
              </w:rPr>
            </w:pPr>
          </w:p>
        </w:tc>
      </w:tr>
      <w:tr w:rsidR="00133170" w:rsidRPr="00F370A5" w14:paraId="0CF15490" w14:textId="77777777" w:rsidTr="00930C4A">
        <w:tc>
          <w:tcPr>
            <w:tcW w:w="1489" w:type="dxa"/>
          </w:tcPr>
          <w:p w14:paraId="73131055" w14:textId="77777777" w:rsidR="00F126A0" w:rsidRPr="00F370A5" w:rsidRDefault="00F126A0" w:rsidP="006C30DE">
            <w:pPr>
              <w:rPr>
                <w:sz w:val="16"/>
                <w:szCs w:val="16"/>
              </w:rPr>
            </w:pPr>
          </w:p>
        </w:tc>
        <w:tc>
          <w:tcPr>
            <w:tcW w:w="0" w:type="auto"/>
          </w:tcPr>
          <w:p w14:paraId="3D6682AB" w14:textId="77777777" w:rsidR="00F126A0" w:rsidRPr="00F370A5" w:rsidRDefault="00F126A0" w:rsidP="006C30DE">
            <w:pPr>
              <w:rPr>
                <w:b/>
                <w:bCs/>
                <w:sz w:val="16"/>
                <w:szCs w:val="16"/>
              </w:rPr>
            </w:pPr>
            <w:r w:rsidRPr="00F370A5">
              <w:rPr>
                <w:b/>
                <w:bCs/>
                <w:color w:val="4472C4" w:themeColor="accent1"/>
                <w:sz w:val="16"/>
                <w:szCs w:val="16"/>
              </w:rPr>
              <w:t>Key issues identified in the VC</w:t>
            </w:r>
          </w:p>
        </w:tc>
        <w:tc>
          <w:tcPr>
            <w:tcW w:w="0" w:type="auto"/>
          </w:tcPr>
          <w:p w14:paraId="20AFA247" w14:textId="77777777" w:rsidR="00F126A0" w:rsidRPr="00F370A5" w:rsidRDefault="00F126A0" w:rsidP="006C30DE">
            <w:pPr>
              <w:rPr>
                <w:b/>
                <w:bCs/>
                <w:color w:val="33CC33"/>
                <w:sz w:val="16"/>
                <w:szCs w:val="16"/>
              </w:rPr>
            </w:pPr>
            <w:r w:rsidRPr="00F370A5">
              <w:rPr>
                <w:b/>
                <w:bCs/>
                <w:color w:val="4472C4" w:themeColor="accent1"/>
                <w:sz w:val="16"/>
                <w:szCs w:val="16"/>
              </w:rPr>
              <w:t>Mitigation measures</w:t>
            </w:r>
          </w:p>
        </w:tc>
      </w:tr>
      <w:tr w:rsidR="00133170" w:rsidRPr="00F370A5" w14:paraId="35475829" w14:textId="77777777" w:rsidTr="00930C4A">
        <w:tc>
          <w:tcPr>
            <w:tcW w:w="1489" w:type="dxa"/>
          </w:tcPr>
          <w:p w14:paraId="2145D8D4" w14:textId="77777777" w:rsidR="00F126A0" w:rsidRPr="00F370A5" w:rsidRDefault="00F126A0" w:rsidP="006C30DE">
            <w:pPr>
              <w:rPr>
                <w:b/>
                <w:bCs/>
                <w:sz w:val="16"/>
                <w:szCs w:val="16"/>
              </w:rPr>
            </w:pPr>
            <w:r w:rsidRPr="00F370A5">
              <w:rPr>
                <w:b/>
                <w:bCs/>
                <w:color w:val="4472C4" w:themeColor="accent1"/>
                <w:sz w:val="16"/>
                <w:szCs w:val="16"/>
              </w:rPr>
              <w:t>Working conditions</w:t>
            </w:r>
          </w:p>
        </w:tc>
        <w:tc>
          <w:tcPr>
            <w:tcW w:w="0" w:type="auto"/>
          </w:tcPr>
          <w:p w14:paraId="0F9BFF8E" w14:textId="0183FE9F" w:rsidR="00F126A0" w:rsidRPr="00F370A5" w:rsidRDefault="007D0D31" w:rsidP="006C30DE">
            <w:pPr>
              <w:rPr>
                <w:sz w:val="16"/>
                <w:szCs w:val="16"/>
              </w:rPr>
            </w:pPr>
            <w:r w:rsidRPr="00F370A5">
              <w:rPr>
                <w:sz w:val="16"/>
                <w:szCs w:val="16"/>
              </w:rPr>
              <w:t>H</w:t>
            </w:r>
            <w:r w:rsidR="00F126A0" w:rsidRPr="00F370A5">
              <w:rPr>
                <w:sz w:val="16"/>
                <w:szCs w:val="16"/>
              </w:rPr>
              <w:t xml:space="preserve">igh informality of </w:t>
            </w:r>
            <w:proofErr w:type="spellStart"/>
            <w:r w:rsidR="00F126A0" w:rsidRPr="00F370A5">
              <w:rPr>
                <w:sz w:val="16"/>
                <w:szCs w:val="16"/>
              </w:rPr>
              <w:t>labour</w:t>
            </w:r>
            <w:proofErr w:type="spellEnd"/>
            <w:r w:rsidR="00F126A0" w:rsidRPr="00F370A5">
              <w:rPr>
                <w:sz w:val="16"/>
                <w:szCs w:val="16"/>
              </w:rPr>
              <w:t xml:space="preserve"> and transactions, </w:t>
            </w:r>
          </w:p>
          <w:p w14:paraId="6EA7A973" w14:textId="77777777" w:rsidR="00F126A0" w:rsidRPr="00F370A5" w:rsidRDefault="00F126A0" w:rsidP="006C30DE">
            <w:pPr>
              <w:rPr>
                <w:sz w:val="16"/>
                <w:szCs w:val="16"/>
              </w:rPr>
            </w:pPr>
            <w:r w:rsidRPr="00F370A5">
              <w:rPr>
                <w:sz w:val="16"/>
                <w:szCs w:val="16"/>
              </w:rPr>
              <w:t xml:space="preserve">weak enforcement of </w:t>
            </w:r>
            <w:proofErr w:type="spellStart"/>
            <w:r w:rsidRPr="00F370A5">
              <w:rPr>
                <w:sz w:val="16"/>
                <w:szCs w:val="16"/>
              </w:rPr>
              <w:t>labour</w:t>
            </w:r>
            <w:proofErr w:type="spellEnd"/>
            <w:r w:rsidRPr="00F370A5">
              <w:rPr>
                <w:sz w:val="16"/>
                <w:szCs w:val="16"/>
              </w:rPr>
              <w:t xml:space="preserve"> standards, </w:t>
            </w:r>
          </w:p>
          <w:p w14:paraId="311C89D4" w14:textId="77777777" w:rsidR="00F126A0" w:rsidRPr="00F370A5" w:rsidRDefault="00F126A0" w:rsidP="006C30DE">
            <w:pPr>
              <w:rPr>
                <w:sz w:val="16"/>
                <w:szCs w:val="16"/>
              </w:rPr>
            </w:pPr>
            <w:r w:rsidRPr="00F370A5">
              <w:rPr>
                <w:sz w:val="16"/>
                <w:szCs w:val="16"/>
              </w:rPr>
              <w:t xml:space="preserve">limited use of contracts, </w:t>
            </w:r>
          </w:p>
          <w:p w14:paraId="2EE056F8" w14:textId="77777777" w:rsidR="00F126A0" w:rsidRPr="00F370A5" w:rsidRDefault="00F126A0" w:rsidP="006C30DE">
            <w:pPr>
              <w:rPr>
                <w:sz w:val="16"/>
                <w:szCs w:val="16"/>
              </w:rPr>
            </w:pPr>
            <w:r w:rsidRPr="00F370A5">
              <w:rPr>
                <w:sz w:val="16"/>
                <w:szCs w:val="16"/>
              </w:rPr>
              <w:t>unsafe working conditions, and</w:t>
            </w:r>
          </w:p>
          <w:p w14:paraId="6F753079" w14:textId="6B837450" w:rsidR="00F126A0" w:rsidRPr="00F370A5" w:rsidRDefault="00F126A0" w:rsidP="006C30DE">
            <w:pPr>
              <w:rPr>
                <w:sz w:val="16"/>
                <w:szCs w:val="16"/>
              </w:rPr>
            </w:pPr>
            <w:r w:rsidRPr="00F370A5">
              <w:rPr>
                <w:sz w:val="16"/>
                <w:szCs w:val="16"/>
              </w:rPr>
              <w:t xml:space="preserve">persistence of </w:t>
            </w:r>
            <w:r w:rsidR="00423826" w:rsidRPr="00F370A5">
              <w:rPr>
                <w:sz w:val="16"/>
                <w:szCs w:val="16"/>
              </w:rPr>
              <w:t xml:space="preserve">intra-household </w:t>
            </w:r>
            <w:r w:rsidR="00E227CA" w:rsidRPr="00F370A5">
              <w:rPr>
                <w:sz w:val="16"/>
                <w:szCs w:val="16"/>
              </w:rPr>
              <w:t>work</w:t>
            </w:r>
            <w:r w:rsidR="00423826" w:rsidRPr="00F370A5">
              <w:rPr>
                <w:sz w:val="16"/>
                <w:szCs w:val="16"/>
              </w:rPr>
              <w:t xml:space="preserve"> of children/</w:t>
            </w:r>
            <w:r w:rsidRPr="00F370A5">
              <w:rPr>
                <w:sz w:val="16"/>
                <w:szCs w:val="16"/>
              </w:rPr>
              <w:t xml:space="preserve">child </w:t>
            </w:r>
            <w:proofErr w:type="spellStart"/>
            <w:r w:rsidRPr="00F370A5">
              <w:rPr>
                <w:sz w:val="16"/>
                <w:szCs w:val="16"/>
              </w:rPr>
              <w:t>labour</w:t>
            </w:r>
            <w:proofErr w:type="spellEnd"/>
            <w:r w:rsidRPr="00F370A5">
              <w:rPr>
                <w:sz w:val="16"/>
                <w:szCs w:val="16"/>
              </w:rPr>
              <w:t xml:space="preserve"> as a coping strategy under low and unstable incomes</w:t>
            </w:r>
            <w:r w:rsidR="00133170" w:rsidRPr="00F370A5">
              <w:rPr>
                <w:sz w:val="16"/>
                <w:szCs w:val="16"/>
              </w:rPr>
              <w:t xml:space="preserve">, but systematic evidence about intra-household child </w:t>
            </w:r>
            <w:proofErr w:type="spellStart"/>
            <w:r w:rsidR="00133170" w:rsidRPr="00F370A5">
              <w:rPr>
                <w:sz w:val="16"/>
                <w:szCs w:val="16"/>
              </w:rPr>
              <w:t>labour</w:t>
            </w:r>
            <w:proofErr w:type="spellEnd"/>
            <w:r w:rsidR="00133170" w:rsidRPr="00F370A5">
              <w:rPr>
                <w:sz w:val="16"/>
                <w:szCs w:val="16"/>
              </w:rPr>
              <w:t xml:space="preserve"> prevalence is lacking</w:t>
            </w:r>
          </w:p>
        </w:tc>
        <w:tc>
          <w:tcPr>
            <w:tcW w:w="0" w:type="auto"/>
          </w:tcPr>
          <w:p w14:paraId="7DD17DA0" w14:textId="3FCBB8EF" w:rsidR="00F126A0" w:rsidRPr="00F370A5" w:rsidRDefault="007D0D31" w:rsidP="006C30DE">
            <w:pPr>
              <w:rPr>
                <w:sz w:val="16"/>
                <w:szCs w:val="16"/>
              </w:rPr>
            </w:pPr>
            <w:r w:rsidRPr="00F370A5">
              <w:rPr>
                <w:sz w:val="16"/>
                <w:szCs w:val="16"/>
              </w:rPr>
              <w:t>S</w:t>
            </w:r>
            <w:r w:rsidR="00F126A0" w:rsidRPr="00F370A5">
              <w:rPr>
                <w:sz w:val="16"/>
                <w:szCs w:val="16"/>
              </w:rPr>
              <w:t xml:space="preserve">trengthen </w:t>
            </w:r>
            <w:proofErr w:type="spellStart"/>
            <w:r w:rsidR="00F126A0" w:rsidRPr="00F370A5">
              <w:rPr>
                <w:sz w:val="16"/>
                <w:szCs w:val="16"/>
              </w:rPr>
              <w:t>labour</w:t>
            </w:r>
            <w:proofErr w:type="spellEnd"/>
            <w:r w:rsidR="00F126A0" w:rsidRPr="00F370A5">
              <w:rPr>
                <w:sz w:val="16"/>
                <w:szCs w:val="16"/>
              </w:rPr>
              <w:t xml:space="preserve"> law implementation and cooperative-based </w:t>
            </w:r>
            <w:proofErr w:type="spellStart"/>
            <w:r w:rsidR="00F126A0" w:rsidRPr="00F370A5">
              <w:rPr>
                <w:sz w:val="16"/>
                <w:szCs w:val="16"/>
              </w:rPr>
              <w:t>formalisation</w:t>
            </w:r>
            <w:proofErr w:type="spellEnd"/>
            <w:r w:rsidR="00F126A0" w:rsidRPr="00F370A5">
              <w:rPr>
                <w:sz w:val="16"/>
                <w:szCs w:val="16"/>
              </w:rPr>
              <w:t xml:space="preserve">; </w:t>
            </w:r>
          </w:p>
          <w:p w14:paraId="68CD6413" w14:textId="77777777" w:rsidR="00F126A0" w:rsidRPr="00F370A5" w:rsidRDefault="00F126A0" w:rsidP="006C30DE">
            <w:pPr>
              <w:rPr>
                <w:sz w:val="16"/>
                <w:szCs w:val="16"/>
              </w:rPr>
            </w:pPr>
            <w:r w:rsidRPr="00F370A5">
              <w:rPr>
                <w:sz w:val="16"/>
                <w:szCs w:val="16"/>
              </w:rPr>
              <w:t xml:space="preserve">improve occupational safety (PPE, training); </w:t>
            </w:r>
          </w:p>
          <w:p w14:paraId="2A851DF9" w14:textId="28CFDF44" w:rsidR="00F126A0" w:rsidRPr="00F370A5" w:rsidRDefault="00E227CA" w:rsidP="006C30DE">
            <w:pPr>
              <w:rPr>
                <w:sz w:val="16"/>
                <w:szCs w:val="16"/>
              </w:rPr>
            </w:pPr>
            <w:r w:rsidRPr="00F370A5">
              <w:rPr>
                <w:sz w:val="16"/>
                <w:szCs w:val="16"/>
              </w:rPr>
              <w:t>Conduct a</w:t>
            </w:r>
            <w:r w:rsidR="00341206" w:rsidRPr="00F370A5">
              <w:rPr>
                <w:sz w:val="16"/>
                <w:szCs w:val="16"/>
              </w:rPr>
              <w:t xml:space="preserve"> large survey on child </w:t>
            </w:r>
            <w:proofErr w:type="spellStart"/>
            <w:r w:rsidR="00341206" w:rsidRPr="00F370A5">
              <w:rPr>
                <w:sz w:val="16"/>
                <w:szCs w:val="16"/>
              </w:rPr>
              <w:t>labour</w:t>
            </w:r>
            <w:proofErr w:type="spellEnd"/>
            <w:r w:rsidR="00341206" w:rsidRPr="00F370A5">
              <w:rPr>
                <w:sz w:val="16"/>
                <w:szCs w:val="16"/>
              </w:rPr>
              <w:t xml:space="preserve"> dynamics in the CVC across three districts, then expand monitoring systems on it; </w:t>
            </w:r>
          </w:p>
          <w:p w14:paraId="4FDB909B" w14:textId="77777777" w:rsidR="00F126A0" w:rsidRPr="00F370A5" w:rsidRDefault="00F126A0" w:rsidP="006C30DE">
            <w:pPr>
              <w:rPr>
                <w:sz w:val="16"/>
                <w:szCs w:val="16"/>
              </w:rPr>
            </w:pPr>
            <w:r w:rsidRPr="00F370A5">
              <w:rPr>
                <w:sz w:val="16"/>
                <w:szCs w:val="16"/>
              </w:rPr>
              <w:t>improve price transparency and income stability to reduce reliance on informal and risky practices</w:t>
            </w:r>
          </w:p>
        </w:tc>
      </w:tr>
      <w:tr w:rsidR="00133170" w:rsidRPr="00F370A5" w14:paraId="333055F9" w14:textId="77777777" w:rsidTr="00930C4A">
        <w:tc>
          <w:tcPr>
            <w:tcW w:w="1489" w:type="dxa"/>
          </w:tcPr>
          <w:p w14:paraId="0D0DEC2C" w14:textId="77777777" w:rsidR="00F126A0" w:rsidRPr="00F370A5" w:rsidRDefault="00F126A0" w:rsidP="006C30DE">
            <w:pPr>
              <w:rPr>
                <w:b/>
                <w:bCs/>
                <w:sz w:val="16"/>
                <w:szCs w:val="16"/>
              </w:rPr>
            </w:pPr>
            <w:r w:rsidRPr="00F370A5">
              <w:rPr>
                <w:b/>
                <w:bCs/>
                <w:color w:val="4472C4" w:themeColor="accent1"/>
                <w:sz w:val="16"/>
                <w:szCs w:val="16"/>
              </w:rPr>
              <w:t>Land and Water Rights</w:t>
            </w:r>
          </w:p>
        </w:tc>
        <w:tc>
          <w:tcPr>
            <w:tcW w:w="0" w:type="auto"/>
          </w:tcPr>
          <w:p w14:paraId="6A2A0E34" w14:textId="058288E1" w:rsidR="00F126A0" w:rsidRPr="00F370A5" w:rsidRDefault="007D0D31" w:rsidP="006C30DE">
            <w:pPr>
              <w:rPr>
                <w:sz w:val="16"/>
                <w:szCs w:val="16"/>
              </w:rPr>
            </w:pPr>
            <w:r w:rsidRPr="00F370A5">
              <w:rPr>
                <w:sz w:val="16"/>
                <w:szCs w:val="16"/>
              </w:rPr>
              <w:t>L</w:t>
            </w:r>
            <w:r w:rsidR="00F126A0" w:rsidRPr="00F370A5">
              <w:rPr>
                <w:sz w:val="16"/>
                <w:szCs w:val="16"/>
              </w:rPr>
              <w:t xml:space="preserve">and governance is largely customary and weakly </w:t>
            </w:r>
            <w:proofErr w:type="spellStart"/>
            <w:r w:rsidR="00F126A0" w:rsidRPr="00F370A5">
              <w:rPr>
                <w:sz w:val="16"/>
                <w:szCs w:val="16"/>
              </w:rPr>
              <w:t>formalised</w:t>
            </w:r>
            <w:proofErr w:type="spellEnd"/>
            <w:r w:rsidR="00F126A0" w:rsidRPr="00F370A5">
              <w:rPr>
                <w:sz w:val="16"/>
                <w:szCs w:val="16"/>
              </w:rPr>
              <w:t xml:space="preserve">; </w:t>
            </w:r>
          </w:p>
          <w:p w14:paraId="6A6FBFE6" w14:textId="7BC9E139" w:rsidR="00F126A0" w:rsidRPr="00F370A5" w:rsidRDefault="007D0D31" w:rsidP="006C30DE">
            <w:pPr>
              <w:rPr>
                <w:sz w:val="16"/>
                <w:szCs w:val="16"/>
              </w:rPr>
            </w:pPr>
            <w:r w:rsidRPr="00F370A5">
              <w:rPr>
                <w:sz w:val="16"/>
                <w:szCs w:val="16"/>
              </w:rPr>
              <w:t>t</w:t>
            </w:r>
            <w:r w:rsidR="00E227CA" w:rsidRPr="00F370A5">
              <w:rPr>
                <w:sz w:val="16"/>
                <w:szCs w:val="16"/>
              </w:rPr>
              <w:t>enure</w:t>
            </w:r>
            <w:r w:rsidR="00F126A0" w:rsidRPr="00F370A5">
              <w:rPr>
                <w:sz w:val="16"/>
                <w:szCs w:val="16"/>
              </w:rPr>
              <w:t xml:space="preserve"> is perceived as secure but not equitable, especially for women; </w:t>
            </w:r>
          </w:p>
          <w:p w14:paraId="5C21C0AE" w14:textId="77777777" w:rsidR="00F126A0" w:rsidRPr="00F370A5" w:rsidRDefault="00F126A0" w:rsidP="006C30DE">
            <w:pPr>
              <w:rPr>
                <w:sz w:val="16"/>
                <w:szCs w:val="16"/>
              </w:rPr>
            </w:pPr>
            <w:r w:rsidRPr="00F370A5">
              <w:rPr>
                <w:sz w:val="16"/>
                <w:szCs w:val="16"/>
              </w:rPr>
              <w:t>limited transparency, weak compensation implementation, and</w:t>
            </w:r>
          </w:p>
          <w:p w14:paraId="15E9C328" w14:textId="77777777" w:rsidR="00F126A0" w:rsidRPr="00F370A5" w:rsidRDefault="00F126A0" w:rsidP="006C30DE">
            <w:pPr>
              <w:rPr>
                <w:sz w:val="16"/>
                <w:szCs w:val="16"/>
              </w:rPr>
            </w:pPr>
            <w:r w:rsidRPr="00F370A5">
              <w:rPr>
                <w:sz w:val="16"/>
                <w:szCs w:val="16"/>
              </w:rPr>
              <w:t>reliance on informal grievance systems</w:t>
            </w:r>
          </w:p>
        </w:tc>
        <w:tc>
          <w:tcPr>
            <w:tcW w:w="0" w:type="auto"/>
          </w:tcPr>
          <w:p w14:paraId="43F0973E" w14:textId="0AD23E79" w:rsidR="00F126A0" w:rsidRPr="00F370A5" w:rsidRDefault="007D0D31" w:rsidP="006C30DE">
            <w:pPr>
              <w:rPr>
                <w:sz w:val="16"/>
                <w:szCs w:val="16"/>
              </w:rPr>
            </w:pPr>
            <w:proofErr w:type="gramStart"/>
            <w:r w:rsidRPr="00F370A5">
              <w:rPr>
                <w:sz w:val="16"/>
                <w:szCs w:val="16"/>
              </w:rPr>
              <w:t>S</w:t>
            </w:r>
            <w:r w:rsidR="00F126A0" w:rsidRPr="00F370A5">
              <w:rPr>
                <w:sz w:val="16"/>
                <w:szCs w:val="16"/>
              </w:rPr>
              <w:t>trengthen</w:t>
            </w:r>
            <w:proofErr w:type="gramEnd"/>
            <w:r w:rsidR="00F126A0" w:rsidRPr="00F370A5">
              <w:rPr>
                <w:sz w:val="16"/>
                <w:szCs w:val="16"/>
              </w:rPr>
              <w:t xml:space="preserve"> implementation of land rights legislation;</w:t>
            </w:r>
          </w:p>
          <w:p w14:paraId="7FE70AD3" w14:textId="77777777" w:rsidR="00F126A0" w:rsidRPr="00F370A5" w:rsidRDefault="00F126A0" w:rsidP="006C30DE">
            <w:pPr>
              <w:rPr>
                <w:sz w:val="16"/>
                <w:szCs w:val="16"/>
              </w:rPr>
            </w:pPr>
            <w:r w:rsidRPr="00F370A5">
              <w:rPr>
                <w:sz w:val="16"/>
                <w:szCs w:val="16"/>
              </w:rPr>
              <w:t xml:space="preserve">promote land documentation and mapping; </w:t>
            </w:r>
          </w:p>
          <w:p w14:paraId="5D9730AB" w14:textId="77777777" w:rsidR="00F126A0" w:rsidRPr="00F370A5" w:rsidRDefault="00F126A0" w:rsidP="006C30DE">
            <w:pPr>
              <w:rPr>
                <w:sz w:val="16"/>
                <w:szCs w:val="16"/>
              </w:rPr>
            </w:pPr>
            <w:r w:rsidRPr="00F370A5">
              <w:rPr>
                <w:sz w:val="16"/>
                <w:szCs w:val="16"/>
              </w:rPr>
              <w:t xml:space="preserve">ensure inclusive and transparent compensation mechanisms; </w:t>
            </w:r>
          </w:p>
          <w:p w14:paraId="0C32FF3E" w14:textId="77777777" w:rsidR="00F126A0" w:rsidRPr="00F370A5" w:rsidRDefault="00F126A0" w:rsidP="006C30DE">
            <w:pPr>
              <w:rPr>
                <w:sz w:val="16"/>
                <w:szCs w:val="16"/>
              </w:rPr>
            </w:pPr>
            <w:r w:rsidRPr="00F370A5">
              <w:rPr>
                <w:sz w:val="16"/>
                <w:szCs w:val="16"/>
              </w:rPr>
              <w:t>establish accessible grievance systems</w:t>
            </w:r>
          </w:p>
          <w:p w14:paraId="1B76AF50" w14:textId="77777777" w:rsidR="00F126A0" w:rsidRPr="00F370A5" w:rsidRDefault="00F126A0" w:rsidP="006C30DE">
            <w:pPr>
              <w:rPr>
                <w:sz w:val="16"/>
                <w:szCs w:val="16"/>
              </w:rPr>
            </w:pPr>
            <w:r w:rsidRPr="00F370A5">
              <w:rPr>
                <w:sz w:val="16"/>
                <w:szCs w:val="16"/>
              </w:rPr>
              <w:t>better integrate customary and formal governance</w:t>
            </w:r>
          </w:p>
        </w:tc>
      </w:tr>
      <w:tr w:rsidR="00133170" w:rsidRPr="00F370A5" w14:paraId="1366221C" w14:textId="77777777" w:rsidTr="00930C4A">
        <w:tc>
          <w:tcPr>
            <w:tcW w:w="1489" w:type="dxa"/>
          </w:tcPr>
          <w:p w14:paraId="605EF6FD" w14:textId="77777777" w:rsidR="00F126A0" w:rsidRPr="00F370A5" w:rsidRDefault="00F126A0" w:rsidP="006C30DE">
            <w:pPr>
              <w:rPr>
                <w:b/>
                <w:bCs/>
                <w:sz w:val="16"/>
                <w:szCs w:val="16"/>
              </w:rPr>
            </w:pPr>
            <w:r w:rsidRPr="00F370A5">
              <w:rPr>
                <w:b/>
                <w:bCs/>
                <w:color w:val="4472C4" w:themeColor="accent1"/>
                <w:sz w:val="16"/>
                <w:szCs w:val="16"/>
              </w:rPr>
              <w:t>Gender Equality</w:t>
            </w:r>
          </w:p>
        </w:tc>
        <w:tc>
          <w:tcPr>
            <w:tcW w:w="0" w:type="auto"/>
          </w:tcPr>
          <w:p w14:paraId="36363754" w14:textId="3EB357B0" w:rsidR="00F126A0" w:rsidRPr="00F370A5" w:rsidRDefault="00E227CA" w:rsidP="006C30DE">
            <w:pPr>
              <w:rPr>
                <w:sz w:val="16"/>
                <w:szCs w:val="16"/>
              </w:rPr>
            </w:pPr>
            <w:r w:rsidRPr="00F370A5">
              <w:rPr>
                <w:sz w:val="16"/>
                <w:szCs w:val="16"/>
              </w:rPr>
              <w:t>Women</w:t>
            </w:r>
            <w:r w:rsidR="00F126A0" w:rsidRPr="00F370A5">
              <w:rPr>
                <w:sz w:val="16"/>
                <w:szCs w:val="16"/>
              </w:rPr>
              <w:t xml:space="preserve"> actively participate in production but have limited access to land, finance, and information</w:t>
            </w:r>
            <w:r w:rsidR="007D0D31" w:rsidRPr="00F370A5">
              <w:rPr>
                <w:sz w:val="16"/>
                <w:szCs w:val="16"/>
              </w:rPr>
              <w:t>;</w:t>
            </w:r>
          </w:p>
          <w:p w14:paraId="58F56F2D" w14:textId="0137C977" w:rsidR="00F126A0" w:rsidRPr="00F370A5" w:rsidRDefault="007D0D31" w:rsidP="006C30DE">
            <w:pPr>
              <w:rPr>
                <w:sz w:val="16"/>
                <w:szCs w:val="16"/>
              </w:rPr>
            </w:pPr>
            <w:r w:rsidRPr="00F370A5">
              <w:rPr>
                <w:sz w:val="16"/>
                <w:szCs w:val="16"/>
              </w:rPr>
              <w:t>w</w:t>
            </w:r>
            <w:r w:rsidR="00E227CA" w:rsidRPr="00F370A5">
              <w:rPr>
                <w:sz w:val="16"/>
                <w:szCs w:val="16"/>
              </w:rPr>
              <w:t>omen</w:t>
            </w:r>
            <w:r w:rsidR="00F126A0" w:rsidRPr="00F370A5">
              <w:rPr>
                <w:sz w:val="16"/>
                <w:szCs w:val="16"/>
              </w:rPr>
              <w:t xml:space="preserve"> have weaker decision-making power, </w:t>
            </w:r>
          </w:p>
          <w:p w14:paraId="5AB6ED22" w14:textId="54389B7E" w:rsidR="00F126A0" w:rsidRPr="00F370A5" w:rsidRDefault="007D0D31" w:rsidP="006C30DE">
            <w:pPr>
              <w:rPr>
                <w:sz w:val="16"/>
                <w:szCs w:val="16"/>
              </w:rPr>
            </w:pPr>
            <w:r w:rsidRPr="00F370A5">
              <w:rPr>
                <w:sz w:val="16"/>
                <w:szCs w:val="16"/>
              </w:rPr>
              <w:t>w</w:t>
            </w:r>
            <w:r w:rsidR="00E227CA" w:rsidRPr="00F370A5">
              <w:rPr>
                <w:sz w:val="16"/>
                <w:szCs w:val="16"/>
              </w:rPr>
              <w:t>omen</w:t>
            </w:r>
            <w:r w:rsidR="00F126A0" w:rsidRPr="00F370A5">
              <w:rPr>
                <w:sz w:val="16"/>
                <w:szCs w:val="16"/>
              </w:rPr>
              <w:t xml:space="preserve"> have low representation in leadership, </w:t>
            </w:r>
          </w:p>
          <w:p w14:paraId="36B41EBF" w14:textId="1AB212A2" w:rsidR="00F126A0" w:rsidRPr="00F370A5" w:rsidRDefault="007D0D31" w:rsidP="006C30DE">
            <w:pPr>
              <w:rPr>
                <w:sz w:val="16"/>
                <w:szCs w:val="16"/>
              </w:rPr>
            </w:pPr>
            <w:r w:rsidRPr="00F370A5">
              <w:rPr>
                <w:sz w:val="16"/>
                <w:szCs w:val="16"/>
              </w:rPr>
              <w:t>w</w:t>
            </w:r>
            <w:r w:rsidR="00E227CA" w:rsidRPr="00F370A5">
              <w:rPr>
                <w:sz w:val="16"/>
                <w:szCs w:val="16"/>
              </w:rPr>
              <w:t>omen</w:t>
            </w:r>
            <w:r w:rsidR="00F126A0" w:rsidRPr="00F370A5">
              <w:rPr>
                <w:sz w:val="16"/>
                <w:szCs w:val="16"/>
              </w:rPr>
              <w:t xml:space="preserve"> have disproportionately high workloads</w:t>
            </w:r>
          </w:p>
        </w:tc>
        <w:tc>
          <w:tcPr>
            <w:tcW w:w="0" w:type="auto"/>
          </w:tcPr>
          <w:p w14:paraId="370C66B8" w14:textId="3C819855" w:rsidR="00F126A0" w:rsidRPr="00F370A5" w:rsidRDefault="007D0D31" w:rsidP="006C30DE">
            <w:pPr>
              <w:rPr>
                <w:sz w:val="16"/>
                <w:szCs w:val="16"/>
              </w:rPr>
            </w:pPr>
            <w:r w:rsidRPr="00F370A5">
              <w:rPr>
                <w:sz w:val="16"/>
                <w:szCs w:val="16"/>
              </w:rPr>
              <w:t>E</w:t>
            </w:r>
            <w:r w:rsidR="00F126A0" w:rsidRPr="00F370A5">
              <w:rPr>
                <w:sz w:val="16"/>
                <w:szCs w:val="16"/>
              </w:rPr>
              <w:t>nhance women’s access</w:t>
            </w:r>
            <w:r w:rsidR="00A70FF3" w:rsidRPr="00F370A5">
              <w:rPr>
                <w:sz w:val="16"/>
                <w:szCs w:val="16"/>
              </w:rPr>
              <w:t xml:space="preserve"> to and control</w:t>
            </w:r>
            <w:r w:rsidR="00F126A0" w:rsidRPr="00F370A5">
              <w:rPr>
                <w:sz w:val="16"/>
                <w:szCs w:val="16"/>
              </w:rPr>
              <w:t xml:space="preserve"> </w:t>
            </w:r>
            <w:r w:rsidR="00A70FF3" w:rsidRPr="00F370A5">
              <w:rPr>
                <w:sz w:val="16"/>
                <w:szCs w:val="16"/>
              </w:rPr>
              <w:t>over</w:t>
            </w:r>
            <w:r w:rsidR="00F126A0" w:rsidRPr="00F370A5">
              <w:rPr>
                <w:sz w:val="16"/>
                <w:szCs w:val="16"/>
              </w:rPr>
              <w:t xml:space="preserve"> land, </w:t>
            </w:r>
            <w:r w:rsidR="00A70FF3" w:rsidRPr="00F370A5">
              <w:rPr>
                <w:sz w:val="16"/>
                <w:szCs w:val="16"/>
              </w:rPr>
              <w:t xml:space="preserve">access to </w:t>
            </w:r>
            <w:r w:rsidR="00F126A0" w:rsidRPr="00F370A5">
              <w:rPr>
                <w:sz w:val="16"/>
                <w:szCs w:val="16"/>
              </w:rPr>
              <w:t xml:space="preserve">finance, and extension services; </w:t>
            </w:r>
          </w:p>
          <w:p w14:paraId="71CD78CF" w14:textId="77777777" w:rsidR="00F126A0" w:rsidRPr="00F370A5" w:rsidRDefault="00F126A0" w:rsidP="006C30DE">
            <w:pPr>
              <w:rPr>
                <w:sz w:val="16"/>
                <w:szCs w:val="16"/>
              </w:rPr>
            </w:pPr>
            <w:r w:rsidRPr="00F370A5">
              <w:rPr>
                <w:sz w:val="16"/>
                <w:szCs w:val="16"/>
              </w:rPr>
              <w:t xml:space="preserve">promote leadership and decision-making roles; </w:t>
            </w:r>
          </w:p>
          <w:p w14:paraId="72A0807A" w14:textId="52BDD9A8" w:rsidR="00F126A0" w:rsidRPr="00F370A5" w:rsidRDefault="00F126A0" w:rsidP="006C30DE">
            <w:pPr>
              <w:rPr>
                <w:sz w:val="16"/>
                <w:szCs w:val="16"/>
              </w:rPr>
            </w:pPr>
            <w:r w:rsidRPr="00F370A5">
              <w:rPr>
                <w:sz w:val="16"/>
                <w:szCs w:val="16"/>
              </w:rPr>
              <w:t>introduce gender-sensitive training and cooperative/FBOs quotas on women’s representation in leadership</w:t>
            </w:r>
            <w:r w:rsidR="007D0D31" w:rsidRPr="00F370A5">
              <w:rPr>
                <w:sz w:val="16"/>
                <w:szCs w:val="16"/>
              </w:rPr>
              <w:t>;</w:t>
            </w:r>
          </w:p>
          <w:p w14:paraId="16D563E6" w14:textId="5853E7A2" w:rsidR="00F126A0" w:rsidRPr="00F370A5" w:rsidRDefault="00F126A0" w:rsidP="006C30DE">
            <w:pPr>
              <w:rPr>
                <w:sz w:val="16"/>
                <w:szCs w:val="16"/>
              </w:rPr>
            </w:pPr>
            <w:r w:rsidRPr="00F370A5">
              <w:rPr>
                <w:sz w:val="16"/>
                <w:szCs w:val="16"/>
              </w:rPr>
              <w:t xml:space="preserve">support </w:t>
            </w:r>
            <w:proofErr w:type="spellStart"/>
            <w:r w:rsidRPr="00F370A5">
              <w:rPr>
                <w:sz w:val="16"/>
                <w:szCs w:val="16"/>
              </w:rPr>
              <w:t>labour-saving</w:t>
            </w:r>
            <w:proofErr w:type="spellEnd"/>
            <w:r w:rsidRPr="00F370A5">
              <w:rPr>
                <w:sz w:val="16"/>
                <w:szCs w:val="16"/>
              </w:rPr>
              <w:t xml:space="preserve"> solutions</w:t>
            </w:r>
            <w:r w:rsidR="007D0D31" w:rsidRPr="00F370A5">
              <w:rPr>
                <w:sz w:val="16"/>
                <w:szCs w:val="16"/>
              </w:rPr>
              <w:t xml:space="preserve"> and </w:t>
            </w:r>
            <w:r w:rsidRPr="00F370A5">
              <w:rPr>
                <w:sz w:val="16"/>
                <w:szCs w:val="16"/>
              </w:rPr>
              <w:t>targeted empowerment measures</w:t>
            </w:r>
          </w:p>
        </w:tc>
      </w:tr>
      <w:tr w:rsidR="00133170" w:rsidRPr="00F370A5" w14:paraId="1B48F3EE" w14:textId="77777777" w:rsidTr="00930C4A">
        <w:tc>
          <w:tcPr>
            <w:tcW w:w="1489" w:type="dxa"/>
          </w:tcPr>
          <w:p w14:paraId="50373E73" w14:textId="77777777" w:rsidR="00F126A0" w:rsidRPr="00F370A5" w:rsidRDefault="00F126A0" w:rsidP="006C30DE">
            <w:pPr>
              <w:rPr>
                <w:b/>
                <w:bCs/>
                <w:sz w:val="16"/>
                <w:szCs w:val="16"/>
              </w:rPr>
            </w:pPr>
            <w:r w:rsidRPr="00F370A5">
              <w:rPr>
                <w:b/>
                <w:bCs/>
                <w:color w:val="4472C4" w:themeColor="accent1"/>
                <w:sz w:val="16"/>
                <w:szCs w:val="16"/>
              </w:rPr>
              <w:t>Food and Nutrition Security</w:t>
            </w:r>
          </w:p>
        </w:tc>
        <w:tc>
          <w:tcPr>
            <w:tcW w:w="0" w:type="auto"/>
          </w:tcPr>
          <w:p w14:paraId="7263970B" w14:textId="25EA1762" w:rsidR="00F126A0" w:rsidRPr="00F370A5" w:rsidRDefault="0023333A" w:rsidP="006C30DE">
            <w:pPr>
              <w:rPr>
                <w:sz w:val="16"/>
                <w:szCs w:val="16"/>
              </w:rPr>
            </w:pPr>
            <w:r w:rsidRPr="00F370A5">
              <w:rPr>
                <w:sz w:val="16"/>
                <w:szCs w:val="16"/>
              </w:rPr>
              <w:t>S</w:t>
            </w:r>
            <w:r w:rsidR="00F126A0" w:rsidRPr="00F370A5">
              <w:rPr>
                <w:sz w:val="16"/>
                <w:szCs w:val="16"/>
              </w:rPr>
              <w:t xml:space="preserve">trong dependence on cocoa income, </w:t>
            </w:r>
          </w:p>
          <w:p w14:paraId="664AF3CB" w14:textId="0B443741" w:rsidR="009951EB" w:rsidRPr="00F370A5" w:rsidRDefault="009951EB" w:rsidP="006C30DE">
            <w:pPr>
              <w:rPr>
                <w:sz w:val="16"/>
                <w:szCs w:val="16"/>
              </w:rPr>
            </w:pPr>
            <w:proofErr w:type="gramStart"/>
            <w:r w:rsidRPr="00F370A5">
              <w:rPr>
                <w:sz w:val="16"/>
                <w:szCs w:val="16"/>
              </w:rPr>
              <w:t>cocoa</w:t>
            </w:r>
            <w:proofErr w:type="gramEnd"/>
            <w:r w:rsidRPr="00F370A5">
              <w:rPr>
                <w:sz w:val="16"/>
                <w:szCs w:val="16"/>
              </w:rPr>
              <w:t xml:space="preserve"> income contributes to short-term resilience but not long-term food security,</w:t>
            </w:r>
          </w:p>
          <w:p w14:paraId="156CDDB4" w14:textId="60EB1158" w:rsidR="00680D34" w:rsidRPr="00F370A5" w:rsidRDefault="00680D34" w:rsidP="006C30DE">
            <w:pPr>
              <w:rPr>
                <w:sz w:val="16"/>
                <w:szCs w:val="16"/>
              </w:rPr>
            </w:pPr>
            <w:proofErr w:type="gramStart"/>
            <w:r w:rsidRPr="00F370A5">
              <w:rPr>
                <w:sz w:val="16"/>
                <w:szCs w:val="16"/>
              </w:rPr>
              <w:t>cocoa</w:t>
            </w:r>
            <w:proofErr w:type="gramEnd"/>
            <w:r w:rsidRPr="00F370A5">
              <w:rPr>
                <w:sz w:val="16"/>
                <w:szCs w:val="16"/>
              </w:rPr>
              <w:t xml:space="preserve"> districts are not uniformly more food insecure than the national average,</w:t>
            </w:r>
          </w:p>
          <w:p w14:paraId="71A675F5" w14:textId="77777777" w:rsidR="00F126A0" w:rsidRPr="00F370A5" w:rsidRDefault="00F126A0" w:rsidP="006C30DE">
            <w:pPr>
              <w:rPr>
                <w:sz w:val="16"/>
                <w:szCs w:val="16"/>
              </w:rPr>
            </w:pPr>
            <w:r w:rsidRPr="00F370A5">
              <w:rPr>
                <w:sz w:val="16"/>
                <w:szCs w:val="16"/>
              </w:rPr>
              <w:t xml:space="preserve">high income volatility, </w:t>
            </w:r>
          </w:p>
          <w:p w14:paraId="1A0826AD" w14:textId="77777777" w:rsidR="00F126A0" w:rsidRPr="00F370A5" w:rsidRDefault="00F126A0" w:rsidP="006C30DE">
            <w:pPr>
              <w:rPr>
                <w:sz w:val="16"/>
                <w:szCs w:val="16"/>
              </w:rPr>
            </w:pPr>
            <w:r w:rsidRPr="00F370A5">
              <w:rPr>
                <w:sz w:val="16"/>
                <w:szCs w:val="16"/>
              </w:rPr>
              <w:t xml:space="preserve">seasonal food insecurity (food shortage ≈4.8 months), </w:t>
            </w:r>
          </w:p>
          <w:p w14:paraId="45C07943" w14:textId="77777777" w:rsidR="00F126A0" w:rsidRPr="00F370A5" w:rsidRDefault="00F126A0" w:rsidP="006C30DE">
            <w:pPr>
              <w:rPr>
                <w:sz w:val="16"/>
                <w:szCs w:val="16"/>
              </w:rPr>
            </w:pPr>
            <w:r w:rsidRPr="00F370A5">
              <w:rPr>
                <w:sz w:val="16"/>
                <w:szCs w:val="16"/>
              </w:rPr>
              <w:t>reliance on credit, and low dietary diversity</w:t>
            </w:r>
          </w:p>
        </w:tc>
        <w:tc>
          <w:tcPr>
            <w:tcW w:w="0" w:type="auto"/>
          </w:tcPr>
          <w:p w14:paraId="03F8E4F2" w14:textId="208FC2CD" w:rsidR="00F126A0" w:rsidRPr="00F370A5" w:rsidRDefault="0023333A" w:rsidP="006C30DE">
            <w:pPr>
              <w:rPr>
                <w:sz w:val="16"/>
                <w:szCs w:val="16"/>
              </w:rPr>
            </w:pPr>
            <w:r w:rsidRPr="00F370A5">
              <w:rPr>
                <w:sz w:val="16"/>
                <w:szCs w:val="16"/>
              </w:rPr>
              <w:t>P</w:t>
            </w:r>
            <w:r w:rsidR="00F126A0" w:rsidRPr="00F370A5">
              <w:rPr>
                <w:sz w:val="16"/>
                <w:szCs w:val="16"/>
              </w:rPr>
              <w:t xml:space="preserve">romote food crop diversification and climate-resilient farming; </w:t>
            </w:r>
          </w:p>
          <w:p w14:paraId="7E73D713" w14:textId="77777777" w:rsidR="00F126A0" w:rsidRPr="00F370A5" w:rsidRDefault="00F126A0" w:rsidP="006C30DE">
            <w:pPr>
              <w:rPr>
                <w:sz w:val="16"/>
                <w:szCs w:val="16"/>
              </w:rPr>
            </w:pPr>
            <w:r w:rsidRPr="00F370A5">
              <w:rPr>
                <w:sz w:val="16"/>
                <w:szCs w:val="16"/>
              </w:rPr>
              <w:t xml:space="preserve">strengthen livelihood diversification and resilience; </w:t>
            </w:r>
          </w:p>
          <w:p w14:paraId="73AA5E80" w14:textId="48CEC6B6" w:rsidR="009951EB" w:rsidRPr="00F370A5" w:rsidRDefault="009951EB" w:rsidP="006C30DE">
            <w:pPr>
              <w:rPr>
                <w:sz w:val="16"/>
                <w:szCs w:val="16"/>
              </w:rPr>
            </w:pPr>
            <w:r w:rsidRPr="00F370A5">
              <w:rPr>
                <w:sz w:val="16"/>
                <w:szCs w:val="16"/>
              </w:rPr>
              <w:t>link cocoa development with broader rural development measures, including infrastructure, extension services, and market access improvements to ensure income translates into sustained food security outcome;</w:t>
            </w:r>
          </w:p>
          <w:p w14:paraId="286B32F4" w14:textId="4630EECA" w:rsidR="00B07F62" w:rsidRPr="00F370A5" w:rsidRDefault="00B07F62" w:rsidP="006C30DE">
            <w:pPr>
              <w:rPr>
                <w:sz w:val="16"/>
                <w:szCs w:val="16"/>
                <w:lang w:val="en-GB"/>
              </w:rPr>
            </w:pPr>
            <w:r w:rsidRPr="00F370A5">
              <w:rPr>
                <w:sz w:val="16"/>
                <w:szCs w:val="16"/>
              </w:rPr>
              <w:t xml:space="preserve">avoid blanket </w:t>
            </w:r>
            <w:proofErr w:type="gramStart"/>
            <w:r w:rsidRPr="00F370A5">
              <w:rPr>
                <w:sz w:val="16"/>
                <w:szCs w:val="16"/>
              </w:rPr>
              <w:t>targeting</w:t>
            </w:r>
            <w:r w:rsidR="0023333A" w:rsidRPr="00F370A5">
              <w:rPr>
                <w:sz w:val="16"/>
                <w:szCs w:val="16"/>
              </w:rPr>
              <w:t xml:space="preserve"> </w:t>
            </w:r>
            <w:r w:rsidRPr="00F370A5">
              <w:rPr>
                <w:sz w:val="16"/>
                <w:szCs w:val="16"/>
              </w:rPr>
              <w:t>of</w:t>
            </w:r>
            <w:proofErr w:type="gramEnd"/>
            <w:r w:rsidRPr="00F370A5">
              <w:rPr>
                <w:sz w:val="16"/>
                <w:szCs w:val="16"/>
              </w:rPr>
              <w:t xml:space="preserve"> cocoa areas; </w:t>
            </w:r>
            <w:r w:rsidR="00807984" w:rsidRPr="00F370A5">
              <w:rPr>
                <w:sz w:val="16"/>
                <w:szCs w:val="16"/>
              </w:rPr>
              <w:t xml:space="preserve">based on evidence, </w:t>
            </w:r>
            <w:r w:rsidRPr="00F370A5">
              <w:rPr>
                <w:sz w:val="16"/>
                <w:szCs w:val="16"/>
              </w:rPr>
              <w:t xml:space="preserve">design </w:t>
            </w:r>
            <w:r w:rsidR="009951EB" w:rsidRPr="00F370A5">
              <w:rPr>
                <w:sz w:val="16"/>
                <w:szCs w:val="16"/>
              </w:rPr>
              <w:t>district-specific interventions</w:t>
            </w:r>
            <w:r w:rsidRPr="00F370A5">
              <w:rPr>
                <w:sz w:val="16"/>
                <w:szCs w:val="16"/>
                <w:lang w:val="en-GB"/>
              </w:rPr>
              <w:t>;</w:t>
            </w:r>
          </w:p>
          <w:p w14:paraId="3D0EF8D3" w14:textId="77777777" w:rsidR="00F126A0" w:rsidRPr="00F370A5" w:rsidRDefault="00F126A0" w:rsidP="006C30DE">
            <w:pPr>
              <w:rPr>
                <w:sz w:val="16"/>
                <w:szCs w:val="16"/>
              </w:rPr>
            </w:pPr>
            <w:r w:rsidRPr="00F370A5">
              <w:rPr>
                <w:sz w:val="16"/>
                <w:szCs w:val="16"/>
              </w:rPr>
              <w:t xml:space="preserve">expand access to fair credit (VSLAs); </w:t>
            </w:r>
          </w:p>
          <w:p w14:paraId="132E53CE" w14:textId="77777777" w:rsidR="00F126A0" w:rsidRPr="00F370A5" w:rsidRDefault="00F126A0" w:rsidP="006C30DE">
            <w:pPr>
              <w:rPr>
                <w:sz w:val="16"/>
                <w:szCs w:val="16"/>
              </w:rPr>
            </w:pPr>
            <w:r w:rsidRPr="00F370A5">
              <w:rPr>
                <w:sz w:val="16"/>
                <w:szCs w:val="16"/>
              </w:rPr>
              <w:t>support nutrition-sensitive interventions and storage systems</w:t>
            </w:r>
          </w:p>
          <w:p w14:paraId="026C997D" w14:textId="77777777" w:rsidR="00B07F62" w:rsidRPr="00F370A5" w:rsidRDefault="00B07F62" w:rsidP="006C30DE">
            <w:pPr>
              <w:rPr>
                <w:sz w:val="16"/>
                <w:szCs w:val="16"/>
              </w:rPr>
            </w:pPr>
          </w:p>
        </w:tc>
      </w:tr>
      <w:tr w:rsidR="00133170" w:rsidRPr="00F370A5" w14:paraId="5DBFFAAA" w14:textId="77777777" w:rsidTr="00930C4A">
        <w:tc>
          <w:tcPr>
            <w:tcW w:w="1489" w:type="dxa"/>
          </w:tcPr>
          <w:p w14:paraId="58C2A8AF" w14:textId="77777777" w:rsidR="00F126A0" w:rsidRPr="00F370A5" w:rsidRDefault="00F126A0" w:rsidP="006C30DE">
            <w:pPr>
              <w:rPr>
                <w:b/>
                <w:bCs/>
                <w:sz w:val="16"/>
                <w:szCs w:val="16"/>
              </w:rPr>
            </w:pPr>
            <w:r w:rsidRPr="00F370A5">
              <w:rPr>
                <w:b/>
                <w:bCs/>
                <w:color w:val="4472C4" w:themeColor="accent1"/>
                <w:sz w:val="16"/>
                <w:szCs w:val="16"/>
              </w:rPr>
              <w:t xml:space="preserve">Social Capital </w:t>
            </w:r>
          </w:p>
        </w:tc>
        <w:tc>
          <w:tcPr>
            <w:tcW w:w="0" w:type="auto"/>
          </w:tcPr>
          <w:p w14:paraId="3ECE2D65" w14:textId="5E459DB0" w:rsidR="00F126A0" w:rsidRPr="00F370A5" w:rsidRDefault="0023333A" w:rsidP="006C30DE">
            <w:pPr>
              <w:rPr>
                <w:sz w:val="16"/>
                <w:szCs w:val="16"/>
              </w:rPr>
            </w:pPr>
            <w:r w:rsidRPr="00F370A5">
              <w:rPr>
                <w:sz w:val="16"/>
                <w:szCs w:val="16"/>
              </w:rPr>
              <w:t>C</w:t>
            </w:r>
            <w:r w:rsidR="00F126A0" w:rsidRPr="00F370A5">
              <w:rPr>
                <w:sz w:val="16"/>
                <w:szCs w:val="16"/>
              </w:rPr>
              <w:t xml:space="preserve">ooperatives are present but weakly </w:t>
            </w:r>
            <w:proofErr w:type="spellStart"/>
            <w:r w:rsidR="00F126A0" w:rsidRPr="00F370A5">
              <w:rPr>
                <w:sz w:val="16"/>
                <w:szCs w:val="16"/>
              </w:rPr>
              <w:t>institutionalised</w:t>
            </w:r>
            <w:proofErr w:type="spellEnd"/>
            <w:r w:rsidR="00F126A0" w:rsidRPr="00F370A5">
              <w:rPr>
                <w:sz w:val="16"/>
                <w:szCs w:val="16"/>
              </w:rPr>
              <w:t xml:space="preserve">, with limited bargaining power, low coordination, and dependence on external actors; </w:t>
            </w:r>
          </w:p>
          <w:p w14:paraId="06B06425" w14:textId="77777777" w:rsidR="00F126A0" w:rsidRPr="00F370A5" w:rsidRDefault="00F126A0" w:rsidP="006C30DE">
            <w:pPr>
              <w:rPr>
                <w:sz w:val="16"/>
                <w:szCs w:val="16"/>
              </w:rPr>
            </w:pPr>
            <w:r w:rsidRPr="00F370A5">
              <w:rPr>
                <w:sz w:val="16"/>
                <w:szCs w:val="16"/>
              </w:rPr>
              <w:t>market information asymmetry and limited trust in pricing mechanisms</w:t>
            </w:r>
          </w:p>
        </w:tc>
        <w:tc>
          <w:tcPr>
            <w:tcW w:w="0" w:type="auto"/>
          </w:tcPr>
          <w:p w14:paraId="37FE9ADC" w14:textId="2FBF4EC4" w:rsidR="00F126A0" w:rsidRPr="00F370A5" w:rsidRDefault="0023333A" w:rsidP="006C30DE">
            <w:pPr>
              <w:rPr>
                <w:sz w:val="16"/>
                <w:szCs w:val="16"/>
              </w:rPr>
            </w:pPr>
            <w:proofErr w:type="gramStart"/>
            <w:r w:rsidRPr="00F370A5">
              <w:rPr>
                <w:sz w:val="16"/>
                <w:szCs w:val="16"/>
              </w:rPr>
              <w:t>S</w:t>
            </w:r>
            <w:r w:rsidR="00F126A0" w:rsidRPr="00F370A5">
              <w:rPr>
                <w:sz w:val="16"/>
                <w:szCs w:val="16"/>
              </w:rPr>
              <w:t>trengthen</w:t>
            </w:r>
            <w:proofErr w:type="gramEnd"/>
            <w:r w:rsidR="00F126A0" w:rsidRPr="00F370A5">
              <w:rPr>
                <w:sz w:val="16"/>
                <w:szCs w:val="16"/>
              </w:rPr>
              <w:t xml:space="preserve"> cooperatives’ governance and financial capacity; </w:t>
            </w:r>
          </w:p>
          <w:p w14:paraId="3D87C556" w14:textId="77777777" w:rsidR="00F126A0" w:rsidRPr="00F370A5" w:rsidRDefault="00F126A0" w:rsidP="006C30DE">
            <w:pPr>
              <w:rPr>
                <w:sz w:val="16"/>
                <w:szCs w:val="16"/>
              </w:rPr>
            </w:pPr>
            <w:r w:rsidRPr="00F370A5">
              <w:rPr>
                <w:sz w:val="16"/>
                <w:szCs w:val="16"/>
              </w:rPr>
              <w:t>improve cocoa price transparency and market information systems;</w:t>
            </w:r>
          </w:p>
          <w:p w14:paraId="1CAA3ECC" w14:textId="77777777" w:rsidR="00F126A0" w:rsidRPr="00F370A5" w:rsidRDefault="00F126A0" w:rsidP="006C30DE">
            <w:pPr>
              <w:rPr>
                <w:sz w:val="16"/>
                <w:szCs w:val="16"/>
              </w:rPr>
            </w:pPr>
            <w:r w:rsidRPr="00F370A5">
              <w:rPr>
                <w:sz w:val="16"/>
                <w:szCs w:val="16"/>
              </w:rPr>
              <w:t xml:space="preserve">enhance coordination among value chain actors; </w:t>
            </w:r>
          </w:p>
          <w:p w14:paraId="04679716" w14:textId="77777777" w:rsidR="00F126A0" w:rsidRPr="00F370A5" w:rsidRDefault="00F126A0" w:rsidP="006C30DE">
            <w:pPr>
              <w:rPr>
                <w:sz w:val="16"/>
                <w:szCs w:val="16"/>
              </w:rPr>
            </w:pPr>
            <w:r w:rsidRPr="00F370A5">
              <w:rPr>
                <w:sz w:val="16"/>
                <w:szCs w:val="16"/>
              </w:rPr>
              <w:t>support inclusive participation of women and youth</w:t>
            </w:r>
          </w:p>
          <w:p w14:paraId="4A37E7AF" w14:textId="593D8945" w:rsidR="00E774C9" w:rsidRPr="00F370A5" w:rsidRDefault="00C434AF" w:rsidP="006C30DE">
            <w:pPr>
              <w:rPr>
                <w:sz w:val="16"/>
                <w:szCs w:val="16"/>
              </w:rPr>
            </w:pPr>
            <w:r w:rsidRPr="00F370A5">
              <w:rPr>
                <w:sz w:val="16"/>
                <w:szCs w:val="16"/>
              </w:rPr>
              <w:t>p</w:t>
            </w:r>
            <w:r w:rsidR="00E774C9" w:rsidRPr="00F370A5">
              <w:rPr>
                <w:sz w:val="16"/>
                <w:szCs w:val="16"/>
              </w:rPr>
              <w:t>ilot cooperative-linked cocoa CPUs as post-harvest and service hubs for fermentation, drying, storage, grading, traceability, collective marketing and women/youth employment, drawing on lessons from the cashew CPU model in S</w:t>
            </w:r>
            <w:r w:rsidR="0023333A" w:rsidRPr="00F370A5">
              <w:rPr>
                <w:sz w:val="16"/>
                <w:szCs w:val="16"/>
              </w:rPr>
              <w:t>ierra Leone.</w:t>
            </w:r>
          </w:p>
        </w:tc>
      </w:tr>
      <w:tr w:rsidR="00133170" w:rsidRPr="00F370A5" w14:paraId="69285358" w14:textId="77777777" w:rsidTr="00930C4A">
        <w:tc>
          <w:tcPr>
            <w:tcW w:w="1489" w:type="dxa"/>
          </w:tcPr>
          <w:p w14:paraId="290040A6" w14:textId="77777777" w:rsidR="00F126A0" w:rsidRPr="00F370A5" w:rsidRDefault="00F126A0" w:rsidP="006C30DE">
            <w:pPr>
              <w:rPr>
                <w:b/>
                <w:bCs/>
                <w:sz w:val="16"/>
                <w:szCs w:val="16"/>
              </w:rPr>
            </w:pPr>
            <w:r w:rsidRPr="00F370A5">
              <w:rPr>
                <w:b/>
                <w:bCs/>
                <w:color w:val="4472C4" w:themeColor="accent1"/>
                <w:sz w:val="16"/>
                <w:szCs w:val="16"/>
              </w:rPr>
              <w:t>Living Conditions</w:t>
            </w:r>
          </w:p>
        </w:tc>
        <w:tc>
          <w:tcPr>
            <w:tcW w:w="0" w:type="auto"/>
          </w:tcPr>
          <w:p w14:paraId="09BCE192" w14:textId="28C814A1" w:rsidR="00F126A0" w:rsidRPr="00F370A5" w:rsidRDefault="0023333A" w:rsidP="006C30DE">
            <w:pPr>
              <w:rPr>
                <w:sz w:val="16"/>
                <w:szCs w:val="16"/>
              </w:rPr>
            </w:pPr>
            <w:r w:rsidRPr="00F370A5">
              <w:rPr>
                <w:sz w:val="16"/>
                <w:szCs w:val="16"/>
              </w:rPr>
              <w:t>L</w:t>
            </w:r>
            <w:r w:rsidR="00F126A0" w:rsidRPr="00F370A5">
              <w:rPr>
                <w:sz w:val="16"/>
                <w:szCs w:val="16"/>
              </w:rPr>
              <w:t xml:space="preserve">imited access to health, education, water and sanitation, and poor rural infrastructure and mobility; </w:t>
            </w:r>
          </w:p>
          <w:p w14:paraId="2E265989" w14:textId="77777777" w:rsidR="00F126A0" w:rsidRPr="00F370A5" w:rsidRDefault="00F126A0" w:rsidP="006C30DE">
            <w:pPr>
              <w:rPr>
                <w:sz w:val="16"/>
                <w:szCs w:val="16"/>
              </w:rPr>
            </w:pPr>
            <w:r w:rsidRPr="00F370A5">
              <w:rPr>
                <w:sz w:val="16"/>
                <w:szCs w:val="16"/>
              </w:rPr>
              <w:t>high costs and seasonal constraints reduce access to services and increase vulnerability</w:t>
            </w:r>
          </w:p>
        </w:tc>
        <w:tc>
          <w:tcPr>
            <w:tcW w:w="0" w:type="auto"/>
          </w:tcPr>
          <w:p w14:paraId="104598CA" w14:textId="77777777" w:rsidR="00F126A0" w:rsidRPr="00F370A5" w:rsidRDefault="00F126A0" w:rsidP="006C30DE">
            <w:pPr>
              <w:rPr>
                <w:sz w:val="16"/>
                <w:szCs w:val="16"/>
              </w:rPr>
            </w:pPr>
            <w:r w:rsidRPr="00F370A5">
              <w:rPr>
                <w:sz w:val="16"/>
                <w:szCs w:val="16"/>
              </w:rPr>
              <w:t xml:space="preserve">Invest in feeder roads, transport, and rural infrastructure; </w:t>
            </w:r>
          </w:p>
          <w:p w14:paraId="590343D0" w14:textId="77777777" w:rsidR="00F126A0" w:rsidRPr="00F370A5" w:rsidRDefault="00F126A0" w:rsidP="006C30DE">
            <w:pPr>
              <w:rPr>
                <w:sz w:val="16"/>
                <w:szCs w:val="16"/>
              </w:rPr>
            </w:pPr>
            <w:r w:rsidRPr="00F370A5">
              <w:rPr>
                <w:sz w:val="16"/>
                <w:szCs w:val="16"/>
              </w:rPr>
              <w:t xml:space="preserve">strengthen health, education, and WASH services; </w:t>
            </w:r>
          </w:p>
          <w:p w14:paraId="6D4D78DF" w14:textId="77777777" w:rsidR="00F126A0" w:rsidRPr="00F370A5" w:rsidRDefault="00F126A0" w:rsidP="006C30DE">
            <w:pPr>
              <w:rPr>
                <w:sz w:val="16"/>
                <w:szCs w:val="16"/>
              </w:rPr>
            </w:pPr>
            <w:r w:rsidRPr="00F370A5">
              <w:rPr>
                <w:sz w:val="16"/>
                <w:szCs w:val="16"/>
              </w:rPr>
              <w:t xml:space="preserve">improve extension and service delivery in cocoa areas; </w:t>
            </w:r>
          </w:p>
          <w:p w14:paraId="5022FBF2" w14:textId="77777777" w:rsidR="00F126A0" w:rsidRPr="00F370A5" w:rsidRDefault="00F126A0" w:rsidP="006C30DE">
            <w:pPr>
              <w:rPr>
                <w:sz w:val="16"/>
                <w:szCs w:val="16"/>
              </w:rPr>
            </w:pPr>
            <w:r w:rsidRPr="00F370A5">
              <w:rPr>
                <w:sz w:val="16"/>
                <w:szCs w:val="16"/>
              </w:rPr>
              <w:t>integrate service improvements into value chain development</w:t>
            </w:r>
          </w:p>
        </w:tc>
      </w:tr>
    </w:tbl>
    <w:p w14:paraId="09D07C1F" w14:textId="3E8F3183" w:rsidR="00613FE2" w:rsidRPr="00F02285" w:rsidRDefault="00613FE2" w:rsidP="00613FE2">
      <w:pPr>
        <w:rPr>
          <w:rFonts w:cs="Open Sans"/>
          <w:sz w:val="20"/>
          <w:szCs w:val="20"/>
        </w:rPr>
      </w:pPr>
      <w:r w:rsidRPr="00F02285">
        <w:rPr>
          <w:rFonts w:cs="Open Sans"/>
          <w:sz w:val="20"/>
          <w:szCs w:val="20"/>
        </w:rPr>
        <w:t xml:space="preserve">  </w:t>
      </w:r>
    </w:p>
    <w:p w14:paraId="1E367094" w14:textId="77777777" w:rsidR="00613FE2" w:rsidRPr="00F02285" w:rsidRDefault="00613FE2" w:rsidP="00613FE2">
      <w:pPr>
        <w:rPr>
          <w:rFonts w:cs="Open Sans"/>
          <w:sz w:val="20"/>
          <w:szCs w:val="20"/>
        </w:rPr>
      </w:pPr>
    </w:p>
    <w:p w14:paraId="6866E9E0" w14:textId="692499C3" w:rsidR="00752F47" w:rsidRPr="00D73DF3" w:rsidRDefault="00752F47" w:rsidP="00D73DF3">
      <w:pPr>
        <w:pStyle w:val="Heading1"/>
        <w:rPr>
          <w:rStyle w:val="IntenseEmphasis"/>
          <w:b/>
          <w:bCs/>
          <w:iCs w:val="0"/>
          <w:sz w:val="22"/>
        </w:rPr>
      </w:pPr>
      <w:bookmarkStart w:id="157" w:name="_Toc228701037"/>
      <w:r w:rsidRPr="00D73DF3">
        <w:rPr>
          <w:rStyle w:val="IntenseEmphasis"/>
          <w:b/>
          <w:bCs/>
          <w:iCs w:val="0"/>
          <w:sz w:val="22"/>
        </w:rPr>
        <w:t>IS THE VALUE CHAIN ENVIRONMENTALLY SUSTAINABLE?</w:t>
      </w:r>
      <w:bookmarkEnd w:id="157"/>
    </w:p>
    <w:p w14:paraId="7CA0C883" w14:textId="72387B0A" w:rsidR="00A0601A" w:rsidRPr="00D73DF3" w:rsidRDefault="00204C63" w:rsidP="00D73DF3">
      <w:pPr>
        <w:pStyle w:val="Heading2"/>
      </w:pPr>
      <w:bookmarkStart w:id="158" w:name="_Toc228701038"/>
      <w:r w:rsidRPr="00204C63">
        <w:t>Introduction and Framing Questions</w:t>
      </w:r>
      <w:bookmarkEnd w:id="158"/>
    </w:p>
    <w:p w14:paraId="63C4AB36" w14:textId="6CD63189" w:rsidR="00A0601A" w:rsidRPr="00A135F7" w:rsidRDefault="00204C63" w:rsidP="00A0601A">
      <w:pPr>
        <w:rPr>
          <w:rFonts w:cs="Open Sans"/>
          <w:sz w:val="20"/>
          <w:szCs w:val="20"/>
        </w:rPr>
      </w:pPr>
      <w:r w:rsidRPr="00204C63">
        <w:rPr>
          <w:rFonts w:cs="Open Sans"/>
          <w:sz w:val="20"/>
          <w:szCs w:val="20"/>
        </w:rPr>
        <w:t>The objective of this section is to answer the framing question: is the cocoa value chain in Sierra Leone sustainable? Sustainability in this case is considered through 4 different framing questions: climate change, human health, environmental quality and resource use. These questions are answered through quantification via the method of life cycle assessment (LCA). The overarching aim of these questions is to consider different types of environmental burden, particularly the need to integrate global, local and impacts associated with resource associated. These assist in distinguishing potential consequential trade-offs or coherence amongst different impact types. An ancillary question is the potential impact on biodiversity associated with cocoa agroforestry systems. This will be assessed within a qualitative framework considering both literature sources and information obtained though farmer interviews</w:t>
      </w:r>
      <w:r w:rsidR="00A0601A" w:rsidRPr="00A135F7">
        <w:rPr>
          <w:rFonts w:cs="Open Sans"/>
          <w:sz w:val="20"/>
          <w:szCs w:val="20"/>
        </w:rPr>
        <w:t>.</w:t>
      </w:r>
    </w:p>
    <w:p w14:paraId="0AE914BB" w14:textId="58AD53D7" w:rsidR="00A0601A" w:rsidRPr="00D73DF3" w:rsidRDefault="00204C63" w:rsidP="00D73DF3">
      <w:pPr>
        <w:pStyle w:val="Heading2"/>
      </w:pPr>
      <w:bookmarkStart w:id="159" w:name="_Toc228701039"/>
      <w:r>
        <w:t>Framing</w:t>
      </w:r>
      <w:r w:rsidR="00A0601A" w:rsidRPr="00D73DF3">
        <w:t xml:space="preserve"> </w:t>
      </w:r>
      <w:r w:rsidRPr="00204C63">
        <w:t>Questions within LCA</w:t>
      </w:r>
      <w:bookmarkEnd w:id="159"/>
    </w:p>
    <w:p w14:paraId="5114393E" w14:textId="183E7F34" w:rsidR="00204C63" w:rsidRPr="00204C63" w:rsidRDefault="00204C63" w:rsidP="00204C63">
      <w:pPr>
        <w:rPr>
          <w:rFonts w:cs="Open Sans"/>
          <w:sz w:val="20"/>
          <w:szCs w:val="20"/>
        </w:rPr>
      </w:pPr>
      <w:r w:rsidRPr="00204C63">
        <w:rPr>
          <w:rFonts w:cs="Open Sans"/>
          <w:sz w:val="20"/>
          <w:szCs w:val="20"/>
        </w:rPr>
        <w:t>As mentioned, the framing questions which support Climate Change impact is measured in CO</w:t>
      </w:r>
      <w:r w:rsidRPr="00204C63">
        <w:rPr>
          <w:rFonts w:ascii="Cambria Math" w:hAnsi="Cambria Math" w:cs="Cambria Math"/>
          <w:sz w:val="20"/>
          <w:szCs w:val="20"/>
        </w:rPr>
        <w:t>₂</w:t>
      </w:r>
      <w:r w:rsidRPr="00204C63">
        <w:rPr>
          <w:rFonts w:cs="Open Sans"/>
          <w:sz w:val="20"/>
          <w:szCs w:val="20"/>
        </w:rPr>
        <w:t xml:space="preserve"> equivalents, (</w:t>
      </w:r>
      <w:proofErr w:type="spellStart"/>
      <w:r w:rsidRPr="00204C63">
        <w:rPr>
          <w:rFonts w:cs="Open Sans"/>
          <w:sz w:val="20"/>
          <w:szCs w:val="20"/>
        </w:rPr>
        <w:t>CO</w:t>
      </w:r>
      <w:r w:rsidRPr="00204C63">
        <w:rPr>
          <w:rFonts w:ascii="Cambria Math" w:hAnsi="Cambria Math" w:cs="Cambria Math"/>
          <w:sz w:val="20"/>
          <w:szCs w:val="20"/>
        </w:rPr>
        <w:t>₂</w:t>
      </w:r>
      <w:r w:rsidRPr="00204C63">
        <w:rPr>
          <w:rFonts w:cs="Open Sans"/>
          <w:sz w:val="20"/>
          <w:szCs w:val="20"/>
        </w:rPr>
        <w:t>e</w:t>
      </w:r>
      <w:proofErr w:type="spellEnd"/>
      <w:r w:rsidRPr="00204C63">
        <w:rPr>
          <w:rFonts w:cs="Open Sans"/>
          <w:sz w:val="20"/>
          <w:szCs w:val="20"/>
        </w:rPr>
        <w:t xml:space="preserve">) in which the relative climate forcing impact of different greenhouse gases (GHGs). The “human health” damage category within LCA influenced by respiratory effects caused by inorganic substances emitted into air. It considers a range of different </w:t>
      </w:r>
      <w:r w:rsidR="00A81B40" w:rsidRPr="00204C63">
        <w:rPr>
          <w:rFonts w:cs="Open Sans"/>
          <w:sz w:val="20"/>
          <w:szCs w:val="20"/>
        </w:rPr>
        <w:t>impacts</w:t>
      </w:r>
      <w:r w:rsidRPr="00204C63">
        <w:rPr>
          <w:rFonts w:cs="Open Sans"/>
          <w:sz w:val="20"/>
          <w:szCs w:val="20"/>
        </w:rPr>
        <w:t xml:space="preserve"> and is informed by </w:t>
      </w:r>
      <w:proofErr w:type="gramStart"/>
      <w:r w:rsidRPr="00204C63">
        <w:rPr>
          <w:rFonts w:cs="Open Sans"/>
          <w:sz w:val="20"/>
          <w:szCs w:val="20"/>
        </w:rPr>
        <w:t>a number of</w:t>
      </w:r>
      <w:proofErr w:type="gramEnd"/>
      <w:r w:rsidRPr="00204C63">
        <w:rPr>
          <w:rFonts w:cs="Open Sans"/>
          <w:sz w:val="20"/>
          <w:szCs w:val="20"/>
        </w:rPr>
        <w:t xml:space="preserve"> different impacts such as human toxicity, respiratory effects, ionizing radiation, ozone layer depletion etc. Human health impact is expressed in “DALYs” which is the disability adjusted life year which is a measure of active years of a person’s life which is lost due to ill-health, disability or early death. The “ecosystem quality” damage category considers ecotoxic and acidification impacts on the local (relative to point of emission). Ecosystem impacts are measured in the % of potentially disappeared (PDF) species per area. The damage category “Resources” is influenced by non-renewable energy consumption and mineral extraction. </w:t>
      </w:r>
    </w:p>
    <w:p w14:paraId="2ACD02CE" w14:textId="06E75DB7" w:rsidR="00A0601A" w:rsidRPr="00D73DF3" w:rsidRDefault="00204C63" w:rsidP="00D73DF3">
      <w:pPr>
        <w:pStyle w:val="Heading3"/>
      </w:pPr>
      <w:bookmarkStart w:id="160" w:name="_Toc228701040"/>
      <w:r>
        <w:t>Goals and Scope</w:t>
      </w:r>
      <w:bookmarkEnd w:id="160"/>
    </w:p>
    <w:p w14:paraId="7FB93901" w14:textId="56B4D1E2" w:rsidR="00204C63" w:rsidRPr="00204C63" w:rsidRDefault="00204C63" w:rsidP="005949D4">
      <w:pPr>
        <w:rPr>
          <w:rFonts w:cs="Open Sans"/>
          <w:sz w:val="20"/>
          <w:szCs w:val="20"/>
        </w:rPr>
      </w:pPr>
      <w:r w:rsidRPr="00204C63">
        <w:rPr>
          <w:rFonts w:cs="Open Sans"/>
          <w:sz w:val="20"/>
          <w:szCs w:val="20"/>
        </w:rPr>
        <w:t xml:space="preserve">The primary functional unit chosen for this exercise is one kg of dry cocoa unloaded at the port in Freetown (i.e. warehouse) anticipating loading onto a ship for transport. The study boundary begins at the forest farm and terminates at the port as mentioned above. It entails </w:t>
      </w:r>
      <w:proofErr w:type="gramStart"/>
      <w:r w:rsidRPr="00204C63">
        <w:rPr>
          <w:rFonts w:cs="Open Sans"/>
          <w:sz w:val="20"/>
          <w:szCs w:val="20"/>
        </w:rPr>
        <w:t>a number of</w:t>
      </w:r>
      <w:proofErr w:type="gramEnd"/>
      <w:r w:rsidRPr="00204C63">
        <w:rPr>
          <w:rFonts w:cs="Open Sans"/>
          <w:sz w:val="20"/>
          <w:szCs w:val="20"/>
        </w:rPr>
        <w:t xml:space="preserve"> different stages, including harvesting, transport to a cooperative, drying where needed, further transport to an exporter, additional drying if necessary, and final transport to the port. </w:t>
      </w:r>
    </w:p>
    <w:p w14:paraId="7B0222A0" w14:textId="77777777" w:rsidR="005949D4" w:rsidRDefault="005949D4" w:rsidP="005949D4">
      <w:pPr>
        <w:rPr>
          <w:rFonts w:cs="Open Sans"/>
          <w:sz w:val="20"/>
          <w:szCs w:val="20"/>
        </w:rPr>
      </w:pPr>
    </w:p>
    <w:p w14:paraId="47978B0A" w14:textId="50240E95" w:rsidR="0089127B" w:rsidRDefault="00204C63" w:rsidP="005949D4">
      <w:pPr>
        <w:rPr>
          <w:rFonts w:cs="Open Sans"/>
          <w:sz w:val="20"/>
          <w:szCs w:val="20"/>
        </w:rPr>
      </w:pPr>
      <w:r w:rsidRPr="00204C63">
        <w:rPr>
          <w:rFonts w:cs="Open Sans"/>
          <w:sz w:val="20"/>
          <w:szCs w:val="20"/>
        </w:rPr>
        <w:t xml:space="preserve">One of the challenges of incorporating agroforestry systems within LCA is the variability and mosaic structure, considering a range of ages, additional crops and the dynamic (cleaning, scrubbing, planting, replanting) nature of agroforestry means that agroforestry is a more fluid process than other agricultural land uses. For that reason, </w:t>
      </w:r>
      <w:proofErr w:type="gramStart"/>
      <w:r w:rsidRPr="00204C63">
        <w:rPr>
          <w:rFonts w:cs="Open Sans"/>
          <w:sz w:val="20"/>
          <w:szCs w:val="20"/>
        </w:rPr>
        <w:t>a number of</w:t>
      </w:r>
      <w:proofErr w:type="gramEnd"/>
      <w:r w:rsidRPr="00204C63">
        <w:rPr>
          <w:rFonts w:cs="Open Sans"/>
          <w:sz w:val="20"/>
          <w:szCs w:val="20"/>
        </w:rPr>
        <w:t xml:space="preserve"> different case studies will be represented, considering potential agroforestry systems. These are based on general observations of the characteristics of agroforestry systems, as well as the responses of individuals interviewed during this process. Broadly speaking, the environmental study is broken up into four different case studies, each representing different sub value chains of the overall cocoa sector, with different assumptions on production methods </w:t>
      </w:r>
      <w:proofErr w:type="spellStart"/>
      <w:r w:rsidRPr="00204C63">
        <w:rPr>
          <w:rFonts w:cs="Open Sans"/>
          <w:sz w:val="20"/>
          <w:szCs w:val="20"/>
        </w:rPr>
        <w:t>etc</w:t>
      </w:r>
      <w:proofErr w:type="spellEnd"/>
      <w:r w:rsidRPr="00204C63">
        <w:rPr>
          <w:rFonts w:cs="Open Sans"/>
          <w:sz w:val="20"/>
          <w:szCs w:val="20"/>
        </w:rPr>
        <w:t xml:space="preserve">, with some disaggregation within case studies based on different assumptions on previous land use etc. </w:t>
      </w:r>
      <w:r w:rsidR="0089127B" w:rsidRPr="0089127B">
        <w:rPr>
          <w:rFonts w:cs="Open Sans"/>
          <w:sz w:val="20"/>
          <w:szCs w:val="20"/>
        </w:rPr>
        <w:t>The first two crop system case studies relate to smallholder</w:t>
      </w:r>
      <w:r w:rsidR="0089127B">
        <w:rPr>
          <w:rFonts w:cs="Open Sans"/>
          <w:sz w:val="20"/>
          <w:szCs w:val="20"/>
        </w:rPr>
        <w:t>s</w:t>
      </w:r>
      <w:r w:rsidR="0089127B" w:rsidRPr="0089127B">
        <w:rPr>
          <w:rFonts w:cs="Open Sans"/>
          <w:sz w:val="20"/>
          <w:szCs w:val="20"/>
        </w:rPr>
        <w:t xml:space="preserve"> whilst the latter two (case studies 3 and 4) reflect larger </w:t>
      </w:r>
      <w:r w:rsidR="0089127B">
        <w:rPr>
          <w:rFonts w:cs="Open Sans"/>
          <w:sz w:val="20"/>
          <w:szCs w:val="20"/>
        </w:rPr>
        <w:t>smallholders</w:t>
      </w:r>
      <w:r w:rsidR="0089127B" w:rsidRPr="0089127B">
        <w:rPr>
          <w:rFonts w:cs="Open Sans"/>
          <w:sz w:val="20"/>
          <w:szCs w:val="20"/>
        </w:rPr>
        <w:t>.</w:t>
      </w:r>
    </w:p>
    <w:p w14:paraId="18181243" w14:textId="77777777" w:rsidR="0089127B" w:rsidRDefault="0089127B" w:rsidP="005949D4">
      <w:pPr>
        <w:rPr>
          <w:rFonts w:cs="Open Sans"/>
          <w:sz w:val="20"/>
          <w:szCs w:val="20"/>
        </w:rPr>
      </w:pPr>
    </w:p>
    <w:p w14:paraId="15F16D82" w14:textId="4137E34F" w:rsidR="00204C63" w:rsidRDefault="00204C63" w:rsidP="005949D4">
      <w:pPr>
        <w:rPr>
          <w:rFonts w:cs="Open Sans"/>
          <w:sz w:val="20"/>
          <w:szCs w:val="20"/>
        </w:rPr>
      </w:pPr>
      <w:r w:rsidRPr="00204C63">
        <w:rPr>
          <w:rFonts w:cs="Open Sans"/>
          <w:sz w:val="20"/>
          <w:szCs w:val="20"/>
        </w:rPr>
        <w:t>All four case studies share the same broad configuration, cocoa is produced on the farm, transported (via motorcycle) to a cooperative store where it may be sundried if feasible. Subsequently it is loaded onto a truck and transported to a trader/exporter warehouse where additional drying takes place if needed before finally being loaded onto a container truck which travels to Cape Town to a storehouse where the study terminates.</w:t>
      </w:r>
    </w:p>
    <w:p w14:paraId="181CEA5E" w14:textId="77777777" w:rsidR="00250335" w:rsidRDefault="00250335" w:rsidP="005949D4">
      <w:pPr>
        <w:rPr>
          <w:rFonts w:cs="Open Sans"/>
          <w:sz w:val="20"/>
          <w:szCs w:val="20"/>
        </w:rPr>
      </w:pPr>
    </w:p>
    <w:p w14:paraId="1BE7481C" w14:textId="314F6F80" w:rsidR="00250335" w:rsidRPr="00250335" w:rsidRDefault="00250335" w:rsidP="00250335">
      <w:pPr>
        <w:pStyle w:val="Heading2"/>
      </w:pPr>
      <w:bookmarkStart w:id="161" w:name="_Toc228701041"/>
      <w:r w:rsidRPr="00250335">
        <w:t>Case Studies</w:t>
      </w:r>
      <w:bookmarkEnd w:id="161"/>
    </w:p>
    <w:p w14:paraId="12C61D3C" w14:textId="30A2BC44" w:rsidR="00250335" w:rsidRPr="00B003E9" w:rsidRDefault="00250335" w:rsidP="00250335">
      <w:pPr>
        <w:rPr>
          <w:sz w:val="20"/>
          <w:szCs w:val="20"/>
        </w:rPr>
      </w:pPr>
      <w:r w:rsidRPr="003B1302">
        <w:rPr>
          <w:sz w:val="20"/>
          <w:szCs w:val="20"/>
        </w:rPr>
        <w:t xml:space="preserve">As mentioned in chapter 1, for the environmental analysis it was necessary to incorporate different production systems </w:t>
      </w:r>
      <w:proofErr w:type="gramStart"/>
      <w:r w:rsidRPr="003B1302">
        <w:rPr>
          <w:sz w:val="20"/>
          <w:szCs w:val="20"/>
        </w:rPr>
        <w:t>in order to</w:t>
      </w:r>
      <w:proofErr w:type="gramEnd"/>
      <w:r w:rsidRPr="003B1302">
        <w:rPr>
          <w:sz w:val="20"/>
          <w:szCs w:val="20"/>
        </w:rPr>
        <w:t xml:space="preserve"> comment on the impact of different management choices. The main assumption associated with these cropping system case studies are summarized below and in the appendices.</w:t>
      </w:r>
    </w:p>
    <w:p w14:paraId="555C5013" w14:textId="77777777" w:rsidR="00250335" w:rsidRPr="003B1302" w:rsidRDefault="00250335" w:rsidP="00250335">
      <w:pPr>
        <w:pStyle w:val="Caption"/>
        <w:keepNext/>
        <w:jc w:val="center"/>
      </w:pPr>
    </w:p>
    <w:p w14:paraId="5178DB78" w14:textId="59F9299E" w:rsidR="00250335" w:rsidRPr="003B1302" w:rsidRDefault="00250335" w:rsidP="00250335">
      <w:pPr>
        <w:pStyle w:val="Caption"/>
        <w:keepNext/>
        <w:jc w:val="center"/>
      </w:pPr>
      <w:bookmarkStart w:id="162" w:name="_Toc228701086"/>
      <w:r w:rsidRPr="003B1302">
        <w:t xml:space="preserve">Table </w:t>
      </w:r>
      <w:fldSimple w:instr=" STYLEREF 1 \s ">
        <w:r w:rsidR="006C1C4E">
          <w:rPr>
            <w:noProof/>
          </w:rPr>
          <w:t>5</w:t>
        </w:r>
      </w:fldSimple>
      <w:r w:rsidR="006C1C4E">
        <w:noBreakHyphen/>
      </w:r>
      <w:fldSimple w:instr=" SEQ Table \* ARABIC \s 1 ">
        <w:r w:rsidR="006C1C4E">
          <w:rPr>
            <w:noProof/>
          </w:rPr>
          <w:t>1</w:t>
        </w:r>
      </w:fldSimple>
      <w:r w:rsidRPr="003B1302">
        <w:t>:Summary of indicative crop system case study assumptions</w:t>
      </w:r>
      <w:bookmarkEnd w:id="162"/>
    </w:p>
    <w:tbl>
      <w:tblPr>
        <w:tblStyle w:val="GridTable4-Accent1"/>
        <w:tblW w:w="6640" w:type="dxa"/>
        <w:jc w:val="center"/>
        <w:tblLook w:val="04A0" w:firstRow="1" w:lastRow="0" w:firstColumn="1" w:lastColumn="0" w:noHBand="0" w:noVBand="1"/>
      </w:tblPr>
      <w:tblGrid>
        <w:gridCol w:w="1759"/>
        <w:gridCol w:w="1180"/>
        <w:gridCol w:w="1461"/>
        <w:gridCol w:w="1000"/>
        <w:gridCol w:w="1240"/>
      </w:tblGrid>
      <w:tr w:rsidR="00250335" w:rsidRPr="003B1302" w14:paraId="7C50FFA3" w14:textId="77777777" w:rsidTr="0089347F">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tcPr>
          <w:p w14:paraId="24885A05"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kern w:val="0"/>
                <w:sz w:val="20"/>
                <w:szCs w:val="20"/>
                <w:lang w:eastAsia="en-GB"/>
                <w14:ligatures w14:val="none"/>
              </w:rPr>
              <w:t>Case study no</w:t>
            </w:r>
          </w:p>
        </w:tc>
        <w:tc>
          <w:tcPr>
            <w:tcW w:w="1180" w:type="dxa"/>
            <w:noWrap/>
          </w:tcPr>
          <w:p w14:paraId="1DF239FA" w14:textId="77777777" w:rsidR="00250335" w:rsidRPr="003B1302" w:rsidRDefault="00250335"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1</w:t>
            </w:r>
          </w:p>
        </w:tc>
        <w:tc>
          <w:tcPr>
            <w:tcW w:w="1461" w:type="dxa"/>
            <w:noWrap/>
          </w:tcPr>
          <w:p w14:paraId="70A6DC39" w14:textId="77777777" w:rsidR="00250335" w:rsidRPr="003B1302" w:rsidRDefault="00250335"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2</w:t>
            </w:r>
          </w:p>
        </w:tc>
        <w:tc>
          <w:tcPr>
            <w:tcW w:w="1000" w:type="dxa"/>
            <w:noWrap/>
          </w:tcPr>
          <w:p w14:paraId="4C5B5D95" w14:textId="77777777" w:rsidR="00250335" w:rsidRPr="003B1302" w:rsidRDefault="00250335"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3</w:t>
            </w:r>
          </w:p>
        </w:tc>
        <w:tc>
          <w:tcPr>
            <w:tcW w:w="1240" w:type="dxa"/>
            <w:noWrap/>
          </w:tcPr>
          <w:p w14:paraId="6822061A" w14:textId="77777777" w:rsidR="00250335" w:rsidRPr="00B82559" w:rsidRDefault="00250335"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4</w:t>
            </w:r>
          </w:p>
        </w:tc>
      </w:tr>
      <w:tr w:rsidR="00250335" w:rsidRPr="003B1302" w14:paraId="54EF4196"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tcPr>
          <w:p w14:paraId="4A6C1B82" w14:textId="77777777" w:rsidR="00250335" w:rsidRPr="003B1302" w:rsidRDefault="00250335" w:rsidP="0089347F">
            <w:pPr>
              <w:jc w:val="center"/>
              <w:rPr>
                <w:rFonts w:eastAsia="Times New Roman" w:cs="Open Sans"/>
                <w:color w:val="000000"/>
                <w:sz w:val="20"/>
                <w:szCs w:val="20"/>
                <w:lang w:eastAsia="en-GB"/>
              </w:rPr>
            </w:pPr>
            <w:r w:rsidRPr="003B1302">
              <w:rPr>
                <w:rFonts w:eastAsia="Times New Roman" w:cs="Open Sans"/>
                <w:color w:val="000000"/>
                <w:sz w:val="20"/>
                <w:szCs w:val="20"/>
                <w:lang w:eastAsia="en-GB"/>
              </w:rPr>
              <w:t>Title</w:t>
            </w:r>
          </w:p>
        </w:tc>
        <w:tc>
          <w:tcPr>
            <w:tcW w:w="1180" w:type="dxa"/>
            <w:noWrap/>
          </w:tcPr>
          <w:p w14:paraId="3068177B"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sz w:val="20"/>
                <w:szCs w:val="20"/>
                <w:lang w:eastAsia="en-GB"/>
              </w:rPr>
            </w:pPr>
            <w:r w:rsidRPr="003B1302">
              <w:rPr>
                <w:rFonts w:eastAsia="Times New Roman" w:cs="Open Sans"/>
                <w:b/>
                <w:bCs/>
                <w:color w:val="000000"/>
                <w:sz w:val="20"/>
                <w:szCs w:val="20"/>
                <w:lang w:eastAsia="en-GB"/>
              </w:rPr>
              <w:t>Elderly</w:t>
            </w:r>
          </w:p>
        </w:tc>
        <w:tc>
          <w:tcPr>
            <w:tcW w:w="1461" w:type="dxa"/>
            <w:noWrap/>
          </w:tcPr>
          <w:p w14:paraId="24598794"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sz w:val="20"/>
                <w:szCs w:val="20"/>
                <w:lang w:eastAsia="en-GB"/>
              </w:rPr>
            </w:pPr>
            <w:r w:rsidRPr="003B1302">
              <w:rPr>
                <w:rFonts w:eastAsia="Times New Roman" w:cs="Open Sans"/>
                <w:b/>
                <w:bCs/>
                <w:color w:val="000000"/>
                <w:sz w:val="20"/>
                <w:szCs w:val="20"/>
                <w:lang w:eastAsia="en-GB"/>
              </w:rPr>
              <w:t>Young</w:t>
            </w:r>
          </w:p>
        </w:tc>
        <w:tc>
          <w:tcPr>
            <w:tcW w:w="1000" w:type="dxa"/>
            <w:noWrap/>
          </w:tcPr>
          <w:p w14:paraId="19B2ED98" w14:textId="77777777" w:rsidR="00250335" w:rsidRPr="003B1302" w:rsidRDefault="00250335" w:rsidP="0089347F">
            <w:pP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sz w:val="20"/>
                <w:szCs w:val="20"/>
                <w:lang w:eastAsia="en-GB"/>
              </w:rPr>
            </w:pPr>
            <w:r w:rsidRPr="003B1302">
              <w:rPr>
                <w:rFonts w:eastAsia="Times New Roman" w:cs="Open Sans"/>
                <w:b/>
                <w:bCs/>
                <w:color w:val="000000"/>
                <w:sz w:val="20"/>
                <w:szCs w:val="20"/>
                <w:lang w:eastAsia="en-GB"/>
              </w:rPr>
              <w:t>Early Mature</w:t>
            </w:r>
          </w:p>
        </w:tc>
        <w:tc>
          <w:tcPr>
            <w:tcW w:w="1240" w:type="dxa"/>
            <w:noWrap/>
          </w:tcPr>
          <w:p w14:paraId="005195DF"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sz w:val="20"/>
                <w:szCs w:val="20"/>
                <w:lang w:eastAsia="en-GB"/>
              </w:rPr>
            </w:pPr>
            <w:r w:rsidRPr="003B1302">
              <w:rPr>
                <w:rFonts w:eastAsia="Times New Roman" w:cs="Open Sans"/>
                <w:b/>
                <w:bCs/>
                <w:color w:val="000000"/>
                <w:sz w:val="20"/>
                <w:szCs w:val="20"/>
                <w:lang w:eastAsia="en-GB"/>
              </w:rPr>
              <w:t>Late Mature</w:t>
            </w:r>
          </w:p>
        </w:tc>
      </w:tr>
      <w:tr w:rsidR="00250335" w:rsidRPr="003B1302" w14:paraId="0EBC47F6"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tcPr>
          <w:p w14:paraId="79B3EC76" w14:textId="77777777" w:rsidR="00250335" w:rsidRPr="003B1302" w:rsidRDefault="00250335" w:rsidP="0089347F">
            <w:pPr>
              <w:jc w:val="center"/>
              <w:rPr>
                <w:rFonts w:eastAsia="Times New Roman" w:cs="Open Sans"/>
                <w:color w:val="EE0000"/>
                <w:sz w:val="20"/>
                <w:szCs w:val="20"/>
                <w:lang w:eastAsia="en-GB"/>
              </w:rPr>
            </w:pPr>
            <w:r w:rsidRPr="003B1302">
              <w:rPr>
                <w:rFonts w:eastAsia="Times New Roman" w:cs="Open Sans"/>
                <w:color w:val="EE0000"/>
                <w:sz w:val="20"/>
                <w:szCs w:val="20"/>
                <w:lang w:eastAsia="en-GB"/>
              </w:rPr>
              <w:t>Farmer Typology</w:t>
            </w:r>
          </w:p>
        </w:tc>
        <w:tc>
          <w:tcPr>
            <w:tcW w:w="2641" w:type="dxa"/>
            <w:gridSpan w:val="2"/>
            <w:noWrap/>
          </w:tcPr>
          <w:p w14:paraId="06835259"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b/>
                <w:bCs/>
                <w:color w:val="EE0000"/>
                <w:sz w:val="20"/>
                <w:szCs w:val="20"/>
                <w:lang w:eastAsia="en-GB"/>
              </w:rPr>
            </w:pPr>
            <w:r w:rsidRPr="003B1302">
              <w:rPr>
                <w:rFonts w:eastAsia="Times New Roman" w:cs="Open Sans"/>
                <w:b/>
                <w:bCs/>
                <w:color w:val="EE0000"/>
                <w:sz w:val="20"/>
                <w:szCs w:val="20"/>
                <w:lang w:eastAsia="en-GB"/>
              </w:rPr>
              <w:t>Smallholder</w:t>
            </w:r>
          </w:p>
        </w:tc>
        <w:tc>
          <w:tcPr>
            <w:tcW w:w="2240" w:type="dxa"/>
            <w:gridSpan w:val="2"/>
            <w:noWrap/>
          </w:tcPr>
          <w:p w14:paraId="76FACDF6"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b/>
                <w:bCs/>
                <w:color w:val="EE0000"/>
                <w:sz w:val="20"/>
                <w:szCs w:val="20"/>
                <w:lang w:eastAsia="en-GB"/>
              </w:rPr>
            </w:pPr>
            <w:r w:rsidRPr="003B1302">
              <w:rPr>
                <w:rFonts w:eastAsia="Times New Roman" w:cs="Open Sans"/>
                <w:b/>
                <w:bCs/>
                <w:color w:val="EE0000"/>
                <w:sz w:val="20"/>
                <w:szCs w:val="20"/>
                <w:lang w:eastAsia="en-GB"/>
              </w:rPr>
              <w:t>Larger Smallholder</w:t>
            </w:r>
          </w:p>
        </w:tc>
      </w:tr>
      <w:tr w:rsidR="00250335" w:rsidRPr="003B1302" w14:paraId="3399BE63"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682169ED"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Age (yrs)</w:t>
            </w:r>
          </w:p>
        </w:tc>
        <w:tc>
          <w:tcPr>
            <w:tcW w:w="1180" w:type="dxa"/>
            <w:noWrap/>
            <w:hideMark/>
          </w:tcPr>
          <w:p w14:paraId="64E9A6D3"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&gt;40</w:t>
            </w:r>
          </w:p>
        </w:tc>
        <w:tc>
          <w:tcPr>
            <w:tcW w:w="1461" w:type="dxa"/>
            <w:noWrap/>
            <w:hideMark/>
          </w:tcPr>
          <w:p w14:paraId="72B1E4E9"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10</w:t>
            </w:r>
          </w:p>
        </w:tc>
        <w:tc>
          <w:tcPr>
            <w:tcW w:w="1000" w:type="dxa"/>
            <w:noWrap/>
            <w:hideMark/>
          </w:tcPr>
          <w:p w14:paraId="2DA7ACF1" w14:textId="77777777" w:rsidR="00250335" w:rsidRPr="003B1302" w:rsidRDefault="00250335" w:rsidP="0089347F">
            <w:pP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(19/</w:t>
            </w:r>
            <w:proofErr w:type="gramStart"/>
            <w:r w:rsidRPr="003B1302">
              <w:rPr>
                <w:rFonts w:eastAsia="Times New Roman" w:cs="Open Sans"/>
                <w:b/>
                <w:bCs/>
                <w:color w:val="000000"/>
                <w:kern w:val="0"/>
                <w:sz w:val="20"/>
                <w:szCs w:val="20"/>
                <w:lang w:eastAsia="en-GB"/>
                <w14:ligatures w14:val="none"/>
              </w:rPr>
              <w:t>21)*</w:t>
            </w:r>
            <w:proofErr w:type="gramEnd"/>
          </w:p>
        </w:tc>
        <w:tc>
          <w:tcPr>
            <w:tcW w:w="1240" w:type="dxa"/>
            <w:noWrap/>
            <w:hideMark/>
          </w:tcPr>
          <w:p w14:paraId="14A25B6A"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32</w:t>
            </w:r>
          </w:p>
        </w:tc>
      </w:tr>
      <w:tr w:rsidR="00250335" w:rsidRPr="003B1302" w14:paraId="0F475938"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2C299D61"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kg/ha</w:t>
            </w:r>
          </w:p>
        </w:tc>
        <w:tc>
          <w:tcPr>
            <w:tcW w:w="1180" w:type="dxa"/>
            <w:noWrap/>
            <w:hideMark/>
          </w:tcPr>
          <w:p w14:paraId="53875BAB"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100</w:t>
            </w:r>
          </w:p>
        </w:tc>
        <w:tc>
          <w:tcPr>
            <w:tcW w:w="1461" w:type="dxa"/>
            <w:noWrap/>
            <w:hideMark/>
          </w:tcPr>
          <w:p w14:paraId="0AD48943"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150</w:t>
            </w:r>
          </w:p>
        </w:tc>
        <w:tc>
          <w:tcPr>
            <w:tcW w:w="1000" w:type="dxa"/>
            <w:noWrap/>
            <w:hideMark/>
          </w:tcPr>
          <w:p w14:paraId="16A29686"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220</w:t>
            </w:r>
          </w:p>
        </w:tc>
        <w:tc>
          <w:tcPr>
            <w:tcW w:w="1240" w:type="dxa"/>
            <w:noWrap/>
            <w:hideMark/>
          </w:tcPr>
          <w:p w14:paraId="76755B95"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200</w:t>
            </w:r>
          </w:p>
        </w:tc>
      </w:tr>
      <w:tr w:rsidR="00250335" w:rsidRPr="003B1302" w14:paraId="19B876B3"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3F367703"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le/kg</w:t>
            </w:r>
          </w:p>
        </w:tc>
        <w:tc>
          <w:tcPr>
            <w:tcW w:w="1180" w:type="dxa"/>
            <w:noWrap/>
            <w:hideMark/>
          </w:tcPr>
          <w:p w14:paraId="27807460"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80</w:t>
            </w:r>
          </w:p>
        </w:tc>
        <w:tc>
          <w:tcPr>
            <w:tcW w:w="1461" w:type="dxa"/>
            <w:noWrap/>
            <w:hideMark/>
          </w:tcPr>
          <w:p w14:paraId="05FD48E4"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80</w:t>
            </w:r>
          </w:p>
        </w:tc>
        <w:tc>
          <w:tcPr>
            <w:tcW w:w="1000" w:type="dxa"/>
            <w:noWrap/>
            <w:hideMark/>
          </w:tcPr>
          <w:p w14:paraId="60E20747"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80</w:t>
            </w:r>
          </w:p>
        </w:tc>
        <w:tc>
          <w:tcPr>
            <w:tcW w:w="1240" w:type="dxa"/>
            <w:noWrap/>
            <w:hideMark/>
          </w:tcPr>
          <w:p w14:paraId="5A3E0E53"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r w:rsidRPr="003B1302">
              <w:rPr>
                <w:rFonts w:eastAsia="Times New Roman" w:cs="Open Sans"/>
                <w:b/>
                <w:bCs/>
                <w:color w:val="000000"/>
                <w:kern w:val="0"/>
                <w:sz w:val="20"/>
                <w:szCs w:val="20"/>
                <w:lang w:eastAsia="en-GB"/>
                <w14:ligatures w14:val="none"/>
              </w:rPr>
              <w:t>80</w:t>
            </w:r>
          </w:p>
        </w:tc>
      </w:tr>
      <w:tr w:rsidR="00250335" w:rsidRPr="003B1302" w14:paraId="4F727900"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54AE5DC2"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 </w:t>
            </w:r>
          </w:p>
        </w:tc>
        <w:tc>
          <w:tcPr>
            <w:tcW w:w="4881" w:type="dxa"/>
            <w:gridSpan w:val="4"/>
            <w:noWrap/>
            <w:hideMark/>
          </w:tcPr>
          <w:p w14:paraId="404FC62D" w14:textId="6E1D5664"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60kg bags/ha or kg (palm oil)/ha</w:t>
            </w:r>
          </w:p>
        </w:tc>
      </w:tr>
      <w:tr w:rsidR="00250335" w:rsidRPr="003B1302" w14:paraId="58BC0409"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7598C7DE"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Kg Cocoa</w:t>
            </w:r>
          </w:p>
        </w:tc>
        <w:tc>
          <w:tcPr>
            <w:tcW w:w="1180" w:type="dxa"/>
            <w:noWrap/>
            <w:hideMark/>
          </w:tcPr>
          <w:p w14:paraId="01388BCF"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100</w:t>
            </w:r>
          </w:p>
        </w:tc>
        <w:tc>
          <w:tcPr>
            <w:tcW w:w="1461" w:type="dxa"/>
            <w:noWrap/>
            <w:hideMark/>
          </w:tcPr>
          <w:p w14:paraId="715836EC"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150</w:t>
            </w:r>
          </w:p>
        </w:tc>
        <w:tc>
          <w:tcPr>
            <w:tcW w:w="1000" w:type="dxa"/>
            <w:noWrap/>
            <w:hideMark/>
          </w:tcPr>
          <w:p w14:paraId="603FFAD0"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250</w:t>
            </w:r>
          </w:p>
        </w:tc>
        <w:tc>
          <w:tcPr>
            <w:tcW w:w="1240" w:type="dxa"/>
            <w:noWrap/>
            <w:hideMark/>
          </w:tcPr>
          <w:p w14:paraId="1185E557"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180</w:t>
            </w:r>
          </w:p>
        </w:tc>
      </w:tr>
      <w:tr w:rsidR="00250335" w:rsidRPr="003B1302" w14:paraId="54FF11C4"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3FF3A769"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Kg Other</w:t>
            </w:r>
          </w:p>
        </w:tc>
        <w:tc>
          <w:tcPr>
            <w:tcW w:w="1180" w:type="dxa"/>
            <w:noWrap/>
            <w:hideMark/>
          </w:tcPr>
          <w:p w14:paraId="016A2E55"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 </w:t>
            </w:r>
          </w:p>
        </w:tc>
        <w:tc>
          <w:tcPr>
            <w:tcW w:w="1461" w:type="dxa"/>
            <w:noWrap/>
            <w:hideMark/>
          </w:tcPr>
          <w:p w14:paraId="6180156B"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90</w:t>
            </w:r>
          </w:p>
        </w:tc>
        <w:tc>
          <w:tcPr>
            <w:tcW w:w="1000" w:type="dxa"/>
            <w:noWrap/>
            <w:hideMark/>
          </w:tcPr>
          <w:p w14:paraId="09C29FF6"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120</w:t>
            </w:r>
          </w:p>
        </w:tc>
        <w:tc>
          <w:tcPr>
            <w:tcW w:w="1240" w:type="dxa"/>
            <w:noWrap/>
            <w:hideMark/>
          </w:tcPr>
          <w:p w14:paraId="0A7F6980"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200</w:t>
            </w:r>
          </w:p>
        </w:tc>
      </w:tr>
      <w:tr w:rsidR="00250335" w:rsidRPr="003B1302" w14:paraId="41F3ECE7"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hideMark/>
          </w:tcPr>
          <w:p w14:paraId="585963DE"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 farm gate sales</w:t>
            </w:r>
          </w:p>
        </w:tc>
        <w:tc>
          <w:tcPr>
            <w:tcW w:w="1180" w:type="dxa"/>
            <w:noWrap/>
            <w:hideMark/>
          </w:tcPr>
          <w:p w14:paraId="7859296A"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100%</w:t>
            </w:r>
          </w:p>
        </w:tc>
        <w:tc>
          <w:tcPr>
            <w:tcW w:w="1461" w:type="dxa"/>
            <w:noWrap/>
            <w:hideMark/>
          </w:tcPr>
          <w:p w14:paraId="0F96CBAF"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97%</w:t>
            </w:r>
          </w:p>
        </w:tc>
        <w:tc>
          <w:tcPr>
            <w:tcW w:w="1000" w:type="dxa"/>
            <w:noWrap/>
            <w:hideMark/>
          </w:tcPr>
          <w:p w14:paraId="2710BBF0"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89%</w:t>
            </w:r>
          </w:p>
        </w:tc>
        <w:tc>
          <w:tcPr>
            <w:tcW w:w="1240" w:type="dxa"/>
            <w:noWrap/>
            <w:hideMark/>
          </w:tcPr>
          <w:p w14:paraId="4806A4FA" w14:textId="77777777" w:rsidR="00250335" w:rsidRPr="003B1302" w:rsidRDefault="00250335"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cs="Open Sans"/>
                <w:color w:val="000000"/>
                <w:sz w:val="20"/>
                <w:szCs w:val="20"/>
              </w:rPr>
              <w:t>86%</w:t>
            </w:r>
          </w:p>
        </w:tc>
      </w:tr>
      <w:tr w:rsidR="00250335" w:rsidRPr="003B1302" w14:paraId="77E740FC"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1759" w:type="dxa"/>
            <w:noWrap/>
          </w:tcPr>
          <w:p w14:paraId="45D42AD7" w14:textId="77777777" w:rsidR="00250335" w:rsidRPr="003B1302" w:rsidRDefault="00250335"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Management</w:t>
            </w:r>
          </w:p>
        </w:tc>
        <w:tc>
          <w:tcPr>
            <w:tcW w:w="1180" w:type="dxa"/>
            <w:noWrap/>
          </w:tcPr>
          <w:p w14:paraId="777C5A89"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Limited</w:t>
            </w:r>
          </w:p>
        </w:tc>
        <w:tc>
          <w:tcPr>
            <w:tcW w:w="1461" w:type="dxa"/>
            <w:noWrap/>
          </w:tcPr>
          <w:p w14:paraId="78AA3134"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 xml:space="preserve">Some shade management and cleaning. </w:t>
            </w:r>
          </w:p>
        </w:tc>
        <w:tc>
          <w:tcPr>
            <w:tcW w:w="2240" w:type="dxa"/>
            <w:gridSpan w:val="2"/>
            <w:noWrap/>
          </w:tcPr>
          <w:p w14:paraId="342E8669" w14:textId="77777777" w:rsidR="00250335" w:rsidRPr="003B1302" w:rsidRDefault="00250335"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Active shade management. Husk Compost and burning</w:t>
            </w:r>
          </w:p>
        </w:tc>
      </w:tr>
    </w:tbl>
    <w:p w14:paraId="7DB4F163" w14:textId="77777777" w:rsidR="00250335" w:rsidRPr="003B1302" w:rsidRDefault="00250335" w:rsidP="00250335">
      <w:r w:rsidRPr="003B1302">
        <w:t>Note: *The third case study assumes an average age of 20 years but assumes two different age estimates based on inclusions or exclusion of carbon from previous land use change.</w:t>
      </w:r>
    </w:p>
    <w:p w14:paraId="219D6E42" w14:textId="77777777" w:rsidR="00250335" w:rsidRPr="003B1302" w:rsidRDefault="00250335" w:rsidP="00250335">
      <w:pPr>
        <w:pStyle w:val="Caption"/>
      </w:pPr>
    </w:p>
    <w:p w14:paraId="2F9BA73B" w14:textId="77777777" w:rsidR="00250335" w:rsidRPr="003B1302" w:rsidRDefault="00250335" w:rsidP="00250335"/>
    <w:p w14:paraId="016B4054" w14:textId="7688246C" w:rsidR="00250335" w:rsidRPr="003B1302" w:rsidRDefault="00250335" w:rsidP="00250335">
      <w:pPr>
        <w:rPr>
          <w:sz w:val="20"/>
          <w:szCs w:val="20"/>
        </w:rPr>
      </w:pPr>
      <w:r w:rsidRPr="003B1302">
        <w:rPr>
          <w:sz w:val="20"/>
          <w:szCs w:val="20"/>
        </w:rPr>
        <w:t xml:space="preserve">The reason for including the relative income due to farmgate sales of cocoa is to allow allocation of shared environmental flows between coco and other overlapping products. Cocoa and other products share ecosystem services associated with agroforestry (e.g. the provision of shade by non-cocoa plants supports the growth of cocoa). This means that activities that involve multiple species functioning together (such as carbon accumulation) need to be apportioned across different products. In this case farm gate sales are used </w:t>
      </w:r>
      <w:r w:rsidR="00D71B1C">
        <w:rPr>
          <w:sz w:val="20"/>
          <w:szCs w:val="20"/>
        </w:rPr>
        <w:t xml:space="preserve">as the basis </w:t>
      </w:r>
      <w:r w:rsidR="00D71B1C" w:rsidRPr="003B1302">
        <w:rPr>
          <w:sz w:val="20"/>
          <w:szCs w:val="20"/>
        </w:rPr>
        <w:t>for</w:t>
      </w:r>
      <w:r w:rsidRPr="003B1302">
        <w:rPr>
          <w:sz w:val="20"/>
          <w:szCs w:val="20"/>
        </w:rPr>
        <w:t xml:space="preserve"> apportion</w:t>
      </w:r>
      <w:r w:rsidR="00D71B1C">
        <w:rPr>
          <w:sz w:val="20"/>
          <w:szCs w:val="20"/>
        </w:rPr>
        <w:t>ing</w:t>
      </w:r>
      <w:r w:rsidRPr="003B1302">
        <w:rPr>
          <w:sz w:val="20"/>
          <w:szCs w:val="20"/>
        </w:rPr>
        <w:t xml:space="preserve"> the benefits and impacts of agroforestry operations to cocoa</w:t>
      </w:r>
      <w:r w:rsidRPr="00B82559">
        <w:rPr>
          <w:sz w:val="20"/>
          <w:szCs w:val="20"/>
        </w:rPr>
        <w:t xml:space="preserve">. </w:t>
      </w:r>
      <w:r w:rsidRPr="003B1302">
        <w:rPr>
          <w:sz w:val="20"/>
          <w:szCs w:val="20"/>
        </w:rPr>
        <w:t xml:space="preserve">This reflects the main function of cocoa in the value chain as a source of income, rather than a food source, although price fluctuations can make comparisons more difficult. </w:t>
      </w:r>
    </w:p>
    <w:p w14:paraId="7F200A6D" w14:textId="77777777" w:rsidR="00250335" w:rsidRPr="00A135F7" w:rsidRDefault="00250335" w:rsidP="005949D4">
      <w:pPr>
        <w:rPr>
          <w:rFonts w:cs="Open Sans"/>
          <w:sz w:val="20"/>
          <w:szCs w:val="20"/>
        </w:rPr>
      </w:pPr>
    </w:p>
    <w:p w14:paraId="14FA4CA3" w14:textId="1470DCAE" w:rsidR="00A0601A" w:rsidRPr="00D73DF3" w:rsidRDefault="000216A2" w:rsidP="00D73DF3">
      <w:pPr>
        <w:pStyle w:val="Heading2"/>
      </w:pPr>
      <w:bookmarkStart w:id="163" w:name="_Toc228701042"/>
      <w:r>
        <w:lastRenderedPageBreak/>
        <w:t>Agroforestry and Carbon</w:t>
      </w:r>
      <w:bookmarkEnd w:id="163"/>
    </w:p>
    <w:p w14:paraId="00C9534A" w14:textId="49572EA0" w:rsidR="00250335" w:rsidRPr="00250335" w:rsidRDefault="00250335" w:rsidP="00250335">
      <w:pPr>
        <w:rPr>
          <w:rFonts w:cs="Open Sans"/>
          <w:sz w:val="20"/>
          <w:szCs w:val="20"/>
        </w:rPr>
      </w:pPr>
      <w:r w:rsidRPr="00250335">
        <w:rPr>
          <w:rFonts w:cs="Open Sans"/>
          <w:sz w:val="20"/>
          <w:szCs w:val="20"/>
        </w:rPr>
        <w:t xml:space="preserve">Sierra Leone stores a large amount of carbon in its forests—about 740 million </w:t>
      </w:r>
      <w:proofErr w:type="spellStart"/>
      <w:r w:rsidRPr="00250335">
        <w:rPr>
          <w:rFonts w:cs="Open Sans"/>
          <w:sz w:val="20"/>
          <w:szCs w:val="20"/>
        </w:rPr>
        <w:t>tonnes</w:t>
      </w:r>
      <w:proofErr w:type="spellEnd"/>
      <w:r w:rsidRPr="00250335">
        <w:rPr>
          <w:rFonts w:cs="Open Sans"/>
          <w:sz w:val="20"/>
          <w:szCs w:val="20"/>
        </w:rPr>
        <w:t xml:space="preserve"> in total. This carbon is held in trees above the ground (45%), roots below the ground (12%), and </w:t>
      </w:r>
      <w:proofErr w:type="gramStart"/>
      <w:r w:rsidRPr="00250335">
        <w:rPr>
          <w:rFonts w:cs="Open Sans"/>
          <w:sz w:val="20"/>
          <w:szCs w:val="20"/>
        </w:rPr>
        <w:t>soils</w:t>
      </w:r>
      <w:proofErr w:type="gramEnd"/>
      <w:r w:rsidRPr="00250335">
        <w:rPr>
          <w:rFonts w:cs="Open Sans"/>
          <w:sz w:val="20"/>
          <w:szCs w:val="20"/>
        </w:rPr>
        <w:t xml:space="preserve"> (43%). However, forest loss has reduced this natural storage. Between 2001 and 2024, the country lost about 43,000 hectares of primary forest, releasing around 21 million </w:t>
      </w:r>
      <w:proofErr w:type="spellStart"/>
      <w:r w:rsidRPr="00250335">
        <w:rPr>
          <w:rFonts w:cs="Open Sans"/>
          <w:sz w:val="20"/>
          <w:szCs w:val="20"/>
        </w:rPr>
        <w:t>tonnes</w:t>
      </w:r>
      <w:proofErr w:type="spellEnd"/>
      <w:r w:rsidRPr="00250335">
        <w:rPr>
          <w:rFonts w:cs="Open Sans"/>
          <w:sz w:val="20"/>
          <w:szCs w:val="20"/>
        </w:rPr>
        <w:t xml:space="preserve"> of CO</w:t>
      </w:r>
      <w:r w:rsidRPr="00250335">
        <w:rPr>
          <w:rFonts w:ascii="Cambria Math" w:hAnsi="Cambria Math" w:cs="Cambria Math"/>
          <w:sz w:val="20"/>
          <w:szCs w:val="20"/>
        </w:rPr>
        <w:t>₂</w:t>
      </w:r>
      <w:r w:rsidRPr="00250335">
        <w:rPr>
          <w:rFonts w:cs="Open Sans"/>
          <w:sz w:val="20"/>
          <w:szCs w:val="20"/>
        </w:rPr>
        <w:t xml:space="preserve">. Overall, Sierra Leone currently emits more carbon than it absorbs, making it a net source of emissions (about 9 million </w:t>
      </w:r>
      <w:proofErr w:type="spellStart"/>
      <w:r w:rsidRPr="00250335">
        <w:rPr>
          <w:rFonts w:cs="Open Sans"/>
          <w:sz w:val="20"/>
          <w:szCs w:val="20"/>
        </w:rPr>
        <w:t>tonnes</w:t>
      </w:r>
      <w:proofErr w:type="spellEnd"/>
      <w:r w:rsidRPr="00250335">
        <w:rPr>
          <w:rFonts w:cs="Open Sans"/>
          <w:sz w:val="20"/>
          <w:szCs w:val="20"/>
        </w:rPr>
        <w:t xml:space="preserve"> of CO</w:t>
      </w:r>
      <w:r w:rsidRPr="00250335">
        <w:rPr>
          <w:rFonts w:ascii="Cambria Math" w:hAnsi="Cambria Math" w:cs="Cambria Math"/>
          <w:sz w:val="20"/>
          <w:szCs w:val="20"/>
        </w:rPr>
        <w:t>₂</w:t>
      </w:r>
      <w:r w:rsidRPr="00250335">
        <w:rPr>
          <w:rFonts w:cs="Open Sans"/>
          <w:sz w:val="20"/>
          <w:szCs w:val="20"/>
        </w:rPr>
        <w:t xml:space="preserve"> per year) (Resource Watch, 2025). While permanent agriculture contributes to this loss, shifting cultivation is the main driver of forest-related emissions, even though its impacts are often temporary.</w:t>
      </w:r>
    </w:p>
    <w:p w14:paraId="468CE9A4" w14:textId="77777777" w:rsidR="00250335" w:rsidRPr="00250335" w:rsidRDefault="00250335" w:rsidP="00250335">
      <w:pPr>
        <w:rPr>
          <w:rFonts w:cs="Open Sans"/>
          <w:sz w:val="20"/>
          <w:szCs w:val="20"/>
        </w:rPr>
      </w:pPr>
    </w:p>
    <w:p w14:paraId="26EC156B" w14:textId="77777777" w:rsidR="00250335" w:rsidRPr="00250335" w:rsidRDefault="00250335" w:rsidP="00250335">
      <w:pPr>
        <w:rPr>
          <w:rFonts w:cs="Open Sans"/>
          <w:sz w:val="20"/>
          <w:szCs w:val="20"/>
        </w:rPr>
      </w:pPr>
      <w:r w:rsidRPr="00250335">
        <w:rPr>
          <w:rFonts w:cs="Open Sans"/>
          <w:sz w:val="20"/>
          <w:szCs w:val="20"/>
        </w:rPr>
        <w:t>Agroforestry, where crops like cocoa are grown alongside trees, can help store carbon, but its effectiveness depends on how it is managed. Systems with more shade and larger trees tend to store more carbon because they have more biomass. Simply increasing shade is not enough; the type, number, and size of trees are just as important. Complex, multi-layered systems (with tall trees and understory plants) store more carbon than simple, low-canopy systems.</w:t>
      </w:r>
    </w:p>
    <w:p w14:paraId="49FE6AD5" w14:textId="77777777" w:rsidR="00250335" w:rsidRPr="00250335" w:rsidRDefault="00250335" w:rsidP="00250335">
      <w:pPr>
        <w:rPr>
          <w:rFonts w:cs="Open Sans"/>
          <w:sz w:val="20"/>
          <w:szCs w:val="20"/>
        </w:rPr>
      </w:pPr>
    </w:p>
    <w:p w14:paraId="405559BA" w14:textId="5FEA4B3A" w:rsidR="00250335" w:rsidRPr="00250335" w:rsidRDefault="00250335" w:rsidP="00250335">
      <w:pPr>
        <w:rPr>
          <w:rFonts w:cs="Open Sans"/>
          <w:sz w:val="20"/>
          <w:szCs w:val="20"/>
        </w:rPr>
      </w:pPr>
      <w:r w:rsidRPr="00250335">
        <w:rPr>
          <w:rFonts w:cs="Open Sans"/>
          <w:sz w:val="20"/>
          <w:szCs w:val="20"/>
        </w:rPr>
        <w:t xml:space="preserve">Research from countries like Ghana and Côte d’Ivoire shows that shade-grown cocoa systems store significantly more carbon than full-sun monocultures. A study for Côte d’Ivoire (UNEP-WCMC, 2021) suggests that at national scale, transitioning from current (high % full sun) management to high shade agroforestry in all cocoa areas (classified forests + rural domain) would double </w:t>
      </w:r>
      <w:proofErr w:type="gramStart"/>
      <w:r w:rsidRPr="00250335">
        <w:rPr>
          <w:rFonts w:cs="Open Sans"/>
          <w:sz w:val="20"/>
          <w:szCs w:val="20"/>
        </w:rPr>
        <w:t>national</w:t>
      </w:r>
      <w:proofErr w:type="gramEnd"/>
      <w:r w:rsidRPr="00250335">
        <w:rPr>
          <w:rFonts w:cs="Open Sans"/>
          <w:sz w:val="20"/>
          <w:szCs w:val="20"/>
        </w:rPr>
        <w:t xml:space="preserve"> carbon stocks. Farms with greater tree diversity and more complex structure—often seen in organic systems—tend to hold the most carbon. These systems not only store carbon in </w:t>
      </w:r>
      <w:proofErr w:type="gramStart"/>
      <w:r w:rsidRPr="00250335">
        <w:rPr>
          <w:rFonts w:cs="Open Sans"/>
          <w:sz w:val="20"/>
          <w:szCs w:val="20"/>
        </w:rPr>
        <w:t>trees, but</w:t>
      </w:r>
      <w:proofErr w:type="gramEnd"/>
      <w:r w:rsidRPr="00250335">
        <w:rPr>
          <w:rFonts w:cs="Open Sans"/>
          <w:sz w:val="20"/>
          <w:szCs w:val="20"/>
        </w:rPr>
        <w:t xml:space="preserve"> also improve soil carbon levels and overall ecosystem health, making farms more resilient in the long term (Asare et al. 2017 and </w:t>
      </w:r>
      <w:proofErr w:type="spellStart"/>
      <w:r w:rsidRPr="00250335">
        <w:rPr>
          <w:rFonts w:cs="Open Sans"/>
          <w:sz w:val="20"/>
          <w:szCs w:val="20"/>
        </w:rPr>
        <w:t>Asitoakor</w:t>
      </w:r>
      <w:proofErr w:type="spellEnd"/>
      <w:r w:rsidRPr="00250335">
        <w:rPr>
          <w:rFonts w:cs="Open Sans"/>
          <w:sz w:val="20"/>
          <w:szCs w:val="20"/>
        </w:rPr>
        <w:t xml:space="preserve"> et al. 2023). </w:t>
      </w:r>
      <w:r w:rsidR="00A81B40" w:rsidRPr="00250335">
        <w:rPr>
          <w:rFonts w:cs="Open Sans"/>
          <w:sz w:val="20"/>
          <w:szCs w:val="20"/>
        </w:rPr>
        <w:t>However,</w:t>
      </w:r>
      <w:r w:rsidRPr="00250335">
        <w:rPr>
          <w:rFonts w:cs="Open Sans"/>
          <w:sz w:val="20"/>
          <w:szCs w:val="20"/>
        </w:rPr>
        <w:t xml:space="preserve"> there can sometimes be a trade-off between carbon storage and crop yields:</w:t>
      </w:r>
    </w:p>
    <w:p w14:paraId="25600113" w14:textId="77777777" w:rsidR="00250335" w:rsidRPr="00250335" w:rsidRDefault="00250335" w:rsidP="00250335">
      <w:pPr>
        <w:rPr>
          <w:rFonts w:cs="Open Sans"/>
          <w:sz w:val="20"/>
          <w:szCs w:val="20"/>
        </w:rPr>
      </w:pPr>
    </w:p>
    <w:p w14:paraId="6F15FAD5" w14:textId="77777777" w:rsidR="00250335" w:rsidRPr="00250335" w:rsidRDefault="00250335" w:rsidP="00250335">
      <w:pPr>
        <w:pStyle w:val="ListParagraph"/>
        <w:numPr>
          <w:ilvl w:val="0"/>
          <w:numId w:val="48"/>
        </w:numPr>
        <w:rPr>
          <w:rFonts w:cs="Open Sans"/>
          <w:sz w:val="20"/>
          <w:szCs w:val="20"/>
        </w:rPr>
      </w:pPr>
      <w:r w:rsidRPr="00250335">
        <w:rPr>
          <w:rFonts w:cs="Open Sans"/>
          <w:sz w:val="20"/>
          <w:szCs w:val="20"/>
        </w:rPr>
        <w:t xml:space="preserve">Full-sun systems may produce higher yields under intensive use of </w:t>
      </w:r>
      <w:proofErr w:type="spellStart"/>
      <w:r w:rsidRPr="00250335">
        <w:rPr>
          <w:rFonts w:cs="Open Sans"/>
          <w:sz w:val="20"/>
          <w:szCs w:val="20"/>
        </w:rPr>
        <w:t>fertilisers</w:t>
      </w:r>
      <w:proofErr w:type="spellEnd"/>
      <w:r w:rsidRPr="00250335">
        <w:rPr>
          <w:rFonts w:cs="Open Sans"/>
          <w:sz w:val="20"/>
          <w:szCs w:val="20"/>
        </w:rPr>
        <w:t xml:space="preserve"> and chemicals.</w:t>
      </w:r>
    </w:p>
    <w:p w14:paraId="3944C1C7" w14:textId="77777777" w:rsidR="00250335" w:rsidRPr="00250335" w:rsidRDefault="00250335" w:rsidP="00250335">
      <w:pPr>
        <w:pStyle w:val="ListParagraph"/>
        <w:numPr>
          <w:ilvl w:val="0"/>
          <w:numId w:val="48"/>
        </w:numPr>
        <w:rPr>
          <w:rFonts w:cs="Open Sans"/>
          <w:sz w:val="20"/>
          <w:szCs w:val="20"/>
        </w:rPr>
      </w:pPr>
      <w:r w:rsidRPr="00250335">
        <w:rPr>
          <w:rFonts w:cs="Open Sans"/>
          <w:sz w:val="20"/>
          <w:szCs w:val="20"/>
        </w:rPr>
        <w:t xml:space="preserve">However, agroforestry systems can perform better under low-input conditions, such as where </w:t>
      </w:r>
      <w:proofErr w:type="spellStart"/>
      <w:r w:rsidRPr="00250335">
        <w:rPr>
          <w:rFonts w:cs="Open Sans"/>
          <w:sz w:val="20"/>
          <w:szCs w:val="20"/>
        </w:rPr>
        <w:t>fertilisers</w:t>
      </w:r>
      <w:proofErr w:type="spellEnd"/>
      <w:r w:rsidRPr="00250335">
        <w:rPr>
          <w:rFonts w:cs="Open Sans"/>
          <w:sz w:val="20"/>
          <w:szCs w:val="20"/>
        </w:rPr>
        <w:t xml:space="preserve"> are limited.</w:t>
      </w:r>
    </w:p>
    <w:p w14:paraId="1DCAC7A3" w14:textId="77777777" w:rsidR="00250335" w:rsidRPr="00250335" w:rsidRDefault="00250335" w:rsidP="00250335">
      <w:pPr>
        <w:rPr>
          <w:rFonts w:cs="Open Sans"/>
          <w:sz w:val="20"/>
          <w:szCs w:val="20"/>
        </w:rPr>
      </w:pPr>
    </w:p>
    <w:p w14:paraId="62CFE8DD" w14:textId="0CC0C61B" w:rsidR="00A544DA" w:rsidRDefault="00250335" w:rsidP="00250335">
      <w:pPr>
        <w:rPr>
          <w:rFonts w:cs="Open Sans"/>
          <w:sz w:val="20"/>
          <w:szCs w:val="20"/>
        </w:rPr>
      </w:pPr>
      <w:r w:rsidRPr="00250335">
        <w:rPr>
          <w:rFonts w:cs="Open Sans"/>
          <w:sz w:val="20"/>
          <w:szCs w:val="20"/>
        </w:rPr>
        <w:t>This means that the “best” system depends on local conditions, management practices, and long-term priorities. Agroforestry, especially diverse, well-shaded systems can play a major role in reducing emissions and storing carbon in Sierra Leone. However, the biggest climate gains come from restoring degraded land, not clearing existing forests, and from carefully managing tree diversity and structure within farms.</w:t>
      </w:r>
      <w:r w:rsidR="00A0601A" w:rsidRPr="00250335">
        <w:rPr>
          <w:rFonts w:cs="Open Sans"/>
          <w:sz w:val="20"/>
          <w:szCs w:val="20"/>
        </w:rPr>
        <w:t xml:space="preserve"> </w:t>
      </w:r>
    </w:p>
    <w:p w14:paraId="4E24D45E" w14:textId="21427AEB" w:rsidR="00A0601A" w:rsidRPr="00D94BE6" w:rsidRDefault="005A6559" w:rsidP="00D94BE6">
      <w:pPr>
        <w:pStyle w:val="Heading2"/>
      </w:pPr>
      <w:bookmarkStart w:id="164" w:name="_Toc228701043"/>
      <w:r>
        <w:t>Farm-level Carbon Balance</w:t>
      </w:r>
      <w:bookmarkEnd w:id="164"/>
    </w:p>
    <w:p w14:paraId="6C43E99B" w14:textId="55070BC4" w:rsidR="001B5D6A" w:rsidRDefault="001B5D6A" w:rsidP="001B5D6A">
      <w:pPr>
        <w:rPr>
          <w:sz w:val="20"/>
          <w:szCs w:val="20"/>
        </w:rPr>
      </w:pPr>
      <w:r w:rsidRPr="003B1302">
        <w:rPr>
          <w:sz w:val="20"/>
          <w:szCs w:val="20"/>
        </w:rPr>
        <w:t xml:space="preserve">As mentioned above, the carbon implications of cocoa agroforestry systems depend on both what was replaced by cocoa systems as well as the cocoa systems themselves. </w:t>
      </w:r>
      <w:r w:rsidRPr="00B82559">
        <w:rPr>
          <w:sz w:val="20"/>
          <w:szCs w:val="20"/>
        </w:rPr>
        <w:t xml:space="preserve">For the case studies presented here it is assumed that primary </w:t>
      </w:r>
      <w:r w:rsidR="00A81B40" w:rsidRPr="00B82559">
        <w:rPr>
          <w:sz w:val="20"/>
          <w:szCs w:val="20"/>
        </w:rPr>
        <w:t>forests have</w:t>
      </w:r>
      <w:r w:rsidRPr="00B82559">
        <w:rPr>
          <w:sz w:val="20"/>
          <w:szCs w:val="20"/>
        </w:rPr>
        <w:t xml:space="preserve"> not been replaced by cocoa systems, but rather by subsequent land use types which themselves get replaced by agroforestry systems. For Sierra Leone aboveground and topsoil organic matter are taken from Amara et al. (2019) in relate to savannah and near savannah conditions and are </w:t>
      </w:r>
      <w:proofErr w:type="spellStart"/>
      <w:r w:rsidRPr="00B82559">
        <w:rPr>
          <w:sz w:val="20"/>
          <w:szCs w:val="20"/>
        </w:rPr>
        <w:t>summarised</w:t>
      </w:r>
      <w:proofErr w:type="spellEnd"/>
      <w:r w:rsidRPr="00B82559">
        <w:rPr>
          <w:sz w:val="20"/>
          <w:szCs w:val="20"/>
        </w:rPr>
        <w:t xml:space="preserve"> in table </w:t>
      </w:r>
      <w:r w:rsidRPr="003B1302">
        <w:rPr>
          <w:sz w:val="20"/>
          <w:szCs w:val="20"/>
        </w:rPr>
        <w:t>5.2 below. It was assumed that belowground biomass was 30% aboveground following a range of 0.2-0.5 (Yaffer et al. 2023).</w:t>
      </w:r>
    </w:p>
    <w:p w14:paraId="54131AF3" w14:textId="77777777" w:rsidR="001F42F7" w:rsidRPr="003B1302" w:rsidRDefault="001F42F7" w:rsidP="001B5D6A">
      <w:pPr>
        <w:rPr>
          <w:sz w:val="20"/>
          <w:szCs w:val="20"/>
        </w:rPr>
      </w:pPr>
    </w:p>
    <w:p w14:paraId="0465CA3C" w14:textId="77777777" w:rsidR="001B5D6A" w:rsidRPr="003B1302" w:rsidRDefault="001B5D6A" w:rsidP="001B5D6A"/>
    <w:p w14:paraId="500C1B11" w14:textId="78BC7810" w:rsidR="001B5D6A" w:rsidRPr="003B1302" w:rsidRDefault="001B5D6A" w:rsidP="001B5D6A">
      <w:pPr>
        <w:pStyle w:val="Caption"/>
        <w:keepNext/>
      </w:pPr>
      <w:bookmarkStart w:id="165" w:name="_Ref227063578"/>
      <w:bookmarkStart w:id="166" w:name="_Toc228701087"/>
      <w:r w:rsidRPr="003B1302">
        <w:lastRenderedPageBreak/>
        <w:t xml:space="preserve">Table </w:t>
      </w:r>
      <w:fldSimple w:instr=" STYLEREF 1 \s ">
        <w:r w:rsidR="006C1C4E">
          <w:rPr>
            <w:noProof/>
          </w:rPr>
          <w:t>5</w:t>
        </w:r>
      </w:fldSimple>
      <w:r w:rsidR="006C1C4E">
        <w:noBreakHyphen/>
      </w:r>
      <w:fldSimple w:instr=" SEQ Table \* ARABIC \s 1 ">
        <w:r w:rsidR="006C1C4E">
          <w:rPr>
            <w:noProof/>
          </w:rPr>
          <w:t>2</w:t>
        </w:r>
      </w:fldSimple>
      <w:bookmarkEnd w:id="165"/>
      <w:r w:rsidRPr="003B1302">
        <w:t xml:space="preserve"> Summary of Carbon stocks (t C/ha) accumulated from prior land use, above ground biomass (AGB), below ground biomass (BGB) and </w:t>
      </w:r>
      <w:proofErr w:type="gramStart"/>
      <w:r w:rsidRPr="003B1302">
        <w:t>top soil</w:t>
      </w:r>
      <w:proofErr w:type="gramEnd"/>
      <w:r w:rsidRPr="003B1302">
        <w:t xml:space="preserve"> up to the 20 cm depth</w:t>
      </w:r>
      <w:bookmarkEnd w:id="166"/>
    </w:p>
    <w:tbl>
      <w:tblPr>
        <w:tblStyle w:val="GridTable4-Accent1"/>
        <w:tblW w:w="5000" w:type="pct"/>
        <w:jc w:val="center"/>
        <w:tblLook w:val="04A0" w:firstRow="1" w:lastRow="0" w:firstColumn="1" w:lastColumn="0" w:noHBand="0" w:noVBand="1"/>
      </w:tblPr>
      <w:tblGrid>
        <w:gridCol w:w="1413"/>
        <w:gridCol w:w="2835"/>
        <w:gridCol w:w="992"/>
        <w:gridCol w:w="959"/>
        <w:gridCol w:w="1221"/>
        <w:gridCol w:w="1596"/>
      </w:tblGrid>
      <w:tr w:rsidR="001B5D6A" w:rsidRPr="003B1302" w14:paraId="02DF7386" w14:textId="77777777" w:rsidTr="0089347F">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7B7728A6" w14:textId="77777777" w:rsidR="001B5D6A" w:rsidRPr="003B1302" w:rsidRDefault="001B5D6A" w:rsidP="0089347F">
            <w:pPr>
              <w:jc w:val="center"/>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t C/ha</w:t>
            </w:r>
          </w:p>
        </w:tc>
        <w:tc>
          <w:tcPr>
            <w:tcW w:w="1572" w:type="pct"/>
          </w:tcPr>
          <w:p w14:paraId="255F6177" w14:textId="77777777" w:rsidR="001B5D6A" w:rsidRPr="003B1302" w:rsidRDefault="001B5D6A"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p>
        </w:tc>
        <w:tc>
          <w:tcPr>
            <w:tcW w:w="550" w:type="pct"/>
            <w:noWrap/>
            <w:hideMark/>
          </w:tcPr>
          <w:p w14:paraId="572AE121" w14:textId="77777777" w:rsidR="001B5D6A" w:rsidRPr="003B1302" w:rsidRDefault="001B5D6A"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AGB</w:t>
            </w:r>
          </w:p>
        </w:tc>
        <w:tc>
          <w:tcPr>
            <w:tcW w:w="532" w:type="pct"/>
            <w:noWrap/>
            <w:hideMark/>
          </w:tcPr>
          <w:p w14:paraId="230B9318" w14:textId="77777777" w:rsidR="001B5D6A" w:rsidRPr="003B1302" w:rsidRDefault="001B5D6A"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BGB</w:t>
            </w:r>
          </w:p>
        </w:tc>
        <w:tc>
          <w:tcPr>
            <w:tcW w:w="677" w:type="pct"/>
            <w:noWrap/>
            <w:hideMark/>
          </w:tcPr>
          <w:p w14:paraId="0E16CCF9" w14:textId="77777777" w:rsidR="001B5D6A" w:rsidRPr="003B1302" w:rsidRDefault="001B5D6A"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kern w:val="0"/>
                <w:sz w:val="20"/>
                <w:szCs w:val="20"/>
                <w:lang w:eastAsia="en-GB"/>
                <w14:ligatures w14:val="none"/>
              </w:rPr>
            </w:pPr>
            <w:r w:rsidRPr="003B1302">
              <w:rPr>
                <w:rFonts w:eastAsia="Times New Roman" w:cs="Open Sans"/>
                <w:kern w:val="0"/>
                <w:sz w:val="20"/>
                <w:szCs w:val="20"/>
                <w:lang w:eastAsia="en-GB"/>
                <w14:ligatures w14:val="none"/>
              </w:rPr>
              <w:t>Soil</w:t>
            </w:r>
          </w:p>
        </w:tc>
        <w:tc>
          <w:tcPr>
            <w:tcW w:w="885" w:type="pct"/>
            <w:noWrap/>
            <w:hideMark/>
          </w:tcPr>
          <w:p w14:paraId="1BC22A5A" w14:textId="77777777" w:rsidR="001B5D6A" w:rsidRPr="003B1302" w:rsidRDefault="001B5D6A" w:rsidP="0089347F">
            <w:pPr>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kern w:val="0"/>
                <w:sz w:val="20"/>
                <w:szCs w:val="20"/>
                <w:lang w:eastAsia="en-GB"/>
                <w14:ligatures w14:val="none"/>
              </w:rPr>
              <w:t>Total</w:t>
            </w:r>
          </w:p>
        </w:tc>
      </w:tr>
      <w:tr w:rsidR="001B5D6A" w:rsidRPr="003B1302" w14:paraId="667C8DE9"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515F9154" w14:textId="77777777" w:rsidR="001B5D6A" w:rsidRPr="003B1302" w:rsidRDefault="001B5D6A" w:rsidP="0089347F">
            <w:pPr>
              <w:jc w:val="center"/>
              <w:rPr>
                <w:rFonts w:eastAsia="Times New Roman" w:cs="Open Sans"/>
                <w:b w:val="0"/>
                <w:bCs w:val="0"/>
                <w:kern w:val="0"/>
                <w:sz w:val="20"/>
                <w:szCs w:val="20"/>
                <w:lang w:eastAsia="en-GB"/>
                <w14:ligatures w14:val="none"/>
              </w:rPr>
            </w:pPr>
            <w:r w:rsidRPr="003B1302">
              <w:rPr>
                <w:rFonts w:eastAsia="Times New Roman" w:cs="Open Sans"/>
                <w:b w:val="0"/>
                <w:bCs w:val="0"/>
                <w:kern w:val="0"/>
                <w:sz w:val="20"/>
                <w:szCs w:val="20"/>
                <w:lang w:eastAsia="en-GB"/>
                <w14:ligatures w14:val="none"/>
              </w:rPr>
              <w:t>Type</w:t>
            </w:r>
          </w:p>
        </w:tc>
        <w:tc>
          <w:tcPr>
            <w:tcW w:w="1572" w:type="pct"/>
          </w:tcPr>
          <w:p w14:paraId="5A571F74"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Description</w:t>
            </w:r>
          </w:p>
        </w:tc>
        <w:tc>
          <w:tcPr>
            <w:tcW w:w="550" w:type="pct"/>
            <w:noWrap/>
          </w:tcPr>
          <w:p w14:paraId="5B5E911C"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p>
        </w:tc>
        <w:tc>
          <w:tcPr>
            <w:tcW w:w="532" w:type="pct"/>
            <w:noWrap/>
          </w:tcPr>
          <w:p w14:paraId="55F1D58F"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p>
        </w:tc>
        <w:tc>
          <w:tcPr>
            <w:tcW w:w="677" w:type="pct"/>
            <w:noWrap/>
            <w:hideMark/>
          </w:tcPr>
          <w:p w14:paraId="399AA87D"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0-20 cm</w:t>
            </w:r>
          </w:p>
        </w:tc>
        <w:tc>
          <w:tcPr>
            <w:tcW w:w="885" w:type="pct"/>
            <w:noWrap/>
            <w:hideMark/>
          </w:tcPr>
          <w:p w14:paraId="7D3E9F92"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b/>
                <w:bCs/>
                <w:color w:val="000000"/>
                <w:kern w:val="0"/>
                <w:sz w:val="20"/>
                <w:szCs w:val="20"/>
                <w:lang w:eastAsia="en-GB"/>
                <w14:ligatures w14:val="none"/>
              </w:rPr>
            </w:pPr>
          </w:p>
        </w:tc>
      </w:tr>
      <w:tr w:rsidR="001B5D6A" w:rsidRPr="003B1302" w14:paraId="60AE3D8F"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535D16CF" w14:textId="77777777" w:rsidR="001B5D6A" w:rsidRPr="003B1302" w:rsidRDefault="001B5D6A"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Bushland</w:t>
            </w:r>
          </w:p>
        </w:tc>
        <w:tc>
          <w:tcPr>
            <w:tcW w:w="1572" w:type="pct"/>
          </w:tcPr>
          <w:p w14:paraId="3540E402"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A mix of trees and shrubs with a canopy cover ≥40%</w:t>
            </w:r>
          </w:p>
        </w:tc>
        <w:tc>
          <w:tcPr>
            <w:tcW w:w="550" w:type="pct"/>
            <w:noWrap/>
            <w:hideMark/>
          </w:tcPr>
          <w:p w14:paraId="1577EE48"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10</w:t>
            </w:r>
          </w:p>
        </w:tc>
        <w:tc>
          <w:tcPr>
            <w:tcW w:w="532" w:type="pct"/>
            <w:noWrap/>
            <w:hideMark/>
          </w:tcPr>
          <w:p w14:paraId="34FCF38F"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3</w:t>
            </w:r>
          </w:p>
        </w:tc>
        <w:tc>
          <w:tcPr>
            <w:tcW w:w="677" w:type="pct"/>
            <w:noWrap/>
            <w:hideMark/>
          </w:tcPr>
          <w:p w14:paraId="67187FA7"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39</w:t>
            </w:r>
          </w:p>
        </w:tc>
        <w:tc>
          <w:tcPr>
            <w:tcW w:w="885" w:type="pct"/>
            <w:noWrap/>
            <w:hideMark/>
          </w:tcPr>
          <w:p w14:paraId="31E6072E"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52</w:t>
            </w:r>
          </w:p>
        </w:tc>
      </w:tr>
      <w:tr w:rsidR="001B5D6A" w:rsidRPr="003B1302" w14:paraId="02A2A548"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177C8C97" w14:textId="77777777" w:rsidR="001B5D6A" w:rsidRPr="003B1302" w:rsidRDefault="001B5D6A"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Cropland</w:t>
            </w:r>
          </w:p>
        </w:tc>
        <w:tc>
          <w:tcPr>
            <w:tcW w:w="1572" w:type="pct"/>
          </w:tcPr>
          <w:p w14:paraId="202A3714"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Cultivated land with annual or perennial crops</w:t>
            </w:r>
          </w:p>
        </w:tc>
        <w:tc>
          <w:tcPr>
            <w:tcW w:w="550" w:type="pct"/>
            <w:noWrap/>
            <w:hideMark/>
          </w:tcPr>
          <w:p w14:paraId="0E8FB2EA"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15</w:t>
            </w:r>
          </w:p>
        </w:tc>
        <w:tc>
          <w:tcPr>
            <w:tcW w:w="532" w:type="pct"/>
            <w:noWrap/>
            <w:hideMark/>
          </w:tcPr>
          <w:p w14:paraId="39CF7AC6"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w:t>
            </w:r>
          </w:p>
        </w:tc>
        <w:tc>
          <w:tcPr>
            <w:tcW w:w="677" w:type="pct"/>
            <w:noWrap/>
            <w:hideMark/>
          </w:tcPr>
          <w:p w14:paraId="67A5C782"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36</w:t>
            </w:r>
          </w:p>
        </w:tc>
        <w:tc>
          <w:tcPr>
            <w:tcW w:w="885" w:type="pct"/>
            <w:noWrap/>
            <w:hideMark/>
          </w:tcPr>
          <w:p w14:paraId="5DE3AE4D"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56</w:t>
            </w:r>
          </w:p>
        </w:tc>
      </w:tr>
      <w:tr w:rsidR="001B5D6A" w:rsidRPr="003B1302" w14:paraId="45FE9AFC"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34AB5E73" w14:textId="77777777" w:rsidR="001B5D6A" w:rsidRPr="003B1302" w:rsidRDefault="001B5D6A"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Forest</w:t>
            </w:r>
          </w:p>
        </w:tc>
        <w:tc>
          <w:tcPr>
            <w:tcW w:w="1572" w:type="pct"/>
          </w:tcPr>
          <w:p w14:paraId="2D532A76"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A continuous stand of trees with crowns interlocking</w:t>
            </w:r>
          </w:p>
        </w:tc>
        <w:tc>
          <w:tcPr>
            <w:tcW w:w="550" w:type="pct"/>
            <w:noWrap/>
            <w:hideMark/>
          </w:tcPr>
          <w:p w14:paraId="6A90C2B0"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40</w:t>
            </w:r>
          </w:p>
        </w:tc>
        <w:tc>
          <w:tcPr>
            <w:tcW w:w="532" w:type="pct"/>
            <w:noWrap/>
            <w:hideMark/>
          </w:tcPr>
          <w:p w14:paraId="4E89C143"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12</w:t>
            </w:r>
          </w:p>
        </w:tc>
        <w:tc>
          <w:tcPr>
            <w:tcW w:w="677" w:type="pct"/>
            <w:noWrap/>
            <w:hideMark/>
          </w:tcPr>
          <w:p w14:paraId="15C813B0"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57</w:t>
            </w:r>
          </w:p>
        </w:tc>
        <w:tc>
          <w:tcPr>
            <w:tcW w:w="885" w:type="pct"/>
            <w:noWrap/>
            <w:hideMark/>
          </w:tcPr>
          <w:p w14:paraId="37A81371"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109</w:t>
            </w:r>
          </w:p>
        </w:tc>
      </w:tr>
      <w:tr w:rsidR="001B5D6A" w:rsidRPr="003B1302" w14:paraId="0CA55139"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538C9395" w14:textId="77777777" w:rsidR="001B5D6A" w:rsidRPr="003B1302" w:rsidRDefault="001B5D6A" w:rsidP="0089347F">
            <w:pPr>
              <w:jc w:val="center"/>
              <w:rPr>
                <w:rFonts w:eastAsia="Times New Roman" w:cs="Open Sans"/>
                <w:b w:val="0"/>
                <w:bCs w:val="0"/>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 xml:space="preserve">Wooded </w:t>
            </w:r>
          </w:p>
          <w:p w14:paraId="53069365" w14:textId="77777777" w:rsidR="001B5D6A" w:rsidRPr="003B1302" w:rsidRDefault="001B5D6A"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Grassland</w:t>
            </w:r>
          </w:p>
        </w:tc>
        <w:tc>
          <w:tcPr>
            <w:tcW w:w="1572" w:type="pct"/>
          </w:tcPr>
          <w:p w14:paraId="3E51627B"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Land covered with grasses and other herbs with woody vegetation covering 10%–40% of the ground</w:t>
            </w:r>
          </w:p>
        </w:tc>
        <w:tc>
          <w:tcPr>
            <w:tcW w:w="550" w:type="pct"/>
            <w:noWrap/>
            <w:hideMark/>
          </w:tcPr>
          <w:p w14:paraId="533BEBE3"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16</w:t>
            </w:r>
          </w:p>
        </w:tc>
        <w:tc>
          <w:tcPr>
            <w:tcW w:w="532" w:type="pct"/>
            <w:noWrap/>
            <w:hideMark/>
          </w:tcPr>
          <w:p w14:paraId="3CD55030"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w:t>
            </w:r>
          </w:p>
        </w:tc>
        <w:tc>
          <w:tcPr>
            <w:tcW w:w="677" w:type="pct"/>
            <w:noWrap/>
            <w:hideMark/>
          </w:tcPr>
          <w:p w14:paraId="5E720A6B"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37</w:t>
            </w:r>
          </w:p>
        </w:tc>
        <w:tc>
          <w:tcPr>
            <w:tcW w:w="885" w:type="pct"/>
            <w:noWrap/>
            <w:hideMark/>
          </w:tcPr>
          <w:p w14:paraId="58068190" w14:textId="77777777" w:rsidR="001B5D6A" w:rsidRPr="003B1302" w:rsidRDefault="001B5D6A" w:rsidP="0089347F">
            <w:pPr>
              <w:jc w:val="center"/>
              <w:cnfStyle w:val="000000100000" w:firstRow="0" w:lastRow="0" w:firstColumn="0" w:lastColumn="0" w:oddVBand="0" w:evenVBand="0" w:oddHBand="1"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58</w:t>
            </w:r>
          </w:p>
        </w:tc>
      </w:tr>
      <w:tr w:rsidR="001B5D6A" w:rsidRPr="003B1302" w14:paraId="78261760"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784" w:type="pct"/>
            <w:noWrap/>
            <w:hideMark/>
          </w:tcPr>
          <w:p w14:paraId="3D29BE5D" w14:textId="77777777" w:rsidR="001B5D6A" w:rsidRPr="003B1302" w:rsidRDefault="001B5D6A" w:rsidP="0089347F">
            <w:pPr>
              <w:jc w:val="center"/>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Woodland</w:t>
            </w:r>
          </w:p>
        </w:tc>
        <w:tc>
          <w:tcPr>
            <w:tcW w:w="1572" w:type="pct"/>
          </w:tcPr>
          <w:p w14:paraId="0578DAA4"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An open stand of trees with canopy cover ≥40%. The field layer dominated by grasses</w:t>
            </w:r>
          </w:p>
        </w:tc>
        <w:tc>
          <w:tcPr>
            <w:tcW w:w="550" w:type="pct"/>
            <w:noWrap/>
            <w:hideMark/>
          </w:tcPr>
          <w:p w14:paraId="08688BCA"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40</w:t>
            </w:r>
          </w:p>
        </w:tc>
        <w:tc>
          <w:tcPr>
            <w:tcW w:w="532" w:type="pct"/>
            <w:noWrap/>
            <w:hideMark/>
          </w:tcPr>
          <w:p w14:paraId="2DC77F6E"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12</w:t>
            </w:r>
          </w:p>
        </w:tc>
        <w:tc>
          <w:tcPr>
            <w:tcW w:w="677" w:type="pct"/>
            <w:noWrap/>
            <w:hideMark/>
          </w:tcPr>
          <w:p w14:paraId="59705788" w14:textId="77777777" w:rsidR="001B5D6A" w:rsidRPr="003B1302" w:rsidRDefault="001B5D6A" w:rsidP="0089347F">
            <w:pPr>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38</w:t>
            </w:r>
          </w:p>
        </w:tc>
        <w:tc>
          <w:tcPr>
            <w:tcW w:w="885" w:type="pct"/>
            <w:noWrap/>
            <w:hideMark/>
          </w:tcPr>
          <w:p w14:paraId="45DADB91" w14:textId="77777777" w:rsidR="001B5D6A" w:rsidRPr="003B1302" w:rsidRDefault="001B5D6A" w:rsidP="0089347F">
            <w:pPr>
              <w:keepNext/>
              <w:jc w:val="center"/>
              <w:cnfStyle w:val="000000000000" w:firstRow="0" w:lastRow="0" w:firstColumn="0" w:lastColumn="0" w:oddVBand="0" w:evenVBand="0" w:oddHBand="0" w:evenHBand="0" w:firstRowFirstColumn="0" w:firstRowLastColumn="0" w:lastRowFirstColumn="0" w:lastRowLastColumn="0"/>
              <w:rPr>
                <w:rFonts w:eastAsia="Times New Roman" w:cs="Open Sans"/>
                <w:color w:val="000000"/>
                <w:kern w:val="0"/>
                <w:sz w:val="20"/>
                <w:szCs w:val="20"/>
                <w:lang w:eastAsia="en-GB"/>
                <w14:ligatures w14:val="none"/>
              </w:rPr>
            </w:pPr>
            <w:r w:rsidRPr="003B1302">
              <w:rPr>
                <w:rFonts w:eastAsia="Times New Roman" w:cs="Open Sans"/>
                <w:color w:val="000000"/>
                <w:kern w:val="0"/>
                <w:sz w:val="20"/>
                <w:szCs w:val="20"/>
                <w:lang w:eastAsia="en-GB"/>
                <w14:ligatures w14:val="none"/>
              </w:rPr>
              <w:t>90</w:t>
            </w:r>
          </w:p>
        </w:tc>
      </w:tr>
    </w:tbl>
    <w:p w14:paraId="685BA593" w14:textId="77777777" w:rsidR="001B5D6A" w:rsidRPr="003B1302" w:rsidRDefault="001B5D6A" w:rsidP="001B5D6A">
      <w:r w:rsidRPr="003B1302">
        <w:t>Source: Adapted from Amara et al. (2019).</w:t>
      </w:r>
    </w:p>
    <w:p w14:paraId="1EEBE13B" w14:textId="77777777" w:rsidR="001B5D6A" w:rsidRPr="003B1302" w:rsidRDefault="001B5D6A" w:rsidP="001B5D6A"/>
    <w:p w14:paraId="5A2C4C54" w14:textId="77777777" w:rsidR="001B5D6A" w:rsidRPr="003B1302" w:rsidRDefault="001B5D6A" w:rsidP="001B5D6A">
      <w:pPr>
        <w:rPr>
          <w:sz w:val="20"/>
          <w:szCs w:val="20"/>
        </w:rPr>
      </w:pPr>
      <w:r w:rsidRPr="003B1302">
        <w:rPr>
          <w:sz w:val="20"/>
          <w:szCs w:val="20"/>
        </w:rPr>
        <w:t xml:space="preserve">The carbon balance or net emissions per hectare is obtained by subtracting the carbon accumulated in cocoa plantations stocks from emissions resulting from the loss of carbon from the land use types presented in table 5.2 when they are replaced by coca. </w:t>
      </w:r>
    </w:p>
    <w:p w14:paraId="70791FAF" w14:textId="77777777" w:rsidR="001B5D6A" w:rsidRPr="003B1302" w:rsidRDefault="001B5D6A" w:rsidP="001B5D6A">
      <w:pPr>
        <w:rPr>
          <w:sz w:val="20"/>
          <w:szCs w:val="20"/>
        </w:rPr>
      </w:pPr>
    </w:p>
    <w:p w14:paraId="71C16F5D" w14:textId="77777777" w:rsidR="001B5D6A" w:rsidRPr="003B1302" w:rsidRDefault="001B5D6A" w:rsidP="001B5D6A">
      <w:pPr>
        <w:rPr>
          <w:sz w:val="20"/>
          <w:szCs w:val="20"/>
        </w:rPr>
      </w:pPr>
      <w:r w:rsidRPr="003B1302">
        <w:rPr>
          <w:sz w:val="20"/>
          <w:szCs w:val="20"/>
        </w:rPr>
        <w:t xml:space="preserve">The carbon stocks for cocoa are taken from </w:t>
      </w:r>
      <w:proofErr w:type="spellStart"/>
      <w:r w:rsidRPr="003B1302">
        <w:rPr>
          <w:sz w:val="20"/>
          <w:szCs w:val="20"/>
        </w:rPr>
        <w:t>Asigbaase</w:t>
      </w:r>
      <w:proofErr w:type="spellEnd"/>
      <w:r w:rsidRPr="003B1302">
        <w:rPr>
          <w:sz w:val="20"/>
          <w:szCs w:val="20"/>
        </w:rPr>
        <w:t xml:space="preserve"> at al. (2021) which gives carbon stocks in terms of age bands, which allows for age specific carbon balance to be generated and annualized based on stand age (i.e. allocated to a single year). These are available in the appendix.</w:t>
      </w:r>
    </w:p>
    <w:p w14:paraId="24DA271E" w14:textId="5D444FF7" w:rsidR="001B5D6A" w:rsidRPr="003B1302" w:rsidRDefault="001B5D6A" w:rsidP="001B5D6A">
      <w:pPr>
        <w:rPr>
          <w:sz w:val="20"/>
          <w:szCs w:val="20"/>
        </w:rPr>
      </w:pPr>
      <w:r w:rsidRPr="003B1302">
        <w:rPr>
          <w:sz w:val="20"/>
          <w:szCs w:val="20"/>
        </w:rPr>
        <w:t>This allows for a carbon balance to be expressed in terms of carbon per hectare per year, reflecting different period</w:t>
      </w:r>
      <w:r w:rsidR="00D71B1C">
        <w:rPr>
          <w:sz w:val="20"/>
          <w:szCs w:val="20"/>
        </w:rPr>
        <w:t>s</w:t>
      </w:r>
      <w:r w:rsidRPr="003B1302">
        <w:rPr>
          <w:sz w:val="20"/>
          <w:szCs w:val="20"/>
        </w:rPr>
        <w:t xml:space="preserve"> of </w:t>
      </w:r>
      <w:proofErr w:type="spellStart"/>
      <w:r w:rsidRPr="003B1302">
        <w:rPr>
          <w:sz w:val="20"/>
          <w:szCs w:val="20"/>
        </w:rPr>
        <w:t>agroforesty</w:t>
      </w:r>
      <w:proofErr w:type="spellEnd"/>
      <w:r w:rsidRPr="003B1302">
        <w:rPr>
          <w:sz w:val="20"/>
          <w:szCs w:val="20"/>
        </w:rPr>
        <w:t xml:space="preserve"> productivity.</w:t>
      </w:r>
    </w:p>
    <w:p w14:paraId="601B65C4" w14:textId="77777777" w:rsidR="001B5D6A" w:rsidRPr="003B1302" w:rsidRDefault="001B5D6A" w:rsidP="001B5D6A">
      <w:pPr>
        <w:rPr>
          <w:sz w:val="20"/>
          <w:szCs w:val="20"/>
        </w:rPr>
      </w:pPr>
    </w:p>
    <w:p w14:paraId="161BEF11" w14:textId="0A5B3BB8" w:rsidR="001B5D6A" w:rsidRPr="003B1302" w:rsidRDefault="001B5D6A" w:rsidP="001B5D6A">
      <w:pPr>
        <w:rPr>
          <w:sz w:val="20"/>
          <w:szCs w:val="20"/>
        </w:rPr>
      </w:pPr>
      <w:r w:rsidRPr="003B1302">
        <w:rPr>
          <w:sz w:val="20"/>
          <w:szCs w:val="20"/>
        </w:rPr>
        <w:t xml:space="preserve">Young cocoa are 10 years old, however, as the mature cocoa agroforest systems taken from </w:t>
      </w:r>
      <w:proofErr w:type="spellStart"/>
      <w:r w:rsidRPr="003B1302">
        <w:rPr>
          <w:sz w:val="20"/>
          <w:szCs w:val="20"/>
        </w:rPr>
        <w:t>Asigbaase</w:t>
      </w:r>
      <w:proofErr w:type="spellEnd"/>
      <w:r w:rsidRPr="003B1302">
        <w:rPr>
          <w:sz w:val="20"/>
          <w:szCs w:val="20"/>
        </w:rPr>
        <w:t xml:space="preserve"> </w:t>
      </w:r>
      <w:r w:rsidR="00D71B1C">
        <w:rPr>
          <w:sz w:val="20"/>
          <w:szCs w:val="20"/>
        </w:rPr>
        <w:t>e</w:t>
      </w:r>
      <w:r w:rsidRPr="003B1302">
        <w:rPr>
          <w:sz w:val="20"/>
          <w:szCs w:val="20"/>
        </w:rPr>
        <w:t xml:space="preserve">t al. (2021) represented an age profile that straddles the usual cut off point for land use change (LUC) emissions (i.e. 20 years vs the 16-30 age bracket). Therefore, the annualization process assumes two age profiles for mature forests, 19 and 21 years. In the case of the former a carbon debt is incurred whilst in the latter, the cocoa agroforest system is wholly carbon negative. Similarly for old trees (&gt; 35 years) no carbon debt due to LUC is included. Additionally, as the final case study (32 years) straddles the carbon stock age brackets in </w:t>
      </w:r>
      <w:proofErr w:type="spellStart"/>
      <w:r w:rsidRPr="003B1302">
        <w:rPr>
          <w:sz w:val="20"/>
          <w:szCs w:val="20"/>
        </w:rPr>
        <w:t>Asigbaase</w:t>
      </w:r>
      <w:proofErr w:type="spellEnd"/>
      <w:r w:rsidRPr="003B1302">
        <w:rPr>
          <w:sz w:val="20"/>
          <w:szCs w:val="20"/>
        </w:rPr>
        <w:t xml:space="preserve"> et al. (2021), -6-30 and &gt;31 years- the estimated sequestration rate (i.e. t C/ha/yr) for both age groups was averaged to avoid over or under estimation of a mature system entering in decline. The combined effect of different assumptions on age and previous land use is </w:t>
      </w:r>
      <w:proofErr w:type="spellStart"/>
      <w:r w:rsidRPr="003B1302">
        <w:rPr>
          <w:sz w:val="20"/>
          <w:szCs w:val="20"/>
        </w:rPr>
        <w:t>summarised</w:t>
      </w:r>
      <w:proofErr w:type="spellEnd"/>
      <w:r w:rsidRPr="003B1302">
        <w:rPr>
          <w:sz w:val="20"/>
          <w:szCs w:val="20"/>
        </w:rPr>
        <w:t xml:space="preserve"> in table 5.3 below. </w:t>
      </w:r>
    </w:p>
    <w:p w14:paraId="48AF1101" w14:textId="77777777" w:rsidR="001B5D6A" w:rsidRPr="003B1302" w:rsidRDefault="001B5D6A" w:rsidP="001B5D6A">
      <w:pPr>
        <w:rPr>
          <w:sz w:val="20"/>
          <w:szCs w:val="20"/>
        </w:rPr>
      </w:pPr>
    </w:p>
    <w:p w14:paraId="7F2C252E" w14:textId="2D45044A" w:rsidR="001B5D6A" w:rsidRPr="003B1302" w:rsidRDefault="001B5D6A" w:rsidP="001B5D6A">
      <w:pPr>
        <w:rPr>
          <w:sz w:val="20"/>
          <w:szCs w:val="20"/>
        </w:rPr>
      </w:pPr>
      <w:r w:rsidRPr="003B1302">
        <w:rPr>
          <w:sz w:val="20"/>
          <w:szCs w:val="20"/>
        </w:rPr>
        <w:t xml:space="preserve">As can be seen from </w:t>
      </w:r>
      <w:r w:rsidRPr="00D71B1C">
        <w:rPr>
          <w:sz w:val="20"/>
          <w:szCs w:val="20"/>
        </w:rPr>
        <w:fldChar w:fldCharType="begin"/>
      </w:r>
      <w:r w:rsidRPr="00D71B1C">
        <w:rPr>
          <w:sz w:val="20"/>
          <w:szCs w:val="20"/>
        </w:rPr>
        <w:instrText xml:space="preserve"> REF _Ref227063578 \h </w:instrText>
      </w:r>
      <w:r w:rsidR="00D71B1C">
        <w:rPr>
          <w:sz w:val="20"/>
          <w:szCs w:val="20"/>
        </w:rPr>
        <w:instrText xml:space="preserve"> \* MERGEFORMAT </w:instrText>
      </w:r>
      <w:r w:rsidRPr="00D71B1C">
        <w:rPr>
          <w:sz w:val="20"/>
          <w:szCs w:val="20"/>
        </w:rPr>
      </w:r>
      <w:r w:rsidRPr="00D71B1C">
        <w:rPr>
          <w:sz w:val="20"/>
          <w:szCs w:val="20"/>
        </w:rPr>
        <w:fldChar w:fldCharType="separate"/>
      </w:r>
      <w:r w:rsidRPr="001F42F7">
        <w:rPr>
          <w:sz w:val="20"/>
          <w:szCs w:val="20"/>
        </w:rPr>
        <w:t>Table 5</w:t>
      </w:r>
      <w:r w:rsidRPr="001F42F7">
        <w:rPr>
          <w:sz w:val="20"/>
          <w:szCs w:val="20"/>
        </w:rPr>
        <w:noBreakHyphen/>
      </w:r>
      <w:r w:rsidRPr="00D71B1C">
        <w:rPr>
          <w:sz w:val="20"/>
          <w:szCs w:val="20"/>
        </w:rPr>
        <w:fldChar w:fldCharType="end"/>
      </w:r>
      <w:r w:rsidRPr="00D71B1C">
        <w:rPr>
          <w:sz w:val="20"/>
          <w:szCs w:val="20"/>
        </w:rPr>
        <w:t>3,</w:t>
      </w:r>
      <w:r w:rsidRPr="003B1302">
        <w:rPr>
          <w:sz w:val="20"/>
          <w:szCs w:val="20"/>
        </w:rPr>
        <w:t xml:space="preserve"> </w:t>
      </w:r>
      <w:proofErr w:type="gramStart"/>
      <w:r w:rsidRPr="003B1302">
        <w:rPr>
          <w:sz w:val="20"/>
          <w:szCs w:val="20"/>
        </w:rPr>
        <w:t>the majority of</w:t>
      </w:r>
      <w:proofErr w:type="gramEnd"/>
      <w:r w:rsidRPr="003B1302">
        <w:rPr>
          <w:sz w:val="20"/>
          <w:szCs w:val="20"/>
        </w:rPr>
        <w:t xml:space="preserve"> land use transitions result in a positive carbon balance (negative emissions) </w:t>
      </w:r>
      <w:proofErr w:type="gramStart"/>
      <w:r w:rsidRPr="003B1302">
        <w:rPr>
          <w:sz w:val="20"/>
          <w:szCs w:val="20"/>
        </w:rPr>
        <w:t>with the exception of</w:t>
      </w:r>
      <w:proofErr w:type="gramEnd"/>
      <w:r w:rsidRPr="003B1302">
        <w:rPr>
          <w:sz w:val="20"/>
          <w:szCs w:val="20"/>
        </w:rPr>
        <w:t xml:space="preserve"> the transition or woodland to younger cocoa and the replacement of woodland. To reiterate, none of these transitions relate to the replacement of primary forestry, which would result in a high carbon burden. </w:t>
      </w:r>
      <w:proofErr w:type="gramStart"/>
      <w:r w:rsidRPr="003B1302">
        <w:rPr>
          <w:sz w:val="20"/>
          <w:szCs w:val="20"/>
        </w:rPr>
        <w:t>However</w:t>
      </w:r>
      <w:proofErr w:type="gramEnd"/>
      <w:r w:rsidRPr="003B1302">
        <w:rPr>
          <w:sz w:val="20"/>
          <w:szCs w:val="20"/>
        </w:rPr>
        <w:t xml:space="preserve"> the carbon stocks for disturbed forestry in Côte d’Ivoire as suggested in Critchley et al. (2021) are, at (81 t C/ha) comparable to those envisioned for agroforestry, so the replacement of secondary forest (i.e. forested areas as a result of natural processes after removal or disturbance of the original forest) may at best result in equivalent carbon stocks but </w:t>
      </w:r>
      <w:proofErr w:type="gramStart"/>
      <w:r w:rsidRPr="003B1302">
        <w:rPr>
          <w:sz w:val="20"/>
          <w:szCs w:val="20"/>
        </w:rPr>
        <w:t>none the less</w:t>
      </w:r>
      <w:proofErr w:type="gramEnd"/>
      <w:r w:rsidRPr="003B1302">
        <w:rPr>
          <w:sz w:val="20"/>
          <w:szCs w:val="20"/>
        </w:rPr>
        <w:t xml:space="preserve"> risks embodying carbon losses. Given their similarity in carbon stocks used it is assumed that cocoa agroforestry replaces bushland or wooded grassland. This is informed by interview respondents who frequently cited </w:t>
      </w:r>
      <w:r w:rsidRPr="003B1302">
        <w:rPr>
          <w:sz w:val="20"/>
          <w:szCs w:val="20"/>
        </w:rPr>
        <w:lastRenderedPageBreak/>
        <w:t>bushland or young forest/grassland/</w:t>
      </w:r>
      <w:proofErr w:type="spellStart"/>
      <w:r w:rsidRPr="003B1302">
        <w:rPr>
          <w:sz w:val="20"/>
          <w:szCs w:val="20"/>
        </w:rPr>
        <w:t>bouli</w:t>
      </w:r>
      <w:proofErr w:type="spellEnd"/>
      <w:r w:rsidRPr="003B1302">
        <w:rPr>
          <w:sz w:val="20"/>
          <w:szCs w:val="20"/>
        </w:rPr>
        <w:t xml:space="preserve">. The carbon responsibility cut off is 20 years therefore options 1 and 4 do not incur a carbon debt, whilst in case study 3, 3 different alternatives are presented with or without incurring a carbon debt. </w:t>
      </w:r>
    </w:p>
    <w:p w14:paraId="5B9B6366" w14:textId="77777777" w:rsidR="001B5D6A" w:rsidRPr="003B1302" w:rsidRDefault="001B5D6A" w:rsidP="001B5D6A"/>
    <w:p w14:paraId="73412C79" w14:textId="7897F42F" w:rsidR="001B5D6A" w:rsidRPr="006A5892" w:rsidRDefault="001B5D6A" w:rsidP="001B5D6A">
      <w:pPr>
        <w:pStyle w:val="Caption"/>
        <w:keepNext/>
        <w:jc w:val="center"/>
      </w:pPr>
      <w:bookmarkStart w:id="167" w:name="_Toc228701088"/>
      <w:r w:rsidRPr="003B1302">
        <w:t xml:space="preserve">Table </w:t>
      </w:r>
      <w:fldSimple w:instr=" STYLEREF 1 \s ">
        <w:r w:rsidR="006C1C4E">
          <w:rPr>
            <w:noProof/>
          </w:rPr>
          <w:t>5</w:t>
        </w:r>
      </w:fldSimple>
      <w:r w:rsidR="006C1C4E">
        <w:noBreakHyphen/>
      </w:r>
      <w:fldSimple w:instr=" SEQ Table \* ARABIC \s 1 ">
        <w:r w:rsidR="006C1C4E">
          <w:rPr>
            <w:noProof/>
          </w:rPr>
          <w:t>3</w:t>
        </w:r>
      </w:fldSimple>
      <w:r w:rsidRPr="006A5892">
        <w:t xml:space="preserve"> SUMMARY OF CARBON IMPLICATION OF CHOSEN CASE STUDY LAND USE TRANSITIONS</w:t>
      </w:r>
      <w:bookmarkEnd w:id="167"/>
    </w:p>
    <w:tbl>
      <w:tblPr>
        <w:tblStyle w:val="GridTable4-Accent1"/>
        <w:tblW w:w="7701" w:type="dxa"/>
        <w:jc w:val="center"/>
        <w:tblLook w:val="04A0" w:firstRow="1" w:lastRow="0" w:firstColumn="1" w:lastColumn="0" w:noHBand="0" w:noVBand="1"/>
      </w:tblPr>
      <w:tblGrid>
        <w:gridCol w:w="2473"/>
        <w:gridCol w:w="1180"/>
        <w:gridCol w:w="1377"/>
        <w:gridCol w:w="1431"/>
        <w:gridCol w:w="1240"/>
      </w:tblGrid>
      <w:tr w:rsidR="001B5D6A" w:rsidRPr="006A5892" w14:paraId="0EFFECF4" w14:textId="77777777" w:rsidTr="0089347F">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tcPr>
          <w:p w14:paraId="265417CB" w14:textId="77777777" w:rsidR="001B5D6A" w:rsidRPr="006A5892" w:rsidRDefault="001B5D6A" w:rsidP="0089347F">
            <w:pPr>
              <w:jc w:val="center"/>
              <w:rPr>
                <w:rFonts w:ascii="Aptos Narrow" w:eastAsia="Times New Roman" w:hAnsi="Aptos Narrow" w:cs="Times New Roman"/>
                <w:kern w:val="0"/>
                <w:sz w:val="20"/>
                <w:szCs w:val="20"/>
                <w:lang w:eastAsia="en-GB"/>
                <w14:ligatures w14:val="none"/>
              </w:rPr>
            </w:pPr>
            <w:r w:rsidRPr="006A5892">
              <w:rPr>
                <w:rFonts w:ascii="Aptos Narrow" w:eastAsia="Times New Roman" w:hAnsi="Aptos Narrow" w:cs="Times New Roman"/>
                <w:kern w:val="0"/>
                <w:sz w:val="20"/>
                <w:szCs w:val="20"/>
                <w:lang w:eastAsia="en-GB"/>
                <w14:ligatures w14:val="none"/>
              </w:rPr>
              <w:t>Case Study</w:t>
            </w:r>
          </w:p>
        </w:tc>
        <w:tc>
          <w:tcPr>
            <w:tcW w:w="1180" w:type="dxa"/>
            <w:noWrap/>
          </w:tcPr>
          <w:p w14:paraId="032187B7" w14:textId="77777777" w:rsidR="001B5D6A" w:rsidRPr="006A5892" w:rsidRDefault="001B5D6A"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20"/>
                <w:szCs w:val="20"/>
                <w:lang w:eastAsia="en-GB"/>
                <w14:ligatures w14:val="none"/>
              </w:rPr>
            </w:pPr>
            <w:r w:rsidRPr="006A5892">
              <w:rPr>
                <w:rFonts w:ascii="Aptos Narrow" w:eastAsia="Times New Roman" w:hAnsi="Aptos Narrow" w:cs="Times New Roman"/>
                <w:kern w:val="0"/>
                <w:sz w:val="20"/>
                <w:szCs w:val="20"/>
                <w:lang w:eastAsia="en-GB"/>
                <w14:ligatures w14:val="none"/>
              </w:rPr>
              <w:t>1</w:t>
            </w:r>
          </w:p>
        </w:tc>
        <w:tc>
          <w:tcPr>
            <w:tcW w:w="1377" w:type="dxa"/>
            <w:noWrap/>
          </w:tcPr>
          <w:p w14:paraId="3860171A" w14:textId="77777777" w:rsidR="001B5D6A" w:rsidRPr="006A5892" w:rsidRDefault="001B5D6A"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20"/>
                <w:szCs w:val="20"/>
                <w:lang w:eastAsia="en-GB"/>
                <w14:ligatures w14:val="none"/>
              </w:rPr>
            </w:pPr>
            <w:r w:rsidRPr="006A5892">
              <w:rPr>
                <w:rFonts w:ascii="Aptos Narrow" w:eastAsia="Times New Roman" w:hAnsi="Aptos Narrow" w:cs="Times New Roman"/>
                <w:kern w:val="0"/>
                <w:sz w:val="20"/>
                <w:szCs w:val="20"/>
                <w:lang w:eastAsia="en-GB"/>
                <w14:ligatures w14:val="none"/>
              </w:rPr>
              <w:t>2</w:t>
            </w:r>
          </w:p>
        </w:tc>
        <w:tc>
          <w:tcPr>
            <w:tcW w:w="1431" w:type="dxa"/>
            <w:noWrap/>
          </w:tcPr>
          <w:p w14:paraId="59630CF3" w14:textId="77777777" w:rsidR="001B5D6A" w:rsidRPr="006A5892" w:rsidRDefault="001B5D6A"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20"/>
                <w:szCs w:val="20"/>
                <w:lang w:eastAsia="en-GB"/>
                <w14:ligatures w14:val="none"/>
              </w:rPr>
            </w:pPr>
            <w:r w:rsidRPr="006A5892">
              <w:rPr>
                <w:rFonts w:ascii="Aptos Narrow" w:eastAsia="Times New Roman" w:hAnsi="Aptos Narrow" w:cs="Times New Roman"/>
                <w:kern w:val="0"/>
                <w:sz w:val="20"/>
                <w:szCs w:val="20"/>
                <w:lang w:eastAsia="en-GB"/>
                <w14:ligatures w14:val="none"/>
              </w:rPr>
              <w:t>3.1/3.2/3.3</w:t>
            </w:r>
          </w:p>
        </w:tc>
        <w:tc>
          <w:tcPr>
            <w:tcW w:w="1240" w:type="dxa"/>
            <w:noWrap/>
          </w:tcPr>
          <w:p w14:paraId="47F4A237" w14:textId="77777777" w:rsidR="001B5D6A" w:rsidRPr="006A5892" w:rsidRDefault="001B5D6A"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20"/>
                <w:szCs w:val="20"/>
                <w:lang w:eastAsia="en-GB"/>
                <w14:ligatures w14:val="none"/>
              </w:rPr>
            </w:pPr>
            <w:r w:rsidRPr="006A5892">
              <w:rPr>
                <w:rFonts w:ascii="Aptos Narrow" w:eastAsia="Times New Roman" w:hAnsi="Aptos Narrow" w:cs="Times New Roman"/>
                <w:kern w:val="0"/>
                <w:sz w:val="20"/>
                <w:szCs w:val="20"/>
                <w:lang w:eastAsia="en-GB"/>
                <w14:ligatures w14:val="none"/>
              </w:rPr>
              <w:t>4</w:t>
            </w:r>
          </w:p>
        </w:tc>
      </w:tr>
      <w:tr w:rsidR="001B5D6A" w:rsidRPr="006A5892" w14:paraId="7DFD8A28"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tcPr>
          <w:p w14:paraId="0B31FF5F" w14:textId="77777777" w:rsidR="001B5D6A" w:rsidRPr="006A5892" w:rsidRDefault="001B5D6A"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Farmer Category</w:t>
            </w:r>
          </w:p>
        </w:tc>
        <w:tc>
          <w:tcPr>
            <w:tcW w:w="2557" w:type="dxa"/>
            <w:gridSpan w:val="2"/>
            <w:noWrap/>
          </w:tcPr>
          <w:p w14:paraId="181E91DE"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20"/>
                <w:szCs w:val="20"/>
                <w:lang w:eastAsia="en-GB"/>
              </w:rPr>
            </w:pPr>
            <w:r w:rsidRPr="006A5892">
              <w:rPr>
                <w:rFonts w:ascii="Aptos Narrow" w:eastAsia="Times New Roman" w:hAnsi="Aptos Narrow" w:cs="Times New Roman"/>
                <w:b/>
                <w:bCs/>
                <w:color w:val="000000"/>
                <w:sz w:val="20"/>
                <w:szCs w:val="20"/>
                <w:lang w:eastAsia="en-GB"/>
              </w:rPr>
              <w:t>Small Holder</w:t>
            </w:r>
          </w:p>
        </w:tc>
        <w:tc>
          <w:tcPr>
            <w:tcW w:w="2671" w:type="dxa"/>
            <w:gridSpan w:val="2"/>
            <w:noWrap/>
          </w:tcPr>
          <w:p w14:paraId="67CEA785"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20"/>
                <w:szCs w:val="20"/>
                <w:lang w:eastAsia="en-GB"/>
              </w:rPr>
            </w:pPr>
            <w:r w:rsidRPr="006A5892">
              <w:rPr>
                <w:rFonts w:ascii="Aptos Narrow" w:eastAsia="Times New Roman" w:hAnsi="Aptos Narrow" w:cs="Times New Roman"/>
                <w:b/>
                <w:bCs/>
                <w:color w:val="000000"/>
                <w:sz w:val="20"/>
                <w:szCs w:val="20"/>
                <w:lang w:eastAsia="en-GB"/>
              </w:rPr>
              <w:t>Larger Small Holder</w:t>
            </w:r>
          </w:p>
        </w:tc>
      </w:tr>
      <w:tr w:rsidR="001B5D6A" w:rsidRPr="006A5892" w14:paraId="6821F5D0"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tcPr>
          <w:p w14:paraId="02AA0F81" w14:textId="77777777" w:rsidR="001B5D6A" w:rsidRPr="006A5892" w:rsidRDefault="001B5D6A"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Management</w:t>
            </w:r>
          </w:p>
        </w:tc>
        <w:tc>
          <w:tcPr>
            <w:tcW w:w="1180" w:type="dxa"/>
            <w:noWrap/>
          </w:tcPr>
          <w:p w14:paraId="51217BCA"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0"/>
                <w:szCs w:val="20"/>
                <w:lang w:eastAsia="en-GB"/>
              </w:rPr>
            </w:pPr>
            <w:r w:rsidRPr="006A5892">
              <w:rPr>
                <w:rFonts w:ascii="Aptos Narrow" w:eastAsia="Times New Roman" w:hAnsi="Aptos Narrow" w:cs="Times New Roman"/>
                <w:b/>
                <w:bCs/>
                <w:color w:val="000000"/>
                <w:sz w:val="20"/>
                <w:szCs w:val="20"/>
                <w:lang w:eastAsia="en-GB"/>
              </w:rPr>
              <w:t>None</w:t>
            </w:r>
          </w:p>
        </w:tc>
        <w:tc>
          <w:tcPr>
            <w:tcW w:w="1377" w:type="dxa"/>
            <w:noWrap/>
          </w:tcPr>
          <w:p w14:paraId="0C96C982"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0"/>
                <w:szCs w:val="20"/>
                <w:lang w:eastAsia="en-GB"/>
              </w:rPr>
            </w:pPr>
            <w:r w:rsidRPr="006A5892">
              <w:rPr>
                <w:rFonts w:ascii="Aptos Narrow" w:eastAsia="Times New Roman" w:hAnsi="Aptos Narrow" w:cs="Times New Roman"/>
                <w:b/>
                <w:bCs/>
                <w:color w:val="000000"/>
                <w:sz w:val="20"/>
                <w:szCs w:val="20"/>
                <w:lang w:eastAsia="en-GB"/>
              </w:rPr>
              <w:t>Minor Shade management</w:t>
            </w:r>
          </w:p>
        </w:tc>
        <w:tc>
          <w:tcPr>
            <w:tcW w:w="2671" w:type="dxa"/>
            <w:gridSpan w:val="2"/>
            <w:noWrap/>
          </w:tcPr>
          <w:p w14:paraId="0FBD3188"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20"/>
                <w:szCs w:val="20"/>
                <w:lang w:eastAsia="en-GB"/>
              </w:rPr>
            </w:pPr>
            <w:r w:rsidRPr="006A5892">
              <w:rPr>
                <w:rFonts w:ascii="Aptos Narrow" w:eastAsia="Times New Roman" w:hAnsi="Aptos Narrow" w:cs="Times New Roman"/>
                <w:b/>
                <w:bCs/>
                <w:color w:val="000000"/>
                <w:sz w:val="20"/>
                <w:szCs w:val="20"/>
                <w:lang w:eastAsia="en-GB"/>
              </w:rPr>
              <w:t>Significant pruning cleaning etc.</w:t>
            </w:r>
          </w:p>
        </w:tc>
      </w:tr>
      <w:tr w:rsidR="001B5D6A" w:rsidRPr="006A5892" w14:paraId="37EFB09B"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hideMark/>
          </w:tcPr>
          <w:p w14:paraId="79E00A5F" w14:textId="77777777" w:rsidR="001B5D6A" w:rsidRPr="006A5892" w:rsidRDefault="001B5D6A" w:rsidP="0089347F">
            <w:pPr>
              <w:jc w:val="center"/>
              <w:rPr>
                <w:rFonts w:ascii="Aptos Narrow" w:eastAsia="Times New Roman" w:hAnsi="Aptos Narrow" w:cs="Times New Roman"/>
                <w:color w:val="000000"/>
                <w:kern w:val="0"/>
                <w:sz w:val="20"/>
                <w:szCs w:val="20"/>
                <w:lang w:eastAsia="en-GB"/>
                <w14:ligatures w14:val="none"/>
              </w:rPr>
            </w:pPr>
            <w:r w:rsidRPr="006A5892">
              <w:rPr>
                <w:rFonts w:ascii="Aptos Narrow" w:eastAsia="Times New Roman" w:hAnsi="Aptos Narrow" w:cs="Times New Roman"/>
                <w:color w:val="000000"/>
                <w:kern w:val="0"/>
                <w:sz w:val="20"/>
                <w:szCs w:val="20"/>
                <w:lang w:eastAsia="en-GB"/>
                <w14:ligatures w14:val="none"/>
              </w:rPr>
              <w:t>Age</w:t>
            </w:r>
          </w:p>
        </w:tc>
        <w:tc>
          <w:tcPr>
            <w:tcW w:w="1180" w:type="dxa"/>
            <w:noWrap/>
            <w:hideMark/>
          </w:tcPr>
          <w:p w14:paraId="22FAC83D"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40</w:t>
            </w:r>
          </w:p>
        </w:tc>
        <w:tc>
          <w:tcPr>
            <w:tcW w:w="1377" w:type="dxa"/>
            <w:noWrap/>
            <w:hideMark/>
          </w:tcPr>
          <w:p w14:paraId="09E08B07"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10</w:t>
            </w:r>
          </w:p>
        </w:tc>
        <w:tc>
          <w:tcPr>
            <w:tcW w:w="1431" w:type="dxa"/>
            <w:noWrap/>
            <w:hideMark/>
          </w:tcPr>
          <w:p w14:paraId="06424E3C"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19/19/21</w:t>
            </w:r>
          </w:p>
        </w:tc>
        <w:tc>
          <w:tcPr>
            <w:tcW w:w="1240" w:type="dxa"/>
            <w:noWrap/>
            <w:hideMark/>
          </w:tcPr>
          <w:p w14:paraId="38BFFA3C"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32</w:t>
            </w:r>
          </w:p>
        </w:tc>
      </w:tr>
      <w:tr w:rsidR="001B5D6A" w:rsidRPr="006A5892" w14:paraId="340F4D62"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hideMark/>
          </w:tcPr>
          <w:p w14:paraId="0156F7DD" w14:textId="77777777" w:rsidR="001B5D6A" w:rsidRPr="006A5892" w:rsidRDefault="001B5D6A" w:rsidP="0089347F">
            <w:pPr>
              <w:jc w:val="center"/>
              <w:rPr>
                <w:rFonts w:ascii="Aptos Narrow" w:eastAsia="Times New Roman" w:hAnsi="Aptos Narrow" w:cs="Times New Roman"/>
                <w:color w:val="000000"/>
                <w:kern w:val="0"/>
                <w:sz w:val="20"/>
                <w:szCs w:val="20"/>
                <w:lang w:eastAsia="en-GB"/>
                <w14:ligatures w14:val="none"/>
              </w:rPr>
            </w:pPr>
            <w:r w:rsidRPr="006A5892">
              <w:rPr>
                <w:rFonts w:ascii="Aptos Narrow" w:eastAsia="Times New Roman" w:hAnsi="Aptos Narrow" w:cs="Times New Roman"/>
                <w:color w:val="000000"/>
                <w:kern w:val="0"/>
                <w:sz w:val="20"/>
                <w:szCs w:val="20"/>
                <w:lang w:eastAsia="en-GB"/>
                <w14:ligatures w14:val="none"/>
              </w:rPr>
              <w:t>kg/ha</w:t>
            </w:r>
          </w:p>
        </w:tc>
        <w:tc>
          <w:tcPr>
            <w:tcW w:w="1180" w:type="dxa"/>
            <w:noWrap/>
            <w:hideMark/>
          </w:tcPr>
          <w:p w14:paraId="006F8CB1"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100</w:t>
            </w:r>
          </w:p>
        </w:tc>
        <w:tc>
          <w:tcPr>
            <w:tcW w:w="1377" w:type="dxa"/>
            <w:noWrap/>
            <w:hideMark/>
          </w:tcPr>
          <w:p w14:paraId="527506A4"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150</w:t>
            </w:r>
          </w:p>
        </w:tc>
        <w:tc>
          <w:tcPr>
            <w:tcW w:w="1431" w:type="dxa"/>
            <w:noWrap/>
            <w:hideMark/>
          </w:tcPr>
          <w:p w14:paraId="6E8CAA96"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250</w:t>
            </w:r>
          </w:p>
        </w:tc>
        <w:tc>
          <w:tcPr>
            <w:tcW w:w="1240" w:type="dxa"/>
            <w:noWrap/>
            <w:hideMark/>
          </w:tcPr>
          <w:p w14:paraId="25792864"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200</w:t>
            </w:r>
          </w:p>
        </w:tc>
      </w:tr>
      <w:tr w:rsidR="001B5D6A" w:rsidRPr="006A5892" w14:paraId="3C0507D9"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tcPr>
          <w:p w14:paraId="4A188643" w14:textId="77777777" w:rsidR="001B5D6A" w:rsidRPr="006A5892" w:rsidRDefault="001B5D6A" w:rsidP="0089347F">
            <w:pPr>
              <w:jc w:val="center"/>
              <w:rPr>
                <w:rFonts w:ascii="Aptos Narrow" w:eastAsia="Times New Roman" w:hAnsi="Aptos Narrow" w:cs="Times New Roman"/>
                <w:color w:val="000000"/>
                <w:kern w:val="0"/>
                <w:sz w:val="20"/>
                <w:szCs w:val="20"/>
                <w:lang w:eastAsia="en-GB"/>
                <w14:ligatures w14:val="none"/>
              </w:rPr>
            </w:pPr>
            <w:r w:rsidRPr="006A5892">
              <w:rPr>
                <w:rFonts w:ascii="Aptos Narrow" w:eastAsia="Times New Roman" w:hAnsi="Aptos Narrow" w:cs="Times New Roman"/>
                <w:color w:val="000000"/>
                <w:kern w:val="0"/>
                <w:sz w:val="20"/>
                <w:szCs w:val="20"/>
                <w:lang w:eastAsia="en-GB"/>
                <w14:ligatures w14:val="none"/>
              </w:rPr>
              <w:t>Previous Land use</w:t>
            </w:r>
          </w:p>
        </w:tc>
        <w:tc>
          <w:tcPr>
            <w:tcW w:w="1180" w:type="dxa"/>
            <w:noWrap/>
          </w:tcPr>
          <w:p w14:paraId="29E39421"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NA</w:t>
            </w:r>
          </w:p>
        </w:tc>
        <w:tc>
          <w:tcPr>
            <w:tcW w:w="1377" w:type="dxa"/>
            <w:noWrap/>
          </w:tcPr>
          <w:p w14:paraId="1AB67D06"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Bushland</w:t>
            </w:r>
          </w:p>
        </w:tc>
        <w:tc>
          <w:tcPr>
            <w:tcW w:w="1431" w:type="dxa"/>
            <w:noWrap/>
          </w:tcPr>
          <w:p w14:paraId="65E70A25"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 xml:space="preserve">forest/wooded grassland/NA </w:t>
            </w:r>
          </w:p>
        </w:tc>
        <w:tc>
          <w:tcPr>
            <w:tcW w:w="1240" w:type="dxa"/>
            <w:noWrap/>
          </w:tcPr>
          <w:p w14:paraId="6B7D2BC5" w14:textId="77777777" w:rsidR="001B5D6A" w:rsidRPr="006A5892" w:rsidRDefault="001B5D6A"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NA</w:t>
            </w:r>
          </w:p>
        </w:tc>
      </w:tr>
      <w:tr w:rsidR="001B5D6A" w:rsidRPr="006A5892" w14:paraId="19A70068"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2473" w:type="dxa"/>
            <w:noWrap/>
          </w:tcPr>
          <w:p w14:paraId="280ADD3C" w14:textId="77777777" w:rsidR="001B5D6A" w:rsidRPr="00A81B40" w:rsidRDefault="001B5D6A" w:rsidP="0089347F">
            <w:pPr>
              <w:jc w:val="center"/>
              <w:rPr>
                <w:rFonts w:ascii="Aptos Narrow" w:eastAsia="Times New Roman" w:hAnsi="Aptos Narrow" w:cs="Times New Roman"/>
                <w:color w:val="000000"/>
                <w:kern w:val="0"/>
                <w:sz w:val="20"/>
                <w:szCs w:val="20"/>
                <w:lang w:val="fr-FR" w:eastAsia="en-GB"/>
                <w14:ligatures w14:val="none"/>
              </w:rPr>
            </w:pPr>
            <w:r w:rsidRPr="00A81B40">
              <w:rPr>
                <w:rFonts w:ascii="Aptos Narrow" w:eastAsia="Times New Roman" w:hAnsi="Aptos Narrow" w:cs="Times New Roman"/>
                <w:color w:val="000000"/>
                <w:sz w:val="20"/>
                <w:szCs w:val="20"/>
                <w:lang w:val="fr-FR" w:eastAsia="en-GB"/>
              </w:rPr>
              <w:t>Carbon Balance</w:t>
            </w:r>
          </w:p>
          <w:p w14:paraId="43D612A0" w14:textId="77777777" w:rsidR="001B5D6A" w:rsidRPr="00A81B40" w:rsidRDefault="001B5D6A" w:rsidP="0089347F">
            <w:pPr>
              <w:jc w:val="center"/>
              <w:rPr>
                <w:rFonts w:ascii="Aptos Narrow" w:eastAsia="Times New Roman" w:hAnsi="Aptos Narrow" w:cs="Times New Roman"/>
                <w:color w:val="000000"/>
                <w:kern w:val="0"/>
                <w:sz w:val="20"/>
                <w:szCs w:val="20"/>
                <w:lang w:val="fr-FR" w:eastAsia="en-GB"/>
                <w14:ligatures w14:val="none"/>
              </w:rPr>
            </w:pPr>
            <w:proofErr w:type="gramStart"/>
            <w:r w:rsidRPr="00A81B40">
              <w:rPr>
                <w:rFonts w:ascii="Aptos Narrow" w:eastAsia="Times New Roman" w:hAnsi="Aptos Narrow" w:cs="Times New Roman"/>
                <w:color w:val="000000"/>
                <w:sz w:val="20"/>
                <w:szCs w:val="20"/>
                <w:lang w:val="fr-FR" w:eastAsia="en-GB"/>
              </w:rPr>
              <w:t>t</w:t>
            </w:r>
            <w:proofErr w:type="gramEnd"/>
            <w:r w:rsidRPr="00A81B40">
              <w:rPr>
                <w:rFonts w:ascii="Aptos Narrow" w:eastAsia="Times New Roman" w:hAnsi="Aptos Narrow" w:cs="Times New Roman"/>
                <w:color w:val="000000"/>
                <w:sz w:val="20"/>
                <w:szCs w:val="20"/>
                <w:lang w:val="fr-FR" w:eastAsia="en-GB"/>
              </w:rPr>
              <w:t xml:space="preserve"> </w:t>
            </w:r>
            <w:proofErr w:type="spellStart"/>
            <w:r w:rsidRPr="00A81B40">
              <w:rPr>
                <w:rFonts w:ascii="Aptos Narrow" w:eastAsia="Times New Roman" w:hAnsi="Aptos Narrow" w:cs="Times New Roman"/>
                <w:color w:val="000000"/>
                <w:sz w:val="20"/>
                <w:szCs w:val="20"/>
                <w:lang w:val="fr-FR" w:eastAsia="en-GB"/>
              </w:rPr>
              <w:t>CO₂e</w:t>
            </w:r>
            <w:proofErr w:type="spellEnd"/>
            <w:r w:rsidRPr="00A81B40">
              <w:rPr>
                <w:rFonts w:ascii="Aptos Narrow" w:eastAsia="Times New Roman" w:hAnsi="Aptos Narrow" w:cs="Times New Roman"/>
                <w:color w:val="000000"/>
                <w:sz w:val="20"/>
                <w:szCs w:val="20"/>
                <w:lang w:val="fr-FR" w:eastAsia="en-GB"/>
              </w:rPr>
              <w:t xml:space="preserve"> /ha/</w:t>
            </w:r>
            <w:proofErr w:type="spellStart"/>
            <w:r w:rsidRPr="00A81B40">
              <w:rPr>
                <w:rFonts w:ascii="Aptos Narrow" w:eastAsia="Times New Roman" w:hAnsi="Aptos Narrow" w:cs="Times New Roman"/>
                <w:color w:val="000000"/>
                <w:sz w:val="20"/>
                <w:szCs w:val="20"/>
                <w:lang w:val="fr-FR" w:eastAsia="en-GB"/>
              </w:rPr>
              <w:t>yr</w:t>
            </w:r>
            <w:proofErr w:type="spellEnd"/>
          </w:p>
        </w:tc>
        <w:tc>
          <w:tcPr>
            <w:tcW w:w="1180" w:type="dxa"/>
            <w:noWrap/>
          </w:tcPr>
          <w:p w14:paraId="06955713"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-12</w:t>
            </w:r>
          </w:p>
        </w:tc>
        <w:tc>
          <w:tcPr>
            <w:tcW w:w="1377" w:type="dxa"/>
            <w:noWrap/>
          </w:tcPr>
          <w:p w14:paraId="2A3A2A4D"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-13</w:t>
            </w:r>
          </w:p>
        </w:tc>
        <w:tc>
          <w:tcPr>
            <w:tcW w:w="1431" w:type="dxa"/>
            <w:noWrap/>
          </w:tcPr>
          <w:p w14:paraId="1475A0DF" w14:textId="77777777" w:rsidR="001B5D6A" w:rsidRPr="006A5892" w:rsidRDefault="001B5D6A"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EE0000"/>
                <w:kern w:val="0"/>
                <w:sz w:val="20"/>
                <w:szCs w:val="20"/>
                <w:lang w:eastAsia="en-GB"/>
                <w14:ligatures w14:val="none"/>
              </w:rPr>
              <w:t>3</w:t>
            </w:r>
            <w:r w:rsidRPr="006A5892">
              <w:rPr>
                <w:rFonts w:ascii="Aptos Narrow" w:eastAsia="Times New Roman" w:hAnsi="Aptos Narrow" w:cs="Times New Roman"/>
                <w:b/>
                <w:bCs/>
                <w:color w:val="000000"/>
                <w:kern w:val="0"/>
                <w:sz w:val="20"/>
                <w:szCs w:val="20"/>
                <w:lang w:eastAsia="en-GB"/>
                <w14:ligatures w14:val="none"/>
              </w:rPr>
              <w:t>/-7/-18</w:t>
            </w:r>
          </w:p>
        </w:tc>
        <w:tc>
          <w:tcPr>
            <w:tcW w:w="1240" w:type="dxa"/>
            <w:noWrap/>
          </w:tcPr>
          <w:p w14:paraId="7FA936C4" w14:textId="77777777" w:rsidR="001B5D6A" w:rsidRPr="006A5892" w:rsidRDefault="001B5D6A" w:rsidP="0089347F">
            <w:pPr>
              <w:keepNex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kern w:val="0"/>
                <w:sz w:val="20"/>
                <w:szCs w:val="20"/>
                <w:lang w:eastAsia="en-GB"/>
                <w14:ligatures w14:val="none"/>
              </w:rPr>
            </w:pPr>
            <w:r w:rsidRPr="006A5892">
              <w:rPr>
                <w:rFonts w:ascii="Aptos Narrow" w:eastAsia="Times New Roman" w:hAnsi="Aptos Narrow" w:cs="Times New Roman"/>
                <w:b/>
                <w:bCs/>
                <w:color w:val="000000"/>
                <w:kern w:val="0"/>
                <w:sz w:val="20"/>
                <w:szCs w:val="20"/>
                <w:lang w:eastAsia="en-GB"/>
                <w14:ligatures w14:val="none"/>
              </w:rPr>
              <w:t xml:space="preserve">-15 </w:t>
            </w:r>
          </w:p>
        </w:tc>
      </w:tr>
    </w:tbl>
    <w:p w14:paraId="36C74B5B" w14:textId="77777777" w:rsidR="001B5D6A" w:rsidRPr="006A5892" w:rsidRDefault="001B5D6A" w:rsidP="001B5D6A"/>
    <w:p w14:paraId="16A2B708" w14:textId="77777777" w:rsidR="001B5D6A" w:rsidRPr="006A5892" w:rsidRDefault="001B5D6A" w:rsidP="001B5D6A">
      <w:r w:rsidRPr="006A5892">
        <w:t xml:space="preserve"> </w:t>
      </w:r>
    </w:p>
    <w:p w14:paraId="20611979" w14:textId="690EA954" w:rsidR="001B5D6A" w:rsidRPr="005A6559" w:rsidRDefault="001B5D6A" w:rsidP="001B5D6A">
      <w:pPr>
        <w:rPr>
          <w:sz w:val="20"/>
          <w:szCs w:val="20"/>
        </w:rPr>
      </w:pPr>
      <w:r w:rsidRPr="00B003E9">
        <w:rPr>
          <w:sz w:val="20"/>
          <w:szCs w:val="20"/>
        </w:rPr>
        <w:t>To reiterate</w:t>
      </w:r>
      <w:r w:rsidR="00D71B1C">
        <w:rPr>
          <w:sz w:val="20"/>
          <w:szCs w:val="20"/>
        </w:rPr>
        <w:t>,</w:t>
      </w:r>
      <w:r w:rsidRPr="00B003E9">
        <w:rPr>
          <w:sz w:val="20"/>
          <w:szCs w:val="20"/>
        </w:rPr>
        <w:t xml:space="preserve"> the </w:t>
      </w:r>
      <w:r w:rsidR="00D71B1C" w:rsidRPr="00B003E9">
        <w:rPr>
          <w:sz w:val="20"/>
          <w:szCs w:val="20"/>
        </w:rPr>
        <w:t>results</w:t>
      </w:r>
      <w:r w:rsidRPr="00B003E9">
        <w:rPr>
          <w:sz w:val="20"/>
          <w:szCs w:val="20"/>
        </w:rPr>
        <w:t xml:space="preserve"> reaffirm how the environmental impact depends on the location of the farm as that will influence land type replaced by cocoa as well as age boundary in which we draw our comparison.</w:t>
      </w:r>
    </w:p>
    <w:p w14:paraId="2BE3D713" w14:textId="581ED049" w:rsidR="00A0601A" w:rsidRPr="00D94BE6" w:rsidRDefault="00A0601A" w:rsidP="00D94BE6">
      <w:pPr>
        <w:pStyle w:val="Heading3"/>
      </w:pPr>
      <w:r w:rsidRPr="00A135F7">
        <w:t xml:space="preserve"> </w:t>
      </w:r>
      <w:bookmarkStart w:id="168" w:name="_Toc228701044"/>
      <w:r w:rsidR="005A6559">
        <w:t>Other Farm Source</w:t>
      </w:r>
      <w:r w:rsidRPr="00D94BE6">
        <w:t>s</w:t>
      </w:r>
      <w:bookmarkEnd w:id="168"/>
    </w:p>
    <w:p w14:paraId="2E709940" w14:textId="7F09066E" w:rsidR="002D3ADA" w:rsidRPr="006A5892" w:rsidRDefault="002D3ADA" w:rsidP="002D3ADA">
      <w:pPr>
        <w:rPr>
          <w:rFonts w:cs="Open Sans"/>
          <w:sz w:val="20"/>
          <w:szCs w:val="20"/>
        </w:rPr>
      </w:pPr>
      <w:r w:rsidRPr="006A5892">
        <w:rPr>
          <w:rFonts w:cs="Open Sans"/>
          <w:sz w:val="20"/>
          <w:szCs w:val="20"/>
        </w:rPr>
        <w:t>An additional issue is the potential for impacts associated with residue use left on the floor</w:t>
      </w:r>
      <w:r w:rsidRPr="00B82559">
        <w:rPr>
          <w:rFonts w:cs="Open Sans"/>
          <w:sz w:val="20"/>
          <w:szCs w:val="20"/>
        </w:rPr>
        <w:t xml:space="preserve">, this in effect acts as an unamended or raw Nitrogen </w:t>
      </w:r>
      <w:proofErr w:type="gramStart"/>
      <w:r w:rsidRPr="00B82559">
        <w:rPr>
          <w:rFonts w:cs="Open Sans"/>
          <w:sz w:val="20"/>
          <w:szCs w:val="20"/>
        </w:rPr>
        <w:t>inputs</w:t>
      </w:r>
      <w:proofErr w:type="gramEnd"/>
      <w:r w:rsidRPr="00B82559">
        <w:rPr>
          <w:rFonts w:cs="Open Sans"/>
          <w:sz w:val="20"/>
          <w:szCs w:val="20"/>
        </w:rPr>
        <w:t xml:space="preserve"> which will</w:t>
      </w:r>
      <w:r w:rsidRPr="006A5892">
        <w:rPr>
          <w:rFonts w:cs="Open Sans"/>
          <w:sz w:val="20"/>
          <w:szCs w:val="20"/>
        </w:rPr>
        <w:t>, through soil-based nitrogen cycle processes result in Nitrous Oxide (N</w:t>
      </w:r>
      <w:r w:rsidRPr="006A5892">
        <w:rPr>
          <w:rFonts w:cs="Open Sans"/>
          <w:sz w:val="20"/>
          <w:szCs w:val="20"/>
          <w:vertAlign w:val="subscript"/>
        </w:rPr>
        <w:t>2</w:t>
      </w:r>
      <w:r w:rsidRPr="006A5892">
        <w:rPr>
          <w:rFonts w:cs="Open Sans"/>
          <w:sz w:val="20"/>
          <w:szCs w:val="20"/>
        </w:rPr>
        <w:t xml:space="preserve">O) emissions which is a potent greenhouse gas (GHG). (In other words, </w:t>
      </w:r>
      <w:proofErr w:type="spellStart"/>
      <w:r w:rsidRPr="006A5892">
        <w:rPr>
          <w:rFonts w:cs="Open Sans"/>
          <w:sz w:val="20"/>
          <w:szCs w:val="20"/>
        </w:rPr>
        <w:t>fertilisers</w:t>
      </w:r>
      <w:proofErr w:type="spellEnd"/>
      <w:r w:rsidRPr="006A5892">
        <w:rPr>
          <w:rFonts w:cs="Open Sans"/>
          <w:sz w:val="20"/>
          <w:szCs w:val="20"/>
        </w:rPr>
        <w:t xml:space="preserve"> supply extra ammonia (NH</w:t>
      </w:r>
      <w:r w:rsidRPr="006A5892">
        <w:rPr>
          <w:rFonts w:ascii="Cambria Math" w:hAnsi="Cambria Math" w:cs="Cambria Math"/>
          <w:sz w:val="20"/>
          <w:szCs w:val="20"/>
        </w:rPr>
        <w:t>₄⁺</w:t>
      </w:r>
      <w:r w:rsidRPr="006A5892">
        <w:rPr>
          <w:rFonts w:cs="Open Sans"/>
          <w:sz w:val="20"/>
          <w:szCs w:val="20"/>
        </w:rPr>
        <w:t>) and Nitrates (NO</w:t>
      </w:r>
      <w:r w:rsidRPr="006A5892">
        <w:rPr>
          <w:rFonts w:ascii="Cambria Math" w:hAnsi="Cambria Math" w:cs="Cambria Math"/>
          <w:sz w:val="20"/>
          <w:szCs w:val="20"/>
        </w:rPr>
        <w:t>₃⁻</w:t>
      </w:r>
      <w:r w:rsidRPr="006A5892">
        <w:rPr>
          <w:rFonts w:cs="Open Sans"/>
          <w:sz w:val="20"/>
          <w:szCs w:val="20"/>
        </w:rPr>
        <w:t>), giving microbes more nitrogen to transform into N</w:t>
      </w:r>
      <w:r w:rsidRPr="006A5892">
        <w:rPr>
          <w:rFonts w:cs="Open Sans"/>
          <w:sz w:val="20"/>
          <w:szCs w:val="20"/>
          <w:vertAlign w:val="subscript"/>
        </w:rPr>
        <w:t>2</w:t>
      </w:r>
      <w:r w:rsidRPr="006A5892">
        <w:rPr>
          <w:rFonts w:cs="Open Sans"/>
          <w:sz w:val="20"/>
          <w:szCs w:val="20"/>
        </w:rPr>
        <w:t xml:space="preserve">O). As quantities on N inputs were unavailable from farmers an estimate for direct N input from organic cocoa agroforestry systems were taken from Schneidewind et al. (2019). These were then converted into emissions based on the revised IPCC methodology which assumes that 0.6% (0.006) of the N inputs due to </w:t>
      </w:r>
      <w:proofErr w:type="spellStart"/>
      <w:r w:rsidRPr="006A5892">
        <w:rPr>
          <w:rFonts w:cs="Open Sans"/>
          <w:sz w:val="20"/>
          <w:szCs w:val="20"/>
        </w:rPr>
        <w:t>fertiliser</w:t>
      </w:r>
      <w:proofErr w:type="spellEnd"/>
      <w:r w:rsidRPr="006A5892">
        <w:rPr>
          <w:rFonts w:cs="Open Sans"/>
          <w:sz w:val="20"/>
          <w:szCs w:val="20"/>
        </w:rPr>
        <w:t xml:space="preserve"> is released within N</w:t>
      </w:r>
      <w:r w:rsidRPr="006A5892">
        <w:rPr>
          <w:rFonts w:cs="Open Sans"/>
          <w:sz w:val="20"/>
          <w:szCs w:val="20"/>
          <w:vertAlign w:val="subscript"/>
        </w:rPr>
        <w:t>2</w:t>
      </w:r>
      <w:r w:rsidRPr="006A5892">
        <w:rPr>
          <w:rFonts w:cs="Open Sans"/>
          <w:sz w:val="20"/>
          <w:szCs w:val="20"/>
        </w:rPr>
        <w:t xml:space="preserve">O. </w:t>
      </w:r>
    </w:p>
    <w:p w14:paraId="30B4033E" w14:textId="77777777" w:rsidR="002D3ADA" w:rsidRPr="006A5892" w:rsidRDefault="002D3ADA" w:rsidP="002D3ADA">
      <w:pPr>
        <w:rPr>
          <w:rFonts w:cs="Open Sans"/>
          <w:sz w:val="20"/>
          <w:szCs w:val="20"/>
        </w:rPr>
      </w:pPr>
    </w:p>
    <w:p w14:paraId="04ED36F2" w14:textId="77777777" w:rsidR="002D3ADA" w:rsidRPr="006A5892" w:rsidRDefault="002D3ADA" w:rsidP="002D3ADA">
      <w:pPr>
        <w:rPr>
          <w:rFonts w:cs="Open Sans"/>
          <w:sz w:val="20"/>
          <w:szCs w:val="20"/>
        </w:rPr>
      </w:pPr>
      <w:r w:rsidRPr="006A5892">
        <w:rPr>
          <w:rFonts w:cs="Open Sans"/>
          <w:sz w:val="20"/>
          <w:szCs w:val="20"/>
        </w:rPr>
        <w:t xml:space="preserve">Within the field visits and many farmers reported that cocoa husks were burned in the local </w:t>
      </w:r>
      <w:proofErr w:type="gramStart"/>
      <w:r w:rsidRPr="006A5892">
        <w:rPr>
          <w:rFonts w:cs="Open Sans"/>
          <w:sz w:val="20"/>
          <w:szCs w:val="20"/>
        </w:rPr>
        <w:t>villages</w:t>
      </w:r>
      <w:proofErr w:type="gramEnd"/>
      <w:r w:rsidRPr="006A5892">
        <w:rPr>
          <w:rFonts w:cs="Open Sans"/>
          <w:sz w:val="20"/>
          <w:szCs w:val="20"/>
        </w:rPr>
        <w:t xml:space="preserve"> and this was confirmed by visually at several sites. This poses a potential health risk. For particulate emissions due </w:t>
      </w:r>
      <w:proofErr w:type="gramStart"/>
      <w:r w:rsidRPr="006A5892">
        <w:rPr>
          <w:rFonts w:cs="Open Sans"/>
          <w:sz w:val="20"/>
          <w:szCs w:val="20"/>
        </w:rPr>
        <w:t>husk</w:t>
      </w:r>
      <w:proofErr w:type="gramEnd"/>
      <w:r w:rsidRPr="006A5892">
        <w:rPr>
          <w:rFonts w:cs="Open Sans"/>
          <w:sz w:val="20"/>
          <w:szCs w:val="20"/>
        </w:rPr>
        <w:t xml:space="preserve"> burning (</w:t>
      </w:r>
      <w:proofErr w:type="gramStart"/>
      <w:r w:rsidRPr="006A5892">
        <w:rPr>
          <w:rFonts w:cs="Open Sans"/>
          <w:sz w:val="20"/>
          <w:szCs w:val="20"/>
        </w:rPr>
        <w:t>for the production of</w:t>
      </w:r>
      <w:proofErr w:type="gramEnd"/>
      <w:r w:rsidRPr="006A5892">
        <w:rPr>
          <w:rFonts w:cs="Open Sans"/>
          <w:sz w:val="20"/>
          <w:szCs w:val="20"/>
        </w:rPr>
        <w:t xml:space="preserve"> potash to be used as </w:t>
      </w:r>
      <w:proofErr w:type="spellStart"/>
      <w:r w:rsidRPr="006A5892">
        <w:rPr>
          <w:rFonts w:cs="Open Sans"/>
          <w:sz w:val="20"/>
          <w:szCs w:val="20"/>
        </w:rPr>
        <w:t>fertiliser</w:t>
      </w:r>
      <w:proofErr w:type="spellEnd"/>
      <w:r w:rsidRPr="006A5892">
        <w:rPr>
          <w:rFonts w:cs="Open Sans"/>
          <w:sz w:val="20"/>
          <w:szCs w:val="20"/>
        </w:rPr>
        <w:t xml:space="preserve"> or soap) a specific emission factor for cocoa husks was </w:t>
      </w:r>
      <w:proofErr w:type="gramStart"/>
      <w:r w:rsidRPr="006A5892">
        <w:rPr>
          <w:rFonts w:cs="Open Sans"/>
          <w:sz w:val="20"/>
          <w:szCs w:val="20"/>
        </w:rPr>
        <w:t>unavailable</w:t>
      </w:r>
      <w:proofErr w:type="gramEnd"/>
      <w:r w:rsidRPr="006A5892">
        <w:rPr>
          <w:rFonts w:cs="Open Sans"/>
          <w:sz w:val="20"/>
          <w:szCs w:val="20"/>
        </w:rPr>
        <w:t xml:space="preserve"> an estimate for raw biomass was used. Raw cocoa husk properties fit within typical agricultural residue characteristics. They have moderate ash content (3–13%) and volatile matter comparable to crop residues, suggesting similar particulate emissions when burned in open fires (</w:t>
      </w:r>
      <w:proofErr w:type="spellStart"/>
      <w:r w:rsidRPr="006A5892">
        <w:rPr>
          <w:rFonts w:cs="Open Sans"/>
          <w:sz w:val="20"/>
          <w:szCs w:val="20"/>
        </w:rPr>
        <w:t>Jekayinfa</w:t>
      </w:r>
      <w:proofErr w:type="spellEnd"/>
      <w:r w:rsidRPr="006A5892">
        <w:rPr>
          <w:rFonts w:cs="Open Sans"/>
          <w:sz w:val="20"/>
          <w:szCs w:val="20"/>
        </w:rPr>
        <w:t xml:space="preserve"> et al. 2026). Studies show that raw agricultural residues such as bagasse, leaf litter, and rice straw emit between 3 and 29 g of particulate matter (PM) per kilogram of biomass burned. This represents realistic open-burning conditions and serves as the closest proxy for cocoa husk burning (</w:t>
      </w:r>
      <w:proofErr w:type="spellStart"/>
      <w:r w:rsidRPr="006A5892">
        <w:rPr>
          <w:rFonts w:cs="Open Sans"/>
          <w:sz w:val="20"/>
          <w:szCs w:val="20"/>
        </w:rPr>
        <w:t>Nugraha</w:t>
      </w:r>
      <w:proofErr w:type="spellEnd"/>
      <w:r w:rsidRPr="006A5892">
        <w:rPr>
          <w:rFonts w:cs="Open Sans"/>
          <w:sz w:val="20"/>
          <w:szCs w:val="20"/>
        </w:rPr>
        <w:t xml:space="preserve"> et al. 2024). Considering the range published in </w:t>
      </w:r>
      <w:proofErr w:type="spellStart"/>
      <w:r w:rsidRPr="006A5892">
        <w:rPr>
          <w:rFonts w:cs="Open Sans"/>
          <w:sz w:val="20"/>
          <w:szCs w:val="20"/>
        </w:rPr>
        <w:t>Nugraha</w:t>
      </w:r>
      <w:proofErr w:type="spellEnd"/>
      <w:r w:rsidRPr="006A5892">
        <w:rPr>
          <w:rFonts w:cs="Open Sans"/>
          <w:sz w:val="20"/>
          <w:szCs w:val="20"/>
        </w:rPr>
        <w:t xml:space="preserve"> et al. (2024), a median emission factor of 15 g of particulate matter (PM) per kilogram of biomass burned was chosen. The conversion of raw dry beans to raw husk first requires the conversion of dry to wet beans equivalent based on moisture content of both. Once wet bean equivalents are estimated, husk weight is estimated via the</w:t>
      </w:r>
      <w:r w:rsidRPr="00B82559">
        <w:rPr>
          <w:rFonts w:cs="Open Sans"/>
          <w:sz w:val="20"/>
          <w:szCs w:val="20"/>
        </w:rPr>
        <w:t xml:space="preserve"> </w:t>
      </w:r>
      <w:r w:rsidRPr="006A5892">
        <w:rPr>
          <w:rFonts w:cs="Open Sans"/>
          <w:sz w:val="20"/>
          <w:szCs w:val="20"/>
        </w:rPr>
        <w:t xml:space="preserve">proportional wet weight distribution of 74.4% husk, 22.5% wet beans and 3.1% placenta (Zulkarnain et al. 2020). </w:t>
      </w:r>
    </w:p>
    <w:p w14:paraId="1B619817" w14:textId="77777777" w:rsidR="002D3ADA" w:rsidRPr="006A5892" w:rsidRDefault="002D3ADA" w:rsidP="002D3ADA">
      <w:pPr>
        <w:rPr>
          <w:rFonts w:cs="Open Sans"/>
          <w:sz w:val="20"/>
          <w:szCs w:val="20"/>
        </w:rPr>
      </w:pPr>
    </w:p>
    <w:p w14:paraId="0A146A59" w14:textId="77777777" w:rsidR="002D3ADA" w:rsidRPr="006A5892" w:rsidRDefault="002D3ADA" w:rsidP="002D3ADA">
      <w:pPr>
        <w:rPr>
          <w:rFonts w:cs="Open Sans"/>
          <w:sz w:val="20"/>
          <w:szCs w:val="20"/>
        </w:rPr>
      </w:pPr>
      <w:r w:rsidRPr="006A5892">
        <w:rPr>
          <w:rFonts w:cs="Open Sans"/>
          <w:sz w:val="20"/>
          <w:szCs w:val="20"/>
        </w:rPr>
        <w:lastRenderedPageBreak/>
        <w:t>In discussion with farmers the proper composting of husk is comparatively rare but still visible in farms that have received support in applying ecologically informed methods. However, the application of compost entails N</w:t>
      </w:r>
      <w:r w:rsidRPr="006A5892">
        <w:rPr>
          <w:rFonts w:cs="Open Sans"/>
          <w:sz w:val="20"/>
          <w:szCs w:val="20"/>
          <w:vertAlign w:val="subscript"/>
        </w:rPr>
        <w:t>2</w:t>
      </w:r>
      <w:r w:rsidRPr="006A5892">
        <w:rPr>
          <w:rFonts w:cs="Open Sans"/>
          <w:sz w:val="20"/>
          <w:szCs w:val="20"/>
        </w:rPr>
        <w:t>O emissions (as described above) as well as another GHG, Methane (CH</w:t>
      </w:r>
      <w:r w:rsidRPr="006A5892">
        <w:rPr>
          <w:rFonts w:cs="Open Sans"/>
          <w:sz w:val="20"/>
          <w:szCs w:val="20"/>
          <w:vertAlign w:val="subscript"/>
        </w:rPr>
        <w:t>4</w:t>
      </w:r>
      <w:r w:rsidRPr="006A5892">
        <w:rPr>
          <w:rFonts w:cs="Open Sans"/>
          <w:sz w:val="20"/>
          <w:szCs w:val="20"/>
        </w:rPr>
        <w:t xml:space="preserve">) released due to anaerobic microbial action during the composting process. (This is common to all composting practices but the amount of GHG produce will vary). The former is calculated using the same method as described above with the total N content of cocoa husk compost estimated at 1.1% representing the median point between the values taken from </w:t>
      </w:r>
      <w:proofErr w:type="spellStart"/>
      <w:r w:rsidRPr="006A5892">
        <w:rPr>
          <w:rFonts w:cs="Open Sans"/>
          <w:sz w:val="20"/>
          <w:szCs w:val="20"/>
        </w:rPr>
        <w:t>Dogbatse</w:t>
      </w:r>
      <w:proofErr w:type="spellEnd"/>
      <w:r w:rsidRPr="006A5892">
        <w:rPr>
          <w:rFonts w:cs="Open Sans"/>
          <w:sz w:val="20"/>
          <w:szCs w:val="20"/>
        </w:rPr>
        <w:t xml:space="preserve"> et al. (2020) and Mwafulirwa et al. (2024). </w:t>
      </w:r>
    </w:p>
    <w:p w14:paraId="4C409074" w14:textId="77777777" w:rsidR="002D3ADA" w:rsidRPr="006A5892" w:rsidRDefault="002D3ADA" w:rsidP="002D3ADA">
      <w:pPr>
        <w:rPr>
          <w:rFonts w:cs="Open Sans"/>
          <w:sz w:val="20"/>
          <w:szCs w:val="20"/>
        </w:rPr>
      </w:pPr>
    </w:p>
    <w:p w14:paraId="63F28DDA" w14:textId="40025C1F" w:rsidR="002D3ADA" w:rsidRPr="006A5892" w:rsidRDefault="002D3ADA" w:rsidP="002D3ADA">
      <w:proofErr w:type="gramStart"/>
      <w:r w:rsidRPr="006A5892">
        <w:rPr>
          <w:rFonts w:cs="Open Sans"/>
          <w:sz w:val="20"/>
          <w:szCs w:val="20"/>
        </w:rPr>
        <w:t>Finally</w:t>
      </w:r>
      <w:proofErr w:type="gramEnd"/>
      <w:r w:rsidRPr="006A5892">
        <w:rPr>
          <w:rFonts w:cs="Open Sans"/>
          <w:sz w:val="20"/>
          <w:szCs w:val="20"/>
        </w:rPr>
        <w:t xml:space="preserve"> the emission factor of methane (per wet compost inputted) produced by anaerobic digestion was taken from San Martin Ruiz et al. (2021) based on composting of coffee husk and pulp. The value used was based on a mix of (80/20) coffee and other green wastes, this was chosen as the emission factor which assumes 100% residue was several orders of magnitude higher as it represents the processing of a large quantity of material and is therefore not representative of composting processes in Sierra Leone which would be less </w:t>
      </w:r>
      <w:proofErr w:type="spellStart"/>
      <w:r w:rsidRPr="006A5892">
        <w:rPr>
          <w:rFonts w:cs="Open Sans"/>
          <w:sz w:val="20"/>
          <w:szCs w:val="20"/>
        </w:rPr>
        <w:t>centralised</w:t>
      </w:r>
      <w:proofErr w:type="spellEnd"/>
      <w:r w:rsidRPr="006A5892">
        <w:rPr>
          <w:rFonts w:cs="Open Sans"/>
          <w:sz w:val="20"/>
          <w:szCs w:val="20"/>
        </w:rPr>
        <w:t>. For the purposes of the case studies represented here, it is assumed that the first case study does minimal cleaning and residue use, which is practiced by the other exemplars, case study 3 (Early Mature medium sized farm) is assumed to apply active husk composting and husk burning as a means of bolstering yields (and producing soap/</w:t>
      </w:r>
      <w:proofErr w:type="spellStart"/>
      <w:r w:rsidRPr="006A5892">
        <w:rPr>
          <w:rFonts w:cs="Open Sans"/>
          <w:sz w:val="20"/>
          <w:szCs w:val="20"/>
        </w:rPr>
        <w:t>fertiliser</w:t>
      </w:r>
      <w:proofErr w:type="spellEnd"/>
      <w:r w:rsidRPr="006A5892">
        <w:rPr>
          <w:rFonts w:cs="Open Sans"/>
          <w:sz w:val="20"/>
          <w:szCs w:val="20"/>
        </w:rPr>
        <w:t xml:space="preserve">) whilst the final case study (Late Mature medium sized farm) is assumed to only burn husks. </w:t>
      </w:r>
      <w:r w:rsidRPr="00B82559">
        <w:rPr>
          <w:rFonts w:cs="Open Sans"/>
          <w:sz w:val="20"/>
          <w:szCs w:val="20"/>
        </w:rPr>
        <w:t xml:space="preserve">In the absence of specific </w:t>
      </w:r>
      <w:r w:rsidRPr="006A5892">
        <w:rPr>
          <w:rFonts w:cs="Open Sans"/>
          <w:sz w:val="20"/>
          <w:szCs w:val="20"/>
        </w:rPr>
        <w:t>data, it is assumed that 20% of husk mass is used for burning and compost respectively (See table A2 in appendices)</w:t>
      </w:r>
      <w:r>
        <w:rPr>
          <w:rFonts w:cs="Open Sans"/>
          <w:sz w:val="20"/>
          <w:szCs w:val="20"/>
        </w:rPr>
        <w:t xml:space="preserve">. </w:t>
      </w:r>
    </w:p>
    <w:p w14:paraId="73A94B49" w14:textId="603362C7" w:rsidR="00370629" w:rsidRPr="003563AE" w:rsidRDefault="00370629" w:rsidP="00370629"/>
    <w:p w14:paraId="7932351A" w14:textId="760D5A1E" w:rsidR="00A0601A" w:rsidRPr="00D94BE6" w:rsidRDefault="00370629" w:rsidP="00D94BE6">
      <w:pPr>
        <w:pStyle w:val="Heading3"/>
      </w:pPr>
      <w:bookmarkStart w:id="169" w:name="_Toc228701045"/>
      <w:r>
        <w:t>Post-farm</w:t>
      </w:r>
      <w:r w:rsidRPr="00370629">
        <w:t xml:space="preserve"> </w:t>
      </w:r>
      <w:r>
        <w:t>T</w:t>
      </w:r>
      <w:r w:rsidRPr="00370629">
        <w:t xml:space="preserve">ransport and </w:t>
      </w:r>
      <w:r>
        <w:t>D</w:t>
      </w:r>
      <w:r w:rsidRPr="00370629">
        <w:t>rying</w:t>
      </w:r>
      <w:bookmarkEnd w:id="169"/>
    </w:p>
    <w:p w14:paraId="4B8C8AA1" w14:textId="7282F126" w:rsidR="002D3ADA" w:rsidRPr="006A5892" w:rsidRDefault="002D3ADA" w:rsidP="002D3ADA">
      <w:pPr>
        <w:rPr>
          <w:rFonts w:cs="Open Sans"/>
          <w:sz w:val="20"/>
          <w:szCs w:val="20"/>
        </w:rPr>
      </w:pPr>
      <w:r w:rsidRPr="006A5892">
        <w:rPr>
          <w:rFonts w:cs="Open Sans"/>
          <w:sz w:val="20"/>
          <w:szCs w:val="20"/>
        </w:rPr>
        <w:t xml:space="preserve">After fermentation and on farm drying cocoa is assumed to be at moisture content of 10%, requiring additional drying to achieve the moisture content of 7%. This follows </w:t>
      </w:r>
      <w:proofErr w:type="gramStart"/>
      <w:r w:rsidRPr="006A5892">
        <w:rPr>
          <w:rFonts w:cs="Open Sans"/>
          <w:sz w:val="20"/>
          <w:szCs w:val="20"/>
        </w:rPr>
        <w:t>responds</w:t>
      </w:r>
      <w:proofErr w:type="gramEnd"/>
      <w:r w:rsidRPr="006A5892">
        <w:rPr>
          <w:rFonts w:cs="Open Sans"/>
          <w:sz w:val="20"/>
          <w:szCs w:val="20"/>
        </w:rPr>
        <w:t xml:space="preserve"> from the interviews with cooperatives. This means that marginally more than 1 bag of beans leaving the farm is needed to ultimately supply 1 bag of standard dry beans. After drying/fermentation the beans are assumed to be transported to a cooperative. The initial transport stage from the farm to the cooperative is largely facilitated by motorcycle, which in some cases can be used to transport multiple bags (of approximately 62 kg). For example, assuming a laden motorcycle (2 x 64 bags) with a round-trip fuel consumption of 45 MPG (miles per gallon) would imply a transport emission factor of 2.53 kg </w:t>
      </w:r>
      <w:proofErr w:type="spellStart"/>
      <w:r w:rsidRPr="006A5892">
        <w:rPr>
          <w:rFonts w:cs="Open Sans"/>
          <w:sz w:val="20"/>
          <w:szCs w:val="20"/>
        </w:rPr>
        <w:t>CO</w:t>
      </w:r>
      <w:r w:rsidRPr="006A5892">
        <w:rPr>
          <w:rFonts w:ascii="Cambria Math" w:hAnsi="Cambria Math" w:cs="Cambria Math"/>
          <w:sz w:val="20"/>
          <w:szCs w:val="20"/>
        </w:rPr>
        <w:t>₂</w:t>
      </w:r>
      <w:r w:rsidRPr="006A5892">
        <w:rPr>
          <w:rFonts w:cs="Open Sans"/>
          <w:sz w:val="20"/>
          <w:szCs w:val="20"/>
        </w:rPr>
        <w:t>e</w:t>
      </w:r>
      <w:proofErr w:type="spellEnd"/>
      <w:r w:rsidRPr="006A5892">
        <w:rPr>
          <w:rFonts w:cs="Open Sans"/>
          <w:sz w:val="20"/>
          <w:szCs w:val="20"/>
        </w:rPr>
        <w:t>/</w:t>
      </w:r>
      <w:proofErr w:type="spellStart"/>
      <w:r w:rsidRPr="006A5892">
        <w:rPr>
          <w:rFonts w:cs="Open Sans"/>
          <w:sz w:val="20"/>
          <w:szCs w:val="20"/>
        </w:rPr>
        <w:t>tonne</w:t>
      </w:r>
      <w:proofErr w:type="spellEnd"/>
      <w:r w:rsidRPr="006A5892">
        <w:rPr>
          <w:rFonts w:cs="Open Sans"/>
          <w:sz w:val="20"/>
          <w:szCs w:val="20"/>
        </w:rPr>
        <w:t xml:space="preserve">-km (assuming empty returns and not accounting for the weight of the passenger as commodity transport is the reason for travel). </w:t>
      </w:r>
      <w:proofErr w:type="gramStart"/>
      <w:r w:rsidRPr="006A5892">
        <w:rPr>
          <w:rFonts w:cs="Open Sans"/>
          <w:sz w:val="20"/>
          <w:szCs w:val="20"/>
        </w:rPr>
        <w:t>A number of</w:t>
      </w:r>
      <w:proofErr w:type="gramEnd"/>
      <w:r w:rsidRPr="006A5892">
        <w:rPr>
          <w:rFonts w:cs="Open Sans"/>
          <w:sz w:val="20"/>
          <w:szCs w:val="20"/>
        </w:rPr>
        <w:t xml:space="preserve"> example motorcycles (popular in West African contexts) are examined for fuel consumption (taken from https://www.fuelly.com) with additional estimate for additional passengers. Therefore a (20%) fuel efficiency penalty for the second passenger (Kamara, et al.  2025), resulting in an average fuel efficiency estimate of 63 and 78 MPG for laden and empty journeys respectively. In this case gasoline is the main fuel of choice. In most cases the journey from the farm to the coop is relatively short and assumed to be 3 miles or 5 km (6 miles or 10 km round trip) based on farmer interviews (1-5 miles being the most frequently cited motorcycle transport distance by much longer journeys do occur). As the use of motorcycles to transport cocoa short distances is more unique to West African contexts, the fuel consumption per </w:t>
      </w:r>
      <w:proofErr w:type="spellStart"/>
      <w:r w:rsidRPr="006A5892">
        <w:rPr>
          <w:rFonts w:cs="Open Sans"/>
          <w:sz w:val="20"/>
          <w:szCs w:val="20"/>
        </w:rPr>
        <w:t>tonne</w:t>
      </w:r>
      <w:proofErr w:type="spellEnd"/>
      <w:r w:rsidRPr="006A5892">
        <w:rPr>
          <w:rFonts w:cs="Open Sans"/>
          <w:sz w:val="20"/>
          <w:szCs w:val="20"/>
        </w:rPr>
        <w:t xml:space="preserve"> is calculated for first principles based on fuel consumption per km in order to take into account of the specific conditions mentioned above, it assumed that delivery and return distance are the same, although in the case of (sub)agents that may not be valid. In summary, it is assumed that 2 (62 kg) bags are transported by motorcycle (63 MPG) and </w:t>
      </w:r>
      <w:r w:rsidR="00D71B1C" w:rsidRPr="006A5892">
        <w:rPr>
          <w:rFonts w:cs="Open Sans"/>
          <w:sz w:val="20"/>
          <w:szCs w:val="20"/>
        </w:rPr>
        <w:t>return</w:t>
      </w:r>
      <w:r w:rsidRPr="006A5892">
        <w:rPr>
          <w:rFonts w:cs="Open Sans"/>
          <w:sz w:val="20"/>
          <w:szCs w:val="20"/>
        </w:rPr>
        <w:t xml:space="preserve"> empty (78 MPG), with a delivery and return distance of 3 miles.</w:t>
      </w:r>
    </w:p>
    <w:p w14:paraId="69AF12CF" w14:textId="77777777" w:rsidR="002D3ADA" w:rsidRPr="006A5892" w:rsidRDefault="002D3ADA" w:rsidP="002D3ADA">
      <w:pPr>
        <w:rPr>
          <w:rFonts w:cs="Open Sans"/>
          <w:sz w:val="20"/>
          <w:szCs w:val="20"/>
        </w:rPr>
      </w:pPr>
    </w:p>
    <w:p w14:paraId="7C71849C" w14:textId="246A45C1" w:rsidR="002D3ADA" w:rsidRPr="006A5892" w:rsidRDefault="002D3ADA" w:rsidP="002D3ADA">
      <w:pPr>
        <w:rPr>
          <w:rFonts w:cs="Open Sans"/>
          <w:sz w:val="20"/>
          <w:szCs w:val="20"/>
        </w:rPr>
      </w:pPr>
      <w:r w:rsidRPr="006A5892">
        <w:rPr>
          <w:rFonts w:cs="Open Sans"/>
          <w:sz w:val="20"/>
          <w:szCs w:val="20"/>
        </w:rPr>
        <w:t xml:space="preserve">The direct and upstream emissions </w:t>
      </w:r>
      <w:proofErr w:type="gramStart"/>
      <w:r w:rsidRPr="006A5892">
        <w:rPr>
          <w:rFonts w:cs="Open Sans"/>
          <w:sz w:val="20"/>
          <w:szCs w:val="20"/>
        </w:rPr>
        <w:t>associates</w:t>
      </w:r>
      <w:proofErr w:type="gramEnd"/>
      <w:r w:rsidRPr="006A5892">
        <w:rPr>
          <w:rFonts w:cs="Open Sans"/>
          <w:sz w:val="20"/>
          <w:szCs w:val="20"/>
        </w:rPr>
        <w:t xml:space="preserve"> with fuel consumption estimates are taken from </w:t>
      </w:r>
      <w:proofErr w:type="spellStart"/>
      <w:r w:rsidR="00D71B1C">
        <w:rPr>
          <w:rFonts w:cs="Open Sans"/>
          <w:sz w:val="20"/>
          <w:szCs w:val="20"/>
        </w:rPr>
        <w:t>E</w:t>
      </w:r>
      <w:r w:rsidRPr="006A5892">
        <w:rPr>
          <w:rFonts w:cs="Open Sans"/>
          <w:sz w:val="20"/>
          <w:szCs w:val="20"/>
        </w:rPr>
        <w:t>coinvent</w:t>
      </w:r>
      <w:proofErr w:type="spellEnd"/>
      <w:r w:rsidRPr="006A5892">
        <w:rPr>
          <w:rFonts w:cs="Open Sans"/>
          <w:sz w:val="20"/>
          <w:szCs w:val="20"/>
        </w:rPr>
        <w:t xml:space="preserve"> directly within the life cycle assessment software. Following delivery at the cooperative </w:t>
      </w:r>
      <w:r w:rsidRPr="006A5892">
        <w:rPr>
          <w:rFonts w:cs="Open Sans"/>
          <w:sz w:val="20"/>
          <w:szCs w:val="20"/>
        </w:rPr>
        <w:lastRenderedPageBreak/>
        <w:t xml:space="preserve">stores, cocoa beans are further dried if needed, before being transported to a trader owned facility on a 10-tonne tuck which returns empty. We assume that the agent stores are located near Kenema, Kailahun and Koidu town as district capitals. The assumption on transport distance follows discussions with a trader based in Kenema who suggested that (as an upper limit) they can receive cocoa beans from a different district (in this case Kailahun) with an approximate delivery distance of 56 miles. However, as this is reflective of the upper range, most consignments will travel a shorter distance. Therefore, we assume that for case studies 1 and 2, a shorter transport distance of 10 miles was used as small, low productivity farms did not merit a longer journey. A longer transport distance of 28 miles (45 km) was chosen for the other case studies as their larger scale and productivity makes a longer journey more feasible.  However, the condition of specific roads merits an additional alternative estimate considering additional fuel consumption (Kamara, et al.  2025). Following this study, a multiplier of 20% based on road condition for the distance of semi-impassable road condition is applied (Santos et al 2024). </w:t>
      </w:r>
    </w:p>
    <w:p w14:paraId="29F946B7" w14:textId="77777777" w:rsidR="002D3ADA" w:rsidRPr="006A5892" w:rsidRDefault="002D3ADA" w:rsidP="002D3ADA">
      <w:pPr>
        <w:rPr>
          <w:rFonts w:cs="Open Sans"/>
          <w:sz w:val="20"/>
          <w:szCs w:val="20"/>
        </w:rPr>
      </w:pPr>
    </w:p>
    <w:p w14:paraId="5B1A9FA3" w14:textId="77777777" w:rsidR="002D3ADA" w:rsidRPr="006A5892" w:rsidRDefault="002D3ADA" w:rsidP="002D3ADA">
      <w:r w:rsidRPr="006A5892">
        <w:rPr>
          <w:rFonts w:cs="Open Sans"/>
          <w:sz w:val="20"/>
          <w:szCs w:val="20"/>
        </w:rPr>
        <w:t xml:space="preserve">Upon delivery to agent stores the cocoa is further dried as needed before being loaded onto a large truck (&gt; 20tonnes, 50% capacity </w:t>
      </w:r>
      <w:proofErr w:type="spellStart"/>
      <w:r w:rsidRPr="006A5892">
        <w:rPr>
          <w:rFonts w:cs="Open Sans"/>
          <w:sz w:val="20"/>
          <w:szCs w:val="20"/>
        </w:rPr>
        <w:t>utilisation</w:t>
      </w:r>
      <w:proofErr w:type="spellEnd"/>
      <w:r w:rsidRPr="006A5892">
        <w:rPr>
          <w:rFonts w:cs="Open Sans"/>
          <w:sz w:val="20"/>
          <w:szCs w:val="20"/>
        </w:rPr>
        <w:t xml:space="preserve"> following 10 </w:t>
      </w:r>
      <w:proofErr w:type="spellStart"/>
      <w:r w:rsidRPr="006A5892">
        <w:rPr>
          <w:rFonts w:cs="Open Sans"/>
          <w:sz w:val="20"/>
          <w:szCs w:val="20"/>
        </w:rPr>
        <w:t>tonnes</w:t>
      </w:r>
      <w:proofErr w:type="spellEnd"/>
      <w:r w:rsidRPr="006A5892">
        <w:rPr>
          <w:rFonts w:cs="Open Sans"/>
          <w:sz w:val="20"/>
          <w:szCs w:val="20"/>
        </w:rPr>
        <w:t xml:space="preserve"> per container and an empty return journey) for transport to free town port, with a transit distance of 305, 422 and 363 km for transit from Kenema, Kailahun, and Koidu (Kono) respectively based on google maps. It is assumed that the containership returns empty. In the case of Koidu it is assumed that the road that connects Kono with Makeni (approximately 160 km) is of sufficiently poor quality that the fuel multiplier is used as precaution. In this case the transport distance is increased by 30 km to reflect a 20% fuel </w:t>
      </w:r>
      <w:proofErr w:type="gramStart"/>
      <w:r w:rsidRPr="006A5892">
        <w:rPr>
          <w:rFonts w:cs="Open Sans"/>
          <w:sz w:val="20"/>
          <w:szCs w:val="20"/>
        </w:rPr>
        <w:t>multiplier</w:t>
      </w:r>
      <w:proofErr w:type="gramEnd"/>
      <w:r w:rsidRPr="006A5892">
        <w:rPr>
          <w:rFonts w:cs="Open Sans"/>
          <w:sz w:val="20"/>
          <w:szCs w:val="20"/>
        </w:rPr>
        <w:t xml:space="preserve"> over the 160 km road segment. For the purposes of this exercise, it is assumed that case study 1 is sourced from Kenema, case study 2 and 3 from Kailahun and case study 4 from Kono. </w:t>
      </w:r>
    </w:p>
    <w:p w14:paraId="276B2328" w14:textId="77777777" w:rsidR="002D3ADA" w:rsidRPr="006A5892" w:rsidRDefault="002D3ADA" w:rsidP="002D3ADA">
      <w:pPr>
        <w:rPr>
          <w:rFonts w:cs="Open Sans"/>
          <w:sz w:val="20"/>
          <w:szCs w:val="20"/>
        </w:rPr>
      </w:pPr>
    </w:p>
    <w:p w14:paraId="5430816F" w14:textId="1C02B5D6" w:rsidR="002D3ADA" w:rsidRPr="006A5892" w:rsidRDefault="002D3ADA" w:rsidP="002D3ADA">
      <w:pPr>
        <w:rPr>
          <w:sz w:val="20"/>
          <w:szCs w:val="20"/>
        </w:rPr>
      </w:pPr>
      <w:r w:rsidRPr="006A5892">
        <w:rPr>
          <w:sz w:val="20"/>
          <w:szCs w:val="20"/>
        </w:rPr>
        <w:t xml:space="preserve">As highlighted earlier the required MC for saleable cocoa beans is 7%. The actual MC may be higher due to both weather conditions storage duration and means of storage. Whilst it is likely that on farm sun drawing will reduce the moisture content it is still foreseeable this additional drawing will be needed further along the value chain. Discussions with cooperative officers suggested this a moisture content of 10% is not uncommon and therefore that is our default assumption for beans leaving the farm. Some drying is assumed to be completed without any additional resource requirements, whilst sun dryers are obviously composed of materials the quantity of materials allocatable to a single </w:t>
      </w:r>
      <w:proofErr w:type="spellStart"/>
      <w:r w:rsidRPr="006A5892">
        <w:rPr>
          <w:sz w:val="20"/>
          <w:szCs w:val="20"/>
        </w:rPr>
        <w:t>kilogramme</w:t>
      </w:r>
      <w:proofErr w:type="spellEnd"/>
      <w:r w:rsidRPr="006A5892">
        <w:rPr>
          <w:sz w:val="20"/>
          <w:szCs w:val="20"/>
        </w:rPr>
        <w:t xml:space="preserve"> of cocoa is likely to be negligible. Where sun drying is completed, the only impact considered is the cocoa inputs (i.e.  &gt;1 kg of cocoa at MC &gt; 7% needs to be supplied </w:t>
      </w:r>
      <w:proofErr w:type="gramStart"/>
      <w:r w:rsidRPr="006A5892">
        <w:rPr>
          <w:sz w:val="20"/>
          <w:szCs w:val="20"/>
        </w:rPr>
        <w:t>in order to</w:t>
      </w:r>
      <w:proofErr w:type="gramEnd"/>
      <w:r w:rsidRPr="006A5892">
        <w:rPr>
          <w:sz w:val="20"/>
          <w:szCs w:val="20"/>
        </w:rPr>
        <w:t xml:space="preserve"> arrive at 1 kg of beans at 7% MC following equation 2).</w:t>
      </w:r>
    </w:p>
    <w:p w14:paraId="63E2593C" w14:textId="77777777" w:rsidR="002D3ADA" w:rsidRPr="006A5892" w:rsidRDefault="002D3ADA" w:rsidP="002D3ADA">
      <w:pPr>
        <w:rPr>
          <w:sz w:val="20"/>
          <w:szCs w:val="20"/>
        </w:rPr>
      </w:pPr>
    </w:p>
    <w:p w14:paraId="7D8651CC" w14:textId="2F06997A" w:rsidR="002D3ADA" w:rsidRPr="006A5892" w:rsidRDefault="002D3ADA" w:rsidP="002D3ADA">
      <w:pPr>
        <w:rPr>
          <w:sz w:val="20"/>
          <w:szCs w:val="20"/>
        </w:rPr>
      </w:pPr>
      <w:r w:rsidRPr="006A5892">
        <w:rPr>
          <w:sz w:val="20"/>
          <w:szCs w:val="20"/>
        </w:rPr>
        <w:t xml:space="preserve">However, despite the need to adhere to organic standards we are aware that mechanical drying takes place and indeed is commonplace in some instances. This is facilitated via the consumption of natural gas boilers as well as electric fans. Theoretically the amount of energy required to dry a given quantity of material to a defined moisture content is based on the energy needed to evaporate a defined quantity of moisture, equivalent to the change in moisture content. For the purposes of this exercise estimates on gas energy required are taken directly from interviews with a large-scale trader, relating to different moisture contents. Obtaining 50 (62 kg) standard bags (3,125 kg) of dry beans from large scale batch “bins” was considered to require 3-4 hours of drying operation, with a fuel consumption rate of 11 gallons per hour for a moderately wet cocoa consignment. However, during the rainy season MC rates of up to 40% occur, in which case double the number of dryers is used, with a fuel consumption estimate of 20 gallons of LPG per hour per consignment. (In which case it is assumed that wet beans are stored in the cooperative at a sufficiently short duration that the moisture content will not diminish). As mentioned, the quantity of wet </w:t>
      </w:r>
      <w:r w:rsidR="00BA642B" w:rsidRPr="006A5892">
        <w:rPr>
          <w:sz w:val="20"/>
          <w:szCs w:val="20"/>
        </w:rPr>
        <w:t>beans</w:t>
      </w:r>
      <w:r w:rsidRPr="006A5892">
        <w:rPr>
          <w:sz w:val="20"/>
          <w:szCs w:val="20"/>
        </w:rPr>
        <w:t xml:space="preserve"> supplied </w:t>
      </w:r>
      <w:proofErr w:type="gramStart"/>
      <w:r w:rsidRPr="006A5892">
        <w:rPr>
          <w:sz w:val="20"/>
          <w:szCs w:val="20"/>
        </w:rPr>
        <w:t>in order to</w:t>
      </w:r>
      <w:proofErr w:type="gramEnd"/>
      <w:r w:rsidRPr="006A5892">
        <w:rPr>
          <w:sz w:val="20"/>
          <w:szCs w:val="20"/>
        </w:rPr>
        <w:t xml:space="preserve"> provide a defined quantity at 7% MC (i.e. kg wet per kg dry) is calculated based</w:t>
      </w:r>
      <w:r w:rsidR="00BA642B">
        <w:rPr>
          <w:sz w:val="20"/>
          <w:szCs w:val="20"/>
        </w:rPr>
        <w:t xml:space="preserve"> on</w:t>
      </w:r>
      <w:r w:rsidRPr="006A5892">
        <w:rPr>
          <w:sz w:val="20"/>
          <w:szCs w:val="20"/>
        </w:rPr>
        <w:t xml:space="preserve"> the quantity of wet (or dry) material and the reduction in moisture content achieved during drying.</w:t>
      </w:r>
    </w:p>
    <w:p w14:paraId="24FCFABE" w14:textId="77777777" w:rsidR="002D3ADA" w:rsidRPr="006A5892" w:rsidRDefault="002D3ADA" w:rsidP="002D3ADA">
      <w:pPr>
        <w:rPr>
          <w:sz w:val="20"/>
          <w:szCs w:val="20"/>
        </w:rPr>
      </w:pPr>
    </w:p>
    <w:p w14:paraId="182C19C7" w14:textId="555DBA25" w:rsidR="002D3ADA" w:rsidRPr="006A5892" w:rsidRDefault="002D3ADA" w:rsidP="002D3ADA">
      <w:pPr>
        <w:rPr>
          <w:sz w:val="20"/>
          <w:szCs w:val="20"/>
        </w:rPr>
      </w:pPr>
      <w:r w:rsidRPr="006A5892">
        <w:rPr>
          <w:sz w:val="20"/>
          <w:szCs w:val="20"/>
        </w:rPr>
        <w:t xml:space="preserve">To assess the accuracy of this estimate, therefore the results for large scale drying were verified against energy requirements for water removal (kg/kg) from </w:t>
      </w:r>
      <w:proofErr w:type="spellStart"/>
      <w:r w:rsidRPr="006A5892">
        <w:rPr>
          <w:sz w:val="20"/>
          <w:szCs w:val="20"/>
        </w:rPr>
        <w:t>Jokiniemi</w:t>
      </w:r>
      <w:proofErr w:type="spellEnd"/>
      <w:r w:rsidRPr="006A5892">
        <w:rPr>
          <w:sz w:val="20"/>
          <w:szCs w:val="20"/>
        </w:rPr>
        <w:t xml:space="preserve"> et al. (2011). The energy estimate for blowers was not available, therefore an estimate for an electric grain drying fan (5 kWh/dry </w:t>
      </w:r>
      <w:proofErr w:type="spellStart"/>
      <w:proofErr w:type="gramStart"/>
      <w:r w:rsidRPr="006A5892">
        <w:rPr>
          <w:sz w:val="20"/>
          <w:szCs w:val="20"/>
        </w:rPr>
        <w:t>tonne</w:t>
      </w:r>
      <w:proofErr w:type="spellEnd"/>
      <w:proofErr w:type="gramEnd"/>
      <w:r w:rsidRPr="006A5892">
        <w:rPr>
          <w:sz w:val="20"/>
          <w:szCs w:val="20"/>
        </w:rPr>
        <w:t xml:space="preserve">) was used (Dyck, 2017), multiplied by 3 to reflect to reflect the observation of multiple blowers used. It was assumed in this case that the electric fan was supplied by a diesel generator at 40% efficiency. For the purposes of this exercise, the two-fuel consumption estimates are calculated using the estimate above, based on an assumption of beans at 10 and 40% input moisture content respectively based on wet and dry season conditions. (Which includes the specific quantity of wet bean inputs needed based on moisture loss during the drying process). These are chosen as representing the likely range of mechanical drying demand. Therefore, two of the four case studies (CS 3.1, 3.2 mature and productive agroforestry system which has replaced woodland and CS4 late mature beyond the threshold for land use change) are recalculated containing an alternative in which low and high level of mechanical drying is needed.  The case studies are </w:t>
      </w:r>
      <w:proofErr w:type="spellStart"/>
      <w:r w:rsidRPr="006A5892">
        <w:rPr>
          <w:sz w:val="20"/>
          <w:szCs w:val="20"/>
        </w:rPr>
        <w:t>summarised</w:t>
      </w:r>
      <w:proofErr w:type="spellEnd"/>
      <w:r w:rsidRPr="006A5892">
        <w:rPr>
          <w:sz w:val="20"/>
          <w:szCs w:val="20"/>
        </w:rPr>
        <w:t xml:space="preserve"> in </w:t>
      </w:r>
      <w:r w:rsidRPr="00B2663D">
        <w:rPr>
          <w:sz w:val="20"/>
          <w:szCs w:val="20"/>
        </w:rPr>
        <w:fldChar w:fldCharType="begin"/>
      </w:r>
      <w:r w:rsidRPr="00B2663D">
        <w:rPr>
          <w:sz w:val="20"/>
          <w:szCs w:val="20"/>
        </w:rPr>
        <w:instrText xml:space="preserve"> REF _Ref227063766 \h </w:instrText>
      </w:r>
      <w:r w:rsidR="00B2663D">
        <w:rPr>
          <w:sz w:val="20"/>
          <w:szCs w:val="20"/>
        </w:rPr>
        <w:instrText xml:space="preserve"> \* MERGEFORMAT </w:instrText>
      </w:r>
      <w:r w:rsidRPr="00B2663D">
        <w:rPr>
          <w:sz w:val="20"/>
          <w:szCs w:val="20"/>
        </w:rPr>
      </w:r>
      <w:r w:rsidRPr="00B2663D">
        <w:rPr>
          <w:sz w:val="20"/>
          <w:szCs w:val="20"/>
        </w:rPr>
        <w:fldChar w:fldCharType="separate"/>
      </w:r>
      <w:r w:rsidRPr="001F42F7">
        <w:rPr>
          <w:sz w:val="20"/>
          <w:szCs w:val="20"/>
        </w:rPr>
        <w:t>Table 5</w:t>
      </w:r>
      <w:r w:rsidRPr="001F42F7">
        <w:rPr>
          <w:sz w:val="20"/>
          <w:szCs w:val="20"/>
        </w:rPr>
        <w:noBreakHyphen/>
        <w:t>4</w:t>
      </w:r>
      <w:r w:rsidRPr="00B2663D">
        <w:rPr>
          <w:sz w:val="20"/>
          <w:szCs w:val="20"/>
        </w:rPr>
        <w:fldChar w:fldCharType="end"/>
      </w:r>
      <w:r w:rsidRPr="00B2663D">
        <w:rPr>
          <w:sz w:val="20"/>
          <w:szCs w:val="20"/>
        </w:rPr>
        <w:t xml:space="preserve"> a</w:t>
      </w:r>
      <w:r w:rsidRPr="006A5892">
        <w:rPr>
          <w:sz w:val="20"/>
          <w:szCs w:val="20"/>
        </w:rPr>
        <w:t>nd in the annex.</w:t>
      </w:r>
    </w:p>
    <w:p w14:paraId="6EE59718" w14:textId="77777777" w:rsidR="002D3ADA" w:rsidRPr="006A5892" w:rsidRDefault="002D3ADA" w:rsidP="002D3ADA">
      <w:pPr>
        <w:rPr>
          <w:sz w:val="20"/>
          <w:szCs w:val="20"/>
        </w:rPr>
      </w:pPr>
    </w:p>
    <w:p w14:paraId="78E26F92" w14:textId="73984509" w:rsidR="002D3ADA" w:rsidRPr="006A5892" w:rsidRDefault="002D3ADA" w:rsidP="002D3ADA">
      <w:pPr>
        <w:pStyle w:val="Caption"/>
        <w:keepNext/>
        <w:jc w:val="center"/>
      </w:pPr>
      <w:bookmarkStart w:id="170" w:name="_Ref227063766"/>
      <w:bookmarkStart w:id="171" w:name="_Toc228701089"/>
      <w:r w:rsidRPr="006A5892">
        <w:t xml:space="preserve">Table </w:t>
      </w:r>
      <w:fldSimple w:instr=" STYLEREF 1 \s ">
        <w:r w:rsidR="006C1C4E">
          <w:rPr>
            <w:noProof/>
          </w:rPr>
          <w:t>5</w:t>
        </w:r>
      </w:fldSimple>
      <w:r w:rsidR="006C1C4E">
        <w:noBreakHyphen/>
      </w:r>
      <w:fldSimple w:instr=" SEQ Table \* ARABIC \s 1 ">
        <w:r w:rsidR="006C1C4E">
          <w:rPr>
            <w:noProof/>
          </w:rPr>
          <w:t>4</w:t>
        </w:r>
      </w:fldSimple>
      <w:bookmarkEnd w:id="170"/>
      <w:r w:rsidRPr="006A5892">
        <w:t xml:space="preserve"> SUMMARY OF MAIN CASE STUDY ASSUMPTIONS FROM THE FARM</w:t>
      </w:r>
      <w:bookmarkEnd w:id="171"/>
    </w:p>
    <w:tbl>
      <w:tblPr>
        <w:tblStyle w:val="GridTable4-Accent1"/>
        <w:tblW w:w="0" w:type="auto"/>
        <w:tblLook w:val="04A0" w:firstRow="1" w:lastRow="0" w:firstColumn="1" w:lastColumn="0" w:noHBand="0" w:noVBand="1"/>
      </w:tblPr>
      <w:tblGrid>
        <w:gridCol w:w="1803"/>
        <w:gridCol w:w="1803"/>
        <w:gridCol w:w="1803"/>
        <w:gridCol w:w="1803"/>
        <w:gridCol w:w="1804"/>
      </w:tblGrid>
      <w:tr w:rsidR="002D3ADA" w:rsidRPr="006A5892" w14:paraId="2E0FABC3" w14:textId="77777777" w:rsidTr="008934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1DF3DFC" w14:textId="77777777" w:rsidR="002D3ADA" w:rsidRPr="006A5892" w:rsidRDefault="002D3ADA" w:rsidP="0089347F">
            <w:pPr>
              <w:jc w:val="center"/>
              <w:rPr>
                <w:szCs w:val="18"/>
              </w:rPr>
            </w:pPr>
            <w:r w:rsidRPr="006A5892">
              <w:rPr>
                <w:szCs w:val="18"/>
              </w:rPr>
              <w:t>Case Study No</w:t>
            </w:r>
          </w:p>
        </w:tc>
        <w:tc>
          <w:tcPr>
            <w:tcW w:w="1803" w:type="dxa"/>
          </w:tcPr>
          <w:p w14:paraId="0C59AF76" w14:textId="77777777" w:rsidR="002D3ADA" w:rsidRPr="006A5892" w:rsidRDefault="002D3ADA"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1</w:t>
            </w:r>
          </w:p>
        </w:tc>
        <w:tc>
          <w:tcPr>
            <w:tcW w:w="1803" w:type="dxa"/>
          </w:tcPr>
          <w:p w14:paraId="67ACFD35" w14:textId="77777777" w:rsidR="002D3ADA" w:rsidRPr="006A5892" w:rsidRDefault="002D3ADA"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2</w:t>
            </w:r>
          </w:p>
        </w:tc>
        <w:tc>
          <w:tcPr>
            <w:tcW w:w="1803" w:type="dxa"/>
          </w:tcPr>
          <w:p w14:paraId="727AD50F" w14:textId="77777777" w:rsidR="002D3ADA" w:rsidRPr="006A5892" w:rsidRDefault="002D3ADA"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3</w:t>
            </w:r>
          </w:p>
        </w:tc>
        <w:tc>
          <w:tcPr>
            <w:tcW w:w="1804" w:type="dxa"/>
          </w:tcPr>
          <w:p w14:paraId="6D4C957C" w14:textId="77777777" w:rsidR="002D3ADA" w:rsidRPr="00B82559" w:rsidRDefault="002D3ADA"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4</w:t>
            </w:r>
          </w:p>
        </w:tc>
      </w:tr>
      <w:tr w:rsidR="002D3ADA" w:rsidRPr="006A5892" w14:paraId="17BD01C8"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A3D191B" w14:textId="77777777" w:rsidR="002D3ADA" w:rsidRPr="006A5892" w:rsidRDefault="002D3ADA" w:rsidP="0089347F">
            <w:pPr>
              <w:jc w:val="center"/>
              <w:rPr>
                <w:szCs w:val="18"/>
              </w:rPr>
            </w:pPr>
            <w:r w:rsidRPr="006A5892">
              <w:rPr>
                <w:szCs w:val="18"/>
              </w:rPr>
              <w:t>Case Study Name</w:t>
            </w:r>
          </w:p>
        </w:tc>
        <w:tc>
          <w:tcPr>
            <w:tcW w:w="1803" w:type="dxa"/>
          </w:tcPr>
          <w:p w14:paraId="04F8DC4E"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Elderly Smallholder</w:t>
            </w:r>
          </w:p>
        </w:tc>
        <w:tc>
          <w:tcPr>
            <w:tcW w:w="1803" w:type="dxa"/>
          </w:tcPr>
          <w:p w14:paraId="5A28585A"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Young Smallholder</w:t>
            </w:r>
          </w:p>
        </w:tc>
        <w:tc>
          <w:tcPr>
            <w:tcW w:w="1803" w:type="dxa"/>
          </w:tcPr>
          <w:p w14:paraId="58D2617D"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Early Mature Medium Sized small holder</w:t>
            </w:r>
          </w:p>
        </w:tc>
        <w:tc>
          <w:tcPr>
            <w:tcW w:w="1804" w:type="dxa"/>
          </w:tcPr>
          <w:p w14:paraId="19F2EEB9"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Late Mature Medium Sized small holder</w:t>
            </w:r>
          </w:p>
        </w:tc>
      </w:tr>
      <w:tr w:rsidR="002D3ADA" w:rsidRPr="006A5892" w14:paraId="40E9652B" w14:textId="77777777" w:rsidTr="0089347F">
        <w:tc>
          <w:tcPr>
            <w:cnfStyle w:val="001000000000" w:firstRow="0" w:lastRow="0" w:firstColumn="1" w:lastColumn="0" w:oddVBand="0" w:evenVBand="0" w:oddHBand="0" w:evenHBand="0" w:firstRowFirstColumn="0" w:firstRowLastColumn="0" w:lastRowFirstColumn="0" w:lastRowLastColumn="0"/>
            <w:tcW w:w="1803" w:type="dxa"/>
            <w:shd w:val="clear" w:color="auto" w:fill="FFC000" w:themeFill="accent4"/>
          </w:tcPr>
          <w:p w14:paraId="48FA0F93" w14:textId="77777777" w:rsidR="002D3ADA" w:rsidRPr="006A5892" w:rsidRDefault="002D3ADA" w:rsidP="0089347F">
            <w:pPr>
              <w:jc w:val="center"/>
              <w:rPr>
                <w:szCs w:val="18"/>
              </w:rPr>
            </w:pPr>
            <w:r w:rsidRPr="00B003E9">
              <w:rPr>
                <w:color w:val="EE0000"/>
                <w:szCs w:val="18"/>
              </w:rPr>
              <w:t>Initial Stage</w:t>
            </w:r>
          </w:p>
        </w:tc>
        <w:tc>
          <w:tcPr>
            <w:tcW w:w="7213" w:type="dxa"/>
            <w:gridSpan w:val="4"/>
            <w:shd w:val="clear" w:color="auto" w:fill="FFC000" w:themeFill="accent4"/>
          </w:tcPr>
          <w:p w14:paraId="3C3463E7"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b/>
                <w:bCs/>
                <w:szCs w:val="18"/>
              </w:rPr>
            </w:pPr>
            <w:r w:rsidRPr="006A5892">
              <w:rPr>
                <w:b/>
                <w:bCs/>
                <w:szCs w:val="18"/>
              </w:rPr>
              <w:t>Farm gate, (partially) dried, fermented cocoa in jute bag</w:t>
            </w:r>
          </w:p>
        </w:tc>
      </w:tr>
      <w:tr w:rsidR="002D3ADA" w:rsidRPr="006A5892" w14:paraId="4506656C"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4DAEAB3" w14:textId="77777777" w:rsidR="002D3ADA" w:rsidRPr="006A5892" w:rsidRDefault="002D3ADA" w:rsidP="0089347F">
            <w:pPr>
              <w:jc w:val="center"/>
              <w:rPr>
                <w:szCs w:val="18"/>
              </w:rPr>
            </w:pPr>
            <w:r w:rsidRPr="006A5892">
              <w:rPr>
                <w:szCs w:val="18"/>
              </w:rPr>
              <w:t>Previous Land Use</w:t>
            </w:r>
          </w:p>
        </w:tc>
        <w:tc>
          <w:tcPr>
            <w:tcW w:w="1803" w:type="dxa"/>
          </w:tcPr>
          <w:p w14:paraId="6D6ACB30"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NA</w:t>
            </w:r>
          </w:p>
        </w:tc>
        <w:tc>
          <w:tcPr>
            <w:tcW w:w="1803" w:type="dxa"/>
          </w:tcPr>
          <w:p w14:paraId="3501DB70"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Bush land</w:t>
            </w:r>
          </w:p>
        </w:tc>
        <w:tc>
          <w:tcPr>
            <w:tcW w:w="1803" w:type="dxa"/>
          </w:tcPr>
          <w:p w14:paraId="234C19DA"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 xml:space="preserve">1)Forest, </w:t>
            </w:r>
            <w:proofErr w:type="gramStart"/>
            <w:r w:rsidRPr="006A5892">
              <w:rPr>
                <w:szCs w:val="18"/>
              </w:rPr>
              <w:t>2)Wooded</w:t>
            </w:r>
            <w:proofErr w:type="gramEnd"/>
            <w:r w:rsidRPr="006A5892">
              <w:rPr>
                <w:szCs w:val="18"/>
              </w:rPr>
              <w:t xml:space="preserve">        Grass </w:t>
            </w:r>
            <w:proofErr w:type="gramStart"/>
            <w:r w:rsidRPr="006A5892">
              <w:rPr>
                <w:szCs w:val="18"/>
              </w:rPr>
              <w:t>land  3</w:t>
            </w:r>
            <w:proofErr w:type="gramEnd"/>
            <w:r w:rsidRPr="006A5892">
              <w:rPr>
                <w:szCs w:val="18"/>
              </w:rPr>
              <w:t>) NA</w:t>
            </w:r>
          </w:p>
        </w:tc>
        <w:tc>
          <w:tcPr>
            <w:tcW w:w="1804" w:type="dxa"/>
          </w:tcPr>
          <w:p w14:paraId="39888295"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NA</w:t>
            </w:r>
          </w:p>
        </w:tc>
      </w:tr>
      <w:tr w:rsidR="002D3ADA" w:rsidRPr="006A5892" w14:paraId="04B79A80" w14:textId="77777777" w:rsidTr="0089347F">
        <w:trPr>
          <w:trHeight w:val="1071"/>
        </w:trPr>
        <w:tc>
          <w:tcPr>
            <w:cnfStyle w:val="001000000000" w:firstRow="0" w:lastRow="0" w:firstColumn="1" w:lastColumn="0" w:oddVBand="0" w:evenVBand="0" w:oddHBand="0" w:evenHBand="0" w:firstRowFirstColumn="0" w:firstRowLastColumn="0" w:lastRowFirstColumn="0" w:lastRowLastColumn="0"/>
            <w:tcW w:w="1803" w:type="dxa"/>
          </w:tcPr>
          <w:p w14:paraId="216DAB2A" w14:textId="77777777" w:rsidR="002D3ADA" w:rsidRPr="006A5892" w:rsidRDefault="002D3ADA" w:rsidP="0089347F">
            <w:pPr>
              <w:jc w:val="center"/>
              <w:rPr>
                <w:szCs w:val="18"/>
              </w:rPr>
            </w:pPr>
            <w:r w:rsidRPr="006A5892">
              <w:rPr>
                <w:szCs w:val="18"/>
              </w:rPr>
              <w:t>Agroforestry Type</w:t>
            </w:r>
          </w:p>
        </w:tc>
        <w:tc>
          <w:tcPr>
            <w:tcW w:w="1803" w:type="dxa"/>
          </w:tcPr>
          <w:p w14:paraId="074C3650"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 xml:space="preserve">Old, limited diversity, high shade. </w:t>
            </w:r>
          </w:p>
        </w:tc>
        <w:tc>
          <w:tcPr>
            <w:tcW w:w="1803" w:type="dxa"/>
          </w:tcPr>
          <w:p w14:paraId="11CC5C8E"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 xml:space="preserve">Young, canopy in development, banana as shade and fruit.  </w:t>
            </w:r>
          </w:p>
        </w:tc>
        <w:tc>
          <w:tcPr>
            <w:tcW w:w="1803" w:type="dxa"/>
          </w:tcPr>
          <w:p w14:paraId="68075D9E"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Mature, multi-story canopy diverse use cocoa and fruit.</w:t>
            </w:r>
          </w:p>
          <w:p w14:paraId="7D9F72C7"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p>
          <w:p w14:paraId="69032A36"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p>
          <w:p w14:paraId="39774571"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p>
        </w:tc>
        <w:tc>
          <w:tcPr>
            <w:tcW w:w="1804" w:type="dxa"/>
          </w:tcPr>
          <w:p w14:paraId="2FAFC224"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Late mature, multi-story higher shade canopy diverse use cocoa and fruit.</w:t>
            </w:r>
          </w:p>
        </w:tc>
      </w:tr>
      <w:tr w:rsidR="002D3ADA" w:rsidRPr="006A5892" w14:paraId="7CB69EE6"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12AED58D" w14:textId="77777777" w:rsidR="002D3ADA" w:rsidRPr="006A5892" w:rsidRDefault="002D3ADA" w:rsidP="0089347F">
            <w:pPr>
              <w:jc w:val="center"/>
              <w:rPr>
                <w:szCs w:val="18"/>
              </w:rPr>
            </w:pPr>
            <w:r w:rsidRPr="006A5892">
              <w:rPr>
                <w:szCs w:val="18"/>
              </w:rPr>
              <w:t>Age</w:t>
            </w:r>
          </w:p>
        </w:tc>
        <w:tc>
          <w:tcPr>
            <w:tcW w:w="1803" w:type="dxa"/>
          </w:tcPr>
          <w:p w14:paraId="58434CC6"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40</w:t>
            </w:r>
          </w:p>
        </w:tc>
        <w:tc>
          <w:tcPr>
            <w:tcW w:w="1803" w:type="dxa"/>
          </w:tcPr>
          <w:p w14:paraId="28E53DDE"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w:t>
            </w:r>
          </w:p>
        </w:tc>
        <w:tc>
          <w:tcPr>
            <w:tcW w:w="1803" w:type="dxa"/>
          </w:tcPr>
          <w:p w14:paraId="7D8343BD"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 &amp; 2) 19 years</w:t>
            </w:r>
          </w:p>
          <w:p w14:paraId="2FCA9E8D"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2) 21 years</w:t>
            </w:r>
          </w:p>
        </w:tc>
        <w:tc>
          <w:tcPr>
            <w:tcW w:w="1804" w:type="dxa"/>
          </w:tcPr>
          <w:p w14:paraId="0B31487D" w14:textId="77777777" w:rsidR="002D3ADA" w:rsidRPr="006A5892" w:rsidRDefault="002D3ADA"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32</w:t>
            </w:r>
          </w:p>
        </w:tc>
      </w:tr>
      <w:tr w:rsidR="002D3ADA" w:rsidRPr="006A5892" w14:paraId="747C5C4E" w14:textId="77777777" w:rsidTr="0089347F">
        <w:tc>
          <w:tcPr>
            <w:cnfStyle w:val="001000000000" w:firstRow="0" w:lastRow="0" w:firstColumn="1" w:lastColumn="0" w:oddVBand="0" w:evenVBand="0" w:oddHBand="0" w:evenHBand="0" w:firstRowFirstColumn="0" w:firstRowLastColumn="0" w:lastRowFirstColumn="0" w:lastRowLastColumn="0"/>
            <w:tcW w:w="1803" w:type="dxa"/>
          </w:tcPr>
          <w:p w14:paraId="04FAE64E" w14:textId="77777777" w:rsidR="002D3ADA" w:rsidRPr="006A5892" w:rsidRDefault="002D3ADA" w:rsidP="0089347F">
            <w:pPr>
              <w:jc w:val="center"/>
              <w:rPr>
                <w:szCs w:val="18"/>
              </w:rPr>
            </w:pPr>
            <w:r w:rsidRPr="006A5892">
              <w:rPr>
                <w:szCs w:val="18"/>
              </w:rPr>
              <w:t>Size</w:t>
            </w:r>
          </w:p>
        </w:tc>
        <w:tc>
          <w:tcPr>
            <w:tcW w:w="1803" w:type="dxa"/>
          </w:tcPr>
          <w:p w14:paraId="2861DE7B"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Small</w:t>
            </w:r>
          </w:p>
        </w:tc>
        <w:tc>
          <w:tcPr>
            <w:tcW w:w="1803" w:type="dxa"/>
          </w:tcPr>
          <w:p w14:paraId="4DA0EB9A"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Medium</w:t>
            </w:r>
          </w:p>
        </w:tc>
        <w:tc>
          <w:tcPr>
            <w:tcW w:w="1803" w:type="dxa"/>
          </w:tcPr>
          <w:p w14:paraId="317B4165"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Large</w:t>
            </w:r>
          </w:p>
        </w:tc>
        <w:tc>
          <w:tcPr>
            <w:tcW w:w="1804" w:type="dxa"/>
          </w:tcPr>
          <w:p w14:paraId="6088A059"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Large</w:t>
            </w:r>
          </w:p>
        </w:tc>
      </w:tr>
      <w:tr w:rsidR="002D3ADA" w:rsidRPr="006A5892" w14:paraId="271B1570"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1EE24B4" w14:textId="77777777" w:rsidR="002D3ADA" w:rsidRPr="006A5892" w:rsidRDefault="002D3ADA" w:rsidP="0089347F">
            <w:pPr>
              <w:jc w:val="center"/>
              <w:rPr>
                <w:szCs w:val="18"/>
              </w:rPr>
            </w:pPr>
            <w:r w:rsidRPr="006A5892">
              <w:rPr>
                <w:szCs w:val="18"/>
              </w:rPr>
              <w:t>Yield</w:t>
            </w:r>
          </w:p>
        </w:tc>
        <w:tc>
          <w:tcPr>
            <w:tcW w:w="1803" w:type="dxa"/>
          </w:tcPr>
          <w:p w14:paraId="0802FDB6"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100 kg/ha</w:t>
            </w:r>
          </w:p>
        </w:tc>
        <w:tc>
          <w:tcPr>
            <w:tcW w:w="1803" w:type="dxa"/>
          </w:tcPr>
          <w:p w14:paraId="75CBED4E"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150 kg/ha</w:t>
            </w:r>
          </w:p>
        </w:tc>
        <w:tc>
          <w:tcPr>
            <w:tcW w:w="1803" w:type="dxa"/>
          </w:tcPr>
          <w:p w14:paraId="2B5BC066"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250 kg/ha</w:t>
            </w:r>
          </w:p>
        </w:tc>
        <w:tc>
          <w:tcPr>
            <w:tcW w:w="1804" w:type="dxa"/>
          </w:tcPr>
          <w:p w14:paraId="79F0D4A7" w14:textId="77777777" w:rsidR="002D3ADA" w:rsidRPr="006A5892" w:rsidRDefault="002D3ADA"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200 kg/ha</w:t>
            </w:r>
          </w:p>
        </w:tc>
      </w:tr>
      <w:tr w:rsidR="002D3ADA" w:rsidRPr="006A5892" w14:paraId="65A520DB" w14:textId="77777777" w:rsidTr="0089347F">
        <w:tc>
          <w:tcPr>
            <w:cnfStyle w:val="001000000000" w:firstRow="0" w:lastRow="0" w:firstColumn="1" w:lastColumn="0" w:oddVBand="0" w:evenVBand="0" w:oddHBand="0" w:evenHBand="0" w:firstRowFirstColumn="0" w:firstRowLastColumn="0" w:lastRowFirstColumn="0" w:lastRowLastColumn="0"/>
            <w:tcW w:w="1803" w:type="dxa"/>
          </w:tcPr>
          <w:p w14:paraId="55122C73" w14:textId="77777777" w:rsidR="002D3ADA" w:rsidRPr="006A5892" w:rsidRDefault="002D3ADA" w:rsidP="0089347F">
            <w:pPr>
              <w:jc w:val="center"/>
              <w:rPr>
                <w:szCs w:val="18"/>
              </w:rPr>
            </w:pPr>
            <w:r w:rsidRPr="006A5892">
              <w:rPr>
                <w:szCs w:val="18"/>
              </w:rPr>
              <w:t>Management</w:t>
            </w:r>
          </w:p>
        </w:tc>
        <w:tc>
          <w:tcPr>
            <w:tcW w:w="1803" w:type="dxa"/>
          </w:tcPr>
          <w:p w14:paraId="35400B8C"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None</w:t>
            </w:r>
          </w:p>
        </w:tc>
        <w:tc>
          <w:tcPr>
            <w:tcW w:w="1803" w:type="dxa"/>
          </w:tcPr>
          <w:p w14:paraId="7507D68B"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Brush Clearing</w:t>
            </w:r>
          </w:p>
        </w:tc>
        <w:tc>
          <w:tcPr>
            <w:tcW w:w="1803" w:type="dxa"/>
          </w:tcPr>
          <w:p w14:paraId="48BE86C9"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Active light management, pruning etc.</w:t>
            </w:r>
          </w:p>
          <w:p w14:paraId="5045A343"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20% of husk used for burning and compost respectively.</w:t>
            </w:r>
          </w:p>
        </w:tc>
        <w:tc>
          <w:tcPr>
            <w:tcW w:w="1804" w:type="dxa"/>
          </w:tcPr>
          <w:p w14:paraId="1A951DCE" w14:textId="77777777" w:rsidR="002D3ADA" w:rsidRPr="006A5892" w:rsidRDefault="002D3ADA"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Shade management removal overly competitive species, underplanting, coppicing etc. 20% of husk used for burning and compost respectively.</w:t>
            </w:r>
          </w:p>
        </w:tc>
      </w:tr>
    </w:tbl>
    <w:p w14:paraId="05EDB45D" w14:textId="0AEA542B" w:rsidR="002D3ADA" w:rsidRPr="00370629" w:rsidRDefault="002D3ADA" w:rsidP="002D3ADA">
      <w:pPr>
        <w:rPr>
          <w:sz w:val="20"/>
          <w:szCs w:val="20"/>
        </w:rPr>
      </w:pPr>
    </w:p>
    <w:p w14:paraId="3A392EA4" w14:textId="2BFCAB4D" w:rsidR="00370629" w:rsidRDefault="00370629" w:rsidP="00370629">
      <w:pPr>
        <w:rPr>
          <w:sz w:val="20"/>
          <w:szCs w:val="20"/>
        </w:rPr>
      </w:pPr>
      <w:r w:rsidRPr="00370629">
        <w:rPr>
          <w:sz w:val="20"/>
          <w:szCs w:val="20"/>
        </w:rPr>
        <w:t>.</w:t>
      </w:r>
    </w:p>
    <w:p w14:paraId="592DF553" w14:textId="77777777" w:rsidR="00370629" w:rsidRPr="00370629" w:rsidRDefault="00370629" w:rsidP="00370629">
      <w:pPr>
        <w:rPr>
          <w:sz w:val="20"/>
          <w:szCs w:val="20"/>
        </w:rPr>
      </w:pPr>
    </w:p>
    <w:p w14:paraId="5E82A3C1" w14:textId="016DDFC9" w:rsidR="006175C8" w:rsidRPr="002B6A90" w:rsidRDefault="002B6A90" w:rsidP="002B6A90">
      <w:pPr>
        <w:pStyle w:val="Heading2"/>
      </w:pPr>
      <w:bookmarkStart w:id="172" w:name="_Toc228701046"/>
      <w:r>
        <w:lastRenderedPageBreak/>
        <w:t>Environmental Impacts of Cocoa Agroforestry</w:t>
      </w:r>
      <w:bookmarkEnd w:id="172"/>
      <w:r>
        <w:t xml:space="preserve"> </w:t>
      </w:r>
    </w:p>
    <w:p w14:paraId="3B49E882" w14:textId="08B60CA7" w:rsidR="006175C8" w:rsidRPr="00D94BE6" w:rsidRDefault="006175C8" w:rsidP="006175C8">
      <w:pPr>
        <w:pStyle w:val="Heading3"/>
      </w:pPr>
      <w:r w:rsidRPr="00A135F7">
        <w:t xml:space="preserve"> </w:t>
      </w:r>
      <w:bookmarkStart w:id="173" w:name="_Toc228701047"/>
      <w:r w:rsidR="008651CB" w:rsidRPr="008651CB">
        <w:t>C</w:t>
      </w:r>
      <w:r w:rsidR="002B6A90">
        <w:t>arbon Neutrality and Productivity</w:t>
      </w:r>
      <w:bookmarkEnd w:id="173"/>
    </w:p>
    <w:p w14:paraId="2F7E44C5" w14:textId="7198AEF5" w:rsidR="007C3443" w:rsidRPr="006A5892" w:rsidRDefault="007C3443" w:rsidP="007C3443">
      <w:pPr>
        <w:rPr>
          <w:sz w:val="20"/>
          <w:szCs w:val="20"/>
        </w:rPr>
      </w:pPr>
      <w:r w:rsidRPr="006A5892">
        <w:rPr>
          <w:sz w:val="20"/>
          <w:szCs w:val="20"/>
        </w:rPr>
        <w:t>In response to the climate related framing question, the results of the life cycle analysis of cocoa used to answer this framing question, are expressed in terms of life cycle carbon footprint estimates expressed in terms of carbon dioxide equivalence in which all greenhouse gases are expressed relative to the impact of carbon dioxide. This section seeks to quantify the potential carbon footprint associated with different crop system case studies and comment on the choices (and activities) that seem to have the most influence on the overall burden. An important question is whether the cocoa system can contribute to national decarbonization plans?</w:t>
      </w:r>
    </w:p>
    <w:p w14:paraId="1A2109E4" w14:textId="77777777" w:rsidR="007C3443" w:rsidRPr="006A5892" w:rsidRDefault="007C3443" w:rsidP="007C3443">
      <w:pPr>
        <w:rPr>
          <w:sz w:val="20"/>
          <w:szCs w:val="20"/>
        </w:rPr>
      </w:pPr>
    </w:p>
    <w:p w14:paraId="12CA096B" w14:textId="54CBF9BE" w:rsidR="007C3443" w:rsidRPr="006A5892" w:rsidRDefault="007C3443" w:rsidP="007C3443">
      <w:pPr>
        <w:rPr>
          <w:sz w:val="20"/>
          <w:szCs w:val="20"/>
        </w:rPr>
      </w:pPr>
      <w:r w:rsidRPr="006A5892">
        <w:rPr>
          <w:sz w:val="20"/>
          <w:szCs w:val="20"/>
        </w:rPr>
        <w:t xml:space="preserve">The results of the life cycle carbon footprint for 1 kg of (sun) dried beans at the port is expressed in </w:t>
      </w:r>
      <w:r w:rsidRPr="00B2663D">
        <w:rPr>
          <w:sz w:val="20"/>
          <w:szCs w:val="20"/>
        </w:rPr>
        <w:fldChar w:fldCharType="begin"/>
      </w:r>
      <w:r w:rsidRPr="00B2663D">
        <w:rPr>
          <w:sz w:val="20"/>
          <w:szCs w:val="20"/>
        </w:rPr>
        <w:instrText xml:space="preserve"> REF _Ref227063847 \h </w:instrText>
      </w:r>
      <w:r w:rsidR="00B2663D" w:rsidRPr="00B2663D">
        <w:rPr>
          <w:sz w:val="20"/>
          <w:szCs w:val="20"/>
        </w:rPr>
        <w:instrText xml:space="preserve"> \* MERGEFORMAT </w:instrText>
      </w:r>
      <w:r w:rsidRPr="00B2663D">
        <w:rPr>
          <w:sz w:val="20"/>
          <w:szCs w:val="20"/>
        </w:rPr>
      </w:r>
      <w:r w:rsidRPr="00B2663D">
        <w:rPr>
          <w:sz w:val="20"/>
          <w:szCs w:val="20"/>
        </w:rPr>
        <w:fldChar w:fldCharType="separate"/>
      </w:r>
      <w:r w:rsidRPr="001F42F7">
        <w:rPr>
          <w:sz w:val="20"/>
          <w:szCs w:val="20"/>
        </w:rPr>
        <w:t>Table 5</w:t>
      </w:r>
      <w:r w:rsidRPr="001F42F7">
        <w:rPr>
          <w:sz w:val="20"/>
          <w:szCs w:val="20"/>
        </w:rPr>
        <w:noBreakHyphen/>
        <w:t>5</w:t>
      </w:r>
      <w:r w:rsidRPr="00B2663D">
        <w:rPr>
          <w:sz w:val="20"/>
          <w:szCs w:val="20"/>
        </w:rPr>
        <w:fldChar w:fldCharType="end"/>
      </w:r>
      <w:r w:rsidRPr="00B2663D">
        <w:rPr>
          <w:sz w:val="20"/>
          <w:szCs w:val="20"/>
        </w:rPr>
        <w:t>,</w:t>
      </w:r>
      <w:r w:rsidRPr="006A5892">
        <w:rPr>
          <w:sz w:val="20"/>
          <w:szCs w:val="20"/>
        </w:rPr>
        <w:t xml:space="preserve"> Using this method the results are expressed in terms of different broad categories. Biogenic carbon in this case refers to CH</w:t>
      </w:r>
      <w:r w:rsidRPr="006A5892">
        <w:rPr>
          <w:sz w:val="20"/>
          <w:szCs w:val="20"/>
          <w:vertAlign w:val="subscript"/>
        </w:rPr>
        <w:t>4</w:t>
      </w:r>
      <w:r w:rsidRPr="006A5892">
        <w:rPr>
          <w:sz w:val="20"/>
          <w:szCs w:val="20"/>
        </w:rPr>
        <w:t xml:space="preserve"> released during composting of husks.</w:t>
      </w:r>
    </w:p>
    <w:p w14:paraId="416103C0" w14:textId="77777777" w:rsidR="007C3443" w:rsidRPr="006A5892" w:rsidRDefault="007C3443" w:rsidP="007C3443"/>
    <w:p w14:paraId="41D9A7E7" w14:textId="483E4E78" w:rsidR="007C3443" w:rsidRPr="006A5892" w:rsidRDefault="007C3443" w:rsidP="007C3443">
      <w:pPr>
        <w:pStyle w:val="Caption"/>
        <w:keepNext/>
        <w:jc w:val="center"/>
      </w:pPr>
      <w:bookmarkStart w:id="174" w:name="_Ref227063847"/>
      <w:bookmarkStart w:id="175" w:name="_Toc228701090"/>
      <w:r w:rsidRPr="006A5892">
        <w:t xml:space="preserve">Table </w:t>
      </w:r>
      <w:fldSimple w:instr=" STYLEREF 1 \s ">
        <w:r w:rsidR="006C1C4E">
          <w:rPr>
            <w:noProof/>
          </w:rPr>
          <w:t>5</w:t>
        </w:r>
      </w:fldSimple>
      <w:r w:rsidR="006C1C4E">
        <w:noBreakHyphen/>
      </w:r>
      <w:fldSimple w:instr=" SEQ Table \* ARABIC \s 1 ">
        <w:r w:rsidR="006C1C4E">
          <w:rPr>
            <w:noProof/>
          </w:rPr>
          <w:t>5</w:t>
        </w:r>
      </w:fldSimple>
      <w:bookmarkEnd w:id="174"/>
      <w:r w:rsidRPr="006A5892">
        <w:t xml:space="preserve"> Carbon results of 1 kg of sundried cocoa at the port in kg </w:t>
      </w:r>
      <w:proofErr w:type="spellStart"/>
      <w:r w:rsidRPr="006A5892">
        <w:t>CO</w:t>
      </w:r>
      <w:r w:rsidRPr="006A5892">
        <w:rPr>
          <w:rFonts w:ascii="Cambria Math" w:hAnsi="Cambria Math" w:cs="Cambria Math"/>
        </w:rPr>
        <w:t>₂</w:t>
      </w:r>
      <w:r w:rsidRPr="006A5892">
        <w:t>e</w:t>
      </w:r>
      <w:proofErr w:type="spellEnd"/>
      <w:r w:rsidRPr="006A5892">
        <w:t>/kg dry beans</w:t>
      </w:r>
      <w:bookmarkEnd w:id="175"/>
    </w:p>
    <w:tbl>
      <w:tblPr>
        <w:tblStyle w:val="GridTable4-Accent1"/>
        <w:tblW w:w="5000" w:type="pct"/>
        <w:tblLayout w:type="fixed"/>
        <w:tblLook w:val="04A0" w:firstRow="1" w:lastRow="0" w:firstColumn="1" w:lastColumn="0" w:noHBand="0" w:noVBand="1"/>
      </w:tblPr>
      <w:tblGrid>
        <w:gridCol w:w="1413"/>
        <w:gridCol w:w="1277"/>
        <w:gridCol w:w="1273"/>
        <w:gridCol w:w="709"/>
        <w:gridCol w:w="992"/>
        <w:gridCol w:w="887"/>
        <w:gridCol w:w="2465"/>
      </w:tblGrid>
      <w:tr w:rsidR="007C3443" w:rsidRPr="006A5892" w14:paraId="26651104" w14:textId="77777777" w:rsidTr="0089347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560B29E0" w14:textId="77777777" w:rsidR="007C3443" w:rsidRPr="006A5892" w:rsidRDefault="007C3443" w:rsidP="0089347F">
            <w:pPr>
              <w:rPr>
                <w:rFonts w:ascii="Times New Roman" w:eastAsia="Times New Roman" w:hAnsi="Times New Roman" w:cs="Times New Roman"/>
                <w:kern w:val="0"/>
                <w:sz w:val="24"/>
                <w:szCs w:val="24"/>
                <w:lang w:eastAsia="en-GB"/>
                <w14:ligatures w14:val="none"/>
              </w:rPr>
            </w:pPr>
          </w:p>
        </w:tc>
        <w:tc>
          <w:tcPr>
            <w:tcW w:w="708" w:type="pct"/>
            <w:noWrap/>
            <w:hideMark/>
          </w:tcPr>
          <w:p w14:paraId="055251DE"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CS1</w:t>
            </w:r>
          </w:p>
        </w:tc>
        <w:tc>
          <w:tcPr>
            <w:tcW w:w="706" w:type="pct"/>
            <w:noWrap/>
            <w:hideMark/>
          </w:tcPr>
          <w:p w14:paraId="421B5CCF"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CS2</w:t>
            </w:r>
          </w:p>
        </w:tc>
        <w:tc>
          <w:tcPr>
            <w:tcW w:w="393" w:type="pct"/>
            <w:noWrap/>
            <w:hideMark/>
          </w:tcPr>
          <w:p w14:paraId="2EC43CA7"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CS3.1</w:t>
            </w:r>
          </w:p>
        </w:tc>
        <w:tc>
          <w:tcPr>
            <w:tcW w:w="550" w:type="pct"/>
            <w:noWrap/>
            <w:hideMark/>
          </w:tcPr>
          <w:p w14:paraId="3957A923"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CS3.2</w:t>
            </w:r>
          </w:p>
        </w:tc>
        <w:tc>
          <w:tcPr>
            <w:tcW w:w="492" w:type="pct"/>
            <w:noWrap/>
            <w:hideMark/>
          </w:tcPr>
          <w:p w14:paraId="73006EB7"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CS3.3</w:t>
            </w:r>
          </w:p>
        </w:tc>
        <w:tc>
          <w:tcPr>
            <w:tcW w:w="1367" w:type="pct"/>
            <w:noWrap/>
            <w:hideMark/>
          </w:tcPr>
          <w:p w14:paraId="72A45BDD" w14:textId="77777777" w:rsidR="007C3443" w:rsidRPr="006A5892" w:rsidRDefault="007C344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CS4</w:t>
            </w:r>
          </w:p>
        </w:tc>
      </w:tr>
      <w:tr w:rsidR="007C3443" w:rsidRPr="006A5892" w14:paraId="0C969894" w14:textId="77777777" w:rsidTr="008934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84" w:type="pct"/>
            <w:noWrap/>
          </w:tcPr>
          <w:p w14:paraId="0E4A974E" w14:textId="77777777" w:rsidR="007C3443" w:rsidRPr="006A5892" w:rsidRDefault="007C3443" w:rsidP="0089347F">
            <w:pPr>
              <w:jc w:val="center"/>
              <w:rPr>
                <w:rFonts w:ascii="Aptos Narrow" w:eastAsia="Times New Roman" w:hAnsi="Aptos Narrow" w:cs="Times New Roman"/>
                <w:color w:val="000000"/>
                <w:lang w:eastAsia="en-GB"/>
              </w:rPr>
            </w:pPr>
            <w:r w:rsidRPr="006A5892">
              <w:rPr>
                <w:szCs w:val="18"/>
              </w:rPr>
              <w:t>Case Study Name</w:t>
            </w:r>
          </w:p>
        </w:tc>
        <w:tc>
          <w:tcPr>
            <w:tcW w:w="708" w:type="pct"/>
            <w:noWrap/>
          </w:tcPr>
          <w:p w14:paraId="5E9B3E6F" w14:textId="77777777" w:rsidR="007C3443" w:rsidRPr="00B003E9"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B003E9">
              <w:rPr>
                <w:b/>
                <w:bCs/>
                <w:sz w:val="16"/>
                <w:szCs w:val="16"/>
              </w:rPr>
              <w:t>Elderly Smallholder</w:t>
            </w:r>
          </w:p>
        </w:tc>
        <w:tc>
          <w:tcPr>
            <w:tcW w:w="706" w:type="pct"/>
            <w:noWrap/>
          </w:tcPr>
          <w:p w14:paraId="04B723E3" w14:textId="77777777" w:rsidR="007C3443" w:rsidRPr="00B003E9"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w:hAnsi="Aptos"/>
                <w:b/>
                <w:bCs/>
                <w:sz w:val="16"/>
                <w:szCs w:val="16"/>
              </w:rPr>
            </w:pPr>
            <w:r w:rsidRPr="00B003E9">
              <w:rPr>
                <w:b/>
                <w:bCs/>
                <w:sz w:val="16"/>
                <w:szCs w:val="16"/>
              </w:rPr>
              <w:t>Young Smallholder</w:t>
            </w:r>
          </w:p>
        </w:tc>
        <w:tc>
          <w:tcPr>
            <w:tcW w:w="1435" w:type="pct"/>
            <w:gridSpan w:val="3"/>
            <w:noWrap/>
          </w:tcPr>
          <w:p w14:paraId="00E85CBD" w14:textId="77777777" w:rsidR="007C3443" w:rsidRPr="00B003E9" w:rsidRDefault="007C3443" w:rsidP="0089347F">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B003E9">
              <w:rPr>
                <w:b/>
                <w:bCs/>
                <w:sz w:val="16"/>
                <w:szCs w:val="16"/>
              </w:rPr>
              <w:t>Early Mature Medium Sized small holder</w:t>
            </w:r>
          </w:p>
          <w:p w14:paraId="6D3A64A5" w14:textId="77777777" w:rsidR="007C3443" w:rsidRPr="00B003E9"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B003E9">
              <w:rPr>
                <w:rFonts w:ascii="Aptos Narrow" w:eastAsia="Times New Roman" w:hAnsi="Aptos Narrow" w:cs="Times New Roman"/>
                <w:b/>
                <w:bCs/>
                <w:color w:val="000000"/>
                <w:sz w:val="16"/>
                <w:szCs w:val="16"/>
                <w:lang w:eastAsia="en-GB"/>
              </w:rPr>
              <w:t>1                   2                        3</w:t>
            </w:r>
          </w:p>
        </w:tc>
        <w:tc>
          <w:tcPr>
            <w:tcW w:w="1367" w:type="pct"/>
            <w:noWrap/>
          </w:tcPr>
          <w:p w14:paraId="743411AA" w14:textId="77777777" w:rsidR="007C3443" w:rsidRPr="00B003E9"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B003E9">
              <w:rPr>
                <w:b/>
                <w:bCs/>
                <w:sz w:val="16"/>
                <w:szCs w:val="16"/>
              </w:rPr>
              <w:t>Late Mature Medium Sized small holder</w:t>
            </w:r>
          </w:p>
        </w:tc>
      </w:tr>
      <w:tr w:rsidR="007C3443" w:rsidRPr="006A5892" w14:paraId="28B1C597" w14:textId="77777777" w:rsidTr="0089347F">
        <w:trPr>
          <w:trHeight w:val="290"/>
        </w:trPr>
        <w:tc>
          <w:tcPr>
            <w:cnfStyle w:val="001000000000" w:firstRow="0" w:lastRow="0" w:firstColumn="1" w:lastColumn="0" w:oddVBand="0" w:evenVBand="0" w:oddHBand="0" w:evenHBand="0" w:firstRowFirstColumn="0" w:firstRowLastColumn="0" w:lastRowFirstColumn="0" w:lastRowLastColumn="0"/>
            <w:tcW w:w="784" w:type="pct"/>
            <w:noWrap/>
          </w:tcPr>
          <w:p w14:paraId="086815F3" w14:textId="77777777" w:rsidR="007C3443" w:rsidRPr="006A5892" w:rsidRDefault="007C344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Previous Land </w:t>
            </w:r>
          </w:p>
        </w:tc>
        <w:tc>
          <w:tcPr>
            <w:tcW w:w="708" w:type="pct"/>
            <w:noWrap/>
          </w:tcPr>
          <w:p w14:paraId="1C1EB6E3"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NA</w:t>
            </w:r>
          </w:p>
        </w:tc>
        <w:tc>
          <w:tcPr>
            <w:tcW w:w="706" w:type="pct"/>
            <w:noWrap/>
          </w:tcPr>
          <w:p w14:paraId="615AF15D" w14:textId="77777777" w:rsidR="007C3443" w:rsidRPr="00B003E9"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kern w:val="0"/>
                <w:szCs w:val="18"/>
                <w:lang w:eastAsia="en-GB"/>
                <w14:ligatures w14:val="none"/>
              </w:rPr>
            </w:pPr>
            <w:r w:rsidRPr="00B003E9">
              <w:rPr>
                <w:rFonts w:ascii="Aptos" w:hAnsi="Aptos"/>
                <w:szCs w:val="18"/>
              </w:rPr>
              <w:t>Bush land</w:t>
            </w:r>
          </w:p>
        </w:tc>
        <w:tc>
          <w:tcPr>
            <w:tcW w:w="393" w:type="pct"/>
            <w:noWrap/>
          </w:tcPr>
          <w:p w14:paraId="78EA60E3"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Forest</w:t>
            </w:r>
          </w:p>
        </w:tc>
        <w:tc>
          <w:tcPr>
            <w:tcW w:w="550" w:type="pct"/>
            <w:noWrap/>
          </w:tcPr>
          <w:p w14:paraId="5293D814"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Wooded </w:t>
            </w:r>
          </w:p>
          <w:p w14:paraId="0CD55B99"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Grassland</w:t>
            </w:r>
          </w:p>
        </w:tc>
        <w:tc>
          <w:tcPr>
            <w:tcW w:w="492" w:type="pct"/>
            <w:noWrap/>
          </w:tcPr>
          <w:p w14:paraId="7027B85F"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NA</w:t>
            </w:r>
          </w:p>
        </w:tc>
        <w:tc>
          <w:tcPr>
            <w:tcW w:w="1367" w:type="pct"/>
            <w:noWrap/>
          </w:tcPr>
          <w:p w14:paraId="3ED912C4"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NA</w:t>
            </w:r>
          </w:p>
        </w:tc>
      </w:tr>
      <w:tr w:rsidR="007C3443" w:rsidRPr="006A5892" w14:paraId="62913B77" w14:textId="77777777" w:rsidTr="008934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46F60A45" w14:textId="77777777" w:rsidR="007C3443" w:rsidRPr="006A5892" w:rsidRDefault="007C344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 Fossil </w:t>
            </w:r>
            <w:proofErr w:type="spellStart"/>
            <w:r w:rsidRPr="006A5892">
              <w:rPr>
                <w:rFonts w:ascii="Aptos Narrow" w:eastAsia="Times New Roman" w:hAnsi="Aptos Narrow" w:cs="Times New Roman"/>
                <w:color w:val="000000"/>
                <w:kern w:val="0"/>
                <w:lang w:eastAsia="en-GB"/>
                <w14:ligatures w14:val="none"/>
              </w:rPr>
              <w:t>CO₂e</w:t>
            </w:r>
            <w:proofErr w:type="spellEnd"/>
            <w:r w:rsidRPr="006A5892">
              <w:rPr>
                <w:rFonts w:ascii="Aptos Narrow" w:eastAsia="Times New Roman" w:hAnsi="Aptos Narrow" w:cs="Times New Roman"/>
                <w:color w:val="000000"/>
                <w:kern w:val="0"/>
                <w:lang w:eastAsia="en-GB"/>
                <w14:ligatures w14:val="none"/>
              </w:rPr>
              <w:t xml:space="preserve"> + N</w:t>
            </w:r>
            <w:r w:rsidRPr="006A5892">
              <w:rPr>
                <w:rFonts w:ascii="Aptos Narrow" w:eastAsia="Times New Roman" w:hAnsi="Aptos Narrow" w:cs="Times New Roman"/>
                <w:color w:val="000000"/>
                <w:kern w:val="0"/>
                <w:vertAlign w:val="subscript"/>
                <w:lang w:eastAsia="en-GB"/>
                <w14:ligatures w14:val="none"/>
              </w:rPr>
              <w:t>2</w:t>
            </w:r>
            <w:r w:rsidRPr="006A5892">
              <w:rPr>
                <w:rFonts w:ascii="Aptos Narrow" w:eastAsia="Times New Roman" w:hAnsi="Aptos Narrow" w:cs="Times New Roman"/>
                <w:color w:val="000000"/>
                <w:kern w:val="0"/>
                <w:lang w:eastAsia="en-GB"/>
                <w14:ligatures w14:val="none"/>
              </w:rPr>
              <w:t>O</w:t>
            </w:r>
          </w:p>
        </w:tc>
        <w:tc>
          <w:tcPr>
            <w:tcW w:w="708" w:type="pct"/>
            <w:noWrap/>
            <w:hideMark/>
          </w:tcPr>
          <w:p w14:paraId="67F4DFCA"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0.1</w:t>
            </w:r>
          </w:p>
        </w:tc>
        <w:tc>
          <w:tcPr>
            <w:tcW w:w="706" w:type="pct"/>
            <w:noWrap/>
            <w:hideMark/>
          </w:tcPr>
          <w:p w14:paraId="383A49B6"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1.7</w:t>
            </w:r>
          </w:p>
        </w:tc>
        <w:tc>
          <w:tcPr>
            <w:tcW w:w="393" w:type="pct"/>
            <w:noWrap/>
            <w:hideMark/>
          </w:tcPr>
          <w:p w14:paraId="2F2A923A"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0.9</w:t>
            </w:r>
          </w:p>
        </w:tc>
        <w:tc>
          <w:tcPr>
            <w:tcW w:w="550" w:type="pct"/>
            <w:noWrap/>
            <w:hideMark/>
          </w:tcPr>
          <w:p w14:paraId="0F387D03"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0.9</w:t>
            </w:r>
          </w:p>
        </w:tc>
        <w:tc>
          <w:tcPr>
            <w:tcW w:w="492" w:type="pct"/>
            <w:noWrap/>
            <w:hideMark/>
          </w:tcPr>
          <w:p w14:paraId="05208993"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0.9</w:t>
            </w:r>
          </w:p>
        </w:tc>
        <w:tc>
          <w:tcPr>
            <w:tcW w:w="1367" w:type="pct"/>
            <w:noWrap/>
            <w:hideMark/>
          </w:tcPr>
          <w:p w14:paraId="4C4A89B1"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1.1</w:t>
            </w:r>
          </w:p>
        </w:tc>
      </w:tr>
      <w:tr w:rsidR="007C3443" w:rsidRPr="006A5892" w14:paraId="4CB742CC" w14:textId="77777777" w:rsidTr="0089347F">
        <w:trPr>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78A34135" w14:textId="77777777" w:rsidR="007C3443" w:rsidRPr="006A5892" w:rsidRDefault="007C344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Biogenic Carbon</w:t>
            </w:r>
          </w:p>
        </w:tc>
        <w:tc>
          <w:tcPr>
            <w:tcW w:w="708" w:type="pct"/>
            <w:noWrap/>
            <w:hideMark/>
          </w:tcPr>
          <w:p w14:paraId="2A098D8F"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0.0</w:t>
            </w:r>
          </w:p>
        </w:tc>
        <w:tc>
          <w:tcPr>
            <w:tcW w:w="706" w:type="pct"/>
            <w:noWrap/>
            <w:hideMark/>
          </w:tcPr>
          <w:p w14:paraId="4B8871CD"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0.0</w:t>
            </w:r>
          </w:p>
        </w:tc>
        <w:tc>
          <w:tcPr>
            <w:tcW w:w="393" w:type="pct"/>
            <w:noWrap/>
            <w:hideMark/>
          </w:tcPr>
          <w:p w14:paraId="4C82B0EB"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0.3</w:t>
            </w:r>
          </w:p>
        </w:tc>
        <w:tc>
          <w:tcPr>
            <w:tcW w:w="550" w:type="pct"/>
            <w:noWrap/>
            <w:hideMark/>
          </w:tcPr>
          <w:p w14:paraId="4CCA1358"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0.3</w:t>
            </w:r>
          </w:p>
        </w:tc>
        <w:tc>
          <w:tcPr>
            <w:tcW w:w="492" w:type="pct"/>
            <w:noWrap/>
            <w:hideMark/>
          </w:tcPr>
          <w:p w14:paraId="7F54E6FD"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0.3</w:t>
            </w:r>
          </w:p>
        </w:tc>
        <w:tc>
          <w:tcPr>
            <w:tcW w:w="1367" w:type="pct"/>
            <w:noWrap/>
            <w:hideMark/>
          </w:tcPr>
          <w:p w14:paraId="772E77CF"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0.3</w:t>
            </w:r>
          </w:p>
        </w:tc>
      </w:tr>
      <w:tr w:rsidR="007C3443" w:rsidRPr="006A5892" w14:paraId="7F225365" w14:textId="77777777" w:rsidTr="008934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2D8A7D07" w14:textId="77777777" w:rsidR="007C3443" w:rsidRPr="006A5892" w:rsidRDefault="007C344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Land transformation</w:t>
            </w:r>
          </w:p>
        </w:tc>
        <w:tc>
          <w:tcPr>
            <w:tcW w:w="708" w:type="pct"/>
            <w:noWrap/>
            <w:hideMark/>
          </w:tcPr>
          <w:p w14:paraId="34EB451E"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0.0</w:t>
            </w:r>
          </w:p>
        </w:tc>
        <w:tc>
          <w:tcPr>
            <w:tcW w:w="706" w:type="pct"/>
            <w:noWrap/>
            <w:hideMark/>
          </w:tcPr>
          <w:p w14:paraId="40C765FE"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127.1</w:t>
            </w:r>
          </w:p>
        </w:tc>
        <w:tc>
          <w:tcPr>
            <w:tcW w:w="393" w:type="pct"/>
            <w:noWrap/>
            <w:hideMark/>
          </w:tcPr>
          <w:p w14:paraId="3CA08FCC"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77.2</w:t>
            </w:r>
          </w:p>
        </w:tc>
        <w:tc>
          <w:tcPr>
            <w:tcW w:w="550" w:type="pct"/>
            <w:noWrap/>
            <w:hideMark/>
          </w:tcPr>
          <w:p w14:paraId="76B96CBB"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41.1</w:t>
            </w:r>
          </w:p>
        </w:tc>
        <w:tc>
          <w:tcPr>
            <w:tcW w:w="492" w:type="pct"/>
            <w:noWrap/>
            <w:hideMark/>
          </w:tcPr>
          <w:p w14:paraId="428D4A27"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0.0</w:t>
            </w:r>
          </w:p>
        </w:tc>
        <w:tc>
          <w:tcPr>
            <w:tcW w:w="1367" w:type="pct"/>
            <w:noWrap/>
            <w:hideMark/>
          </w:tcPr>
          <w:p w14:paraId="41629CB3"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0.0</w:t>
            </w:r>
          </w:p>
        </w:tc>
      </w:tr>
      <w:tr w:rsidR="007C3443" w:rsidRPr="006A5892" w14:paraId="2D6810E7" w14:textId="77777777" w:rsidTr="0089347F">
        <w:trPr>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62E637C2" w14:textId="77777777" w:rsidR="007C3443" w:rsidRPr="006A5892" w:rsidRDefault="007C344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Carbon uptake</w:t>
            </w:r>
          </w:p>
        </w:tc>
        <w:tc>
          <w:tcPr>
            <w:tcW w:w="708" w:type="pct"/>
            <w:noWrap/>
            <w:hideMark/>
          </w:tcPr>
          <w:p w14:paraId="34F6073C"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-123.6</w:t>
            </w:r>
          </w:p>
        </w:tc>
        <w:tc>
          <w:tcPr>
            <w:tcW w:w="706" w:type="pct"/>
            <w:noWrap/>
            <w:hideMark/>
          </w:tcPr>
          <w:p w14:paraId="5D806901"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-212.7</w:t>
            </w:r>
          </w:p>
        </w:tc>
        <w:tc>
          <w:tcPr>
            <w:tcW w:w="393" w:type="pct"/>
            <w:noWrap/>
            <w:hideMark/>
          </w:tcPr>
          <w:p w14:paraId="22492DE5"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-65.9</w:t>
            </w:r>
          </w:p>
        </w:tc>
        <w:tc>
          <w:tcPr>
            <w:tcW w:w="550" w:type="pct"/>
            <w:noWrap/>
            <w:hideMark/>
          </w:tcPr>
          <w:p w14:paraId="6C727E8F"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-65.9</w:t>
            </w:r>
          </w:p>
        </w:tc>
        <w:tc>
          <w:tcPr>
            <w:tcW w:w="492" w:type="pct"/>
            <w:noWrap/>
            <w:hideMark/>
          </w:tcPr>
          <w:p w14:paraId="7F6E2204"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-65.9</w:t>
            </w:r>
          </w:p>
        </w:tc>
        <w:tc>
          <w:tcPr>
            <w:tcW w:w="1367" w:type="pct"/>
            <w:noWrap/>
            <w:hideMark/>
          </w:tcPr>
          <w:p w14:paraId="3F1BED36" w14:textId="77777777" w:rsidR="007C3443" w:rsidRPr="006A5892" w:rsidRDefault="007C344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-66.4</w:t>
            </w:r>
          </w:p>
        </w:tc>
      </w:tr>
      <w:tr w:rsidR="007C3443" w:rsidRPr="006A5892" w14:paraId="4F72D13A" w14:textId="77777777" w:rsidTr="008934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84" w:type="pct"/>
            <w:noWrap/>
            <w:hideMark/>
          </w:tcPr>
          <w:p w14:paraId="0C5D310F" w14:textId="77777777" w:rsidR="007C3443" w:rsidRPr="006A5892" w:rsidRDefault="007C3443" w:rsidP="0089347F">
            <w:pPr>
              <w:jc w:val="center"/>
              <w:rPr>
                <w:rFonts w:ascii="Aptos Narrow" w:eastAsia="Times New Roman" w:hAnsi="Aptos Narrow" w:cs="Times New Roman"/>
                <w:color w:val="EE0000"/>
                <w:kern w:val="0"/>
                <w:lang w:eastAsia="en-GB"/>
                <w14:ligatures w14:val="none"/>
              </w:rPr>
            </w:pPr>
            <w:r w:rsidRPr="006A5892">
              <w:rPr>
                <w:rFonts w:ascii="Aptos Narrow" w:eastAsia="Times New Roman" w:hAnsi="Aptos Narrow" w:cs="Times New Roman"/>
                <w:color w:val="EE0000"/>
                <w:kern w:val="0"/>
                <w:lang w:eastAsia="en-GB"/>
                <w14:ligatures w14:val="none"/>
              </w:rPr>
              <w:t>Overall</w:t>
            </w:r>
          </w:p>
        </w:tc>
        <w:tc>
          <w:tcPr>
            <w:tcW w:w="708" w:type="pct"/>
            <w:noWrap/>
            <w:hideMark/>
          </w:tcPr>
          <w:p w14:paraId="6E2FB655"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-123.5</w:t>
            </w:r>
          </w:p>
        </w:tc>
        <w:tc>
          <w:tcPr>
            <w:tcW w:w="706" w:type="pct"/>
            <w:noWrap/>
            <w:hideMark/>
          </w:tcPr>
          <w:p w14:paraId="3772C953"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-83.8</w:t>
            </w:r>
          </w:p>
        </w:tc>
        <w:tc>
          <w:tcPr>
            <w:tcW w:w="393" w:type="pct"/>
            <w:noWrap/>
            <w:hideMark/>
          </w:tcPr>
          <w:p w14:paraId="49A2451A"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12.5</w:t>
            </w:r>
          </w:p>
        </w:tc>
        <w:tc>
          <w:tcPr>
            <w:tcW w:w="550" w:type="pct"/>
            <w:noWrap/>
            <w:hideMark/>
          </w:tcPr>
          <w:p w14:paraId="7141C903"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-23.6</w:t>
            </w:r>
          </w:p>
        </w:tc>
        <w:tc>
          <w:tcPr>
            <w:tcW w:w="492" w:type="pct"/>
            <w:noWrap/>
            <w:hideMark/>
          </w:tcPr>
          <w:p w14:paraId="03C97EBD" w14:textId="77777777" w:rsidR="007C3443" w:rsidRPr="006A5892" w:rsidRDefault="007C344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-64.7</w:t>
            </w:r>
          </w:p>
        </w:tc>
        <w:tc>
          <w:tcPr>
            <w:tcW w:w="1367" w:type="pct"/>
            <w:noWrap/>
            <w:hideMark/>
          </w:tcPr>
          <w:p w14:paraId="640FDBDE" w14:textId="77777777" w:rsidR="007C3443" w:rsidRPr="006A5892" w:rsidRDefault="007C3443" w:rsidP="0089347F">
            <w:pPr>
              <w:keepNex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-65.1</w:t>
            </w:r>
          </w:p>
        </w:tc>
      </w:tr>
    </w:tbl>
    <w:p w14:paraId="02D18866" w14:textId="77777777" w:rsidR="007C3443" w:rsidRPr="006A5892" w:rsidRDefault="007C3443" w:rsidP="007C3443">
      <w:pPr>
        <w:pStyle w:val="Caption"/>
      </w:pPr>
      <w:r w:rsidRPr="006A5892">
        <w:t xml:space="preserve"> </w:t>
      </w:r>
    </w:p>
    <w:p w14:paraId="3B6A5ADE" w14:textId="77777777" w:rsidR="007C3443" w:rsidRPr="006A5892" w:rsidRDefault="007C3443" w:rsidP="007C3443"/>
    <w:p w14:paraId="7A2CB7C3" w14:textId="77777777" w:rsidR="007C3443" w:rsidRPr="006A5892" w:rsidRDefault="007C3443" w:rsidP="007C3443">
      <w:pPr>
        <w:rPr>
          <w:sz w:val="20"/>
          <w:szCs w:val="20"/>
        </w:rPr>
      </w:pPr>
      <w:r w:rsidRPr="006A5892">
        <w:rPr>
          <w:sz w:val="20"/>
          <w:szCs w:val="20"/>
        </w:rPr>
        <w:t xml:space="preserve">As aforementioned, the benefits of a cocoa agroforestry system become clear when considering their enhanced carbon stocks meaning most systems appear to provide carbon negative cocoa </w:t>
      </w:r>
      <w:r w:rsidRPr="00B82559">
        <w:rPr>
          <w:sz w:val="20"/>
          <w:szCs w:val="20"/>
        </w:rPr>
        <w:t xml:space="preserve">when sun dried. </w:t>
      </w:r>
      <w:r w:rsidRPr="006A5892">
        <w:rPr>
          <w:sz w:val="20"/>
          <w:szCs w:val="20"/>
        </w:rPr>
        <w:t>In other words, more carbon is accumulated by agroforestry system, allowing for cocoa agroforestry to support decarbonization in both the cocoa value chain (insetting) and other value chains (offsetting) both national and international-</w:t>
      </w:r>
      <w:r w:rsidRPr="00B003E9">
        <w:rPr>
          <w:b/>
          <w:bCs/>
          <w:sz w:val="20"/>
          <w:szCs w:val="20"/>
        </w:rPr>
        <w:t>but only under certain assumptions</w:t>
      </w:r>
      <w:r w:rsidRPr="006A5892">
        <w:rPr>
          <w:sz w:val="20"/>
          <w:szCs w:val="20"/>
        </w:rPr>
        <w:t xml:space="preserve">. </w:t>
      </w:r>
    </w:p>
    <w:p w14:paraId="20929EC4" w14:textId="77777777" w:rsidR="007C3443" w:rsidRPr="006A5892" w:rsidRDefault="007C3443" w:rsidP="007C3443">
      <w:pPr>
        <w:rPr>
          <w:sz w:val="20"/>
          <w:szCs w:val="20"/>
        </w:rPr>
      </w:pPr>
    </w:p>
    <w:p w14:paraId="33E18079" w14:textId="038394BF" w:rsidR="007C3443" w:rsidRPr="006A5892" w:rsidRDefault="007C3443" w:rsidP="007C3443">
      <w:pPr>
        <w:rPr>
          <w:b/>
          <w:bCs/>
          <w:sz w:val="20"/>
          <w:szCs w:val="20"/>
        </w:rPr>
      </w:pPr>
      <w:r w:rsidRPr="006A5892">
        <w:rPr>
          <w:sz w:val="20"/>
          <w:szCs w:val="20"/>
        </w:rPr>
        <w:t>However, there is significant variability in results given the scale of the different carbon balances associated with assumption on previous and cocoa derived carbon stocks, as well as how productive (or not) the cocoa system is. This is consistent with wider experience on other agroforestry systems such as coffee (Cheron-Bessou, 2024). The emissions of N</w:t>
      </w:r>
      <w:r w:rsidRPr="006A5892">
        <w:rPr>
          <w:sz w:val="20"/>
          <w:szCs w:val="20"/>
          <w:vertAlign w:val="subscript"/>
        </w:rPr>
        <w:t>2</w:t>
      </w:r>
      <w:r w:rsidRPr="006A5892">
        <w:rPr>
          <w:sz w:val="20"/>
          <w:szCs w:val="20"/>
        </w:rPr>
        <w:t xml:space="preserve">O and Biogenic </w:t>
      </w:r>
      <w:proofErr w:type="spellStart"/>
      <w:r w:rsidRPr="006A5892">
        <w:rPr>
          <w:sz w:val="20"/>
          <w:szCs w:val="20"/>
        </w:rPr>
        <w:t>CO₂e</w:t>
      </w:r>
      <w:proofErr w:type="spellEnd"/>
      <w:r w:rsidRPr="006A5892">
        <w:rPr>
          <w:sz w:val="20"/>
          <w:szCs w:val="20"/>
        </w:rPr>
        <w:t xml:space="preserve"> whilst small in comparison with land use change, should not be discounted (0.1-1 kg CO</w:t>
      </w:r>
      <w:r w:rsidRPr="006A5892">
        <w:rPr>
          <w:rFonts w:ascii="Cambria Math" w:hAnsi="Cambria Math" w:cs="Cambria Math"/>
          <w:sz w:val="20"/>
          <w:szCs w:val="20"/>
        </w:rPr>
        <w:t>₂</w:t>
      </w:r>
      <w:r w:rsidRPr="006A5892">
        <w:rPr>
          <w:sz w:val="20"/>
          <w:szCs w:val="20"/>
        </w:rPr>
        <w:t xml:space="preserve">/kg dry beans). </w:t>
      </w:r>
      <w:r w:rsidRPr="00B003E9">
        <w:rPr>
          <w:b/>
          <w:bCs/>
          <w:sz w:val="20"/>
          <w:szCs w:val="20"/>
        </w:rPr>
        <w:t>In the first case study which assumes no application of fertilizer these</w:t>
      </w:r>
      <w:r w:rsidRPr="006A5892">
        <w:rPr>
          <w:b/>
          <w:bCs/>
          <w:sz w:val="20"/>
          <w:szCs w:val="20"/>
        </w:rPr>
        <w:t xml:space="preserve"> emissions</w:t>
      </w:r>
      <w:r w:rsidRPr="00B003E9">
        <w:rPr>
          <w:b/>
          <w:bCs/>
          <w:sz w:val="20"/>
          <w:szCs w:val="20"/>
        </w:rPr>
        <w:t xml:space="preserve"> are effectively zero.</w:t>
      </w:r>
      <w:r w:rsidRPr="006A5892">
        <w:rPr>
          <w:b/>
          <w:bCs/>
          <w:sz w:val="20"/>
          <w:szCs w:val="20"/>
        </w:rPr>
        <w:t xml:space="preserve"> For the other case </w:t>
      </w:r>
      <w:r w:rsidR="00BA642B" w:rsidRPr="006A5892">
        <w:rPr>
          <w:b/>
          <w:bCs/>
          <w:sz w:val="20"/>
          <w:szCs w:val="20"/>
        </w:rPr>
        <w:t>studies,</w:t>
      </w:r>
      <w:r w:rsidRPr="00B003E9">
        <w:rPr>
          <w:b/>
          <w:bCs/>
          <w:sz w:val="20"/>
          <w:szCs w:val="20"/>
        </w:rPr>
        <w:t xml:space="preserve"> </w:t>
      </w:r>
      <w:r w:rsidRPr="006A5892">
        <w:rPr>
          <w:b/>
          <w:bCs/>
          <w:sz w:val="20"/>
          <w:szCs w:val="20"/>
        </w:rPr>
        <w:t>if</w:t>
      </w:r>
      <w:r w:rsidRPr="00B003E9">
        <w:rPr>
          <w:b/>
          <w:bCs/>
          <w:sz w:val="20"/>
          <w:szCs w:val="20"/>
        </w:rPr>
        <w:t xml:space="preserve"> the emissions due to land use change </w:t>
      </w:r>
      <w:r w:rsidRPr="006A5892">
        <w:rPr>
          <w:b/>
          <w:bCs/>
          <w:sz w:val="20"/>
          <w:szCs w:val="20"/>
        </w:rPr>
        <w:t>were</w:t>
      </w:r>
      <w:r w:rsidRPr="00B003E9">
        <w:rPr>
          <w:b/>
          <w:bCs/>
          <w:sz w:val="20"/>
          <w:szCs w:val="20"/>
        </w:rPr>
        <w:t xml:space="preserve"> equal to those accumulated by the cocoa systems, (i.e. the sum of land Transformation and Carbon uptake is 0) these other on-farm activities (such as application of residues and composting) </w:t>
      </w:r>
      <w:r w:rsidR="00BA642B" w:rsidRPr="00B003E9">
        <w:rPr>
          <w:b/>
          <w:bCs/>
          <w:sz w:val="20"/>
          <w:szCs w:val="20"/>
        </w:rPr>
        <w:t>would become</w:t>
      </w:r>
      <w:r w:rsidRPr="00B003E9">
        <w:rPr>
          <w:b/>
          <w:bCs/>
          <w:sz w:val="20"/>
          <w:szCs w:val="20"/>
        </w:rPr>
        <w:t xml:space="preserve"> </w:t>
      </w:r>
      <w:proofErr w:type="gramStart"/>
      <w:r w:rsidRPr="00B003E9">
        <w:rPr>
          <w:b/>
          <w:bCs/>
          <w:sz w:val="20"/>
          <w:szCs w:val="20"/>
        </w:rPr>
        <w:t>the majority of</w:t>
      </w:r>
      <w:proofErr w:type="gramEnd"/>
      <w:r w:rsidRPr="00B003E9">
        <w:rPr>
          <w:b/>
          <w:bCs/>
          <w:sz w:val="20"/>
          <w:szCs w:val="20"/>
        </w:rPr>
        <w:t xml:space="preserve"> overall emissions</w:t>
      </w:r>
      <w:r w:rsidRPr="006A5892">
        <w:rPr>
          <w:b/>
          <w:bCs/>
          <w:sz w:val="20"/>
          <w:szCs w:val="20"/>
        </w:rPr>
        <w:t>.</w:t>
      </w:r>
    </w:p>
    <w:p w14:paraId="6D0A6F6E" w14:textId="77777777" w:rsidR="007C3443" w:rsidRPr="006A5892" w:rsidRDefault="007C3443" w:rsidP="007C3443">
      <w:pPr>
        <w:rPr>
          <w:sz w:val="20"/>
          <w:szCs w:val="20"/>
        </w:rPr>
      </w:pPr>
    </w:p>
    <w:p w14:paraId="4461C81F" w14:textId="77777777" w:rsidR="007C3443" w:rsidRPr="006A5892" w:rsidRDefault="007C3443" w:rsidP="007C3443">
      <w:pPr>
        <w:rPr>
          <w:sz w:val="20"/>
          <w:szCs w:val="20"/>
        </w:rPr>
      </w:pPr>
      <w:r w:rsidRPr="006A5892">
        <w:rPr>
          <w:sz w:val="20"/>
          <w:szCs w:val="20"/>
        </w:rPr>
        <w:t xml:space="preserve">It is important not to overstate the potential for carbon neutral cocoa. The removal of </w:t>
      </w:r>
      <w:r w:rsidRPr="00B003E9">
        <w:rPr>
          <w:b/>
          <w:bCs/>
          <w:sz w:val="20"/>
          <w:szCs w:val="20"/>
        </w:rPr>
        <w:t>forestry</w:t>
      </w:r>
      <w:r w:rsidRPr="006A5892">
        <w:rPr>
          <w:sz w:val="20"/>
          <w:szCs w:val="20"/>
        </w:rPr>
        <w:t xml:space="preserve"> (a continuous stand of trees with crowns interlocking) will result in significant emissions, the estimate of 12 kg </w:t>
      </w:r>
      <w:proofErr w:type="spellStart"/>
      <w:r w:rsidRPr="006A5892">
        <w:rPr>
          <w:sz w:val="20"/>
          <w:szCs w:val="20"/>
        </w:rPr>
        <w:t>CO₂e</w:t>
      </w:r>
      <w:proofErr w:type="spellEnd"/>
      <w:r w:rsidRPr="006A5892">
        <w:rPr>
          <w:sz w:val="20"/>
          <w:szCs w:val="20"/>
        </w:rPr>
        <w:t>/</w:t>
      </w:r>
      <w:proofErr w:type="gramStart"/>
      <w:r w:rsidRPr="006A5892">
        <w:rPr>
          <w:sz w:val="20"/>
          <w:szCs w:val="20"/>
        </w:rPr>
        <w:t>kg  is</w:t>
      </w:r>
      <w:proofErr w:type="gramEnd"/>
      <w:r w:rsidRPr="006A5892">
        <w:rPr>
          <w:sz w:val="20"/>
          <w:szCs w:val="20"/>
        </w:rPr>
        <w:t xml:space="preserve">  27% higher than the estimate for conventional Ghanian cocoa at 9.8 </w:t>
      </w:r>
      <w:proofErr w:type="spellStart"/>
      <w:r w:rsidRPr="006A5892">
        <w:rPr>
          <w:sz w:val="20"/>
          <w:szCs w:val="20"/>
        </w:rPr>
        <w:t>CO₂e</w:t>
      </w:r>
      <w:proofErr w:type="spellEnd"/>
      <w:r w:rsidRPr="006A5892">
        <w:rPr>
          <w:sz w:val="20"/>
          <w:szCs w:val="20"/>
        </w:rPr>
        <w:t>/</w:t>
      </w:r>
      <w:proofErr w:type="gramStart"/>
      <w:r w:rsidRPr="006A5892">
        <w:rPr>
          <w:sz w:val="20"/>
          <w:szCs w:val="20"/>
        </w:rPr>
        <w:t xml:space="preserve">kg  </w:t>
      </w:r>
      <w:r w:rsidRPr="006A5892">
        <w:rPr>
          <w:sz w:val="20"/>
          <w:szCs w:val="20"/>
        </w:rPr>
        <w:lastRenderedPageBreak/>
        <w:t>as</w:t>
      </w:r>
      <w:proofErr w:type="gramEnd"/>
      <w:r w:rsidRPr="006A5892">
        <w:rPr>
          <w:sz w:val="20"/>
          <w:szCs w:val="20"/>
        </w:rPr>
        <w:t xml:space="preserve"> estimated by Carbon Cloud which can be explained by differences in carbon stock estimates and Sierra Leone’s low productivity but is sufficiently similar </w:t>
      </w:r>
      <w:r w:rsidRPr="00B003E9">
        <w:rPr>
          <w:b/>
          <w:bCs/>
          <w:sz w:val="20"/>
          <w:szCs w:val="20"/>
        </w:rPr>
        <w:t>to highlight the importance of avoiding deforestation</w:t>
      </w:r>
      <w:r w:rsidRPr="006A5892">
        <w:rPr>
          <w:sz w:val="20"/>
          <w:szCs w:val="20"/>
        </w:rPr>
        <w:t xml:space="preserve">. This is higher than the carbon footprint of many other food commodities and so therefore the results might be considered to represent a range of potential (positive and negative) impacts. </w:t>
      </w:r>
      <w:r w:rsidRPr="00B003E9">
        <w:rPr>
          <w:b/>
          <w:bCs/>
          <w:sz w:val="20"/>
          <w:szCs w:val="20"/>
        </w:rPr>
        <w:t>Therefore</w:t>
      </w:r>
      <w:r w:rsidRPr="006A5892">
        <w:rPr>
          <w:b/>
          <w:bCs/>
          <w:sz w:val="20"/>
          <w:szCs w:val="20"/>
        </w:rPr>
        <w:t>,</w:t>
      </w:r>
      <w:r w:rsidRPr="00B003E9">
        <w:rPr>
          <w:b/>
          <w:bCs/>
          <w:sz w:val="20"/>
          <w:szCs w:val="20"/>
        </w:rPr>
        <w:t xml:space="preserve"> cocoa may be considered to have a high positive or high negative carbon footprint depending on the previous land use type.</w:t>
      </w:r>
      <w:r w:rsidRPr="006A5892">
        <w:rPr>
          <w:sz w:val="20"/>
          <w:szCs w:val="20"/>
        </w:rPr>
        <w:t xml:space="preserve">  </w:t>
      </w:r>
    </w:p>
    <w:p w14:paraId="76471C29" w14:textId="77777777" w:rsidR="007C3443" w:rsidRPr="006A5892" w:rsidRDefault="007C3443" w:rsidP="007C3443">
      <w:pPr>
        <w:rPr>
          <w:sz w:val="20"/>
          <w:szCs w:val="20"/>
        </w:rPr>
      </w:pPr>
    </w:p>
    <w:p w14:paraId="21103500" w14:textId="6F20A03F" w:rsidR="007C3443" w:rsidRPr="00B82559" w:rsidRDefault="007C3443" w:rsidP="007C3443">
      <w:pPr>
        <w:rPr>
          <w:sz w:val="20"/>
          <w:szCs w:val="20"/>
        </w:rPr>
      </w:pPr>
      <w:r w:rsidRPr="006A5892">
        <w:rPr>
          <w:sz w:val="20"/>
          <w:szCs w:val="20"/>
        </w:rPr>
        <w:t xml:space="preserve">It should also be noted that there appears to be an important trade-off between productivity and sustainability in those older, less productive strands (who are still assuming to accumulate carbon) will sit outside the time limit cut off for allocation of impact due to land use change. Also, </w:t>
      </w:r>
      <w:r w:rsidR="00BA642B" w:rsidRPr="006A5892">
        <w:rPr>
          <w:sz w:val="20"/>
          <w:szCs w:val="20"/>
        </w:rPr>
        <w:t>lower</w:t>
      </w:r>
      <w:r w:rsidRPr="006A5892">
        <w:rPr>
          <w:sz w:val="20"/>
          <w:szCs w:val="20"/>
        </w:rPr>
        <w:t xml:space="preserve"> productivity increases the negative carbon footprint allocated per kg. The first case study assumes an old system (&gt; 30 years) without management and a low yield and so the highly encouraging negative carbon footprint (&gt; -100 kg </w:t>
      </w:r>
      <w:proofErr w:type="spellStart"/>
      <w:r w:rsidRPr="006A5892">
        <w:rPr>
          <w:sz w:val="20"/>
          <w:szCs w:val="20"/>
        </w:rPr>
        <w:t>CO₂e</w:t>
      </w:r>
      <w:proofErr w:type="spellEnd"/>
      <w:r w:rsidRPr="006A5892">
        <w:rPr>
          <w:sz w:val="20"/>
          <w:szCs w:val="20"/>
        </w:rPr>
        <w:t xml:space="preserve">/kg) must be viewed in the context of impending transition, in which case the carbon accumulated will be released as well as the low yield. </w:t>
      </w:r>
      <w:r w:rsidRPr="006A5892">
        <w:rPr>
          <w:b/>
          <w:bCs/>
          <w:sz w:val="20"/>
          <w:szCs w:val="20"/>
        </w:rPr>
        <w:t>In other words, the process that contributes to carbon accumulation (shade tree biomass) will also restrict yields due to high shade level unless properly managed.</w:t>
      </w:r>
      <w:r w:rsidRPr="006A5892">
        <w:rPr>
          <w:sz w:val="20"/>
          <w:szCs w:val="20"/>
        </w:rPr>
        <w:t xml:space="preserve"> Low yields also increase the desirability of expanding the cocoa area, which will result in significant emissions if forestry is replaced. It should also be mentioned that (as demonstrated previously) the removal of primary forestry results in very significant emissions approximately 500 </w:t>
      </w:r>
      <w:proofErr w:type="spellStart"/>
      <w:r w:rsidRPr="006A5892">
        <w:rPr>
          <w:sz w:val="20"/>
          <w:szCs w:val="20"/>
        </w:rPr>
        <w:t>tonnes</w:t>
      </w:r>
      <w:proofErr w:type="spellEnd"/>
      <w:r w:rsidRPr="006A5892">
        <w:rPr>
          <w:sz w:val="20"/>
          <w:szCs w:val="20"/>
        </w:rPr>
        <w:t xml:space="preserve"> of CO₂/hectare due to above ground biomass alone, based on mean above‑ground carbon stock of intact African montane forests (Cuni-Sanchez et al. 2021). </w:t>
      </w:r>
    </w:p>
    <w:p w14:paraId="05CE0E41" w14:textId="77777777" w:rsidR="007C3443" w:rsidRPr="006A5892" w:rsidRDefault="007C3443" w:rsidP="007C3443">
      <w:pPr>
        <w:rPr>
          <w:sz w:val="20"/>
          <w:szCs w:val="20"/>
        </w:rPr>
      </w:pPr>
    </w:p>
    <w:p w14:paraId="4D059181" w14:textId="51B081CE" w:rsidR="007C3443" w:rsidRPr="006A5892" w:rsidRDefault="007C3443" w:rsidP="007C3443">
      <w:pPr>
        <w:rPr>
          <w:rFonts w:eastAsia="Times New Roman" w:cstheme="minorHAnsi"/>
          <w:color w:val="000000"/>
          <w:sz w:val="20"/>
          <w:szCs w:val="20"/>
          <w:lang w:eastAsia="en-GB"/>
        </w:rPr>
      </w:pPr>
      <w:r w:rsidRPr="006A5892">
        <w:rPr>
          <w:sz w:val="20"/>
          <w:szCs w:val="20"/>
        </w:rPr>
        <w:t xml:space="preserve">The emissions associated with transport were extracted and found to be 0.06 and 0.08 kg </w:t>
      </w:r>
      <w:proofErr w:type="spellStart"/>
      <w:r w:rsidRPr="006A5892">
        <w:rPr>
          <w:sz w:val="20"/>
          <w:szCs w:val="20"/>
        </w:rPr>
        <w:t>CO₂e</w:t>
      </w:r>
      <w:proofErr w:type="spellEnd"/>
      <w:r w:rsidRPr="006A5892">
        <w:rPr>
          <w:sz w:val="20"/>
          <w:szCs w:val="20"/>
        </w:rPr>
        <w:t xml:space="preserve">/kg for the first and remaining caste studies respectively, with most emissions due to the long journey to the port. However, it should be noted that the journey distance from the cooperative office to the trader store may well be </w:t>
      </w:r>
      <w:proofErr w:type="gramStart"/>
      <w:r w:rsidRPr="006A5892">
        <w:rPr>
          <w:sz w:val="20"/>
          <w:szCs w:val="20"/>
        </w:rPr>
        <w:t>longer in reality, increasing</w:t>
      </w:r>
      <w:proofErr w:type="gramEnd"/>
      <w:r w:rsidRPr="006A5892">
        <w:rPr>
          <w:sz w:val="20"/>
          <w:szCs w:val="20"/>
        </w:rPr>
        <w:t xml:space="preserve"> the emission but likely not to the extent that they overshadow the long journey to the port. </w:t>
      </w:r>
      <w:r w:rsidRPr="00B003E9">
        <w:rPr>
          <w:b/>
          <w:bCs/>
          <w:sz w:val="20"/>
          <w:szCs w:val="20"/>
        </w:rPr>
        <w:t>As mentioned for emissions</w:t>
      </w:r>
      <w:r w:rsidR="00B2663D">
        <w:rPr>
          <w:b/>
          <w:bCs/>
          <w:sz w:val="20"/>
          <w:szCs w:val="20"/>
        </w:rPr>
        <w:t>,</w:t>
      </w:r>
      <w:r w:rsidRPr="00B003E9">
        <w:rPr>
          <w:b/>
          <w:bCs/>
          <w:sz w:val="20"/>
          <w:szCs w:val="20"/>
        </w:rPr>
        <w:t xml:space="preserve"> due to composting etc.</w:t>
      </w:r>
      <w:r w:rsidR="00B2663D">
        <w:rPr>
          <w:b/>
          <w:bCs/>
          <w:sz w:val="20"/>
          <w:szCs w:val="20"/>
        </w:rPr>
        <w:t>,</w:t>
      </w:r>
      <w:r w:rsidRPr="00B003E9">
        <w:rPr>
          <w:b/>
          <w:bCs/>
          <w:sz w:val="20"/>
          <w:szCs w:val="20"/>
        </w:rPr>
        <w:t xml:space="preserve"> under a situation where (sun dried) cocoa is carbon neutral at the farm gate, the emissions due to transport would constitute virtually all the carbon footprint of the first case study and approximately 7% of the emission for the others.</w:t>
      </w:r>
    </w:p>
    <w:p w14:paraId="6FE0C193" w14:textId="24AFD5CE" w:rsidR="006175C8" w:rsidRPr="00D94BE6" w:rsidRDefault="008651CB" w:rsidP="006175C8">
      <w:pPr>
        <w:pStyle w:val="Heading3"/>
      </w:pPr>
      <w:bookmarkStart w:id="176" w:name="_Toc228701048"/>
      <w:r w:rsidRPr="008651CB">
        <w:t>Health, Ecosystem and Resource Use Impacts Sun-dried Cocoa</w:t>
      </w:r>
      <w:bookmarkEnd w:id="176"/>
    </w:p>
    <w:p w14:paraId="169E8DD3" w14:textId="3D19572F" w:rsidR="007C3443" w:rsidRDefault="007C3443" w:rsidP="007C3443">
      <w:pPr>
        <w:rPr>
          <w:sz w:val="20"/>
          <w:szCs w:val="20"/>
        </w:rPr>
      </w:pPr>
      <w:r w:rsidRPr="006A5892">
        <w:rPr>
          <w:sz w:val="20"/>
          <w:szCs w:val="20"/>
        </w:rPr>
        <w:t>The results of this study are calculated using pre-defined impact category indicators for wider environmental impact. Health impacts are measured in the disability adjusted life year (years lost to healthy activities and early death). Ecosystem quality is measured in the potential % of species disappearing due to ecosystem quality deterioration. Resource scarcity is measured in monetary terms, and considers the additional costs associated with fossil fuel and mineral extraction due to the exhaustion of these non-renewable resources. The results are expressed below in relative terms (with the case study with highest impact category score indexed at 100%) as there is significant variability in the absolute quantity of impact scores (</w:t>
      </w:r>
      <w:r w:rsidRPr="00B2663D">
        <w:rPr>
          <w:sz w:val="20"/>
          <w:szCs w:val="20"/>
        </w:rPr>
        <w:fldChar w:fldCharType="begin"/>
      </w:r>
      <w:r w:rsidRPr="00B2663D">
        <w:rPr>
          <w:sz w:val="20"/>
          <w:szCs w:val="20"/>
        </w:rPr>
        <w:instrText xml:space="preserve"> REF _Ref227063926 \h </w:instrText>
      </w:r>
      <w:r w:rsidR="00B2663D">
        <w:rPr>
          <w:sz w:val="20"/>
          <w:szCs w:val="20"/>
        </w:rPr>
        <w:instrText xml:space="preserve"> \* MERGEFORMAT </w:instrText>
      </w:r>
      <w:r w:rsidRPr="00B2663D">
        <w:rPr>
          <w:sz w:val="20"/>
          <w:szCs w:val="20"/>
        </w:rPr>
      </w:r>
      <w:r w:rsidRPr="00B2663D">
        <w:rPr>
          <w:sz w:val="20"/>
          <w:szCs w:val="20"/>
        </w:rPr>
        <w:fldChar w:fldCharType="separate"/>
      </w:r>
      <w:r w:rsidRPr="001F42F7">
        <w:rPr>
          <w:sz w:val="20"/>
          <w:szCs w:val="20"/>
        </w:rPr>
        <w:t>Table 5</w:t>
      </w:r>
      <w:r w:rsidRPr="001F42F7">
        <w:rPr>
          <w:sz w:val="20"/>
          <w:szCs w:val="20"/>
        </w:rPr>
        <w:noBreakHyphen/>
        <w:t>6</w:t>
      </w:r>
      <w:r w:rsidRPr="00B2663D">
        <w:rPr>
          <w:sz w:val="20"/>
          <w:szCs w:val="20"/>
        </w:rPr>
        <w:fldChar w:fldCharType="end"/>
      </w:r>
      <w:r w:rsidRPr="006A5892">
        <w:rPr>
          <w:sz w:val="20"/>
          <w:szCs w:val="20"/>
        </w:rPr>
        <w:t>). See the full table in the appendices for absolute results.</w:t>
      </w:r>
    </w:p>
    <w:p w14:paraId="63C03DF2" w14:textId="77777777" w:rsidR="001F42F7" w:rsidRDefault="001F42F7" w:rsidP="007C3443">
      <w:pPr>
        <w:rPr>
          <w:sz w:val="20"/>
          <w:szCs w:val="20"/>
        </w:rPr>
      </w:pPr>
    </w:p>
    <w:p w14:paraId="0B338A2A" w14:textId="77777777" w:rsidR="001F42F7" w:rsidRDefault="001F42F7" w:rsidP="007C3443">
      <w:pPr>
        <w:rPr>
          <w:sz w:val="20"/>
          <w:szCs w:val="20"/>
        </w:rPr>
      </w:pPr>
    </w:p>
    <w:p w14:paraId="1172DA18" w14:textId="77777777" w:rsidR="001F42F7" w:rsidRDefault="001F42F7" w:rsidP="007C3443">
      <w:pPr>
        <w:rPr>
          <w:sz w:val="20"/>
          <w:szCs w:val="20"/>
        </w:rPr>
      </w:pPr>
    </w:p>
    <w:p w14:paraId="7E0E255A" w14:textId="77777777" w:rsidR="001F42F7" w:rsidRDefault="001F42F7" w:rsidP="007C3443">
      <w:pPr>
        <w:rPr>
          <w:sz w:val="20"/>
          <w:szCs w:val="20"/>
        </w:rPr>
      </w:pPr>
    </w:p>
    <w:p w14:paraId="66F5EA0F" w14:textId="77777777" w:rsidR="001F42F7" w:rsidRDefault="001F42F7" w:rsidP="007C3443">
      <w:pPr>
        <w:rPr>
          <w:sz w:val="20"/>
          <w:szCs w:val="20"/>
        </w:rPr>
      </w:pPr>
    </w:p>
    <w:p w14:paraId="2BAD0EB0" w14:textId="77777777" w:rsidR="001F42F7" w:rsidRPr="006A5892" w:rsidRDefault="001F42F7" w:rsidP="007C3443">
      <w:pPr>
        <w:rPr>
          <w:sz w:val="20"/>
          <w:szCs w:val="20"/>
        </w:rPr>
      </w:pPr>
    </w:p>
    <w:p w14:paraId="5BB3874E" w14:textId="77777777" w:rsidR="007C3443" w:rsidRPr="006A5892" w:rsidRDefault="007C3443" w:rsidP="007C3443"/>
    <w:p w14:paraId="115AA942" w14:textId="2FBAB84E" w:rsidR="007C3443" w:rsidRPr="00B82559" w:rsidRDefault="007C3443" w:rsidP="007C3443">
      <w:pPr>
        <w:pStyle w:val="Caption"/>
        <w:keepNext/>
      </w:pPr>
      <w:bookmarkStart w:id="177" w:name="_Ref227063926"/>
      <w:bookmarkStart w:id="178" w:name="_Toc228701091"/>
      <w:r w:rsidRPr="006A5892">
        <w:lastRenderedPageBreak/>
        <w:t xml:space="preserve">Table </w:t>
      </w:r>
      <w:fldSimple w:instr=" STYLEREF 1 \s ">
        <w:r w:rsidR="006C1C4E">
          <w:rPr>
            <w:noProof/>
          </w:rPr>
          <w:t>5</w:t>
        </w:r>
      </w:fldSimple>
      <w:r w:rsidR="006C1C4E">
        <w:noBreakHyphen/>
      </w:r>
      <w:fldSimple w:instr=" SEQ Table \* ARABIC \s 1 ">
        <w:r w:rsidR="006C1C4E">
          <w:rPr>
            <w:noProof/>
          </w:rPr>
          <w:t>6</w:t>
        </w:r>
      </w:fldSimple>
      <w:bookmarkEnd w:id="177"/>
      <w:r w:rsidRPr="006A5892">
        <w:t xml:space="preserve"> HEALTH, ECOSYSTEM AND RESOURCE USE IMPACTS PER DRY COCOA KG AT PORT AS CALCULATED USING RECIPE 2016 ENDPOINT € V1.11 / WORLD (2010) E/A</w:t>
      </w:r>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15"/>
        <w:gridCol w:w="1248"/>
        <w:gridCol w:w="1289"/>
        <w:gridCol w:w="893"/>
        <w:gridCol w:w="957"/>
        <w:gridCol w:w="952"/>
        <w:gridCol w:w="1874"/>
      </w:tblGrid>
      <w:tr w:rsidR="007C3443" w:rsidRPr="006A5892" w14:paraId="21CEAA54" w14:textId="77777777" w:rsidTr="0089347F">
        <w:trPr>
          <w:trHeight w:val="290"/>
        </w:trPr>
        <w:tc>
          <w:tcPr>
            <w:tcW w:w="548" w:type="pct"/>
            <w:noWrap/>
            <w:vAlign w:val="bottom"/>
            <w:hideMark/>
          </w:tcPr>
          <w:p w14:paraId="5E1C0E5C" w14:textId="77777777" w:rsidR="007C3443" w:rsidRPr="00B003E9" w:rsidRDefault="007C3443" w:rsidP="0089347F">
            <w:pPr>
              <w:jc w:val="center"/>
              <w:rPr>
                <w:rFonts w:eastAsia="Times New Roman" w:cs="Open Sans"/>
                <w:color w:val="000000"/>
                <w:lang w:eastAsia="en-GB"/>
              </w:rPr>
            </w:pPr>
          </w:p>
        </w:tc>
        <w:tc>
          <w:tcPr>
            <w:tcW w:w="452" w:type="pct"/>
            <w:noWrap/>
            <w:vAlign w:val="bottom"/>
            <w:hideMark/>
          </w:tcPr>
          <w:p w14:paraId="755FC0E7" w14:textId="77777777" w:rsidR="007C3443" w:rsidRPr="00B003E9" w:rsidRDefault="007C3443" w:rsidP="0089347F">
            <w:pPr>
              <w:rPr>
                <w:rFonts w:eastAsia="Times New Roman" w:cs="Open Sans"/>
                <w:szCs w:val="18"/>
                <w:lang w:eastAsia="en-GB"/>
              </w:rPr>
            </w:pPr>
          </w:p>
        </w:tc>
        <w:tc>
          <w:tcPr>
            <w:tcW w:w="4000" w:type="pct"/>
            <w:gridSpan w:val="6"/>
            <w:noWrap/>
            <w:vAlign w:val="bottom"/>
            <w:hideMark/>
          </w:tcPr>
          <w:p w14:paraId="757843D1" w14:textId="77777777" w:rsidR="007C3443" w:rsidRPr="00B003E9" w:rsidRDefault="007C3443" w:rsidP="0089347F">
            <w:pPr>
              <w:jc w:val="center"/>
              <w:rPr>
                <w:rFonts w:eastAsia="Times New Roman" w:cs="Open Sans"/>
                <w:b/>
                <w:bCs/>
                <w:sz w:val="20"/>
                <w:szCs w:val="20"/>
                <w:lang w:eastAsia="en-GB"/>
              </w:rPr>
            </w:pPr>
            <w:r w:rsidRPr="00B003E9">
              <w:rPr>
                <w:rFonts w:eastAsia="Times New Roman" w:cs="Open Sans"/>
                <w:b/>
                <w:bCs/>
                <w:color w:val="000000"/>
                <w:lang w:eastAsia="en-GB"/>
              </w:rPr>
              <w:t>Relative Impact in % of the case study with highest score</w:t>
            </w:r>
          </w:p>
        </w:tc>
      </w:tr>
      <w:tr w:rsidR="007C3443" w:rsidRPr="006A5892" w14:paraId="2C0E03DE" w14:textId="77777777" w:rsidTr="0089347F">
        <w:trPr>
          <w:trHeight w:val="290"/>
        </w:trPr>
        <w:tc>
          <w:tcPr>
            <w:tcW w:w="548" w:type="pct"/>
            <w:noWrap/>
            <w:vAlign w:val="bottom"/>
            <w:hideMark/>
          </w:tcPr>
          <w:p w14:paraId="106926AB" w14:textId="77777777" w:rsidR="007C3443" w:rsidRPr="00B003E9" w:rsidRDefault="007C3443" w:rsidP="0089347F">
            <w:pPr>
              <w:jc w:val="center"/>
              <w:rPr>
                <w:rFonts w:eastAsia="Times New Roman" w:cs="Open Sans"/>
                <w:sz w:val="20"/>
                <w:szCs w:val="20"/>
                <w:lang w:eastAsia="en-GB"/>
              </w:rPr>
            </w:pPr>
          </w:p>
        </w:tc>
        <w:tc>
          <w:tcPr>
            <w:tcW w:w="452" w:type="pct"/>
            <w:noWrap/>
            <w:hideMark/>
          </w:tcPr>
          <w:p w14:paraId="2CFD32E8" w14:textId="77777777" w:rsidR="007C3443" w:rsidRPr="00B003E9" w:rsidRDefault="007C3443" w:rsidP="0089347F">
            <w:pPr>
              <w:rPr>
                <w:rFonts w:eastAsia="Times New Roman" w:cs="Open Sans"/>
                <w:szCs w:val="18"/>
                <w:lang w:eastAsia="en-GB"/>
              </w:rPr>
            </w:pPr>
          </w:p>
        </w:tc>
        <w:tc>
          <w:tcPr>
            <w:tcW w:w="692" w:type="pct"/>
            <w:noWrap/>
          </w:tcPr>
          <w:p w14:paraId="0896BE62" w14:textId="77777777" w:rsidR="007C3443" w:rsidRPr="00B003E9" w:rsidRDefault="007C3443" w:rsidP="0089347F">
            <w:pPr>
              <w:jc w:val="center"/>
              <w:rPr>
                <w:rFonts w:eastAsia="Times New Roman" w:cs="Open Sans"/>
                <w:color w:val="000000"/>
                <w:lang w:eastAsia="en-GB"/>
              </w:rPr>
            </w:pPr>
            <w:r w:rsidRPr="006A5892">
              <w:rPr>
                <w:rFonts w:cs="Open Sans"/>
                <w:b/>
                <w:bCs/>
                <w:sz w:val="16"/>
                <w:szCs w:val="16"/>
              </w:rPr>
              <w:t>Elderly Smallholder</w:t>
            </w:r>
          </w:p>
        </w:tc>
        <w:tc>
          <w:tcPr>
            <w:tcW w:w="715" w:type="pct"/>
            <w:noWrap/>
          </w:tcPr>
          <w:p w14:paraId="1A126FC0" w14:textId="77777777" w:rsidR="007C3443" w:rsidRPr="00B003E9" w:rsidRDefault="007C3443" w:rsidP="0089347F">
            <w:pPr>
              <w:jc w:val="center"/>
              <w:rPr>
                <w:rFonts w:eastAsia="Times New Roman" w:cs="Open Sans"/>
                <w:color w:val="000000"/>
                <w:lang w:eastAsia="en-GB"/>
              </w:rPr>
            </w:pPr>
            <w:r w:rsidRPr="006A5892">
              <w:rPr>
                <w:rFonts w:cs="Open Sans"/>
                <w:b/>
                <w:bCs/>
                <w:sz w:val="16"/>
                <w:szCs w:val="16"/>
              </w:rPr>
              <w:t>Young Smallholder</w:t>
            </w:r>
          </w:p>
        </w:tc>
        <w:tc>
          <w:tcPr>
            <w:tcW w:w="1554" w:type="pct"/>
            <w:gridSpan w:val="3"/>
            <w:noWrap/>
          </w:tcPr>
          <w:p w14:paraId="5055CA6D" w14:textId="77777777" w:rsidR="007C3443" w:rsidRPr="006A5892" w:rsidRDefault="007C3443" w:rsidP="0089347F">
            <w:pPr>
              <w:jc w:val="center"/>
              <w:rPr>
                <w:rFonts w:cs="Open Sans"/>
                <w:b/>
                <w:bCs/>
                <w:sz w:val="16"/>
                <w:szCs w:val="16"/>
              </w:rPr>
            </w:pPr>
            <w:r w:rsidRPr="006A5892">
              <w:rPr>
                <w:rFonts w:cs="Open Sans"/>
                <w:b/>
                <w:bCs/>
                <w:sz w:val="16"/>
                <w:szCs w:val="16"/>
              </w:rPr>
              <w:t>Early Mature Medium Sized small holder</w:t>
            </w:r>
          </w:p>
          <w:p w14:paraId="0643A1D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b/>
                <w:bCs/>
                <w:color w:val="000000"/>
                <w:sz w:val="16"/>
                <w:szCs w:val="16"/>
                <w:lang w:eastAsia="en-GB"/>
              </w:rPr>
              <w:t>1                   2                        3</w:t>
            </w:r>
          </w:p>
        </w:tc>
        <w:tc>
          <w:tcPr>
            <w:tcW w:w="1039" w:type="pct"/>
            <w:noWrap/>
          </w:tcPr>
          <w:p w14:paraId="6BA4CB09" w14:textId="77777777" w:rsidR="007C3443" w:rsidRPr="00B003E9" w:rsidRDefault="007C3443" w:rsidP="0089347F">
            <w:pPr>
              <w:jc w:val="center"/>
              <w:rPr>
                <w:rFonts w:eastAsia="Times New Roman" w:cs="Open Sans"/>
                <w:color w:val="000000"/>
                <w:lang w:eastAsia="en-GB"/>
              </w:rPr>
            </w:pPr>
            <w:r w:rsidRPr="006A5892">
              <w:rPr>
                <w:rFonts w:cs="Open Sans"/>
                <w:b/>
                <w:bCs/>
                <w:sz w:val="16"/>
                <w:szCs w:val="16"/>
              </w:rPr>
              <w:t>Late Mature Medium Sized small holder</w:t>
            </w:r>
          </w:p>
        </w:tc>
      </w:tr>
      <w:tr w:rsidR="007C3443" w:rsidRPr="006A5892" w14:paraId="2048EA2E" w14:textId="77777777" w:rsidTr="0089347F">
        <w:trPr>
          <w:trHeight w:val="290"/>
        </w:trPr>
        <w:tc>
          <w:tcPr>
            <w:tcW w:w="1000" w:type="pct"/>
            <w:gridSpan w:val="2"/>
            <w:noWrap/>
            <w:vAlign w:val="bottom"/>
          </w:tcPr>
          <w:p w14:paraId="30B72F32" w14:textId="77777777" w:rsidR="007C3443" w:rsidRPr="006A5892" w:rsidRDefault="007C3443" w:rsidP="0089347F">
            <w:pPr>
              <w:jc w:val="center"/>
              <w:rPr>
                <w:rFonts w:eastAsia="Times New Roman" w:cs="Open Sans"/>
                <w:szCs w:val="18"/>
                <w:lang w:eastAsia="en-GB"/>
              </w:rPr>
            </w:pPr>
            <w:r w:rsidRPr="006A5892">
              <w:rPr>
                <w:rFonts w:eastAsia="Times New Roman" w:cs="Open Sans"/>
                <w:szCs w:val="18"/>
                <w:lang w:eastAsia="en-GB"/>
              </w:rPr>
              <w:t>Previous Land</w:t>
            </w:r>
          </w:p>
        </w:tc>
        <w:tc>
          <w:tcPr>
            <w:tcW w:w="692" w:type="pct"/>
            <w:noWrap/>
          </w:tcPr>
          <w:p w14:paraId="7E9A58F1" w14:textId="77777777" w:rsidR="007C3443" w:rsidRPr="006A5892" w:rsidRDefault="007C3443" w:rsidP="0089347F">
            <w:pPr>
              <w:jc w:val="center"/>
              <w:rPr>
                <w:rFonts w:eastAsia="Times New Roman" w:cs="Open Sans"/>
                <w:color w:val="000000"/>
                <w:lang w:eastAsia="en-GB"/>
              </w:rPr>
            </w:pPr>
            <w:r w:rsidRPr="006A5892">
              <w:rPr>
                <w:rFonts w:ascii="Aptos Narrow" w:eastAsia="Times New Roman" w:hAnsi="Aptos Narrow" w:cs="Times New Roman"/>
                <w:color w:val="000000"/>
                <w:lang w:eastAsia="en-GB"/>
              </w:rPr>
              <w:t>NA</w:t>
            </w:r>
          </w:p>
        </w:tc>
        <w:tc>
          <w:tcPr>
            <w:tcW w:w="715" w:type="pct"/>
            <w:noWrap/>
          </w:tcPr>
          <w:p w14:paraId="02531635" w14:textId="77777777" w:rsidR="007C3443" w:rsidRPr="006A5892" w:rsidRDefault="007C3443" w:rsidP="0089347F">
            <w:pPr>
              <w:jc w:val="center"/>
              <w:rPr>
                <w:rFonts w:eastAsia="Times New Roman" w:cs="Open Sans"/>
                <w:color w:val="000000"/>
                <w:lang w:eastAsia="en-GB"/>
              </w:rPr>
            </w:pPr>
            <w:r w:rsidRPr="006A5892">
              <w:rPr>
                <w:rFonts w:ascii="Aptos" w:hAnsi="Aptos"/>
                <w:szCs w:val="18"/>
              </w:rPr>
              <w:t>Bush land</w:t>
            </w:r>
          </w:p>
        </w:tc>
        <w:tc>
          <w:tcPr>
            <w:tcW w:w="495" w:type="pct"/>
            <w:noWrap/>
          </w:tcPr>
          <w:p w14:paraId="48879E15" w14:textId="77777777" w:rsidR="007C3443" w:rsidRPr="006A5892" w:rsidRDefault="007C3443" w:rsidP="0089347F">
            <w:pPr>
              <w:jc w:val="center"/>
              <w:rPr>
                <w:rFonts w:eastAsia="Times New Roman" w:cs="Open Sans"/>
                <w:color w:val="000000"/>
                <w:lang w:eastAsia="en-GB"/>
              </w:rPr>
            </w:pPr>
            <w:r w:rsidRPr="006A5892">
              <w:rPr>
                <w:rFonts w:ascii="Aptos Narrow" w:eastAsia="Times New Roman" w:hAnsi="Aptos Narrow" w:cs="Times New Roman"/>
                <w:color w:val="000000"/>
                <w:lang w:eastAsia="en-GB"/>
              </w:rPr>
              <w:t>Forest</w:t>
            </w:r>
          </w:p>
        </w:tc>
        <w:tc>
          <w:tcPr>
            <w:tcW w:w="531" w:type="pct"/>
            <w:noWrap/>
          </w:tcPr>
          <w:p w14:paraId="15C879A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 xml:space="preserve">Wooded </w:t>
            </w:r>
          </w:p>
          <w:p w14:paraId="46EED27B" w14:textId="77777777" w:rsidR="007C3443" w:rsidRPr="006A5892" w:rsidRDefault="007C3443" w:rsidP="0089347F">
            <w:pPr>
              <w:jc w:val="center"/>
              <w:rPr>
                <w:rFonts w:eastAsia="Times New Roman" w:cs="Open Sans"/>
                <w:color w:val="000000"/>
                <w:lang w:eastAsia="en-GB"/>
              </w:rPr>
            </w:pPr>
            <w:r w:rsidRPr="006A5892">
              <w:rPr>
                <w:rFonts w:ascii="Aptos Narrow" w:eastAsia="Times New Roman" w:hAnsi="Aptos Narrow" w:cs="Times New Roman"/>
                <w:color w:val="000000"/>
                <w:lang w:eastAsia="en-GB"/>
              </w:rPr>
              <w:t>Grassland</w:t>
            </w:r>
          </w:p>
        </w:tc>
        <w:tc>
          <w:tcPr>
            <w:tcW w:w="528" w:type="pct"/>
            <w:noWrap/>
          </w:tcPr>
          <w:p w14:paraId="530D8CFA" w14:textId="77777777" w:rsidR="007C3443" w:rsidRPr="006A5892" w:rsidRDefault="007C3443" w:rsidP="0089347F">
            <w:pPr>
              <w:jc w:val="center"/>
              <w:rPr>
                <w:rFonts w:eastAsia="Times New Roman" w:cs="Open Sans"/>
                <w:color w:val="000000"/>
                <w:lang w:eastAsia="en-GB"/>
              </w:rPr>
            </w:pPr>
            <w:r w:rsidRPr="006A5892">
              <w:rPr>
                <w:rFonts w:ascii="Aptos Narrow" w:eastAsia="Times New Roman" w:hAnsi="Aptos Narrow" w:cs="Times New Roman"/>
                <w:color w:val="000000"/>
                <w:lang w:eastAsia="en-GB"/>
              </w:rPr>
              <w:t>NA</w:t>
            </w:r>
          </w:p>
        </w:tc>
        <w:tc>
          <w:tcPr>
            <w:tcW w:w="1039" w:type="pct"/>
            <w:noWrap/>
          </w:tcPr>
          <w:p w14:paraId="49E639EC" w14:textId="77777777" w:rsidR="007C3443" w:rsidRPr="006A5892" w:rsidRDefault="007C3443" w:rsidP="0089347F">
            <w:pPr>
              <w:jc w:val="center"/>
              <w:rPr>
                <w:rFonts w:eastAsia="Times New Roman" w:cs="Open Sans"/>
                <w:color w:val="000000"/>
                <w:lang w:eastAsia="en-GB"/>
              </w:rPr>
            </w:pPr>
            <w:r w:rsidRPr="006A5892">
              <w:rPr>
                <w:rFonts w:ascii="Aptos Narrow" w:eastAsia="Times New Roman" w:hAnsi="Aptos Narrow" w:cs="Times New Roman"/>
                <w:color w:val="000000"/>
                <w:lang w:eastAsia="en-GB"/>
              </w:rPr>
              <w:t>NA</w:t>
            </w:r>
          </w:p>
        </w:tc>
      </w:tr>
      <w:tr w:rsidR="007C3443" w:rsidRPr="006A5892" w14:paraId="4401DB58" w14:textId="77777777" w:rsidTr="0089347F">
        <w:trPr>
          <w:trHeight w:val="290"/>
        </w:trPr>
        <w:tc>
          <w:tcPr>
            <w:tcW w:w="1000" w:type="pct"/>
            <w:gridSpan w:val="2"/>
            <w:noWrap/>
            <w:vAlign w:val="bottom"/>
          </w:tcPr>
          <w:p w14:paraId="284C9937" w14:textId="77777777" w:rsidR="007C3443" w:rsidRPr="00B003E9" w:rsidRDefault="007C3443" w:rsidP="0089347F">
            <w:pPr>
              <w:jc w:val="center"/>
              <w:rPr>
                <w:rFonts w:eastAsia="Times New Roman" w:cs="Open Sans"/>
                <w:szCs w:val="18"/>
                <w:lang w:eastAsia="en-GB"/>
              </w:rPr>
            </w:pPr>
          </w:p>
        </w:tc>
        <w:tc>
          <w:tcPr>
            <w:tcW w:w="692" w:type="pct"/>
            <w:noWrap/>
            <w:vAlign w:val="bottom"/>
          </w:tcPr>
          <w:p w14:paraId="1D9E96C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CS1</w:t>
            </w:r>
          </w:p>
        </w:tc>
        <w:tc>
          <w:tcPr>
            <w:tcW w:w="715" w:type="pct"/>
            <w:noWrap/>
            <w:vAlign w:val="bottom"/>
          </w:tcPr>
          <w:p w14:paraId="680BABF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CS2</w:t>
            </w:r>
          </w:p>
        </w:tc>
        <w:tc>
          <w:tcPr>
            <w:tcW w:w="495" w:type="pct"/>
            <w:noWrap/>
            <w:vAlign w:val="bottom"/>
          </w:tcPr>
          <w:p w14:paraId="22D1ABE7"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CS3.1</w:t>
            </w:r>
          </w:p>
        </w:tc>
        <w:tc>
          <w:tcPr>
            <w:tcW w:w="531" w:type="pct"/>
            <w:noWrap/>
            <w:vAlign w:val="bottom"/>
          </w:tcPr>
          <w:p w14:paraId="60BC9016"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CS3.2</w:t>
            </w:r>
          </w:p>
        </w:tc>
        <w:tc>
          <w:tcPr>
            <w:tcW w:w="528" w:type="pct"/>
            <w:noWrap/>
            <w:vAlign w:val="bottom"/>
          </w:tcPr>
          <w:p w14:paraId="3CF08DA9"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CS3.3</w:t>
            </w:r>
          </w:p>
        </w:tc>
        <w:tc>
          <w:tcPr>
            <w:tcW w:w="1039" w:type="pct"/>
            <w:noWrap/>
            <w:vAlign w:val="bottom"/>
          </w:tcPr>
          <w:p w14:paraId="737754EC"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CS4</w:t>
            </w:r>
          </w:p>
        </w:tc>
      </w:tr>
      <w:tr w:rsidR="007C3443" w:rsidRPr="006A5892" w14:paraId="27B505BC" w14:textId="77777777" w:rsidTr="0089347F">
        <w:trPr>
          <w:trHeight w:val="290"/>
        </w:trPr>
        <w:tc>
          <w:tcPr>
            <w:tcW w:w="1000" w:type="pct"/>
            <w:gridSpan w:val="2"/>
            <w:noWrap/>
            <w:vAlign w:val="bottom"/>
            <w:hideMark/>
          </w:tcPr>
          <w:p w14:paraId="16489151" w14:textId="77777777" w:rsidR="007C3443" w:rsidRPr="006A5892" w:rsidRDefault="007C3443" w:rsidP="0089347F">
            <w:pPr>
              <w:jc w:val="center"/>
              <w:rPr>
                <w:rFonts w:eastAsia="Times New Roman" w:cs="Open Sans"/>
                <w:color w:val="000000"/>
                <w:lang w:eastAsia="en-GB"/>
              </w:rPr>
            </w:pPr>
            <w:r w:rsidRPr="00B003E9">
              <w:rPr>
                <w:rFonts w:eastAsia="Times New Roman" w:cs="Open Sans"/>
                <w:color w:val="000000"/>
                <w:lang w:eastAsia="en-GB"/>
              </w:rPr>
              <w:t>Human health</w:t>
            </w:r>
          </w:p>
          <w:p w14:paraId="78FB9BCD" w14:textId="77777777" w:rsidR="007C3443" w:rsidRPr="00B003E9" w:rsidRDefault="007C3443" w:rsidP="0089347F">
            <w:pPr>
              <w:jc w:val="center"/>
              <w:rPr>
                <w:rFonts w:eastAsia="Times New Roman" w:cs="Open Sans"/>
                <w:color w:val="000000"/>
                <w:sz w:val="16"/>
                <w:szCs w:val="16"/>
                <w:lang w:eastAsia="en-GB"/>
              </w:rPr>
            </w:pPr>
          </w:p>
        </w:tc>
        <w:tc>
          <w:tcPr>
            <w:tcW w:w="692" w:type="pct"/>
            <w:shd w:val="clear" w:color="000000" w:fill="63BE7B"/>
            <w:noWrap/>
            <w:vAlign w:val="bottom"/>
            <w:hideMark/>
          </w:tcPr>
          <w:p w14:paraId="6794FD55"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0.10%</w:t>
            </w:r>
          </w:p>
        </w:tc>
        <w:tc>
          <w:tcPr>
            <w:tcW w:w="715" w:type="pct"/>
            <w:shd w:val="clear" w:color="000000" w:fill="F8696B"/>
            <w:noWrap/>
            <w:vAlign w:val="bottom"/>
            <w:hideMark/>
          </w:tcPr>
          <w:p w14:paraId="59C79B71"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495" w:type="pct"/>
            <w:shd w:val="clear" w:color="000000" w:fill="FCA677"/>
            <w:noWrap/>
            <w:vAlign w:val="bottom"/>
            <w:hideMark/>
          </w:tcPr>
          <w:p w14:paraId="59A317AA"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62%</w:t>
            </w:r>
          </w:p>
        </w:tc>
        <w:tc>
          <w:tcPr>
            <w:tcW w:w="531" w:type="pct"/>
            <w:shd w:val="clear" w:color="000000" w:fill="FED280"/>
            <w:noWrap/>
            <w:vAlign w:val="bottom"/>
            <w:hideMark/>
          </w:tcPr>
          <w:p w14:paraId="60CFB7E3"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33%</w:t>
            </w:r>
          </w:p>
        </w:tc>
        <w:tc>
          <w:tcPr>
            <w:tcW w:w="528" w:type="pct"/>
            <w:shd w:val="clear" w:color="000000" w:fill="6CC07B"/>
            <w:noWrap/>
            <w:vAlign w:val="bottom"/>
            <w:hideMark/>
          </w:tcPr>
          <w:p w14:paraId="1BCE6538"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w:t>
            </w:r>
          </w:p>
        </w:tc>
        <w:tc>
          <w:tcPr>
            <w:tcW w:w="1039" w:type="pct"/>
            <w:shd w:val="clear" w:color="000000" w:fill="6CC07B"/>
            <w:noWrap/>
            <w:vAlign w:val="bottom"/>
            <w:hideMark/>
          </w:tcPr>
          <w:p w14:paraId="580DE272"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w:t>
            </w:r>
          </w:p>
        </w:tc>
      </w:tr>
      <w:tr w:rsidR="007C3443" w:rsidRPr="006A5892" w14:paraId="40D77235" w14:textId="77777777" w:rsidTr="0089347F">
        <w:trPr>
          <w:trHeight w:val="290"/>
        </w:trPr>
        <w:tc>
          <w:tcPr>
            <w:tcW w:w="1000" w:type="pct"/>
            <w:gridSpan w:val="2"/>
            <w:noWrap/>
            <w:vAlign w:val="bottom"/>
            <w:hideMark/>
          </w:tcPr>
          <w:p w14:paraId="66A9BA5D" w14:textId="77777777" w:rsidR="007C3443" w:rsidRPr="00B003E9" w:rsidRDefault="007C3443" w:rsidP="0089347F">
            <w:pPr>
              <w:jc w:val="center"/>
              <w:rPr>
                <w:rFonts w:eastAsia="Times New Roman" w:cs="Open Sans"/>
                <w:color w:val="000000"/>
                <w:szCs w:val="18"/>
                <w:lang w:eastAsia="en-GB"/>
              </w:rPr>
            </w:pPr>
            <w:r w:rsidRPr="00B003E9">
              <w:rPr>
                <w:rFonts w:eastAsia="Times New Roman" w:cs="Open Sans"/>
                <w:color w:val="000000"/>
                <w:szCs w:val="18"/>
                <w:lang w:eastAsia="en-GB"/>
              </w:rPr>
              <w:t>Ecosystem</w:t>
            </w:r>
          </w:p>
          <w:p w14:paraId="185F5D0D" w14:textId="77777777" w:rsidR="007C3443" w:rsidRPr="00B003E9" w:rsidRDefault="007C3443" w:rsidP="0089347F">
            <w:pPr>
              <w:jc w:val="center"/>
              <w:rPr>
                <w:rFonts w:eastAsia="Times New Roman" w:cs="Open Sans"/>
                <w:color w:val="000000"/>
                <w:szCs w:val="18"/>
                <w:lang w:eastAsia="en-GB"/>
              </w:rPr>
            </w:pPr>
            <w:r w:rsidRPr="00B003E9">
              <w:rPr>
                <w:rFonts w:eastAsia="Times New Roman" w:cs="Open Sans"/>
                <w:color w:val="000000"/>
                <w:szCs w:val="18"/>
                <w:lang w:eastAsia="en-GB"/>
              </w:rPr>
              <w:t>Quality</w:t>
            </w:r>
          </w:p>
          <w:p w14:paraId="1D817858" w14:textId="77777777" w:rsidR="007C3443" w:rsidRPr="00B003E9" w:rsidRDefault="007C3443" w:rsidP="0089347F">
            <w:pPr>
              <w:jc w:val="center"/>
              <w:rPr>
                <w:rFonts w:eastAsia="Times New Roman" w:cs="Open Sans"/>
                <w:color w:val="000000"/>
                <w:sz w:val="16"/>
                <w:szCs w:val="16"/>
                <w:lang w:eastAsia="en-GB"/>
              </w:rPr>
            </w:pPr>
          </w:p>
        </w:tc>
        <w:tc>
          <w:tcPr>
            <w:tcW w:w="692" w:type="pct"/>
            <w:shd w:val="clear" w:color="000000" w:fill="63BE7B"/>
            <w:noWrap/>
            <w:vAlign w:val="bottom"/>
            <w:hideMark/>
          </w:tcPr>
          <w:p w14:paraId="0AF2796D"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0.06%</w:t>
            </w:r>
          </w:p>
        </w:tc>
        <w:tc>
          <w:tcPr>
            <w:tcW w:w="715" w:type="pct"/>
            <w:shd w:val="clear" w:color="000000" w:fill="F8696B"/>
            <w:noWrap/>
            <w:vAlign w:val="bottom"/>
            <w:hideMark/>
          </w:tcPr>
          <w:p w14:paraId="1328F995"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495" w:type="pct"/>
            <w:shd w:val="clear" w:color="000000" w:fill="FCA677"/>
            <w:noWrap/>
            <w:vAlign w:val="bottom"/>
            <w:hideMark/>
          </w:tcPr>
          <w:p w14:paraId="25FB7856"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61%</w:t>
            </w:r>
          </w:p>
        </w:tc>
        <w:tc>
          <w:tcPr>
            <w:tcW w:w="531" w:type="pct"/>
            <w:shd w:val="clear" w:color="000000" w:fill="FED280"/>
            <w:noWrap/>
            <w:vAlign w:val="bottom"/>
            <w:hideMark/>
          </w:tcPr>
          <w:p w14:paraId="3B443F5A"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33%</w:t>
            </w:r>
          </w:p>
        </w:tc>
        <w:tc>
          <w:tcPr>
            <w:tcW w:w="528" w:type="pct"/>
            <w:shd w:val="clear" w:color="000000" w:fill="65BE7B"/>
            <w:noWrap/>
            <w:vAlign w:val="bottom"/>
            <w:hideMark/>
          </w:tcPr>
          <w:p w14:paraId="443F3DCE"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0.38%</w:t>
            </w:r>
          </w:p>
        </w:tc>
        <w:tc>
          <w:tcPr>
            <w:tcW w:w="1039" w:type="pct"/>
            <w:shd w:val="clear" w:color="000000" w:fill="66BE7B"/>
            <w:noWrap/>
            <w:vAlign w:val="bottom"/>
            <w:hideMark/>
          </w:tcPr>
          <w:p w14:paraId="4932E712"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0.41%</w:t>
            </w:r>
          </w:p>
        </w:tc>
      </w:tr>
      <w:tr w:rsidR="007C3443" w:rsidRPr="006A5892" w14:paraId="6C23C8F9" w14:textId="77777777" w:rsidTr="0089347F">
        <w:trPr>
          <w:trHeight w:val="290"/>
        </w:trPr>
        <w:tc>
          <w:tcPr>
            <w:tcW w:w="1000" w:type="pct"/>
            <w:gridSpan w:val="2"/>
            <w:noWrap/>
            <w:vAlign w:val="bottom"/>
            <w:hideMark/>
          </w:tcPr>
          <w:p w14:paraId="24453ED6" w14:textId="77777777" w:rsidR="007C3443" w:rsidRPr="006A5892" w:rsidRDefault="007C3443" w:rsidP="0089347F">
            <w:pPr>
              <w:jc w:val="center"/>
              <w:rPr>
                <w:rFonts w:eastAsia="Times New Roman" w:cs="Open Sans"/>
                <w:color w:val="000000"/>
                <w:lang w:eastAsia="en-GB"/>
              </w:rPr>
            </w:pPr>
            <w:r w:rsidRPr="00B003E9">
              <w:rPr>
                <w:rFonts w:eastAsia="Times New Roman" w:cs="Open Sans"/>
                <w:color w:val="000000"/>
                <w:lang w:eastAsia="en-GB"/>
              </w:rPr>
              <w:t>Mineral resource scarcity</w:t>
            </w:r>
          </w:p>
          <w:p w14:paraId="0F885A95" w14:textId="77777777" w:rsidR="007C3443" w:rsidRPr="00B003E9" w:rsidRDefault="007C3443" w:rsidP="0089347F">
            <w:pPr>
              <w:jc w:val="center"/>
              <w:rPr>
                <w:rFonts w:eastAsia="Times New Roman" w:cs="Open Sans"/>
                <w:color w:val="000000"/>
                <w:sz w:val="16"/>
                <w:szCs w:val="16"/>
                <w:lang w:eastAsia="en-GB"/>
              </w:rPr>
            </w:pPr>
          </w:p>
        </w:tc>
        <w:tc>
          <w:tcPr>
            <w:tcW w:w="692" w:type="pct"/>
            <w:shd w:val="clear" w:color="000000" w:fill="63BE7B"/>
            <w:noWrap/>
            <w:vAlign w:val="bottom"/>
            <w:hideMark/>
          </w:tcPr>
          <w:p w14:paraId="7D07BA80"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4%</w:t>
            </w:r>
          </w:p>
        </w:tc>
        <w:tc>
          <w:tcPr>
            <w:tcW w:w="715" w:type="pct"/>
            <w:shd w:val="clear" w:color="000000" w:fill="63BE7B"/>
            <w:noWrap/>
            <w:vAlign w:val="bottom"/>
            <w:hideMark/>
          </w:tcPr>
          <w:p w14:paraId="2C8ABF6E"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40%</w:t>
            </w:r>
          </w:p>
        </w:tc>
        <w:tc>
          <w:tcPr>
            <w:tcW w:w="495" w:type="pct"/>
            <w:shd w:val="clear" w:color="000000" w:fill="9ECF7E"/>
            <w:noWrap/>
            <w:vAlign w:val="bottom"/>
            <w:hideMark/>
          </w:tcPr>
          <w:p w14:paraId="61DEAD69"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531" w:type="pct"/>
            <w:shd w:val="clear" w:color="000000" w:fill="F8696B"/>
            <w:noWrap/>
            <w:vAlign w:val="bottom"/>
            <w:hideMark/>
          </w:tcPr>
          <w:p w14:paraId="36AF75CE"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528" w:type="pct"/>
            <w:shd w:val="clear" w:color="000000" w:fill="F8696B"/>
            <w:noWrap/>
            <w:vAlign w:val="bottom"/>
            <w:hideMark/>
          </w:tcPr>
          <w:p w14:paraId="04471F74"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1039" w:type="pct"/>
            <w:shd w:val="clear" w:color="000000" w:fill="F8696B"/>
            <w:noWrap/>
            <w:vAlign w:val="bottom"/>
            <w:hideMark/>
          </w:tcPr>
          <w:p w14:paraId="378E60C9"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r>
      <w:tr w:rsidR="007C3443" w:rsidRPr="006A5892" w14:paraId="0E88A8B2" w14:textId="77777777" w:rsidTr="0089347F">
        <w:trPr>
          <w:trHeight w:val="290"/>
        </w:trPr>
        <w:tc>
          <w:tcPr>
            <w:tcW w:w="1000" w:type="pct"/>
            <w:gridSpan w:val="2"/>
            <w:noWrap/>
            <w:vAlign w:val="bottom"/>
            <w:hideMark/>
          </w:tcPr>
          <w:p w14:paraId="33E1DD03" w14:textId="77777777" w:rsidR="007C3443" w:rsidRPr="00B003E9" w:rsidRDefault="007C3443" w:rsidP="0089347F">
            <w:pPr>
              <w:jc w:val="center"/>
              <w:rPr>
                <w:rFonts w:eastAsia="Times New Roman" w:cs="Open Sans"/>
                <w:color w:val="000000"/>
                <w:szCs w:val="18"/>
                <w:lang w:eastAsia="en-GB"/>
              </w:rPr>
            </w:pPr>
            <w:r w:rsidRPr="00B003E9">
              <w:rPr>
                <w:rFonts w:eastAsia="Times New Roman" w:cs="Open Sans"/>
                <w:color w:val="000000"/>
                <w:lang w:eastAsia="en-GB"/>
              </w:rPr>
              <w:t>Fossil resource scarcity</w:t>
            </w:r>
          </w:p>
        </w:tc>
        <w:tc>
          <w:tcPr>
            <w:tcW w:w="692" w:type="pct"/>
            <w:shd w:val="clear" w:color="000000" w:fill="63BE7B"/>
            <w:noWrap/>
            <w:vAlign w:val="bottom"/>
            <w:hideMark/>
          </w:tcPr>
          <w:p w14:paraId="7AE88CEF"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72%</w:t>
            </w:r>
          </w:p>
        </w:tc>
        <w:tc>
          <w:tcPr>
            <w:tcW w:w="715" w:type="pct"/>
            <w:shd w:val="clear" w:color="000000" w:fill="63BE7B"/>
            <w:noWrap/>
            <w:vAlign w:val="bottom"/>
            <w:hideMark/>
          </w:tcPr>
          <w:p w14:paraId="4673ACA7"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94%</w:t>
            </w:r>
          </w:p>
        </w:tc>
        <w:tc>
          <w:tcPr>
            <w:tcW w:w="495" w:type="pct"/>
            <w:shd w:val="clear" w:color="000000" w:fill="E8E482"/>
            <w:noWrap/>
            <w:vAlign w:val="bottom"/>
            <w:hideMark/>
          </w:tcPr>
          <w:p w14:paraId="5EB35802"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531" w:type="pct"/>
            <w:shd w:val="clear" w:color="000000" w:fill="F8696B"/>
            <w:noWrap/>
            <w:vAlign w:val="bottom"/>
            <w:hideMark/>
          </w:tcPr>
          <w:p w14:paraId="214440A9"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528" w:type="pct"/>
            <w:shd w:val="clear" w:color="000000" w:fill="F8696B"/>
            <w:noWrap/>
            <w:vAlign w:val="bottom"/>
            <w:hideMark/>
          </w:tcPr>
          <w:p w14:paraId="52715781" w14:textId="77777777" w:rsidR="007C3443" w:rsidRPr="00B003E9" w:rsidRDefault="007C3443" w:rsidP="0089347F">
            <w:pPr>
              <w:jc w:val="center"/>
              <w:rPr>
                <w:rFonts w:eastAsia="Times New Roman" w:cs="Open Sans"/>
                <w:b/>
                <w:bCs/>
                <w:color w:val="000000"/>
                <w:lang w:eastAsia="en-GB"/>
              </w:rPr>
            </w:pPr>
            <w:r w:rsidRPr="00B003E9">
              <w:rPr>
                <w:rFonts w:eastAsia="Times New Roman" w:cs="Open Sans"/>
                <w:b/>
                <w:bCs/>
                <w:color w:val="000000"/>
                <w:lang w:eastAsia="en-GB"/>
              </w:rPr>
              <w:t>100%</w:t>
            </w:r>
          </w:p>
        </w:tc>
        <w:tc>
          <w:tcPr>
            <w:tcW w:w="1039" w:type="pct"/>
            <w:shd w:val="clear" w:color="000000" w:fill="F8696B"/>
            <w:noWrap/>
            <w:vAlign w:val="bottom"/>
            <w:hideMark/>
          </w:tcPr>
          <w:p w14:paraId="6136CDF9" w14:textId="77777777" w:rsidR="007C3443" w:rsidRPr="00B003E9" w:rsidRDefault="007C3443" w:rsidP="0089347F">
            <w:pPr>
              <w:keepNext/>
              <w:jc w:val="center"/>
              <w:rPr>
                <w:rFonts w:eastAsia="Times New Roman" w:cs="Open Sans"/>
                <w:b/>
                <w:bCs/>
                <w:color w:val="000000"/>
                <w:lang w:eastAsia="en-GB"/>
              </w:rPr>
            </w:pPr>
            <w:r w:rsidRPr="00B003E9">
              <w:rPr>
                <w:rFonts w:eastAsia="Times New Roman" w:cs="Open Sans"/>
                <w:b/>
                <w:bCs/>
                <w:color w:val="000000"/>
                <w:lang w:eastAsia="en-GB"/>
              </w:rPr>
              <w:t>95%</w:t>
            </w:r>
          </w:p>
        </w:tc>
      </w:tr>
    </w:tbl>
    <w:p w14:paraId="2BBC62F9" w14:textId="77777777" w:rsidR="007C3443" w:rsidRPr="006A5892" w:rsidRDefault="007C3443" w:rsidP="007C3443"/>
    <w:p w14:paraId="752DA7AC" w14:textId="77777777" w:rsidR="007C3443" w:rsidRPr="006A5892" w:rsidRDefault="007C3443" w:rsidP="007C3443">
      <w:pPr>
        <w:rPr>
          <w:sz w:val="20"/>
          <w:szCs w:val="20"/>
        </w:rPr>
      </w:pPr>
      <w:r w:rsidRPr="006A5892">
        <w:rPr>
          <w:sz w:val="20"/>
          <w:szCs w:val="20"/>
        </w:rPr>
        <w:t xml:space="preserve">The results demonstrate the complexity of different drivers of impact. For example, the second case study demonstrates the highest human health and ecosystem impact score despite not presenting the highest overall carbon footprint. This is due to it possessing the highest gross emissions due to land use change (before balancing against emission uptake) per kg. Whilst the amount of carbon lost per hectare is not as high as in case study 3.1, the lower yield contributes to this impact score. </w:t>
      </w:r>
    </w:p>
    <w:p w14:paraId="73865AAE" w14:textId="77777777" w:rsidR="007C3443" w:rsidRPr="006A5892" w:rsidRDefault="007C3443" w:rsidP="007C3443">
      <w:pPr>
        <w:rPr>
          <w:sz w:val="20"/>
          <w:szCs w:val="20"/>
        </w:rPr>
      </w:pPr>
    </w:p>
    <w:p w14:paraId="0451C651" w14:textId="77777777" w:rsidR="007C3443" w:rsidRPr="006A5892" w:rsidRDefault="007C3443" w:rsidP="007C3443">
      <w:pPr>
        <w:rPr>
          <w:sz w:val="20"/>
          <w:szCs w:val="20"/>
        </w:rPr>
      </w:pPr>
      <w:r w:rsidRPr="006A5892">
        <w:rPr>
          <w:sz w:val="20"/>
          <w:szCs w:val="20"/>
        </w:rPr>
        <w:t xml:space="preserve">In other words, the relative human health and ecosystem impact scores presented by the 3 highest categories, case study 2, case study 3.1 and case study 3 match their relative emissions to replacing </w:t>
      </w:r>
      <w:r w:rsidRPr="00B003E9">
        <w:rPr>
          <w:b/>
          <w:bCs/>
          <w:sz w:val="20"/>
          <w:szCs w:val="20"/>
        </w:rPr>
        <w:t>previous land use change</w:t>
      </w:r>
      <w:r w:rsidRPr="006A5892">
        <w:rPr>
          <w:sz w:val="20"/>
          <w:szCs w:val="20"/>
        </w:rPr>
        <w:t xml:space="preserve"> (127, 77 and 41 kg </w:t>
      </w:r>
      <w:proofErr w:type="spellStart"/>
      <w:r w:rsidRPr="006A5892">
        <w:rPr>
          <w:sz w:val="20"/>
          <w:szCs w:val="20"/>
        </w:rPr>
        <w:t>CO₂e</w:t>
      </w:r>
      <w:proofErr w:type="spellEnd"/>
      <w:r w:rsidRPr="006A5892">
        <w:rPr>
          <w:sz w:val="20"/>
          <w:szCs w:val="20"/>
        </w:rPr>
        <w:t xml:space="preserve">/kg respectively as seen in Table 5.5). </w:t>
      </w:r>
      <w:r w:rsidRPr="00B003E9">
        <w:rPr>
          <w:b/>
          <w:bCs/>
          <w:sz w:val="20"/>
          <w:szCs w:val="20"/>
        </w:rPr>
        <w:t>So again</w:t>
      </w:r>
      <w:r w:rsidRPr="006A5892">
        <w:rPr>
          <w:b/>
          <w:bCs/>
          <w:sz w:val="20"/>
          <w:szCs w:val="20"/>
        </w:rPr>
        <w:t>,</w:t>
      </w:r>
      <w:r w:rsidRPr="00B003E9">
        <w:rPr>
          <w:b/>
          <w:bCs/>
          <w:sz w:val="20"/>
          <w:szCs w:val="20"/>
        </w:rPr>
        <w:t xml:space="preserve"> the impact is due to what that cocoa system replaced as well as the management of the coc</w:t>
      </w:r>
      <w:r w:rsidRPr="006A5892">
        <w:rPr>
          <w:b/>
          <w:bCs/>
          <w:sz w:val="20"/>
          <w:szCs w:val="20"/>
        </w:rPr>
        <w:t>o</w:t>
      </w:r>
      <w:r w:rsidRPr="00B003E9">
        <w:rPr>
          <w:b/>
          <w:bCs/>
          <w:sz w:val="20"/>
          <w:szCs w:val="20"/>
        </w:rPr>
        <w:t>a itself.</w:t>
      </w:r>
      <w:r w:rsidRPr="006A5892">
        <w:rPr>
          <w:sz w:val="20"/>
          <w:szCs w:val="20"/>
        </w:rPr>
        <w:t xml:space="preserve"> In contrast, case study 1, case study 3.3 and case study 4 present much lower impact values as they’re not allocated any emissions due to land use change. </w:t>
      </w:r>
    </w:p>
    <w:p w14:paraId="5031C3B4" w14:textId="77777777" w:rsidR="007C3443" w:rsidRPr="006A5892" w:rsidRDefault="007C3443" w:rsidP="007C3443">
      <w:pPr>
        <w:rPr>
          <w:sz w:val="20"/>
          <w:szCs w:val="20"/>
        </w:rPr>
      </w:pPr>
    </w:p>
    <w:p w14:paraId="202DA5A9" w14:textId="77777777" w:rsidR="007C3443" w:rsidRPr="006A5892" w:rsidRDefault="007C3443" w:rsidP="007C3443">
      <w:pPr>
        <w:rPr>
          <w:sz w:val="20"/>
          <w:szCs w:val="20"/>
        </w:rPr>
      </w:pPr>
      <w:r w:rsidRPr="006A5892">
        <w:rPr>
          <w:sz w:val="20"/>
          <w:szCs w:val="20"/>
        </w:rPr>
        <w:t xml:space="preserve">Mineral resource scarcity presents a much lower estimate compared with fossil resource scarcity, which itself does not vary much as (in the case of </w:t>
      </w:r>
      <w:proofErr w:type="gramStart"/>
      <w:r w:rsidRPr="006A5892">
        <w:rPr>
          <w:sz w:val="20"/>
          <w:szCs w:val="20"/>
        </w:rPr>
        <w:t>sun dried</w:t>
      </w:r>
      <w:proofErr w:type="gramEnd"/>
      <w:r w:rsidRPr="006A5892">
        <w:rPr>
          <w:sz w:val="20"/>
          <w:szCs w:val="20"/>
        </w:rPr>
        <w:t xml:space="preserve"> beans) it is wholly due to transport (hence excluded from table 5.7 below) and the assumptions on transport are similar across case studies, with the first 2 case studies assuming a marginally shorter transit distance. </w:t>
      </w:r>
    </w:p>
    <w:p w14:paraId="123912FF" w14:textId="77777777" w:rsidR="007C3443" w:rsidRPr="006A5892" w:rsidRDefault="007C3443" w:rsidP="007C3443">
      <w:pPr>
        <w:rPr>
          <w:sz w:val="20"/>
          <w:szCs w:val="20"/>
        </w:rPr>
      </w:pPr>
    </w:p>
    <w:p w14:paraId="329A88DE" w14:textId="77777777" w:rsidR="007C3443" w:rsidRDefault="007C3443" w:rsidP="007C3443">
      <w:pPr>
        <w:rPr>
          <w:sz w:val="20"/>
          <w:szCs w:val="20"/>
        </w:rPr>
      </w:pPr>
      <w:r w:rsidRPr="006A5892">
        <w:rPr>
          <w:sz w:val="20"/>
          <w:szCs w:val="20"/>
        </w:rPr>
        <w:t xml:space="preserve">When disaggregated in terms of the main product stages (in this case transport and cultivation) we that </w:t>
      </w:r>
      <w:proofErr w:type="gramStart"/>
      <w:r w:rsidRPr="006A5892">
        <w:rPr>
          <w:sz w:val="20"/>
          <w:szCs w:val="20"/>
        </w:rPr>
        <w:t>with the exception of</w:t>
      </w:r>
      <w:proofErr w:type="gramEnd"/>
      <w:r w:rsidRPr="006A5892">
        <w:rPr>
          <w:sz w:val="20"/>
          <w:szCs w:val="20"/>
        </w:rPr>
        <w:t xml:space="preserve"> the first case study, most of the impacts are associated with the cultivation stage. The first case study does not include any emissions due to land use change, our application of material due to cleaning and compost production and therefore has negligible impact following these impact categories but it would still occupy land.</w:t>
      </w:r>
    </w:p>
    <w:p w14:paraId="4B55AB1F" w14:textId="77777777" w:rsidR="001F42F7" w:rsidRDefault="001F42F7" w:rsidP="007C3443">
      <w:pPr>
        <w:rPr>
          <w:sz w:val="20"/>
          <w:szCs w:val="20"/>
        </w:rPr>
      </w:pPr>
    </w:p>
    <w:p w14:paraId="06042363" w14:textId="77777777" w:rsidR="001F42F7" w:rsidRDefault="001F42F7" w:rsidP="007C3443">
      <w:pPr>
        <w:rPr>
          <w:sz w:val="20"/>
          <w:szCs w:val="20"/>
        </w:rPr>
      </w:pPr>
    </w:p>
    <w:p w14:paraId="6C4EFA75" w14:textId="77777777" w:rsidR="001F42F7" w:rsidRDefault="001F42F7" w:rsidP="007C3443">
      <w:pPr>
        <w:rPr>
          <w:sz w:val="20"/>
          <w:szCs w:val="20"/>
        </w:rPr>
      </w:pPr>
    </w:p>
    <w:p w14:paraId="585D6D9B" w14:textId="77777777" w:rsidR="001F42F7" w:rsidRDefault="001F42F7" w:rsidP="007C3443">
      <w:pPr>
        <w:rPr>
          <w:sz w:val="20"/>
          <w:szCs w:val="20"/>
        </w:rPr>
      </w:pPr>
    </w:p>
    <w:p w14:paraId="017D6B06" w14:textId="77777777" w:rsidR="001F42F7" w:rsidRDefault="001F42F7" w:rsidP="007C3443">
      <w:pPr>
        <w:rPr>
          <w:sz w:val="20"/>
          <w:szCs w:val="20"/>
        </w:rPr>
      </w:pPr>
    </w:p>
    <w:p w14:paraId="095098B8" w14:textId="77777777" w:rsidR="001F42F7" w:rsidRDefault="001F42F7" w:rsidP="007C3443">
      <w:pPr>
        <w:rPr>
          <w:sz w:val="20"/>
          <w:szCs w:val="20"/>
        </w:rPr>
      </w:pPr>
    </w:p>
    <w:p w14:paraId="2EB73DC5" w14:textId="77777777" w:rsidR="001F42F7" w:rsidRDefault="001F42F7" w:rsidP="007C3443">
      <w:pPr>
        <w:rPr>
          <w:sz w:val="20"/>
          <w:szCs w:val="20"/>
        </w:rPr>
      </w:pPr>
    </w:p>
    <w:p w14:paraId="243CE181" w14:textId="77777777" w:rsidR="001F42F7" w:rsidRPr="006A5892" w:rsidRDefault="001F42F7" w:rsidP="007C3443">
      <w:pPr>
        <w:rPr>
          <w:sz w:val="20"/>
          <w:szCs w:val="20"/>
        </w:rPr>
      </w:pPr>
    </w:p>
    <w:p w14:paraId="6D818A62" w14:textId="77777777" w:rsidR="007C3443" w:rsidRPr="006A5892" w:rsidRDefault="007C3443" w:rsidP="007C3443">
      <w:pPr>
        <w:rPr>
          <w:rFonts w:eastAsia="Times New Roman" w:cstheme="minorHAnsi"/>
          <w:color w:val="000000"/>
          <w:lang w:eastAsia="en-GB"/>
        </w:rPr>
      </w:pPr>
    </w:p>
    <w:p w14:paraId="1DA6B45C" w14:textId="6A468773" w:rsidR="007C3443" w:rsidRPr="00B82559" w:rsidRDefault="007C3443" w:rsidP="007C3443">
      <w:pPr>
        <w:pStyle w:val="Caption"/>
        <w:keepNext/>
      </w:pPr>
      <w:bookmarkStart w:id="179" w:name="_Toc228701092"/>
      <w:r w:rsidRPr="006A5892">
        <w:lastRenderedPageBreak/>
        <w:t xml:space="preserve">Table </w:t>
      </w:r>
      <w:fldSimple w:instr=" STYLEREF 1 \s ">
        <w:r w:rsidR="006C1C4E">
          <w:rPr>
            <w:noProof/>
          </w:rPr>
          <w:t>5</w:t>
        </w:r>
      </w:fldSimple>
      <w:r w:rsidR="006C1C4E">
        <w:noBreakHyphen/>
      </w:r>
      <w:fldSimple w:instr=" SEQ Table \* ARABIC \s 1 ">
        <w:r w:rsidR="006C1C4E">
          <w:rPr>
            <w:noProof/>
          </w:rPr>
          <w:t>7</w:t>
        </w:r>
      </w:fldSimple>
      <w:r w:rsidRPr="006A5892">
        <w:t xml:space="preserve"> RELATIVE CONTRIBUTION OF CULTIVATION AND TRANSPORT FOR HEALTH AND ECOSYSTEM IMPACT</w:t>
      </w:r>
      <w:bookmarkEnd w:id="179"/>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178"/>
        <w:gridCol w:w="1178"/>
        <w:gridCol w:w="1192"/>
        <w:gridCol w:w="986"/>
        <w:gridCol w:w="986"/>
        <w:gridCol w:w="986"/>
      </w:tblGrid>
      <w:tr w:rsidR="007C3443" w:rsidRPr="006A5892" w14:paraId="671B1A47" w14:textId="77777777" w:rsidTr="0089347F">
        <w:trPr>
          <w:trHeight w:val="299"/>
          <w:jc w:val="center"/>
        </w:trPr>
        <w:tc>
          <w:tcPr>
            <w:tcW w:w="1337" w:type="dxa"/>
            <w:noWrap/>
            <w:vAlign w:val="bottom"/>
          </w:tcPr>
          <w:p w14:paraId="1F61F07C" w14:textId="77777777" w:rsidR="007C3443" w:rsidRPr="006A5892" w:rsidRDefault="007C3443" w:rsidP="0089347F">
            <w:pPr>
              <w:rPr>
                <w:rFonts w:ascii="Aptos Narrow" w:eastAsia="Times New Roman" w:hAnsi="Aptos Narrow" w:cs="Times New Roman"/>
                <w:b/>
                <w:bCs/>
                <w:color w:val="000000"/>
                <w:lang w:eastAsia="en-GB"/>
              </w:rPr>
            </w:pPr>
            <w:r w:rsidRPr="006A5892">
              <w:rPr>
                <w:rFonts w:ascii="Aptos Narrow" w:eastAsia="Times New Roman" w:hAnsi="Aptos Narrow" w:cs="Times New Roman"/>
                <w:b/>
                <w:bCs/>
                <w:color w:val="000000"/>
                <w:lang w:eastAsia="en-GB"/>
              </w:rPr>
              <w:t>Case Study No.</w:t>
            </w:r>
          </w:p>
        </w:tc>
        <w:tc>
          <w:tcPr>
            <w:tcW w:w="1178" w:type="dxa"/>
            <w:noWrap/>
            <w:vAlign w:val="bottom"/>
          </w:tcPr>
          <w:p w14:paraId="0B538E5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CS1</w:t>
            </w:r>
          </w:p>
        </w:tc>
        <w:tc>
          <w:tcPr>
            <w:tcW w:w="1178" w:type="dxa"/>
            <w:noWrap/>
            <w:vAlign w:val="bottom"/>
          </w:tcPr>
          <w:p w14:paraId="1F87F8B8"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CS2</w:t>
            </w:r>
          </w:p>
        </w:tc>
        <w:tc>
          <w:tcPr>
            <w:tcW w:w="1192" w:type="dxa"/>
            <w:noWrap/>
            <w:vAlign w:val="bottom"/>
          </w:tcPr>
          <w:p w14:paraId="3E5D7A4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CS3.1</w:t>
            </w:r>
          </w:p>
        </w:tc>
        <w:tc>
          <w:tcPr>
            <w:tcW w:w="986" w:type="dxa"/>
            <w:noWrap/>
            <w:vAlign w:val="bottom"/>
          </w:tcPr>
          <w:p w14:paraId="2328713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CS3.2</w:t>
            </w:r>
          </w:p>
        </w:tc>
        <w:tc>
          <w:tcPr>
            <w:tcW w:w="986" w:type="dxa"/>
            <w:noWrap/>
            <w:vAlign w:val="bottom"/>
          </w:tcPr>
          <w:p w14:paraId="618C6E7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CS3.3</w:t>
            </w:r>
          </w:p>
        </w:tc>
        <w:tc>
          <w:tcPr>
            <w:tcW w:w="986" w:type="dxa"/>
            <w:noWrap/>
            <w:vAlign w:val="bottom"/>
          </w:tcPr>
          <w:p w14:paraId="6376FED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CS4</w:t>
            </w:r>
          </w:p>
        </w:tc>
      </w:tr>
      <w:tr w:rsidR="007C3443" w:rsidRPr="006A5892" w14:paraId="19F79A94" w14:textId="77777777" w:rsidTr="0089347F">
        <w:trPr>
          <w:trHeight w:val="299"/>
          <w:jc w:val="center"/>
        </w:trPr>
        <w:tc>
          <w:tcPr>
            <w:tcW w:w="1337" w:type="dxa"/>
            <w:noWrap/>
            <w:vAlign w:val="bottom"/>
          </w:tcPr>
          <w:p w14:paraId="15CBFB06" w14:textId="77777777" w:rsidR="007C3443" w:rsidRPr="006A5892" w:rsidRDefault="007C3443" w:rsidP="0089347F">
            <w:pPr>
              <w:rPr>
                <w:rFonts w:ascii="Aptos Narrow" w:eastAsia="Times New Roman" w:hAnsi="Aptos Narrow" w:cs="Times New Roman"/>
                <w:b/>
                <w:bCs/>
                <w:color w:val="000000"/>
                <w:lang w:eastAsia="en-GB"/>
              </w:rPr>
            </w:pPr>
            <w:r w:rsidRPr="006A5892">
              <w:rPr>
                <w:rFonts w:ascii="Aptos Narrow" w:eastAsia="Times New Roman" w:hAnsi="Aptos Narrow" w:cs="Times New Roman"/>
                <w:b/>
                <w:bCs/>
                <w:color w:val="000000"/>
                <w:lang w:eastAsia="en-GB"/>
              </w:rPr>
              <w:t>Previous Land Type</w:t>
            </w:r>
          </w:p>
        </w:tc>
        <w:tc>
          <w:tcPr>
            <w:tcW w:w="1178" w:type="dxa"/>
            <w:noWrap/>
          </w:tcPr>
          <w:p w14:paraId="4D69D7DE"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NA</w:t>
            </w:r>
          </w:p>
        </w:tc>
        <w:tc>
          <w:tcPr>
            <w:tcW w:w="1178" w:type="dxa"/>
            <w:noWrap/>
          </w:tcPr>
          <w:p w14:paraId="708B2C73"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w:hAnsi="Aptos"/>
                <w:b/>
                <w:bCs/>
                <w:szCs w:val="18"/>
              </w:rPr>
              <w:t>Bush land</w:t>
            </w:r>
          </w:p>
        </w:tc>
        <w:tc>
          <w:tcPr>
            <w:tcW w:w="1192" w:type="dxa"/>
            <w:noWrap/>
          </w:tcPr>
          <w:p w14:paraId="26351896"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Forest</w:t>
            </w:r>
          </w:p>
        </w:tc>
        <w:tc>
          <w:tcPr>
            <w:tcW w:w="986" w:type="dxa"/>
            <w:noWrap/>
          </w:tcPr>
          <w:p w14:paraId="5DFD000B"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 xml:space="preserve">Wooded </w:t>
            </w:r>
          </w:p>
          <w:p w14:paraId="4DF77FC2"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Grassland</w:t>
            </w:r>
          </w:p>
        </w:tc>
        <w:tc>
          <w:tcPr>
            <w:tcW w:w="986" w:type="dxa"/>
            <w:noWrap/>
          </w:tcPr>
          <w:p w14:paraId="2AED268C"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NA</w:t>
            </w:r>
          </w:p>
        </w:tc>
        <w:tc>
          <w:tcPr>
            <w:tcW w:w="986" w:type="dxa"/>
            <w:noWrap/>
          </w:tcPr>
          <w:p w14:paraId="66EC8001"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NA</w:t>
            </w:r>
          </w:p>
        </w:tc>
      </w:tr>
      <w:tr w:rsidR="007C3443" w:rsidRPr="006A5892" w14:paraId="7F5B829A" w14:textId="77777777" w:rsidTr="0089347F">
        <w:trPr>
          <w:trHeight w:val="299"/>
          <w:jc w:val="center"/>
        </w:trPr>
        <w:tc>
          <w:tcPr>
            <w:tcW w:w="1337" w:type="dxa"/>
            <w:noWrap/>
            <w:vAlign w:val="bottom"/>
          </w:tcPr>
          <w:p w14:paraId="4AF1EF0A" w14:textId="77777777" w:rsidR="007C3443" w:rsidRPr="006A5892" w:rsidRDefault="007C3443" w:rsidP="0089347F">
            <w:pPr>
              <w:rPr>
                <w:rFonts w:ascii="Aptos Narrow" w:eastAsia="Times New Roman" w:hAnsi="Aptos Narrow" w:cs="Times New Roman"/>
                <w:b/>
                <w:bCs/>
                <w:color w:val="000000"/>
                <w:lang w:eastAsia="en-GB"/>
              </w:rPr>
            </w:pPr>
          </w:p>
        </w:tc>
        <w:tc>
          <w:tcPr>
            <w:tcW w:w="1178" w:type="dxa"/>
            <w:noWrap/>
          </w:tcPr>
          <w:p w14:paraId="3E6C3337"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cs="Open Sans"/>
                <w:b/>
                <w:bCs/>
                <w:sz w:val="16"/>
                <w:szCs w:val="16"/>
              </w:rPr>
              <w:t>Elderly Smallholder</w:t>
            </w:r>
          </w:p>
        </w:tc>
        <w:tc>
          <w:tcPr>
            <w:tcW w:w="1178" w:type="dxa"/>
            <w:noWrap/>
          </w:tcPr>
          <w:p w14:paraId="57F5A3FD"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cs="Open Sans"/>
                <w:b/>
                <w:bCs/>
                <w:sz w:val="16"/>
                <w:szCs w:val="16"/>
              </w:rPr>
              <w:t>Young Smallholder</w:t>
            </w:r>
          </w:p>
        </w:tc>
        <w:tc>
          <w:tcPr>
            <w:tcW w:w="3164" w:type="dxa"/>
            <w:gridSpan w:val="3"/>
            <w:noWrap/>
          </w:tcPr>
          <w:p w14:paraId="05A1070B" w14:textId="77777777" w:rsidR="007C3443" w:rsidRPr="006A5892" w:rsidRDefault="007C3443" w:rsidP="0089347F">
            <w:pPr>
              <w:jc w:val="center"/>
              <w:rPr>
                <w:rFonts w:cs="Open Sans"/>
                <w:b/>
                <w:bCs/>
                <w:sz w:val="16"/>
                <w:szCs w:val="16"/>
              </w:rPr>
            </w:pPr>
            <w:r w:rsidRPr="006A5892">
              <w:rPr>
                <w:rFonts w:cs="Open Sans"/>
                <w:b/>
                <w:bCs/>
                <w:sz w:val="16"/>
                <w:szCs w:val="16"/>
              </w:rPr>
              <w:t>Early Mature Medium Sized small holder</w:t>
            </w:r>
          </w:p>
          <w:p w14:paraId="0D97D437"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eastAsia="Times New Roman" w:cs="Open Sans"/>
                <w:b/>
                <w:bCs/>
                <w:color w:val="000000"/>
                <w:sz w:val="16"/>
                <w:szCs w:val="16"/>
                <w:lang w:eastAsia="en-GB"/>
              </w:rPr>
              <w:t>1                   2                        3</w:t>
            </w:r>
          </w:p>
        </w:tc>
        <w:tc>
          <w:tcPr>
            <w:tcW w:w="986" w:type="dxa"/>
            <w:noWrap/>
          </w:tcPr>
          <w:p w14:paraId="14B503B2"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cs="Open Sans"/>
                <w:b/>
                <w:bCs/>
                <w:sz w:val="16"/>
                <w:szCs w:val="16"/>
              </w:rPr>
              <w:t>Late Mature Medium Sized small holder</w:t>
            </w:r>
          </w:p>
        </w:tc>
      </w:tr>
      <w:tr w:rsidR="007C3443" w:rsidRPr="006A5892" w14:paraId="23557E46" w14:textId="77777777" w:rsidTr="0089347F">
        <w:trPr>
          <w:trHeight w:val="401"/>
          <w:jc w:val="center"/>
        </w:trPr>
        <w:tc>
          <w:tcPr>
            <w:tcW w:w="7843" w:type="dxa"/>
            <w:gridSpan w:val="7"/>
            <w:noWrap/>
            <w:vAlign w:val="bottom"/>
            <w:hideMark/>
          </w:tcPr>
          <w:p w14:paraId="74AE3DF6"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b/>
                <w:bCs/>
                <w:color w:val="000000"/>
                <w:lang w:eastAsia="en-GB"/>
              </w:rPr>
              <w:t>Health Score (relative impact score by value chain stage</w:t>
            </w:r>
            <w:r>
              <w:rPr>
                <w:rFonts w:ascii="Aptos Narrow" w:eastAsia="Times New Roman" w:hAnsi="Aptos Narrow" w:cs="Times New Roman"/>
                <w:b/>
                <w:bCs/>
                <w:color w:val="000000"/>
                <w:lang w:eastAsia="en-GB"/>
              </w:rPr>
              <w:t>. Total =100%</w:t>
            </w:r>
            <w:r w:rsidRPr="006A5892">
              <w:rPr>
                <w:rFonts w:ascii="Aptos Narrow" w:eastAsia="Times New Roman" w:hAnsi="Aptos Narrow" w:cs="Times New Roman"/>
                <w:b/>
                <w:bCs/>
                <w:color w:val="000000"/>
                <w:lang w:eastAsia="en-GB"/>
              </w:rPr>
              <w:t>)</w:t>
            </w:r>
          </w:p>
          <w:p w14:paraId="5B8BF57C" w14:textId="77777777" w:rsidR="007C3443" w:rsidRPr="006A5892" w:rsidRDefault="007C3443" w:rsidP="0089347F">
            <w:pPr>
              <w:jc w:val="center"/>
              <w:rPr>
                <w:rFonts w:ascii="Aptos Narrow" w:eastAsia="Times New Roman" w:hAnsi="Aptos Narrow" w:cs="Times New Roman"/>
                <w:color w:val="000000"/>
                <w:lang w:eastAsia="en-GB"/>
              </w:rPr>
            </w:pPr>
          </w:p>
        </w:tc>
      </w:tr>
      <w:tr w:rsidR="007C3443" w:rsidRPr="006A5892" w14:paraId="65C5035E" w14:textId="77777777" w:rsidTr="0089347F">
        <w:trPr>
          <w:trHeight w:val="299"/>
          <w:jc w:val="center"/>
        </w:trPr>
        <w:tc>
          <w:tcPr>
            <w:tcW w:w="1337" w:type="dxa"/>
            <w:noWrap/>
            <w:vAlign w:val="bottom"/>
            <w:hideMark/>
          </w:tcPr>
          <w:p w14:paraId="21DA104F"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Transport</w:t>
            </w:r>
          </w:p>
        </w:tc>
        <w:tc>
          <w:tcPr>
            <w:tcW w:w="1178" w:type="dxa"/>
            <w:noWrap/>
            <w:vAlign w:val="bottom"/>
            <w:hideMark/>
          </w:tcPr>
          <w:p w14:paraId="45B0681D"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100.00%</w:t>
            </w:r>
          </w:p>
        </w:tc>
        <w:tc>
          <w:tcPr>
            <w:tcW w:w="1178" w:type="dxa"/>
            <w:noWrap/>
            <w:vAlign w:val="bottom"/>
            <w:hideMark/>
          </w:tcPr>
          <w:p w14:paraId="1B96E9F8"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0.12%</w:t>
            </w:r>
          </w:p>
        </w:tc>
        <w:tc>
          <w:tcPr>
            <w:tcW w:w="1192" w:type="dxa"/>
            <w:noWrap/>
            <w:vAlign w:val="bottom"/>
            <w:hideMark/>
          </w:tcPr>
          <w:p w14:paraId="079A82DF"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0.24%</w:t>
            </w:r>
          </w:p>
        </w:tc>
        <w:tc>
          <w:tcPr>
            <w:tcW w:w="986" w:type="dxa"/>
            <w:noWrap/>
            <w:vAlign w:val="bottom"/>
            <w:hideMark/>
          </w:tcPr>
          <w:p w14:paraId="4D9B6C3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0.45%</w:t>
            </w:r>
          </w:p>
        </w:tc>
        <w:tc>
          <w:tcPr>
            <w:tcW w:w="986" w:type="dxa"/>
            <w:noWrap/>
            <w:vAlign w:val="bottom"/>
            <w:hideMark/>
          </w:tcPr>
          <w:p w14:paraId="5E92831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12.91%</w:t>
            </w:r>
          </w:p>
        </w:tc>
        <w:tc>
          <w:tcPr>
            <w:tcW w:w="986" w:type="dxa"/>
            <w:noWrap/>
            <w:vAlign w:val="bottom"/>
            <w:hideMark/>
          </w:tcPr>
          <w:p w14:paraId="35BB1944"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12.25%</w:t>
            </w:r>
          </w:p>
        </w:tc>
      </w:tr>
      <w:tr w:rsidR="007C3443" w:rsidRPr="006A5892" w14:paraId="48CEAF10" w14:textId="77777777" w:rsidTr="0089347F">
        <w:trPr>
          <w:trHeight w:val="299"/>
          <w:jc w:val="center"/>
        </w:trPr>
        <w:tc>
          <w:tcPr>
            <w:tcW w:w="1337" w:type="dxa"/>
            <w:noWrap/>
            <w:vAlign w:val="bottom"/>
            <w:hideMark/>
          </w:tcPr>
          <w:p w14:paraId="521F19CB"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Cultivation</w:t>
            </w:r>
          </w:p>
        </w:tc>
        <w:tc>
          <w:tcPr>
            <w:tcW w:w="1178" w:type="dxa"/>
            <w:noWrap/>
            <w:vAlign w:val="bottom"/>
            <w:hideMark/>
          </w:tcPr>
          <w:p w14:paraId="0E2D6920"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0.00%</w:t>
            </w:r>
          </w:p>
        </w:tc>
        <w:tc>
          <w:tcPr>
            <w:tcW w:w="1178" w:type="dxa"/>
            <w:noWrap/>
            <w:vAlign w:val="bottom"/>
            <w:hideMark/>
          </w:tcPr>
          <w:p w14:paraId="7F26A512"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99.88%</w:t>
            </w:r>
          </w:p>
        </w:tc>
        <w:tc>
          <w:tcPr>
            <w:tcW w:w="1192" w:type="dxa"/>
            <w:noWrap/>
            <w:vAlign w:val="bottom"/>
            <w:hideMark/>
          </w:tcPr>
          <w:p w14:paraId="0897A97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99.76%</w:t>
            </w:r>
          </w:p>
        </w:tc>
        <w:tc>
          <w:tcPr>
            <w:tcW w:w="986" w:type="dxa"/>
            <w:noWrap/>
            <w:vAlign w:val="bottom"/>
            <w:hideMark/>
          </w:tcPr>
          <w:p w14:paraId="3D4BF7F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99.55%</w:t>
            </w:r>
          </w:p>
        </w:tc>
        <w:tc>
          <w:tcPr>
            <w:tcW w:w="986" w:type="dxa"/>
            <w:noWrap/>
            <w:vAlign w:val="bottom"/>
            <w:hideMark/>
          </w:tcPr>
          <w:p w14:paraId="2673B29E"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87.09%</w:t>
            </w:r>
          </w:p>
        </w:tc>
        <w:tc>
          <w:tcPr>
            <w:tcW w:w="986" w:type="dxa"/>
            <w:noWrap/>
            <w:vAlign w:val="bottom"/>
            <w:hideMark/>
          </w:tcPr>
          <w:p w14:paraId="3F98179D"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87.75%</w:t>
            </w:r>
          </w:p>
        </w:tc>
      </w:tr>
      <w:tr w:rsidR="007C3443" w:rsidRPr="006A5892" w14:paraId="6AA4544D" w14:textId="77777777" w:rsidTr="0089347F">
        <w:trPr>
          <w:trHeight w:val="299"/>
          <w:jc w:val="center"/>
        </w:trPr>
        <w:tc>
          <w:tcPr>
            <w:tcW w:w="7843" w:type="dxa"/>
            <w:gridSpan w:val="7"/>
            <w:noWrap/>
            <w:vAlign w:val="bottom"/>
            <w:hideMark/>
          </w:tcPr>
          <w:p w14:paraId="3C1EC82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b/>
                <w:bCs/>
                <w:color w:val="000000"/>
                <w:lang w:eastAsia="en-GB"/>
              </w:rPr>
              <w:t>Ecosystem Score (relative impact score by value chain stage</w:t>
            </w:r>
            <w:r>
              <w:rPr>
                <w:rFonts w:ascii="Aptos Narrow" w:eastAsia="Times New Roman" w:hAnsi="Aptos Narrow" w:cs="Times New Roman"/>
                <w:b/>
                <w:bCs/>
                <w:color w:val="000000"/>
                <w:lang w:eastAsia="en-GB"/>
              </w:rPr>
              <w:t>. Total =100%</w:t>
            </w:r>
            <w:r w:rsidRPr="006A5892">
              <w:rPr>
                <w:rFonts w:ascii="Aptos Narrow" w:eastAsia="Times New Roman" w:hAnsi="Aptos Narrow" w:cs="Times New Roman"/>
                <w:b/>
                <w:bCs/>
                <w:color w:val="000000"/>
                <w:lang w:eastAsia="en-GB"/>
              </w:rPr>
              <w:t>)</w:t>
            </w:r>
          </w:p>
          <w:p w14:paraId="03F1B473" w14:textId="77777777" w:rsidR="007C3443" w:rsidRPr="006A5892" w:rsidRDefault="007C3443" w:rsidP="0089347F">
            <w:pPr>
              <w:jc w:val="center"/>
              <w:rPr>
                <w:rFonts w:ascii="Aptos Narrow" w:eastAsia="Times New Roman" w:hAnsi="Aptos Narrow" w:cs="Times New Roman"/>
                <w:color w:val="000000"/>
                <w:lang w:eastAsia="en-GB"/>
              </w:rPr>
            </w:pPr>
          </w:p>
        </w:tc>
      </w:tr>
      <w:tr w:rsidR="007C3443" w:rsidRPr="006A5892" w14:paraId="4B4F8979" w14:textId="77777777" w:rsidTr="0089347F">
        <w:trPr>
          <w:trHeight w:val="299"/>
          <w:jc w:val="center"/>
        </w:trPr>
        <w:tc>
          <w:tcPr>
            <w:tcW w:w="1337" w:type="dxa"/>
            <w:noWrap/>
            <w:vAlign w:val="bottom"/>
            <w:hideMark/>
          </w:tcPr>
          <w:p w14:paraId="3D42F47A"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Transport</w:t>
            </w:r>
          </w:p>
        </w:tc>
        <w:tc>
          <w:tcPr>
            <w:tcW w:w="1178" w:type="dxa"/>
            <w:noWrap/>
            <w:vAlign w:val="bottom"/>
            <w:hideMark/>
          </w:tcPr>
          <w:p w14:paraId="4CA9B26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100.00%</w:t>
            </w:r>
          </w:p>
        </w:tc>
        <w:tc>
          <w:tcPr>
            <w:tcW w:w="1178" w:type="dxa"/>
            <w:noWrap/>
            <w:vAlign w:val="bottom"/>
            <w:hideMark/>
          </w:tcPr>
          <w:p w14:paraId="252D06B6"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0.08%</w:t>
            </w:r>
          </w:p>
        </w:tc>
        <w:tc>
          <w:tcPr>
            <w:tcW w:w="1192" w:type="dxa"/>
            <w:noWrap/>
            <w:vAlign w:val="bottom"/>
            <w:hideMark/>
          </w:tcPr>
          <w:p w14:paraId="4B6734EE"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0.15%</w:t>
            </w:r>
          </w:p>
        </w:tc>
        <w:tc>
          <w:tcPr>
            <w:tcW w:w="986" w:type="dxa"/>
            <w:noWrap/>
            <w:vAlign w:val="bottom"/>
            <w:hideMark/>
          </w:tcPr>
          <w:p w14:paraId="51666CDF"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0.28%</w:t>
            </w:r>
          </w:p>
        </w:tc>
        <w:tc>
          <w:tcPr>
            <w:tcW w:w="986" w:type="dxa"/>
            <w:noWrap/>
            <w:vAlign w:val="bottom"/>
            <w:hideMark/>
          </w:tcPr>
          <w:p w14:paraId="616B7BC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24.02%</w:t>
            </w:r>
          </w:p>
        </w:tc>
        <w:tc>
          <w:tcPr>
            <w:tcW w:w="986" w:type="dxa"/>
            <w:noWrap/>
            <w:vAlign w:val="bottom"/>
            <w:hideMark/>
          </w:tcPr>
          <w:p w14:paraId="737785A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20.81%</w:t>
            </w:r>
          </w:p>
        </w:tc>
      </w:tr>
      <w:tr w:rsidR="007C3443" w:rsidRPr="006A5892" w14:paraId="195B72ED" w14:textId="77777777" w:rsidTr="0089347F">
        <w:trPr>
          <w:trHeight w:val="299"/>
          <w:jc w:val="center"/>
        </w:trPr>
        <w:tc>
          <w:tcPr>
            <w:tcW w:w="1337" w:type="dxa"/>
            <w:noWrap/>
            <w:vAlign w:val="bottom"/>
            <w:hideMark/>
          </w:tcPr>
          <w:p w14:paraId="4559C225"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Cultivation</w:t>
            </w:r>
          </w:p>
        </w:tc>
        <w:tc>
          <w:tcPr>
            <w:tcW w:w="1178" w:type="dxa"/>
            <w:noWrap/>
            <w:vAlign w:val="bottom"/>
            <w:hideMark/>
          </w:tcPr>
          <w:p w14:paraId="1F79E17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0.00%</w:t>
            </w:r>
          </w:p>
        </w:tc>
        <w:tc>
          <w:tcPr>
            <w:tcW w:w="1178" w:type="dxa"/>
            <w:noWrap/>
            <w:vAlign w:val="bottom"/>
            <w:hideMark/>
          </w:tcPr>
          <w:p w14:paraId="21CAFB14"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99.92%</w:t>
            </w:r>
          </w:p>
        </w:tc>
        <w:tc>
          <w:tcPr>
            <w:tcW w:w="1192" w:type="dxa"/>
            <w:noWrap/>
            <w:vAlign w:val="bottom"/>
            <w:hideMark/>
          </w:tcPr>
          <w:p w14:paraId="030F033D"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99.85%</w:t>
            </w:r>
          </w:p>
        </w:tc>
        <w:tc>
          <w:tcPr>
            <w:tcW w:w="986" w:type="dxa"/>
            <w:noWrap/>
            <w:vAlign w:val="bottom"/>
            <w:hideMark/>
          </w:tcPr>
          <w:p w14:paraId="71FBEDE2"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99.72%</w:t>
            </w:r>
          </w:p>
        </w:tc>
        <w:tc>
          <w:tcPr>
            <w:tcW w:w="986" w:type="dxa"/>
            <w:noWrap/>
            <w:vAlign w:val="bottom"/>
            <w:hideMark/>
          </w:tcPr>
          <w:p w14:paraId="68E1F62E"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75.98%</w:t>
            </w:r>
          </w:p>
        </w:tc>
        <w:tc>
          <w:tcPr>
            <w:tcW w:w="986" w:type="dxa"/>
            <w:noWrap/>
            <w:vAlign w:val="bottom"/>
            <w:hideMark/>
          </w:tcPr>
          <w:p w14:paraId="3FAE3607" w14:textId="77777777" w:rsidR="007C3443" w:rsidRPr="006A5892" w:rsidRDefault="007C3443" w:rsidP="0089347F">
            <w:pPr>
              <w:keepNext/>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79.19%</w:t>
            </w:r>
          </w:p>
        </w:tc>
      </w:tr>
    </w:tbl>
    <w:p w14:paraId="6454B368" w14:textId="77777777" w:rsidR="007C3443" w:rsidRPr="006A5892" w:rsidRDefault="007C3443" w:rsidP="007C3443">
      <w:r w:rsidRPr="006A5892">
        <w:t xml:space="preserve">Note: Resource scarcity excluded as 100% of resource scarcity score associated with transport. </w:t>
      </w:r>
    </w:p>
    <w:p w14:paraId="2073774C" w14:textId="77777777" w:rsidR="007C3443" w:rsidRPr="006A5892" w:rsidRDefault="007C3443" w:rsidP="007C3443"/>
    <w:p w14:paraId="08B46246" w14:textId="7B708B7B" w:rsidR="007C3443" w:rsidRPr="006A5892" w:rsidRDefault="007C3443" w:rsidP="007C3443">
      <w:pPr>
        <w:rPr>
          <w:sz w:val="20"/>
          <w:szCs w:val="20"/>
        </w:rPr>
      </w:pPr>
      <w:r w:rsidRPr="006A5892">
        <w:rPr>
          <w:sz w:val="20"/>
          <w:szCs w:val="20"/>
        </w:rPr>
        <w:t xml:space="preserve">The importance of cultivation and decisions around land use change becomes more apparent when the midpoint determinants of the end point scores present to the above are disaggregated. (i.e. what stressor is causing the health impact score). Case studies 2, 3.1 and 3.2 all include emissions due to land use change and consequently virtually </w:t>
      </w:r>
      <w:proofErr w:type="gramStart"/>
      <w:r w:rsidRPr="006A5892">
        <w:rPr>
          <w:sz w:val="20"/>
          <w:szCs w:val="20"/>
        </w:rPr>
        <w:t>all of</w:t>
      </w:r>
      <w:proofErr w:type="gramEnd"/>
      <w:r w:rsidRPr="006A5892">
        <w:rPr>
          <w:sz w:val="20"/>
          <w:szCs w:val="20"/>
        </w:rPr>
        <w:t xml:space="preserve"> the human health impact score is attributed to the global warming category.  In contrast</w:t>
      </w:r>
      <w:r>
        <w:rPr>
          <w:sz w:val="20"/>
          <w:szCs w:val="20"/>
        </w:rPr>
        <w:t>,</w:t>
      </w:r>
      <w:r w:rsidRPr="006A5892">
        <w:rPr>
          <w:sz w:val="20"/>
          <w:szCs w:val="20"/>
        </w:rPr>
        <w:t xml:space="preserve"> case studies 3.3 and 4 do not include land use change emission</w:t>
      </w:r>
      <w:r>
        <w:rPr>
          <w:sz w:val="20"/>
          <w:szCs w:val="20"/>
        </w:rPr>
        <w:t>s</w:t>
      </w:r>
      <w:r w:rsidRPr="006A5892">
        <w:rPr>
          <w:sz w:val="20"/>
          <w:szCs w:val="20"/>
        </w:rPr>
        <w:t xml:space="preserve">, demonstrating </w:t>
      </w:r>
      <w:r w:rsidRPr="00B003E9">
        <w:rPr>
          <w:b/>
          <w:bCs/>
          <w:sz w:val="20"/>
          <w:szCs w:val="20"/>
        </w:rPr>
        <w:t>both</w:t>
      </w:r>
      <w:r w:rsidRPr="006A5892">
        <w:rPr>
          <w:sz w:val="20"/>
          <w:szCs w:val="20"/>
        </w:rPr>
        <w:t xml:space="preserve"> much lower overall human health impact and climate change scores. For these case studies that do not include emissions due to land use change approximately 60% of the health impact is due to fine particulate matter formation (due to burning husk and/or transport). In other words, the particulates associated with husk burning and transport become much more important </w:t>
      </w:r>
      <w:r w:rsidRPr="00B003E9">
        <w:rPr>
          <w:b/>
          <w:bCs/>
          <w:sz w:val="20"/>
          <w:szCs w:val="20"/>
        </w:rPr>
        <w:t>in relative terms</w:t>
      </w:r>
      <w:r w:rsidRPr="006A5892">
        <w:rPr>
          <w:sz w:val="20"/>
          <w:szCs w:val="20"/>
        </w:rPr>
        <w:t xml:space="preserve"> in the absence of significant climate health impacts due to land use change. For all cases studies the majority of the (73-99%) of ecosystem quality impact score is due to ‘Global warming of Terrestrial </w:t>
      </w:r>
      <w:r w:rsidR="00BA642B">
        <w:rPr>
          <w:sz w:val="20"/>
          <w:szCs w:val="20"/>
        </w:rPr>
        <w:t>E</w:t>
      </w:r>
      <w:r w:rsidRPr="006A5892">
        <w:rPr>
          <w:sz w:val="20"/>
          <w:szCs w:val="20"/>
        </w:rPr>
        <w:t>cosystems’.</w:t>
      </w:r>
    </w:p>
    <w:p w14:paraId="3320A9BA" w14:textId="439318A7" w:rsidR="006175C8" w:rsidRPr="00D94BE6" w:rsidRDefault="006175C8" w:rsidP="006175C8">
      <w:pPr>
        <w:pStyle w:val="Heading3"/>
      </w:pPr>
      <w:r w:rsidRPr="00A135F7">
        <w:t xml:space="preserve"> </w:t>
      </w:r>
      <w:bookmarkStart w:id="180" w:name="_Toc228701049"/>
      <w:r w:rsidR="008651CB" w:rsidRPr="008651CB">
        <w:t>Impacts associated with Drying</w:t>
      </w:r>
      <w:bookmarkEnd w:id="180"/>
    </w:p>
    <w:p w14:paraId="3DDA8322" w14:textId="721D9669" w:rsidR="007C3443" w:rsidRDefault="007C3443" w:rsidP="007C3443">
      <w:pPr>
        <w:rPr>
          <w:sz w:val="20"/>
          <w:szCs w:val="20"/>
        </w:rPr>
      </w:pPr>
      <w:r w:rsidRPr="006A5892">
        <w:rPr>
          <w:sz w:val="20"/>
          <w:szCs w:val="20"/>
        </w:rPr>
        <w:t xml:space="preserve">The emissions associated with drying are estimated for 3 case studies based on the view that these stands are more established and productive. The climate change results per dry kg (based on two drying regimes accepting beans of 10 and 70% MC respectively) are </w:t>
      </w:r>
      <w:proofErr w:type="spellStart"/>
      <w:r w:rsidRPr="006A5892">
        <w:rPr>
          <w:sz w:val="20"/>
          <w:szCs w:val="20"/>
        </w:rPr>
        <w:t>summarised</w:t>
      </w:r>
      <w:proofErr w:type="spellEnd"/>
      <w:r w:rsidRPr="006A5892">
        <w:rPr>
          <w:sz w:val="20"/>
          <w:szCs w:val="20"/>
        </w:rPr>
        <w:t xml:space="preserve"> in </w:t>
      </w:r>
      <w:r w:rsidRPr="00B2663D">
        <w:rPr>
          <w:sz w:val="20"/>
          <w:szCs w:val="20"/>
        </w:rPr>
        <w:fldChar w:fldCharType="begin"/>
      </w:r>
      <w:r w:rsidRPr="00B2663D">
        <w:rPr>
          <w:sz w:val="20"/>
          <w:szCs w:val="20"/>
        </w:rPr>
        <w:instrText xml:space="preserve"> REF _Ref227064454 \h </w:instrText>
      </w:r>
      <w:r w:rsidR="00B2663D">
        <w:rPr>
          <w:sz w:val="20"/>
          <w:szCs w:val="20"/>
        </w:rPr>
        <w:instrText xml:space="preserve"> \* MERGEFORMAT </w:instrText>
      </w:r>
      <w:r w:rsidRPr="00B2663D">
        <w:rPr>
          <w:sz w:val="20"/>
          <w:szCs w:val="20"/>
        </w:rPr>
      </w:r>
      <w:r w:rsidRPr="00B2663D">
        <w:rPr>
          <w:sz w:val="20"/>
          <w:szCs w:val="20"/>
        </w:rPr>
        <w:fldChar w:fldCharType="separate"/>
      </w:r>
      <w:r w:rsidRPr="001F42F7">
        <w:rPr>
          <w:sz w:val="20"/>
          <w:szCs w:val="20"/>
        </w:rPr>
        <w:t>Table 5</w:t>
      </w:r>
      <w:r w:rsidRPr="001F42F7">
        <w:rPr>
          <w:sz w:val="20"/>
          <w:szCs w:val="20"/>
        </w:rPr>
        <w:noBreakHyphen/>
        <w:t>8</w:t>
      </w:r>
      <w:r w:rsidRPr="00B2663D">
        <w:rPr>
          <w:sz w:val="20"/>
          <w:szCs w:val="20"/>
        </w:rPr>
        <w:fldChar w:fldCharType="end"/>
      </w:r>
      <w:r w:rsidRPr="00B2663D">
        <w:rPr>
          <w:sz w:val="20"/>
          <w:szCs w:val="20"/>
        </w:rPr>
        <w:t>.</w:t>
      </w:r>
    </w:p>
    <w:p w14:paraId="7E93CCB8" w14:textId="77777777" w:rsidR="001F42F7" w:rsidRDefault="001F42F7" w:rsidP="007C3443">
      <w:pPr>
        <w:rPr>
          <w:sz w:val="20"/>
          <w:szCs w:val="20"/>
        </w:rPr>
      </w:pPr>
    </w:p>
    <w:p w14:paraId="30FD7FDA" w14:textId="77777777" w:rsidR="001F42F7" w:rsidRDefault="001F42F7" w:rsidP="007C3443">
      <w:pPr>
        <w:rPr>
          <w:sz w:val="20"/>
          <w:szCs w:val="20"/>
        </w:rPr>
      </w:pPr>
    </w:p>
    <w:p w14:paraId="17C5B99D" w14:textId="77777777" w:rsidR="001F42F7" w:rsidRDefault="001F42F7" w:rsidP="007C3443">
      <w:pPr>
        <w:rPr>
          <w:sz w:val="20"/>
          <w:szCs w:val="20"/>
        </w:rPr>
      </w:pPr>
    </w:p>
    <w:p w14:paraId="0356DF27" w14:textId="77777777" w:rsidR="001F42F7" w:rsidRDefault="001F42F7" w:rsidP="007C3443">
      <w:pPr>
        <w:rPr>
          <w:sz w:val="20"/>
          <w:szCs w:val="20"/>
        </w:rPr>
      </w:pPr>
    </w:p>
    <w:p w14:paraId="54D1FC4F" w14:textId="77777777" w:rsidR="001F42F7" w:rsidRDefault="001F42F7" w:rsidP="007C3443">
      <w:pPr>
        <w:rPr>
          <w:sz w:val="20"/>
          <w:szCs w:val="20"/>
        </w:rPr>
      </w:pPr>
    </w:p>
    <w:p w14:paraId="447FC523" w14:textId="77777777" w:rsidR="001F42F7" w:rsidRDefault="001F42F7" w:rsidP="007C3443">
      <w:pPr>
        <w:rPr>
          <w:sz w:val="20"/>
          <w:szCs w:val="20"/>
        </w:rPr>
      </w:pPr>
    </w:p>
    <w:p w14:paraId="3746E6EC" w14:textId="77777777" w:rsidR="001F42F7" w:rsidRDefault="001F42F7" w:rsidP="007C3443">
      <w:pPr>
        <w:rPr>
          <w:sz w:val="20"/>
          <w:szCs w:val="20"/>
        </w:rPr>
      </w:pPr>
    </w:p>
    <w:p w14:paraId="7D5D5DA8" w14:textId="77777777" w:rsidR="001F42F7" w:rsidRDefault="001F42F7" w:rsidP="007C3443">
      <w:pPr>
        <w:rPr>
          <w:sz w:val="20"/>
          <w:szCs w:val="20"/>
        </w:rPr>
      </w:pPr>
    </w:p>
    <w:p w14:paraId="5FBC0303" w14:textId="77777777" w:rsidR="001F42F7" w:rsidRDefault="001F42F7" w:rsidP="007C3443">
      <w:pPr>
        <w:rPr>
          <w:sz w:val="20"/>
          <w:szCs w:val="20"/>
        </w:rPr>
      </w:pPr>
    </w:p>
    <w:p w14:paraId="1E256A02" w14:textId="77777777" w:rsidR="001F42F7" w:rsidRDefault="001F42F7" w:rsidP="007C3443">
      <w:pPr>
        <w:rPr>
          <w:sz w:val="20"/>
          <w:szCs w:val="20"/>
        </w:rPr>
      </w:pPr>
    </w:p>
    <w:p w14:paraId="41246BE3" w14:textId="77777777" w:rsidR="001F42F7" w:rsidRDefault="001F42F7" w:rsidP="007C3443">
      <w:pPr>
        <w:rPr>
          <w:sz w:val="20"/>
          <w:szCs w:val="20"/>
        </w:rPr>
      </w:pPr>
    </w:p>
    <w:p w14:paraId="4B03C987" w14:textId="77777777" w:rsidR="001F42F7" w:rsidRPr="006A5892" w:rsidRDefault="001F42F7" w:rsidP="007C3443">
      <w:pPr>
        <w:rPr>
          <w:sz w:val="20"/>
          <w:szCs w:val="20"/>
        </w:rPr>
      </w:pPr>
    </w:p>
    <w:p w14:paraId="02E571D1" w14:textId="77777777" w:rsidR="007C3443" w:rsidRPr="006A5892" w:rsidRDefault="007C3443" w:rsidP="007C3443"/>
    <w:p w14:paraId="374C16D3" w14:textId="1A219F25" w:rsidR="007C3443" w:rsidRPr="006A5892" w:rsidRDefault="007C3443" w:rsidP="007C3443">
      <w:pPr>
        <w:pStyle w:val="Caption"/>
        <w:keepNext/>
        <w:jc w:val="center"/>
      </w:pPr>
      <w:bookmarkStart w:id="181" w:name="_Ref227064454"/>
      <w:bookmarkStart w:id="182" w:name="_Toc228701093"/>
      <w:r w:rsidRPr="006A5892">
        <w:lastRenderedPageBreak/>
        <w:t xml:space="preserve">Table </w:t>
      </w:r>
      <w:fldSimple w:instr=" STYLEREF 1 \s ">
        <w:r w:rsidR="006C1C4E">
          <w:rPr>
            <w:noProof/>
          </w:rPr>
          <w:t>5</w:t>
        </w:r>
      </w:fldSimple>
      <w:r w:rsidR="006C1C4E">
        <w:noBreakHyphen/>
      </w:r>
      <w:fldSimple w:instr=" SEQ Table \* ARABIC \s 1 ">
        <w:r w:rsidR="006C1C4E">
          <w:rPr>
            <w:noProof/>
          </w:rPr>
          <w:t>8</w:t>
        </w:r>
      </w:fldSimple>
      <w:bookmarkEnd w:id="181"/>
      <w:r w:rsidRPr="006A5892">
        <w:t xml:space="preserve"> CLIMATE CHANGE IMPACT SCORE MEASURES IN KG CO</w:t>
      </w:r>
      <w:r w:rsidRPr="006A5892">
        <w:rPr>
          <w:rFonts w:ascii="Cambria Math" w:hAnsi="Cambria Math" w:cs="Cambria Math"/>
        </w:rPr>
        <w:t>₂</w:t>
      </w:r>
      <w:r w:rsidRPr="006A5892">
        <w:t>E PER KG DRY BEANS AT THE PORT</w:t>
      </w:r>
      <w:bookmarkEnd w:id="182"/>
    </w:p>
    <w:tbl>
      <w:tblPr>
        <w:tblW w:w="8680" w:type="dxa"/>
        <w:jc w:val="center"/>
        <w:tblLook w:val="04A0" w:firstRow="1" w:lastRow="0" w:firstColumn="1" w:lastColumn="0" w:noHBand="0" w:noVBand="1"/>
      </w:tblPr>
      <w:tblGrid>
        <w:gridCol w:w="1235"/>
        <w:gridCol w:w="1525"/>
        <w:gridCol w:w="1160"/>
        <w:gridCol w:w="960"/>
        <w:gridCol w:w="1260"/>
        <w:gridCol w:w="1040"/>
        <w:gridCol w:w="1500"/>
      </w:tblGrid>
      <w:tr w:rsidR="007C3443" w:rsidRPr="006A5892" w14:paraId="27AAA5FB" w14:textId="77777777" w:rsidTr="0089347F">
        <w:trPr>
          <w:trHeight w:val="290"/>
          <w:jc w:val="center"/>
        </w:trPr>
        <w:tc>
          <w:tcPr>
            <w:tcW w:w="1235" w:type="dxa"/>
            <w:tcBorders>
              <w:top w:val="single" w:sz="4" w:space="0" w:color="auto"/>
              <w:left w:val="single" w:sz="4" w:space="0" w:color="auto"/>
              <w:bottom w:val="single" w:sz="4" w:space="0" w:color="auto"/>
              <w:right w:val="single" w:sz="4" w:space="0" w:color="auto"/>
            </w:tcBorders>
            <w:vAlign w:val="bottom"/>
          </w:tcPr>
          <w:p w14:paraId="7D146375" w14:textId="77777777" w:rsidR="007C3443" w:rsidRPr="006A5892" w:rsidRDefault="007C3443" w:rsidP="0089347F">
            <w:pPr>
              <w:jc w:val="center"/>
              <w:rPr>
                <w:rFonts w:eastAsia="Times New Roman" w:cs="Open Sans"/>
                <w:color w:val="000000"/>
                <w:lang w:eastAsia="en-GB"/>
              </w:rPr>
            </w:pPr>
          </w:p>
        </w:tc>
        <w:tc>
          <w:tcPr>
            <w:tcW w:w="1525" w:type="dxa"/>
            <w:tcBorders>
              <w:top w:val="single" w:sz="4" w:space="0" w:color="auto"/>
              <w:left w:val="single" w:sz="4" w:space="0" w:color="auto"/>
              <w:bottom w:val="single" w:sz="4" w:space="0" w:color="auto"/>
              <w:right w:val="single" w:sz="4" w:space="0" w:color="auto"/>
            </w:tcBorders>
            <w:noWrap/>
            <w:vAlign w:val="bottom"/>
          </w:tcPr>
          <w:p w14:paraId="1238894D" w14:textId="77777777" w:rsidR="007C3443" w:rsidRPr="006A5892" w:rsidRDefault="007C3443" w:rsidP="0089347F">
            <w:pPr>
              <w:jc w:val="center"/>
              <w:rPr>
                <w:rFonts w:eastAsia="Times New Roman" w:cs="Open Sans"/>
                <w:color w:val="000000"/>
                <w:lang w:eastAsia="en-GB"/>
              </w:rPr>
            </w:pPr>
          </w:p>
        </w:tc>
        <w:tc>
          <w:tcPr>
            <w:tcW w:w="4420" w:type="dxa"/>
            <w:gridSpan w:val="4"/>
            <w:tcBorders>
              <w:top w:val="single" w:sz="4" w:space="0" w:color="auto"/>
              <w:left w:val="nil"/>
              <w:bottom w:val="single" w:sz="4" w:space="0" w:color="auto"/>
              <w:right w:val="single" w:sz="4" w:space="0" w:color="auto"/>
            </w:tcBorders>
            <w:noWrap/>
            <w:vAlign w:val="bottom"/>
          </w:tcPr>
          <w:p w14:paraId="1DF803F3" w14:textId="77777777" w:rsidR="007C3443" w:rsidRPr="006A5892" w:rsidRDefault="007C3443" w:rsidP="0089347F">
            <w:pPr>
              <w:jc w:val="center"/>
              <w:rPr>
                <w:rFonts w:eastAsia="Times New Roman" w:cs="Open Sans"/>
                <w:color w:val="000000"/>
                <w:lang w:eastAsia="en-GB"/>
              </w:rPr>
            </w:pPr>
            <w:r w:rsidRPr="00B003E9">
              <w:rPr>
                <w:rFonts w:eastAsia="Times New Roman" w:cs="Open Sans"/>
                <w:b/>
                <w:bCs/>
                <w:color w:val="000000"/>
                <w:lang w:eastAsia="en-GB"/>
              </w:rPr>
              <w:t xml:space="preserve">High </w:t>
            </w:r>
            <w:proofErr w:type="gramStart"/>
            <w:r w:rsidRPr="00B003E9">
              <w:rPr>
                <w:rFonts w:eastAsia="Times New Roman" w:cs="Open Sans"/>
                <w:b/>
                <w:bCs/>
                <w:color w:val="000000"/>
                <w:lang w:eastAsia="en-GB"/>
              </w:rPr>
              <w:t>Drying  kg</w:t>
            </w:r>
            <w:proofErr w:type="gramEnd"/>
            <w:r w:rsidRPr="00B003E9">
              <w:rPr>
                <w:rFonts w:eastAsia="Times New Roman" w:cs="Open Sans"/>
                <w:b/>
                <w:bCs/>
                <w:color w:val="000000"/>
                <w:lang w:eastAsia="en-GB"/>
              </w:rPr>
              <w:t xml:space="preserve"> CO</w:t>
            </w:r>
            <w:r w:rsidRPr="00B003E9">
              <w:rPr>
                <w:rFonts w:eastAsia="Times New Roman" w:cs="Open Sans"/>
                <w:b/>
                <w:bCs/>
                <w:color w:val="000000"/>
                <w:vertAlign w:val="subscript"/>
                <w:lang w:eastAsia="en-GB"/>
              </w:rPr>
              <w:t>2</w:t>
            </w:r>
            <w:r w:rsidRPr="00B003E9">
              <w:rPr>
                <w:rFonts w:eastAsia="Times New Roman" w:cs="Open Sans"/>
                <w:b/>
                <w:bCs/>
                <w:color w:val="000000"/>
                <w:lang w:eastAsia="en-GB"/>
              </w:rPr>
              <w:t>e/kg dry beans</w:t>
            </w:r>
          </w:p>
        </w:tc>
        <w:tc>
          <w:tcPr>
            <w:tcW w:w="1500" w:type="dxa"/>
            <w:tcBorders>
              <w:top w:val="single" w:sz="4" w:space="0" w:color="auto"/>
              <w:left w:val="nil"/>
              <w:bottom w:val="single" w:sz="4" w:space="0" w:color="auto"/>
              <w:right w:val="single" w:sz="4" w:space="0" w:color="auto"/>
            </w:tcBorders>
            <w:noWrap/>
            <w:vAlign w:val="bottom"/>
          </w:tcPr>
          <w:p w14:paraId="4EBC44DD" w14:textId="77777777" w:rsidR="007C3443" w:rsidRPr="006A5892" w:rsidRDefault="007C3443" w:rsidP="0089347F">
            <w:pPr>
              <w:jc w:val="center"/>
              <w:rPr>
                <w:rFonts w:eastAsia="Times New Roman" w:cs="Open Sans"/>
                <w:color w:val="000000"/>
                <w:lang w:eastAsia="en-GB"/>
              </w:rPr>
            </w:pPr>
          </w:p>
        </w:tc>
      </w:tr>
      <w:tr w:rsidR="007C3443" w:rsidRPr="006A5892" w14:paraId="039FE165" w14:textId="77777777" w:rsidTr="0089347F">
        <w:trPr>
          <w:trHeight w:val="290"/>
          <w:jc w:val="center"/>
        </w:trPr>
        <w:tc>
          <w:tcPr>
            <w:tcW w:w="1235" w:type="dxa"/>
            <w:tcBorders>
              <w:top w:val="single" w:sz="4" w:space="0" w:color="auto"/>
              <w:left w:val="single" w:sz="4" w:space="0" w:color="auto"/>
              <w:bottom w:val="single" w:sz="4" w:space="0" w:color="auto"/>
              <w:right w:val="single" w:sz="4" w:space="0" w:color="auto"/>
            </w:tcBorders>
            <w:vAlign w:val="bottom"/>
          </w:tcPr>
          <w:p w14:paraId="58AE63E6" w14:textId="77777777" w:rsidR="007C3443" w:rsidRPr="00B003E9" w:rsidRDefault="007C3443" w:rsidP="0089347F">
            <w:pPr>
              <w:jc w:val="center"/>
              <w:rPr>
                <w:rFonts w:eastAsia="Times New Roman" w:cs="Open Sans"/>
                <w:color w:val="000000"/>
                <w:lang w:eastAsia="en-GB"/>
              </w:rPr>
            </w:pPr>
            <w:r>
              <w:rPr>
                <w:rFonts w:eastAsia="Times New Roman" w:cs="Open Sans"/>
                <w:color w:val="000000"/>
                <w:lang w:eastAsia="en-GB"/>
              </w:rPr>
              <w:t>Case Study</w:t>
            </w:r>
          </w:p>
        </w:tc>
        <w:tc>
          <w:tcPr>
            <w:tcW w:w="1525" w:type="dxa"/>
            <w:tcBorders>
              <w:top w:val="single" w:sz="4" w:space="0" w:color="auto"/>
              <w:left w:val="single" w:sz="4" w:space="0" w:color="auto"/>
              <w:bottom w:val="single" w:sz="4" w:space="0" w:color="auto"/>
              <w:right w:val="single" w:sz="4" w:space="0" w:color="auto"/>
            </w:tcBorders>
            <w:noWrap/>
            <w:vAlign w:val="bottom"/>
          </w:tcPr>
          <w:p w14:paraId="353B66F7"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Previous Land Use</w:t>
            </w:r>
          </w:p>
        </w:tc>
        <w:tc>
          <w:tcPr>
            <w:tcW w:w="1160" w:type="dxa"/>
            <w:tcBorders>
              <w:top w:val="single" w:sz="4" w:space="0" w:color="auto"/>
              <w:left w:val="nil"/>
              <w:bottom w:val="single" w:sz="4" w:space="0" w:color="auto"/>
              <w:right w:val="single" w:sz="4" w:space="0" w:color="auto"/>
            </w:tcBorders>
            <w:noWrap/>
            <w:vAlign w:val="bottom"/>
            <w:hideMark/>
          </w:tcPr>
          <w:p w14:paraId="42E9E799"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Transport</w:t>
            </w:r>
          </w:p>
        </w:tc>
        <w:tc>
          <w:tcPr>
            <w:tcW w:w="960" w:type="dxa"/>
            <w:tcBorders>
              <w:top w:val="single" w:sz="4" w:space="0" w:color="auto"/>
              <w:left w:val="nil"/>
              <w:bottom w:val="single" w:sz="4" w:space="0" w:color="auto"/>
              <w:right w:val="single" w:sz="4" w:space="0" w:color="auto"/>
            </w:tcBorders>
            <w:noWrap/>
            <w:vAlign w:val="bottom"/>
            <w:hideMark/>
          </w:tcPr>
          <w:p w14:paraId="2266B891"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Drying</w:t>
            </w:r>
          </w:p>
        </w:tc>
        <w:tc>
          <w:tcPr>
            <w:tcW w:w="1260" w:type="dxa"/>
            <w:tcBorders>
              <w:top w:val="single" w:sz="4" w:space="0" w:color="auto"/>
              <w:left w:val="nil"/>
              <w:bottom w:val="single" w:sz="4" w:space="0" w:color="auto"/>
              <w:right w:val="single" w:sz="4" w:space="0" w:color="auto"/>
            </w:tcBorders>
            <w:noWrap/>
            <w:vAlign w:val="bottom"/>
            <w:hideMark/>
          </w:tcPr>
          <w:p w14:paraId="59C3604D"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Cultivation</w:t>
            </w:r>
          </w:p>
        </w:tc>
        <w:tc>
          <w:tcPr>
            <w:tcW w:w="1040" w:type="dxa"/>
            <w:tcBorders>
              <w:top w:val="single" w:sz="4" w:space="0" w:color="auto"/>
              <w:left w:val="nil"/>
              <w:bottom w:val="single" w:sz="4" w:space="0" w:color="auto"/>
              <w:right w:val="single" w:sz="4" w:space="0" w:color="auto"/>
            </w:tcBorders>
            <w:noWrap/>
            <w:vAlign w:val="bottom"/>
            <w:hideMark/>
          </w:tcPr>
          <w:p w14:paraId="37524AB5"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Total</w:t>
            </w:r>
          </w:p>
        </w:tc>
        <w:tc>
          <w:tcPr>
            <w:tcW w:w="1500" w:type="dxa"/>
            <w:tcBorders>
              <w:top w:val="single" w:sz="4" w:space="0" w:color="auto"/>
              <w:left w:val="nil"/>
              <w:bottom w:val="single" w:sz="4" w:space="0" w:color="auto"/>
              <w:right w:val="single" w:sz="4" w:space="0" w:color="auto"/>
            </w:tcBorders>
            <w:noWrap/>
            <w:vAlign w:val="bottom"/>
            <w:hideMark/>
          </w:tcPr>
          <w:p w14:paraId="6B08C856"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 xml:space="preserve">Ratio </w:t>
            </w:r>
          </w:p>
          <w:p w14:paraId="4AFA6921"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 xml:space="preserve">% vs </w:t>
            </w:r>
            <w:r w:rsidRPr="006A5892">
              <w:rPr>
                <w:rFonts w:eastAsia="Times New Roman" w:cs="Open Sans"/>
                <w:color w:val="000000"/>
                <w:lang w:eastAsia="en-GB"/>
              </w:rPr>
              <w:t>sun</w:t>
            </w:r>
            <w:r w:rsidRPr="00B003E9">
              <w:rPr>
                <w:rFonts w:eastAsia="Times New Roman" w:cs="Open Sans"/>
                <w:color w:val="000000"/>
                <w:lang w:eastAsia="en-GB"/>
              </w:rPr>
              <w:t xml:space="preserve"> drying</w:t>
            </w:r>
          </w:p>
        </w:tc>
      </w:tr>
      <w:tr w:rsidR="007C3443" w:rsidRPr="006A5892" w14:paraId="73CA0F58" w14:textId="77777777" w:rsidTr="0089347F">
        <w:trPr>
          <w:trHeight w:val="290"/>
          <w:jc w:val="center"/>
        </w:trPr>
        <w:tc>
          <w:tcPr>
            <w:tcW w:w="1235" w:type="dxa"/>
            <w:vMerge w:val="restart"/>
            <w:tcBorders>
              <w:top w:val="nil"/>
              <w:left w:val="single" w:sz="4" w:space="0" w:color="auto"/>
              <w:right w:val="single" w:sz="4" w:space="0" w:color="auto"/>
            </w:tcBorders>
          </w:tcPr>
          <w:p w14:paraId="2796A155"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Early Mature Medium Sized small holder</w:t>
            </w:r>
          </w:p>
        </w:tc>
        <w:tc>
          <w:tcPr>
            <w:tcW w:w="1525" w:type="dxa"/>
            <w:tcBorders>
              <w:top w:val="nil"/>
              <w:left w:val="single" w:sz="4" w:space="0" w:color="auto"/>
              <w:bottom w:val="single" w:sz="4" w:space="0" w:color="auto"/>
              <w:right w:val="single" w:sz="4" w:space="0" w:color="auto"/>
            </w:tcBorders>
            <w:noWrap/>
            <w:hideMark/>
          </w:tcPr>
          <w:p w14:paraId="58B7F1D9" w14:textId="77777777" w:rsidR="007C3443" w:rsidRPr="00B003E9" w:rsidRDefault="007C3443" w:rsidP="0089347F">
            <w:pPr>
              <w:jc w:val="center"/>
              <w:rPr>
                <w:rFonts w:eastAsia="Times New Roman" w:cs="Open Sans"/>
                <w:color w:val="000000"/>
                <w:lang w:eastAsia="en-GB"/>
              </w:rPr>
            </w:pPr>
            <w:r w:rsidRPr="006A5892">
              <w:rPr>
                <w:rFonts w:cs="Open Sans"/>
              </w:rPr>
              <w:t>Forest</w:t>
            </w:r>
          </w:p>
        </w:tc>
        <w:tc>
          <w:tcPr>
            <w:tcW w:w="1160" w:type="dxa"/>
            <w:tcBorders>
              <w:top w:val="nil"/>
              <w:left w:val="nil"/>
              <w:bottom w:val="single" w:sz="4" w:space="0" w:color="auto"/>
              <w:right w:val="single" w:sz="4" w:space="0" w:color="auto"/>
            </w:tcBorders>
            <w:noWrap/>
            <w:vAlign w:val="bottom"/>
            <w:hideMark/>
          </w:tcPr>
          <w:p w14:paraId="23C605F9"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0.09</w:t>
            </w:r>
          </w:p>
        </w:tc>
        <w:tc>
          <w:tcPr>
            <w:tcW w:w="960" w:type="dxa"/>
            <w:tcBorders>
              <w:top w:val="nil"/>
              <w:left w:val="nil"/>
              <w:bottom w:val="single" w:sz="4" w:space="0" w:color="auto"/>
              <w:right w:val="single" w:sz="4" w:space="0" w:color="auto"/>
            </w:tcBorders>
            <w:noWrap/>
            <w:vAlign w:val="bottom"/>
            <w:hideMark/>
          </w:tcPr>
          <w:p w14:paraId="7EDFE9C2"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0.34</w:t>
            </w:r>
          </w:p>
        </w:tc>
        <w:tc>
          <w:tcPr>
            <w:tcW w:w="1260" w:type="dxa"/>
            <w:tcBorders>
              <w:top w:val="nil"/>
              <w:left w:val="nil"/>
              <w:bottom w:val="single" w:sz="4" w:space="0" w:color="auto"/>
              <w:right w:val="single" w:sz="4" w:space="0" w:color="auto"/>
            </w:tcBorders>
            <w:noWrap/>
            <w:vAlign w:val="bottom"/>
            <w:hideMark/>
          </w:tcPr>
          <w:p w14:paraId="6F17C28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18.68</w:t>
            </w:r>
          </w:p>
        </w:tc>
        <w:tc>
          <w:tcPr>
            <w:tcW w:w="1040" w:type="dxa"/>
            <w:tcBorders>
              <w:top w:val="nil"/>
              <w:left w:val="nil"/>
              <w:bottom w:val="single" w:sz="4" w:space="0" w:color="auto"/>
              <w:right w:val="single" w:sz="4" w:space="0" w:color="auto"/>
            </w:tcBorders>
            <w:noWrap/>
            <w:vAlign w:val="bottom"/>
            <w:hideMark/>
          </w:tcPr>
          <w:p w14:paraId="7D8F2D21"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19.11</w:t>
            </w:r>
          </w:p>
        </w:tc>
        <w:tc>
          <w:tcPr>
            <w:tcW w:w="1500" w:type="dxa"/>
            <w:tcBorders>
              <w:top w:val="nil"/>
              <w:left w:val="nil"/>
              <w:bottom w:val="single" w:sz="4" w:space="0" w:color="auto"/>
              <w:right w:val="single" w:sz="4" w:space="0" w:color="auto"/>
            </w:tcBorders>
            <w:noWrap/>
            <w:vAlign w:val="bottom"/>
            <w:hideMark/>
          </w:tcPr>
          <w:p w14:paraId="78C334B5"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152%</w:t>
            </w:r>
          </w:p>
        </w:tc>
      </w:tr>
      <w:tr w:rsidR="007C3443" w:rsidRPr="006A5892" w14:paraId="7BE7D7DA" w14:textId="77777777" w:rsidTr="0089347F">
        <w:trPr>
          <w:trHeight w:val="290"/>
          <w:jc w:val="center"/>
        </w:trPr>
        <w:tc>
          <w:tcPr>
            <w:tcW w:w="1235" w:type="dxa"/>
            <w:vMerge/>
            <w:tcBorders>
              <w:left w:val="single" w:sz="4" w:space="0" w:color="auto"/>
              <w:bottom w:val="single" w:sz="4" w:space="0" w:color="auto"/>
              <w:right w:val="single" w:sz="4" w:space="0" w:color="auto"/>
            </w:tcBorders>
          </w:tcPr>
          <w:p w14:paraId="29BB8C18" w14:textId="77777777" w:rsidR="007C3443" w:rsidRPr="00B003E9" w:rsidRDefault="007C3443" w:rsidP="0089347F">
            <w:pPr>
              <w:jc w:val="center"/>
              <w:rPr>
                <w:rFonts w:eastAsia="Times New Roman" w:cs="Open Sans"/>
                <w:color w:val="000000"/>
                <w:lang w:eastAsia="en-GB"/>
              </w:rPr>
            </w:pPr>
          </w:p>
        </w:tc>
        <w:tc>
          <w:tcPr>
            <w:tcW w:w="1525" w:type="dxa"/>
            <w:tcBorders>
              <w:top w:val="nil"/>
              <w:left w:val="single" w:sz="4" w:space="0" w:color="auto"/>
              <w:bottom w:val="single" w:sz="4" w:space="0" w:color="auto"/>
              <w:right w:val="single" w:sz="4" w:space="0" w:color="auto"/>
            </w:tcBorders>
            <w:noWrap/>
            <w:hideMark/>
          </w:tcPr>
          <w:p w14:paraId="1AFA4891" w14:textId="77777777" w:rsidR="007C3443" w:rsidRPr="00B003E9" w:rsidRDefault="007C3443" w:rsidP="0089347F">
            <w:pPr>
              <w:jc w:val="center"/>
              <w:rPr>
                <w:rFonts w:eastAsia="Times New Roman" w:cs="Open Sans"/>
                <w:color w:val="000000"/>
                <w:lang w:eastAsia="en-GB"/>
              </w:rPr>
            </w:pPr>
            <w:r w:rsidRPr="006A5892">
              <w:rPr>
                <w:rFonts w:cs="Open Sans"/>
              </w:rPr>
              <w:t>Grassland</w:t>
            </w:r>
          </w:p>
        </w:tc>
        <w:tc>
          <w:tcPr>
            <w:tcW w:w="1160" w:type="dxa"/>
            <w:tcBorders>
              <w:top w:val="nil"/>
              <w:left w:val="nil"/>
              <w:bottom w:val="single" w:sz="4" w:space="0" w:color="auto"/>
              <w:right w:val="single" w:sz="4" w:space="0" w:color="auto"/>
            </w:tcBorders>
            <w:noWrap/>
            <w:vAlign w:val="bottom"/>
            <w:hideMark/>
          </w:tcPr>
          <w:p w14:paraId="0EBE9FF8"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0.09</w:t>
            </w:r>
          </w:p>
        </w:tc>
        <w:tc>
          <w:tcPr>
            <w:tcW w:w="960" w:type="dxa"/>
            <w:tcBorders>
              <w:top w:val="nil"/>
              <w:left w:val="nil"/>
              <w:bottom w:val="single" w:sz="4" w:space="0" w:color="auto"/>
              <w:right w:val="single" w:sz="4" w:space="0" w:color="auto"/>
            </w:tcBorders>
            <w:noWrap/>
            <w:vAlign w:val="bottom"/>
            <w:hideMark/>
          </w:tcPr>
          <w:p w14:paraId="420BB6E6"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0.28</w:t>
            </w:r>
          </w:p>
        </w:tc>
        <w:tc>
          <w:tcPr>
            <w:tcW w:w="1260" w:type="dxa"/>
            <w:tcBorders>
              <w:top w:val="nil"/>
              <w:left w:val="nil"/>
              <w:bottom w:val="single" w:sz="4" w:space="0" w:color="auto"/>
              <w:right w:val="single" w:sz="4" w:space="0" w:color="auto"/>
            </w:tcBorders>
            <w:noWrap/>
            <w:vAlign w:val="bottom"/>
            <w:hideMark/>
          </w:tcPr>
          <w:p w14:paraId="56746C2C"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-35.50</w:t>
            </w:r>
          </w:p>
        </w:tc>
        <w:tc>
          <w:tcPr>
            <w:tcW w:w="1040" w:type="dxa"/>
            <w:tcBorders>
              <w:top w:val="nil"/>
              <w:left w:val="nil"/>
              <w:bottom w:val="single" w:sz="4" w:space="0" w:color="auto"/>
              <w:right w:val="single" w:sz="4" w:space="0" w:color="auto"/>
            </w:tcBorders>
            <w:noWrap/>
            <w:vAlign w:val="bottom"/>
            <w:hideMark/>
          </w:tcPr>
          <w:p w14:paraId="4B66ACED"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-35.13</w:t>
            </w:r>
          </w:p>
        </w:tc>
        <w:tc>
          <w:tcPr>
            <w:tcW w:w="1500" w:type="dxa"/>
            <w:tcBorders>
              <w:top w:val="nil"/>
              <w:left w:val="nil"/>
              <w:bottom w:val="single" w:sz="4" w:space="0" w:color="auto"/>
              <w:right w:val="single" w:sz="4" w:space="0" w:color="auto"/>
            </w:tcBorders>
            <w:noWrap/>
            <w:vAlign w:val="bottom"/>
            <w:hideMark/>
          </w:tcPr>
          <w:p w14:paraId="3D04CAE0"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149%</w:t>
            </w:r>
          </w:p>
        </w:tc>
      </w:tr>
      <w:tr w:rsidR="007C3443" w:rsidRPr="006A5892" w14:paraId="749FB34E" w14:textId="77777777" w:rsidTr="0089347F">
        <w:trPr>
          <w:trHeight w:val="290"/>
          <w:jc w:val="center"/>
        </w:trPr>
        <w:tc>
          <w:tcPr>
            <w:tcW w:w="1235" w:type="dxa"/>
            <w:tcBorders>
              <w:top w:val="nil"/>
              <w:left w:val="single" w:sz="4" w:space="0" w:color="auto"/>
              <w:bottom w:val="single" w:sz="4" w:space="0" w:color="auto"/>
              <w:right w:val="single" w:sz="4" w:space="0" w:color="auto"/>
            </w:tcBorders>
          </w:tcPr>
          <w:p w14:paraId="0850B64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Late Mature Medium Sized small holder</w:t>
            </w:r>
          </w:p>
        </w:tc>
        <w:tc>
          <w:tcPr>
            <w:tcW w:w="1525" w:type="dxa"/>
            <w:tcBorders>
              <w:top w:val="nil"/>
              <w:left w:val="single" w:sz="4" w:space="0" w:color="auto"/>
              <w:bottom w:val="single" w:sz="4" w:space="0" w:color="auto"/>
              <w:right w:val="single" w:sz="4" w:space="0" w:color="auto"/>
            </w:tcBorders>
            <w:noWrap/>
            <w:vAlign w:val="bottom"/>
            <w:hideMark/>
          </w:tcPr>
          <w:p w14:paraId="1B6E0489"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NA</w:t>
            </w:r>
          </w:p>
        </w:tc>
        <w:tc>
          <w:tcPr>
            <w:tcW w:w="1160" w:type="dxa"/>
            <w:tcBorders>
              <w:top w:val="nil"/>
              <w:left w:val="nil"/>
              <w:bottom w:val="single" w:sz="4" w:space="0" w:color="auto"/>
              <w:right w:val="single" w:sz="4" w:space="0" w:color="auto"/>
            </w:tcBorders>
            <w:noWrap/>
            <w:vAlign w:val="bottom"/>
            <w:hideMark/>
          </w:tcPr>
          <w:p w14:paraId="66B0B277"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0.09</w:t>
            </w:r>
          </w:p>
        </w:tc>
        <w:tc>
          <w:tcPr>
            <w:tcW w:w="960" w:type="dxa"/>
            <w:tcBorders>
              <w:top w:val="nil"/>
              <w:left w:val="nil"/>
              <w:bottom w:val="single" w:sz="4" w:space="0" w:color="auto"/>
              <w:right w:val="single" w:sz="4" w:space="0" w:color="auto"/>
            </w:tcBorders>
            <w:noWrap/>
            <w:vAlign w:val="bottom"/>
            <w:hideMark/>
          </w:tcPr>
          <w:p w14:paraId="23BB7000"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0.29</w:t>
            </w:r>
          </w:p>
        </w:tc>
        <w:tc>
          <w:tcPr>
            <w:tcW w:w="1260" w:type="dxa"/>
            <w:tcBorders>
              <w:top w:val="nil"/>
              <w:left w:val="nil"/>
              <w:bottom w:val="single" w:sz="4" w:space="0" w:color="auto"/>
              <w:right w:val="single" w:sz="4" w:space="0" w:color="auto"/>
            </w:tcBorders>
            <w:noWrap/>
            <w:vAlign w:val="bottom"/>
            <w:hideMark/>
          </w:tcPr>
          <w:p w14:paraId="68C471A3"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-94.89</w:t>
            </w:r>
          </w:p>
        </w:tc>
        <w:tc>
          <w:tcPr>
            <w:tcW w:w="1040" w:type="dxa"/>
            <w:tcBorders>
              <w:top w:val="nil"/>
              <w:left w:val="nil"/>
              <w:bottom w:val="single" w:sz="4" w:space="0" w:color="auto"/>
              <w:right w:val="single" w:sz="4" w:space="0" w:color="auto"/>
            </w:tcBorders>
            <w:noWrap/>
            <w:vAlign w:val="bottom"/>
            <w:hideMark/>
          </w:tcPr>
          <w:p w14:paraId="5348588C"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-94.50</w:t>
            </w:r>
          </w:p>
        </w:tc>
        <w:tc>
          <w:tcPr>
            <w:tcW w:w="1500" w:type="dxa"/>
            <w:tcBorders>
              <w:top w:val="nil"/>
              <w:left w:val="nil"/>
              <w:bottom w:val="single" w:sz="4" w:space="0" w:color="auto"/>
              <w:right w:val="single" w:sz="4" w:space="0" w:color="auto"/>
            </w:tcBorders>
            <w:noWrap/>
            <w:vAlign w:val="bottom"/>
            <w:hideMark/>
          </w:tcPr>
          <w:p w14:paraId="1979E700"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145%</w:t>
            </w:r>
          </w:p>
        </w:tc>
      </w:tr>
      <w:tr w:rsidR="007C3443" w:rsidRPr="006A5892" w14:paraId="76174D19" w14:textId="77777777" w:rsidTr="0089347F">
        <w:trPr>
          <w:trHeight w:val="290"/>
          <w:jc w:val="center"/>
        </w:trPr>
        <w:tc>
          <w:tcPr>
            <w:tcW w:w="1235" w:type="dxa"/>
            <w:tcBorders>
              <w:top w:val="nil"/>
              <w:left w:val="single" w:sz="4" w:space="0" w:color="auto"/>
              <w:bottom w:val="single" w:sz="4" w:space="0" w:color="auto"/>
              <w:right w:val="single" w:sz="4" w:space="0" w:color="auto"/>
            </w:tcBorders>
          </w:tcPr>
          <w:p w14:paraId="2DAE9C0A" w14:textId="77777777" w:rsidR="007C3443" w:rsidRPr="00B003E9" w:rsidRDefault="007C3443" w:rsidP="0089347F">
            <w:pPr>
              <w:rPr>
                <w:rFonts w:eastAsia="Times New Roman" w:cs="Open Sans"/>
                <w:color w:val="000000"/>
                <w:lang w:eastAsia="en-GB"/>
              </w:rPr>
            </w:pPr>
          </w:p>
        </w:tc>
        <w:tc>
          <w:tcPr>
            <w:tcW w:w="1525" w:type="dxa"/>
            <w:tcBorders>
              <w:top w:val="nil"/>
              <w:left w:val="single" w:sz="4" w:space="0" w:color="auto"/>
              <w:bottom w:val="single" w:sz="4" w:space="0" w:color="auto"/>
              <w:right w:val="single" w:sz="4" w:space="0" w:color="auto"/>
            </w:tcBorders>
            <w:noWrap/>
            <w:vAlign w:val="bottom"/>
            <w:hideMark/>
          </w:tcPr>
          <w:p w14:paraId="1EA50A45" w14:textId="77777777" w:rsidR="007C3443" w:rsidRPr="00B003E9" w:rsidRDefault="007C3443" w:rsidP="0089347F">
            <w:pPr>
              <w:rPr>
                <w:rFonts w:eastAsia="Times New Roman" w:cs="Open Sans"/>
                <w:color w:val="000000"/>
                <w:lang w:eastAsia="en-GB"/>
              </w:rPr>
            </w:pPr>
            <w:r w:rsidRPr="00B003E9">
              <w:rPr>
                <w:rFonts w:eastAsia="Times New Roman" w:cs="Open Sans"/>
                <w:color w:val="000000"/>
                <w:lang w:eastAsia="en-GB"/>
              </w:rPr>
              <w:t> </w:t>
            </w:r>
          </w:p>
        </w:tc>
        <w:tc>
          <w:tcPr>
            <w:tcW w:w="4420" w:type="dxa"/>
            <w:gridSpan w:val="4"/>
            <w:tcBorders>
              <w:top w:val="nil"/>
              <w:left w:val="nil"/>
              <w:bottom w:val="single" w:sz="4" w:space="0" w:color="auto"/>
              <w:right w:val="single" w:sz="4" w:space="0" w:color="auto"/>
            </w:tcBorders>
            <w:noWrap/>
            <w:vAlign w:val="bottom"/>
            <w:hideMark/>
          </w:tcPr>
          <w:p w14:paraId="3C87BC5A" w14:textId="77777777" w:rsidR="007C3443" w:rsidRPr="00B003E9" w:rsidRDefault="007C3443" w:rsidP="0089347F">
            <w:pPr>
              <w:jc w:val="center"/>
              <w:rPr>
                <w:rFonts w:eastAsia="Times New Roman" w:cs="Open Sans"/>
                <w:b/>
                <w:bCs/>
                <w:color w:val="000000"/>
                <w:lang w:eastAsia="en-GB"/>
              </w:rPr>
            </w:pPr>
            <w:r w:rsidRPr="00C223C6">
              <w:rPr>
                <w:rFonts w:eastAsia="Times New Roman" w:cs="Open Sans"/>
                <w:b/>
                <w:bCs/>
                <w:color w:val="000000"/>
                <w:lang w:eastAsia="en-GB"/>
              </w:rPr>
              <w:t xml:space="preserve">Low </w:t>
            </w:r>
            <w:proofErr w:type="gramStart"/>
            <w:r w:rsidRPr="00C223C6">
              <w:rPr>
                <w:rFonts w:eastAsia="Times New Roman" w:cs="Open Sans"/>
                <w:b/>
                <w:bCs/>
                <w:color w:val="000000"/>
                <w:lang w:eastAsia="en-GB"/>
              </w:rPr>
              <w:t>Drying</w:t>
            </w:r>
            <w:r w:rsidRPr="00B003E9">
              <w:rPr>
                <w:rFonts w:eastAsia="Times New Roman" w:cs="Open Sans"/>
                <w:b/>
                <w:bCs/>
                <w:color w:val="000000"/>
                <w:lang w:eastAsia="en-GB"/>
              </w:rPr>
              <w:t xml:space="preserve">  kg</w:t>
            </w:r>
            <w:proofErr w:type="gramEnd"/>
            <w:r w:rsidRPr="00B003E9">
              <w:rPr>
                <w:rFonts w:eastAsia="Times New Roman" w:cs="Open Sans"/>
                <w:b/>
                <w:bCs/>
                <w:color w:val="000000"/>
                <w:lang w:eastAsia="en-GB"/>
              </w:rPr>
              <w:t xml:space="preserve"> CO</w:t>
            </w:r>
            <w:r w:rsidRPr="00B003E9">
              <w:rPr>
                <w:rFonts w:eastAsia="Times New Roman" w:cs="Open Sans"/>
                <w:b/>
                <w:bCs/>
                <w:color w:val="000000"/>
                <w:vertAlign w:val="subscript"/>
                <w:lang w:eastAsia="en-GB"/>
              </w:rPr>
              <w:t>2</w:t>
            </w:r>
            <w:r w:rsidRPr="00B003E9">
              <w:rPr>
                <w:rFonts w:eastAsia="Times New Roman" w:cs="Open Sans"/>
                <w:b/>
                <w:bCs/>
                <w:color w:val="000000"/>
                <w:lang w:eastAsia="en-GB"/>
              </w:rPr>
              <w:t>e/kg dry beans</w:t>
            </w:r>
          </w:p>
          <w:p w14:paraId="3E51A6E1" w14:textId="77777777" w:rsidR="007C3443" w:rsidRPr="00B003E9" w:rsidRDefault="007C3443" w:rsidP="0089347F">
            <w:pPr>
              <w:rPr>
                <w:rFonts w:eastAsia="Times New Roman" w:cs="Open Sans"/>
                <w:color w:val="000000"/>
                <w:lang w:eastAsia="en-GB"/>
              </w:rPr>
            </w:pPr>
          </w:p>
        </w:tc>
        <w:tc>
          <w:tcPr>
            <w:tcW w:w="1500" w:type="dxa"/>
            <w:tcBorders>
              <w:top w:val="nil"/>
              <w:left w:val="nil"/>
              <w:bottom w:val="single" w:sz="4" w:space="0" w:color="auto"/>
              <w:right w:val="single" w:sz="4" w:space="0" w:color="auto"/>
            </w:tcBorders>
            <w:noWrap/>
            <w:vAlign w:val="bottom"/>
            <w:hideMark/>
          </w:tcPr>
          <w:p w14:paraId="5D7BEBF0" w14:textId="77777777" w:rsidR="007C3443" w:rsidRPr="00B003E9" w:rsidRDefault="007C3443" w:rsidP="0089347F">
            <w:pPr>
              <w:rPr>
                <w:rFonts w:eastAsia="Times New Roman" w:cs="Open Sans"/>
                <w:color w:val="000000"/>
                <w:lang w:eastAsia="en-GB"/>
              </w:rPr>
            </w:pPr>
            <w:r w:rsidRPr="00B003E9">
              <w:rPr>
                <w:rFonts w:eastAsia="Times New Roman" w:cs="Open Sans"/>
                <w:color w:val="000000"/>
                <w:lang w:eastAsia="en-GB"/>
              </w:rPr>
              <w:t> </w:t>
            </w:r>
          </w:p>
        </w:tc>
      </w:tr>
      <w:tr w:rsidR="007C3443" w:rsidRPr="006A5892" w14:paraId="6837577D" w14:textId="77777777" w:rsidTr="0089347F">
        <w:trPr>
          <w:trHeight w:val="290"/>
          <w:jc w:val="center"/>
        </w:trPr>
        <w:tc>
          <w:tcPr>
            <w:tcW w:w="1235" w:type="dxa"/>
            <w:tcBorders>
              <w:top w:val="nil"/>
              <w:left w:val="single" w:sz="4" w:space="0" w:color="auto"/>
              <w:bottom w:val="single" w:sz="4" w:space="0" w:color="auto"/>
              <w:right w:val="single" w:sz="4" w:space="0" w:color="auto"/>
            </w:tcBorders>
          </w:tcPr>
          <w:p w14:paraId="76F59C09" w14:textId="77777777" w:rsidR="007C3443" w:rsidRPr="00B003E9" w:rsidRDefault="007C3443" w:rsidP="0089347F">
            <w:pPr>
              <w:jc w:val="center"/>
              <w:rPr>
                <w:rFonts w:eastAsia="Times New Roman" w:cs="Open Sans"/>
                <w:color w:val="000000"/>
                <w:lang w:eastAsia="en-GB"/>
              </w:rPr>
            </w:pPr>
          </w:p>
        </w:tc>
        <w:tc>
          <w:tcPr>
            <w:tcW w:w="1525" w:type="dxa"/>
            <w:tcBorders>
              <w:top w:val="nil"/>
              <w:left w:val="single" w:sz="4" w:space="0" w:color="auto"/>
              <w:bottom w:val="single" w:sz="4" w:space="0" w:color="auto"/>
              <w:right w:val="single" w:sz="4" w:space="0" w:color="auto"/>
            </w:tcBorders>
            <w:noWrap/>
            <w:vAlign w:val="bottom"/>
            <w:hideMark/>
          </w:tcPr>
          <w:p w14:paraId="476FEB19" w14:textId="77777777" w:rsidR="007C3443" w:rsidRPr="00B003E9" w:rsidRDefault="007C3443" w:rsidP="0089347F">
            <w:pPr>
              <w:jc w:val="center"/>
              <w:rPr>
                <w:rFonts w:eastAsia="Times New Roman" w:cs="Open Sans"/>
                <w:color w:val="000000"/>
                <w:lang w:eastAsia="en-GB"/>
              </w:rPr>
            </w:pPr>
            <w:r w:rsidRPr="006A5892">
              <w:rPr>
                <w:rFonts w:eastAsia="Times New Roman" w:cs="Open Sans"/>
                <w:color w:val="000000"/>
                <w:lang w:eastAsia="en-GB"/>
              </w:rPr>
              <w:t>Previous Land Use</w:t>
            </w:r>
          </w:p>
        </w:tc>
        <w:tc>
          <w:tcPr>
            <w:tcW w:w="1160" w:type="dxa"/>
            <w:tcBorders>
              <w:top w:val="nil"/>
              <w:left w:val="nil"/>
              <w:bottom w:val="single" w:sz="4" w:space="0" w:color="auto"/>
              <w:right w:val="single" w:sz="4" w:space="0" w:color="auto"/>
            </w:tcBorders>
            <w:noWrap/>
            <w:vAlign w:val="bottom"/>
            <w:hideMark/>
          </w:tcPr>
          <w:p w14:paraId="2B9AF23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Transport</w:t>
            </w:r>
          </w:p>
        </w:tc>
        <w:tc>
          <w:tcPr>
            <w:tcW w:w="960" w:type="dxa"/>
            <w:tcBorders>
              <w:top w:val="nil"/>
              <w:left w:val="nil"/>
              <w:bottom w:val="single" w:sz="4" w:space="0" w:color="auto"/>
              <w:right w:val="single" w:sz="4" w:space="0" w:color="auto"/>
            </w:tcBorders>
            <w:noWrap/>
            <w:vAlign w:val="bottom"/>
            <w:hideMark/>
          </w:tcPr>
          <w:p w14:paraId="724B743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Drying</w:t>
            </w:r>
          </w:p>
        </w:tc>
        <w:tc>
          <w:tcPr>
            <w:tcW w:w="1260" w:type="dxa"/>
            <w:tcBorders>
              <w:top w:val="nil"/>
              <w:left w:val="nil"/>
              <w:bottom w:val="single" w:sz="4" w:space="0" w:color="auto"/>
              <w:right w:val="single" w:sz="4" w:space="0" w:color="auto"/>
            </w:tcBorders>
            <w:noWrap/>
            <w:vAlign w:val="bottom"/>
            <w:hideMark/>
          </w:tcPr>
          <w:p w14:paraId="53B7017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Cultivation</w:t>
            </w:r>
          </w:p>
        </w:tc>
        <w:tc>
          <w:tcPr>
            <w:tcW w:w="1040" w:type="dxa"/>
            <w:tcBorders>
              <w:top w:val="nil"/>
              <w:left w:val="nil"/>
              <w:bottom w:val="single" w:sz="4" w:space="0" w:color="auto"/>
              <w:right w:val="single" w:sz="4" w:space="0" w:color="auto"/>
            </w:tcBorders>
            <w:noWrap/>
            <w:vAlign w:val="bottom"/>
            <w:hideMark/>
          </w:tcPr>
          <w:p w14:paraId="2EC0A3E0"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Total</w:t>
            </w:r>
          </w:p>
        </w:tc>
        <w:tc>
          <w:tcPr>
            <w:tcW w:w="1500" w:type="dxa"/>
            <w:tcBorders>
              <w:top w:val="nil"/>
              <w:left w:val="nil"/>
              <w:bottom w:val="single" w:sz="4" w:space="0" w:color="auto"/>
              <w:right w:val="single" w:sz="4" w:space="0" w:color="auto"/>
            </w:tcBorders>
            <w:noWrap/>
            <w:vAlign w:val="bottom"/>
            <w:hideMark/>
          </w:tcPr>
          <w:p w14:paraId="2F5B9A33"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 xml:space="preserve">% vs </w:t>
            </w:r>
            <w:r w:rsidRPr="006A5892">
              <w:rPr>
                <w:rFonts w:eastAsia="Times New Roman" w:cs="Open Sans"/>
                <w:color w:val="000000"/>
                <w:lang w:eastAsia="en-GB"/>
              </w:rPr>
              <w:t>sun</w:t>
            </w:r>
            <w:r w:rsidRPr="00B003E9">
              <w:rPr>
                <w:rFonts w:eastAsia="Times New Roman" w:cs="Open Sans"/>
                <w:color w:val="000000"/>
                <w:lang w:eastAsia="en-GB"/>
              </w:rPr>
              <w:t xml:space="preserve"> drying</w:t>
            </w:r>
          </w:p>
        </w:tc>
      </w:tr>
      <w:tr w:rsidR="007C3443" w:rsidRPr="006A5892" w14:paraId="0B7E74C2" w14:textId="77777777" w:rsidTr="0089347F">
        <w:trPr>
          <w:trHeight w:val="290"/>
          <w:jc w:val="center"/>
        </w:trPr>
        <w:tc>
          <w:tcPr>
            <w:tcW w:w="1235" w:type="dxa"/>
            <w:vMerge w:val="restart"/>
            <w:tcBorders>
              <w:top w:val="nil"/>
              <w:left w:val="single" w:sz="4" w:space="0" w:color="auto"/>
              <w:right w:val="single" w:sz="4" w:space="0" w:color="auto"/>
            </w:tcBorders>
          </w:tcPr>
          <w:p w14:paraId="2E2442C2" w14:textId="77777777" w:rsidR="007C3443" w:rsidRPr="00B003E9" w:rsidRDefault="007C3443" w:rsidP="0089347F">
            <w:pPr>
              <w:jc w:val="center"/>
              <w:rPr>
                <w:rFonts w:eastAsia="Times New Roman" w:cs="Open Sans"/>
                <w:color w:val="000000"/>
                <w:lang w:eastAsia="en-GB"/>
              </w:rPr>
            </w:pPr>
            <w:r w:rsidRPr="006A5892">
              <w:rPr>
                <w:rFonts w:eastAsia="Times New Roman" w:cs="Open Sans"/>
                <w:color w:val="000000"/>
                <w:lang w:eastAsia="en-GB"/>
              </w:rPr>
              <w:t>Early Mature Medium Sized small holder</w:t>
            </w:r>
          </w:p>
        </w:tc>
        <w:tc>
          <w:tcPr>
            <w:tcW w:w="1525" w:type="dxa"/>
            <w:tcBorders>
              <w:top w:val="nil"/>
              <w:left w:val="single" w:sz="4" w:space="0" w:color="auto"/>
              <w:bottom w:val="single" w:sz="4" w:space="0" w:color="auto"/>
              <w:right w:val="single" w:sz="4" w:space="0" w:color="auto"/>
            </w:tcBorders>
            <w:noWrap/>
            <w:hideMark/>
          </w:tcPr>
          <w:p w14:paraId="4021D8FB" w14:textId="77777777" w:rsidR="007C3443" w:rsidRPr="00B003E9" w:rsidRDefault="007C3443" w:rsidP="0089347F">
            <w:pPr>
              <w:jc w:val="center"/>
              <w:rPr>
                <w:rFonts w:eastAsia="Times New Roman" w:cs="Open Sans"/>
                <w:color w:val="000000"/>
                <w:lang w:eastAsia="en-GB"/>
              </w:rPr>
            </w:pPr>
            <w:r w:rsidRPr="006A5892">
              <w:rPr>
                <w:rFonts w:cs="Open Sans"/>
              </w:rPr>
              <w:t>Forest</w:t>
            </w:r>
          </w:p>
        </w:tc>
        <w:tc>
          <w:tcPr>
            <w:tcW w:w="1160" w:type="dxa"/>
            <w:tcBorders>
              <w:top w:val="nil"/>
              <w:left w:val="nil"/>
              <w:bottom w:val="single" w:sz="4" w:space="0" w:color="auto"/>
              <w:right w:val="single" w:sz="4" w:space="0" w:color="auto"/>
            </w:tcBorders>
            <w:noWrap/>
            <w:vAlign w:val="bottom"/>
            <w:hideMark/>
          </w:tcPr>
          <w:p w14:paraId="6D8DDA1D"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0.08</w:t>
            </w:r>
          </w:p>
        </w:tc>
        <w:tc>
          <w:tcPr>
            <w:tcW w:w="960" w:type="dxa"/>
            <w:tcBorders>
              <w:top w:val="nil"/>
              <w:left w:val="nil"/>
              <w:bottom w:val="single" w:sz="4" w:space="0" w:color="auto"/>
              <w:right w:val="single" w:sz="4" w:space="0" w:color="auto"/>
            </w:tcBorders>
            <w:noWrap/>
            <w:vAlign w:val="bottom"/>
            <w:hideMark/>
          </w:tcPr>
          <w:p w14:paraId="75F58EEE"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0.03</w:t>
            </w:r>
          </w:p>
        </w:tc>
        <w:tc>
          <w:tcPr>
            <w:tcW w:w="1260" w:type="dxa"/>
            <w:tcBorders>
              <w:top w:val="nil"/>
              <w:left w:val="nil"/>
              <w:bottom w:val="single" w:sz="4" w:space="0" w:color="auto"/>
              <w:right w:val="single" w:sz="4" w:space="0" w:color="auto"/>
            </w:tcBorders>
            <w:noWrap/>
            <w:vAlign w:val="bottom"/>
            <w:hideMark/>
          </w:tcPr>
          <w:p w14:paraId="68793F2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12.83</w:t>
            </w:r>
          </w:p>
        </w:tc>
        <w:tc>
          <w:tcPr>
            <w:tcW w:w="1040" w:type="dxa"/>
            <w:tcBorders>
              <w:top w:val="nil"/>
              <w:left w:val="nil"/>
              <w:bottom w:val="single" w:sz="4" w:space="0" w:color="auto"/>
              <w:right w:val="single" w:sz="4" w:space="0" w:color="auto"/>
            </w:tcBorders>
            <w:noWrap/>
            <w:vAlign w:val="bottom"/>
            <w:hideMark/>
          </w:tcPr>
          <w:p w14:paraId="0E790E18"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12.94</w:t>
            </w:r>
          </w:p>
        </w:tc>
        <w:tc>
          <w:tcPr>
            <w:tcW w:w="1500" w:type="dxa"/>
            <w:tcBorders>
              <w:top w:val="nil"/>
              <w:left w:val="nil"/>
              <w:bottom w:val="single" w:sz="4" w:space="0" w:color="auto"/>
              <w:right w:val="single" w:sz="4" w:space="0" w:color="auto"/>
            </w:tcBorders>
            <w:noWrap/>
            <w:vAlign w:val="bottom"/>
            <w:hideMark/>
          </w:tcPr>
          <w:p w14:paraId="551E6E68"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103%</w:t>
            </w:r>
          </w:p>
        </w:tc>
      </w:tr>
      <w:tr w:rsidR="007C3443" w:rsidRPr="006A5892" w14:paraId="1CDB2896" w14:textId="77777777" w:rsidTr="0089347F">
        <w:trPr>
          <w:trHeight w:val="290"/>
          <w:jc w:val="center"/>
        </w:trPr>
        <w:tc>
          <w:tcPr>
            <w:tcW w:w="1235" w:type="dxa"/>
            <w:vMerge/>
            <w:tcBorders>
              <w:left w:val="single" w:sz="4" w:space="0" w:color="auto"/>
              <w:bottom w:val="single" w:sz="4" w:space="0" w:color="auto"/>
              <w:right w:val="single" w:sz="4" w:space="0" w:color="auto"/>
            </w:tcBorders>
          </w:tcPr>
          <w:p w14:paraId="0D51FC50" w14:textId="77777777" w:rsidR="007C3443" w:rsidRPr="00B003E9" w:rsidRDefault="007C3443" w:rsidP="0089347F">
            <w:pPr>
              <w:jc w:val="center"/>
              <w:rPr>
                <w:rFonts w:eastAsia="Times New Roman" w:cs="Open Sans"/>
                <w:color w:val="000000"/>
                <w:lang w:eastAsia="en-GB"/>
              </w:rPr>
            </w:pPr>
          </w:p>
        </w:tc>
        <w:tc>
          <w:tcPr>
            <w:tcW w:w="1525" w:type="dxa"/>
            <w:tcBorders>
              <w:top w:val="nil"/>
              <w:left w:val="single" w:sz="4" w:space="0" w:color="auto"/>
              <w:bottom w:val="single" w:sz="4" w:space="0" w:color="auto"/>
              <w:right w:val="single" w:sz="4" w:space="0" w:color="auto"/>
            </w:tcBorders>
            <w:noWrap/>
            <w:hideMark/>
          </w:tcPr>
          <w:p w14:paraId="1D4947A1" w14:textId="77777777" w:rsidR="007C3443" w:rsidRPr="00B003E9" w:rsidRDefault="007C3443" w:rsidP="0089347F">
            <w:pPr>
              <w:jc w:val="center"/>
              <w:rPr>
                <w:rFonts w:eastAsia="Times New Roman" w:cs="Open Sans"/>
                <w:color w:val="000000"/>
                <w:lang w:eastAsia="en-GB"/>
              </w:rPr>
            </w:pPr>
            <w:r w:rsidRPr="006A5892">
              <w:rPr>
                <w:rFonts w:cs="Open Sans"/>
              </w:rPr>
              <w:t>Wooded Grassland</w:t>
            </w:r>
          </w:p>
        </w:tc>
        <w:tc>
          <w:tcPr>
            <w:tcW w:w="1160" w:type="dxa"/>
            <w:tcBorders>
              <w:top w:val="nil"/>
              <w:left w:val="nil"/>
              <w:bottom w:val="single" w:sz="4" w:space="0" w:color="auto"/>
              <w:right w:val="single" w:sz="4" w:space="0" w:color="auto"/>
            </w:tcBorders>
            <w:noWrap/>
            <w:vAlign w:val="bottom"/>
            <w:hideMark/>
          </w:tcPr>
          <w:p w14:paraId="1F4DB8A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0.08</w:t>
            </w:r>
          </w:p>
        </w:tc>
        <w:tc>
          <w:tcPr>
            <w:tcW w:w="960" w:type="dxa"/>
            <w:tcBorders>
              <w:top w:val="nil"/>
              <w:left w:val="nil"/>
              <w:bottom w:val="single" w:sz="4" w:space="0" w:color="auto"/>
              <w:right w:val="single" w:sz="4" w:space="0" w:color="auto"/>
            </w:tcBorders>
            <w:noWrap/>
            <w:vAlign w:val="bottom"/>
            <w:hideMark/>
          </w:tcPr>
          <w:p w14:paraId="03B22F0C"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0.03</w:t>
            </w:r>
          </w:p>
        </w:tc>
        <w:tc>
          <w:tcPr>
            <w:tcW w:w="1260" w:type="dxa"/>
            <w:tcBorders>
              <w:top w:val="nil"/>
              <w:left w:val="nil"/>
              <w:bottom w:val="single" w:sz="4" w:space="0" w:color="auto"/>
              <w:right w:val="single" w:sz="4" w:space="0" w:color="auto"/>
            </w:tcBorders>
            <w:noWrap/>
            <w:vAlign w:val="bottom"/>
            <w:hideMark/>
          </w:tcPr>
          <w:p w14:paraId="65C3984E"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-24.38</w:t>
            </w:r>
          </w:p>
        </w:tc>
        <w:tc>
          <w:tcPr>
            <w:tcW w:w="1040" w:type="dxa"/>
            <w:tcBorders>
              <w:top w:val="nil"/>
              <w:left w:val="nil"/>
              <w:bottom w:val="single" w:sz="4" w:space="0" w:color="auto"/>
              <w:right w:val="single" w:sz="4" w:space="0" w:color="auto"/>
            </w:tcBorders>
            <w:noWrap/>
            <w:vAlign w:val="bottom"/>
            <w:hideMark/>
          </w:tcPr>
          <w:p w14:paraId="1BB6C3F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-24.27</w:t>
            </w:r>
          </w:p>
        </w:tc>
        <w:tc>
          <w:tcPr>
            <w:tcW w:w="1500" w:type="dxa"/>
            <w:tcBorders>
              <w:top w:val="nil"/>
              <w:left w:val="nil"/>
              <w:bottom w:val="single" w:sz="4" w:space="0" w:color="auto"/>
              <w:right w:val="single" w:sz="4" w:space="0" w:color="auto"/>
            </w:tcBorders>
            <w:noWrap/>
            <w:vAlign w:val="bottom"/>
            <w:hideMark/>
          </w:tcPr>
          <w:p w14:paraId="4D8906EA"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103%</w:t>
            </w:r>
          </w:p>
        </w:tc>
      </w:tr>
      <w:tr w:rsidR="007C3443" w:rsidRPr="006A5892" w14:paraId="67FFFD61" w14:textId="77777777" w:rsidTr="0089347F">
        <w:trPr>
          <w:trHeight w:val="290"/>
          <w:jc w:val="center"/>
        </w:trPr>
        <w:tc>
          <w:tcPr>
            <w:tcW w:w="1235" w:type="dxa"/>
            <w:tcBorders>
              <w:top w:val="nil"/>
              <w:left w:val="single" w:sz="4" w:space="0" w:color="auto"/>
              <w:bottom w:val="single" w:sz="4" w:space="0" w:color="auto"/>
              <w:right w:val="single" w:sz="4" w:space="0" w:color="auto"/>
            </w:tcBorders>
          </w:tcPr>
          <w:p w14:paraId="1EB0B359" w14:textId="77777777" w:rsidR="007C3443" w:rsidRPr="00B003E9" w:rsidRDefault="007C3443" w:rsidP="0089347F">
            <w:pPr>
              <w:jc w:val="center"/>
              <w:rPr>
                <w:rFonts w:eastAsia="Times New Roman" w:cs="Open Sans"/>
                <w:color w:val="000000"/>
                <w:lang w:eastAsia="en-GB"/>
              </w:rPr>
            </w:pPr>
            <w:r w:rsidRPr="006A5892">
              <w:rPr>
                <w:rFonts w:eastAsia="Times New Roman" w:cs="Open Sans"/>
                <w:color w:val="000000"/>
                <w:lang w:eastAsia="en-GB"/>
              </w:rPr>
              <w:t>Late Mature Medium Sized small holder</w:t>
            </w:r>
          </w:p>
        </w:tc>
        <w:tc>
          <w:tcPr>
            <w:tcW w:w="1525" w:type="dxa"/>
            <w:tcBorders>
              <w:top w:val="nil"/>
              <w:left w:val="single" w:sz="4" w:space="0" w:color="auto"/>
              <w:bottom w:val="single" w:sz="4" w:space="0" w:color="auto"/>
              <w:right w:val="single" w:sz="4" w:space="0" w:color="auto"/>
            </w:tcBorders>
            <w:noWrap/>
            <w:vAlign w:val="bottom"/>
            <w:hideMark/>
          </w:tcPr>
          <w:p w14:paraId="7BDD214A" w14:textId="77777777" w:rsidR="007C3443" w:rsidRPr="00B003E9" w:rsidRDefault="007C3443" w:rsidP="0089347F">
            <w:pPr>
              <w:jc w:val="center"/>
              <w:rPr>
                <w:rFonts w:eastAsia="Times New Roman" w:cs="Open Sans"/>
                <w:color w:val="000000"/>
                <w:lang w:eastAsia="en-GB"/>
              </w:rPr>
            </w:pPr>
            <w:r w:rsidRPr="006A5892">
              <w:rPr>
                <w:rFonts w:eastAsia="Times New Roman" w:cs="Open Sans"/>
                <w:color w:val="000000"/>
                <w:lang w:eastAsia="en-GB"/>
              </w:rPr>
              <w:t>NA</w:t>
            </w:r>
          </w:p>
        </w:tc>
        <w:tc>
          <w:tcPr>
            <w:tcW w:w="1160" w:type="dxa"/>
            <w:tcBorders>
              <w:top w:val="nil"/>
              <w:left w:val="nil"/>
              <w:bottom w:val="single" w:sz="4" w:space="0" w:color="auto"/>
              <w:right w:val="single" w:sz="4" w:space="0" w:color="auto"/>
            </w:tcBorders>
            <w:noWrap/>
            <w:vAlign w:val="bottom"/>
            <w:hideMark/>
          </w:tcPr>
          <w:p w14:paraId="6D530A6B"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0.08</w:t>
            </w:r>
          </w:p>
        </w:tc>
        <w:tc>
          <w:tcPr>
            <w:tcW w:w="960" w:type="dxa"/>
            <w:tcBorders>
              <w:top w:val="nil"/>
              <w:left w:val="nil"/>
              <w:bottom w:val="single" w:sz="4" w:space="0" w:color="auto"/>
              <w:right w:val="single" w:sz="4" w:space="0" w:color="auto"/>
            </w:tcBorders>
            <w:noWrap/>
            <w:vAlign w:val="bottom"/>
            <w:hideMark/>
          </w:tcPr>
          <w:p w14:paraId="25C39280"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0.03</w:t>
            </w:r>
          </w:p>
        </w:tc>
        <w:tc>
          <w:tcPr>
            <w:tcW w:w="1260" w:type="dxa"/>
            <w:tcBorders>
              <w:top w:val="nil"/>
              <w:left w:val="nil"/>
              <w:bottom w:val="single" w:sz="4" w:space="0" w:color="auto"/>
              <w:right w:val="single" w:sz="4" w:space="0" w:color="auto"/>
            </w:tcBorders>
            <w:noWrap/>
            <w:vAlign w:val="bottom"/>
            <w:hideMark/>
          </w:tcPr>
          <w:p w14:paraId="5AD7F411"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-65.15</w:t>
            </w:r>
          </w:p>
        </w:tc>
        <w:tc>
          <w:tcPr>
            <w:tcW w:w="1040" w:type="dxa"/>
            <w:tcBorders>
              <w:top w:val="nil"/>
              <w:left w:val="nil"/>
              <w:bottom w:val="single" w:sz="4" w:space="0" w:color="auto"/>
              <w:right w:val="single" w:sz="4" w:space="0" w:color="auto"/>
            </w:tcBorders>
            <w:noWrap/>
            <w:vAlign w:val="bottom"/>
            <w:hideMark/>
          </w:tcPr>
          <w:p w14:paraId="29BB1987" w14:textId="77777777" w:rsidR="007C3443" w:rsidRPr="00B003E9" w:rsidRDefault="007C3443" w:rsidP="0089347F">
            <w:pPr>
              <w:jc w:val="center"/>
              <w:rPr>
                <w:rFonts w:eastAsia="Times New Roman" w:cs="Open Sans"/>
                <w:color w:val="000000"/>
                <w:lang w:eastAsia="en-GB"/>
              </w:rPr>
            </w:pPr>
            <w:r w:rsidRPr="00B003E9">
              <w:rPr>
                <w:rFonts w:eastAsia="Times New Roman" w:cs="Open Sans"/>
                <w:color w:val="000000"/>
                <w:lang w:eastAsia="en-GB"/>
              </w:rPr>
              <w:t>-65.04</w:t>
            </w:r>
          </w:p>
        </w:tc>
        <w:tc>
          <w:tcPr>
            <w:tcW w:w="1500" w:type="dxa"/>
            <w:tcBorders>
              <w:top w:val="nil"/>
              <w:left w:val="nil"/>
              <w:bottom w:val="single" w:sz="4" w:space="0" w:color="auto"/>
              <w:right w:val="single" w:sz="4" w:space="0" w:color="auto"/>
            </w:tcBorders>
            <w:noWrap/>
            <w:vAlign w:val="bottom"/>
            <w:hideMark/>
          </w:tcPr>
          <w:p w14:paraId="09CF125C" w14:textId="77777777" w:rsidR="007C3443" w:rsidRPr="00B003E9" w:rsidRDefault="007C3443" w:rsidP="0089347F">
            <w:pPr>
              <w:keepNext/>
              <w:jc w:val="center"/>
              <w:rPr>
                <w:rFonts w:eastAsia="Times New Roman" w:cs="Open Sans"/>
                <w:color w:val="000000"/>
                <w:lang w:eastAsia="en-GB"/>
              </w:rPr>
            </w:pPr>
            <w:r w:rsidRPr="00B003E9">
              <w:rPr>
                <w:rFonts w:eastAsia="Times New Roman" w:cs="Open Sans"/>
                <w:color w:val="000000"/>
                <w:lang w:eastAsia="en-GB"/>
              </w:rPr>
              <w:t>100%</w:t>
            </w:r>
          </w:p>
        </w:tc>
      </w:tr>
    </w:tbl>
    <w:p w14:paraId="62A867A6" w14:textId="77777777" w:rsidR="007C3443" w:rsidRPr="006A5892" w:rsidRDefault="007C3443" w:rsidP="007C3443"/>
    <w:p w14:paraId="719D3D58" w14:textId="77777777" w:rsidR="007C3443" w:rsidRPr="00B003E9" w:rsidRDefault="007C3443" w:rsidP="007C3443">
      <w:pPr>
        <w:rPr>
          <w:b/>
          <w:bCs/>
          <w:sz w:val="20"/>
          <w:szCs w:val="20"/>
        </w:rPr>
      </w:pPr>
      <w:r w:rsidRPr="006A5892">
        <w:rPr>
          <w:sz w:val="20"/>
          <w:szCs w:val="20"/>
        </w:rPr>
        <w:t xml:space="preserve">The results demonstrate that high drawing demand as required by a 40% MC would add an additional 0.3 kg </w:t>
      </w:r>
      <w:proofErr w:type="spellStart"/>
      <w:r w:rsidRPr="006A5892">
        <w:rPr>
          <w:sz w:val="20"/>
          <w:szCs w:val="20"/>
        </w:rPr>
        <w:t>CO₂e</w:t>
      </w:r>
      <w:proofErr w:type="spellEnd"/>
      <w:r w:rsidRPr="006A5892">
        <w:rPr>
          <w:sz w:val="20"/>
          <w:szCs w:val="20"/>
        </w:rPr>
        <w:t xml:space="preserve"> per kg dry beans. The results above suggest that high level of drawing increases the overall carbon footprint by 50%. This seems counter intuitive given the scale of the emissions due to drying only. However, the increase (in both positive and negative terms) in the carbon footprint estimate is more attributable to how impacts are allocated at the cultivation stage. In the calculation above the same yields (in kg terms) are assumed as in the previous calculation, except we assume a higher water quantity (e.g. 250 </w:t>
      </w:r>
      <w:proofErr w:type="spellStart"/>
      <w:r w:rsidRPr="006A5892">
        <w:rPr>
          <w:sz w:val="20"/>
          <w:szCs w:val="20"/>
        </w:rPr>
        <w:t>tonnes</w:t>
      </w:r>
      <w:proofErr w:type="spellEnd"/>
      <w:r w:rsidRPr="006A5892">
        <w:rPr>
          <w:sz w:val="20"/>
          <w:szCs w:val="20"/>
        </w:rPr>
        <w:t xml:space="preserve">/ha at MC 40% or 250 </w:t>
      </w:r>
      <w:proofErr w:type="spellStart"/>
      <w:r w:rsidRPr="006A5892">
        <w:rPr>
          <w:sz w:val="20"/>
          <w:szCs w:val="20"/>
        </w:rPr>
        <w:t>tonnes</w:t>
      </w:r>
      <w:proofErr w:type="spellEnd"/>
      <w:r w:rsidRPr="006A5892">
        <w:rPr>
          <w:sz w:val="20"/>
          <w:szCs w:val="20"/>
        </w:rPr>
        <w:t xml:space="preserve">/ha at MC 10%). This effectively means that less cocoa in dry weight equivalents is produced per hectare compared with the sundried estimate. </w:t>
      </w:r>
      <w:r w:rsidRPr="006A5892">
        <w:rPr>
          <w:b/>
          <w:bCs/>
          <w:sz w:val="20"/>
          <w:szCs w:val="20"/>
        </w:rPr>
        <w:t xml:space="preserve">In other words, the impact of high moisture is much more pronounced if it coincides with a reduction in dry bean </w:t>
      </w:r>
      <w:r>
        <w:rPr>
          <w:b/>
          <w:bCs/>
          <w:sz w:val="20"/>
          <w:szCs w:val="20"/>
        </w:rPr>
        <w:t xml:space="preserve">yield </w:t>
      </w:r>
      <w:r w:rsidRPr="006A5892">
        <w:rPr>
          <w:b/>
          <w:bCs/>
          <w:sz w:val="20"/>
          <w:szCs w:val="20"/>
        </w:rPr>
        <w:t xml:space="preserve">weight.  </w:t>
      </w:r>
    </w:p>
    <w:p w14:paraId="38474457" w14:textId="77777777" w:rsidR="007C3443" w:rsidRPr="006A5892" w:rsidRDefault="007C3443" w:rsidP="007C3443">
      <w:pPr>
        <w:rPr>
          <w:sz w:val="20"/>
          <w:szCs w:val="20"/>
        </w:rPr>
      </w:pPr>
    </w:p>
    <w:p w14:paraId="2115A2B0" w14:textId="77777777" w:rsidR="007C3443" w:rsidRPr="006A5892" w:rsidRDefault="007C3443" w:rsidP="007C3443">
      <w:pPr>
        <w:rPr>
          <w:sz w:val="20"/>
          <w:szCs w:val="20"/>
        </w:rPr>
      </w:pPr>
      <w:r w:rsidRPr="006A5892">
        <w:rPr>
          <w:sz w:val="20"/>
          <w:szCs w:val="20"/>
        </w:rPr>
        <w:t xml:space="preserve">When considering a moisture content at 40%, approximately 1.5 </w:t>
      </w:r>
      <w:proofErr w:type="spellStart"/>
      <w:r w:rsidRPr="006A5892">
        <w:rPr>
          <w:sz w:val="20"/>
          <w:szCs w:val="20"/>
        </w:rPr>
        <w:t>tonnes</w:t>
      </w:r>
      <w:proofErr w:type="spellEnd"/>
      <w:r w:rsidRPr="006A5892">
        <w:rPr>
          <w:sz w:val="20"/>
          <w:szCs w:val="20"/>
        </w:rPr>
        <w:t xml:space="preserve"> of beans at 40% MC is needed to supply 1 </w:t>
      </w:r>
      <w:proofErr w:type="spellStart"/>
      <w:r w:rsidRPr="006A5892">
        <w:rPr>
          <w:sz w:val="20"/>
          <w:szCs w:val="20"/>
        </w:rPr>
        <w:t>tonne</w:t>
      </w:r>
      <w:proofErr w:type="spellEnd"/>
      <w:r w:rsidRPr="006A5892">
        <w:rPr>
          <w:sz w:val="20"/>
          <w:szCs w:val="20"/>
        </w:rPr>
        <w:t xml:space="preserve"> of beans at 7% moisture content. What this means is that the quantity of emissions associated with cultivation, be they positive or negative, will increase accordingly if the same stated quantity leaving the farm is now considered to include the weight of water. This is </w:t>
      </w:r>
      <w:proofErr w:type="gramStart"/>
      <w:r w:rsidRPr="006A5892">
        <w:rPr>
          <w:sz w:val="20"/>
          <w:szCs w:val="20"/>
        </w:rPr>
        <w:t>in effective</w:t>
      </w:r>
      <w:proofErr w:type="gramEnd"/>
      <w:r w:rsidRPr="006A5892">
        <w:rPr>
          <w:sz w:val="20"/>
          <w:szCs w:val="20"/>
        </w:rPr>
        <w:t xml:space="preserve"> a reduction in yield as 250 </w:t>
      </w:r>
      <w:proofErr w:type="spellStart"/>
      <w:r w:rsidRPr="006A5892">
        <w:rPr>
          <w:sz w:val="20"/>
          <w:szCs w:val="20"/>
        </w:rPr>
        <w:t>tonnes</w:t>
      </w:r>
      <w:proofErr w:type="spellEnd"/>
      <w:r w:rsidRPr="006A5892">
        <w:rPr>
          <w:sz w:val="20"/>
          <w:szCs w:val="20"/>
        </w:rPr>
        <w:t xml:space="preserve"> at 40% MC is equivalent (in terms of dry weight) 167 </w:t>
      </w:r>
      <w:proofErr w:type="spellStart"/>
      <w:r w:rsidRPr="006A5892">
        <w:rPr>
          <w:sz w:val="20"/>
          <w:szCs w:val="20"/>
        </w:rPr>
        <w:t>tonnes</w:t>
      </w:r>
      <w:proofErr w:type="spellEnd"/>
      <w:r w:rsidRPr="006A5892">
        <w:rPr>
          <w:sz w:val="20"/>
          <w:szCs w:val="20"/>
        </w:rPr>
        <w:t xml:space="preserve"> at 7% MC.  </w:t>
      </w:r>
    </w:p>
    <w:p w14:paraId="560EEEB0" w14:textId="77777777" w:rsidR="007C3443" w:rsidRPr="006A5892" w:rsidRDefault="007C3443" w:rsidP="007C3443">
      <w:pPr>
        <w:rPr>
          <w:sz w:val="20"/>
          <w:szCs w:val="20"/>
        </w:rPr>
      </w:pPr>
    </w:p>
    <w:p w14:paraId="15E7AAFC" w14:textId="77777777" w:rsidR="007C3443" w:rsidRPr="006A5892" w:rsidRDefault="007C3443" w:rsidP="007C3443">
      <w:pPr>
        <w:rPr>
          <w:sz w:val="20"/>
          <w:szCs w:val="20"/>
        </w:rPr>
      </w:pPr>
      <w:proofErr w:type="gramStart"/>
      <w:r w:rsidRPr="006A5892">
        <w:rPr>
          <w:sz w:val="20"/>
          <w:szCs w:val="20"/>
        </w:rPr>
        <w:t>In order to</w:t>
      </w:r>
      <w:proofErr w:type="gramEnd"/>
      <w:r w:rsidRPr="006A5892">
        <w:rPr>
          <w:sz w:val="20"/>
          <w:szCs w:val="20"/>
        </w:rPr>
        <w:t xml:space="preserve"> assess the effect of assuming the same cocoa yield in dry bean equivalents terms whilst but with a higher moisture content, the carbon footprint of mechanically dried cocoa (based on a 40 %MC) is recalculated without allocation of emissions to the excess water contained within the beans at the farm gate. This assumes that the same quantity of dry bean </w:t>
      </w:r>
      <w:proofErr w:type="gramStart"/>
      <w:r w:rsidRPr="006A5892">
        <w:rPr>
          <w:sz w:val="20"/>
          <w:szCs w:val="20"/>
        </w:rPr>
        <w:t>weight equivalent</w:t>
      </w:r>
      <w:proofErr w:type="gramEnd"/>
      <w:r w:rsidRPr="006A5892">
        <w:rPr>
          <w:sz w:val="20"/>
          <w:szCs w:val="20"/>
        </w:rPr>
        <w:t xml:space="preserve"> leaves the farm as in the case with sun dried systems. In other words, the same absolute quantity of positive or negative carbon emissions due to cultivation as in the sun-dried cocoa is allocated to </w:t>
      </w:r>
      <w:r w:rsidRPr="006A5892">
        <w:rPr>
          <w:sz w:val="20"/>
          <w:szCs w:val="20"/>
        </w:rPr>
        <w:lastRenderedPageBreak/>
        <w:t xml:space="preserve">the mechanically dried cocoa at port, whilst the higher transport and drying emissions are retained. The results for the alternative high drying scenario are presented in </w:t>
      </w:r>
      <w:r w:rsidRPr="006A5892">
        <w:rPr>
          <w:sz w:val="20"/>
          <w:szCs w:val="20"/>
        </w:rPr>
        <w:fldChar w:fldCharType="begin"/>
      </w:r>
      <w:r w:rsidRPr="006A5892">
        <w:rPr>
          <w:sz w:val="20"/>
          <w:szCs w:val="20"/>
        </w:rPr>
        <w:instrText xml:space="preserve"> REF _Ref227064622 \h </w:instrText>
      </w:r>
      <w:r w:rsidRPr="006A5892">
        <w:rPr>
          <w:sz w:val="20"/>
          <w:szCs w:val="20"/>
        </w:rPr>
      </w:r>
      <w:r w:rsidRPr="006A5892">
        <w:rPr>
          <w:sz w:val="20"/>
          <w:szCs w:val="20"/>
        </w:rPr>
        <w:fldChar w:fldCharType="separate"/>
      </w:r>
      <w:r w:rsidRPr="006A5892">
        <w:t xml:space="preserve">Table </w:t>
      </w:r>
      <w:r w:rsidRPr="00B003E9">
        <w:t>5</w:t>
      </w:r>
      <w:r w:rsidRPr="006A5892">
        <w:noBreakHyphen/>
      </w:r>
      <w:r w:rsidRPr="00B003E9">
        <w:t>9</w:t>
      </w:r>
      <w:r w:rsidRPr="006A5892">
        <w:rPr>
          <w:sz w:val="20"/>
          <w:szCs w:val="20"/>
        </w:rPr>
        <w:fldChar w:fldCharType="end"/>
      </w:r>
      <w:r w:rsidRPr="006A5892">
        <w:rPr>
          <w:sz w:val="20"/>
          <w:szCs w:val="20"/>
        </w:rPr>
        <w:t xml:space="preserve">. </w:t>
      </w:r>
    </w:p>
    <w:p w14:paraId="73973F3D" w14:textId="77777777" w:rsidR="007C3443" w:rsidRPr="006A5892" w:rsidRDefault="007C3443" w:rsidP="007C3443"/>
    <w:p w14:paraId="0C62021F" w14:textId="147BF15F" w:rsidR="007C3443" w:rsidRPr="006A5892" w:rsidRDefault="007C3443" w:rsidP="007C3443">
      <w:pPr>
        <w:pStyle w:val="Caption"/>
        <w:keepNext/>
        <w:jc w:val="center"/>
      </w:pPr>
      <w:bookmarkStart w:id="183" w:name="_Ref227064622"/>
      <w:bookmarkStart w:id="184" w:name="_Toc228701094"/>
      <w:r w:rsidRPr="006A5892">
        <w:t xml:space="preserve">Table </w:t>
      </w:r>
      <w:fldSimple w:instr=" STYLEREF 1 \s ">
        <w:r w:rsidR="006C1C4E">
          <w:rPr>
            <w:noProof/>
          </w:rPr>
          <w:t>5</w:t>
        </w:r>
      </w:fldSimple>
      <w:r w:rsidR="006C1C4E">
        <w:noBreakHyphen/>
      </w:r>
      <w:fldSimple w:instr=" SEQ Table \* ARABIC \s 1 ">
        <w:r w:rsidR="006C1C4E">
          <w:rPr>
            <w:noProof/>
          </w:rPr>
          <w:t>9</w:t>
        </w:r>
      </w:fldSimple>
      <w:bookmarkEnd w:id="183"/>
      <w:r w:rsidRPr="006A5892">
        <w:t xml:space="preserve"> </w:t>
      </w:r>
      <w:r>
        <w:t xml:space="preserve"> Alternative </w:t>
      </w:r>
      <w:r w:rsidRPr="006A5892">
        <w:t>Climate Change Impact score</w:t>
      </w:r>
      <w:r>
        <w:t xml:space="preserve"> for high drying scenario</w:t>
      </w:r>
      <w:bookmarkEnd w:id="184"/>
    </w:p>
    <w:tbl>
      <w:tblPr>
        <w:tblW w:w="7922" w:type="dxa"/>
        <w:jc w:val="center"/>
        <w:tblLook w:val="04A0" w:firstRow="1" w:lastRow="0" w:firstColumn="1" w:lastColumn="0" w:noHBand="0" w:noVBand="1"/>
      </w:tblPr>
      <w:tblGrid>
        <w:gridCol w:w="2736"/>
        <w:gridCol w:w="1815"/>
        <w:gridCol w:w="1011"/>
        <w:gridCol w:w="960"/>
        <w:gridCol w:w="1400"/>
      </w:tblGrid>
      <w:tr w:rsidR="007C3443" w:rsidRPr="006A5892" w14:paraId="1EE7841E" w14:textId="77777777" w:rsidTr="0089347F">
        <w:trPr>
          <w:trHeight w:val="290"/>
          <w:jc w:val="center"/>
        </w:trPr>
        <w:tc>
          <w:tcPr>
            <w:tcW w:w="2736" w:type="dxa"/>
            <w:tcBorders>
              <w:top w:val="single" w:sz="4" w:space="0" w:color="auto"/>
              <w:left w:val="single" w:sz="4" w:space="0" w:color="auto"/>
              <w:bottom w:val="single" w:sz="4" w:space="0" w:color="auto"/>
              <w:right w:val="single" w:sz="4" w:space="0" w:color="auto"/>
            </w:tcBorders>
          </w:tcPr>
          <w:p w14:paraId="26F81596" w14:textId="77777777" w:rsidR="007C3443" w:rsidRPr="006A5892" w:rsidRDefault="007C3443" w:rsidP="0089347F">
            <w:pPr>
              <w:jc w:val="center"/>
              <w:rPr>
                <w:rFonts w:ascii="Aptos Narrow" w:eastAsia="Times New Roman" w:hAnsi="Aptos Narrow" w:cs="Times New Roman"/>
                <w:color w:val="000000"/>
                <w:lang w:eastAsia="en-GB"/>
              </w:rPr>
            </w:pPr>
          </w:p>
        </w:tc>
        <w:tc>
          <w:tcPr>
            <w:tcW w:w="5186" w:type="dxa"/>
            <w:gridSpan w:val="4"/>
            <w:tcBorders>
              <w:top w:val="single" w:sz="4" w:space="0" w:color="auto"/>
              <w:left w:val="single" w:sz="4" w:space="0" w:color="auto"/>
              <w:bottom w:val="single" w:sz="4" w:space="0" w:color="auto"/>
              <w:right w:val="single" w:sz="4" w:space="0" w:color="auto"/>
            </w:tcBorders>
          </w:tcPr>
          <w:p w14:paraId="1660E96C"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 xml:space="preserve">kg </w:t>
            </w:r>
            <w:proofErr w:type="spellStart"/>
            <w:r w:rsidRPr="006A5892">
              <w:rPr>
                <w:rFonts w:ascii="Aptos Narrow" w:eastAsia="Times New Roman" w:hAnsi="Aptos Narrow" w:cs="Times New Roman"/>
                <w:color w:val="000000"/>
                <w:lang w:eastAsia="en-GB"/>
              </w:rPr>
              <w:t>CO₂e</w:t>
            </w:r>
            <w:proofErr w:type="spellEnd"/>
            <w:r w:rsidRPr="006A5892">
              <w:rPr>
                <w:rFonts w:ascii="Aptos Narrow" w:eastAsia="Times New Roman" w:hAnsi="Aptos Narrow" w:cs="Times New Roman"/>
                <w:color w:val="000000"/>
                <w:lang w:eastAsia="en-GB"/>
              </w:rPr>
              <w:t xml:space="preserve"> per kg dry beans at the port</w:t>
            </w:r>
          </w:p>
        </w:tc>
      </w:tr>
      <w:tr w:rsidR="007C3443" w:rsidRPr="006A5892" w14:paraId="445D219B" w14:textId="77777777" w:rsidTr="0089347F">
        <w:trPr>
          <w:trHeight w:val="290"/>
          <w:jc w:val="center"/>
        </w:trPr>
        <w:tc>
          <w:tcPr>
            <w:tcW w:w="2736" w:type="dxa"/>
            <w:tcBorders>
              <w:top w:val="single" w:sz="4" w:space="0" w:color="auto"/>
              <w:left w:val="single" w:sz="4" w:space="0" w:color="auto"/>
              <w:bottom w:val="single" w:sz="4" w:space="0" w:color="auto"/>
              <w:right w:val="single" w:sz="4" w:space="0" w:color="auto"/>
            </w:tcBorders>
            <w:vAlign w:val="bottom"/>
          </w:tcPr>
          <w:p w14:paraId="32C428FF" w14:textId="77777777" w:rsidR="007C3443" w:rsidRPr="006A5892" w:rsidRDefault="007C3443" w:rsidP="0089347F">
            <w:pPr>
              <w:jc w:val="center"/>
              <w:rPr>
                <w:rFonts w:ascii="Aptos Narrow" w:eastAsia="Times New Roman" w:hAnsi="Aptos Narrow" w:cs="Times New Roman"/>
                <w:color w:val="000000"/>
                <w:lang w:eastAsia="en-GB"/>
              </w:rPr>
            </w:pPr>
            <w:r>
              <w:rPr>
                <w:rFonts w:eastAsia="Times New Roman" w:cs="Open Sans"/>
                <w:color w:val="000000"/>
                <w:lang w:eastAsia="en-GB"/>
              </w:rPr>
              <w:t>Case Study</w:t>
            </w:r>
          </w:p>
        </w:tc>
        <w:tc>
          <w:tcPr>
            <w:tcW w:w="1815" w:type="dxa"/>
            <w:tcBorders>
              <w:top w:val="single" w:sz="4" w:space="0" w:color="auto"/>
              <w:left w:val="single" w:sz="4" w:space="0" w:color="auto"/>
              <w:bottom w:val="single" w:sz="4" w:space="0" w:color="auto"/>
              <w:right w:val="single" w:sz="4" w:space="0" w:color="auto"/>
            </w:tcBorders>
            <w:vAlign w:val="bottom"/>
          </w:tcPr>
          <w:p w14:paraId="2A659E06" w14:textId="77777777" w:rsidR="007C3443" w:rsidRPr="006A5892" w:rsidRDefault="007C3443" w:rsidP="0089347F">
            <w:pPr>
              <w:rPr>
                <w:rFonts w:ascii="Aptos Narrow" w:eastAsia="Times New Roman" w:hAnsi="Aptos Narrow" w:cs="Times New Roman"/>
                <w:color w:val="000000"/>
                <w:lang w:eastAsia="en-GB"/>
              </w:rPr>
            </w:pPr>
            <w:r w:rsidRPr="00A22326">
              <w:rPr>
                <w:rFonts w:eastAsia="Times New Roman" w:cs="Open Sans"/>
                <w:color w:val="000000"/>
                <w:lang w:eastAsia="en-GB"/>
              </w:rPr>
              <w:t>Previous Land Use</w:t>
            </w: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176C086D" w14:textId="77777777" w:rsidR="007C3443" w:rsidRPr="006A5892" w:rsidRDefault="007C3443" w:rsidP="0089347F">
            <w:pPr>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Mech Dried</w:t>
            </w:r>
          </w:p>
        </w:tc>
        <w:tc>
          <w:tcPr>
            <w:tcW w:w="960" w:type="dxa"/>
            <w:tcBorders>
              <w:top w:val="single" w:sz="4" w:space="0" w:color="auto"/>
              <w:left w:val="nil"/>
              <w:bottom w:val="single" w:sz="4" w:space="0" w:color="auto"/>
              <w:right w:val="single" w:sz="4" w:space="0" w:color="auto"/>
            </w:tcBorders>
            <w:noWrap/>
            <w:vAlign w:val="bottom"/>
            <w:hideMark/>
          </w:tcPr>
          <w:p w14:paraId="268BF293"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sun dried</w:t>
            </w:r>
          </w:p>
        </w:tc>
        <w:tc>
          <w:tcPr>
            <w:tcW w:w="1400" w:type="dxa"/>
            <w:tcBorders>
              <w:top w:val="single" w:sz="4" w:space="0" w:color="auto"/>
              <w:left w:val="nil"/>
              <w:bottom w:val="single" w:sz="4" w:space="0" w:color="auto"/>
              <w:right w:val="single" w:sz="4" w:space="0" w:color="auto"/>
            </w:tcBorders>
            <w:noWrap/>
            <w:vAlign w:val="bottom"/>
            <w:hideMark/>
          </w:tcPr>
          <w:p w14:paraId="61E5B4FC"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 sun drying</w:t>
            </w:r>
          </w:p>
        </w:tc>
      </w:tr>
      <w:tr w:rsidR="007C3443" w:rsidRPr="006A5892" w14:paraId="43525D55" w14:textId="77777777" w:rsidTr="0089347F">
        <w:trPr>
          <w:trHeight w:val="290"/>
          <w:jc w:val="center"/>
        </w:trPr>
        <w:tc>
          <w:tcPr>
            <w:tcW w:w="2736" w:type="dxa"/>
            <w:vMerge w:val="restart"/>
            <w:tcBorders>
              <w:top w:val="nil"/>
              <w:left w:val="single" w:sz="4" w:space="0" w:color="auto"/>
              <w:right w:val="single" w:sz="4" w:space="0" w:color="auto"/>
            </w:tcBorders>
          </w:tcPr>
          <w:p w14:paraId="43DF0D07"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eastAsia="Times New Roman" w:cs="Open Sans"/>
                <w:color w:val="000000"/>
                <w:lang w:eastAsia="en-GB"/>
              </w:rPr>
              <w:t>Early Mature Medium Sized small holder</w:t>
            </w:r>
          </w:p>
        </w:tc>
        <w:tc>
          <w:tcPr>
            <w:tcW w:w="1815" w:type="dxa"/>
            <w:tcBorders>
              <w:top w:val="nil"/>
              <w:left w:val="single" w:sz="4" w:space="0" w:color="auto"/>
              <w:bottom w:val="single" w:sz="4" w:space="0" w:color="auto"/>
              <w:right w:val="single" w:sz="4" w:space="0" w:color="auto"/>
            </w:tcBorders>
          </w:tcPr>
          <w:p w14:paraId="5F039796"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cs="Open Sans"/>
              </w:rPr>
              <w:t>Forest</w:t>
            </w:r>
          </w:p>
        </w:tc>
        <w:tc>
          <w:tcPr>
            <w:tcW w:w="1011" w:type="dxa"/>
            <w:tcBorders>
              <w:top w:val="nil"/>
              <w:left w:val="single" w:sz="4" w:space="0" w:color="auto"/>
              <w:bottom w:val="single" w:sz="4" w:space="0" w:color="auto"/>
              <w:right w:val="single" w:sz="4" w:space="0" w:color="auto"/>
            </w:tcBorders>
            <w:noWrap/>
            <w:vAlign w:val="bottom"/>
            <w:hideMark/>
          </w:tcPr>
          <w:p w14:paraId="27DB51B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12.89</w:t>
            </w:r>
          </w:p>
        </w:tc>
        <w:tc>
          <w:tcPr>
            <w:tcW w:w="960" w:type="dxa"/>
            <w:tcBorders>
              <w:top w:val="nil"/>
              <w:left w:val="nil"/>
              <w:bottom w:val="single" w:sz="4" w:space="0" w:color="auto"/>
              <w:right w:val="single" w:sz="4" w:space="0" w:color="auto"/>
            </w:tcBorders>
            <w:noWrap/>
            <w:vAlign w:val="bottom"/>
            <w:hideMark/>
          </w:tcPr>
          <w:p w14:paraId="23DB063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12.54</w:t>
            </w:r>
          </w:p>
        </w:tc>
        <w:tc>
          <w:tcPr>
            <w:tcW w:w="1400" w:type="dxa"/>
            <w:tcBorders>
              <w:top w:val="nil"/>
              <w:left w:val="nil"/>
              <w:bottom w:val="single" w:sz="4" w:space="0" w:color="auto"/>
              <w:right w:val="single" w:sz="4" w:space="0" w:color="auto"/>
            </w:tcBorders>
            <w:noWrap/>
            <w:vAlign w:val="bottom"/>
            <w:hideMark/>
          </w:tcPr>
          <w:p w14:paraId="2489536E"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103%</w:t>
            </w:r>
          </w:p>
        </w:tc>
      </w:tr>
      <w:tr w:rsidR="007C3443" w:rsidRPr="006A5892" w14:paraId="08BD8766" w14:textId="77777777" w:rsidTr="0089347F">
        <w:trPr>
          <w:trHeight w:val="290"/>
          <w:jc w:val="center"/>
        </w:trPr>
        <w:tc>
          <w:tcPr>
            <w:tcW w:w="2736" w:type="dxa"/>
            <w:vMerge/>
            <w:tcBorders>
              <w:left w:val="single" w:sz="4" w:space="0" w:color="auto"/>
              <w:bottom w:val="single" w:sz="4" w:space="0" w:color="auto"/>
              <w:right w:val="single" w:sz="4" w:space="0" w:color="auto"/>
            </w:tcBorders>
          </w:tcPr>
          <w:p w14:paraId="49D34C76" w14:textId="77777777" w:rsidR="007C3443" w:rsidRPr="006A5892" w:rsidRDefault="007C3443" w:rsidP="0089347F">
            <w:pPr>
              <w:jc w:val="center"/>
              <w:rPr>
                <w:rFonts w:ascii="Aptos Narrow" w:eastAsia="Times New Roman" w:hAnsi="Aptos Narrow" w:cs="Times New Roman"/>
                <w:color w:val="000000"/>
                <w:lang w:eastAsia="en-GB"/>
              </w:rPr>
            </w:pPr>
          </w:p>
        </w:tc>
        <w:tc>
          <w:tcPr>
            <w:tcW w:w="1815" w:type="dxa"/>
            <w:tcBorders>
              <w:top w:val="nil"/>
              <w:left w:val="single" w:sz="4" w:space="0" w:color="auto"/>
              <w:bottom w:val="single" w:sz="4" w:space="0" w:color="auto"/>
              <w:right w:val="single" w:sz="4" w:space="0" w:color="auto"/>
            </w:tcBorders>
          </w:tcPr>
          <w:p w14:paraId="4A2928C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cs="Open Sans"/>
              </w:rPr>
              <w:t>Wooded Grassland</w:t>
            </w:r>
          </w:p>
        </w:tc>
        <w:tc>
          <w:tcPr>
            <w:tcW w:w="1011" w:type="dxa"/>
            <w:tcBorders>
              <w:top w:val="nil"/>
              <w:left w:val="single" w:sz="4" w:space="0" w:color="auto"/>
              <w:bottom w:val="single" w:sz="4" w:space="0" w:color="auto"/>
              <w:right w:val="single" w:sz="4" w:space="0" w:color="auto"/>
            </w:tcBorders>
            <w:noWrap/>
            <w:vAlign w:val="bottom"/>
            <w:hideMark/>
          </w:tcPr>
          <w:p w14:paraId="280D3E72"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-23.29</w:t>
            </w:r>
          </w:p>
        </w:tc>
        <w:tc>
          <w:tcPr>
            <w:tcW w:w="960" w:type="dxa"/>
            <w:tcBorders>
              <w:top w:val="nil"/>
              <w:left w:val="nil"/>
              <w:bottom w:val="single" w:sz="4" w:space="0" w:color="auto"/>
              <w:right w:val="single" w:sz="4" w:space="0" w:color="auto"/>
            </w:tcBorders>
            <w:noWrap/>
            <w:vAlign w:val="bottom"/>
            <w:hideMark/>
          </w:tcPr>
          <w:p w14:paraId="1F215616"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-23.59</w:t>
            </w:r>
          </w:p>
        </w:tc>
        <w:tc>
          <w:tcPr>
            <w:tcW w:w="1400" w:type="dxa"/>
            <w:tcBorders>
              <w:top w:val="nil"/>
              <w:left w:val="nil"/>
              <w:bottom w:val="single" w:sz="4" w:space="0" w:color="auto"/>
              <w:right w:val="single" w:sz="4" w:space="0" w:color="auto"/>
            </w:tcBorders>
            <w:noWrap/>
            <w:vAlign w:val="bottom"/>
            <w:hideMark/>
          </w:tcPr>
          <w:p w14:paraId="5CF0461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99%</w:t>
            </w:r>
          </w:p>
        </w:tc>
      </w:tr>
      <w:tr w:rsidR="007C3443" w:rsidRPr="006A5892" w14:paraId="48A7EE68" w14:textId="77777777" w:rsidTr="0089347F">
        <w:trPr>
          <w:trHeight w:val="290"/>
          <w:jc w:val="center"/>
        </w:trPr>
        <w:tc>
          <w:tcPr>
            <w:tcW w:w="2736" w:type="dxa"/>
            <w:tcBorders>
              <w:top w:val="nil"/>
              <w:left w:val="single" w:sz="4" w:space="0" w:color="auto"/>
              <w:bottom w:val="single" w:sz="4" w:space="0" w:color="auto"/>
              <w:right w:val="single" w:sz="4" w:space="0" w:color="auto"/>
            </w:tcBorders>
          </w:tcPr>
          <w:p w14:paraId="69FFF984"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eastAsia="Times New Roman" w:cs="Open Sans"/>
                <w:color w:val="000000"/>
                <w:lang w:eastAsia="en-GB"/>
              </w:rPr>
              <w:t>Late Mature Medium Sized small holder</w:t>
            </w:r>
          </w:p>
        </w:tc>
        <w:tc>
          <w:tcPr>
            <w:tcW w:w="1815" w:type="dxa"/>
            <w:tcBorders>
              <w:top w:val="nil"/>
              <w:left w:val="single" w:sz="4" w:space="0" w:color="auto"/>
              <w:bottom w:val="single" w:sz="4" w:space="0" w:color="auto"/>
              <w:right w:val="single" w:sz="4" w:space="0" w:color="auto"/>
            </w:tcBorders>
          </w:tcPr>
          <w:p w14:paraId="1C143644"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NA</w:t>
            </w:r>
          </w:p>
        </w:tc>
        <w:tc>
          <w:tcPr>
            <w:tcW w:w="1011" w:type="dxa"/>
            <w:tcBorders>
              <w:top w:val="nil"/>
              <w:left w:val="single" w:sz="4" w:space="0" w:color="auto"/>
              <w:bottom w:val="single" w:sz="4" w:space="0" w:color="auto"/>
              <w:right w:val="single" w:sz="4" w:space="0" w:color="auto"/>
            </w:tcBorders>
            <w:noWrap/>
            <w:vAlign w:val="bottom"/>
            <w:hideMark/>
          </w:tcPr>
          <w:p w14:paraId="4E72851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-64.77</w:t>
            </w:r>
          </w:p>
        </w:tc>
        <w:tc>
          <w:tcPr>
            <w:tcW w:w="960" w:type="dxa"/>
            <w:tcBorders>
              <w:top w:val="nil"/>
              <w:left w:val="nil"/>
              <w:bottom w:val="single" w:sz="4" w:space="0" w:color="auto"/>
              <w:right w:val="single" w:sz="4" w:space="0" w:color="auto"/>
            </w:tcBorders>
            <w:noWrap/>
            <w:vAlign w:val="bottom"/>
            <w:hideMark/>
          </w:tcPr>
          <w:p w14:paraId="1A690B57"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-65.08</w:t>
            </w:r>
          </w:p>
        </w:tc>
        <w:tc>
          <w:tcPr>
            <w:tcW w:w="1400" w:type="dxa"/>
            <w:tcBorders>
              <w:top w:val="nil"/>
              <w:left w:val="nil"/>
              <w:bottom w:val="single" w:sz="4" w:space="0" w:color="auto"/>
              <w:right w:val="single" w:sz="4" w:space="0" w:color="auto"/>
            </w:tcBorders>
            <w:noWrap/>
            <w:vAlign w:val="bottom"/>
            <w:hideMark/>
          </w:tcPr>
          <w:p w14:paraId="4AE4DABA" w14:textId="77777777" w:rsidR="007C3443" w:rsidRPr="006A5892" w:rsidRDefault="007C3443" w:rsidP="0089347F">
            <w:pPr>
              <w:keepNext/>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r>
    </w:tbl>
    <w:p w14:paraId="6D71E7A4" w14:textId="77777777" w:rsidR="007C3443" w:rsidRPr="006A5892" w:rsidRDefault="007C3443" w:rsidP="007C3443">
      <w:r w:rsidRPr="006A5892">
        <w:t xml:space="preserve">Note: measured in kg </w:t>
      </w:r>
      <w:proofErr w:type="spellStart"/>
      <w:r w:rsidRPr="006A5892">
        <w:t>CO</w:t>
      </w:r>
      <w:r w:rsidRPr="006A5892">
        <w:rPr>
          <w:rFonts w:ascii="Cambria Math" w:hAnsi="Cambria Math" w:cs="Cambria Math"/>
        </w:rPr>
        <w:t>₂</w:t>
      </w:r>
      <w:r w:rsidRPr="006A5892">
        <w:t>e</w:t>
      </w:r>
      <w:proofErr w:type="spellEnd"/>
      <w:r w:rsidRPr="006A5892">
        <w:t xml:space="preserve"> per kg dry beans (after an initial MC 40%) at the port, following an alternative farm-based impact allocation calculation that ignores water content above 10% at the cultivation stage.</w:t>
      </w:r>
    </w:p>
    <w:p w14:paraId="45D072F1" w14:textId="77777777" w:rsidR="007C3443" w:rsidRPr="006A5892" w:rsidRDefault="007C3443" w:rsidP="007C3443"/>
    <w:p w14:paraId="68D664D6" w14:textId="77777777" w:rsidR="007C3443" w:rsidRPr="006A5892" w:rsidRDefault="007C3443" w:rsidP="007C3443">
      <w:pPr>
        <w:rPr>
          <w:sz w:val="20"/>
          <w:szCs w:val="20"/>
        </w:rPr>
      </w:pPr>
      <w:r w:rsidRPr="006A5892">
        <w:rPr>
          <w:sz w:val="20"/>
          <w:szCs w:val="20"/>
        </w:rPr>
        <w:t>Compared with sun-dried we see a slight increase in positive emissions for the case study that replaced forestry and a slight decrease in the negative emissions of the others. In other words, if we consider the same dry weight leaving the farm, we see an increase in the carbon emissions due to drying, but this is small in relation to scale of emissions (positive or negative) associated with land use change. However, as in the case of transport or field-based biogenic emissions, if the cocoa were to be carbon neutral (i.e. emissions due to land transformation being equal to carbon uptake) then the additional drying emissions due to high moisture content would more than quadruple the carbon emissions of first case study and increase the emissions of the rest by 20-30%.</w:t>
      </w:r>
    </w:p>
    <w:p w14:paraId="03E7450E" w14:textId="77777777" w:rsidR="007C3443" w:rsidRPr="006A5892" w:rsidRDefault="007C3443" w:rsidP="007C3443"/>
    <w:p w14:paraId="5A50DF5C" w14:textId="77777777" w:rsidR="007C3443" w:rsidRPr="006A5892" w:rsidRDefault="007C3443" w:rsidP="007C3443">
      <w:pPr>
        <w:rPr>
          <w:sz w:val="20"/>
          <w:szCs w:val="20"/>
        </w:rPr>
      </w:pPr>
      <w:r w:rsidRPr="006A5892">
        <w:rPr>
          <w:sz w:val="20"/>
          <w:szCs w:val="20"/>
        </w:rPr>
        <w:t>T</w:t>
      </w:r>
      <w:r w:rsidRPr="00B003E9">
        <w:rPr>
          <w:sz w:val="20"/>
          <w:szCs w:val="20"/>
        </w:rPr>
        <w:t xml:space="preserve">he </w:t>
      </w:r>
      <w:r w:rsidRPr="006A5892">
        <w:rPr>
          <w:sz w:val="20"/>
          <w:szCs w:val="20"/>
        </w:rPr>
        <w:t>effect</w:t>
      </w:r>
      <w:r w:rsidRPr="00B003E9">
        <w:rPr>
          <w:sz w:val="20"/>
          <w:szCs w:val="20"/>
        </w:rPr>
        <w:t xml:space="preserve"> of high</w:t>
      </w:r>
      <w:r w:rsidRPr="006A5892">
        <w:rPr>
          <w:sz w:val="20"/>
          <w:szCs w:val="20"/>
        </w:rPr>
        <w:t xml:space="preserve"> drying (again assuming a moisture content of 40% but the same absolute weight of bean) on the other impact categories is presenting </w:t>
      </w:r>
      <w:r w:rsidRPr="006A5892">
        <w:t xml:space="preserve">Table </w:t>
      </w:r>
      <w:r w:rsidRPr="00B003E9">
        <w:t>5</w:t>
      </w:r>
      <w:r w:rsidRPr="006A5892">
        <w:noBreakHyphen/>
      </w:r>
      <w:r w:rsidRPr="00B003E9">
        <w:t>10.</w:t>
      </w:r>
      <w:r w:rsidRPr="00B003E9">
        <w:rPr>
          <w:sz w:val="20"/>
          <w:szCs w:val="20"/>
        </w:rPr>
        <w:t xml:space="preserve"> </w:t>
      </w:r>
      <w:r w:rsidRPr="006A5892">
        <w:rPr>
          <w:sz w:val="20"/>
          <w:szCs w:val="20"/>
        </w:rPr>
        <w:fldChar w:fldCharType="begin"/>
      </w:r>
      <w:r w:rsidRPr="006A5892">
        <w:rPr>
          <w:sz w:val="20"/>
          <w:szCs w:val="20"/>
        </w:rPr>
        <w:instrText xml:space="preserve"> REF _Ref227064826 \h </w:instrText>
      </w:r>
      <w:r w:rsidRPr="006A5892">
        <w:rPr>
          <w:sz w:val="20"/>
          <w:szCs w:val="20"/>
        </w:rPr>
      </w:r>
      <w:r w:rsidRPr="006A5892">
        <w:rPr>
          <w:sz w:val="20"/>
          <w:szCs w:val="20"/>
        </w:rPr>
        <w:fldChar w:fldCharType="separate"/>
      </w:r>
      <w:r w:rsidRPr="006A5892">
        <w:t xml:space="preserve">Table </w:t>
      </w:r>
      <w:r w:rsidRPr="00B003E9">
        <w:t>5</w:t>
      </w:r>
      <w:r w:rsidRPr="006A5892">
        <w:noBreakHyphen/>
      </w:r>
      <w:r w:rsidRPr="00B003E9">
        <w:t>10</w:t>
      </w:r>
      <w:r w:rsidRPr="006A5892">
        <w:rPr>
          <w:sz w:val="20"/>
          <w:szCs w:val="20"/>
        </w:rPr>
        <w:fldChar w:fldCharType="end"/>
      </w:r>
      <w:r w:rsidRPr="006A5892">
        <w:rPr>
          <w:sz w:val="20"/>
          <w:szCs w:val="20"/>
        </w:rPr>
        <w:t xml:space="preserve"> presents the </w:t>
      </w:r>
      <w:proofErr w:type="spellStart"/>
      <w:r w:rsidRPr="006A5892">
        <w:rPr>
          <w:sz w:val="20"/>
          <w:szCs w:val="20"/>
        </w:rPr>
        <w:t>i</w:t>
      </w:r>
      <w:proofErr w:type="spellEnd"/>
      <w:r w:rsidRPr="006A5892">
        <w:rPr>
          <w:sz w:val="20"/>
          <w:szCs w:val="20"/>
        </w:rPr>
        <w:t xml:space="preserve">) relative overall impact in % terms of the case study with highest </w:t>
      </w:r>
      <w:proofErr w:type="gramStart"/>
      <w:r w:rsidRPr="006A5892">
        <w:rPr>
          <w:sz w:val="20"/>
          <w:szCs w:val="20"/>
        </w:rPr>
        <w:t>score</w:t>
      </w:r>
      <w:r w:rsidRPr="006A5892" w:rsidDel="009C1477">
        <w:rPr>
          <w:sz w:val="20"/>
          <w:szCs w:val="20"/>
        </w:rPr>
        <w:t xml:space="preserve"> </w:t>
      </w:r>
      <w:r w:rsidRPr="006A5892">
        <w:rPr>
          <w:sz w:val="20"/>
          <w:szCs w:val="20"/>
        </w:rPr>
        <w:t>,</w:t>
      </w:r>
      <w:proofErr w:type="gramEnd"/>
      <w:r w:rsidRPr="006A5892">
        <w:rPr>
          <w:sz w:val="20"/>
          <w:szCs w:val="20"/>
        </w:rPr>
        <w:t xml:space="preserve"> ii) the relative impact by stage, iii) the ratio of the overall impact score to its equivalent for sun dried cocoa with or without considering a bean dry weight penalty due to moisture content. As in the case with sun dried cocoa, when looking at overall impact scores (</w:t>
      </w:r>
      <w:proofErr w:type="spellStart"/>
      <w:r w:rsidRPr="006A5892">
        <w:rPr>
          <w:sz w:val="20"/>
          <w:szCs w:val="20"/>
        </w:rPr>
        <w:t>i</w:t>
      </w:r>
      <w:proofErr w:type="spellEnd"/>
      <w:r w:rsidRPr="006A5892">
        <w:rPr>
          <w:sz w:val="20"/>
          <w:szCs w:val="20"/>
        </w:rPr>
        <w:t>) the relative difference in human health and ecosystem impact scores amongst case studies follow the relative difference in emission is due to land use change, and there is much less difference in the resource scores as this is wholly determined by fossil fuel use which does not differ significantly within these scenarios (</w:t>
      </w:r>
      <w:r w:rsidRPr="006A5892">
        <w:rPr>
          <w:sz w:val="20"/>
          <w:szCs w:val="20"/>
        </w:rPr>
        <w:fldChar w:fldCharType="begin"/>
      </w:r>
      <w:r w:rsidRPr="006A5892">
        <w:rPr>
          <w:sz w:val="20"/>
          <w:szCs w:val="20"/>
        </w:rPr>
        <w:instrText xml:space="preserve"> REF _Ref227064757 \h </w:instrText>
      </w:r>
      <w:r w:rsidRPr="006A5892">
        <w:rPr>
          <w:sz w:val="20"/>
          <w:szCs w:val="20"/>
        </w:rPr>
      </w:r>
      <w:r w:rsidRPr="006A5892">
        <w:rPr>
          <w:sz w:val="20"/>
          <w:szCs w:val="20"/>
        </w:rPr>
        <w:fldChar w:fldCharType="separate"/>
      </w:r>
      <w:r w:rsidRPr="006A5892">
        <w:t xml:space="preserve">Table </w:t>
      </w:r>
      <w:r w:rsidRPr="00B003E9">
        <w:t>5</w:t>
      </w:r>
      <w:r w:rsidRPr="006A5892">
        <w:noBreakHyphen/>
      </w:r>
      <w:r w:rsidRPr="00B003E9">
        <w:t>10</w:t>
      </w:r>
      <w:r w:rsidRPr="006A5892">
        <w:rPr>
          <w:sz w:val="20"/>
          <w:szCs w:val="20"/>
        </w:rPr>
        <w:fldChar w:fldCharType="end"/>
      </w:r>
      <w:r w:rsidRPr="006A5892">
        <w:rPr>
          <w:sz w:val="20"/>
          <w:szCs w:val="20"/>
        </w:rPr>
        <w:t>).</w:t>
      </w:r>
    </w:p>
    <w:p w14:paraId="6B95ABE1" w14:textId="77777777" w:rsidR="007C3443" w:rsidRPr="006A5892" w:rsidRDefault="007C3443" w:rsidP="007C3443">
      <w:pPr>
        <w:rPr>
          <w:sz w:val="20"/>
          <w:szCs w:val="20"/>
        </w:rPr>
      </w:pPr>
    </w:p>
    <w:p w14:paraId="67EFC04F" w14:textId="77777777" w:rsidR="007C3443" w:rsidRPr="006A5892" w:rsidRDefault="007C3443" w:rsidP="007C3443">
      <w:pPr>
        <w:rPr>
          <w:sz w:val="20"/>
          <w:szCs w:val="20"/>
        </w:rPr>
      </w:pPr>
      <w:r w:rsidRPr="006A5892">
        <w:rPr>
          <w:sz w:val="20"/>
          <w:szCs w:val="20"/>
        </w:rPr>
        <w:t xml:space="preserve">If we break it down in terms of value chain “hotspots” (ii) the results below demonstrate that, again the impact of cultivation dominates the human health and ecosystem impact score, but less so for case study 4 as it does not assume any emissions due to land use change. In which case drying and transport has a higher proportion of the overall impact score. Perhaps more interestingly the impact of drying has a much more pronounced effect on the resource scarcity score, which is unsurprising as it is an activity wholly associated with the consumption of fossil fuels. Was small in absolute terms when compared with the scale of emissions associated with land use change, drying significantly increases the demand for fossil energy associated with the production of dry cocoa beans. </w:t>
      </w:r>
    </w:p>
    <w:p w14:paraId="73B1945A" w14:textId="77777777" w:rsidR="007C3443" w:rsidRPr="006A5892" w:rsidRDefault="007C3443" w:rsidP="007C3443">
      <w:pPr>
        <w:rPr>
          <w:sz w:val="20"/>
          <w:szCs w:val="20"/>
        </w:rPr>
      </w:pPr>
    </w:p>
    <w:p w14:paraId="7E9531FC" w14:textId="77777777" w:rsidR="007C3443" w:rsidRPr="006A5892" w:rsidRDefault="007C3443" w:rsidP="007C3443">
      <w:pPr>
        <w:rPr>
          <w:sz w:val="20"/>
          <w:szCs w:val="20"/>
        </w:rPr>
      </w:pPr>
      <w:r w:rsidRPr="006A5892">
        <w:rPr>
          <w:sz w:val="20"/>
          <w:szCs w:val="20"/>
        </w:rPr>
        <w:t>As in the case with climate change if the overall results are recalculated without allocation of impacts to excess moisture weight at the farm gate (iii), which again results in a much lower increase compared with sun dried (“</w:t>
      </w:r>
      <w:proofErr w:type="spellStart"/>
      <w:r w:rsidRPr="006A5892">
        <w:rPr>
          <w:sz w:val="20"/>
          <w:szCs w:val="20"/>
        </w:rPr>
        <w:t>inc</w:t>
      </w:r>
      <w:proofErr w:type="spellEnd"/>
      <w:r w:rsidRPr="006A5892">
        <w:rPr>
          <w:sz w:val="20"/>
          <w:szCs w:val="20"/>
        </w:rPr>
        <w:t xml:space="preserve"> MC” vs “</w:t>
      </w:r>
      <w:proofErr w:type="spellStart"/>
      <w:r w:rsidRPr="006A5892">
        <w:rPr>
          <w:sz w:val="20"/>
          <w:szCs w:val="20"/>
        </w:rPr>
        <w:t>exc</w:t>
      </w:r>
      <w:proofErr w:type="spellEnd"/>
      <w:r w:rsidRPr="006A5892">
        <w:rPr>
          <w:sz w:val="20"/>
          <w:szCs w:val="20"/>
        </w:rPr>
        <w:t xml:space="preserve"> MC” in the table below). As mentioned, this removes the dry yield penalty where moisture displaces cocoa </w:t>
      </w:r>
      <w:proofErr w:type="gramStart"/>
      <w:r w:rsidRPr="006A5892">
        <w:rPr>
          <w:sz w:val="20"/>
          <w:szCs w:val="20"/>
        </w:rPr>
        <w:t>weight, and</w:t>
      </w:r>
      <w:proofErr w:type="gramEnd"/>
      <w:r w:rsidRPr="006A5892">
        <w:rPr>
          <w:sz w:val="20"/>
          <w:szCs w:val="20"/>
        </w:rPr>
        <w:t xml:space="preserve"> assumes the same dry weight equivalent leaves the farm as in the case of </w:t>
      </w:r>
      <w:proofErr w:type="gramStart"/>
      <w:r w:rsidRPr="006A5892">
        <w:rPr>
          <w:sz w:val="20"/>
          <w:szCs w:val="20"/>
        </w:rPr>
        <w:t>sun dried</w:t>
      </w:r>
      <w:proofErr w:type="gramEnd"/>
      <w:r w:rsidRPr="006A5892">
        <w:rPr>
          <w:sz w:val="20"/>
          <w:szCs w:val="20"/>
        </w:rPr>
        <w:t xml:space="preserve"> coco. Again, this is due to the scale of emissions associated with drying compared with emissions due to land use change, and not the absolute impact due to drying (production and combustion of 0.13 l LPG/kg dry bean) which is not </w:t>
      </w:r>
      <w:r w:rsidRPr="006A5892">
        <w:rPr>
          <w:sz w:val="20"/>
          <w:szCs w:val="20"/>
        </w:rPr>
        <w:lastRenderedPageBreak/>
        <w:t xml:space="preserve">changed. Again, because the resource scarcity impact score is determined by fossil fuel use, methodological assumptions on the functional unit of cocoa leaving the farm </w:t>
      </w:r>
      <w:proofErr w:type="gramStart"/>
      <w:r w:rsidRPr="006A5892">
        <w:rPr>
          <w:sz w:val="20"/>
          <w:szCs w:val="20"/>
        </w:rPr>
        <w:t>has</w:t>
      </w:r>
      <w:proofErr w:type="gramEnd"/>
      <w:r w:rsidRPr="006A5892">
        <w:rPr>
          <w:sz w:val="20"/>
          <w:szCs w:val="20"/>
        </w:rPr>
        <w:t xml:space="preserve"> very little effect on this impact score, the same quantity of water per kg is removed.</w:t>
      </w:r>
    </w:p>
    <w:p w14:paraId="3CAB82F7" w14:textId="77777777" w:rsidR="007C3443" w:rsidRPr="006A5892" w:rsidRDefault="007C3443" w:rsidP="007C3443">
      <w:pPr>
        <w:pStyle w:val="Caption"/>
        <w:keepNext/>
        <w:jc w:val="center"/>
      </w:pPr>
    </w:p>
    <w:p w14:paraId="1ACBFF4C" w14:textId="538F1389" w:rsidR="007C3443" w:rsidRPr="006A5892" w:rsidRDefault="007C3443" w:rsidP="007C3443">
      <w:pPr>
        <w:pStyle w:val="Caption"/>
        <w:keepNext/>
        <w:jc w:val="center"/>
      </w:pPr>
      <w:bookmarkStart w:id="185" w:name="_Toc228701095"/>
      <w:r w:rsidRPr="006A5892">
        <w:t xml:space="preserve">Table </w:t>
      </w:r>
      <w:fldSimple w:instr=" STYLEREF 1 \s ">
        <w:r w:rsidR="006C1C4E">
          <w:rPr>
            <w:noProof/>
          </w:rPr>
          <w:t>5</w:t>
        </w:r>
      </w:fldSimple>
      <w:r w:rsidR="006C1C4E">
        <w:noBreakHyphen/>
      </w:r>
      <w:fldSimple w:instr=" SEQ Table \* ARABIC \s 1 ">
        <w:r w:rsidR="006C1C4E">
          <w:rPr>
            <w:noProof/>
          </w:rPr>
          <w:t>10</w:t>
        </w:r>
      </w:fldSimple>
      <w:r w:rsidRPr="006A5892">
        <w:t xml:space="preserve">: Summary relative scores per dry kg, </w:t>
      </w:r>
      <w:proofErr w:type="spellStart"/>
      <w:r w:rsidRPr="006A5892">
        <w:t>i</w:t>
      </w:r>
      <w:proofErr w:type="spellEnd"/>
      <w:r w:rsidRPr="006A5892">
        <w:t>) per value chain, ii) per value chain stage and iii) including comparison against sun dried beans based on different calculation boundaries</w:t>
      </w:r>
      <w:bookmarkEnd w:id="185"/>
    </w:p>
    <w:p w14:paraId="1F0DB79D" w14:textId="77777777" w:rsidR="007C3443" w:rsidRPr="006A5892" w:rsidRDefault="007C3443" w:rsidP="007C3443">
      <w:pPr>
        <w:pStyle w:val="Caption"/>
        <w:keepNext/>
      </w:pPr>
    </w:p>
    <w:tbl>
      <w:tblPr>
        <w:tblW w:w="9016" w:type="dxa"/>
        <w:tblLook w:val="04A0" w:firstRow="1" w:lastRow="0" w:firstColumn="1" w:lastColumn="0" w:noHBand="0" w:noVBand="1"/>
      </w:tblPr>
      <w:tblGrid>
        <w:gridCol w:w="2122"/>
        <w:gridCol w:w="1559"/>
        <w:gridCol w:w="1545"/>
        <w:gridCol w:w="899"/>
        <w:gridCol w:w="1093"/>
        <w:gridCol w:w="875"/>
        <w:gridCol w:w="923"/>
      </w:tblGrid>
      <w:tr w:rsidR="007C3443" w:rsidRPr="006A5892" w14:paraId="6D7EC375" w14:textId="77777777" w:rsidTr="0089347F">
        <w:trPr>
          <w:trHeight w:val="290"/>
        </w:trPr>
        <w:tc>
          <w:tcPr>
            <w:tcW w:w="3681" w:type="dxa"/>
            <w:gridSpan w:val="2"/>
            <w:tcBorders>
              <w:top w:val="single" w:sz="4" w:space="0" w:color="auto"/>
              <w:left w:val="single" w:sz="4" w:space="0" w:color="auto"/>
              <w:bottom w:val="single" w:sz="4" w:space="0" w:color="auto"/>
              <w:right w:val="single" w:sz="4" w:space="0" w:color="auto"/>
            </w:tcBorders>
            <w:noWrap/>
            <w:vAlign w:val="bottom"/>
          </w:tcPr>
          <w:p w14:paraId="6C49D3EE" w14:textId="77777777" w:rsidR="007C3443" w:rsidRPr="00B003E9" w:rsidRDefault="007C3443" w:rsidP="0089347F">
            <w:pPr>
              <w:jc w:val="center"/>
              <w:rPr>
                <w:rFonts w:ascii="Aptos Narrow" w:eastAsia="Times New Roman" w:hAnsi="Aptos Narrow" w:cs="Times New Roman"/>
                <w:b/>
                <w:bCs/>
                <w:color w:val="000000"/>
                <w:lang w:eastAsia="en-GB"/>
              </w:rPr>
            </w:pPr>
          </w:p>
          <w:p w14:paraId="67543FC1" w14:textId="77777777" w:rsidR="007C3443" w:rsidRPr="00B003E9" w:rsidRDefault="007C3443" w:rsidP="007C3443">
            <w:pPr>
              <w:pStyle w:val="ListParagraph"/>
              <w:numPr>
                <w:ilvl w:val="0"/>
                <w:numId w:val="49"/>
              </w:numPr>
              <w:jc w:val="center"/>
              <w:rPr>
                <w:rFonts w:ascii="Aptos Narrow" w:eastAsia="Times New Roman" w:hAnsi="Aptos Narrow" w:cs="Times New Roman"/>
                <w:color w:val="000000"/>
                <w:lang w:eastAsia="en-GB"/>
              </w:rPr>
            </w:pPr>
            <w:r w:rsidRPr="00B003E9">
              <w:rPr>
                <w:rFonts w:ascii="Aptos Narrow" w:eastAsia="Times New Roman" w:hAnsi="Aptos Narrow" w:cs="Times New Roman"/>
                <w:b/>
                <w:bCs/>
                <w:color w:val="000000"/>
                <w:lang w:eastAsia="en-GB"/>
              </w:rPr>
              <w:t>Relative Impact in % of the case study with highest score</w:t>
            </w:r>
            <w:r w:rsidRPr="00B003E9" w:rsidDel="00087192">
              <w:rPr>
                <w:rFonts w:ascii="Aptos Narrow" w:eastAsia="Times New Roman" w:hAnsi="Aptos Narrow" w:cs="Times New Roman"/>
                <w:color w:val="000000"/>
                <w:lang w:eastAsia="en-GB"/>
              </w:rPr>
              <w:t xml:space="preserve"> </w:t>
            </w:r>
          </w:p>
        </w:tc>
        <w:tc>
          <w:tcPr>
            <w:tcW w:w="3537" w:type="dxa"/>
            <w:gridSpan w:val="3"/>
            <w:tcBorders>
              <w:top w:val="single" w:sz="4" w:space="0" w:color="auto"/>
              <w:left w:val="nil"/>
              <w:bottom w:val="single" w:sz="4" w:space="0" w:color="auto"/>
              <w:right w:val="single" w:sz="4" w:space="0" w:color="auto"/>
            </w:tcBorders>
            <w:noWrap/>
            <w:vAlign w:val="bottom"/>
          </w:tcPr>
          <w:p w14:paraId="261EB757"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ii) Relative Contribution by stage</w:t>
            </w:r>
            <w:r>
              <w:rPr>
                <w:rFonts w:ascii="Aptos Narrow" w:eastAsia="Times New Roman" w:hAnsi="Aptos Narrow" w:cs="Times New Roman"/>
                <w:b/>
                <w:bCs/>
                <w:color w:val="000000"/>
                <w:lang w:eastAsia="en-GB"/>
              </w:rPr>
              <w:t xml:space="preserve"> for each case study (Total =100%)</w:t>
            </w:r>
          </w:p>
        </w:tc>
        <w:tc>
          <w:tcPr>
            <w:tcW w:w="1798" w:type="dxa"/>
            <w:gridSpan w:val="2"/>
            <w:tcBorders>
              <w:top w:val="single" w:sz="4" w:space="0" w:color="auto"/>
              <w:left w:val="nil"/>
              <w:bottom w:val="single" w:sz="4" w:space="0" w:color="auto"/>
              <w:right w:val="single" w:sz="4" w:space="0" w:color="auto"/>
            </w:tcBorders>
            <w:noWrap/>
            <w:vAlign w:val="bottom"/>
          </w:tcPr>
          <w:p w14:paraId="036C517C"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iii)</w:t>
            </w:r>
            <w:r w:rsidRPr="006A5892">
              <w:rPr>
                <w:rFonts w:ascii="Aptos Narrow" w:eastAsia="Times New Roman" w:hAnsi="Aptos Narrow" w:cs="Times New Roman"/>
                <w:b/>
                <w:bCs/>
                <w:color w:val="000000"/>
                <w:lang w:eastAsia="en-GB"/>
              </w:rPr>
              <w:t xml:space="preserve"> </w:t>
            </w:r>
            <w:r w:rsidRPr="00B003E9">
              <w:rPr>
                <w:rFonts w:ascii="Aptos Narrow" w:eastAsia="Times New Roman" w:hAnsi="Aptos Narrow" w:cs="Times New Roman"/>
                <w:b/>
                <w:bCs/>
                <w:color w:val="000000"/>
                <w:lang w:eastAsia="en-GB"/>
              </w:rPr>
              <w:t xml:space="preserve"> </w:t>
            </w:r>
            <w:r w:rsidRPr="006A5892">
              <w:rPr>
                <w:rFonts w:ascii="Aptos Narrow" w:eastAsia="Times New Roman" w:hAnsi="Aptos Narrow" w:cs="Times New Roman"/>
                <w:b/>
                <w:bCs/>
                <w:color w:val="000000"/>
                <w:lang w:eastAsia="en-GB"/>
              </w:rPr>
              <w:t xml:space="preserve"> Overall score </w:t>
            </w:r>
            <w:r w:rsidRPr="00B003E9">
              <w:rPr>
                <w:rFonts w:ascii="Aptos Narrow" w:eastAsia="Times New Roman" w:hAnsi="Aptos Narrow" w:cs="Times New Roman"/>
                <w:b/>
                <w:bCs/>
                <w:color w:val="000000"/>
                <w:lang w:eastAsia="en-GB"/>
              </w:rPr>
              <w:t>Vs sun dried</w:t>
            </w:r>
          </w:p>
        </w:tc>
      </w:tr>
      <w:tr w:rsidR="007C3443" w:rsidRPr="006A5892" w14:paraId="54613F0F" w14:textId="77777777" w:rsidTr="0089347F">
        <w:trPr>
          <w:trHeight w:val="290"/>
        </w:trPr>
        <w:tc>
          <w:tcPr>
            <w:tcW w:w="3681" w:type="dxa"/>
            <w:gridSpan w:val="2"/>
            <w:tcBorders>
              <w:top w:val="single" w:sz="4" w:space="0" w:color="auto"/>
              <w:left w:val="single" w:sz="4" w:space="0" w:color="auto"/>
              <w:bottom w:val="single" w:sz="4" w:space="0" w:color="auto"/>
              <w:right w:val="single" w:sz="4" w:space="0" w:color="auto"/>
            </w:tcBorders>
            <w:noWrap/>
            <w:vAlign w:val="bottom"/>
          </w:tcPr>
          <w:p w14:paraId="331D4F4C" w14:textId="77777777" w:rsidR="007C3443" w:rsidRPr="006A5892" w:rsidRDefault="007C3443" w:rsidP="0089347F">
            <w:pPr>
              <w:jc w:val="center"/>
              <w:rPr>
                <w:rFonts w:ascii="Aptos Narrow" w:eastAsia="Times New Roman" w:hAnsi="Aptos Narrow" w:cs="Times New Roman"/>
                <w:color w:val="000000"/>
                <w:lang w:eastAsia="en-GB"/>
              </w:rPr>
            </w:pPr>
          </w:p>
        </w:tc>
        <w:tc>
          <w:tcPr>
            <w:tcW w:w="1545" w:type="dxa"/>
            <w:tcBorders>
              <w:top w:val="single" w:sz="4" w:space="0" w:color="auto"/>
              <w:left w:val="nil"/>
              <w:bottom w:val="single" w:sz="4" w:space="0" w:color="auto"/>
              <w:right w:val="single" w:sz="4" w:space="0" w:color="auto"/>
            </w:tcBorders>
            <w:noWrap/>
            <w:vAlign w:val="bottom"/>
            <w:hideMark/>
          </w:tcPr>
          <w:p w14:paraId="0677F0C0"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Transport</w:t>
            </w:r>
          </w:p>
        </w:tc>
        <w:tc>
          <w:tcPr>
            <w:tcW w:w="899" w:type="dxa"/>
            <w:tcBorders>
              <w:top w:val="single" w:sz="4" w:space="0" w:color="auto"/>
              <w:left w:val="nil"/>
              <w:bottom w:val="single" w:sz="4" w:space="0" w:color="auto"/>
              <w:right w:val="single" w:sz="4" w:space="0" w:color="auto"/>
            </w:tcBorders>
            <w:noWrap/>
            <w:vAlign w:val="bottom"/>
            <w:hideMark/>
          </w:tcPr>
          <w:p w14:paraId="425BBCEF"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Drying</w:t>
            </w:r>
          </w:p>
        </w:tc>
        <w:tc>
          <w:tcPr>
            <w:tcW w:w="1093" w:type="dxa"/>
            <w:tcBorders>
              <w:top w:val="single" w:sz="4" w:space="0" w:color="auto"/>
              <w:left w:val="nil"/>
              <w:bottom w:val="single" w:sz="4" w:space="0" w:color="auto"/>
              <w:right w:val="single" w:sz="4" w:space="0" w:color="auto"/>
            </w:tcBorders>
            <w:noWrap/>
            <w:vAlign w:val="bottom"/>
            <w:hideMark/>
          </w:tcPr>
          <w:p w14:paraId="546BE5BB"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Cultivation</w:t>
            </w:r>
          </w:p>
        </w:tc>
        <w:tc>
          <w:tcPr>
            <w:tcW w:w="1798" w:type="dxa"/>
            <w:gridSpan w:val="2"/>
            <w:tcBorders>
              <w:top w:val="single" w:sz="4" w:space="0" w:color="auto"/>
              <w:left w:val="nil"/>
              <w:bottom w:val="single" w:sz="4" w:space="0" w:color="auto"/>
              <w:right w:val="single" w:sz="4" w:space="0" w:color="auto"/>
            </w:tcBorders>
            <w:noWrap/>
            <w:vAlign w:val="bottom"/>
            <w:hideMark/>
          </w:tcPr>
          <w:p w14:paraId="4A5906A8" w14:textId="77777777" w:rsidR="007C3443" w:rsidRPr="006A5892" w:rsidRDefault="007C3443" w:rsidP="0089347F">
            <w:pPr>
              <w:jc w:val="center"/>
              <w:rPr>
                <w:rFonts w:ascii="Aptos Narrow" w:eastAsia="Times New Roman" w:hAnsi="Aptos Narrow" w:cs="Times New Roman"/>
                <w:color w:val="000000"/>
                <w:lang w:eastAsia="en-GB"/>
              </w:rPr>
            </w:pPr>
          </w:p>
        </w:tc>
      </w:tr>
      <w:tr w:rsidR="007C3443" w:rsidRPr="006A5892" w14:paraId="18C89BF1" w14:textId="77777777" w:rsidTr="0089347F">
        <w:trPr>
          <w:trHeight w:val="290"/>
        </w:trPr>
        <w:tc>
          <w:tcPr>
            <w:tcW w:w="7218" w:type="dxa"/>
            <w:gridSpan w:val="5"/>
            <w:tcBorders>
              <w:top w:val="single" w:sz="4" w:space="0" w:color="auto"/>
              <w:left w:val="single" w:sz="4" w:space="0" w:color="auto"/>
              <w:bottom w:val="single" w:sz="4" w:space="0" w:color="auto"/>
              <w:right w:val="single" w:sz="4" w:space="0" w:color="auto"/>
            </w:tcBorders>
            <w:noWrap/>
            <w:vAlign w:val="bottom"/>
          </w:tcPr>
          <w:p w14:paraId="31BD0F1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ab/>
              <w:t>Early Mature Medium Sized small holder replacing forest (high drying)</w:t>
            </w:r>
          </w:p>
        </w:tc>
        <w:tc>
          <w:tcPr>
            <w:tcW w:w="875" w:type="dxa"/>
            <w:tcBorders>
              <w:top w:val="nil"/>
              <w:left w:val="nil"/>
              <w:bottom w:val="single" w:sz="4" w:space="0" w:color="auto"/>
              <w:right w:val="single" w:sz="4" w:space="0" w:color="auto"/>
            </w:tcBorders>
            <w:noWrap/>
            <w:vAlign w:val="bottom"/>
            <w:hideMark/>
          </w:tcPr>
          <w:p w14:paraId="3CF8F418"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inc</w:t>
            </w:r>
            <w:proofErr w:type="spellEnd"/>
            <w:r w:rsidRPr="006A5892">
              <w:rPr>
                <w:rFonts w:ascii="Aptos Narrow" w:eastAsia="Times New Roman" w:hAnsi="Aptos Narrow" w:cs="Times New Roman"/>
                <w:color w:val="000000"/>
                <w:lang w:eastAsia="en-GB"/>
              </w:rPr>
              <w:t xml:space="preserve"> MC</w:t>
            </w:r>
          </w:p>
        </w:tc>
        <w:tc>
          <w:tcPr>
            <w:tcW w:w="923" w:type="dxa"/>
            <w:tcBorders>
              <w:top w:val="nil"/>
              <w:left w:val="nil"/>
              <w:bottom w:val="single" w:sz="4" w:space="0" w:color="auto"/>
              <w:right w:val="single" w:sz="4" w:space="0" w:color="auto"/>
            </w:tcBorders>
            <w:noWrap/>
            <w:vAlign w:val="bottom"/>
            <w:hideMark/>
          </w:tcPr>
          <w:p w14:paraId="35B91788"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exc</w:t>
            </w:r>
            <w:proofErr w:type="spellEnd"/>
            <w:r w:rsidRPr="006A5892">
              <w:rPr>
                <w:rFonts w:ascii="Aptos Narrow" w:eastAsia="Times New Roman" w:hAnsi="Aptos Narrow" w:cs="Times New Roman"/>
                <w:color w:val="000000"/>
                <w:lang w:eastAsia="en-GB"/>
              </w:rPr>
              <w:t xml:space="preserve"> MC</w:t>
            </w:r>
          </w:p>
        </w:tc>
      </w:tr>
      <w:tr w:rsidR="007C3443" w:rsidRPr="006A5892" w14:paraId="5B71A2AE"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631336B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Human health</w:t>
            </w:r>
          </w:p>
        </w:tc>
        <w:tc>
          <w:tcPr>
            <w:tcW w:w="1559" w:type="dxa"/>
            <w:tcBorders>
              <w:top w:val="nil"/>
              <w:left w:val="nil"/>
              <w:bottom w:val="single" w:sz="4" w:space="0" w:color="auto"/>
              <w:right w:val="single" w:sz="4" w:space="0" w:color="auto"/>
            </w:tcBorders>
            <w:shd w:val="clear" w:color="auto" w:fill="EE0000"/>
            <w:noWrap/>
            <w:vAlign w:val="bottom"/>
          </w:tcPr>
          <w:p w14:paraId="73277707"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100%</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C0E323E"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0.19%</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57AA412D"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0.90%</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39932E38"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98.90%</w:t>
            </w:r>
          </w:p>
        </w:tc>
        <w:tc>
          <w:tcPr>
            <w:tcW w:w="875" w:type="dxa"/>
            <w:tcBorders>
              <w:top w:val="nil"/>
              <w:left w:val="nil"/>
              <w:bottom w:val="single" w:sz="4" w:space="0" w:color="auto"/>
              <w:right w:val="single" w:sz="4" w:space="0" w:color="auto"/>
            </w:tcBorders>
            <w:noWrap/>
            <w:vAlign w:val="bottom"/>
            <w:hideMark/>
          </w:tcPr>
          <w:p w14:paraId="5E60F023"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151%</w:t>
            </w:r>
          </w:p>
        </w:tc>
        <w:tc>
          <w:tcPr>
            <w:tcW w:w="923" w:type="dxa"/>
            <w:tcBorders>
              <w:top w:val="nil"/>
              <w:left w:val="nil"/>
              <w:bottom w:val="single" w:sz="4" w:space="0" w:color="auto"/>
              <w:right w:val="single" w:sz="4" w:space="0" w:color="auto"/>
            </w:tcBorders>
            <w:noWrap/>
            <w:vAlign w:val="bottom"/>
            <w:hideMark/>
          </w:tcPr>
          <w:p w14:paraId="47E947BB"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101%</w:t>
            </w:r>
          </w:p>
        </w:tc>
      </w:tr>
      <w:tr w:rsidR="007C3443" w:rsidRPr="006A5892" w14:paraId="6A4348C8"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317ACD92"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Ecosystems</w:t>
            </w:r>
          </w:p>
        </w:tc>
        <w:tc>
          <w:tcPr>
            <w:tcW w:w="1559" w:type="dxa"/>
            <w:tcBorders>
              <w:top w:val="nil"/>
              <w:left w:val="nil"/>
              <w:bottom w:val="single" w:sz="4" w:space="0" w:color="auto"/>
              <w:right w:val="single" w:sz="4" w:space="0" w:color="auto"/>
            </w:tcBorders>
            <w:shd w:val="clear" w:color="auto" w:fill="EE0000"/>
            <w:noWrap/>
            <w:vAlign w:val="bottom"/>
          </w:tcPr>
          <w:p w14:paraId="4F2D2424"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100%</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1D06B92"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0.11%</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3BB8880"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0.39%</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4C703C6A"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99.50%</w:t>
            </w:r>
          </w:p>
        </w:tc>
        <w:tc>
          <w:tcPr>
            <w:tcW w:w="875" w:type="dxa"/>
            <w:tcBorders>
              <w:top w:val="nil"/>
              <w:left w:val="nil"/>
              <w:bottom w:val="single" w:sz="4" w:space="0" w:color="auto"/>
              <w:right w:val="single" w:sz="4" w:space="0" w:color="auto"/>
            </w:tcBorders>
            <w:noWrap/>
            <w:vAlign w:val="bottom"/>
            <w:hideMark/>
          </w:tcPr>
          <w:p w14:paraId="08CA84E7"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151%</w:t>
            </w:r>
          </w:p>
        </w:tc>
        <w:tc>
          <w:tcPr>
            <w:tcW w:w="923" w:type="dxa"/>
            <w:tcBorders>
              <w:top w:val="nil"/>
              <w:left w:val="nil"/>
              <w:bottom w:val="single" w:sz="4" w:space="0" w:color="auto"/>
              <w:right w:val="single" w:sz="4" w:space="0" w:color="auto"/>
            </w:tcBorders>
            <w:noWrap/>
            <w:vAlign w:val="bottom"/>
            <w:hideMark/>
          </w:tcPr>
          <w:p w14:paraId="5C5955F4"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101%</w:t>
            </w:r>
          </w:p>
        </w:tc>
      </w:tr>
      <w:tr w:rsidR="007C3443" w:rsidRPr="006A5892" w14:paraId="748F3611"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324C0403" w14:textId="77777777" w:rsidR="007C3443" w:rsidRPr="006A5892" w:rsidRDefault="007C3443" w:rsidP="0089347F">
            <w:pP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Resources</w:t>
            </w:r>
          </w:p>
        </w:tc>
        <w:tc>
          <w:tcPr>
            <w:tcW w:w="1559" w:type="dxa"/>
            <w:tcBorders>
              <w:top w:val="nil"/>
              <w:left w:val="nil"/>
              <w:bottom w:val="single" w:sz="4" w:space="0" w:color="auto"/>
              <w:right w:val="single" w:sz="4" w:space="0" w:color="auto"/>
            </w:tcBorders>
            <w:shd w:val="clear" w:color="auto" w:fill="EE0000"/>
            <w:noWrap/>
            <w:vAlign w:val="bottom"/>
          </w:tcPr>
          <w:p w14:paraId="2942BB63"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100%</w:t>
            </w:r>
          </w:p>
        </w:tc>
        <w:tc>
          <w:tcPr>
            <w:tcW w:w="1545"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01B85B5"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24.42%</w:t>
            </w:r>
          </w:p>
        </w:tc>
        <w:tc>
          <w:tcPr>
            <w:tcW w:w="899"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3AE521D5"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75.58%</w:t>
            </w:r>
          </w:p>
        </w:tc>
        <w:tc>
          <w:tcPr>
            <w:tcW w:w="1093"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34FC140"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0.00%</w:t>
            </w:r>
          </w:p>
        </w:tc>
        <w:tc>
          <w:tcPr>
            <w:tcW w:w="875" w:type="dxa"/>
            <w:tcBorders>
              <w:top w:val="nil"/>
              <w:left w:val="nil"/>
              <w:bottom w:val="single" w:sz="4" w:space="0" w:color="auto"/>
              <w:right w:val="single" w:sz="4" w:space="0" w:color="auto"/>
            </w:tcBorders>
            <w:noWrap/>
            <w:vAlign w:val="bottom"/>
            <w:hideMark/>
          </w:tcPr>
          <w:p w14:paraId="25B56016"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450%</w:t>
            </w:r>
          </w:p>
        </w:tc>
        <w:tc>
          <w:tcPr>
            <w:tcW w:w="923" w:type="dxa"/>
            <w:tcBorders>
              <w:top w:val="nil"/>
              <w:left w:val="nil"/>
              <w:bottom w:val="single" w:sz="4" w:space="0" w:color="auto"/>
              <w:right w:val="single" w:sz="4" w:space="0" w:color="auto"/>
            </w:tcBorders>
            <w:noWrap/>
            <w:vAlign w:val="bottom"/>
            <w:hideMark/>
          </w:tcPr>
          <w:p w14:paraId="3A33E970"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452%</w:t>
            </w:r>
          </w:p>
        </w:tc>
      </w:tr>
      <w:tr w:rsidR="007C3443" w:rsidRPr="006A5892" w14:paraId="315769D4" w14:textId="77777777" w:rsidTr="0089347F">
        <w:trPr>
          <w:trHeight w:val="290"/>
        </w:trPr>
        <w:tc>
          <w:tcPr>
            <w:tcW w:w="7218" w:type="dxa"/>
            <w:gridSpan w:val="5"/>
            <w:tcBorders>
              <w:top w:val="single" w:sz="4" w:space="0" w:color="auto"/>
              <w:left w:val="single" w:sz="4" w:space="0" w:color="auto"/>
              <w:bottom w:val="single" w:sz="4" w:space="0" w:color="auto"/>
              <w:right w:val="single" w:sz="4" w:space="0" w:color="auto"/>
            </w:tcBorders>
            <w:noWrap/>
            <w:vAlign w:val="bottom"/>
            <w:hideMark/>
          </w:tcPr>
          <w:p w14:paraId="351A15D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ab/>
              <w:t>Early Mature Medium Sized small holder replacing wooded grassland (high drying)</w:t>
            </w:r>
          </w:p>
        </w:tc>
        <w:tc>
          <w:tcPr>
            <w:tcW w:w="875" w:type="dxa"/>
            <w:tcBorders>
              <w:top w:val="nil"/>
              <w:left w:val="nil"/>
              <w:bottom w:val="single" w:sz="4" w:space="0" w:color="auto"/>
              <w:right w:val="single" w:sz="4" w:space="0" w:color="auto"/>
            </w:tcBorders>
            <w:noWrap/>
            <w:vAlign w:val="bottom"/>
            <w:hideMark/>
          </w:tcPr>
          <w:p w14:paraId="44C5006C"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inc</w:t>
            </w:r>
            <w:proofErr w:type="spellEnd"/>
            <w:r w:rsidRPr="006A5892">
              <w:rPr>
                <w:rFonts w:ascii="Aptos Narrow" w:eastAsia="Times New Roman" w:hAnsi="Aptos Narrow" w:cs="Times New Roman"/>
                <w:color w:val="000000"/>
                <w:lang w:eastAsia="en-GB"/>
              </w:rPr>
              <w:t xml:space="preserve"> MC</w:t>
            </w:r>
          </w:p>
        </w:tc>
        <w:tc>
          <w:tcPr>
            <w:tcW w:w="923" w:type="dxa"/>
            <w:tcBorders>
              <w:top w:val="nil"/>
              <w:left w:val="nil"/>
              <w:bottom w:val="single" w:sz="4" w:space="0" w:color="auto"/>
              <w:right w:val="single" w:sz="4" w:space="0" w:color="auto"/>
            </w:tcBorders>
            <w:noWrap/>
            <w:vAlign w:val="bottom"/>
            <w:hideMark/>
          </w:tcPr>
          <w:p w14:paraId="54ADF9DD"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exc</w:t>
            </w:r>
            <w:proofErr w:type="spellEnd"/>
            <w:r w:rsidRPr="006A5892">
              <w:rPr>
                <w:rFonts w:ascii="Aptos Narrow" w:eastAsia="Times New Roman" w:hAnsi="Aptos Narrow" w:cs="Times New Roman"/>
                <w:color w:val="000000"/>
                <w:lang w:eastAsia="en-GB"/>
              </w:rPr>
              <w:t xml:space="preserve"> MC</w:t>
            </w:r>
          </w:p>
        </w:tc>
      </w:tr>
      <w:tr w:rsidR="007C3443" w:rsidRPr="006A5892" w14:paraId="50629DFA"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0183BBFE"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Human health</w:t>
            </w:r>
          </w:p>
        </w:tc>
        <w:tc>
          <w:tcPr>
            <w:tcW w:w="1559" w:type="dxa"/>
            <w:tcBorders>
              <w:top w:val="nil"/>
              <w:left w:val="nil"/>
              <w:bottom w:val="single" w:sz="4" w:space="0" w:color="auto"/>
              <w:right w:val="single" w:sz="4" w:space="0" w:color="auto"/>
            </w:tcBorders>
            <w:shd w:val="clear" w:color="auto" w:fill="FFC000"/>
            <w:noWrap/>
            <w:vAlign w:val="bottom"/>
          </w:tcPr>
          <w:p w14:paraId="35CFA7D0"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54%</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A65944D"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0.35%</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25F74D0E"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1.07%</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1B53C7F6"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98.58%</w:t>
            </w:r>
          </w:p>
        </w:tc>
        <w:tc>
          <w:tcPr>
            <w:tcW w:w="875" w:type="dxa"/>
            <w:tcBorders>
              <w:top w:val="nil"/>
              <w:left w:val="nil"/>
              <w:bottom w:val="single" w:sz="4" w:space="0" w:color="auto"/>
              <w:right w:val="single" w:sz="4" w:space="0" w:color="auto"/>
            </w:tcBorders>
            <w:noWrap/>
            <w:vAlign w:val="bottom"/>
            <w:hideMark/>
          </w:tcPr>
          <w:p w14:paraId="782AF2D8"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151%</w:t>
            </w:r>
          </w:p>
        </w:tc>
        <w:tc>
          <w:tcPr>
            <w:tcW w:w="923" w:type="dxa"/>
            <w:tcBorders>
              <w:top w:val="nil"/>
              <w:left w:val="nil"/>
              <w:bottom w:val="single" w:sz="4" w:space="0" w:color="auto"/>
              <w:right w:val="single" w:sz="4" w:space="0" w:color="auto"/>
            </w:tcBorders>
            <w:noWrap/>
            <w:vAlign w:val="bottom"/>
            <w:hideMark/>
          </w:tcPr>
          <w:p w14:paraId="22B33771"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102%</w:t>
            </w:r>
          </w:p>
        </w:tc>
      </w:tr>
      <w:tr w:rsidR="007C3443" w:rsidRPr="006A5892" w14:paraId="1D00926C"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725354F0"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Ecosystem</w:t>
            </w:r>
            <w:r>
              <w:rPr>
                <w:rFonts w:ascii="Aptos Narrow" w:eastAsia="Times New Roman" w:hAnsi="Aptos Narrow" w:cs="Times New Roman"/>
                <w:color w:val="000000"/>
                <w:lang w:eastAsia="en-GB"/>
              </w:rPr>
              <w:t xml:space="preserve"> Quality</w:t>
            </w:r>
          </w:p>
        </w:tc>
        <w:tc>
          <w:tcPr>
            <w:tcW w:w="1559" w:type="dxa"/>
            <w:tcBorders>
              <w:top w:val="nil"/>
              <w:left w:val="nil"/>
              <w:bottom w:val="single" w:sz="4" w:space="0" w:color="auto"/>
              <w:right w:val="single" w:sz="4" w:space="0" w:color="auto"/>
            </w:tcBorders>
            <w:shd w:val="clear" w:color="auto" w:fill="FFC000"/>
            <w:noWrap/>
            <w:vAlign w:val="bottom"/>
          </w:tcPr>
          <w:p w14:paraId="01EE6238"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54%</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13AA888"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0.21%</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2602700"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0.58%</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2DC50152"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99.21%</w:t>
            </w:r>
          </w:p>
        </w:tc>
        <w:tc>
          <w:tcPr>
            <w:tcW w:w="875" w:type="dxa"/>
            <w:tcBorders>
              <w:top w:val="nil"/>
              <w:left w:val="nil"/>
              <w:bottom w:val="single" w:sz="4" w:space="0" w:color="auto"/>
              <w:right w:val="single" w:sz="4" w:space="0" w:color="auto"/>
            </w:tcBorders>
            <w:noWrap/>
            <w:vAlign w:val="bottom"/>
            <w:hideMark/>
          </w:tcPr>
          <w:p w14:paraId="79D063D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151%</w:t>
            </w:r>
          </w:p>
        </w:tc>
        <w:tc>
          <w:tcPr>
            <w:tcW w:w="923" w:type="dxa"/>
            <w:tcBorders>
              <w:top w:val="nil"/>
              <w:left w:val="nil"/>
              <w:bottom w:val="single" w:sz="4" w:space="0" w:color="auto"/>
              <w:right w:val="single" w:sz="4" w:space="0" w:color="auto"/>
            </w:tcBorders>
            <w:noWrap/>
            <w:vAlign w:val="bottom"/>
            <w:hideMark/>
          </w:tcPr>
          <w:p w14:paraId="4A93A3D2"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101%</w:t>
            </w:r>
          </w:p>
        </w:tc>
      </w:tr>
      <w:tr w:rsidR="007C3443" w:rsidRPr="006A5892" w14:paraId="1AD97950"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39FDF8A0"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Resources</w:t>
            </w:r>
          </w:p>
        </w:tc>
        <w:tc>
          <w:tcPr>
            <w:tcW w:w="1559" w:type="dxa"/>
            <w:tcBorders>
              <w:top w:val="nil"/>
              <w:left w:val="nil"/>
              <w:bottom w:val="single" w:sz="4" w:space="0" w:color="auto"/>
              <w:right w:val="single" w:sz="4" w:space="0" w:color="auto"/>
            </w:tcBorders>
            <w:shd w:val="clear" w:color="auto" w:fill="FFC000"/>
            <w:noWrap/>
            <w:vAlign w:val="bottom"/>
          </w:tcPr>
          <w:p w14:paraId="5F37DF3A"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93%</w:t>
            </w:r>
          </w:p>
        </w:tc>
        <w:tc>
          <w:tcPr>
            <w:tcW w:w="1545"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7D7B8A62"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26.32%</w:t>
            </w:r>
          </w:p>
        </w:tc>
        <w:tc>
          <w:tcPr>
            <w:tcW w:w="899"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0778DB66"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73.68%</w:t>
            </w:r>
          </w:p>
        </w:tc>
        <w:tc>
          <w:tcPr>
            <w:tcW w:w="1093"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2858D07"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0.00%</w:t>
            </w:r>
          </w:p>
        </w:tc>
        <w:tc>
          <w:tcPr>
            <w:tcW w:w="875" w:type="dxa"/>
            <w:tcBorders>
              <w:top w:val="nil"/>
              <w:left w:val="nil"/>
              <w:bottom w:val="single" w:sz="4" w:space="0" w:color="auto"/>
              <w:right w:val="single" w:sz="4" w:space="0" w:color="auto"/>
            </w:tcBorders>
            <w:noWrap/>
            <w:vAlign w:val="bottom"/>
            <w:hideMark/>
          </w:tcPr>
          <w:p w14:paraId="18802F7F"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418%</w:t>
            </w:r>
          </w:p>
        </w:tc>
        <w:tc>
          <w:tcPr>
            <w:tcW w:w="923" w:type="dxa"/>
            <w:tcBorders>
              <w:top w:val="nil"/>
              <w:left w:val="nil"/>
              <w:bottom w:val="single" w:sz="4" w:space="0" w:color="auto"/>
              <w:right w:val="single" w:sz="4" w:space="0" w:color="auto"/>
            </w:tcBorders>
            <w:noWrap/>
            <w:vAlign w:val="bottom"/>
            <w:hideMark/>
          </w:tcPr>
          <w:p w14:paraId="08AAC87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420%</w:t>
            </w:r>
          </w:p>
        </w:tc>
      </w:tr>
      <w:tr w:rsidR="007C3443" w:rsidRPr="006A5892" w14:paraId="6E2D1A06" w14:textId="77777777" w:rsidTr="0089347F">
        <w:trPr>
          <w:trHeight w:val="290"/>
        </w:trPr>
        <w:tc>
          <w:tcPr>
            <w:tcW w:w="7218" w:type="dxa"/>
            <w:gridSpan w:val="5"/>
            <w:tcBorders>
              <w:top w:val="single" w:sz="4" w:space="0" w:color="auto"/>
              <w:left w:val="single" w:sz="4" w:space="0" w:color="auto"/>
              <w:bottom w:val="single" w:sz="4" w:space="0" w:color="auto"/>
              <w:right w:val="single" w:sz="4" w:space="0" w:color="auto"/>
            </w:tcBorders>
            <w:noWrap/>
            <w:vAlign w:val="bottom"/>
            <w:hideMark/>
          </w:tcPr>
          <w:p w14:paraId="240FC41C"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Late Mature Medium Sized small holder excluding LUC grassland (high drying)</w:t>
            </w:r>
          </w:p>
        </w:tc>
        <w:tc>
          <w:tcPr>
            <w:tcW w:w="875" w:type="dxa"/>
            <w:tcBorders>
              <w:top w:val="nil"/>
              <w:left w:val="nil"/>
              <w:bottom w:val="single" w:sz="4" w:space="0" w:color="auto"/>
              <w:right w:val="single" w:sz="4" w:space="0" w:color="auto"/>
            </w:tcBorders>
            <w:noWrap/>
            <w:vAlign w:val="bottom"/>
            <w:hideMark/>
          </w:tcPr>
          <w:p w14:paraId="0BE33C0B"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inc</w:t>
            </w:r>
            <w:proofErr w:type="spellEnd"/>
            <w:r w:rsidRPr="006A5892">
              <w:rPr>
                <w:rFonts w:ascii="Aptos Narrow" w:eastAsia="Times New Roman" w:hAnsi="Aptos Narrow" w:cs="Times New Roman"/>
                <w:color w:val="000000"/>
                <w:lang w:eastAsia="en-GB"/>
              </w:rPr>
              <w:t xml:space="preserve"> MC</w:t>
            </w:r>
          </w:p>
        </w:tc>
        <w:tc>
          <w:tcPr>
            <w:tcW w:w="923" w:type="dxa"/>
            <w:tcBorders>
              <w:top w:val="nil"/>
              <w:left w:val="nil"/>
              <w:bottom w:val="single" w:sz="4" w:space="0" w:color="auto"/>
              <w:right w:val="single" w:sz="4" w:space="0" w:color="auto"/>
            </w:tcBorders>
            <w:noWrap/>
            <w:vAlign w:val="bottom"/>
            <w:hideMark/>
          </w:tcPr>
          <w:p w14:paraId="27832B9E" w14:textId="77777777" w:rsidR="007C3443" w:rsidRPr="006A5892" w:rsidRDefault="007C3443" w:rsidP="0089347F">
            <w:pPr>
              <w:jc w:val="center"/>
              <w:rPr>
                <w:rFonts w:ascii="Aptos Narrow" w:eastAsia="Times New Roman" w:hAnsi="Aptos Narrow" w:cs="Times New Roman"/>
                <w:color w:val="000000"/>
                <w:lang w:eastAsia="en-GB"/>
              </w:rPr>
            </w:pPr>
            <w:proofErr w:type="spellStart"/>
            <w:r w:rsidRPr="006A5892">
              <w:rPr>
                <w:rFonts w:ascii="Aptos Narrow" w:eastAsia="Times New Roman" w:hAnsi="Aptos Narrow" w:cs="Times New Roman"/>
                <w:color w:val="000000"/>
                <w:lang w:eastAsia="en-GB"/>
              </w:rPr>
              <w:t>exc</w:t>
            </w:r>
            <w:proofErr w:type="spellEnd"/>
            <w:r w:rsidRPr="006A5892">
              <w:rPr>
                <w:rFonts w:ascii="Aptos Narrow" w:eastAsia="Times New Roman" w:hAnsi="Aptos Narrow" w:cs="Times New Roman"/>
                <w:color w:val="000000"/>
                <w:lang w:eastAsia="en-GB"/>
              </w:rPr>
              <w:t xml:space="preserve"> MC</w:t>
            </w:r>
          </w:p>
        </w:tc>
      </w:tr>
      <w:tr w:rsidR="007C3443" w:rsidRPr="006A5892" w14:paraId="76D6B7E5"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534C38E9"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Human health</w:t>
            </w:r>
          </w:p>
        </w:tc>
        <w:tc>
          <w:tcPr>
            <w:tcW w:w="1559" w:type="dxa"/>
            <w:tcBorders>
              <w:top w:val="nil"/>
              <w:left w:val="nil"/>
              <w:bottom w:val="single" w:sz="4" w:space="0" w:color="auto"/>
              <w:right w:val="single" w:sz="4" w:space="0" w:color="auto"/>
            </w:tcBorders>
            <w:shd w:val="clear" w:color="auto" w:fill="00B050"/>
            <w:noWrap/>
          </w:tcPr>
          <w:p w14:paraId="2E302FAB"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b/>
                <w:bCs/>
              </w:rPr>
              <w:t>3%</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9A1719D"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9.73%</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11905A3F"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29.30%</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69E2DDEE"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60.97%</w:t>
            </w:r>
          </w:p>
        </w:tc>
        <w:tc>
          <w:tcPr>
            <w:tcW w:w="875" w:type="dxa"/>
            <w:tcBorders>
              <w:top w:val="nil"/>
              <w:left w:val="nil"/>
              <w:bottom w:val="single" w:sz="4" w:space="0" w:color="auto"/>
              <w:right w:val="single" w:sz="4" w:space="0" w:color="auto"/>
            </w:tcBorders>
            <w:noWrap/>
            <w:vAlign w:val="bottom"/>
            <w:hideMark/>
          </w:tcPr>
          <w:p w14:paraId="3F68D26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210%</w:t>
            </w:r>
          </w:p>
        </w:tc>
        <w:tc>
          <w:tcPr>
            <w:tcW w:w="923" w:type="dxa"/>
            <w:tcBorders>
              <w:top w:val="nil"/>
              <w:left w:val="nil"/>
              <w:bottom w:val="single" w:sz="4" w:space="0" w:color="auto"/>
              <w:right w:val="single" w:sz="4" w:space="0" w:color="auto"/>
            </w:tcBorders>
            <w:noWrap/>
            <w:vAlign w:val="bottom"/>
            <w:hideMark/>
          </w:tcPr>
          <w:p w14:paraId="335C4BD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170%</w:t>
            </w:r>
          </w:p>
        </w:tc>
      </w:tr>
      <w:tr w:rsidR="007C3443" w:rsidRPr="006A5892" w14:paraId="33DB3AD6"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2659B3E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Ecosystems</w:t>
            </w:r>
            <w:r>
              <w:rPr>
                <w:rFonts w:ascii="Aptos Narrow" w:eastAsia="Times New Roman" w:hAnsi="Aptos Narrow" w:cs="Times New Roman"/>
                <w:color w:val="000000"/>
                <w:lang w:eastAsia="en-GB"/>
              </w:rPr>
              <w:t xml:space="preserve"> Quality</w:t>
            </w:r>
          </w:p>
        </w:tc>
        <w:tc>
          <w:tcPr>
            <w:tcW w:w="1559" w:type="dxa"/>
            <w:tcBorders>
              <w:top w:val="nil"/>
              <w:left w:val="nil"/>
              <w:bottom w:val="single" w:sz="4" w:space="0" w:color="auto"/>
              <w:right w:val="single" w:sz="4" w:space="0" w:color="auto"/>
            </w:tcBorders>
            <w:shd w:val="clear" w:color="auto" w:fill="00B050"/>
            <w:noWrap/>
          </w:tcPr>
          <w:p w14:paraId="5A571AA7"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b/>
                <w:bCs/>
              </w:rPr>
              <w:t xml:space="preserve">     1%</w:t>
            </w:r>
            <w:r w:rsidRPr="00B003E9">
              <w:rPr>
                <w:rFonts w:ascii="Aptos Narrow" w:eastAsia="Times New Roman" w:hAnsi="Aptos Narrow" w:cs="Times New Roman"/>
                <w:b/>
                <w:bCs/>
                <w:color w:val="000000"/>
                <w:lang w:eastAsia="en-GB"/>
              </w:rPr>
              <w:tab/>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AA656ED"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12.80%</w:t>
            </w:r>
          </w:p>
        </w:tc>
        <w:tc>
          <w:tcPr>
            <w:tcW w:w="899"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A61AF45"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33.79%</w:t>
            </w:r>
          </w:p>
        </w:tc>
        <w:tc>
          <w:tcPr>
            <w:tcW w:w="1093"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508DB67E"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53.41%</w:t>
            </w:r>
          </w:p>
        </w:tc>
        <w:tc>
          <w:tcPr>
            <w:tcW w:w="875" w:type="dxa"/>
            <w:tcBorders>
              <w:top w:val="nil"/>
              <w:left w:val="nil"/>
              <w:bottom w:val="single" w:sz="4" w:space="0" w:color="auto"/>
              <w:right w:val="single" w:sz="4" w:space="0" w:color="auto"/>
            </w:tcBorders>
            <w:noWrap/>
            <w:vAlign w:val="bottom"/>
            <w:hideMark/>
          </w:tcPr>
          <w:p w14:paraId="679EE41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216%</w:t>
            </w:r>
          </w:p>
        </w:tc>
        <w:tc>
          <w:tcPr>
            <w:tcW w:w="923" w:type="dxa"/>
            <w:tcBorders>
              <w:top w:val="nil"/>
              <w:left w:val="nil"/>
              <w:bottom w:val="single" w:sz="4" w:space="0" w:color="auto"/>
              <w:right w:val="single" w:sz="4" w:space="0" w:color="auto"/>
            </w:tcBorders>
            <w:noWrap/>
            <w:vAlign w:val="bottom"/>
            <w:hideMark/>
          </w:tcPr>
          <w:p w14:paraId="55A19B9A"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180%</w:t>
            </w:r>
          </w:p>
        </w:tc>
      </w:tr>
      <w:tr w:rsidR="007C3443" w:rsidRPr="006A5892" w14:paraId="54AE5A5E" w14:textId="77777777" w:rsidTr="0089347F">
        <w:trPr>
          <w:trHeight w:val="290"/>
        </w:trPr>
        <w:tc>
          <w:tcPr>
            <w:tcW w:w="2122" w:type="dxa"/>
            <w:tcBorders>
              <w:top w:val="nil"/>
              <w:left w:val="single" w:sz="4" w:space="0" w:color="auto"/>
              <w:bottom w:val="single" w:sz="4" w:space="0" w:color="auto"/>
              <w:right w:val="single" w:sz="4" w:space="0" w:color="auto"/>
            </w:tcBorders>
            <w:noWrap/>
            <w:vAlign w:val="bottom"/>
            <w:hideMark/>
          </w:tcPr>
          <w:p w14:paraId="7C6D000D"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Resources</w:t>
            </w:r>
          </w:p>
        </w:tc>
        <w:tc>
          <w:tcPr>
            <w:tcW w:w="1559" w:type="dxa"/>
            <w:tcBorders>
              <w:top w:val="nil"/>
              <w:left w:val="nil"/>
              <w:bottom w:val="single" w:sz="4" w:space="0" w:color="auto"/>
              <w:right w:val="single" w:sz="4" w:space="0" w:color="auto"/>
            </w:tcBorders>
            <w:shd w:val="clear" w:color="auto" w:fill="00B050"/>
            <w:noWrap/>
          </w:tcPr>
          <w:p w14:paraId="7CA7EA88"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b/>
                <w:bCs/>
              </w:rPr>
              <w:t xml:space="preserve">    88%</w:t>
            </w:r>
            <w:r w:rsidRPr="00B003E9">
              <w:rPr>
                <w:rFonts w:ascii="Aptos Narrow" w:eastAsia="Times New Roman" w:hAnsi="Aptos Narrow" w:cs="Times New Roman"/>
                <w:b/>
                <w:bCs/>
                <w:color w:val="000000"/>
                <w:lang w:eastAsia="en-GB"/>
              </w:rPr>
              <w:tab/>
            </w:r>
          </w:p>
        </w:tc>
        <w:tc>
          <w:tcPr>
            <w:tcW w:w="1545"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50DD4E54"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26.83%</w:t>
            </w:r>
          </w:p>
        </w:tc>
        <w:tc>
          <w:tcPr>
            <w:tcW w:w="899" w:type="dxa"/>
            <w:tcBorders>
              <w:top w:val="single" w:sz="4" w:space="0" w:color="auto"/>
              <w:left w:val="single" w:sz="4" w:space="0" w:color="auto"/>
              <w:bottom w:val="single" w:sz="4" w:space="0" w:color="auto"/>
              <w:right w:val="single" w:sz="4" w:space="0" w:color="auto"/>
            </w:tcBorders>
            <w:shd w:val="clear" w:color="auto" w:fill="EE0000"/>
            <w:noWrap/>
            <w:vAlign w:val="bottom"/>
            <w:hideMark/>
          </w:tcPr>
          <w:p w14:paraId="5512CE25"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73.17%</w:t>
            </w:r>
          </w:p>
        </w:tc>
        <w:tc>
          <w:tcPr>
            <w:tcW w:w="1093"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D7B5548" w14:textId="77777777" w:rsidR="007C3443" w:rsidRPr="00B003E9" w:rsidRDefault="007C3443" w:rsidP="0089347F">
            <w:pPr>
              <w:jc w:val="center"/>
              <w:rPr>
                <w:rFonts w:ascii="Aptos Narrow" w:eastAsia="Times New Roman" w:hAnsi="Aptos Narrow" w:cs="Times New Roman"/>
                <w:b/>
                <w:bCs/>
                <w:color w:val="000000"/>
                <w:lang w:eastAsia="en-GB"/>
              </w:rPr>
            </w:pPr>
            <w:r w:rsidRPr="00B003E9">
              <w:rPr>
                <w:rFonts w:ascii="Aptos Narrow" w:eastAsia="Times New Roman" w:hAnsi="Aptos Narrow" w:cs="Times New Roman"/>
                <w:b/>
                <w:bCs/>
                <w:color w:val="000000"/>
                <w:lang w:eastAsia="en-GB"/>
              </w:rPr>
              <w:t>0.00%</w:t>
            </w:r>
          </w:p>
        </w:tc>
        <w:tc>
          <w:tcPr>
            <w:tcW w:w="875" w:type="dxa"/>
            <w:tcBorders>
              <w:top w:val="nil"/>
              <w:left w:val="nil"/>
              <w:bottom w:val="single" w:sz="4" w:space="0" w:color="auto"/>
              <w:right w:val="single" w:sz="4" w:space="0" w:color="auto"/>
            </w:tcBorders>
            <w:noWrap/>
            <w:vAlign w:val="bottom"/>
            <w:hideMark/>
          </w:tcPr>
          <w:p w14:paraId="0F837DF5" w14:textId="77777777" w:rsidR="007C3443" w:rsidRPr="006A5892" w:rsidRDefault="007C344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417%</w:t>
            </w:r>
          </w:p>
        </w:tc>
        <w:tc>
          <w:tcPr>
            <w:tcW w:w="923" w:type="dxa"/>
            <w:tcBorders>
              <w:top w:val="nil"/>
              <w:left w:val="nil"/>
              <w:bottom w:val="single" w:sz="4" w:space="0" w:color="auto"/>
              <w:right w:val="single" w:sz="4" w:space="0" w:color="auto"/>
            </w:tcBorders>
            <w:noWrap/>
            <w:vAlign w:val="bottom"/>
            <w:hideMark/>
          </w:tcPr>
          <w:p w14:paraId="4283C877" w14:textId="77777777" w:rsidR="007C3443" w:rsidRPr="006A5892" w:rsidRDefault="007C3443" w:rsidP="0089347F">
            <w:pPr>
              <w:keepNext/>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419%</w:t>
            </w:r>
          </w:p>
        </w:tc>
      </w:tr>
    </w:tbl>
    <w:p w14:paraId="3FCD9985" w14:textId="77777777" w:rsidR="007C3443" w:rsidRPr="006A5892" w:rsidRDefault="007C3443" w:rsidP="007C3443">
      <w:pPr>
        <w:pStyle w:val="Caption"/>
      </w:pPr>
      <w:r w:rsidRPr="006A5892">
        <w:t xml:space="preserve"> </w:t>
      </w:r>
    </w:p>
    <w:p w14:paraId="0C316880" w14:textId="77777777" w:rsidR="006175C8" w:rsidRDefault="006175C8" w:rsidP="00A0601A">
      <w:pPr>
        <w:rPr>
          <w:rFonts w:cs="Open Sans"/>
          <w:sz w:val="20"/>
          <w:szCs w:val="20"/>
        </w:rPr>
      </w:pPr>
    </w:p>
    <w:p w14:paraId="3D32366C" w14:textId="0E4F598B" w:rsidR="006175C8" w:rsidRPr="007C3443" w:rsidRDefault="008651CB" w:rsidP="007C3443">
      <w:pPr>
        <w:pStyle w:val="Heading2"/>
      </w:pPr>
      <w:bookmarkStart w:id="186" w:name="_Toc228701050"/>
      <w:r w:rsidRPr="007C3443">
        <w:t>Biodiversity</w:t>
      </w:r>
      <w:bookmarkEnd w:id="186"/>
      <w:r w:rsidRPr="007C3443">
        <w:t xml:space="preserve"> </w:t>
      </w:r>
    </w:p>
    <w:p w14:paraId="5705D76B" w14:textId="21C18AD4" w:rsidR="007C3443" w:rsidRPr="006A5892" w:rsidRDefault="007C3443" w:rsidP="007C3443">
      <w:pPr>
        <w:rPr>
          <w:sz w:val="20"/>
          <w:szCs w:val="20"/>
        </w:rPr>
      </w:pPr>
      <w:r w:rsidRPr="006A5892">
        <w:rPr>
          <w:sz w:val="20"/>
          <w:szCs w:val="20"/>
        </w:rPr>
        <w:t xml:space="preserve">More relevant to this report are studies Bennet et al. (2021) and Martin and </w:t>
      </w:r>
      <w:proofErr w:type="spellStart"/>
      <w:r w:rsidRPr="006A5892">
        <w:rPr>
          <w:sz w:val="20"/>
          <w:szCs w:val="20"/>
        </w:rPr>
        <w:t>Raveloaritiana</w:t>
      </w:r>
      <w:proofErr w:type="spellEnd"/>
      <w:r w:rsidRPr="006A5892">
        <w:rPr>
          <w:sz w:val="20"/>
          <w:szCs w:val="20"/>
        </w:rPr>
        <w:t xml:space="preserve"> (2022). The former undertakes field-based biodiversity assessments in cocoa landscapes across West Africa. The results show that bird species richness and abundance increase with shade-tree density. Structurally complex agroforestry systems support more forest-associated bird species than sun-grown cocoa. Specifically, cocoa plots with &gt;30% canopy cover provided by diverse trees assemblages presented bird diversity comparable to approximate primary or (mature) secondary forest whilst supporting a different bird </w:t>
      </w:r>
      <w:proofErr w:type="gramStart"/>
      <w:r w:rsidRPr="006A5892">
        <w:rPr>
          <w:sz w:val="20"/>
          <w:szCs w:val="20"/>
        </w:rPr>
        <w:t>communities</w:t>
      </w:r>
      <w:proofErr w:type="gramEnd"/>
      <w:r w:rsidRPr="006A5892">
        <w:rPr>
          <w:sz w:val="20"/>
          <w:szCs w:val="20"/>
        </w:rPr>
        <w:t xml:space="preserve">. Results were expressed in terms of mean effect size differences in three metrics of bird biodiversity (Richness, Abundance and ‘Shannon Index’) between forest and four farming systems. These reflect a transition from rustic cocoa agroforestry (a native shade canopy of retained primary forest trees, typically &gt; 60% canopy) to annual monoculture with no canopy. Mixed shade cocoa (native and planted canopy with 30-50% canopy cover) presented similar bird diversity metrics. When comparisons of bird diversity between forest and farm systems were estimated using a similarity, rustic and mixed shade system demonstrated comparable similarity scores of 0.68 and 6 respectively. Martin and </w:t>
      </w:r>
      <w:proofErr w:type="spellStart"/>
      <w:r w:rsidRPr="006A5892">
        <w:rPr>
          <w:sz w:val="20"/>
          <w:szCs w:val="20"/>
        </w:rPr>
        <w:t>Raveloaritiana</w:t>
      </w:r>
      <w:proofErr w:type="spellEnd"/>
      <w:r w:rsidRPr="006A5892">
        <w:rPr>
          <w:sz w:val="20"/>
          <w:szCs w:val="20"/>
        </w:rPr>
        <w:t xml:space="preserve"> (2022) also compare bird population across land use intensities whereby findings indicate that land-use transition plays a critical role in shaping the conservation value of cocoa agroforestry systems. Cocoa agroforests established from forested land exhibit levels of bird diversity comparable to existing forest baselines, which crucially are often already degraded, yet they may present risks of further degradation over time. By contrast, cocoa agroforestry systems developed on previously open land appear to offer greater potential for ecological restoration. Comparisons across multiple baseline conditions therefore provide valuable insight into the </w:t>
      </w:r>
      <w:r w:rsidRPr="006A5892">
        <w:rPr>
          <w:sz w:val="20"/>
          <w:szCs w:val="20"/>
        </w:rPr>
        <w:lastRenderedPageBreak/>
        <w:t>relative contributions of different agroforestry systems to bird conservation at the landscape scale.</w:t>
      </w:r>
    </w:p>
    <w:p w14:paraId="2C3695D6" w14:textId="0BBF7AB1" w:rsidR="006175C8" w:rsidRPr="00D94BE6" w:rsidRDefault="006175C8" w:rsidP="006175C8">
      <w:pPr>
        <w:pStyle w:val="Heading3"/>
      </w:pPr>
      <w:r w:rsidRPr="00A135F7">
        <w:t xml:space="preserve"> </w:t>
      </w:r>
      <w:bookmarkStart w:id="187" w:name="_Toc228701051"/>
      <w:r w:rsidR="007C3443">
        <w:t>How do farmers view biodiversity</w:t>
      </w:r>
      <w:bookmarkEnd w:id="187"/>
    </w:p>
    <w:p w14:paraId="5FA69435" w14:textId="5919D11D" w:rsidR="007C3443" w:rsidRPr="006A5892" w:rsidRDefault="007C3443" w:rsidP="007C3443">
      <w:pPr>
        <w:rPr>
          <w:rFonts w:cs="Open Sans"/>
          <w:sz w:val="20"/>
          <w:szCs w:val="20"/>
        </w:rPr>
      </w:pPr>
      <w:r w:rsidRPr="006A5892">
        <w:rPr>
          <w:rFonts w:cs="Open Sans"/>
          <w:sz w:val="20"/>
          <w:szCs w:val="20"/>
        </w:rPr>
        <w:t>Farmers consistently described fauna and ecological processes in relation to vertical structure, demonstrating an implicit understanding of canopy stratification despite the absence of formal ecological terminology. Larger mammals such as monkeys and bats were commonly associated with the upper canopy, while smaller mammals and insects were linked to lower strata. However, vertical complexity was not uniformly perceived as beneficial. Upper</w:t>
      </w:r>
      <w:r w:rsidRPr="006A5892">
        <w:rPr>
          <w:rFonts w:ascii="Cambria Math" w:hAnsi="Cambria Math" w:cs="Cambria Math"/>
          <w:sz w:val="20"/>
          <w:szCs w:val="20"/>
        </w:rPr>
        <w:t>‑</w:t>
      </w:r>
      <w:r w:rsidRPr="006A5892">
        <w:rPr>
          <w:rFonts w:cs="Open Sans"/>
          <w:sz w:val="20"/>
          <w:szCs w:val="20"/>
        </w:rPr>
        <w:t>canopy species, particularly monkeys, were widely viewed as damaging cocoa pods, prompting management responses such as scarecrows, fencing, decoy crops (e.g. bananas), and active discouragement. Consequently, vertical structure was framed as a trade</w:t>
      </w:r>
      <w:r w:rsidRPr="006A5892">
        <w:rPr>
          <w:rFonts w:ascii="Cambria Math" w:hAnsi="Cambria Math" w:cs="Cambria Math"/>
          <w:sz w:val="20"/>
          <w:szCs w:val="20"/>
        </w:rPr>
        <w:t>‑</w:t>
      </w:r>
      <w:r w:rsidRPr="006A5892">
        <w:rPr>
          <w:rFonts w:cs="Open Sans"/>
          <w:sz w:val="20"/>
          <w:szCs w:val="20"/>
        </w:rPr>
        <w:t>off between biodiversity presence and crop security. Epiphytes, climbers, and mosses—</w:t>
      </w:r>
      <w:proofErr w:type="spellStart"/>
      <w:r w:rsidRPr="006A5892">
        <w:rPr>
          <w:rFonts w:cs="Open Sans"/>
          <w:sz w:val="20"/>
          <w:szCs w:val="20"/>
        </w:rPr>
        <w:t>recognised</w:t>
      </w:r>
      <w:proofErr w:type="spellEnd"/>
      <w:r w:rsidRPr="006A5892">
        <w:rPr>
          <w:rFonts w:cs="Open Sans"/>
          <w:sz w:val="20"/>
          <w:szCs w:val="20"/>
        </w:rPr>
        <w:t xml:space="preserve"> indicators of forest maturity—were typically observed in buffer zones or less</w:t>
      </w:r>
      <w:r w:rsidRPr="006A5892">
        <w:rPr>
          <w:rFonts w:ascii="Cambria Math" w:hAnsi="Cambria Math" w:cs="Cambria Math"/>
          <w:sz w:val="20"/>
          <w:szCs w:val="20"/>
        </w:rPr>
        <w:t>‑</w:t>
      </w:r>
      <w:r w:rsidRPr="006A5892">
        <w:rPr>
          <w:rFonts w:cs="Open Sans"/>
          <w:sz w:val="20"/>
          <w:szCs w:val="20"/>
        </w:rPr>
        <w:t>managed areas but deliberately removed within farms through pruning and brushing, indicating a conscious interruption of ecological succession to maintain production.</w:t>
      </w:r>
    </w:p>
    <w:p w14:paraId="14909F95" w14:textId="77777777" w:rsidR="007C3443" w:rsidRPr="006A5892" w:rsidRDefault="007C3443" w:rsidP="007C3443">
      <w:pPr>
        <w:rPr>
          <w:rFonts w:cs="Open Sans"/>
          <w:sz w:val="20"/>
          <w:szCs w:val="20"/>
        </w:rPr>
      </w:pPr>
    </w:p>
    <w:p w14:paraId="0B46C0F1" w14:textId="77777777" w:rsidR="007C3443" w:rsidRPr="006A5892" w:rsidRDefault="007C3443" w:rsidP="007C3443">
      <w:pPr>
        <w:rPr>
          <w:rFonts w:cs="Open Sans"/>
          <w:sz w:val="20"/>
          <w:szCs w:val="20"/>
        </w:rPr>
      </w:pPr>
      <w:r w:rsidRPr="006A5892">
        <w:rPr>
          <w:rFonts w:cs="Open Sans"/>
          <w:sz w:val="20"/>
          <w:szCs w:val="20"/>
        </w:rPr>
        <w:t xml:space="preserve">Shade management emerged as a core principle shaping both biodiversity and climate responses. Farmers frequently adjusted tree density to achieve “enough shade,” rather than </w:t>
      </w:r>
      <w:proofErr w:type="spellStart"/>
      <w:r w:rsidRPr="006A5892">
        <w:rPr>
          <w:rFonts w:cs="Open Sans"/>
          <w:sz w:val="20"/>
          <w:szCs w:val="20"/>
        </w:rPr>
        <w:t>maximising</w:t>
      </w:r>
      <w:proofErr w:type="spellEnd"/>
      <w:r w:rsidRPr="006A5892">
        <w:rPr>
          <w:rFonts w:cs="Open Sans"/>
          <w:sz w:val="20"/>
          <w:szCs w:val="20"/>
        </w:rPr>
        <w:t xml:space="preserve"> canopy cover. Practices included thinning clusters of shade trees, replacing cocoa with alternative crops in excessively shaded areas, and using lowland or riverine zones to compensate for reduced shade. There was strong consensus that excessive shade reduces cocoa yields, while insufficient shade increases exposure to heat stress and drought. Farms with intermediate or mixed shade were commonly perceived as performing best.</w:t>
      </w:r>
    </w:p>
    <w:p w14:paraId="34649EAA" w14:textId="77777777" w:rsidR="007C3443" w:rsidRPr="006A5892" w:rsidRDefault="007C3443" w:rsidP="007C3443">
      <w:pPr>
        <w:rPr>
          <w:rFonts w:cs="Open Sans"/>
          <w:sz w:val="20"/>
          <w:szCs w:val="20"/>
        </w:rPr>
      </w:pPr>
    </w:p>
    <w:p w14:paraId="1327B3AE" w14:textId="77777777" w:rsidR="007C3443" w:rsidRPr="006A5892" w:rsidRDefault="007C3443" w:rsidP="007C3443">
      <w:pPr>
        <w:rPr>
          <w:rFonts w:cs="Open Sans"/>
          <w:sz w:val="20"/>
          <w:szCs w:val="20"/>
        </w:rPr>
      </w:pPr>
      <w:r w:rsidRPr="006A5892">
        <w:rPr>
          <w:rFonts w:cs="Open Sans"/>
          <w:sz w:val="20"/>
          <w:szCs w:val="20"/>
        </w:rPr>
        <w:t xml:space="preserve">Agroforestry systems were widely reported to create cooler microclimates compared to roads, villages, or cleared land, especially during hot afternoons. This cooling was seen as beneficial for </w:t>
      </w:r>
      <w:proofErr w:type="spellStart"/>
      <w:r w:rsidRPr="006A5892">
        <w:rPr>
          <w:rFonts w:cs="Open Sans"/>
          <w:sz w:val="20"/>
          <w:szCs w:val="20"/>
        </w:rPr>
        <w:t>labour</w:t>
      </w:r>
      <w:proofErr w:type="spellEnd"/>
      <w:r w:rsidRPr="006A5892">
        <w:rPr>
          <w:rFonts w:cs="Open Sans"/>
          <w:sz w:val="20"/>
          <w:szCs w:val="20"/>
        </w:rPr>
        <w:t xml:space="preserve"> conditions and crop survival, although some farmers noted potential drawbacks under prolonged wet conditions, including slower growth or higher disease risk. Enhanced soil moisture retention was closely associated with shaded areas, leaf litter, and proximity to watercourses, while upland and sparsely shaded plots were described as more drought</w:t>
      </w:r>
      <w:r w:rsidRPr="006A5892">
        <w:rPr>
          <w:rFonts w:ascii="Cambria Math" w:hAnsi="Cambria Math" w:cs="Cambria Math"/>
          <w:sz w:val="20"/>
          <w:szCs w:val="20"/>
        </w:rPr>
        <w:t>‑</w:t>
      </w:r>
      <w:r w:rsidRPr="006A5892">
        <w:rPr>
          <w:rFonts w:cs="Open Sans"/>
          <w:sz w:val="20"/>
          <w:szCs w:val="20"/>
        </w:rPr>
        <w:t>prone.</w:t>
      </w:r>
    </w:p>
    <w:p w14:paraId="7524DE78" w14:textId="77777777" w:rsidR="007C3443" w:rsidRPr="006A5892" w:rsidRDefault="007C3443" w:rsidP="007C3443">
      <w:pPr>
        <w:rPr>
          <w:rFonts w:cs="Open Sans"/>
          <w:sz w:val="20"/>
          <w:szCs w:val="20"/>
        </w:rPr>
      </w:pPr>
    </w:p>
    <w:p w14:paraId="22778DA4" w14:textId="77777777" w:rsidR="007C3443" w:rsidRPr="006A5892" w:rsidRDefault="007C3443" w:rsidP="007C3443">
      <w:pPr>
        <w:rPr>
          <w:rFonts w:cs="Open Sans"/>
          <w:sz w:val="20"/>
          <w:szCs w:val="20"/>
        </w:rPr>
      </w:pPr>
      <w:r w:rsidRPr="006A5892">
        <w:rPr>
          <w:rFonts w:cs="Open Sans"/>
          <w:sz w:val="20"/>
          <w:szCs w:val="20"/>
        </w:rPr>
        <w:t xml:space="preserve">Faunal interactions were </w:t>
      </w:r>
      <w:proofErr w:type="spellStart"/>
      <w:r w:rsidRPr="006A5892">
        <w:rPr>
          <w:rFonts w:cs="Open Sans"/>
          <w:sz w:val="20"/>
          <w:szCs w:val="20"/>
        </w:rPr>
        <w:t>characterised</w:t>
      </w:r>
      <w:proofErr w:type="spellEnd"/>
      <w:r w:rsidRPr="006A5892">
        <w:rPr>
          <w:rFonts w:cs="Open Sans"/>
          <w:sz w:val="20"/>
          <w:szCs w:val="20"/>
        </w:rPr>
        <w:t xml:space="preserve"> by ambivalence. Birds, bats, ants, and insects were occasionally </w:t>
      </w:r>
      <w:proofErr w:type="spellStart"/>
      <w:r w:rsidRPr="006A5892">
        <w:rPr>
          <w:rFonts w:cs="Open Sans"/>
          <w:sz w:val="20"/>
          <w:szCs w:val="20"/>
        </w:rPr>
        <w:t>recognised</w:t>
      </w:r>
      <w:proofErr w:type="spellEnd"/>
      <w:r w:rsidRPr="006A5892">
        <w:rPr>
          <w:rFonts w:cs="Open Sans"/>
          <w:sz w:val="20"/>
          <w:szCs w:val="20"/>
        </w:rPr>
        <w:t xml:space="preserve"> as beneficial through pest control or “nature at work,” whereas large vertebrates, particularly monkeys, were almost exclusively framed as crop raiders. Rodents were described as persistent pests regardless of shade level, reinforcing preferences for regular vegetation management. Seasonal patterns were noted, with some species appearing during the rainy season or cocoa fruiting periods. Proximity to forests and buffer zones was seen to increase wildlife presence, which could exacerbate crop damage.</w:t>
      </w:r>
    </w:p>
    <w:p w14:paraId="5F81A3B8" w14:textId="77777777" w:rsidR="007C3443" w:rsidRPr="006A5892" w:rsidRDefault="007C3443" w:rsidP="007C3443">
      <w:pPr>
        <w:rPr>
          <w:rFonts w:cs="Open Sans"/>
          <w:sz w:val="20"/>
          <w:szCs w:val="20"/>
        </w:rPr>
      </w:pPr>
    </w:p>
    <w:p w14:paraId="0B72AD34" w14:textId="77777777" w:rsidR="007C3443" w:rsidRPr="006A5892" w:rsidRDefault="007C3443" w:rsidP="007C3443">
      <w:pPr>
        <w:rPr>
          <w:rFonts w:cs="Open Sans"/>
          <w:sz w:val="20"/>
          <w:szCs w:val="20"/>
        </w:rPr>
      </w:pPr>
      <w:r w:rsidRPr="006A5892">
        <w:rPr>
          <w:rFonts w:cs="Open Sans"/>
          <w:sz w:val="20"/>
          <w:szCs w:val="20"/>
        </w:rPr>
        <w:t>While soil fertility was rarely discussed in chemical terms, farmers demonstrated an experiential understanding of nutrient cycling through biomass. Pruning and mulching were linked to organic matter provision, shade regulation, and decomposition. Variations in litter breakdown rates were attributed to moisture and brushing intensity. In some cases, volunteer vegetation was retained where improved cocoa performance was observed, suggesting recognition of facilitative plant interactions.</w:t>
      </w:r>
    </w:p>
    <w:p w14:paraId="496B51D2" w14:textId="77777777" w:rsidR="007C3443" w:rsidRPr="006A5892" w:rsidRDefault="007C3443" w:rsidP="007C3443">
      <w:pPr>
        <w:rPr>
          <w:rFonts w:cs="Open Sans"/>
          <w:sz w:val="20"/>
          <w:szCs w:val="20"/>
        </w:rPr>
      </w:pPr>
    </w:p>
    <w:p w14:paraId="352ECC64" w14:textId="715E446B" w:rsidR="007C3443" w:rsidRPr="006A5892" w:rsidRDefault="007C3443" w:rsidP="007C3443">
      <w:pPr>
        <w:rPr>
          <w:rFonts w:cs="Open Sans"/>
          <w:sz w:val="20"/>
          <w:szCs w:val="20"/>
        </w:rPr>
      </w:pPr>
      <w:r w:rsidRPr="006A5892">
        <w:rPr>
          <w:rFonts w:cs="Open Sans"/>
          <w:sz w:val="20"/>
          <w:szCs w:val="20"/>
        </w:rPr>
        <w:t>Perceptions of climate change were widespread, with farmers reporting rising temperatures, irregular rainfall, and increased crop stress</w:t>
      </w:r>
      <w:r w:rsidRPr="00B003E9">
        <w:rPr>
          <w:rFonts w:cs="Open Sans"/>
          <w:b/>
          <w:bCs/>
          <w:sz w:val="20"/>
          <w:szCs w:val="20"/>
        </w:rPr>
        <w:t xml:space="preserve">. Young cocoa trees were regarded as particularly vulnerable. Climate impacts were associated with leaf loss, reduced fruiting, seedling </w:t>
      </w:r>
      <w:r w:rsidRPr="00B003E9">
        <w:rPr>
          <w:rFonts w:cs="Open Sans"/>
          <w:b/>
          <w:bCs/>
          <w:sz w:val="20"/>
          <w:szCs w:val="20"/>
        </w:rPr>
        <w:lastRenderedPageBreak/>
        <w:t>mortality, and increased disease during extended wet periods. Adaptation strategies were closely aligned with agroforestry practices</w:t>
      </w:r>
      <w:r w:rsidRPr="006A5892">
        <w:rPr>
          <w:rFonts w:cs="Open Sans"/>
          <w:sz w:val="20"/>
          <w:szCs w:val="20"/>
        </w:rPr>
        <w:t>, including increased shade, crop diversification, and adjusted planting locations. Awareness of abandoned cocoa farms was common. While some farmers viewed abandonment as allowing forest regeneration and increased wildlife, others associated it with proximity to pests and lost productivity. Biodiversity recovery was thus understood as a temporal process that should be guided through management rather than left to autonomous succession (i.e. letting nature take it</w:t>
      </w:r>
      <w:r w:rsidR="00B2663D">
        <w:rPr>
          <w:rFonts w:cs="Open Sans"/>
          <w:sz w:val="20"/>
          <w:szCs w:val="20"/>
        </w:rPr>
        <w:t>s</w:t>
      </w:r>
      <w:r w:rsidRPr="006A5892">
        <w:rPr>
          <w:rFonts w:cs="Open Sans"/>
          <w:sz w:val="20"/>
          <w:szCs w:val="20"/>
        </w:rPr>
        <w:t xml:space="preserve"> course). Farmers rarely discussed birds or insects explicitly, focusing instead on plant condition and visible pests.</w:t>
      </w:r>
    </w:p>
    <w:p w14:paraId="1A46DFAC" w14:textId="05ECBCDA" w:rsidR="003341DC" w:rsidRPr="003341DC" w:rsidRDefault="003341DC" w:rsidP="003341DC">
      <w:pPr>
        <w:rPr>
          <w:rFonts w:cs="Open Sans"/>
          <w:sz w:val="20"/>
          <w:szCs w:val="20"/>
        </w:rPr>
      </w:pPr>
    </w:p>
    <w:p w14:paraId="5E990F76" w14:textId="2DF2F99A" w:rsidR="006175C8" w:rsidRPr="007C3443" w:rsidRDefault="007C3443" w:rsidP="007C3443">
      <w:pPr>
        <w:pStyle w:val="Heading2"/>
      </w:pPr>
      <w:bookmarkStart w:id="188" w:name="_Toc228701052"/>
      <w:r w:rsidRPr="007C3443">
        <w:t>Implications for Cocoa Sector</w:t>
      </w:r>
      <w:bookmarkEnd w:id="188"/>
      <w:r w:rsidR="000F2CE1" w:rsidRPr="007C3443">
        <w:t xml:space="preserve"> </w:t>
      </w:r>
    </w:p>
    <w:p w14:paraId="7697CA70" w14:textId="4478462E" w:rsidR="006175C8" w:rsidRPr="00031D95" w:rsidRDefault="00031D95" w:rsidP="00031D95">
      <w:pPr>
        <w:pStyle w:val="Heading3"/>
      </w:pPr>
      <w:bookmarkStart w:id="189" w:name="_Toc228701053"/>
      <w:r w:rsidRPr="00031D95">
        <w:t>Contrasting the climate impacts and benefits</w:t>
      </w:r>
      <w:bookmarkEnd w:id="189"/>
    </w:p>
    <w:p w14:paraId="6D8100C9" w14:textId="0269426E" w:rsidR="00031D95" w:rsidRPr="006A5892" w:rsidRDefault="00031D95" w:rsidP="00031D95">
      <w:pPr>
        <w:rPr>
          <w:sz w:val="20"/>
          <w:szCs w:val="20"/>
        </w:rPr>
      </w:pPr>
      <w:r w:rsidRPr="006A5892">
        <w:rPr>
          <w:sz w:val="20"/>
          <w:szCs w:val="20"/>
        </w:rPr>
        <w:t>The dominance of the agricultural sector and land transition within the life cycle assessment results (</w:t>
      </w:r>
      <w:proofErr w:type="gramStart"/>
      <w:r w:rsidRPr="006A5892">
        <w:rPr>
          <w:sz w:val="20"/>
          <w:szCs w:val="20"/>
        </w:rPr>
        <w:t>with the exception of</w:t>
      </w:r>
      <w:proofErr w:type="gramEnd"/>
      <w:r w:rsidRPr="006A5892">
        <w:rPr>
          <w:sz w:val="20"/>
          <w:szCs w:val="20"/>
        </w:rPr>
        <w:t xml:space="preserve"> resource scarcity) emphasizes that both the ecological value (in terms of biodiversity and ecosystem services) and the pressure exerted by the cocoa value chain depend on what is replaced. Given this variability, it is difficult (and arguably not possible) to establish a definitive carbon footprint estimate but it is possible to speak to the processes which are most likely to result in an environmentally beneficial outcome.</w:t>
      </w:r>
    </w:p>
    <w:p w14:paraId="09081B67" w14:textId="77777777" w:rsidR="00031D95" w:rsidRPr="006A5892" w:rsidRDefault="00031D95" w:rsidP="00031D95">
      <w:pPr>
        <w:rPr>
          <w:sz w:val="20"/>
          <w:szCs w:val="20"/>
        </w:rPr>
      </w:pPr>
    </w:p>
    <w:p w14:paraId="171005FA" w14:textId="77777777" w:rsidR="00031D95" w:rsidRPr="006A5892" w:rsidRDefault="00031D95" w:rsidP="00031D95">
      <w:pPr>
        <w:rPr>
          <w:sz w:val="20"/>
          <w:szCs w:val="20"/>
        </w:rPr>
      </w:pPr>
      <w:r w:rsidRPr="006A5892">
        <w:rPr>
          <w:sz w:val="20"/>
          <w:szCs w:val="20"/>
        </w:rPr>
        <w:t xml:space="preserve">In the first instance, (based on the values for Sierra Leone specific systems) agroforestry systems tend to exhibit higher carbon stocks than other land use types </w:t>
      </w:r>
      <w:proofErr w:type="gramStart"/>
      <w:r w:rsidRPr="006A5892">
        <w:rPr>
          <w:sz w:val="20"/>
          <w:szCs w:val="20"/>
        </w:rPr>
        <w:t>with the exception of</w:t>
      </w:r>
      <w:proofErr w:type="gramEnd"/>
      <w:r w:rsidRPr="006A5892">
        <w:rPr>
          <w:sz w:val="20"/>
          <w:szCs w:val="20"/>
        </w:rPr>
        <w:t xml:space="preserve"> primary and secondary forestry. This is important considering the proximity of many agroforestry areas to secondary forestry. Therefore, it is important to consider that the replacement of secondary forest with agroforestry is </w:t>
      </w:r>
      <w:proofErr w:type="gramStart"/>
      <w:r w:rsidRPr="006A5892">
        <w:rPr>
          <w:sz w:val="20"/>
          <w:szCs w:val="20"/>
        </w:rPr>
        <w:t>not</w:t>
      </w:r>
      <w:proofErr w:type="gramEnd"/>
      <w:r w:rsidRPr="006A5892">
        <w:rPr>
          <w:sz w:val="20"/>
          <w:szCs w:val="20"/>
        </w:rPr>
        <w:t>-deforestation (in the sense that the land remains forested) but will likely result in a significant net carbon footprint, especially when yields are low. If we consider a carbon balance based on replacement of one land type by cocoa, the carbon footprint per kg estimated here seems to suggest that S</w:t>
      </w:r>
      <w:r>
        <w:rPr>
          <w:sz w:val="20"/>
          <w:szCs w:val="20"/>
        </w:rPr>
        <w:t xml:space="preserve">ierra </w:t>
      </w:r>
      <w:r w:rsidRPr="006A5892">
        <w:rPr>
          <w:sz w:val="20"/>
          <w:szCs w:val="20"/>
        </w:rPr>
        <w:t>L</w:t>
      </w:r>
      <w:r>
        <w:rPr>
          <w:sz w:val="20"/>
          <w:szCs w:val="20"/>
        </w:rPr>
        <w:t>eone</w:t>
      </w:r>
      <w:r w:rsidRPr="006A5892">
        <w:rPr>
          <w:sz w:val="20"/>
          <w:szCs w:val="20"/>
        </w:rPr>
        <w:t xml:space="preserve"> cocoa can be carbon negative provided forest land is not replaced</w:t>
      </w:r>
      <w:r>
        <w:rPr>
          <w:sz w:val="20"/>
          <w:szCs w:val="20"/>
        </w:rPr>
        <w:t xml:space="preserve"> by cocoa</w:t>
      </w:r>
      <w:r w:rsidRPr="006A5892">
        <w:rPr>
          <w:sz w:val="20"/>
          <w:szCs w:val="20"/>
        </w:rPr>
        <w:t>. The figures presented here represent a significant range in the potential carbon footprint based on the assumptions of previous carbon stocks, current carbon stock for different ages and productivity under different management and age regimes. The results therefore demonstrated both significant positive and negative impacts in terms of the scale of the</w:t>
      </w:r>
      <w:r>
        <w:rPr>
          <w:sz w:val="20"/>
          <w:szCs w:val="20"/>
        </w:rPr>
        <w:t xml:space="preserve"> potential</w:t>
      </w:r>
      <w:r w:rsidRPr="006A5892">
        <w:rPr>
          <w:sz w:val="20"/>
          <w:szCs w:val="20"/>
        </w:rPr>
        <w:t xml:space="preserve"> carbon footprint (See Tables 5.3-5). The former is more likely when brush/scrub or low canopy systems are replaced by coco agroforestry, the latter if forestry is replaced. The encouraging insights associated with a highly carbon negative estimate must be countered by the significantly high carbon footprint when secondary forest is replaced by cocoa systems. </w:t>
      </w:r>
    </w:p>
    <w:p w14:paraId="5CC20D34" w14:textId="77777777" w:rsidR="00031D95" w:rsidRPr="006A5892" w:rsidRDefault="00031D95" w:rsidP="00031D95">
      <w:pPr>
        <w:rPr>
          <w:sz w:val="20"/>
          <w:szCs w:val="20"/>
        </w:rPr>
      </w:pPr>
    </w:p>
    <w:p w14:paraId="1B816560" w14:textId="77777777" w:rsidR="00031D95" w:rsidRPr="006A5892" w:rsidRDefault="00031D95" w:rsidP="00031D95">
      <w:pPr>
        <w:rPr>
          <w:sz w:val="20"/>
          <w:szCs w:val="20"/>
        </w:rPr>
      </w:pPr>
      <w:r w:rsidRPr="006A5892">
        <w:rPr>
          <w:sz w:val="20"/>
          <w:szCs w:val="20"/>
        </w:rPr>
        <w:t>Low productivity represents a complex challenge as it increases the area of land needed to be occupied to provide agroforestry products. Land occupied by agroforestry systems is displaced from other uses, with low productivity increasing the pressures that may contribute to land use change, and hence associated emissions. Therefore, there is an inherent contradiction within the environmental analysis. This is a recognized issue for agroforestry system but is particularly acute for Sierra Leone due to the combination of high carbon stocks due to agroforestry systems but lower yield due to organic configuration and management practices.</w:t>
      </w:r>
    </w:p>
    <w:p w14:paraId="4E1AD36A" w14:textId="77777777" w:rsidR="00031D95" w:rsidRPr="006A5892" w:rsidRDefault="00031D95" w:rsidP="00031D95">
      <w:pPr>
        <w:rPr>
          <w:sz w:val="20"/>
          <w:szCs w:val="20"/>
        </w:rPr>
      </w:pPr>
    </w:p>
    <w:p w14:paraId="762D648B" w14:textId="77777777" w:rsidR="00031D95" w:rsidRPr="006A5892" w:rsidRDefault="00031D95" w:rsidP="00031D95">
      <w:pPr>
        <w:rPr>
          <w:sz w:val="20"/>
          <w:szCs w:val="20"/>
        </w:rPr>
      </w:pPr>
      <w:r w:rsidRPr="006A5892">
        <w:rPr>
          <w:sz w:val="20"/>
          <w:szCs w:val="20"/>
        </w:rPr>
        <w:t xml:space="preserve">Whilst low productivity increases land occupation pressure, it also represents a trade-off between environmental and economic benefits. Specifically stands that have low productivity will allocate a greater quantity of the sequestered carbon to the cocoa and therefore present a greater environmental benefit (i.e. higher negative emission estimate) when expressed on a ‘per kg’ basis. </w:t>
      </w:r>
      <w:r w:rsidRPr="00B003E9">
        <w:rPr>
          <w:b/>
          <w:bCs/>
          <w:sz w:val="20"/>
          <w:szCs w:val="20"/>
        </w:rPr>
        <w:t xml:space="preserve">The combination of both low productivity and high carbon accumulation-which is a function </w:t>
      </w:r>
      <w:r w:rsidRPr="00B003E9">
        <w:rPr>
          <w:b/>
          <w:bCs/>
          <w:sz w:val="20"/>
          <w:szCs w:val="20"/>
        </w:rPr>
        <w:lastRenderedPageBreak/>
        <w:t>of the organic cocoa system-therefore presents an environmental service but comes at the cost of lower incomes</w:t>
      </w:r>
      <w:r w:rsidRPr="00B82559">
        <w:rPr>
          <w:b/>
          <w:bCs/>
          <w:sz w:val="20"/>
          <w:szCs w:val="20"/>
        </w:rPr>
        <w:t>.</w:t>
      </w:r>
      <w:r w:rsidRPr="006A5892">
        <w:rPr>
          <w:sz w:val="20"/>
          <w:szCs w:val="20"/>
        </w:rPr>
        <w:t xml:space="preserve"> This is an apparent trade-off between environmental and economic sustainability, particularly when prices of cocoa decline in tandem with a yield gap. Equally farmers (though the EUDR and other mechanisms) are tasked with being stewards of carbon stocks. </w:t>
      </w:r>
    </w:p>
    <w:p w14:paraId="46771CEF" w14:textId="77777777" w:rsidR="00031D95" w:rsidRPr="006A5892" w:rsidRDefault="00031D95" w:rsidP="00031D95">
      <w:pPr>
        <w:rPr>
          <w:sz w:val="20"/>
          <w:szCs w:val="20"/>
        </w:rPr>
      </w:pPr>
      <w:r w:rsidRPr="006A5892">
        <w:rPr>
          <w:sz w:val="20"/>
          <w:szCs w:val="20"/>
        </w:rPr>
        <w:t xml:space="preserve">This is evident for case study 1, which is assumed to have reached a position of maturity that is still accumulating carbon, &gt; 31 years old following </w:t>
      </w:r>
      <w:proofErr w:type="spellStart"/>
      <w:r w:rsidRPr="006A5892">
        <w:rPr>
          <w:sz w:val="20"/>
          <w:szCs w:val="20"/>
        </w:rPr>
        <w:t>Asigbaase</w:t>
      </w:r>
      <w:proofErr w:type="spellEnd"/>
      <w:r w:rsidRPr="006A5892">
        <w:rPr>
          <w:sz w:val="20"/>
          <w:szCs w:val="20"/>
        </w:rPr>
        <w:t xml:space="preserve"> at al. (2021), but has not been managed, allowing yields to decline. This results in a highly negative carbon footprint but achieved in part through low yields and resulting in lower incomes. </w:t>
      </w:r>
    </w:p>
    <w:p w14:paraId="629DE127" w14:textId="77777777" w:rsidR="00031D95" w:rsidRPr="006A5892" w:rsidRDefault="00031D95" w:rsidP="00031D95">
      <w:pPr>
        <w:rPr>
          <w:sz w:val="20"/>
          <w:szCs w:val="20"/>
        </w:rPr>
      </w:pPr>
    </w:p>
    <w:p w14:paraId="5DD37753" w14:textId="77777777" w:rsidR="00031D95" w:rsidRPr="006A5892" w:rsidRDefault="00031D95" w:rsidP="00031D95">
      <w:pPr>
        <w:rPr>
          <w:sz w:val="20"/>
          <w:szCs w:val="20"/>
        </w:rPr>
      </w:pPr>
      <w:r w:rsidRPr="006A5892">
        <w:rPr>
          <w:sz w:val="20"/>
          <w:szCs w:val="20"/>
        </w:rPr>
        <w:t xml:space="preserve">Additionally low yield exacerbates positive emissions when transition to cocoa results in a loss of carbon (i.e. cocoa carbon stocks are lower than those of previous land use as seen in case study 3.1.). Therefore, there is an argument that if we ask farmers to provide low carbon cocoa by refraining from use of fertilizers, managing shade tree stocks, avoiding deforestation but do not adequately reward such </w:t>
      </w:r>
      <w:proofErr w:type="spellStart"/>
      <w:r w:rsidRPr="006A5892">
        <w:rPr>
          <w:sz w:val="20"/>
          <w:szCs w:val="20"/>
        </w:rPr>
        <w:t>endeavours</w:t>
      </w:r>
      <w:proofErr w:type="spellEnd"/>
      <w:r w:rsidRPr="006A5892">
        <w:rPr>
          <w:sz w:val="20"/>
          <w:szCs w:val="20"/>
        </w:rPr>
        <w:t xml:space="preserve"> then this reflects a market imbalance between risk and reward (reminding ourselves that climate change is a global environmental impact). Whereby the benefits are shared with everyone, but the farmers must accept the risk. It could be argued that as the same agronomic configuration (organic cocoa system) contributes to both this environmental benefit (carbon accumulation) and this economic challenge (low yields) then additional (financial, market, policy) mechanisms are needed. </w:t>
      </w:r>
      <w:r w:rsidRPr="00B003E9">
        <w:rPr>
          <w:b/>
          <w:bCs/>
          <w:sz w:val="20"/>
          <w:szCs w:val="20"/>
        </w:rPr>
        <w:t>In other words, if farmers are expected to manage the carbon stocks of this system, then they need to be adequately compensated for this trade-off above what is included in existing schemes such as organic certification.</w:t>
      </w:r>
      <w:r w:rsidRPr="006A5892">
        <w:rPr>
          <w:sz w:val="20"/>
          <w:szCs w:val="20"/>
        </w:rPr>
        <w:t xml:space="preserve"> Especially where such payments are </w:t>
      </w:r>
      <w:proofErr w:type="spellStart"/>
      <w:r w:rsidRPr="006A5892">
        <w:rPr>
          <w:sz w:val="20"/>
          <w:szCs w:val="20"/>
        </w:rPr>
        <w:t>imperilled</w:t>
      </w:r>
      <w:proofErr w:type="spellEnd"/>
      <w:r w:rsidRPr="006A5892">
        <w:rPr>
          <w:sz w:val="20"/>
          <w:szCs w:val="20"/>
        </w:rPr>
        <w:t xml:space="preserve"> by contaminating activities over which farmers have no control. Emerging mechanisms such as carbon credits may offer an opportunity for farmers, especially in tandem with EUDR implementation but this would need a careful review as to its suitability. It should be noted that </w:t>
      </w:r>
      <w:proofErr w:type="spellStart"/>
      <w:r w:rsidRPr="006A5892">
        <w:rPr>
          <w:sz w:val="20"/>
          <w:szCs w:val="20"/>
        </w:rPr>
        <w:t>Asigbaase</w:t>
      </w:r>
      <w:proofErr w:type="spellEnd"/>
      <w:r w:rsidRPr="006A5892">
        <w:rPr>
          <w:sz w:val="20"/>
          <w:szCs w:val="20"/>
        </w:rPr>
        <w:t xml:space="preserve"> at al. (2021) notes that the main carbon pool in agroforestry is </w:t>
      </w:r>
      <w:proofErr w:type="gramStart"/>
      <w:r w:rsidRPr="006A5892">
        <w:rPr>
          <w:sz w:val="20"/>
          <w:szCs w:val="20"/>
        </w:rPr>
        <w:t>actually soil</w:t>
      </w:r>
      <w:proofErr w:type="gramEnd"/>
      <w:r w:rsidRPr="006A5892">
        <w:rPr>
          <w:sz w:val="20"/>
          <w:szCs w:val="20"/>
        </w:rPr>
        <w:t xml:space="preserve"> not above ground biomass. For the purposes of this exercise (based on the data) changes in carbon are restricted to topsoil. It is important not to forget non-tree biomass as agroforestry models, e.g. (Van </w:t>
      </w:r>
      <w:proofErr w:type="spellStart"/>
      <w:r w:rsidRPr="006A5892">
        <w:rPr>
          <w:sz w:val="20"/>
          <w:szCs w:val="20"/>
        </w:rPr>
        <w:t>Oijen</w:t>
      </w:r>
      <w:proofErr w:type="spellEnd"/>
      <w:r w:rsidRPr="006A5892">
        <w:rPr>
          <w:sz w:val="20"/>
          <w:szCs w:val="20"/>
        </w:rPr>
        <w:t xml:space="preserve"> et al. 2022)</w:t>
      </w:r>
      <w:r w:rsidRPr="006A5892">
        <w:rPr>
          <w:rFonts w:ascii="Arial" w:hAnsi="Arial" w:cs="Arial"/>
          <w:sz w:val="20"/>
          <w:szCs w:val="20"/>
        </w:rPr>
        <w:t> </w:t>
      </w:r>
      <w:r w:rsidRPr="006A5892">
        <w:rPr>
          <w:sz w:val="20"/>
          <w:szCs w:val="20"/>
        </w:rPr>
        <w:t>indicate</w:t>
      </w:r>
      <w:r w:rsidRPr="006A5892">
        <w:rPr>
          <w:rFonts w:ascii="Arial" w:hAnsi="Arial" w:cs="Arial"/>
          <w:sz w:val="20"/>
          <w:szCs w:val="20"/>
        </w:rPr>
        <w:t> </w:t>
      </w:r>
      <w:r w:rsidRPr="006A5892">
        <w:rPr>
          <w:sz w:val="20"/>
          <w:szCs w:val="20"/>
        </w:rPr>
        <w:t>there can be gains in soil carbon in established cocoa and coffee systems, but also there is the potential to</w:t>
      </w:r>
      <w:r w:rsidRPr="006A5892">
        <w:rPr>
          <w:rFonts w:ascii="Arial" w:hAnsi="Arial" w:cs="Arial"/>
          <w:sz w:val="20"/>
          <w:szCs w:val="20"/>
        </w:rPr>
        <w:t> </w:t>
      </w:r>
      <w:r w:rsidRPr="006A5892">
        <w:rPr>
          <w:sz w:val="20"/>
          <w:szCs w:val="20"/>
        </w:rPr>
        <w:t>lose</w:t>
      </w:r>
      <w:r w:rsidRPr="006A5892">
        <w:rPr>
          <w:rFonts w:ascii="Arial" w:hAnsi="Arial" w:cs="Arial"/>
          <w:sz w:val="20"/>
          <w:szCs w:val="20"/>
        </w:rPr>
        <w:t> </w:t>
      </w:r>
      <w:r w:rsidRPr="006A5892">
        <w:rPr>
          <w:sz w:val="20"/>
          <w:szCs w:val="20"/>
        </w:rPr>
        <w:t xml:space="preserve">soil carbon during periods of renovation when soil carbon inputs are reduced. This is particularly relevant to the Sierra Leone context given that many stands are nearing the renovation time window.  </w:t>
      </w:r>
    </w:p>
    <w:p w14:paraId="46D1194F" w14:textId="77777777" w:rsidR="00031D95" w:rsidRPr="006A5892" w:rsidRDefault="00031D95" w:rsidP="00031D95">
      <w:pPr>
        <w:rPr>
          <w:sz w:val="20"/>
          <w:szCs w:val="20"/>
        </w:rPr>
      </w:pPr>
      <w:r w:rsidRPr="006A5892">
        <w:rPr>
          <w:sz w:val="20"/>
          <w:szCs w:val="20"/>
        </w:rPr>
        <w:t xml:space="preserve">Therefore, it needs to be </w:t>
      </w:r>
      <w:proofErr w:type="gramStart"/>
      <w:r w:rsidRPr="006A5892">
        <w:rPr>
          <w:sz w:val="20"/>
          <w:szCs w:val="20"/>
        </w:rPr>
        <w:t>reiterated</w:t>
      </w:r>
      <w:proofErr w:type="gramEnd"/>
      <w:r w:rsidRPr="006A5892">
        <w:rPr>
          <w:sz w:val="20"/>
          <w:szCs w:val="20"/>
        </w:rPr>
        <w:t xml:space="preserve"> that the calculations included in this report are based within a defined temporal window. At some point (and in the first case study, potentially imminently) elderly stands will be replaced, resulting in a loss of the accumulated carbon.  Therefore, the effect of both stand aging and eventual replacement/renovation must be managed to </w:t>
      </w:r>
      <w:proofErr w:type="spellStart"/>
      <w:r w:rsidRPr="006A5892">
        <w:rPr>
          <w:sz w:val="20"/>
          <w:szCs w:val="20"/>
        </w:rPr>
        <w:t>i</w:t>
      </w:r>
      <w:proofErr w:type="spellEnd"/>
      <w:r w:rsidRPr="006A5892">
        <w:rPr>
          <w:sz w:val="20"/>
          <w:szCs w:val="20"/>
        </w:rPr>
        <w:t xml:space="preserve">) </w:t>
      </w:r>
      <w:proofErr w:type="spellStart"/>
      <w:r w:rsidRPr="006A5892">
        <w:rPr>
          <w:sz w:val="20"/>
          <w:szCs w:val="20"/>
        </w:rPr>
        <w:t>stabilise</w:t>
      </w:r>
      <w:proofErr w:type="spellEnd"/>
      <w:r w:rsidRPr="006A5892">
        <w:rPr>
          <w:sz w:val="20"/>
          <w:szCs w:val="20"/>
        </w:rPr>
        <w:t xml:space="preserve"> cocoa years during the late mature stage and ii) ensure whatever replaces the Cocoa stand configuration accumulates at least to same amount of carbon as its predecessor, (i.e. there is no loss of carbon when transitioning from the current cocoa system under review, to whatever replaces it.) This will be difficult given the scale of carbon accumulated within agroforestry systems.</w:t>
      </w:r>
    </w:p>
    <w:p w14:paraId="59523478" w14:textId="77777777" w:rsidR="00031D95" w:rsidRPr="006A5892" w:rsidRDefault="00031D95" w:rsidP="00031D95">
      <w:pPr>
        <w:rPr>
          <w:sz w:val="20"/>
          <w:szCs w:val="20"/>
        </w:rPr>
      </w:pPr>
    </w:p>
    <w:p w14:paraId="41B3D096" w14:textId="77777777" w:rsidR="00031D95" w:rsidRDefault="00031D95" w:rsidP="00031D95">
      <w:pPr>
        <w:rPr>
          <w:sz w:val="20"/>
          <w:szCs w:val="20"/>
        </w:rPr>
      </w:pPr>
      <w:r w:rsidRPr="006A5892">
        <w:rPr>
          <w:sz w:val="20"/>
          <w:szCs w:val="20"/>
        </w:rPr>
        <w:t xml:space="preserve">Given the potential scale of the positive and negative carbon fluxes embodied in the cultivation stage it's important to not to exclude the impact of drying or transport. The operation of LPG powered dryers to reduce the moisture content at wet season, (assumed 30-40% MC) increase the carbon footprint by 0.3 kg of </w:t>
      </w:r>
      <w:proofErr w:type="spellStart"/>
      <w:r w:rsidRPr="006A5892">
        <w:rPr>
          <w:sz w:val="20"/>
          <w:szCs w:val="20"/>
        </w:rPr>
        <w:t>CO₂e</w:t>
      </w:r>
      <w:proofErr w:type="spellEnd"/>
      <w:r w:rsidRPr="006A5892">
        <w:rPr>
          <w:sz w:val="20"/>
          <w:szCs w:val="20"/>
        </w:rPr>
        <w:t xml:space="preserve">/kg dry cocoa. This </w:t>
      </w:r>
      <w:r>
        <w:rPr>
          <w:sz w:val="20"/>
          <w:szCs w:val="20"/>
        </w:rPr>
        <w:t>is</w:t>
      </w:r>
      <w:r w:rsidRPr="006A5892">
        <w:rPr>
          <w:sz w:val="20"/>
          <w:szCs w:val="20"/>
        </w:rPr>
        <w:t xml:space="preserve"> significant in instances where the carbon balance due to cultivation is nearer to parity. (As mentioned earlier, where wet conditions, poor storage and low yields coincide, there is greater risk of moisture replacing cocoa weight, increasing the quantity of farm gate beans needed to provide 1 kg of dry bean). Equally, whilst transport did not figure as prominently as other activities it should not be discounted. The estimates of transport distance between the cooperative store and the trader store are based on interviews and may </w:t>
      </w:r>
      <w:r w:rsidRPr="006A5892">
        <w:rPr>
          <w:sz w:val="20"/>
          <w:szCs w:val="20"/>
        </w:rPr>
        <w:lastRenderedPageBreak/>
        <w:t>underestimate the distances travelled. The impact of poor road conditions may also be underestimated, especially for the final leg of the journey, which is likely to be the longest.</w:t>
      </w:r>
    </w:p>
    <w:p w14:paraId="6B18FE7A" w14:textId="77777777" w:rsidR="008D12C4" w:rsidRDefault="008D12C4" w:rsidP="00031D95">
      <w:pPr>
        <w:rPr>
          <w:sz w:val="20"/>
          <w:szCs w:val="20"/>
        </w:rPr>
      </w:pPr>
    </w:p>
    <w:p w14:paraId="02965DC9" w14:textId="1F567E6F" w:rsidR="008D12C4" w:rsidRDefault="00CF0EC0" w:rsidP="00D52692">
      <w:pPr>
        <w:pStyle w:val="Heading3"/>
      </w:pPr>
      <w:r>
        <w:t xml:space="preserve">Forest </w:t>
      </w:r>
      <w:r w:rsidR="008D12C4">
        <w:t xml:space="preserve">Land use change </w:t>
      </w:r>
    </w:p>
    <w:p w14:paraId="38B2C3A0" w14:textId="32ED5CFD" w:rsidR="00EC1B52" w:rsidRDefault="00EC1B52" w:rsidP="00031D95">
      <w:pPr>
        <w:rPr>
          <w:sz w:val="20"/>
          <w:szCs w:val="20"/>
        </w:rPr>
      </w:pPr>
      <w:r>
        <w:rPr>
          <w:sz w:val="20"/>
          <w:szCs w:val="20"/>
        </w:rPr>
        <w:t xml:space="preserve">The global forest watch </w:t>
      </w:r>
      <w:r w:rsidR="00EC35C3" w:rsidRPr="00EC35C3">
        <w:rPr>
          <w:sz w:val="20"/>
          <w:szCs w:val="20"/>
        </w:rPr>
        <w:t xml:space="preserve">(Resource Watch, 2025) </w:t>
      </w:r>
      <w:r w:rsidR="008D43BA">
        <w:rPr>
          <w:sz w:val="20"/>
          <w:szCs w:val="20"/>
        </w:rPr>
        <w:t>provides</w:t>
      </w:r>
      <w:r>
        <w:rPr>
          <w:sz w:val="20"/>
          <w:szCs w:val="20"/>
        </w:rPr>
        <w:t xml:space="preserve"> statistics on the recent losses of </w:t>
      </w:r>
      <w:r w:rsidR="00EA2272">
        <w:rPr>
          <w:sz w:val="20"/>
          <w:szCs w:val="20"/>
        </w:rPr>
        <w:t>tree cover</w:t>
      </w:r>
      <w:r w:rsidR="00B53C7D">
        <w:rPr>
          <w:sz w:val="20"/>
          <w:szCs w:val="20"/>
        </w:rPr>
        <w:t xml:space="preserve"> in Sierra Leone across a range of minimum canopy </w:t>
      </w:r>
      <w:r w:rsidR="008D43BA">
        <w:rPr>
          <w:sz w:val="20"/>
          <w:szCs w:val="20"/>
        </w:rPr>
        <w:t>thresholds.</w:t>
      </w:r>
      <w:r w:rsidR="000B40CE">
        <w:rPr>
          <w:sz w:val="20"/>
          <w:szCs w:val="20"/>
        </w:rPr>
        <w:t xml:space="preserve"> Th</w:t>
      </w:r>
      <w:r w:rsidR="00035610">
        <w:rPr>
          <w:sz w:val="20"/>
          <w:szCs w:val="20"/>
        </w:rPr>
        <w:t xml:space="preserve">ese reflect updates of the method originally presented in Hansen et al. 2013. </w:t>
      </w:r>
      <w:r w:rsidR="00EA2272" w:rsidRPr="00EA2272">
        <w:rPr>
          <w:sz w:val="20"/>
          <w:szCs w:val="20"/>
        </w:rPr>
        <w:t xml:space="preserve">In this </w:t>
      </w:r>
      <w:r w:rsidR="00EA2272">
        <w:rPr>
          <w:sz w:val="20"/>
          <w:szCs w:val="20"/>
        </w:rPr>
        <w:t>instance</w:t>
      </w:r>
      <w:r w:rsidR="00EA2272" w:rsidRPr="00EA2272">
        <w:rPr>
          <w:sz w:val="20"/>
          <w:szCs w:val="20"/>
        </w:rPr>
        <w:t xml:space="preserve">, “tree cover” </w:t>
      </w:r>
      <w:r w:rsidR="00EA2272">
        <w:rPr>
          <w:sz w:val="20"/>
          <w:szCs w:val="20"/>
        </w:rPr>
        <w:t>constitutes</w:t>
      </w:r>
      <w:r w:rsidR="00EA2272" w:rsidRPr="00EA2272">
        <w:rPr>
          <w:sz w:val="20"/>
          <w:szCs w:val="20"/>
        </w:rPr>
        <w:t xml:space="preserve"> vegetation </w:t>
      </w:r>
      <w:r w:rsidR="00EA2272">
        <w:rPr>
          <w:sz w:val="20"/>
          <w:szCs w:val="20"/>
        </w:rPr>
        <w:t xml:space="preserve">&gt; </w:t>
      </w:r>
      <w:r w:rsidR="00EA2272" w:rsidRPr="00EA2272">
        <w:rPr>
          <w:sz w:val="20"/>
          <w:szCs w:val="20"/>
        </w:rPr>
        <w:t xml:space="preserve">5 meters in height, </w:t>
      </w:r>
      <w:r w:rsidR="00EA2272">
        <w:rPr>
          <w:sz w:val="20"/>
          <w:szCs w:val="20"/>
        </w:rPr>
        <w:t>including both</w:t>
      </w:r>
      <w:r w:rsidR="00EA2272" w:rsidRPr="00EA2272">
        <w:rPr>
          <w:sz w:val="20"/>
          <w:szCs w:val="20"/>
        </w:rPr>
        <w:t xml:space="preserve"> natural forests </w:t>
      </w:r>
      <w:r w:rsidR="00EA2272">
        <w:rPr>
          <w:sz w:val="20"/>
          <w:szCs w:val="20"/>
        </w:rPr>
        <w:t>and</w:t>
      </w:r>
      <w:r w:rsidR="00EA2272" w:rsidRPr="00EA2272">
        <w:rPr>
          <w:sz w:val="20"/>
          <w:szCs w:val="20"/>
        </w:rPr>
        <w:t xml:space="preserve"> plantations across </w:t>
      </w:r>
      <w:r w:rsidR="00EA2272">
        <w:rPr>
          <w:sz w:val="20"/>
          <w:szCs w:val="20"/>
        </w:rPr>
        <w:t>the defined range of</w:t>
      </w:r>
      <w:r w:rsidR="00EA2272" w:rsidRPr="00EA2272">
        <w:rPr>
          <w:sz w:val="20"/>
          <w:szCs w:val="20"/>
        </w:rPr>
        <w:t xml:space="preserve"> canopy densities</w:t>
      </w:r>
      <w:r w:rsidR="00EA2272">
        <w:rPr>
          <w:sz w:val="20"/>
          <w:szCs w:val="20"/>
        </w:rPr>
        <w:t>.</w:t>
      </w:r>
    </w:p>
    <w:p w14:paraId="51EFADE4" w14:textId="77777777" w:rsidR="00EA2272" w:rsidRDefault="00EA2272" w:rsidP="00031D95">
      <w:pPr>
        <w:rPr>
          <w:sz w:val="20"/>
          <w:szCs w:val="20"/>
        </w:rPr>
      </w:pPr>
    </w:p>
    <w:p w14:paraId="3B2622AC" w14:textId="77777777" w:rsidR="00EA2272" w:rsidRDefault="00EA2272" w:rsidP="00031D95">
      <w:pPr>
        <w:rPr>
          <w:sz w:val="20"/>
          <w:szCs w:val="20"/>
        </w:rPr>
      </w:pPr>
    </w:p>
    <w:p w14:paraId="5267CA5A" w14:textId="77777777" w:rsidR="00550E14" w:rsidRDefault="00550E14" w:rsidP="00D52692">
      <w:pPr>
        <w:keepNext/>
        <w:jc w:val="center"/>
      </w:pPr>
      <w:r>
        <w:rPr>
          <w:noProof/>
        </w:rPr>
        <w:drawing>
          <wp:inline distT="0" distB="0" distL="0" distR="0" wp14:anchorId="70C8ACBF" wp14:editId="4254C28A">
            <wp:extent cx="4879975" cy="2475914"/>
            <wp:effectExtent l="0" t="0" r="15875" b="635"/>
            <wp:docPr id="983233807" name="Chart 1">
              <a:extLst xmlns:a="http://schemas.openxmlformats.org/drawingml/2006/main">
                <a:ext uri="{FF2B5EF4-FFF2-40B4-BE49-F238E27FC236}">
                  <a16:creationId xmlns:a16="http://schemas.microsoft.com/office/drawing/2014/main" id="{1C821988-81DC-E54F-B896-9E6EA44A1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CAF7D8E" w14:textId="665DB0F7" w:rsidR="00EA2272" w:rsidRDefault="00550E14" w:rsidP="00550E14">
      <w:pPr>
        <w:pStyle w:val="Caption"/>
        <w:jc w:val="center"/>
      </w:pPr>
      <w:r>
        <w:t xml:space="preserve">Figure </w:t>
      </w:r>
      <w:fldSimple w:instr=" STYLEREF 1 \s ">
        <w:r w:rsidR="007306EC">
          <w:rPr>
            <w:noProof/>
          </w:rPr>
          <w:t>5</w:t>
        </w:r>
      </w:fldSimple>
      <w:r w:rsidR="007306EC">
        <w:noBreakHyphen/>
      </w:r>
      <w:fldSimple w:instr=" SEQ Figure \* ARABIC \s 1 ">
        <w:r w:rsidR="007306EC">
          <w:rPr>
            <w:noProof/>
          </w:rPr>
          <w:t>1</w:t>
        </w:r>
      </w:fldSimple>
      <w:r>
        <w:t xml:space="preserve">: Summary of Forest </w:t>
      </w:r>
      <w:r w:rsidR="0042388D">
        <w:t>c</w:t>
      </w:r>
      <w:r>
        <w:t xml:space="preserve">over loss by </w:t>
      </w:r>
      <w:r w:rsidR="0042388D">
        <w:t>c</w:t>
      </w:r>
      <w:r>
        <w:t>anopy</w:t>
      </w:r>
      <w:r w:rsidR="002B6D82">
        <w:t xml:space="preserve"> </w:t>
      </w:r>
      <w:r w:rsidR="0042388D">
        <w:t>d</w:t>
      </w:r>
      <w:r w:rsidR="002B6D82">
        <w:t xml:space="preserve">ensities. Taken from </w:t>
      </w:r>
      <w:r w:rsidR="0042388D">
        <w:t>g</w:t>
      </w:r>
      <w:r w:rsidR="00356E56">
        <w:t xml:space="preserve">lobal forest </w:t>
      </w:r>
      <w:r w:rsidR="0042388D">
        <w:t>w</w:t>
      </w:r>
      <w:r w:rsidR="00356E56">
        <w:t>atch</w:t>
      </w:r>
      <w:r w:rsidR="009251B0">
        <w:t>.</w:t>
      </w:r>
      <w:r w:rsidR="003108A4">
        <w:t xml:space="preserve"> Updated from Method presented in Hansen et al. (2013). </w:t>
      </w:r>
    </w:p>
    <w:p w14:paraId="679A5774" w14:textId="77777777" w:rsidR="00356E56" w:rsidRDefault="00356E56" w:rsidP="00356E56">
      <w:pPr>
        <w:rPr>
          <w:lang w:bidi="hi-IN"/>
        </w:rPr>
      </w:pPr>
    </w:p>
    <w:p w14:paraId="3B04E1BD" w14:textId="543D1B6D" w:rsidR="00B257CC" w:rsidRPr="00D52692" w:rsidRDefault="00356E56" w:rsidP="00356E56">
      <w:pPr>
        <w:rPr>
          <w:sz w:val="20"/>
          <w:szCs w:val="20"/>
          <w:lang w:bidi="hi-IN"/>
        </w:rPr>
      </w:pPr>
      <w:r w:rsidRPr="00D52692">
        <w:rPr>
          <w:sz w:val="20"/>
          <w:szCs w:val="20"/>
          <w:lang w:bidi="hi-IN"/>
        </w:rPr>
        <w:t>Taking the rec</w:t>
      </w:r>
      <w:r w:rsidR="00612A13" w:rsidRPr="00D52692">
        <w:rPr>
          <w:sz w:val="20"/>
          <w:szCs w:val="20"/>
          <w:lang w:bidi="hi-IN"/>
        </w:rPr>
        <w:t>ommend</w:t>
      </w:r>
      <w:r w:rsidR="009251B0" w:rsidRPr="00D52692">
        <w:rPr>
          <w:sz w:val="20"/>
          <w:szCs w:val="20"/>
          <w:lang w:bidi="hi-IN"/>
        </w:rPr>
        <w:t xml:space="preserve">ed canopy threshold </w:t>
      </w:r>
      <w:r w:rsidR="00E71082" w:rsidRPr="00D52692">
        <w:rPr>
          <w:sz w:val="20"/>
          <w:szCs w:val="20"/>
          <w:lang w:bidi="hi-IN"/>
        </w:rPr>
        <w:t xml:space="preserve">of </w:t>
      </w:r>
      <w:r w:rsidR="00FC61F9" w:rsidRPr="00D52692">
        <w:rPr>
          <w:sz w:val="20"/>
          <w:szCs w:val="20"/>
          <w:lang w:bidi="hi-IN"/>
        </w:rPr>
        <w:t>&gt;</w:t>
      </w:r>
      <w:r w:rsidR="00E71082" w:rsidRPr="00D52692">
        <w:rPr>
          <w:sz w:val="20"/>
          <w:szCs w:val="20"/>
          <w:lang w:bidi="hi-IN"/>
        </w:rPr>
        <w:t xml:space="preserve">30% (i.e. a land area of a minimum canopy </w:t>
      </w:r>
      <w:r w:rsidR="00FC61F9" w:rsidRPr="00D52692">
        <w:rPr>
          <w:sz w:val="20"/>
          <w:szCs w:val="20"/>
          <w:lang w:bidi="hi-IN"/>
        </w:rPr>
        <w:t xml:space="preserve">of 30 </w:t>
      </w:r>
      <w:r w:rsidR="00E71082" w:rsidRPr="00D52692">
        <w:rPr>
          <w:sz w:val="20"/>
          <w:szCs w:val="20"/>
          <w:lang w:bidi="hi-IN"/>
        </w:rPr>
        <w:t>%</w:t>
      </w:r>
      <w:r w:rsidR="006F203C" w:rsidRPr="00D52692">
        <w:rPr>
          <w:sz w:val="20"/>
          <w:szCs w:val="20"/>
          <w:lang w:bidi="hi-IN"/>
        </w:rPr>
        <w:t>)</w:t>
      </w:r>
      <w:r w:rsidR="00B17D93" w:rsidRPr="00D52692">
        <w:rPr>
          <w:sz w:val="20"/>
          <w:szCs w:val="20"/>
          <w:lang w:bidi="hi-IN"/>
        </w:rPr>
        <w:t>, the statistics suggest that between 2001 and 2025 Sierra Leone</w:t>
      </w:r>
      <w:r w:rsidR="00E71082" w:rsidRPr="00D52692">
        <w:rPr>
          <w:sz w:val="20"/>
          <w:szCs w:val="20"/>
          <w:lang w:bidi="hi-IN"/>
        </w:rPr>
        <w:t xml:space="preserve"> </w:t>
      </w:r>
      <w:r w:rsidR="00E0255E" w:rsidRPr="00D52692">
        <w:rPr>
          <w:sz w:val="20"/>
          <w:szCs w:val="20"/>
          <w:lang w:bidi="hi-IN"/>
        </w:rPr>
        <w:t xml:space="preserve">lost a cumulative area of 2.3 </w:t>
      </w:r>
      <w:proofErr w:type="spellStart"/>
      <w:r w:rsidR="00E0255E" w:rsidRPr="00D52692">
        <w:rPr>
          <w:sz w:val="20"/>
          <w:szCs w:val="20"/>
          <w:lang w:bidi="hi-IN"/>
        </w:rPr>
        <w:t>Mha</w:t>
      </w:r>
      <w:proofErr w:type="spellEnd"/>
      <w:r w:rsidR="00E24A59" w:rsidRPr="00D52692">
        <w:rPr>
          <w:sz w:val="20"/>
          <w:szCs w:val="20"/>
          <w:lang w:bidi="hi-IN"/>
        </w:rPr>
        <w:t>, roughly equivalent to 41% of the 2000 forested area. (It should be noted that this is gross deforestation</w:t>
      </w:r>
      <w:r w:rsidR="004A3270" w:rsidRPr="00D52692">
        <w:rPr>
          <w:sz w:val="20"/>
          <w:szCs w:val="20"/>
          <w:lang w:bidi="hi-IN"/>
        </w:rPr>
        <w:t xml:space="preserve"> and does not </w:t>
      </w:r>
      <w:r w:rsidR="00402420" w:rsidRPr="00D52692">
        <w:rPr>
          <w:sz w:val="20"/>
          <w:szCs w:val="20"/>
          <w:lang w:bidi="hi-IN"/>
        </w:rPr>
        <w:t xml:space="preserve">account for additions). As demonstrated in </w:t>
      </w:r>
      <w:r w:rsidR="00047133" w:rsidRPr="00D52692">
        <w:rPr>
          <w:sz w:val="20"/>
          <w:szCs w:val="20"/>
          <w:lang w:bidi="hi-IN"/>
        </w:rPr>
        <w:t>Figure 5.1</w:t>
      </w:r>
      <w:r w:rsidR="00D51315" w:rsidRPr="00D52692">
        <w:rPr>
          <w:sz w:val="20"/>
          <w:szCs w:val="20"/>
          <w:lang w:bidi="hi-IN"/>
        </w:rPr>
        <w:t xml:space="preserve">, forest loss accelerated in 2013, </w:t>
      </w:r>
      <w:r w:rsidR="009C7249" w:rsidRPr="00D52692">
        <w:rPr>
          <w:sz w:val="20"/>
          <w:szCs w:val="20"/>
          <w:lang w:bidi="hi-IN"/>
        </w:rPr>
        <w:t>with peaks in 2015 and 201</w:t>
      </w:r>
      <w:r w:rsidR="002A6BF0" w:rsidRPr="00D52692">
        <w:rPr>
          <w:sz w:val="20"/>
          <w:szCs w:val="20"/>
          <w:lang w:bidi="hi-IN"/>
        </w:rPr>
        <w:t>7</w:t>
      </w:r>
      <w:r w:rsidR="009C7249" w:rsidRPr="00D52692">
        <w:rPr>
          <w:sz w:val="20"/>
          <w:szCs w:val="20"/>
          <w:lang w:bidi="hi-IN"/>
        </w:rPr>
        <w:t xml:space="preserve"> and decreasing thereafter</w:t>
      </w:r>
      <w:r w:rsidR="002A6BF0" w:rsidRPr="00D52692">
        <w:rPr>
          <w:sz w:val="20"/>
          <w:szCs w:val="20"/>
          <w:lang w:bidi="hi-IN"/>
        </w:rPr>
        <w:t xml:space="preserve"> until 2024</w:t>
      </w:r>
      <w:r w:rsidR="009C7249" w:rsidRPr="00D52692">
        <w:rPr>
          <w:sz w:val="20"/>
          <w:szCs w:val="20"/>
          <w:lang w:bidi="hi-IN"/>
        </w:rPr>
        <w:t>.</w:t>
      </w:r>
      <w:r w:rsidR="00FF3A0B" w:rsidRPr="00D52692">
        <w:rPr>
          <w:sz w:val="20"/>
          <w:szCs w:val="20"/>
          <w:lang w:bidi="hi-IN"/>
        </w:rPr>
        <w:t xml:space="preserve"> </w:t>
      </w:r>
      <w:r w:rsidR="00DB190A" w:rsidRPr="00D52692">
        <w:rPr>
          <w:sz w:val="20"/>
          <w:szCs w:val="20"/>
          <w:lang w:bidi="hi-IN"/>
        </w:rPr>
        <w:t>Note: these estimates do not take tree cover gain into account.</w:t>
      </w:r>
    </w:p>
    <w:p w14:paraId="3A429040" w14:textId="77777777" w:rsidR="00B257CC" w:rsidRDefault="00B257CC" w:rsidP="00356E56">
      <w:pPr>
        <w:rPr>
          <w:lang w:bidi="hi-IN"/>
        </w:rPr>
      </w:pPr>
    </w:p>
    <w:p w14:paraId="68C1045D" w14:textId="77777777" w:rsidR="007306EC" w:rsidRDefault="00B257CC" w:rsidP="00D52692">
      <w:pPr>
        <w:keepNext/>
      </w:pPr>
      <w:r>
        <w:rPr>
          <w:noProof/>
        </w:rPr>
        <w:lastRenderedPageBreak/>
        <w:drawing>
          <wp:inline distT="0" distB="0" distL="0" distR="0" wp14:anchorId="6102C9FB" wp14:editId="0C3B06DF">
            <wp:extent cx="5731510" cy="2862775"/>
            <wp:effectExtent l="0" t="0" r="2540" b="13970"/>
            <wp:docPr id="1689280684" name="Chart 1">
              <a:extLst xmlns:a="http://schemas.openxmlformats.org/drawingml/2006/main">
                <a:ext uri="{FF2B5EF4-FFF2-40B4-BE49-F238E27FC236}">
                  <a16:creationId xmlns:a16="http://schemas.microsoft.com/office/drawing/2014/main" id="{C6044E09-5C65-F240-D7A0-DB91C2403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CBE38B" w14:textId="4C97511F" w:rsidR="0042388D" w:rsidRDefault="007306EC" w:rsidP="0042388D">
      <w:pPr>
        <w:pStyle w:val="Caption"/>
        <w:jc w:val="center"/>
      </w:pPr>
      <w:r>
        <w:t xml:space="preserve">Figure </w:t>
      </w:r>
      <w:fldSimple w:instr=" STYLEREF 1 \s ">
        <w:r>
          <w:rPr>
            <w:noProof/>
          </w:rPr>
          <w:t>5</w:t>
        </w:r>
      </w:fldSimple>
      <w:r>
        <w:noBreakHyphen/>
      </w:r>
      <w:fldSimple w:instr=" SEQ Figure \* ARABIC \s 1 ">
        <w:r>
          <w:rPr>
            <w:noProof/>
          </w:rPr>
          <w:t>2</w:t>
        </w:r>
      </w:fldSimple>
      <w:r>
        <w:t xml:space="preserve">: </w:t>
      </w:r>
      <w:r w:rsidR="00A61F05">
        <w:t xml:space="preserve">Area of </w:t>
      </w:r>
      <w:r w:rsidR="0042388D">
        <w:t>p</w:t>
      </w:r>
      <w:r w:rsidR="00A61F05">
        <w:t xml:space="preserve">rimary </w:t>
      </w:r>
      <w:r w:rsidR="0042388D">
        <w:t>t</w:t>
      </w:r>
      <w:r w:rsidR="00A61F05">
        <w:t xml:space="preserve">ree </w:t>
      </w:r>
      <w:r w:rsidR="0042388D">
        <w:t>c</w:t>
      </w:r>
      <w:r w:rsidR="00A61F05">
        <w:t xml:space="preserve">over </w:t>
      </w:r>
      <w:r w:rsidR="0042388D">
        <w:t>l</w:t>
      </w:r>
      <w:r w:rsidR="00A61F05">
        <w:t>oss</w:t>
      </w:r>
      <w:r w:rsidR="0042388D">
        <w:t>. Taken from global forest watch.</w:t>
      </w:r>
      <w:r w:rsidR="003108A4" w:rsidRPr="003108A4">
        <w:t xml:space="preserve"> </w:t>
      </w:r>
      <w:r w:rsidR="003108A4">
        <w:t>Updated from Method presented in Hansen et al. (2013).</w:t>
      </w:r>
    </w:p>
    <w:p w14:paraId="54DB3FDA" w14:textId="77777777" w:rsidR="003108A4" w:rsidRDefault="003108A4" w:rsidP="00702C70">
      <w:pPr>
        <w:rPr>
          <w:lang w:bidi="hi-IN"/>
        </w:rPr>
      </w:pPr>
    </w:p>
    <w:p w14:paraId="0925CB58" w14:textId="5F32BDCC" w:rsidR="00521CBF" w:rsidRPr="00D52692" w:rsidRDefault="00702C70" w:rsidP="00702C70">
      <w:pPr>
        <w:rPr>
          <w:sz w:val="20"/>
          <w:szCs w:val="20"/>
          <w:lang w:bidi="hi-IN"/>
        </w:rPr>
      </w:pPr>
      <w:r w:rsidRPr="00D52692">
        <w:rPr>
          <w:sz w:val="20"/>
          <w:szCs w:val="20"/>
          <w:lang w:bidi="hi-IN"/>
        </w:rPr>
        <w:t>Keeping the same canopy threshold as a metric it is estimated that between 2002 and 2025 approximately 17% of remaining humid primary forests were lost, equivalent to approximately 47 kha</w:t>
      </w:r>
      <w:r w:rsidR="000121E9" w:rsidRPr="00D52692">
        <w:rPr>
          <w:sz w:val="20"/>
          <w:szCs w:val="20"/>
          <w:lang w:bidi="hi-IN"/>
        </w:rPr>
        <w:t xml:space="preserve"> (Figure 5.2)</w:t>
      </w:r>
      <w:r w:rsidRPr="00D52692">
        <w:rPr>
          <w:sz w:val="20"/>
          <w:szCs w:val="20"/>
          <w:lang w:bidi="hi-IN"/>
        </w:rPr>
        <w:t>.</w:t>
      </w:r>
      <w:r w:rsidR="000121E9" w:rsidRPr="00D52692">
        <w:rPr>
          <w:sz w:val="20"/>
          <w:szCs w:val="20"/>
          <w:lang w:bidi="hi-IN"/>
        </w:rPr>
        <w:t xml:space="preserve"> </w:t>
      </w:r>
      <w:r w:rsidR="00521CBF" w:rsidRPr="00D52692">
        <w:rPr>
          <w:sz w:val="20"/>
          <w:szCs w:val="20"/>
          <w:lang w:bidi="hi-IN"/>
        </w:rPr>
        <w:t xml:space="preserve">Primary forest </w:t>
      </w:r>
      <w:proofErr w:type="gramStart"/>
      <w:r w:rsidR="00521CBF" w:rsidRPr="00D52692">
        <w:rPr>
          <w:sz w:val="20"/>
          <w:szCs w:val="20"/>
          <w:lang w:bidi="hi-IN"/>
        </w:rPr>
        <w:t>is considered to be</w:t>
      </w:r>
      <w:proofErr w:type="gramEnd"/>
      <w:r w:rsidR="00521CBF" w:rsidRPr="00D52692">
        <w:rPr>
          <w:sz w:val="20"/>
          <w:szCs w:val="20"/>
          <w:lang w:bidi="hi-IN"/>
        </w:rPr>
        <w:t xml:space="preserve"> mature natural humid tropical forest cover that has not been completely cleared and regrown in recent history. </w:t>
      </w:r>
      <w:r w:rsidRPr="00D52692">
        <w:rPr>
          <w:sz w:val="20"/>
          <w:szCs w:val="20"/>
          <w:lang w:bidi="hi-IN"/>
        </w:rPr>
        <w:t>It should be noted that whilst primary forest losses make up approximately 2% of overall forest loss</w:t>
      </w:r>
      <w:r w:rsidR="000121E9" w:rsidRPr="00D52692">
        <w:rPr>
          <w:sz w:val="20"/>
          <w:szCs w:val="20"/>
          <w:lang w:bidi="hi-IN"/>
        </w:rPr>
        <w:t>,</w:t>
      </w:r>
      <w:r w:rsidRPr="00D52692">
        <w:rPr>
          <w:sz w:val="20"/>
          <w:szCs w:val="20"/>
          <w:lang w:bidi="hi-IN"/>
        </w:rPr>
        <w:t xml:space="preserve"> </w:t>
      </w:r>
      <w:r w:rsidR="000121E9" w:rsidRPr="00D52692">
        <w:rPr>
          <w:sz w:val="20"/>
          <w:szCs w:val="20"/>
          <w:lang w:bidi="hi-IN"/>
        </w:rPr>
        <w:t>they</w:t>
      </w:r>
      <w:r w:rsidRPr="00D52692">
        <w:rPr>
          <w:sz w:val="20"/>
          <w:szCs w:val="20"/>
          <w:lang w:bidi="hi-IN"/>
        </w:rPr>
        <w:t xml:space="preserve"> will result in significantly greater carbon losses </w:t>
      </w:r>
      <w:r w:rsidR="000121E9" w:rsidRPr="00D52692">
        <w:rPr>
          <w:sz w:val="20"/>
          <w:szCs w:val="20"/>
          <w:lang w:bidi="hi-IN"/>
        </w:rPr>
        <w:t>(</w:t>
      </w:r>
      <w:r w:rsidRPr="00D52692">
        <w:rPr>
          <w:sz w:val="20"/>
          <w:szCs w:val="20"/>
          <w:lang w:bidi="hi-IN"/>
        </w:rPr>
        <w:t>when measured on</w:t>
      </w:r>
      <w:r w:rsidR="000121E9" w:rsidRPr="00D52692">
        <w:rPr>
          <w:sz w:val="20"/>
          <w:szCs w:val="20"/>
          <w:lang w:bidi="hi-IN"/>
        </w:rPr>
        <w:t xml:space="preserve"> a</w:t>
      </w:r>
      <w:r w:rsidRPr="00D52692">
        <w:rPr>
          <w:sz w:val="20"/>
          <w:szCs w:val="20"/>
          <w:lang w:bidi="hi-IN"/>
        </w:rPr>
        <w:t xml:space="preserve"> per hectare basis</w:t>
      </w:r>
      <w:r w:rsidR="000121E9" w:rsidRPr="00D52692">
        <w:rPr>
          <w:sz w:val="20"/>
          <w:szCs w:val="20"/>
          <w:lang w:bidi="hi-IN"/>
        </w:rPr>
        <w:t>) compared with secondary forests</w:t>
      </w:r>
      <w:r w:rsidRPr="00D52692">
        <w:rPr>
          <w:sz w:val="20"/>
          <w:szCs w:val="20"/>
          <w:lang w:bidi="hi-IN"/>
        </w:rPr>
        <w:t xml:space="preserve">. </w:t>
      </w:r>
      <w:r w:rsidR="00A56787" w:rsidRPr="00D52692">
        <w:rPr>
          <w:sz w:val="20"/>
          <w:szCs w:val="20"/>
          <w:lang w:bidi="hi-IN"/>
        </w:rPr>
        <w:t xml:space="preserve">As </w:t>
      </w:r>
      <w:r w:rsidR="00683F21" w:rsidRPr="00683F21">
        <w:rPr>
          <w:sz w:val="20"/>
          <w:szCs w:val="20"/>
          <w:lang w:bidi="hi-IN"/>
        </w:rPr>
        <w:t>mentioned,</w:t>
      </w:r>
      <w:r w:rsidR="00A56787" w:rsidRPr="00D52692">
        <w:rPr>
          <w:sz w:val="20"/>
          <w:szCs w:val="20"/>
          <w:lang w:bidi="hi-IN"/>
        </w:rPr>
        <w:t xml:space="preserve"> these figures constitute lo</w:t>
      </w:r>
      <w:r w:rsidR="006646FF" w:rsidRPr="00D52692">
        <w:rPr>
          <w:sz w:val="20"/>
          <w:szCs w:val="20"/>
          <w:lang w:bidi="hi-IN"/>
        </w:rPr>
        <w:t>ss of forest land. The same resource estimates forest</w:t>
      </w:r>
      <w:r w:rsidR="00B84C46" w:rsidRPr="00D52692">
        <w:rPr>
          <w:sz w:val="20"/>
          <w:szCs w:val="20"/>
          <w:lang w:bidi="hi-IN"/>
        </w:rPr>
        <w:t xml:space="preserve"> area</w:t>
      </w:r>
      <w:r w:rsidR="006646FF" w:rsidRPr="00D52692">
        <w:rPr>
          <w:sz w:val="20"/>
          <w:szCs w:val="20"/>
          <w:lang w:bidi="hi-IN"/>
        </w:rPr>
        <w:t xml:space="preserve"> </w:t>
      </w:r>
      <w:r w:rsidR="00D52692" w:rsidRPr="00D52692">
        <w:rPr>
          <w:sz w:val="20"/>
          <w:szCs w:val="20"/>
          <w:lang w:bidi="hi-IN"/>
        </w:rPr>
        <w:t>gains</w:t>
      </w:r>
      <w:r w:rsidR="006646FF" w:rsidRPr="00D52692">
        <w:rPr>
          <w:sz w:val="20"/>
          <w:szCs w:val="20"/>
          <w:lang w:bidi="hi-IN"/>
        </w:rPr>
        <w:t xml:space="preserve"> to be </w:t>
      </w:r>
      <w:r w:rsidR="00E62717" w:rsidRPr="00D52692">
        <w:rPr>
          <w:sz w:val="20"/>
          <w:szCs w:val="20"/>
          <w:lang w:bidi="hi-IN"/>
        </w:rPr>
        <w:t xml:space="preserve">approximately 100 kha between 2000 and 2020. </w:t>
      </w:r>
      <w:r w:rsidR="00C65511" w:rsidRPr="00D52692">
        <w:rPr>
          <w:sz w:val="20"/>
          <w:szCs w:val="20"/>
          <w:lang w:bidi="hi-IN"/>
        </w:rPr>
        <w:t xml:space="preserve">This is roughly equivalent to the </w:t>
      </w:r>
      <w:r w:rsidR="00B84C46" w:rsidRPr="00D52692">
        <w:rPr>
          <w:sz w:val="20"/>
          <w:szCs w:val="20"/>
          <w:lang w:bidi="hi-IN"/>
        </w:rPr>
        <w:t>forest cover lost between 2018 and 2025 and &lt; 10% that of the cumulative area lost between 20</w:t>
      </w:r>
      <w:r w:rsidR="00C00A0A" w:rsidRPr="00D52692">
        <w:rPr>
          <w:sz w:val="20"/>
          <w:szCs w:val="20"/>
          <w:lang w:bidi="hi-IN"/>
        </w:rPr>
        <w:t>00 and 2020.</w:t>
      </w:r>
    </w:p>
    <w:p w14:paraId="07FCE679" w14:textId="77777777" w:rsidR="002C5A8B" w:rsidRPr="00D52692" w:rsidRDefault="002C5A8B" w:rsidP="00702C70">
      <w:pPr>
        <w:rPr>
          <w:sz w:val="20"/>
          <w:szCs w:val="20"/>
          <w:lang w:bidi="hi-IN"/>
        </w:rPr>
      </w:pPr>
    </w:p>
    <w:p w14:paraId="700E1BD5" w14:textId="73634737" w:rsidR="00702C70" w:rsidRPr="00D52692" w:rsidRDefault="00702C70" w:rsidP="00702C70">
      <w:pPr>
        <w:rPr>
          <w:sz w:val="20"/>
          <w:szCs w:val="20"/>
          <w:lang w:bidi="hi-IN"/>
        </w:rPr>
      </w:pPr>
      <w:r w:rsidRPr="00D52692">
        <w:rPr>
          <w:sz w:val="20"/>
          <w:szCs w:val="20"/>
          <w:lang w:bidi="hi-IN"/>
        </w:rPr>
        <w:t>Equally the acceleration of deforestation appears to begin during 2013.</w:t>
      </w:r>
      <w:r w:rsidR="00341E7F" w:rsidRPr="00D52692">
        <w:rPr>
          <w:sz w:val="20"/>
          <w:szCs w:val="20"/>
          <w:lang w:bidi="hi-IN"/>
        </w:rPr>
        <w:t xml:space="preserve"> However, this should be presented with a </w:t>
      </w:r>
      <w:r w:rsidR="00226C1E" w:rsidRPr="00D52692">
        <w:rPr>
          <w:sz w:val="20"/>
          <w:szCs w:val="20"/>
          <w:lang w:bidi="hi-IN"/>
        </w:rPr>
        <w:t xml:space="preserve">strong </w:t>
      </w:r>
      <w:r w:rsidR="00341E7F" w:rsidRPr="00D52692">
        <w:rPr>
          <w:sz w:val="20"/>
          <w:szCs w:val="20"/>
          <w:lang w:bidi="hi-IN"/>
        </w:rPr>
        <w:t>caveat as</w:t>
      </w:r>
      <w:r w:rsidR="00226C1E" w:rsidRPr="00D52692">
        <w:rPr>
          <w:sz w:val="20"/>
          <w:szCs w:val="20"/>
          <w:lang w:bidi="hi-IN"/>
        </w:rPr>
        <w:t xml:space="preserve"> the</w:t>
      </w:r>
      <w:r w:rsidR="00341E7F" w:rsidRPr="00D52692">
        <w:rPr>
          <w:sz w:val="20"/>
          <w:szCs w:val="20"/>
          <w:lang w:bidi="hi-IN"/>
        </w:rPr>
        <w:t xml:space="preserve"> original algorithm used to map tree cover loss from satellite images for 2001-2012 was improved upon in subsequent updates</w:t>
      </w:r>
      <w:r w:rsidR="00226C1E" w:rsidRPr="00D52692">
        <w:rPr>
          <w:sz w:val="20"/>
          <w:szCs w:val="20"/>
          <w:lang w:bidi="hi-IN"/>
        </w:rPr>
        <w:t xml:space="preserve"> made by forest watch</w:t>
      </w:r>
      <w:r w:rsidR="00341E7F" w:rsidRPr="00D52692">
        <w:rPr>
          <w:sz w:val="20"/>
          <w:szCs w:val="20"/>
          <w:lang w:bidi="hi-IN"/>
        </w:rPr>
        <w:t>. These</w:t>
      </w:r>
      <w:r w:rsidR="00255F79" w:rsidRPr="00D52692">
        <w:rPr>
          <w:sz w:val="20"/>
          <w:szCs w:val="20"/>
          <w:lang w:bidi="hi-IN"/>
        </w:rPr>
        <w:t xml:space="preserve"> methodological</w:t>
      </w:r>
      <w:r w:rsidR="00341E7F" w:rsidRPr="00D52692">
        <w:rPr>
          <w:sz w:val="20"/>
          <w:szCs w:val="20"/>
          <w:lang w:bidi="hi-IN"/>
        </w:rPr>
        <w:t xml:space="preserve"> improvements allowed for</w:t>
      </w:r>
      <w:r w:rsidR="00255F79" w:rsidRPr="00D52692">
        <w:rPr>
          <w:sz w:val="20"/>
          <w:szCs w:val="20"/>
          <w:lang w:bidi="hi-IN"/>
        </w:rPr>
        <w:t xml:space="preserve"> improved</w:t>
      </w:r>
      <w:r w:rsidR="00341E7F" w:rsidRPr="00D52692">
        <w:rPr>
          <w:sz w:val="20"/>
          <w:szCs w:val="20"/>
          <w:lang w:bidi="hi-IN"/>
        </w:rPr>
        <w:t xml:space="preserve"> annual updates starting in 2013</w:t>
      </w:r>
      <w:r w:rsidR="00255F79" w:rsidRPr="00D52692">
        <w:rPr>
          <w:sz w:val="20"/>
          <w:szCs w:val="20"/>
          <w:lang w:bidi="hi-IN"/>
        </w:rPr>
        <w:t xml:space="preserve">, consistent with the incorporation of land use data from Landsat 8. </w:t>
      </w:r>
      <w:r w:rsidR="008749F4" w:rsidRPr="00D52692">
        <w:rPr>
          <w:sz w:val="20"/>
          <w:szCs w:val="20"/>
          <w:lang w:bidi="hi-IN"/>
        </w:rPr>
        <w:t xml:space="preserve">Whilst there </w:t>
      </w:r>
      <w:r w:rsidR="008B6922" w:rsidRPr="00D52692">
        <w:rPr>
          <w:sz w:val="20"/>
          <w:szCs w:val="20"/>
          <w:lang w:bidi="hi-IN"/>
        </w:rPr>
        <w:t>have</w:t>
      </w:r>
      <w:r w:rsidR="008749F4" w:rsidRPr="00D52692">
        <w:rPr>
          <w:sz w:val="20"/>
          <w:szCs w:val="20"/>
          <w:lang w:bidi="hi-IN"/>
        </w:rPr>
        <w:t xml:space="preserve"> been minimal methodological and satellite data changes post 2015, so analysis of the recent past (post </w:t>
      </w:r>
      <w:r w:rsidR="009676AF" w:rsidRPr="00D52692">
        <w:rPr>
          <w:sz w:val="20"/>
          <w:szCs w:val="20"/>
          <w:lang w:bidi="hi-IN"/>
        </w:rPr>
        <w:t>2015)</w:t>
      </w:r>
      <w:r w:rsidR="008749F4" w:rsidRPr="00D52692">
        <w:rPr>
          <w:sz w:val="20"/>
          <w:szCs w:val="20"/>
          <w:lang w:bidi="hi-IN"/>
        </w:rPr>
        <w:t xml:space="preserve"> is less</w:t>
      </w:r>
      <w:r w:rsidR="009676AF" w:rsidRPr="00D52692">
        <w:rPr>
          <w:sz w:val="20"/>
          <w:szCs w:val="20"/>
          <w:lang w:bidi="hi-IN"/>
        </w:rPr>
        <w:t xml:space="preserve"> likely</w:t>
      </w:r>
      <w:r w:rsidR="008749F4" w:rsidRPr="00D52692">
        <w:rPr>
          <w:sz w:val="20"/>
          <w:szCs w:val="20"/>
          <w:lang w:bidi="hi-IN"/>
        </w:rPr>
        <w:t xml:space="preserve"> to </w:t>
      </w:r>
      <w:r w:rsidR="009676AF" w:rsidRPr="00D52692">
        <w:rPr>
          <w:sz w:val="20"/>
          <w:szCs w:val="20"/>
          <w:lang w:bidi="hi-IN"/>
        </w:rPr>
        <w:t>reflect</w:t>
      </w:r>
      <w:r w:rsidR="008749F4" w:rsidRPr="00D52692">
        <w:rPr>
          <w:sz w:val="20"/>
          <w:szCs w:val="20"/>
          <w:lang w:bidi="hi-IN"/>
        </w:rPr>
        <w:t xml:space="preserve"> temporal inconsistencies</w:t>
      </w:r>
      <w:r w:rsidR="009676AF" w:rsidRPr="00D52692">
        <w:rPr>
          <w:sz w:val="20"/>
          <w:szCs w:val="20"/>
          <w:lang w:bidi="hi-IN"/>
        </w:rPr>
        <w:t>.</w:t>
      </w:r>
      <w:r w:rsidR="008B6922" w:rsidRPr="00D52692">
        <w:rPr>
          <w:sz w:val="20"/>
          <w:szCs w:val="20"/>
          <w:lang w:bidi="hi-IN"/>
        </w:rPr>
        <w:t xml:space="preserve"> This is considered</w:t>
      </w:r>
      <w:r w:rsidR="00190BB0" w:rsidRPr="00D52692">
        <w:rPr>
          <w:sz w:val="20"/>
          <w:szCs w:val="20"/>
          <w:lang w:bidi="hi-IN"/>
        </w:rPr>
        <w:t xml:space="preserve"> pertinent to Sierra Leone as central Africa is mostly associated with (</w:t>
      </w:r>
      <w:r w:rsidR="00245FE0" w:rsidRPr="00D52692">
        <w:rPr>
          <w:sz w:val="20"/>
          <w:szCs w:val="20"/>
          <w:lang w:bidi="hi-IN"/>
        </w:rPr>
        <w:t xml:space="preserve">on an individual basis) </w:t>
      </w:r>
      <w:proofErr w:type="gramStart"/>
      <w:r w:rsidR="00245FE0" w:rsidRPr="00D52692">
        <w:rPr>
          <w:sz w:val="20"/>
          <w:szCs w:val="20"/>
          <w:lang w:bidi="hi-IN"/>
        </w:rPr>
        <w:t>a large number of</w:t>
      </w:r>
      <w:proofErr w:type="gramEnd"/>
      <w:r w:rsidR="00245FE0" w:rsidRPr="00D52692">
        <w:rPr>
          <w:sz w:val="20"/>
          <w:szCs w:val="20"/>
          <w:lang w:bidi="hi-IN"/>
        </w:rPr>
        <w:t xml:space="preserve"> </w:t>
      </w:r>
      <w:r w:rsidR="00190BB0" w:rsidRPr="00D52692">
        <w:rPr>
          <w:sz w:val="20"/>
          <w:szCs w:val="20"/>
          <w:lang w:bidi="hi-IN"/>
        </w:rPr>
        <w:t>smaller-scale forest clearing</w:t>
      </w:r>
      <w:r w:rsidR="00245FE0" w:rsidRPr="00D52692">
        <w:rPr>
          <w:sz w:val="20"/>
          <w:szCs w:val="20"/>
          <w:lang w:bidi="hi-IN"/>
        </w:rPr>
        <w:t xml:space="preserve"> events, meaning that they are</w:t>
      </w:r>
      <w:r w:rsidR="00190BB0" w:rsidRPr="00D52692">
        <w:rPr>
          <w:sz w:val="20"/>
          <w:szCs w:val="20"/>
          <w:lang w:bidi="hi-IN"/>
        </w:rPr>
        <w:t xml:space="preserve"> were more</w:t>
      </w:r>
      <w:r w:rsidR="00245FE0" w:rsidRPr="00D52692">
        <w:rPr>
          <w:sz w:val="20"/>
          <w:szCs w:val="20"/>
          <w:lang w:bidi="hi-IN"/>
        </w:rPr>
        <w:t xml:space="preserve"> sensitive</w:t>
      </w:r>
      <w:r w:rsidR="00190BB0" w:rsidRPr="00D52692">
        <w:rPr>
          <w:sz w:val="20"/>
          <w:szCs w:val="20"/>
          <w:lang w:bidi="hi-IN"/>
        </w:rPr>
        <w:t xml:space="preserve"> </w:t>
      </w:r>
      <w:r w:rsidR="00245FE0" w:rsidRPr="00D52692">
        <w:rPr>
          <w:sz w:val="20"/>
          <w:szCs w:val="20"/>
          <w:lang w:bidi="hi-IN"/>
        </w:rPr>
        <w:t>to</w:t>
      </w:r>
      <w:r w:rsidR="00190BB0" w:rsidRPr="00D52692">
        <w:rPr>
          <w:sz w:val="20"/>
          <w:szCs w:val="20"/>
          <w:lang w:bidi="hi-IN"/>
        </w:rPr>
        <w:t xml:space="preserve"> improvement</w:t>
      </w:r>
      <w:r w:rsidR="00245FE0" w:rsidRPr="00D52692">
        <w:rPr>
          <w:sz w:val="20"/>
          <w:szCs w:val="20"/>
          <w:lang w:bidi="hi-IN"/>
        </w:rPr>
        <w:t xml:space="preserve"> methodology and data resolution. </w:t>
      </w:r>
      <w:r w:rsidR="009B3128" w:rsidRPr="00D52692">
        <w:rPr>
          <w:sz w:val="20"/>
          <w:szCs w:val="20"/>
          <w:lang w:bidi="hi-IN"/>
        </w:rPr>
        <w:t xml:space="preserve">This issue notwithstanding </w:t>
      </w:r>
      <w:r w:rsidR="00B97335" w:rsidRPr="00D52692">
        <w:rPr>
          <w:sz w:val="20"/>
          <w:szCs w:val="20"/>
          <w:lang w:bidi="hi-IN"/>
        </w:rPr>
        <w:t xml:space="preserve">more recent data </w:t>
      </w:r>
      <w:r w:rsidR="008A296F" w:rsidRPr="00D52692">
        <w:rPr>
          <w:sz w:val="20"/>
          <w:szCs w:val="20"/>
          <w:lang w:bidi="hi-IN"/>
        </w:rPr>
        <w:t>(2021 to 2025) suggests that 100% of tree cover loss occurred within</w:t>
      </w:r>
      <w:r w:rsidR="003D4033" w:rsidRPr="00D52692">
        <w:rPr>
          <w:sz w:val="20"/>
          <w:szCs w:val="20"/>
          <w:lang w:bidi="hi-IN"/>
        </w:rPr>
        <w:t xml:space="preserve"> natural </w:t>
      </w:r>
      <w:r w:rsidR="008A296F" w:rsidRPr="00D52692">
        <w:rPr>
          <w:sz w:val="20"/>
          <w:szCs w:val="20"/>
          <w:lang w:bidi="hi-IN"/>
        </w:rPr>
        <w:t>forest</w:t>
      </w:r>
      <w:r w:rsidR="0015346C" w:rsidRPr="00D52692">
        <w:rPr>
          <w:sz w:val="20"/>
          <w:szCs w:val="20"/>
          <w:lang w:bidi="hi-IN"/>
        </w:rPr>
        <w:t xml:space="preserve"> areas</w:t>
      </w:r>
      <w:r w:rsidR="000851BC" w:rsidRPr="00D52692">
        <w:rPr>
          <w:sz w:val="20"/>
          <w:szCs w:val="20"/>
          <w:lang w:bidi="hi-IN"/>
        </w:rPr>
        <w:t>. Accountability Framework Initiative (</w:t>
      </w:r>
      <w:proofErr w:type="spellStart"/>
      <w:r w:rsidR="000851BC" w:rsidRPr="00D52692">
        <w:rPr>
          <w:sz w:val="20"/>
          <w:szCs w:val="20"/>
          <w:lang w:bidi="hi-IN"/>
        </w:rPr>
        <w:t>AFi</w:t>
      </w:r>
      <w:proofErr w:type="spellEnd"/>
      <w:r w:rsidR="000851BC" w:rsidRPr="00D52692">
        <w:rPr>
          <w:sz w:val="20"/>
          <w:szCs w:val="20"/>
          <w:lang w:bidi="hi-IN"/>
        </w:rPr>
        <w:t>) define</w:t>
      </w:r>
      <w:r w:rsidR="00F82E16">
        <w:rPr>
          <w:sz w:val="20"/>
          <w:szCs w:val="20"/>
          <w:lang w:bidi="hi-IN"/>
        </w:rPr>
        <w:t>s</w:t>
      </w:r>
      <w:r w:rsidR="000851BC" w:rsidRPr="00D52692">
        <w:rPr>
          <w:sz w:val="20"/>
          <w:szCs w:val="20"/>
          <w:lang w:bidi="hi-IN"/>
        </w:rPr>
        <w:t xml:space="preserve"> a natural forest as </w:t>
      </w:r>
      <w:r w:rsidR="00AA551A" w:rsidRPr="00D52692">
        <w:rPr>
          <w:sz w:val="20"/>
          <w:szCs w:val="20"/>
          <w:lang w:bidi="hi-IN"/>
        </w:rPr>
        <w:t>‘one that resembles – in terms of species composition, structure, and ecological function – what would be found in a given area absent major human impacts’</w:t>
      </w:r>
      <w:r w:rsidR="00777816" w:rsidRPr="00D52692">
        <w:rPr>
          <w:sz w:val="20"/>
          <w:szCs w:val="20"/>
          <w:lang w:bidi="hi-IN"/>
        </w:rPr>
        <w:t xml:space="preserve">, i.e. </w:t>
      </w:r>
      <w:r w:rsidR="00E441DA" w:rsidRPr="00D52692">
        <w:rPr>
          <w:sz w:val="20"/>
          <w:szCs w:val="20"/>
          <w:lang w:bidi="hi-IN"/>
        </w:rPr>
        <w:t xml:space="preserve">is likely to preclude tree crops, plantations, smaller patches of trees </w:t>
      </w:r>
      <w:r w:rsidR="00B3156B" w:rsidRPr="00D52692">
        <w:rPr>
          <w:sz w:val="20"/>
          <w:szCs w:val="20"/>
          <w:lang w:bidi="hi-IN"/>
        </w:rPr>
        <w:t>&lt;</w:t>
      </w:r>
      <w:r w:rsidR="00E441DA" w:rsidRPr="00D52692">
        <w:rPr>
          <w:sz w:val="20"/>
          <w:szCs w:val="20"/>
          <w:lang w:bidi="hi-IN"/>
        </w:rPr>
        <w:t xml:space="preserve"> 0.5 hectares, or trees </w:t>
      </w:r>
      <w:r w:rsidR="00B3156B" w:rsidRPr="00D52692">
        <w:rPr>
          <w:sz w:val="20"/>
          <w:szCs w:val="20"/>
          <w:lang w:bidi="hi-IN"/>
        </w:rPr>
        <w:t>planted in areas</w:t>
      </w:r>
      <w:r w:rsidR="00E441DA" w:rsidRPr="00D52692">
        <w:rPr>
          <w:sz w:val="20"/>
          <w:szCs w:val="20"/>
          <w:lang w:bidi="hi-IN"/>
        </w:rPr>
        <w:t xml:space="preserve"> predominantly under agricultural or urban land use</w:t>
      </w:r>
      <w:r w:rsidR="00706F11" w:rsidRPr="00D52692">
        <w:rPr>
          <w:sz w:val="20"/>
          <w:szCs w:val="20"/>
          <w:lang w:bidi="hi-IN"/>
        </w:rPr>
        <w:t xml:space="preserve">. </w:t>
      </w:r>
      <w:r w:rsidR="00244D99" w:rsidRPr="00D52692">
        <w:rPr>
          <w:sz w:val="20"/>
          <w:szCs w:val="20"/>
          <w:lang w:bidi="hi-IN"/>
        </w:rPr>
        <w:t>Therefore,</w:t>
      </w:r>
      <w:r w:rsidR="00706F11" w:rsidRPr="00D52692">
        <w:rPr>
          <w:sz w:val="20"/>
          <w:szCs w:val="20"/>
          <w:lang w:bidi="hi-IN"/>
        </w:rPr>
        <w:t xml:space="preserve"> it may be the case that </w:t>
      </w:r>
      <w:r w:rsidR="00F566FD" w:rsidRPr="00D52692">
        <w:rPr>
          <w:sz w:val="20"/>
          <w:szCs w:val="20"/>
          <w:lang w:bidi="hi-IN"/>
        </w:rPr>
        <w:t>much</w:t>
      </w:r>
      <w:r w:rsidR="00706F11" w:rsidRPr="00D52692">
        <w:rPr>
          <w:sz w:val="20"/>
          <w:szCs w:val="20"/>
          <w:lang w:bidi="hi-IN"/>
        </w:rPr>
        <w:t xml:space="preserve"> of </w:t>
      </w:r>
      <w:r w:rsidR="00244D99" w:rsidRPr="00D52692">
        <w:rPr>
          <w:sz w:val="20"/>
          <w:szCs w:val="20"/>
          <w:lang w:bidi="hi-IN"/>
        </w:rPr>
        <w:t xml:space="preserve">the </w:t>
      </w:r>
      <w:r w:rsidR="00706F11" w:rsidRPr="00D52692">
        <w:rPr>
          <w:sz w:val="20"/>
          <w:szCs w:val="20"/>
          <w:lang w:bidi="hi-IN"/>
        </w:rPr>
        <w:t xml:space="preserve">recent </w:t>
      </w:r>
      <w:r w:rsidR="00F566FD" w:rsidRPr="00D52692">
        <w:rPr>
          <w:sz w:val="20"/>
          <w:szCs w:val="20"/>
          <w:lang w:bidi="hi-IN"/>
        </w:rPr>
        <w:t xml:space="preserve">losses (again excluding replanting) occur within </w:t>
      </w:r>
      <w:r w:rsidR="00CF0EC0" w:rsidRPr="00D52692">
        <w:rPr>
          <w:sz w:val="20"/>
          <w:szCs w:val="20"/>
          <w:lang w:bidi="hi-IN"/>
        </w:rPr>
        <w:t>or app</w:t>
      </w:r>
      <w:r w:rsidR="00367587" w:rsidRPr="00D52692">
        <w:rPr>
          <w:sz w:val="20"/>
          <w:szCs w:val="20"/>
          <w:lang w:bidi="hi-IN"/>
        </w:rPr>
        <w:t xml:space="preserve">roximate to </w:t>
      </w:r>
      <w:r w:rsidR="00F566FD" w:rsidRPr="00D52692">
        <w:rPr>
          <w:sz w:val="20"/>
          <w:szCs w:val="20"/>
          <w:lang w:bidi="hi-IN"/>
        </w:rPr>
        <w:t>agroforestry systems.</w:t>
      </w:r>
      <w:r w:rsidR="00244D99" w:rsidRPr="00D52692">
        <w:rPr>
          <w:sz w:val="20"/>
          <w:szCs w:val="20"/>
          <w:lang w:bidi="hi-IN"/>
        </w:rPr>
        <w:t xml:space="preserve"> In which case this</w:t>
      </w:r>
      <w:r w:rsidR="005610B7" w:rsidRPr="00D52692">
        <w:rPr>
          <w:sz w:val="20"/>
          <w:szCs w:val="20"/>
          <w:lang w:bidi="hi-IN"/>
        </w:rPr>
        <w:t xml:space="preserve"> land will benefit from some form of renewal.</w:t>
      </w:r>
    </w:p>
    <w:p w14:paraId="099F739D" w14:textId="77777777" w:rsidR="004E6C2B" w:rsidRPr="00D52692" w:rsidRDefault="004E6C2B" w:rsidP="00356E56">
      <w:pPr>
        <w:rPr>
          <w:sz w:val="20"/>
          <w:szCs w:val="20"/>
          <w:lang w:bidi="hi-IN"/>
        </w:rPr>
      </w:pPr>
    </w:p>
    <w:p w14:paraId="5FCDDF27" w14:textId="29E6BE95" w:rsidR="004E6C2B" w:rsidRPr="00D52692" w:rsidRDefault="003108A4" w:rsidP="004E6C2B">
      <w:pPr>
        <w:rPr>
          <w:sz w:val="20"/>
          <w:szCs w:val="20"/>
          <w:lang w:bidi="hi-IN"/>
        </w:rPr>
      </w:pPr>
      <w:r w:rsidRPr="00D52692">
        <w:rPr>
          <w:sz w:val="20"/>
          <w:szCs w:val="20"/>
          <w:lang w:bidi="hi-IN"/>
        </w:rPr>
        <w:t>The</w:t>
      </w:r>
      <w:r w:rsidR="00B663B3" w:rsidRPr="00D52692">
        <w:rPr>
          <w:sz w:val="20"/>
          <w:szCs w:val="20"/>
          <w:lang w:bidi="hi-IN"/>
        </w:rPr>
        <w:t xml:space="preserve"> </w:t>
      </w:r>
      <w:r w:rsidRPr="00D52692">
        <w:rPr>
          <w:sz w:val="20"/>
          <w:szCs w:val="20"/>
          <w:lang w:bidi="hi-IN"/>
        </w:rPr>
        <w:t>tree cover loss</w:t>
      </w:r>
      <w:r w:rsidR="00B663B3" w:rsidRPr="00D52692">
        <w:rPr>
          <w:sz w:val="20"/>
          <w:szCs w:val="20"/>
          <w:lang w:bidi="hi-IN"/>
        </w:rPr>
        <w:t xml:space="preserve"> presented above, based on the original method </w:t>
      </w:r>
      <w:r w:rsidRPr="00D52692">
        <w:rPr>
          <w:sz w:val="20"/>
          <w:szCs w:val="20"/>
          <w:lang w:bidi="hi-IN"/>
        </w:rPr>
        <w:t>from </w:t>
      </w:r>
      <w:hyperlink r:id="rId41" w:history="1">
        <w:r w:rsidRPr="00D52692">
          <w:rPr>
            <w:rStyle w:val="Hyperlink"/>
            <w:i w:val="0"/>
            <w:color w:val="auto"/>
            <w:szCs w:val="20"/>
            <w:lang w:bidi="hi-IN"/>
          </w:rPr>
          <w:t xml:space="preserve">Hansen et al. </w:t>
        </w:r>
        <w:r w:rsidR="00B663B3" w:rsidRPr="00D52692">
          <w:rPr>
            <w:rStyle w:val="Hyperlink"/>
            <w:i w:val="0"/>
            <w:color w:val="auto"/>
            <w:szCs w:val="20"/>
            <w:lang w:bidi="hi-IN"/>
          </w:rPr>
          <w:t>(</w:t>
        </w:r>
        <w:r w:rsidRPr="00D52692">
          <w:rPr>
            <w:rStyle w:val="Hyperlink"/>
            <w:i w:val="0"/>
            <w:color w:val="auto"/>
            <w:szCs w:val="20"/>
            <w:lang w:bidi="hi-IN"/>
          </w:rPr>
          <w:t>2013</w:t>
        </w:r>
      </w:hyperlink>
      <w:r w:rsidR="00B663B3" w:rsidRPr="00D52692">
        <w:rPr>
          <w:sz w:val="20"/>
          <w:szCs w:val="20"/>
          <w:lang w:bidi="hi-IN"/>
        </w:rPr>
        <w:t>)</w:t>
      </w:r>
      <w:r w:rsidRPr="00D52692">
        <w:rPr>
          <w:sz w:val="20"/>
          <w:szCs w:val="20"/>
          <w:lang w:bidi="hi-IN"/>
        </w:rPr>
        <w:t> attributed to each driver, based on the </w:t>
      </w:r>
      <w:hyperlink r:id="rId42" w:history="1">
        <w:r w:rsidRPr="00D52692">
          <w:rPr>
            <w:rStyle w:val="Hyperlink"/>
            <w:color w:val="auto"/>
            <w:szCs w:val="20"/>
            <w:lang w:bidi="hi-IN"/>
          </w:rPr>
          <w:t>WRI/Google DeepMind drivers of tree cover loss data</w:t>
        </w:r>
      </w:hyperlink>
      <w:r w:rsidR="00B663B3" w:rsidRPr="00D52692">
        <w:rPr>
          <w:sz w:val="20"/>
          <w:szCs w:val="20"/>
          <w:lang w:bidi="hi-IN"/>
        </w:rPr>
        <w:t xml:space="preserve"> </w:t>
      </w:r>
      <w:r w:rsidR="00B663B3" w:rsidRPr="00D52692">
        <w:rPr>
          <w:sz w:val="20"/>
          <w:szCs w:val="20"/>
          <w:lang w:bidi="hi-IN"/>
        </w:rPr>
        <w:lastRenderedPageBreak/>
        <w:t>as described in Sims et al. (20</w:t>
      </w:r>
      <w:r w:rsidR="004651C7" w:rsidRPr="00D52692">
        <w:rPr>
          <w:sz w:val="20"/>
          <w:szCs w:val="20"/>
          <w:lang w:bidi="hi-IN"/>
        </w:rPr>
        <w:t>2</w:t>
      </w:r>
      <w:r w:rsidR="00B663B3" w:rsidRPr="00D52692">
        <w:rPr>
          <w:sz w:val="20"/>
          <w:szCs w:val="20"/>
          <w:lang w:bidi="hi-IN"/>
        </w:rPr>
        <w:t>5)</w:t>
      </w:r>
      <w:r w:rsidRPr="00D52692">
        <w:rPr>
          <w:sz w:val="20"/>
          <w:szCs w:val="20"/>
          <w:lang w:bidi="hi-IN"/>
        </w:rPr>
        <w:t>.</w:t>
      </w:r>
      <w:r w:rsidR="009E08F1" w:rsidRPr="00D52692">
        <w:rPr>
          <w:sz w:val="20"/>
          <w:szCs w:val="20"/>
          <w:lang w:bidi="hi-IN"/>
        </w:rPr>
        <w:t xml:space="preserve"> The data were developed using a global neural network model (</w:t>
      </w:r>
      <w:proofErr w:type="spellStart"/>
      <w:r w:rsidR="009E08F1" w:rsidRPr="00D52692">
        <w:rPr>
          <w:sz w:val="20"/>
          <w:szCs w:val="20"/>
          <w:lang w:bidi="hi-IN"/>
        </w:rPr>
        <w:t>ResNet</w:t>
      </w:r>
      <w:proofErr w:type="spellEnd"/>
      <w:r w:rsidR="009E08F1" w:rsidRPr="00D52692">
        <w:rPr>
          <w:sz w:val="20"/>
          <w:szCs w:val="20"/>
          <w:lang w:bidi="hi-IN"/>
        </w:rPr>
        <w:t>) trained on a set of 6,955 samples collected through visual interpretation of very high-resolution satellite imagery.</w:t>
      </w:r>
      <w:r w:rsidR="008840F1" w:rsidRPr="00D52692">
        <w:rPr>
          <w:sz w:val="20"/>
          <w:szCs w:val="20"/>
          <w:lang w:bidi="hi-IN"/>
        </w:rPr>
        <w:t xml:space="preserve"> </w:t>
      </w:r>
      <w:r w:rsidR="00AA56C6" w:rsidRPr="00D52692">
        <w:rPr>
          <w:sz w:val="20"/>
          <w:szCs w:val="20"/>
          <w:lang w:bidi="hi-IN"/>
        </w:rPr>
        <w:t>This study d</w:t>
      </w:r>
      <w:r w:rsidR="00AD74C7" w:rsidRPr="00D52692">
        <w:rPr>
          <w:sz w:val="20"/>
          <w:szCs w:val="20"/>
          <w:lang w:bidi="hi-IN"/>
        </w:rPr>
        <w:t>istinguish</w:t>
      </w:r>
      <w:r w:rsidR="00AA56C6" w:rsidRPr="00D52692">
        <w:rPr>
          <w:sz w:val="20"/>
          <w:szCs w:val="20"/>
          <w:lang w:bidi="hi-IN"/>
        </w:rPr>
        <w:t>ed</w:t>
      </w:r>
      <w:r w:rsidR="00AD74C7" w:rsidRPr="00D52692">
        <w:rPr>
          <w:sz w:val="20"/>
          <w:szCs w:val="20"/>
          <w:lang w:bidi="hi-IN"/>
        </w:rPr>
        <w:t xml:space="preserve"> drivers</w:t>
      </w:r>
      <w:r w:rsidR="00AA56C6" w:rsidRPr="00D52692">
        <w:rPr>
          <w:sz w:val="20"/>
          <w:szCs w:val="20"/>
          <w:lang w:bidi="hi-IN"/>
        </w:rPr>
        <w:t xml:space="preserve"> that</w:t>
      </w:r>
      <w:r w:rsidR="0060135A" w:rsidRPr="00D52692">
        <w:rPr>
          <w:sz w:val="20"/>
          <w:szCs w:val="20"/>
          <w:lang w:bidi="hi-IN"/>
        </w:rPr>
        <w:t xml:space="preserve"> are</w:t>
      </w:r>
      <w:r w:rsidR="00AD74C7" w:rsidRPr="00D52692">
        <w:rPr>
          <w:sz w:val="20"/>
          <w:szCs w:val="20"/>
          <w:lang w:bidi="hi-IN"/>
        </w:rPr>
        <w:t xml:space="preserve"> considered to b</w:t>
      </w:r>
      <w:r w:rsidR="0060135A" w:rsidRPr="00D52692">
        <w:rPr>
          <w:sz w:val="20"/>
          <w:szCs w:val="20"/>
          <w:lang w:bidi="hi-IN"/>
        </w:rPr>
        <w:t>e</w:t>
      </w:r>
      <w:r w:rsidR="001213A3" w:rsidRPr="00D52692">
        <w:rPr>
          <w:sz w:val="20"/>
          <w:szCs w:val="20"/>
          <w:lang w:bidi="hi-IN"/>
        </w:rPr>
        <w:t xml:space="preserve"> those associ</w:t>
      </w:r>
      <w:r w:rsidR="0060135A" w:rsidRPr="00D52692">
        <w:rPr>
          <w:sz w:val="20"/>
          <w:szCs w:val="20"/>
          <w:lang w:bidi="hi-IN"/>
        </w:rPr>
        <w:t xml:space="preserve">ated </w:t>
      </w:r>
      <w:r w:rsidR="00AA56C6" w:rsidRPr="00D52692">
        <w:rPr>
          <w:sz w:val="20"/>
          <w:szCs w:val="20"/>
          <w:lang w:bidi="hi-IN"/>
        </w:rPr>
        <w:t>with longer term trends</w:t>
      </w:r>
      <w:r w:rsidR="002565B8" w:rsidRPr="00D52692">
        <w:rPr>
          <w:sz w:val="20"/>
          <w:szCs w:val="20"/>
          <w:lang w:bidi="hi-IN"/>
        </w:rPr>
        <w:t xml:space="preserve"> </w:t>
      </w:r>
      <w:r w:rsidR="00AA56C6" w:rsidRPr="00D52692">
        <w:rPr>
          <w:sz w:val="20"/>
          <w:szCs w:val="20"/>
          <w:lang w:bidi="hi-IN"/>
        </w:rPr>
        <w:t>such as</w:t>
      </w:r>
      <w:r w:rsidR="002565B8" w:rsidRPr="00D52692">
        <w:rPr>
          <w:sz w:val="20"/>
          <w:szCs w:val="20"/>
          <w:lang w:bidi="hi-IN"/>
        </w:rPr>
        <w:t xml:space="preserve"> (permanent) agriculture (i.e. long-term, permanent tree cover loss for small- to large-scale agriculture) </w:t>
      </w:r>
      <w:r w:rsidR="008840F1" w:rsidRPr="00D52692">
        <w:rPr>
          <w:sz w:val="20"/>
          <w:szCs w:val="20"/>
          <w:lang w:bidi="hi-IN"/>
        </w:rPr>
        <w:t xml:space="preserve">as well those considered to be </w:t>
      </w:r>
      <w:r w:rsidR="000B234D" w:rsidRPr="00D52692">
        <w:rPr>
          <w:sz w:val="20"/>
          <w:szCs w:val="20"/>
          <w:lang w:bidi="hi-IN"/>
        </w:rPr>
        <w:t xml:space="preserve">more transient such as </w:t>
      </w:r>
      <w:r w:rsidR="00055F91" w:rsidRPr="00D52692">
        <w:rPr>
          <w:sz w:val="20"/>
          <w:szCs w:val="20"/>
          <w:lang w:bidi="hi-IN"/>
        </w:rPr>
        <w:t>“</w:t>
      </w:r>
      <w:r w:rsidR="000B234D" w:rsidRPr="00D52692">
        <w:rPr>
          <w:sz w:val="20"/>
          <w:szCs w:val="20"/>
          <w:lang w:bidi="hi-IN"/>
        </w:rPr>
        <w:t>shifting cultivation</w:t>
      </w:r>
      <w:r w:rsidR="00055F91" w:rsidRPr="00D52692">
        <w:rPr>
          <w:sz w:val="20"/>
          <w:szCs w:val="20"/>
          <w:lang w:bidi="hi-IN"/>
        </w:rPr>
        <w:t>”, considered</w:t>
      </w:r>
      <w:r w:rsidR="001C6940" w:rsidRPr="00D52692">
        <w:rPr>
          <w:sz w:val="20"/>
          <w:szCs w:val="20"/>
          <w:lang w:bidi="hi-IN"/>
        </w:rPr>
        <w:t xml:space="preserve"> to be a</w:t>
      </w:r>
      <w:r w:rsidR="00055F91" w:rsidRPr="00D52692">
        <w:rPr>
          <w:sz w:val="20"/>
          <w:szCs w:val="20"/>
          <w:lang w:bidi="hi-IN"/>
        </w:rPr>
        <w:t xml:space="preserve"> loss of cover loss due to small- to medium-scale clearing for temporary cultivation </w:t>
      </w:r>
      <w:r w:rsidR="004651C7" w:rsidRPr="00D52692">
        <w:rPr>
          <w:sz w:val="20"/>
          <w:szCs w:val="20"/>
          <w:lang w:bidi="hi-IN"/>
        </w:rPr>
        <w:t>that be later</w:t>
      </w:r>
      <w:r w:rsidR="00055F91" w:rsidRPr="00D52692">
        <w:rPr>
          <w:sz w:val="20"/>
          <w:szCs w:val="20"/>
          <w:lang w:bidi="hi-IN"/>
        </w:rPr>
        <w:t xml:space="preserve"> abandoned and followed by subsequent regrowth of secondary forest or vegetation.</w:t>
      </w:r>
      <w:r w:rsidR="004651C7" w:rsidRPr="00D52692">
        <w:rPr>
          <w:sz w:val="20"/>
          <w:szCs w:val="20"/>
          <w:lang w:bidi="hi-IN"/>
        </w:rPr>
        <w:t xml:space="preserve"> When available</w:t>
      </w:r>
      <w:r w:rsidR="000C4E48" w:rsidRPr="00D52692">
        <w:rPr>
          <w:sz w:val="20"/>
          <w:szCs w:val="20"/>
          <w:lang w:bidi="hi-IN"/>
        </w:rPr>
        <w:t xml:space="preserve"> cumulative</w:t>
      </w:r>
      <w:r w:rsidR="004651C7" w:rsidRPr="00D52692">
        <w:rPr>
          <w:sz w:val="20"/>
          <w:szCs w:val="20"/>
          <w:lang w:bidi="hi-IN"/>
        </w:rPr>
        <w:t xml:space="preserve"> data for Sierra Leone</w:t>
      </w:r>
      <w:r w:rsidR="00B0376F" w:rsidRPr="00D52692">
        <w:rPr>
          <w:sz w:val="20"/>
          <w:szCs w:val="20"/>
          <w:lang w:bidi="hi-IN"/>
        </w:rPr>
        <w:t xml:space="preserve"> (again, &gt;30% tree canopy | excluding tree cover gain)</w:t>
      </w:r>
      <w:r w:rsidR="004651C7" w:rsidRPr="00D52692">
        <w:rPr>
          <w:sz w:val="20"/>
          <w:szCs w:val="20"/>
          <w:lang w:bidi="hi-IN"/>
        </w:rPr>
        <w:t xml:space="preserve"> is aggregated from </w:t>
      </w:r>
      <w:r w:rsidR="000E260F" w:rsidRPr="00D52692">
        <w:rPr>
          <w:sz w:val="20"/>
          <w:szCs w:val="20"/>
          <w:lang w:bidi="hi-IN"/>
        </w:rPr>
        <w:t xml:space="preserve">2001 to 2025 we see that agriculture </w:t>
      </w:r>
      <w:r w:rsidR="000C4E48" w:rsidRPr="00D52692">
        <w:rPr>
          <w:sz w:val="20"/>
          <w:szCs w:val="20"/>
          <w:lang w:bidi="hi-IN"/>
        </w:rPr>
        <w:t>remains the main driver of permanent tree cover loss</w:t>
      </w:r>
      <w:r w:rsidR="00B5064E" w:rsidRPr="00D52692">
        <w:rPr>
          <w:sz w:val="20"/>
          <w:szCs w:val="20"/>
          <w:lang w:bidi="hi-IN"/>
        </w:rPr>
        <w:t xml:space="preserve">, whilst </w:t>
      </w:r>
      <w:r w:rsidR="00E3792E" w:rsidRPr="00D52692">
        <w:rPr>
          <w:sz w:val="20"/>
          <w:szCs w:val="20"/>
          <w:lang w:bidi="hi-IN"/>
        </w:rPr>
        <w:t xml:space="preserve">‘shifting cultivation’ is </w:t>
      </w:r>
      <w:r w:rsidR="00B11B6A" w:rsidRPr="00D52692">
        <w:rPr>
          <w:sz w:val="20"/>
          <w:szCs w:val="20"/>
          <w:lang w:bidi="hi-IN"/>
        </w:rPr>
        <w:t xml:space="preserve">the </w:t>
      </w:r>
      <w:r w:rsidR="00E3792E" w:rsidRPr="00D52692">
        <w:rPr>
          <w:sz w:val="20"/>
          <w:szCs w:val="20"/>
          <w:lang w:bidi="hi-IN"/>
        </w:rPr>
        <w:t>main cause of ‘temporar</w:t>
      </w:r>
      <w:r w:rsidR="00B11B6A" w:rsidRPr="00D52692">
        <w:rPr>
          <w:sz w:val="20"/>
          <w:szCs w:val="20"/>
          <w:lang w:bidi="hi-IN"/>
        </w:rPr>
        <w:t>y’ forest loss.</w:t>
      </w:r>
    </w:p>
    <w:p w14:paraId="0EA0FE28" w14:textId="77777777" w:rsidR="004E6C2B" w:rsidRDefault="004E6C2B" w:rsidP="00356E56">
      <w:pPr>
        <w:rPr>
          <w:lang w:bidi="hi-IN"/>
        </w:rPr>
      </w:pPr>
    </w:p>
    <w:p w14:paraId="2D427061" w14:textId="77777777" w:rsidR="00BB078C" w:rsidRDefault="00BB078C" w:rsidP="00356E56">
      <w:pPr>
        <w:rPr>
          <w:lang w:bidi="hi-IN"/>
        </w:rPr>
      </w:pPr>
    </w:p>
    <w:p w14:paraId="6707E929" w14:textId="41F3DB23" w:rsidR="006C1C4E" w:rsidRDefault="006C1C4E" w:rsidP="00D52692">
      <w:pPr>
        <w:pStyle w:val="Caption"/>
        <w:keepNext/>
      </w:pPr>
      <w:r>
        <w:t xml:space="preserve">Table </w:t>
      </w:r>
      <w:fldSimple w:instr=" STYLEREF 1 \s ">
        <w:r>
          <w:rPr>
            <w:noProof/>
          </w:rPr>
          <w:t>5</w:t>
        </w:r>
      </w:fldSimple>
      <w:r>
        <w:noBreakHyphen/>
      </w:r>
      <w:fldSimple w:instr=" SEQ Table \* ARABIC \s 1 ">
        <w:r>
          <w:rPr>
            <w:noProof/>
          </w:rPr>
          <w:t>11</w:t>
        </w:r>
      </w:fldSimple>
      <w:r>
        <w:t>: Absolute and relative drivers of defore</w:t>
      </w:r>
      <w:r w:rsidR="004C1727">
        <w:t>station for</w:t>
      </w:r>
      <w:r w:rsidR="009B4F46">
        <w:t xml:space="preserve"> cumulative</w:t>
      </w:r>
      <w:r w:rsidR="004C1727">
        <w:t xml:space="preserve"> </w:t>
      </w:r>
      <w:r w:rsidR="009B4F46">
        <w:t>(</w:t>
      </w:r>
      <w:r w:rsidR="004C1727">
        <w:t>total and primary</w:t>
      </w:r>
      <w:r w:rsidR="009B4F46">
        <w:t>)</w:t>
      </w:r>
      <w:r w:rsidR="004C1727">
        <w:t xml:space="preserve"> forest loss cover (01-</w:t>
      </w:r>
      <w:r w:rsidR="00EF2C55">
        <w:t>25). Taken from</w:t>
      </w:r>
      <w:r w:rsidR="00025FB0">
        <w:t xml:space="preserve"> Global</w:t>
      </w:r>
      <w:r w:rsidR="00EF2C55">
        <w:t xml:space="preserve"> forest watch </w:t>
      </w:r>
      <w:r w:rsidR="006554FC">
        <w:t xml:space="preserve">following the method </w:t>
      </w:r>
      <w:r w:rsidR="009B4F46">
        <w:t>published</w:t>
      </w:r>
      <w:r w:rsidR="006554FC">
        <w:t xml:space="preserve"> in</w:t>
      </w:r>
      <w:r w:rsidR="00BC70B5">
        <w:t xml:space="preserve"> Sims et al. (2025)</w:t>
      </w:r>
      <w:r w:rsidR="00BC70B5" w:rsidRPr="003108A4">
        <w:t>.</w:t>
      </w:r>
    </w:p>
    <w:tbl>
      <w:tblPr>
        <w:tblStyle w:val="TableGrid"/>
        <w:tblW w:w="7933" w:type="dxa"/>
        <w:tblLook w:val="04A0" w:firstRow="1" w:lastRow="0" w:firstColumn="1" w:lastColumn="0" w:noHBand="0" w:noVBand="1"/>
      </w:tblPr>
      <w:tblGrid>
        <w:gridCol w:w="2509"/>
        <w:gridCol w:w="1236"/>
        <w:gridCol w:w="1476"/>
        <w:gridCol w:w="1236"/>
        <w:gridCol w:w="1476"/>
      </w:tblGrid>
      <w:tr w:rsidR="004D05EF" w:rsidRPr="004D05EF" w14:paraId="367CD96B" w14:textId="77777777" w:rsidTr="00D52692">
        <w:trPr>
          <w:cnfStyle w:val="100000000000" w:firstRow="1" w:lastRow="0" w:firstColumn="0" w:lastColumn="0" w:oddVBand="0" w:evenVBand="0" w:oddHBand="0" w:evenHBand="0" w:firstRowFirstColumn="0" w:firstRowLastColumn="0" w:lastRowFirstColumn="0" w:lastRowLastColumn="0"/>
          <w:trHeight w:val="290"/>
        </w:trPr>
        <w:tc>
          <w:tcPr>
            <w:tcW w:w="2509" w:type="dxa"/>
            <w:noWrap/>
            <w:hideMark/>
          </w:tcPr>
          <w:p w14:paraId="054FF957" w14:textId="77777777" w:rsidR="004D05EF" w:rsidRPr="004D05EF" w:rsidRDefault="004D05EF" w:rsidP="004D05EF">
            <w:pPr>
              <w:contextualSpacing w:val="0"/>
              <w:jc w:val="left"/>
              <w:rPr>
                <w:rFonts w:ascii="Times New Roman" w:eastAsia="Times New Roman" w:hAnsi="Times New Roman" w:cs="Times New Roman"/>
                <w:sz w:val="20"/>
                <w:szCs w:val="24"/>
                <w:lang w:val="en-GB" w:eastAsia="en-GB"/>
              </w:rPr>
            </w:pPr>
          </w:p>
        </w:tc>
        <w:tc>
          <w:tcPr>
            <w:tcW w:w="2712" w:type="dxa"/>
            <w:gridSpan w:val="2"/>
            <w:noWrap/>
            <w:hideMark/>
          </w:tcPr>
          <w:p w14:paraId="681D2664" w14:textId="77777777" w:rsidR="004D05EF" w:rsidRPr="00D52692" w:rsidRDefault="004D05EF" w:rsidP="004D05EF">
            <w:pPr>
              <w:contextualSpacing w:val="0"/>
              <w:jc w:val="center"/>
              <w:rPr>
                <w:rFonts w:ascii="Aptos Narrow" w:eastAsia="Times New Roman" w:hAnsi="Aptos Narrow" w:cs="Times New Roman"/>
                <w:sz w:val="22"/>
                <w:lang w:val="en-GB" w:eastAsia="en-GB"/>
              </w:rPr>
            </w:pPr>
            <w:r w:rsidRPr="00D52692">
              <w:rPr>
                <w:rFonts w:ascii="Aptos Narrow" w:eastAsia="Times New Roman" w:hAnsi="Aptos Narrow" w:cs="Times New Roman"/>
                <w:color w:val="auto"/>
                <w:sz w:val="22"/>
                <w:lang w:val="en-GB" w:eastAsia="en-GB"/>
              </w:rPr>
              <w:t>hectares</w:t>
            </w:r>
          </w:p>
        </w:tc>
        <w:tc>
          <w:tcPr>
            <w:tcW w:w="2712" w:type="dxa"/>
            <w:gridSpan w:val="2"/>
            <w:noWrap/>
            <w:hideMark/>
          </w:tcPr>
          <w:p w14:paraId="4156B57A" w14:textId="77777777" w:rsidR="004D05EF" w:rsidRPr="00D52692" w:rsidRDefault="004D05EF" w:rsidP="004D05EF">
            <w:pPr>
              <w:contextualSpacing w:val="0"/>
              <w:jc w:val="center"/>
              <w:rPr>
                <w:rFonts w:ascii="Aptos Narrow" w:eastAsia="Times New Roman" w:hAnsi="Aptos Narrow" w:cs="Times New Roman"/>
                <w:sz w:val="22"/>
                <w:lang w:val="en-GB" w:eastAsia="en-GB"/>
              </w:rPr>
            </w:pPr>
            <w:r w:rsidRPr="00D52692">
              <w:rPr>
                <w:rFonts w:ascii="Aptos Narrow" w:eastAsia="Times New Roman" w:hAnsi="Aptos Narrow" w:cs="Times New Roman"/>
                <w:color w:val="auto"/>
                <w:sz w:val="22"/>
                <w:lang w:val="en-GB" w:eastAsia="en-GB"/>
              </w:rPr>
              <w:t>%</w:t>
            </w:r>
          </w:p>
        </w:tc>
      </w:tr>
      <w:tr w:rsidR="004D05EF" w:rsidRPr="004D05EF" w14:paraId="29AC031E" w14:textId="77777777" w:rsidTr="00D52692">
        <w:trPr>
          <w:trHeight w:val="290"/>
        </w:trPr>
        <w:tc>
          <w:tcPr>
            <w:tcW w:w="2509" w:type="dxa"/>
            <w:noWrap/>
            <w:hideMark/>
          </w:tcPr>
          <w:p w14:paraId="6EADBE60" w14:textId="77777777" w:rsidR="004D05EF" w:rsidRPr="004D05EF" w:rsidRDefault="004D05EF" w:rsidP="004D05EF">
            <w:pPr>
              <w:contextualSpacing w:val="0"/>
              <w:jc w:val="center"/>
              <w:rPr>
                <w:rFonts w:ascii="Aptos Narrow" w:eastAsia="Times New Roman" w:hAnsi="Aptos Narrow" w:cs="Times New Roman"/>
                <w:color w:val="000000"/>
                <w:sz w:val="22"/>
                <w:lang w:val="en-GB" w:eastAsia="en-GB"/>
              </w:rPr>
            </w:pPr>
          </w:p>
        </w:tc>
        <w:tc>
          <w:tcPr>
            <w:tcW w:w="1236" w:type="dxa"/>
            <w:noWrap/>
            <w:hideMark/>
          </w:tcPr>
          <w:p w14:paraId="1A6D6748" w14:textId="089B64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 xml:space="preserve">Total </w:t>
            </w:r>
            <w:r w:rsidR="00B6056F">
              <w:rPr>
                <w:rFonts w:ascii="Aptos Narrow" w:eastAsia="Times New Roman" w:hAnsi="Aptos Narrow" w:cs="Times New Roman"/>
                <w:color w:val="000000"/>
                <w:sz w:val="22"/>
                <w:lang w:val="en-GB" w:eastAsia="en-GB"/>
              </w:rPr>
              <w:t xml:space="preserve">    </w:t>
            </w:r>
            <w:proofErr w:type="gramStart"/>
            <w:r w:rsidR="00B6056F">
              <w:rPr>
                <w:rFonts w:ascii="Aptos Narrow" w:eastAsia="Times New Roman" w:hAnsi="Aptos Narrow" w:cs="Times New Roman"/>
                <w:color w:val="000000"/>
                <w:sz w:val="22"/>
                <w:lang w:val="en-GB" w:eastAsia="en-GB"/>
              </w:rPr>
              <w:t xml:space="preserve">   </w:t>
            </w:r>
            <w:r w:rsidRPr="004D05EF">
              <w:rPr>
                <w:rFonts w:ascii="Aptos Narrow" w:eastAsia="Times New Roman" w:hAnsi="Aptos Narrow" w:cs="Times New Roman"/>
                <w:color w:val="000000"/>
                <w:sz w:val="22"/>
                <w:lang w:val="en-GB" w:eastAsia="en-GB"/>
              </w:rPr>
              <w:t>(</w:t>
            </w:r>
            <w:proofErr w:type="gramEnd"/>
            <w:r w:rsidRPr="004D05EF">
              <w:rPr>
                <w:rFonts w:ascii="Aptos Narrow" w:eastAsia="Times New Roman" w:hAnsi="Aptos Narrow" w:cs="Times New Roman"/>
                <w:color w:val="000000"/>
                <w:sz w:val="22"/>
                <w:lang w:val="en-GB" w:eastAsia="en-GB"/>
              </w:rPr>
              <w:t>'01-'25)</w:t>
            </w:r>
          </w:p>
        </w:tc>
        <w:tc>
          <w:tcPr>
            <w:tcW w:w="1476" w:type="dxa"/>
            <w:noWrap/>
            <w:hideMark/>
          </w:tcPr>
          <w:p w14:paraId="721FF91D" w14:textId="5ADDCCBB"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 xml:space="preserve">Primary </w:t>
            </w:r>
            <w:r w:rsidR="00B6056F">
              <w:rPr>
                <w:rFonts w:ascii="Aptos Narrow" w:eastAsia="Times New Roman" w:hAnsi="Aptos Narrow" w:cs="Times New Roman"/>
                <w:color w:val="000000"/>
                <w:sz w:val="22"/>
                <w:lang w:val="en-GB" w:eastAsia="en-GB"/>
              </w:rPr>
              <w:t xml:space="preserve">   </w:t>
            </w:r>
            <w:proofErr w:type="gramStart"/>
            <w:r w:rsidR="00B6056F">
              <w:rPr>
                <w:rFonts w:ascii="Aptos Narrow" w:eastAsia="Times New Roman" w:hAnsi="Aptos Narrow" w:cs="Times New Roman"/>
                <w:color w:val="000000"/>
                <w:sz w:val="22"/>
                <w:lang w:val="en-GB" w:eastAsia="en-GB"/>
              </w:rPr>
              <w:t xml:space="preserve">   </w:t>
            </w:r>
            <w:r w:rsidRPr="004D05EF">
              <w:rPr>
                <w:rFonts w:ascii="Aptos Narrow" w:eastAsia="Times New Roman" w:hAnsi="Aptos Narrow" w:cs="Times New Roman"/>
                <w:color w:val="000000"/>
                <w:sz w:val="22"/>
                <w:lang w:val="en-GB" w:eastAsia="en-GB"/>
              </w:rPr>
              <w:t>(</w:t>
            </w:r>
            <w:proofErr w:type="gramEnd"/>
            <w:r w:rsidRPr="004D05EF">
              <w:rPr>
                <w:rFonts w:ascii="Aptos Narrow" w:eastAsia="Times New Roman" w:hAnsi="Aptos Narrow" w:cs="Times New Roman"/>
                <w:color w:val="000000"/>
                <w:sz w:val="22"/>
                <w:lang w:val="en-GB" w:eastAsia="en-GB"/>
              </w:rPr>
              <w:t>'02-'25)</w:t>
            </w:r>
          </w:p>
        </w:tc>
        <w:tc>
          <w:tcPr>
            <w:tcW w:w="1236" w:type="dxa"/>
            <w:noWrap/>
            <w:hideMark/>
          </w:tcPr>
          <w:p w14:paraId="4FA4C412" w14:textId="14589A68"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 xml:space="preserve">Total </w:t>
            </w:r>
            <w:r w:rsidR="00B6056F">
              <w:rPr>
                <w:rFonts w:ascii="Aptos Narrow" w:eastAsia="Times New Roman" w:hAnsi="Aptos Narrow" w:cs="Times New Roman"/>
                <w:color w:val="000000"/>
                <w:sz w:val="22"/>
                <w:lang w:val="en-GB" w:eastAsia="en-GB"/>
              </w:rPr>
              <w:t xml:space="preserve">  </w:t>
            </w:r>
            <w:proofErr w:type="gramStart"/>
            <w:r w:rsidR="00B6056F">
              <w:rPr>
                <w:rFonts w:ascii="Aptos Narrow" w:eastAsia="Times New Roman" w:hAnsi="Aptos Narrow" w:cs="Times New Roman"/>
                <w:color w:val="000000"/>
                <w:sz w:val="22"/>
                <w:lang w:val="en-GB" w:eastAsia="en-GB"/>
              </w:rPr>
              <w:t xml:space="preserve">   </w:t>
            </w:r>
            <w:r w:rsidRPr="004D05EF">
              <w:rPr>
                <w:rFonts w:ascii="Aptos Narrow" w:eastAsia="Times New Roman" w:hAnsi="Aptos Narrow" w:cs="Times New Roman"/>
                <w:color w:val="000000"/>
                <w:sz w:val="22"/>
                <w:lang w:val="en-GB" w:eastAsia="en-GB"/>
              </w:rPr>
              <w:t>(</w:t>
            </w:r>
            <w:proofErr w:type="gramEnd"/>
            <w:r w:rsidRPr="004D05EF">
              <w:rPr>
                <w:rFonts w:ascii="Aptos Narrow" w:eastAsia="Times New Roman" w:hAnsi="Aptos Narrow" w:cs="Times New Roman"/>
                <w:color w:val="000000"/>
                <w:sz w:val="22"/>
                <w:lang w:val="en-GB" w:eastAsia="en-GB"/>
              </w:rPr>
              <w:t>'02-'25)</w:t>
            </w:r>
          </w:p>
        </w:tc>
        <w:tc>
          <w:tcPr>
            <w:tcW w:w="1476" w:type="dxa"/>
            <w:noWrap/>
            <w:hideMark/>
          </w:tcPr>
          <w:p w14:paraId="7F02CE29" w14:textId="3EC04B79"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 xml:space="preserve">Primary </w:t>
            </w:r>
            <w:r w:rsidR="00B6056F">
              <w:rPr>
                <w:rFonts w:ascii="Aptos Narrow" w:eastAsia="Times New Roman" w:hAnsi="Aptos Narrow" w:cs="Times New Roman"/>
                <w:color w:val="000000"/>
                <w:sz w:val="22"/>
                <w:lang w:val="en-GB" w:eastAsia="en-GB"/>
              </w:rPr>
              <w:t xml:space="preserve">    </w:t>
            </w:r>
            <w:proofErr w:type="gramStart"/>
            <w:r w:rsidR="00B6056F">
              <w:rPr>
                <w:rFonts w:ascii="Aptos Narrow" w:eastAsia="Times New Roman" w:hAnsi="Aptos Narrow" w:cs="Times New Roman"/>
                <w:color w:val="000000"/>
                <w:sz w:val="22"/>
                <w:lang w:val="en-GB" w:eastAsia="en-GB"/>
              </w:rPr>
              <w:t xml:space="preserve">   </w:t>
            </w:r>
            <w:r w:rsidRPr="004D05EF">
              <w:rPr>
                <w:rFonts w:ascii="Aptos Narrow" w:eastAsia="Times New Roman" w:hAnsi="Aptos Narrow" w:cs="Times New Roman"/>
                <w:color w:val="000000"/>
                <w:sz w:val="22"/>
                <w:lang w:val="en-GB" w:eastAsia="en-GB"/>
              </w:rPr>
              <w:t>(</w:t>
            </w:r>
            <w:proofErr w:type="gramEnd"/>
            <w:r w:rsidRPr="004D05EF">
              <w:rPr>
                <w:rFonts w:ascii="Aptos Narrow" w:eastAsia="Times New Roman" w:hAnsi="Aptos Narrow" w:cs="Times New Roman"/>
                <w:color w:val="000000"/>
                <w:sz w:val="22"/>
                <w:lang w:val="en-GB" w:eastAsia="en-GB"/>
              </w:rPr>
              <w:t>'02-'25)</w:t>
            </w:r>
          </w:p>
        </w:tc>
      </w:tr>
      <w:tr w:rsidR="004D05EF" w:rsidRPr="004D05EF" w14:paraId="4A5F1DEB" w14:textId="77777777" w:rsidTr="00D52692">
        <w:trPr>
          <w:trHeight w:val="290"/>
        </w:trPr>
        <w:tc>
          <w:tcPr>
            <w:tcW w:w="2509" w:type="dxa"/>
            <w:noWrap/>
            <w:hideMark/>
          </w:tcPr>
          <w:p w14:paraId="47005211"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Hard commodities</w:t>
            </w:r>
          </w:p>
        </w:tc>
        <w:tc>
          <w:tcPr>
            <w:tcW w:w="1236" w:type="dxa"/>
            <w:noWrap/>
            <w:hideMark/>
          </w:tcPr>
          <w:p w14:paraId="72592A8B"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16,571</w:t>
            </w:r>
          </w:p>
        </w:tc>
        <w:tc>
          <w:tcPr>
            <w:tcW w:w="1476" w:type="dxa"/>
            <w:noWrap/>
            <w:hideMark/>
          </w:tcPr>
          <w:p w14:paraId="61C20490"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1,209</w:t>
            </w:r>
          </w:p>
        </w:tc>
        <w:tc>
          <w:tcPr>
            <w:tcW w:w="1236" w:type="dxa"/>
            <w:noWrap/>
            <w:hideMark/>
          </w:tcPr>
          <w:p w14:paraId="6B360212"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w:t>
            </w:r>
          </w:p>
        </w:tc>
        <w:tc>
          <w:tcPr>
            <w:tcW w:w="1476" w:type="dxa"/>
            <w:noWrap/>
            <w:hideMark/>
          </w:tcPr>
          <w:p w14:paraId="11FA4CC0"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3%</w:t>
            </w:r>
          </w:p>
        </w:tc>
      </w:tr>
      <w:tr w:rsidR="004D05EF" w:rsidRPr="004D05EF" w14:paraId="34E44CD4" w14:textId="77777777" w:rsidTr="00D52692">
        <w:trPr>
          <w:trHeight w:val="290"/>
        </w:trPr>
        <w:tc>
          <w:tcPr>
            <w:tcW w:w="2509" w:type="dxa"/>
            <w:noWrap/>
            <w:hideMark/>
          </w:tcPr>
          <w:p w14:paraId="3E0B94BE"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Logging</w:t>
            </w:r>
          </w:p>
        </w:tc>
        <w:tc>
          <w:tcPr>
            <w:tcW w:w="1236" w:type="dxa"/>
            <w:noWrap/>
            <w:hideMark/>
          </w:tcPr>
          <w:p w14:paraId="5D5604BA"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2,891</w:t>
            </w:r>
          </w:p>
        </w:tc>
        <w:tc>
          <w:tcPr>
            <w:tcW w:w="1476" w:type="dxa"/>
            <w:noWrap/>
            <w:hideMark/>
          </w:tcPr>
          <w:p w14:paraId="48004D41"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181</w:t>
            </w:r>
          </w:p>
        </w:tc>
        <w:tc>
          <w:tcPr>
            <w:tcW w:w="1236" w:type="dxa"/>
            <w:noWrap/>
            <w:hideMark/>
          </w:tcPr>
          <w:p w14:paraId="4EA08FDA"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c>
          <w:tcPr>
            <w:tcW w:w="1476" w:type="dxa"/>
            <w:noWrap/>
            <w:hideMark/>
          </w:tcPr>
          <w:p w14:paraId="00BB84DA"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r>
      <w:tr w:rsidR="004D05EF" w:rsidRPr="004D05EF" w14:paraId="176E7A1C" w14:textId="77777777" w:rsidTr="00D52692">
        <w:trPr>
          <w:trHeight w:val="290"/>
        </w:trPr>
        <w:tc>
          <w:tcPr>
            <w:tcW w:w="2509" w:type="dxa"/>
            <w:noWrap/>
            <w:hideMark/>
          </w:tcPr>
          <w:p w14:paraId="35642C3F"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Other natural disturbances</w:t>
            </w:r>
          </w:p>
        </w:tc>
        <w:tc>
          <w:tcPr>
            <w:tcW w:w="1236" w:type="dxa"/>
            <w:noWrap/>
            <w:hideMark/>
          </w:tcPr>
          <w:p w14:paraId="5F0239F3"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1,503</w:t>
            </w:r>
          </w:p>
        </w:tc>
        <w:tc>
          <w:tcPr>
            <w:tcW w:w="1476" w:type="dxa"/>
            <w:noWrap/>
            <w:hideMark/>
          </w:tcPr>
          <w:p w14:paraId="73760554"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328</w:t>
            </w:r>
          </w:p>
        </w:tc>
        <w:tc>
          <w:tcPr>
            <w:tcW w:w="1236" w:type="dxa"/>
            <w:noWrap/>
            <w:hideMark/>
          </w:tcPr>
          <w:p w14:paraId="11B7507E"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c>
          <w:tcPr>
            <w:tcW w:w="1476" w:type="dxa"/>
            <w:noWrap/>
            <w:hideMark/>
          </w:tcPr>
          <w:p w14:paraId="4097B7AF"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w:t>
            </w:r>
          </w:p>
        </w:tc>
      </w:tr>
      <w:tr w:rsidR="004D05EF" w:rsidRPr="004D05EF" w14:paraId="61B610A1" w14:textId="77777777" w:rsidTr="00D52692">
        <w:trPr>
          <w:trHeight w:val="290"/>
        </w:trPr>
        <w:tc>
          <w:tcPr>
            <w:tcW w:w="2509" w:type="dxa"/>
            <w:noWrap/>
            <w:hideMark/>
          </w:tcPr>
          <w:p w14:paraId="044F4D3B"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Permanent agriculture</w:t>
            </w:r>
          </w:p>
        </w:tc>
        <w:tc>
          <w:tcPr>
            <w:tcW w:w="1236" w:type="dxa"/>
            <w:noWrap/>
            <w:hideMark/>
          </w:tcPr>
          <w:p w14:paraId="715287BA"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428,855</w:t>
            </w:r>
          </w:p>
        </w:tc>
        <w:tc>
          <w:tcPr>
            <w:tcW w:w="1476" w:type="dxa"/>
            <w:noWrap/>
            <w:hideMark/>
          </w:tcPr>
          <w:p w14:paraId="062DECBA"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9,091</w:t>
            </w:r>
          </w:p>
        </w:tc>
        <w:tc>
          <w:tcPr>
            <w:tcW w:w="1236" w:type="dxa"/>
            <w:noWrap/>
            <w:hideMark/>
          </w:tcPr>
          <w:p w14:paraId="2ADF3C51"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19%</w:t>
            </w:r>
          </w:p>
        </w:tc>
        <w:tc>
          <w:tcPr>
            <w:tcW w:w="1476" w:type="dxa"/>
            <w:noWrap/>
            <w:hideMark/>
          </w:tcPr>
          <w:p w14:paraId="5119B15D"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19%</w:t>
            </w:r>
          </w:p>
        </w:tc>
      </w:tr>
      <w:tr w:rsidR="004D05EF" w:rsidRPr="004D05EF" w14:paraId="73A13183" w14:textId="77777777" w:rsidTr="00D52692">
        <w:trPr>
          <w:trHeight w:val="290"/>
        </w:trPr>
        <w:tc>
          <w:tcPr>
            <w:tcW w:w="2509" w:type="dxa"/>
            <w:noWrap/>
            <w:hideMark/>
          </w:tcPr>
          <w:p w14:paraId="20A8D425"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Settlements &amp; Infrastructure</w:t>
            </w:r>
          </w:p>
        </w:tc>
        <w:tc>
          <w:tcPr>
            <w:tcW w:w="1236" w:type="dxa"/>
            <w:noWrap/>
            <w:hideMark/>
          </w:tcPr>
          <w:p w14:paraId="07DF5940"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10,484</w:t>
            </w:r>
          </w:p>
        </w:tc>
        <w:tc>
          <w:tcPr>
            <w:tcW w:w="1476" w:type="dxa"/>
            <w:noWrap/>
            <w:hideMark/>
          </w:tcPr>
          <w:p w14:paraId="1E6F9C82"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836</w:t>
            </w:r>
          </w:p>
        </w:tc>
        <w:tc>
          <w:tcPr>
            <w:tcW w:w="1236" w:type="dxa"/>
            <w:noWrap/>
            <w:hideMark/>
          </w:tcPr>
          <w:p w14:paraId="3AD3D9CE"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c>
          <w:tcPr>
            <w:tcW w:w="1476" w:type="dxa"/>
            <w:noWrap/>
            <w:hideMark/>
          </w:tcPr>
          <w:p w14:paraId="6C577E9D"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2%</w:t>
            </w:r>
          </w:p>
        </w:tc>
      </w:tr>
      <w:tr w:rsidR="004D05EF" w:rsidRPr="004D05EF" w14:paraId="2D0F8455" w14:textId="77777777" w:rsidTr="00D52692">
        <w:trPr>
          <w:trHeight w:val="290"/>
        </w:trPr>
        <w:tc>
          <w:tcPr>
            <w:tcW w:w="2509" w:type="dxa"/>
            <w:noWrap/>
            <w:hideMark/>
          </w:tcPr>
          <w:p w14:paraId="09F55EC3"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Shifting cultivation</w:t>
            </w:r>
          </w:p>
        </w:tc>
        <w:tc>
          <w:tcPr>
            <w:tcW w:w="1236" w:type="dxa"/>
            <w:noWrap/>
            <w:hideMark/>
          </w:tcPr>
          <w:p w14:paraId="25410F2C"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1,815,491</w:t>
            </w:r>
          </w:p>
        </w:tc>
        <w:tc>
          <w:tcPr>
            <w:tcW w:w="1476" w:type="dxa"/>
            <w:noWrap/>
            <w:hideMark/>
          </w:tcPr>
          <w:p w14:paraId="4BEFC487"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34,878</w:t>
            </w:r>
          </w:p>
        </w:tc>
        <w:tc>
          <w:tcPr>
            <w:tcW w:w="1236" w:type="dxa"/>
            <w:noWrap/>
            <w:hideMark/>
          </w:tcPr>
          <w:p w14:paraId="48535C10"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80%</w:t>
            </w:r>
          </w:p>
        </w:tc>
        <w:tc>
          <w:tcPr>
            <w:tcW w:w="1476" w:type="dxa"/>
            <w:noWrap/>
            <w:hideMark/>
          </w:tcPr>
          <w:p w14:paraId="40FFB6AB"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75%</w:t>
            </w:r>
          </w:p>
        </w:tc>
      </w:tr>
      <w:tr w:rsidR="004D05EF" w:rsidRPr="004D05EF" w14:paraId="416216CD" w14:textId="77777777" w:rsidTr="00D52692">
        <w:trPr>
          <w:trHeight w:val="290"/>
        </w:trPr>
        <w:tc>
          <w:tcPr>
            <w:tcW w:w="2509" w:type="dxa"/>
            <w:noWrap/>
            <w:hideMark/>
          </w:tcPr>
          <w:p w14:paraId="47546BEC"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Wildfire</w:t>
            </w:r>
          </w:p>
        </w:tc>
        <w:tc>
          <w:tcPr>
            <w:tcW w:w="1236" w:type="dxa"/>
            <w:noWrap/>
            <w:hideMark/>
          </w:tcPr>
          <w:p w14:paraId="0CBD1BAC"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258</w:t>
            </w:r>
          </w:p>
        </w:tc>
        <w:tc>
          <w:tcPr>
            <w:tcW w:w="1476" w:type="dxa"/>
            <w:noWrap/>
            <w:hideMark/>
          </w:tcPr>
          <w:p w14:paraId="4DDB4E48"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100</w:t>
            </w:r>
          </w:p>
        </w:tc>
        <w:tc>
          <w:tcPr>
            <w:tcW w:w="1236" w:type="dxa"/>
            <w:noWrap/>
            <w:hideMark/>
          </w:tcPr>
          <w:p w14:paraId="7156EDDB"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c>
          <w:tcPr>
            <w:tcW w:w="1476" w:type="dxa"/>
            <w:noWrap/>
            <w:hideMark/>
          </w:tcPr>
          <w:p w14:paraId="2EEFD243" w14:textId="77777777" w:rsidR="004D05EF" w:rsidRPr="004D05EF" w:rsidRDefault="004D05EF" w:rsidP="00D52692">
            <w:pPr>
              <w:contextualSpacing w:val="0"/>
              <w:jc w:val="center"/>
              <w:rPr>
                <w:rFonts w:ascii="Aptos Narrow" w:eastAsia="Times New Roman" w:hAnsi="Aptos Narrow" w:cs="Times New Roman"/>
                <w:color w:val="000000"/>
                <w:sz w:val="22"/>
                <w:lang w:val="en-GB" w:eastAsia="en-GB"/>
              </w:rPr>
            </w:pPr>
            <w:r w:rsidRPr="004D05EF">
              <w:rPr>
                <w:rFonts w:ascii="Aptos Narrow" w:eastAsia="Times New Roman" w:hAnsi="Aptos Narrow" w:cs="Times New Roman"/>
                <w:color w:val="000000"/>
                <w:sz w:val="22"/>
                <w:lang w:val="en-GB" w:eastAsia="en-GB"/>
              </w:rPr>
              <w:t>0%</w:t>
            </w:r>
          </w:p>
        </w:tc>
      </w:tr>
    </w:tbl>
    <w:p w14:paraId="14A15816" w14:textId="77777777" w:rsidR="004D05EF" w:rsidRDefault="004D05EF" w:rsidP="00356E56">
      <w:pPr>
        <w:rPr>
          <w:lang w:bidi="hi-IN"/>
        </w:rPr>
      </w:pPr>
    </w:p>
    <w:p w14:paraId="23ACB222" w14:textId="42AFEF42" w:rsidR="004D05EF" w:rsidRPr="00D52692" w:rsidRDefault="00BC70B5" w:rsidP="00356E56">
      <w:pPr>
        <w:rPr>
          <w:sz w:val="20"/>
          <w:szCs w:val="20"/>
          <w:lang w:bidi="hi-IN"/>
        </w:rPr>
      </w:pPr>
      <w:r w:rsidRPr="00D52692">
        <w:rPr>
          <w:sz w:val="20"/>
          <w:szCs w:val="20"/>
          <w:lang w:bidi="hi-IN"/>
        </w:rPr>
        <w:t xml:space="preserve">As can be seen from the data </w:t>
      </w:r>
      <w:r w:rsidR="00025FB0" w:rsidRPr="00D52692">
        <w:rPr>
          <w:sz w:val="20"/>
          <w:szCs w:val="20"/>
          <w:lang w:bidi="hi-IN"/>
        </w:rPr>
        <w:t>in Table 5-11</w:t>
      </w:r>
      <w:r w:rsidR="00C63E7E" w:rsidRPr="00D52692">
        <w:rPr>
          <w:sz w:val="20"/>
          <w:szCs w:val="20"/>
          <w:lang w:bidi="hi-IN"/>
        </w:rPr>
        <w:t xml:space="preserve"> agriculture and shifting cultivation (which would include activities </w:t>
      </w:r>
      <w:r w:rsidR="00390F16" w:rsidRPr="00D52692">
        <w:rPr>
          <w:sz w:val="20"/>
          <w:szCs w:val="20"/>
          <w:lang w:bidi="hi-IN"/>
        </w:rPr>
        <w:t xml:space="preserve">such as </w:t>
      </w:r>
      <w:r w:rsidR="006554FC" w:rsidRPr="00D52692">
        <w:rPr>
          <w:sz w:val="20"/>
          <w:szCs w:val="20"/>
          <w:lang w:bidi="hi-IN"/>
        </w:rPr>
        <w:t>agroforestry</w:t>
      </w:r>
      <w:r w:rsidR="00654DA0" w:rsidRPr="00D52692">
        <w:rPr>
          <w:sz w:val="20"/>
          <w:szCs w:val="20"/>
          <w:lang w:bidi="hi-IN"/>
        </w:rPr>
        <w:t xml:space="preserve">) are considered responsible for </w:t>
      </w:r>
      <w:r w:rsidR="005D2418" w:rsidRPr="00D52692">
        <w:rPr>
          <w:sz w:val="20"/>
          <w:szCs w:val="20"/>
          <w:lang w:bidi="hi-IN"/>
        </w:rPr>
        <w:t>nearly</w:t>
      </w:r>
      <w:r w:rsidR="00654DA0" w:rsidRPr="00D52692">
        <w:rPr>
          <w:sz w:val="20"/>
          <w:szCs w:val="20"/>
          <w:lang w:bidi="hi-IN"/>
        </w:rPr>
        <w:t xml:space="preserve"> the </w:t>
      </w:r>
      <w:r w:rsidR="00641ED8" w:rsidRPr="00D52692">
        <w:rPr>
          <w:sz w:val="20"/>
          <w:szCs w:val="20"/>
          <w:lang w:bidi="hi-IN"/>
        </w:rPr>
        <w:t xml:space="preserve">total accumulated (net) </w:t>
      </w:r>
      <w:r w:rsidR="005D2418" w:rsidRPr="00D52692">
        <w:rPr>
          <w:sz w:val="20"/>
          <w:szCs w:val="20"/>
          <w:lang w:bidi="hi-IN"/>
        </w:rPr>
        <w:t>forest cover loss</w:t>
      </w:r>
      <w:r w:rsidR="006554FC" w:rsidRPr="00D52692">
        <w:rPr>
          <w:sz w:val="20"/>
          <w:szCs w:val="20"/>
          <w:lang w:bidi="hi-IN"/>
        </w:rPr>
        <w:t xml:space="preserve">. </w:t>
      </w:r>
      <w:r w:rsidR="003720EE" w:rsidRPr="00D52692">
        <w:rPr>
          <w:sz w:val="20"/>
          <w:szCs w:val="20"/>
          <w:lang w:bidi="hi-IN"/>
        </w:rPr>
        <w:t xml:space="preserve">If </w:t>
      </w:r>
      <w:r w:rsidR="00F82E16">
        <w:rPr>
          <w:sz w:val="20"/>
          <w:szCs w:val="20"/>
          <w:lang w:bidi="hi-IN"/>
        </w:rPr>
        <w:t xml:space="preserve">we </w:t>
      </w:r>
      <w:r w:rsidR="003720EE" w:rsidRPr="00D52692">
        <w:rPr>
          <w:sz w:val="20"/>
          <w:szCs w:val="20"/>
          <w:lang w:bidi="hi-IN"/>
        </w:rPr>
        <w:t>con</w:t>
      </w:r>
      <w:r w:rsidR="007E6558" w:rsidRPr="00D52692">
        <w:rPr>
          <w:sz w:val="20"/>
          <w:szCs w:val="20"/>
          <w:lang w:bidi="hi-IN"/>
        </w:rPr>
        <w:t>sider the earlier caveat on data quality prior to 2013 and restrict the</w:t>
      </w:r>
      <w:r w:rsidR="00F82E16">
        <w:rPr>
          <w:sz w:val="20"/>
          <w:szCs w:val="20"/>
          <w:lang w:bidi="hi-IN"/>
        </w:rPr>
        <w:t xml:space="preserve"> analysis of</w:t>
      </w:r>
      <w:r w:rsidR="007E6558" w:rsidRPr="00D52692">
        <w:rPr>
          <w:sz w:val="20"/>
          <w:szCs w:val="20"/>
          <w:lang w:bidi="hi-IN"/>
        </w:rPr>
        <w:t xml:space="preserve"> drivers to</w:t>
      </w:r>
      <w:r w:rsidR="006E5E66" w:rsidRPr="00D52692">
        <w:rPr>
          <w:sz w:val="20"/>
          <w:szCs w:val="20"/>
          <w:lang w:bidi="hi-IN"/>
        </w:rPr>
        <w:t xml:space="preserve"> the decade </w:t>
      </w:r>
      <w:r w:rsidR="00F82E16">
        <w:rPr>
          <w:sz w:val="20"/>
          <w:szCs w:val="20"/>
          <w:lang w:bidi="hi-IN"/>
        </w:rPr>
        <w:t xml:space="preserve">preceding </w:t>
      </w:r>
      <w:r w:rsidR="006E5E66" w:rsidRPr="00D52692">
        <w:rPr>
          <w:sz w:val="20"/>
          <w:szCs w:val="20"/>
          <w:lang w:bidi="hi-IN"/>
        </w:rPr>
        <w:t xml:space="preserve">2025, we see </w:t>
      </w:r>
      <w:r w:rsidR="009D0AF1" w:rsidRPr="00D52692">
        <w:rPr>
          <w:sz w:val="20"/>
          <w:szCs w:val="20"/>
          <w:lang w:bidi="hi-IN"/>
        </w:rPr>
        <w:t>a very similar proportional</w:t>
      </w:r>
      <w:r w:rsidR="006E5E66" w:rsidRPr="00D52692">
        <w:rPr>
          <w:sz w:val="20"/>
          <w:szCs w:val="20"/>
          <w:lang w:bidi="hi-IN"/>
        </w:rPr>
        <w:t xml:space="preserve"> </w:t>
      </w:r>
      <w:r w:rsidR="009D0AF1" w:rsidRPr="00D52692">
        <w:rPr>
          <w:sz w:val="20"/>
          <w:szCs w:val="20"/>
          <w:lang w:bidi="hi-IN"/>
        </w:rPr>
        <w:t>role for agriculture</w:t>
      </w:r>
      <w:r w:rsidR="006F6E84" w:rsidRPr="00D52692">
        <w:rPr>
          <w:sz w:val="20"/>
          <w:szCs w:val="20"/>
          <w:lang w:bidi="hi-IN"/>
        </w:rPr>
        <w:t xml:space="preserve"> and shifting cultivation</w:t>
      </w:r>
      <w:r w:rsidR="009D0AF1" w:rsidRPr="00D52692">
        <w:rPr>
          <w:sz w:val="20"/>
          <w:szCs w:val="20"/>
          <w:lang w:bidi="hi-IN"/>
        </w:rPr>
        <w:t xml:space="preserve"> (</w:t>
      </w:r>
      <w:r w:rsidR="006F6E84" w:rsidRPr="00D52692">
        <w:rPr>
          <w:sz w:val="20"/>
          <w:szCs w:val="20"/>
          <w:lang w:bidi="hi-IN"/>
        </w:rPr>
        <w:t>17 and 21% for total and primary forest</w:t>
      </w:r>
      <w:r w:rsidR="00BF56AB" w:rsidRPr="00D52692">
        <w:rPr>
          <w:sz w:val="20"/>
          <w:szCs w:val="20"/>
          <w:lang w:bidi="hi-IN"/>
        </w:rPr>
        <w:t xml:space="preserve"> and 82 and 74% respectively)</w:t>
      </w:r>
      <w:r w:rsidR="001A5742" w:rsidRPr="00D52692">
        <w:rPr>
          <w:sz w:val="20"/>
          <w:szCs w:val="20"/>
          <w:lang w:bidi="hi-IN"/>
        </w:rPr>
        <w:t>.</w:t>
      </w:r>
    </w:p>
    <w:p w14:paraId="53A82221" w14:textId="77777777" w:rsidR="001A5742" w:rsidRPr="00D52692" w:rsidRDefault="001A5742" w:rsidP="00356E56">
      <w:pPr>
        <w:rPr>
          <w:sz w:val="20"/>
          <w:szCs w:val="20"/>
          <w:lang w:bidi="hi-IN"/>
        </w:rPr>
      </w:pPr>
    </w:p>
    <w:p w14:paraId="6A8B9831" w14:textId="241641EF" w:rsidR="001A5742" w:rsidRPr="00F82E16" w:rsidRDefault="00092F49" w:rsidP="00356E56">
      <w:pPr>
        <w:rPr>
          <w:sz w:val="20"/>
          <w:szCs w:val="20"/>
          <w:lang w:bidi="hi-IN"/>
        </w:rPr>
      </w:pPr>
      <w:r w:rsidRPr="00D52692">
        <w:rPr>
          <w:sz w:val="20"/>
          <w:szCs w:val="20"/>
          <w:lang w:bidi="hi-IN"/>
        </w:rPr>
        <w:t>W</w:t>
      </w:r>
      <w:r w:rsidR="001A5742" w:rsidRPr="00D52692">
        <w:rPr>
          <w:sz w:val="20"/>
          <w:szCs w:val="20"/>
          <w:lang w:bidi="hi-IN"/>
        </w:rPr>
        <w:t xml:space="preserve">hilst agroforestry systems are not considered </w:t>
      </w:r>
      <w:r w:rsidR="001C6940" w:rsidRPr="00D52692">
        <w:rPr>
          <w:sz w:val="20"/>
          <w:szCs w:val="20"/>
          <w:lang w:bidi="hi-IN"/>
        </w:rPr>
        <w:t>to be driver</w:t>
      </w:r>
      <w:r w:rsidR="009007B3" w:rsidRPr="00D52692">
        <w:rPr>
          <w:sz w:val="20"/>
          <w:szCs w:val="20"/>
          <w:lang w:bidi="hi-IN"/>
        </w:rPr>
        <w:t>s</w:t>
      </w:r>
      <w:r w:rsidR="00281BD4" w:rsidRPr="00D52692">
        <w:rPr>
          <w:sz w:val="20"/>
          <w:szCs w:val="20"/>
          <w:lang w:bidi="hi-IN"/>
        </w:rPr>
        <w:t xml:space="preserve"> of permanent </w:t>
      </w:r>
      <w:r w:rsidRPr="00D52692">
        <w:rPr>
          <w:sz w:val="20"/>
          <w:szCs w:val="20"/>
          <w:lang w:bidi="hi-IN"/>
        </w:rPr>
        <w:t>deforestation,</w:t>
      </w:r>
      <w:r w:rsidR="00281BD4" w:rsidRPr="00D52692">
        <w:rPr>
          <w:sz w:val="20"/>
          <w:szCs w:val="20"/>
          <w:lang w:bidi="hi-IN"/>
        </w:rPr>
        <w:t xml:space="preserve"> they are an important </w:t>
      </w:r>
      <w:r w:rsidR="002078FC" w:rsidRPr="00D52692">
        <w:rPr>
          <w:sz w:val="20"/>
          <w:szCs w:val="20"/>
          <w:lang w:bidi="hi-IN"/>
        </w:rPr>
        <w:t>source of</w:t>
      </w:r>
      <w:r w:rsidRPr="00D52692">
        <w:rPr>
          <w:sz w:val="20"/>
          <w:szCs w:val="20"/>
          <w:lang w:bidi="hi-IN"/>
        </w:rPr>
        <w:t xml:space="preserve"> shorter-ter</w:t>
      </w:r>
      <w:r w:rsidR="002078FC" w:rsidRPr="00D52692">
        <w:rPr>
          <w:sz w:val="20"/>
          <w:szCs w:val="20"/>
          <w:lang w:bidi="hi-IN"/>
        </w:rPr>
        <w:t xml:space="preserve">m land use dynamics. </w:t>
      </w:r>
      <w:r w:rsidR="009007B3" w:rsidRPr="00D52692">
        <w:rPr>
          <w:sz w:val="20"/>
          <w:szCs w:val="20"/>
          <w:lang w:bidi="hi-IN"/>
        </w:rPr>
        <w:t xml:space="preserve">As </w:t>
      </w:r>
      <w:r w:rsidRPr="00D52692">
        <w:rPr>
          <w:sz w:val="20"/>
          <w:szCs w:val="20"/>
          <w:lang w:bidi="hi-IN"/>
        </w:rPr>
        <w:t>mentioned,</w:t>
      </w:r>
      <w:r w:rsidR="009007B3" w:rsidRPr="00D52692">
        <w:rPr>
          <w:sz w:val="20"/>
          <w:szCs w:val="20"/>
          <w:lang w:bidi="hi-IN"/>
        </w:rPr>
        <w:t xml:space="preserve"> the </w:t>
      </w:r>
      <w:r w:rsidRPr="00D52692">
        <w:rPr>
          <w:sz w:val="20"/>
          <w:szCs w:val="20"/>
          <w:lang w:bidi="hi-IN"/>
        </w:rPr>
        <w:t>data presented above does not include net land use change as it excludes reforestation. Therefore, by definition</w:t>
      </w:r>
      <w:r w:rsidR="001613B4" w:rsidRPr="00D52692">
        <w:rPr>
          <w:sz w:val="20"/>
          <w:szCs w:val="20"/>
          <w:lang w:bidi="hi-IN"/>
        </w:rPr>
        <w:t>,</w:t>
      </w:r>
      <w:r w:rsidRPr="00D52692">
        <w:rPr>
          <w:sz w:val="20"/>
          <w:szCs w:val="20"/>
          <w:lang w:bidi="hi-IN"/>
        </w:rPr>
        <w:t xml:space="preserve"> much of the </w:t>
      </w:r>
      <w:r w:rsidR="00051022" w:rsidRPr="00D52692">
        <w:rPr>
          <w:sz w:val="20"/>
          <w:szCs w:val="20"/>
          <w:lang w:bidi="hi-IN"/>
        </w:rPr>
        <w:t xml:space="preserve">forest loss due to </w:t>
      </w:r>
      <w:r w:rsidR="00906BDE" w:rsidRPr="00D52692">
        <w:rPr>
          <w:sz w:val="20"/>
          <w:szCs w:val="20"/>
          <w:lang w:bidi="hi-IN"/>
        </w:rPr>
        <w:t>‘</w:t>
      </w:r>
      <w:r w:rsidR="00051022" w:rsidRPr="00D52692">
        <w:rPr>
          <w:sz w:val="20"/>
          <w:szCs w:val="20"/>
          <w:lang w:bidi="hi-IN"/>
        </w:rPr>
        <w:t>shifting cultivation</w:t>
      </w:r>
      <w:r w:rsidR="00906BDE" w:rsidRPr="00D52692">
        <w:rPr>
          <w:sz w:val="20"/>
          <w:szCs w:val="20"/>
          <w:lang w:bidi="hi-IN"/>
        </w:rPr>
        <w:t>’</w:t>
      </w:r>
      <w:r w:rsidR="00051022" w:rsidRPr="00D52692">
        <w:rPr>
          <w:sz w:val="20"/>
          <w:szCs w:val="20"/>
          <w:lang w:bidi="hi-IN"/>
        </w:rPr>
        <w:t xml:space="preserve"> </w:t>
      </w:r>
      <w:r w:rsidR="001613B4" w:rsidRPr="00D52692">
        <w:rPr>
          <w:sz w:val="20"/>
          <w:szCs w:val="20"/>
          <w:lang w:bidi="hi-IN"/>
        </w:rPr>
        <w:t xml:space="preserve">will be compensated </w:t>
      </w:r>
      <w:r w:rsidR="004F0066" w:rsidRPr="00D52692">
        <w:rPr>
          <w:sz w:val="20"/>
          <w:szCs w:val="20"/>
          <w:lang w:bidi="hi-IN"/>
        </w:rPr>
        <w:t xml:space="preserve">by additional </w:t>
      </w:r>
      <w:r w:rsidR="00906BDE" w:rsidRPr="00D52692">
        <w:rPr>
          <w:sz w:val="20"/>
          <w:szCs w:val="20"/>
          <w:lang w:bidi="hi-IN"/>
        </w:rPr>
        <w:t>(re)</w:t>
      </w:r>
      <w:r w:rsidR="004F0066" w:rsidRPr="00D52692">
        <w:rPr>
          <w:sz w:val="20"/>
          <w:szCs w:val="20"/>
          <w:lang w:bidi="hi-IN"/>
        </w:rPr>
        <w:t>growth. However</w:t>
      </w:r>
      <w:r w:rsidR="00E92DC4" w:rsidRPr="00D52692">
        <w:rPr>
          <w:sz w:val="20"/>
          <w:szCs w:val="20"/>
          <w:lang w:bidi="hi-IN"/>
        </w:rPr>
        <w:t>,</w:t>
      </w:r>
      <w:r w:rsidR="004F0066" w:rsidRPr="00D52692">
        <w:rPr>
          <w:sz w:val="20"/>
          <w:szCs w:val="20"/>
          <w:lang w:bidi="hi-IN"/>
        </w:rPr>
        <w:t xml:space="preserve"> it is important to reflect on the limitations of relying on land </w:t>
      </w:r>
      <w:r w:rsidR="00906BDE" w:rsidRPr="00D52692">
        <w:rPr>
          <w:sz w:val="20"/>
          <w:szCs w:val="20"/>
          <w:lang w:bidi="hi-IN"/>
        </w:rPr>
        <w:t>area</w:t>
      </w:r>
      <w:r w:rsidR="004F0066" w:rsidRPr="00D52692">
        <w:rPr>
          <w:sz w:val="20"/>
          <w:szCs w:val="20"/>
          <w:lang w:bidi="hi-IN"/>
        </w:rPr>
        <w:t xml:space="preserve"> as </w:t>
      </w:r>
      <w:r w:rsidR="00F82E16">
        <w:rPr>
          <w:sz w:val="20"/>
          <w:szCs w:val="20"/>
          <w:lang w:bidi="hi-IN"/>
        </w:rPr>
        <w:t>the</w:t>
      </w:r>
      <w:r w:rsidR="004F0066" w:rsidRPr="00D52692">
        <w:rPr>
          <w:sz w:val="20"/>
          <w:szCs w:val="20"/>
          <w:lang w:bidi="hi-IN"/>
        </w:rPr>
        <w:t xml:space="preserve"> </w:t>
      </w:r>
      <w:r w:rsidR="00F82E16">
        <w:rPr>
          <w:sz w:val="20"/>
          <w:szCs w:val="20"/>
          <w:lang w:bidi="hi-IN"/>
        </w:rPr>
        <w:t>s</w:t>
      </w:r>
      <w:r w:rsidR="004F0066" w:rsidRPr="00D52692">
        <w:rPr>
          <w:sz w:val="20"/>
          <w:szCs w:val="20"/>
          <w:lang w:bidi="hi-IN"/>
        </w:rPr>
        <w:t>o</w:t>
      </w:r>
      <w:r w:rsidR="00F82E16">
        <w:rPr>
          <w:sz w:val="20"/>
          <w:szCs w:val="20"/>
          <w:lang w:bidi="hi-IN"/>
        </w:rPr>
        <w:t>l</w:t>
      </w:r>
      <w:r w:rsidR="004F0066" w:rsidRPr="00D52692">
        <w:rPr>
          <w:sz w:val="20"/>
          <w:szCs w:val="20"/>
          <w:lang w:bidi="hi-IN"/>
        </w:rPr>
        <w:t>e metric of impact</w:t>
      </w:r>
      <w:r w:rsidR="00F82E16">
        <w:rPr>
          <w:sz w:val="20"/>
          <w:szCs w:val="20"/>
          <w:lang w:bidi="hi-IN"/>
        </w:rPr>
        <w:t>.</w:t>
      </w:r>
      <w:r w:rsidR="004F0066" w:rsidRPr="00D52692">
        <w:rPr>
          <w:sz w:val="20"/>
          <w:szCs w:val="20"/>
          <w:lang w:bidi="hi-IN"/>
        </w:rPr>
        <w:t xml:space="preserve"> </w:t>
      </w:r>
      <w:r w:rsidR="00F82E16">
        <w:rPr>
          <w:sz w:val="20"/>
          <w:szCs w:val="20"/>
          <w:lang w:bidi="hi-IN"/>
        </w:rPr>
        <w:t>A</w:t>
      </w:r>
      <w:r w:rsidR="004F0066" w:rsidRPr="00D52692">
        <w:rPr>
          <w:sz w:val="20"/>
          <w:szCs w:val="20"/>
          <w:lang w:bidi="hi-IN"/>
        </w:rPr>
        <w:t xml:space="preserve">s demonstrated </w:t>
      </w:r>
      <w:r w:rsidR="001728D0" w:rsidRPr="00D52692">
        <w:rPr>
          <w:sz w:val="20"/>
          <w:szCs w:val="20"/>
          <w:lang w:bidi="hi-IN"/>
        </w:rPr>
        <w:t xml:space="preserve">in this chapter, the net impact of land use </w:t>
      </w:r>
      <w:proofErr w:type="gramStart"/>
      <w:r w:rsidR="001728D0" w:rsidRPr="00D52692">
        <w:rPr>
          <w:sz w:val="20"/>
          <w:szCs w:val="20"/>
          <w:lang w:bidi="hi-IN"/>
        </w:rPr>
        <w:t>change</w:t>
      </w:r>
      <w:r w:rsidR="00597936" w:rsidRPr="00D52692">
        <w:rPr>
          <w:sz w:val="20"/>
          <w:szCs w:val="20"/>
          <w:lang w:bidi="hi-IN"/>
        </w:rPr>
        <w:t>,</w:t>
      </w:r>
      <w:proofErr w:type="gramEnd"/>
      <w:r w:rsidR="001728D0" w:rsidRPr="00D52692">
        <w:rPr>
          <w:sz w:val="20"/>
          <w:szCs w:val="20"/>
          <w:lang w:bidi="hi-IN"/>
        </w:rPr>
        <w:t xml:space="preserve"> depends on</w:t>
      </w:r>
      <w:r w:rsidR="00DB238F" w:rsidRPr="00D52692">
        <w:rPr>
          <w:sz w:val="20"/>
          <w:szCs w:val="20"/>
          <w:lang w:bidi="hi-IN"/>
        </w:rPr>
        <w:t xml:space="preserve"> both</w:t>
      </w:r>
      <w:r w:rsidR="001728D0" w:rsidRPr="00D52692">
        <w:rPr>
          <w:sz w:val="20"/>
          <w:szCs w:val="20"/>
          <w:lang w:bidi="hi-IN"/>
        </w:rPr>
        <w:t xml:space="preserve"> </w:t>
      </w:r>
      <w:r w:rsidR="00DB238F" w:rsidRPr="00D52692">
        <w:rPr>
          <w:sz w:val="20"/>
          <w:szCs w:val="20"/>
          <w:lang w:bidi="hi-IN"/>
        </w:rPr>
        <w:t>the</w:t>
      </w:r>
      <w:r w:rsidR="001728D0" w:rsidRPr="00D52692">
        <w:rPr>
          <w:sz w:val="20"/>
          <w:szCs w:val="20"/>
          <w:lang w:bidi="hi-IN"/>
        </w:rPr>
        <w:t xml:space="preserve"> </w:t>
      </w:r>
      <w:r w:rsidR="005444AD" w:rsidRPr="00D52692">
        <w:rPr>
          <w:sz w:val="20"/>
          <w:szCs w:val="20"/>
          <w:lang w:bidi="hi-IN"/>
        </w:rPr>
        <w:t>pre-existing land use type as</w:t>
      </w:r>
      <w:r w:rsidR="001728D0" w:rsidRPr="00D52692">
        <w:rPr>
          <w:sz w:val="20"/>
          <w:szCs w:val="20"/>
          <w:lang w:bidi="hi-IN"/>
        </w:rPr>
        <w:t xml:space="preserve"> </w:t>
      </w:r>
      <w:r w:rsidR="00597936" w:rsidRPr="00D52692">
        <w:rPr>
          <w:sz w:val="20"/>
          <w:szCs w:val="20"/>
          <w:lang w:bidi="hi-IN"/>
        </w:rPr>
        <w:t>well as</w:t>
      </w:r>
      <w:r w:rsidR="008D3CDA" w:rsidRPr="00D52692">
        <w:rPr>
          <w:sz w:val="20"/>
          <w:szCs w:val="20"/>
          <w:lang w:bidi="hi-IN"/>
        </w:rPr>
        <w:t xml:space="preserve"> the type of land </w:t>
      </w:r>
      <w:r w:rsidR="00DB238F" w:rsidRPr="00D52692">
        <w:rPr>
          <w:sz w:val="20"/>
          <w:szCs w:val="20"/>
          <w:lang w:bidi="hi-IN"/>
        </w:rPr>
        <w:t xml:space="preserve">(i.e. canopy cover) </w:t>
      </w:r>
      <w:r w:rsidR="00906BDE" w:rsidRPr="00D52692">
        <w:rPr>
          <w:sz w:val="20"/>
          <w:szCs w:val="20"/>
          <w:lang w:bidi="hi-IN"/>
        </w:rPr>
        <w:t xml:space="preserve">that </w:t>
      </w:r>
      <w:r w:rsidR="005444AD" w:rsidRPr="00D52692">
        <w:rPr>
          <w:sz w:val="20"/>
          <w:szCs w:val="20"/>
          <w:lang w:bidi="hi-IN"/>
        </w:rPr>
        <w:t xml:space="preserve">ultimately replaces it. </w:t>
      </w:r>
      <w:r w:rsidR="00F82E16">
        <w:rPr>
          <w:sz w:val="20"/>
          <w:szCs w:val="20"/>
          <w:lang w:bidi="hi-IN"/>
        </w:rPr>
        <w:t>Nevertheless</w:t>
      </w:r>
      <w:r w:rsidR="00B45278" w:rsidRPr="00D52692">
        <w:rPr>
          <w:sz w:val="20"/>
          <w:szCs w:val="20"/>
          <w:lang w:bidi="hi-IN"/>
        </w:rPr>
        <w:t>,</w:t>
      </w:r>
      <w:r w:rsidR="005444AD" w:rsidRPr="00D52692">
        <w:rPr>
          <w:sz w:val="20"/>
          <w:szCs w:val="20"/>
          <w:lang w:bidi="hi-IN"/>
        </w:rPr>
        <w:t xml:space="preserve"> </w:t>
      </w:r>
      <w:r w:rsidR="003D3001" w:rsidRPr="00D52692">
        <w:rPr>
          <w:sz w:val="20"/>
          <w:szCs w:val="20"/>
          <w:lang w:bidi="hi-IN"/>
        </w:rPr>
        <w:t xml:space="preserve">the cumulative dominance of </w:t>
      </w:r>
      <w:r w:rsidR="003D719B" w:rsidRPr="00D52692">
        <w:rPr>
          <w:sz w:val="20"/>
          <w:szCs w:val="20"/>
          <w:lang w:bidi="hi-IN"/>
        </w:rPr>
        <w:t>the types of activi</w:t>
      </w:r>
      <w:r w:rsidR="00B45278" w:rsidRPr="00D52692">
        <w:rPr>
          <w:sz w:val="20"/>
          <w:szCs w:val="20"/>
          <w:lang w:bidi="hi-IN"/>
        </w:rPr>
        <w:t>ti</w:t>
      </w:r>
      <w:r w:rsidR="003D719B" w:rsidRPr="00D52692">
        <w:rPr>
          <w:sz w:val="20"/>
          <w:szCs w:val="20"/>
          <w:lang w:bidi="hi-IN"/>
        </w:rPr>
        <w:t xml:space="preserve">es included in </w:t>
      </w:r>
      <w:r w:rsidR="00B45278" w:rsidRPr="00D52692">
        <w:rPr>
          <w:sz w:val="20"/>
          <w:szCs w:val="20"/>
          <w:lang w:bidi="hi-IN"/>
        </w:rPr>
        <w:t xml:space="preserve">‘shifting cultivation’ reinforces the value of </w:t>
      </w:r>
      <w:r w:rsidR="00597936" w:rsidRPr="00D52692">
        <w:rPr>
          <w:sz w:val="20"/>
          <w:szCs w:val="20"/>
          <w:lang w:bidi="hi-IN"/>
        </w:rPr>
        <w:t xml:space="preserve">a dedicated and systemic monitoring system supported by high resolution data such as envisioned within </w:t>
      </w:r>
      <w:r w:rsidR="00A033CC" w:rsidRPr="00D52692">
        <w:rPr>
          <w:sz w:val="20"/>
          <w:szCs w:val="20"/>
          <w:lang w:bidi="hi-IN"/>
        </w:rPr>
        <w:t>EUDR implementation.</w:t>
      </w:r>
      <w:r w:rsidR="00584DF4" w:rsidRPr="00D52692">
        <w:rPr>
          <w:sz w:val="20"/>
          <w:szCs w:val="20"/>
          <w:lang w:bidi="hi-IN"/>
        </w:rPr>
        <w:t xml:space="preserve"> This is especially the case as the situation remains dynamic</w:t>
      </w:r>
      <w:r w:rsidR="00D5276C" w:rsidRPr="00D52692">
        <w:rPr>
          <w:sz w:val="20"/>
          <w:szCs w:val="20"/>
          <w:lang w:bidi="hi-IN"/>
        </w:rPr>
        <w:t xml:space="preserve">. The GLAD deforestation alerts are produced by the GLAD lab at the University of </w:t>
      </w:r>
      <w:proofErr w:type="gramStart"/>
      <w:r w:rsidR="00D5276C" w:rsidRPr="00D52692">
        <w:rPr>
          <w:sz w:val="20"/>
          <w:szCs w:val="20"/>
          <w:lang w:bidi="hi-IN"/>
        </w:rPr>
        <w:t>Maryland, and</w:t>
      </w:r>
      <w:proofErr w:type="gramEnd"/>
      <w:r w:rsidR="00D5276C" w:rsidRPr="00D52692">
        <w:rPr>
          <w:sz w:val="20"/>
          <w:szCs w:val="20"/>
          <w:lang w:bidi="hi-IN"/>
        </w:rPr>
        <w:t xml:space="preserve"> use Landsat images to detect recent forest </w:t>
      </w:r>
      <w:r w:rsidR="006E363E" w:rsidRPr="00D52692">
        <w:rPr>
          <w:sz w:val="20"/>
          <w:szCs w:val="20"/>
          <w:lang w:bidi="hi-IN"/>
        </w:rPr>
        <w:t>disturbances</w:t>
      </w:r>
      <w:r w:rsidR="00D5276C" w:rsidRPr="00D52692">
        <w:rPr>
          <w:sz w:val="20"/>
          <w:szCs w:val="20"/>
          <w:lang w:bidi="hi-IN"/>
        </w:rPr>
        <w:t xml:space="preserve"> weekly at 30-meter resolution</w:t>
      </w:r>
      <w:r w:rsidR="00D075CA" w:rsidRPr="00D52692">
        <w:rPr>
          <w:sz w:val="20"/>
          <w:szCs w:val="20"/>
          <w:lang w:bidi="hi-IN"/>
        </w:rPr>
        <w:t>, following the method outlines in</w:t>
      </w:r>
      <w:r w:rsidR="00F56297" w:rsidRPr="00D52692">
        <w:rPr>
          <w:sz w:val="20"/>
          <w:szCs w:val="20"/>
          <w:lang w:bidi="hi-IN"/>
        </w:rPr>
        <w:t xml:space="preserve"> Hansen et al. </w:t>
      </w:r>
      <w:r w:rsidR="00D075CA" w:rsidRPr="00D52692">
        <w:rPr>
          <w:sz w:val="20"/>
          <w:szCs w:val="20"/>
          <w:lang w:bidi="hi-IN"/>
        </w:rPr>
        <w:t>(</w:t>
      </w:r>
      <w:r w:rsidR="00F56297" w:rsidRPr="00D52692">
        <w:rPr>
          <w:sz w:val="20"/>
          <w:szCs w:val="20"/>
          <w:lang w:bidi="hi-IN"/>
        </w:rPr>
        <w:t>2016)</w:t>
      </w:r>
      <w:r w:rsidR="00D5276C" w:rsidRPr="00D52692">
        <w:rPr>
          <w:sz w:val="20"/>
          <w:szCs w:val="20"/>
          <w:lang w:bidi="hi-IN"/>
        </w:rPr>
        <w:t>.</w:t>
      </w:r>
      <w:r w:rsidR="00D136DC" w:rsidRPr="00D52692">
        <w:rPr>
          <w:sz w:val="20"/>
          <w:szCs w:val="20"/>
          <w:lang w:bidi="hi-IN"/>
        </w:rPr>
        <w:t xml:space="preserve"> In the last 4 weeks</w:t>
      </w:r>
      <w:r w:rsidR="00D075CA" w:rsidRPr="00D52692">
        <w:rPr>
          <w:sz w:val="20"/>
          <w:szCs w:val="20"/>
          <w:lang w:bidi="hi-IN"/>
        </w:rPr>
        <w:t xml:space="preserve"> (at time of writing 29/06/26)</w:t>
      </w:r>
      <w:r w:rsidR="00D136DC" w:rsidRPr="00D52692">
        <w:rPr>
          <w:sz w:val="20"/>
          <w:szCs w:val="20"/>
          <w:lang w:bidi="hi-IN"/>
        </w:rPr>
        <w:t xml:space="preserve"> 40,843 disturbance alerts were detected</w:t>
      </w:r>
      <w:r w:rsidR="00D55908" w:rsidRPr="00D52692">
        <w:rPr>
          <w:sz w:val="20"/>
          <w:szCs w:val="20"/>
          <w:lang w:bidi="hi-IN"/>
        </w:rPr>
        <w:t xml:space="preserve"> in Sierra Leone</w:t>
      </w:r>
      <w:r w:rsidR="00D136DC" w:rsidRPr="00D52692">
        <w:rPr>
          <w:sz w:val="20"/>
          <w:szCs w:val="20"/>
          <w:lang w:bidi="hi-IN"/>
        </w:rPr>
        <w:t xml:space="preserve">, which affected an area </w:t>
      </w:r>
      <w:r w:rsidR="00D136DC" w:rsidRPr="00D52692">
        <w:rPr>
          <w:sz w:val="20"/>
          <w:szCs w:val="20"/>
          <w:lang w:bidi="hi-IN"/>
        </w:rPr>
        <w:lastRenderedPageBreak/>
        <w:t>of approximately 500 ha</w:t>
      </w:r>
      <w:r w:rsidR="00DC4F39" w:rsidRPr="00D52692">
        <w:rPr>
          <w:sz w:val="20"/>
          <w:szCs w:val="20"/>
          <w:lang w:bidi="hi-IN"/>
        </w:rPr>
        <w:t xml:space="preserve"> (240 and 200 in the North and East </w:t>
      </w:r>
      <w:r w:rsidR="006E363E" w:rsidRPr="00D52692">
        <w:rPr>
          <w:sz w:val="20"/>
          <w:szCs w:val="20"/>
          <w:lang w:bidi="hi-IN"/>
        </w:rPr>
        <w:t>r</w:t>
      </w:r>
      <w:r w:rsidR="00DC4F39" w:rsidRPr="00D52692">
        <w:rPr>
          <w:sz w:val="20"/>
          <w:szCs w:val="20"/>
          <w:lang w:bidi="hi-IN"/>
        </w:rPr>
        <w:t>espectively)</w:t>
      </w:r>
      <w:r w:rsidR="00D136DC" w:rsidRPr="00D52692">
        <w:rPr>
          <w:sz w:val="20"/>
          <w:szCs w:val="20"/>
          <w:lang w:bidi="hi-IN"/>
        </w:rPr>
        <w:t>.</w:t>
      </w:r>
      <w:r w:rsidR="00D55908" w:rsidRPr="00D52692">
        <w:rPr>
          <w:sz w:val="20"/>
          <w:szCs w:val="20"/>
          <w:lang w:bidi="hi-IN"/>
        </w:rPr>
        <w:t xml:space="preserve"> Given the scale of </w:t>
      </w:r>
      <w:r w:rsidR="002E4FAF" w:rsidRPr="00D52692">
        <w:rPr>
          <w:sz w:val="20"/>
          <w:szCs w:val="20"/>
          <w:lang w:bidi="hi-IN"/>
        </w:rPr>
        <w:t>agroforestry</w:t>
      </w:r>
      <w:r w:rsidR="00D55908" w:rsidRPr="00D52692">
        <w:rPr>
          <w:sz w:val="20"/>
          <w:szCs w:val="20"/>
          <w:lang w:bidi="hi-IN"/>
        </w:rPr>
        <w:t xml:space="preserve"> systems</w:t>
      </w:r>
      <w:r w:rsidR="00F82E16">
        <w:rPr>
          <w:sz w:val="20"/>
          <w:szCs w:val="20"/>
          <w:lang w:bidi="hi-IN"/>
        </w:rPr>
        <w:t>,</w:t>
      </w:r>
      <w:r w:rsidR="00D55908" w:rsidRPr="00D52692">
        <w:rPr>
          <w:sz w:val="20"/>
          <w:szCs w:val="20"/>
          <w:lang w:bidi="hi-IN"/>
        </w:rPr>
        <w:t xml:space="preserve"> this is not surprising but underscores the </w:t>
      </w:r>
      <w:r w:rsidR="002E4FAF" w:rsidRPr="00D52692">
        <w:rPr>
          <w:sz w:val="20"/>
          <w:szCs w:val="20"/>
          <w:lang w:bidi="hi-IN"/>
        </w:rPr>
        <w:t>complexity of quantify</w:t>
      </w:r>
      <w:r w:rsidR="00F82E16">
        <w:rPr>
          <w:sz w:val="20"/>
          <w:szCs w:val="20"/>
          <w:lang w:bidi="hi-IN"/>
        </w:rPr>
        <w:t>ing</w:t>
      </w:r>
      <w:r w:rsidR="002E4FAF" w:rsidRPr="00D52692">
        <w:rPr>
          <w:sz w:val="20"/>
          <w:szCs w:val="20"/>
          <w:lang w:bidi="hi-IN"/>
        </w:rPr>
        <w:t xml:space="preserve"> and monitor</w:t>
      </w:r>
      <w:r w:rsidR="00F82E16">
        <w:rPr>
          <w:sz w:val="20"/>
          <w:szCs w:val="20"/>
          <w:lang w:bidi="hi-IN"/>
        </w:rPr>
        <w:t>ing</w:t>
      </w:r>
      <w:r w:rsidR="002E4FAF" w:rsidRPr="00D52692">
        <w:rPr>
          <w:sz w:val="20"/>
          <w:szCs w:val="20"/>
          <w:lang w:bidi="hi-IN"/>
        </w:rPr>
        <w:t xml:space="preserve"> the changes to land use at a national level.</w:t>
      </w:r>
    </w:p>
    <w:p w14:paraId="202D9762" w14:textId="27EDB536" w:rsidR="006175C8" w:rsidRPr="00D94BE6" w:rsidRDefault="00031D95" w:rsidP="006175C8">
      <w:pPr>
        <w:pStyle w:val="Heading3"/>
      </w:pPr>
      <w:bookmarkStart w:id="190" w:name="_Toc228701054"/>
      <w:r>
        <w:t xml:space="preserve">How does this relate to </w:t>
      </w:r>
      <w:r w:rsidR="000F2CE1">
        <w:t>the EUDR</w:t>
      </w:r>
      <w:bookmarkEnd w:id="190"/>
    </w:p>
    <w:p w14:paraId="1D0E284E" w14:textId="2475ABFA" w:rsidR="00031D95" w:rsidRDefault="00031D95" w:rsidP="00031D95">
      <w:pPr>
        <w:rPr>
          <w:sz w:val="20"/>
          <w:szCs w:val="20"/>
        </w:rPr>
      </w:pPr>
      <w:r w:rsidRPr="006A5892">
        <w:rPr>
          <w:sz w:val="20"/>
          <w:szCs w:val="20"/>
        </w:rPr>
        <w:t xml:space="preserve">As mentioned earlier the carbon footprint calculation is based on assumption of carbon biomass, which are sparse for Sierra Leone. Practices such as mandatory polygon‑based geolocation (rather than GPS point data) allows agroforestry systems to be spatially distinguished from intact forest and can assisting with a better understanding of carbon stocks, however it is likely that many plots are smaller than the cut off area (i.e. &lt; 4 ha) but the cumulative area of these is likely to be significant. Deforestation risk assessments for smaller farms are undertaken based on a buffer area around a GPS point, which may not align or encompass the actual producing area. This is equally complex for polygon defined plots as many agroforestry farms contain or border riparian buffers, sacred groves, reserve buffer zones. In operational terms it is not clear the extent to which EUDR compliance (i.e. avoiding forest degradation) precludes cocoa production </w:t>
      </w:r>
      <w:proofErr w:type="gramStart"/>
      <w:r w:rsidRPr="006A5892">
        <w:rPr>
          <w:sz w:val="20"/>
          <w:szCs w:val="20"/>
        </w:rPr>
        <w:t>in close proximity to</w:t>
      </w:r>
      <w:proofErr w:type="gramEnd"/>
      <w:r w:rsidRPr="006A5892">
        <w:rPr>
          <w:sz w:val="20"/>
          <w:szCs w:val="20"/>
        </w:rPr>
        <w:t xml:space="preserve"> such buffers or harvesting within agroforestry plots adjacent to protected forest (van Noordwijk et al., 2025). In practical terms, there will be instances where significant carbon stocks are proximate but outside of established plots. (In some cases, this may be a single long-established tree). It is important that EUDR implementation also </w:t>
      </w:r>
      <w:proofErr w:type="spellStart"/>
      <w:r w:rsidRPr="006A5892">
        <w:rPr>
          <w:sz w:val="20"/>
          <w:szCs w:val="20"/>
        </w:rPr>
        <w:t>recognises</w:t>
      </w:r>
      <w:proofErr w:type="spellEnd"/>
      <w:r w:rsidRPr="006A5892">
        <w:rPr>
          <w:sz w:val="20"/>
          <w:szCs w:val="20"/>
        </w:rPr>
        <w:t xml:space="preserve"> this potential </w:t>
      </w:r>
      <w:r w:rsidRPr="00B003E9">
        <w:rPr>
          <w:b/>
          <w:bCs/>
          <w:sz w:val="20"/>
          <w:szCs w:val="20"/>
        </w:rPr>
        <w:t>spillover</w:t>
      </w:r>
      <w:r w:rsidRPr="006A5892">
        <w:rPr>
          <w:sz w:val="20"/>
          <w:szCs w:val="20"/>
        </w:rPr>
        <w:t xml:space="preserve"> or carbon </w:t>
      </w:r>
      <w:r w:rsidRPr="00B003E9">
        <w:rPr>
          <w:b/>
          <w:bCs/>
          <w:sz w:val="20"/>
          <w:szCs w:val="20"/>
        </w:rPr>
        <w:t>leakage</w:t>
      </w:r>
      <w:r w:rsidRPr="006A5892">
        <w:rPr>
          <w:sz w:val="20"/>
          <w:szCs w:val="20"/>
        </w:rPr>
        <w:t xml:space="preserve"> risk. However, it is also important to note that EUDR compliance is technically demanding for small, irregularly shaped agroforestry plots, particularly in cooperative based cocoa systems.</w:t>
      </w:r>
    </w:p>
    <w:p w14:paraId="0CB94211" w14:textId="77777777" w:rsidR="00C44751" w:rsidRDefault="00C44751" w:rsidP="00031D95">
      <w:pPr>
        <w:rPr>
          <w:sz w:val="20"/>
          <w:szCs w:val="20"/>
        </w:rPr>
      </w:pPr>
    </w:p>
    <w:p w14:paraId="3D1B200A" w14:textId="77777777" w:rsidR="0011792F" w:rsidRDefault="0011792F" w:rsidP="0011792F">
      <w:pPr>
        <w:rPr>
          <w:sz w:val="20"/>
          <w:szCs w:val="20"/>
        </w:rPr>
      </w:pPr>
      <w:r w:rsidRPr="00C44751">
        <w:rPr>
          <w:sz w:val="20"/>
          <w:szCs w:val="20"/>
        </w:rPr>
        <w:t xml:space="preserve">On the topic of deforestation, it seems clear that the future of the relevant sectors will depend, over the long run, on the capacity </w:t>
      </w:r>
      <w:r>
        <w:rPr>
          <w:sz w:val="20"/>
          <w:szCs w:val="20"/>
        </w:rPr>
        <w:t xml:space="preserve">for </w:t>
      </w:r>
      <w:r w:rsidRPr="00C44751">
        <w:rPr>
          <w:sz w:val="20"/>
          <w:szCs w:val="20"/>
        </w:rPr>
        <w:t>improv</w:t>
      </w:r>
      <w:r>
        <w:rPr>
          <w:sz w:val="20"/>
          <w:szCs w:val="20"/>
        </w:rPr>
        <w:t>ing</w:t>
      </w:r>
      <w:r w:rsidRPr="00C44751">
        <w:rPr>
          <w:sz w:val="20"/>
          <w:szCs w:val="20"/>
        </w:rPr>
        <w:t xml:space="preserve"> forest governance</w:t>
      </w:r>
      <w:r>
        <w:rPr>
          <w:sz w:val="20"/>
          <w:szCs w:val="20"/>
        </w:rPr>
        <w:t xml:space="preserve"> and</w:t>
      </w:r>
      <w:r w:rsidRPr="00C44751">
        <w:rPr>
          <w:sz w:val="20"/>
          <w:szCs w:val="20"/>
        </w:rPr>
        <w:t xml:space="preserve"> capacity-building to monitor and prevent illegal deforestation and enforce the country’s environmental laws.</w:t>
      </w:r>
    </w:p>
    <w:p w14:paraId="54A9047C" w14:textId="77777777" w:rsidR="0011792F" w:rsidRDefault="0011792F" w:rsidP="0011792F">
      <w:pPr>
        <w:rPr>
          <w:sz w:val="20"/>
          <w:szCs w:val="20"/>
        </w:rPr>
      </w:pPr>
    </w:p>
    <w:p w14:paraId="731DF59D" w14:textId="04EC2C78" w:rsidR="0011792F" w:rsidRDefault="005223D5" w:rsidP="0011792F">
      <w:pPr>
        <w:rPr>
          <w:sz w:val="20"/>
          <w:szCs w:val="20"/>
        </w:rPr>
      </w:pPr>
      <w:r>
        <w:rPr>
          <w:sz w:val="20"/>
          <w:szCs w:val="20"/>
        </w:rPr>
        <w:t>I</w:t>
      </w:r>
      <w:r w:rsidR="0011792F" w:rsidRPr="00C44751">
        <w:rPr>
          <w:sz w:val="20"/>
          <w:szCs w:val="20"/>
        </w:rPr>
        <w:t>t is important to note that public information about the risks and drivers of deforestation in Sierra Leone is quite scarce. Furthermore, the absence of public, transparent and science-based information on deforestation risks and drivers could limit the capacity of national stakeholders to promote and sell legal and deforestation-free cocoa from Sierra Leone. The development of public information on deforestation, including real time deforestation monitoring tools, land use maps, etc., should therefore be an important priority.</w:t>
      </w:r>
    </w:p>
    <w:p w14:paraId="249968FE" w14:textId="77777777" w:rsidR="00D52692" w:rsidRDefault="00D52692" w:rsidP="0011792F">
      <w:pPr>
        <w:rPr>
          <w:sz w:val="20"/>
          <w:szCs w:val="20"/>
        </w:rPr>
      </w:pPr>
    </w:p>
    <w:p w14:paraId="1BEF6B9E" w14:textId="4DCD7814" w:rsidR="00D52692" w:rsidRDefault="00D52692" w:rsidP="0011792F">
      <w:pPr>
        <w:rPr>
          <w:sz w:val="20"/>
          <w:szCs w:val="20"/>
        </w:rPr>
      </w:pPr>
      <w:r w:rsidRPr="00D52692">
        <w:rPr>
          <w:sz w:val="20"/>
          <w:szCs w:val="20"/>
        </w:rPr>
        <w:t xml:space="preserve">On the topic of geolocation, the Ministry of Agriculture and Food Security recently began a farmer registration and farm mapping exercise with support from the World Bank. The </w:t>
      </w:r>
      <w:proofErr w:type="spellStart"/>
      <w:r w:rsidRPr="00D52692">
        <w:rPr>
          <w:sz w:val="20"/>
          <w:szCs w:val="20"/>
        </w:rPr>
        <w:t>programme</w:t>
      </w:r>
      <w:proofErr w:type="spellEnd"/>
      <w:r w:rsidRPr="00D52692">
        <w:rPr>
          <w:sz w:val="20"/>
          <w:szCs w:val="20"/>
        </w:rPr>
        <w:t xml:space="preserve"> has hitherto </w:t>
      </w:r>
      <w:proofErr w:type="spellStart"/>
      <w:r w:rsidRPr="00D52692">
        <w:rPr>
          <w:sz w:val="20"/>
          <w:szCs w:val="20"/>
        </w:rPr>
        <w:t>prioritised</w:t>
      </w:r>
      <w:proofErr w:type="spellEnd"/>
      <w:r w:rsidRPr="00D52692">
        <w:rPr>
          <w:sz w:val="20"/>
          <w:szCs w:val="20"/>
        </w:rPr>
        <w:t xml:space="preserve"> the mapping of rice paddies but could be rapidly redirected towards sectors (like cocoa) that are directly concerned by the EUDR. The Ministry has further proposed to connect the geolocation data that it is collecting to forthcoming agricultural census data, </w:t>
      </w:r>
      <w:proofErr w:type="gramStart"/>
      <w:r w:rsidRPr="00D52692">
        <w:rPr>
          <w:sz w:val="20"/>
          <w:szCs w:val="20"/>
        </w:rPr>
        <w:t>in order to</w:t>
      </w:r>
      <w:proofErr w:type="gramEnd"/>
      <w:r w:rsidRPr="00D52692">
        <w:rPr>
          <w:sz w:val="20"/>
          <w:szCs w:val="20"/>
        </w:rPr>
        <w:t xml:space="preserve"> establish a “cloud-based, open-source National Cocoa Repository Register” which could be used by Operators for the purposes of due diligence. These efforts are welcome and could facilitate EUDR compliance, avoiding duplication of efforts between private operators and making Sierra Leone a more attractive Origin for EU buyers</w:t>
      </w:r>
      <w:r w:rsidR="00F22F44">
        <w:rPr>
          <w:sz w:val="20"/>
          <w:szCs w:val="20"/>
        </w:rPr>
        <w:t>.</w:t>
      </w:r>
    </w:p>
    <w:p w14:paraId="650C559F" w14:textId="77777777" w:rsidR="00D52692" w:rsidRDefault="00D52692" w:rsidP="0011792F">
      <w:pPr>
        <w:rPr>
          <w:sz w:val="20"/>
          <w:szCs w:val="20"/>
        </w:rPr>
      </w:pPr>
    </w:p>
    <w:p w14:paraId="36E246C2" w14:textId="77777777" w:rsidR="00C44751" w:rsidRDefault="00C44751" w:rsidP="00031D95">
      <w:pPr>
        <w:rPr>
          <w:sz w:val="20"/>
          <w:szCs w:val="20"/>
        </w:rPr>
      </w:pPr>
    </w:p>
    <w:p w14:paraId="0AC83D08" w14:textId="1751B901" w:rsidR="006175C8" w:rsidRPr="00D94BE6" w:rsidRDefault="006175C8" w:rsidP="006175C8">
      <w:pPr>
        <w:pStyle w:val="Heading3"/>
      </w:pPr>
      <w:bookmarkStart w:id="191" w:name="_Toc228701055"/>
      <w:r w:rsidRPr="00D94BE6">
        <w:t>C</w:t>
      </w:r>
      <w:r w:rsidR="000F2CE1">
        <w:t>ontamination</w:t>
      </w:r>
      <w:r w:rsidRPr="00D94BE6">
        <w:t xml:space="preserve"> R</w:t>
      </w:r>
      <w:r w:rsidR="000F2CE1">
        <w:t>isk</w:t>
      </w:r>
      <w:r w:rsidRPr="00D94BE6">
        <w:t>s</w:t>
      </w:r>
      <w:bookmarkEnd w:id="191"/>
    </w:p>
    <w:p w14:paraId="039184F3" w14:textId="6DD5DA48" w:rsidR="00031D95" w:rsidRPr="006A5892" w:rsidRDefault="00031D95" w:rsidP="00031D95">
      <w:pPr>
        <w:rPr>
          <w:rFonts w:cs="Open Sans"/>
          <w:sz w:val="20"/>
          <w:szCs w:val="20"/>
        </w:rPr>
      </w:pPr>
      <w:r w:rsidRPr="006A5892">
        <w:rPr>
          <w:rFonts w:cs="Open Sans"/>
          <w:sz w:val="20"/>
          <w:szCs w:val="20"/>
        </w:rPr>
        <w:t xml:space="preserve">The transportation of cocoa beans </w:t>
      </w:r>
      <w:proofErr w:type="gramStart"/>
      <w:r w:rsidRPr="006A5892">
        <w:rPr>
          <w:rFonts w:cs="Open Sans"/>
          <w:sz w:val="20"/>
          <w:szCs w:val="20"/>
        </w:rPr>
        <w:t>embody</w:t>
      </w:r>
      <w:proofErr w:type="gramEnd"/>
      <w:r w:rsidRPr="006A5892">
        <w:rPr>
          <w:rFonts w:cs="Open Sans"/>
          <w:sz w:val="20"/>
          <w:szCs w:val="20"/>
        </w:rPr>
        <w:t xml:space="preserve"> </w:t>
      </w:r>
      <w:proofErr w:type="gramStart"/>
      <w:r w:rsidRPr="006A5892">
        <w:rPr>
          <w:rFonts w:cs="Open Sans"/>
          <w:sz w:val="20"/>
          <w:szCs w:val="20"/>
        </w:rPr>
        <w:t>a number of</w:t>
      </w:r>
      <w:proofErr w:type="gramEnd"/>
      <w:r w:rsidRPr="006A5892">
        <w:rPr>
          <w:rFonts w:cs="Open Sans"/>
          <w:sz w:val="20"/>
          <w:szCs w:val="20"/>
        </w:rPr>
        <w:t xml:space="preserve"> different contamination risks, some of which would be direct and some more diffuse. Multiple reviews show that traffic emissions are a major source of particulate</w:t>
      </w:r>
      <w:r w:rsidRPr="006A5892">
        <w:rPr>
          <w:rFonts w:ascii="Cambria Math" w:hAnsi="Cambria Math" w:cs="Cambria Math"/>
          <w:sz w:val="20"/>
          <w:szCs w:val="20"/>
        </w:rPr>
        <w:t>‑</w:t>
      </w:r>
      <w:r w:rsidRPr="006A5892">
        <w:rPr>
          <w:rFonts w:cs="Open Sans"/>
          <w:sz w:val="20"/>
          <w:szCs w:val="20"/>
        </w:rPr>
        <w:t xml:space="preserve">bound contaminants, for example Lead (Pb), Cadmium (Cd) and </w:t>
      </w:r>
      <w:r w:rsidRPr="006A5892">
        <w:rPr>
          <w:rFonts w:cs="Open Sans"/>
          <w:sz w:val="20"/>
          <w:szCs w:val="20"/>
        </w:rPr>
        <w:lastRenderedPageBreak/>
        <w:t xml:space="preserve">Arsenic (As), Copper (Cu), Zinc (Zn), Nicke (Ni), Polycyclic aromatic hydrocarbons (PAHs)) that deposit directly onto crops via dry and wet deposition. These contaminants originate from exhaust, brake wear, </w:t>
      </w:r>
      <w:proofErr w:type="spellStart"/>
      <w:r w:rsidRPr="006A5892">
        <w:rPr>
          <w:rFonts w:cs="Open Sans"/>
          <w:sz w:val="20"/>
          <w:szCs w:val="20"/>
        </w:rPr>
        <w:t>tyre</w:t>
      </w:r>
      <w:proofErr w:type="spellEnd"/>
      <w:r w:rsidRPr="006A5892">
        <w:rPr>
          <w:rFonts w:cs="Open Sans"/>
          <w:sz w:val="20"/>
          <w:szCs w:val="20"/>
        </w:rPr>
        <w:t xml:space="preserve"> wear, lubricants, and road dust resuspension (</w:t>
      </w:r>
      <w:proofErr w:type="spellStart"/>
      <w:r w:rsidRPr="006A5892">
        <w:rPr>
          <w:rFonts w:cs="Open Sans"/>
          <w:sz w:val="20"/>
          <w:szCs w:val="20"/>
        </w:rPr>
        <w:t>Boahen</w:t>
      </w:r>
      <w:proofErr w:type="spellEnd"/>
      <w:r w:rsidRPr="006A5892">
        <w:rPr>
          <w:rFonts w:cs="Open Sans"/>
          <w:sz w:val="20"/>
          <w:szCs w:val="20"/>
        </w:rPr>
        <w:t>, 2024).</w:t>
      </w:r>
    </w:p>
    <w:p w14:paraId="00A618CD" w14:textId="77777777" w:rsidR="00031D95" w:rsidRPr="006A5892" w:rsidRDefault="00031D95" w:rsidP="00031D95">
      <w:pPr>
        <w:rPr>
          <w:rFonts w:cs="Open Sans"/>
          <w:sz w:val="20"/>
          <w:szCs w:val="20"/>
        </w:rPr>
      </w:pPr>
    </w:p>
    <w:p w14:paraId="7F121EA0" w14:textId="75D51B5F" w:rsidR="00031D95" w:rsidRPr="006A5892" w:rsidRDefault="00031D95" w:rsidP="00031D95">
      <w:pPr>
        <w:rPr>
          <w:rFonts w:cs="Open Sans"/>
          <w:sz w:val="20"/>
          <w:szCs w:val="20"/>
        </w:rPr>
      </w:pPr>
      <w:r w:rsidRPr="006A5892">
        <w:rPr>
          <w:rFonts w:cs="Open Sans"/>
          <w:sz w:val="20"/>
          <w:szCs w:val="20"/>
        </w:rPr>
        <w:t>Organic regulations (e.g. EU) do not permit deliberate contamination, but products can still fail residue limits if background contamination exceeds maximum levels (notably cadmium, lead, arsenic). Direct exposure to mechanical drying (including wood fired) significantly increases contamination risk but sun drying does not remove it. A systematic review on cocoa found that EU Maximum Contaminant Level limits (especially for Cd) are frequently exceeded due to environmental rather than agronomic sources, including atmospheric inputs (</w:t>
      </w:r>
      <w:proofErr w:type="spellStart"/>
      <w:r w:rsidRPr="006A5892">
        <w:rPr>
          <w:rFonts w:cs="Open Sans"/>
          <w:sz w:val="20"/>
          <w:szCs w:val="20"/>
        </w:rPr>
        <w:t>Anyimah</w:t>
      </w:r>
      <w:proofErr w:type="spellEnd"/>
      <w:r w:rsidRPr="006A5892">
        <w:rPr>
          <w:rFonts w:cs="Open Sans"/>
          <w:sz w:val="20"/>
          <w:szCs w:val="20"/>
        </w:rPr>
        <w:t>-Ackah et al. 2019). Therefore</w:t>
      </w:r>
      <w:r w:rsidR="00B2663D">
        <w:rPr>
          <w:rFonts w:cs="Open Sans"/>
          <w:sz w:val="20"/>
          <w:szCs w:val="20"/>
        </w:rPr>
        <w:t>,</w:t>
      </w:r>
      <w:r w:rsidRPr="006A5892">
        <w:rPr>
          <w:rFonts w:cs="Open Sans"/>
          <w:sz w:val="20"/>
          <w:szCs w:val="20"/>
        </w:rPr>
        <w:t xml:space="preserve"> low level chronic exposure can be sufficient to exceed strict thresholds (especially for Cd). Failure risk is cumulative, not event</w:t>
      </w:r>
      <w:r w:rsidRPr="006A5892">
        <w:rPr>
          <w:rFonts w:ascii="Cambria Math" w:hAnsi="Cambria Math" w:cs="Cambria Math"/>
          <w:sz w:val="20"/>
          <w:szCs w:val="20"/>
        </w:rPr>
        <w:t>‑</w:t>
      </w:r>
      <w:r w:rsidRPr="006A5892">
        <w:rPr>
          <w:rFonts w:cs="Open Sans"/>
          <w:sz w:val="20"/>
          <w:szCs w:val="20"/>
        </w:rPr>
        <w:t>based, with value chain activities like drying yards are located near villages and transport corridors increasing contamination risk (</w:t>
      </w:r>
      <w:proofErr w:type="spellStart"/>
      <w:r w:rsidRPr="006A5892">
        <w:rPr>
          <w:rFonts w:cs="Open Sans"/>
          <w:sz w:val="20"/>
          <w:szCs w:val="20"/>
        </w:rPr>
        <w:t>Boahen</w:t>
      </w:r>
      <w:proofErr w:type="spellEnd"/>
      <w:r w:rsidRPr="006A5892">
        <w:rPr>
          <w:rFonts w:cs="Open Sans"/>
          <w:sz w:val="20"/>
          <w:szCs w:val="20"/>
        </w:rPr>
        <w:t>, 2024). Polycyclic aromatic hydrocarbons (PAHs) may also contaminate cocoa during the post-harvest or primary processing stages as both transport and artificial drying expose beans to external smoke sources. A study of Ghanian cocoa concluded that despite the absence of artificial or mechanical drying, high levels of PAH were recorded which were attributed to vehicle emissions and the proximity of sun drying to the roadside (Dadson et al.,2025). Carcinogenic PAHs were found in beans dried or stored near roads, directly implicating airborne deposition during post</w:t>
      </w:r>
      <w:r w:rsidRPr="006A5892">
        <w:rPr>
          <w:rFonts w:ascii="Cambria Math" w:hAnsi="Cambria Math" w:cs="Cambria Math"/>
          <w:sz w:val="20"/>
          <w:szCs w:val="20"/>
        </w:rPr>
        <w:t>‑</w:t>
      </w:r>
      <w:r w:rsidRPr="006A5892">
        <w:rPr>
          <w:rFonts w:cs="Open Sans"/>
          <w:sz w:val="20"/>
          <w:szCs w:val="20"/>
        </w:rPr>
        <w:t>harvest handling.</w:t>
      </w:r>
    </w:p>
    <w:p w14:paraId="752DDC21" w14:textId="77777777" w:rsidR="00031D95" w:rsidRPr="006A5892" w:rsidRDefault="00031D95" w:rsidP="00031D95">
      <w:pPr>
        <w:rPr>
          <w:rFonts w:cs="Open Sans"/>
          <w:sz w:val="20"/>
          <w:szCs w:val="20"/>
        </w:rPr>
      </w:pPr>
    </w:p>
    <w:p w14:paraId="7B62DB0A" w14:textId="77777777" w:rsidR="00031D95" w:rsidRPr="00B003E9" w:rsidRDefault="00031D95" w:rsidP="00031D95">
      <w:pPr>
        <w:rPr>
          <w:rFonts w:cs="Open Sans"/>
          <w:b/>
          <w:bCs/>
          <w:sz w:val="20"/>
          <w:szCs w:val="20"/>
        </w:rPr>
      </w:pPr>
      <w:r w:rsidRPr="00B003E9">
        <w:rPr>
          <w:rFonts w:cs="Open Sans"/>
          <w:b/>
          <w:bCs/>
          <w:sz w:val="20"/>
          <w:szCs w:val="20"/>
        </w:rPr>
        <w:t>The designation “organic by default” is arguably misinterpreted and miscommunicated.</w:t>
      </w:r>
      <w:r w:rsidRPr="006A5892">
        <w:rPr>
          <w:rFonts w:cs="Open Sans"/>
          <w:sz w:val="20"/>
          <w:szCs w:val="20"/>
        </w:rPr>
        <w:t xml:space="preserve"> Products grown organically can fail standards without any breach of organic farming rules, purely due to site exposure. Atmospheric deposition is explicitly identified as a contamination source in organic and conventional systems alike.  In fact, organic farms may be more vulnerable where: crops are closer to roads (buffer zones not enforced), no protective foliar washing or post</w:t>
      </w:r>
      <w:r w:rsidRPr="006A5892">
        <w:rPr>
          <w:rFonts w:ascii="Cambria Math" w:hAnsi="Cambria Math" w:cs="Cambria Math"/>
          <w:sz w:val="20"/>
          <w:szCs w:val="20"/>
        </w:rPr>
        <w:t>‑</w:t>
      </w:r>
      <w:r w:rsidRPr="006A5892">
        <w:rPr>
          <w:rFonts w:cs="Open Sans"/>
          <w:sz w:val="20"/>
          <w:szCs w:val="20"/>
        </w:rPr>
        <w:t>harvest mitigation is applied. Indeed, soil organic matter increases metal retention rather than mobility i.e. reducing leaching but not total concentration (Wan et al., 2024). The siting of cocoa farms in proximity to (for example) conventional rice farms can increase contamination risks due to application of agricultural chemicals which may be deposited especially during heavy rains. For crops grown near roads, foliar deposition is dominant (compared with root uptake) especially for tree crops with large surface areas and long on</w:t>
      </w:r>
      <w:r w:rsidRPr="006A5892">
        <w:rPr>
          <w:rFonts w:ascii="Cambria Math" w:hAnsi="Cambria Math" w:cs="Cambria Math"/>
          <w:sz w:val="20"/>
          <w:szCs w:val="20"/>
        </w:rPr>
        <w:t>‑</w:t>
      </w:r>
      <w:r w:rsidRPr="006A5892">
        <w:rPr>
          <w:rFonts w:cs="Open Sans"/>
          <w:sz w:val="20"/>
          <w:szCs w:val="20"/>
        </w:rPr>
        <w:t xml:space="preserve">plant residence times (e.g. cocoa and coffee), increasing the likelihood of contamination even when soils are relatively clean (Mahida et al. 2023). The maximum residue levels (MRLs) are the amounts of pesticides allowed in food products, including cocoa. With regards to EU standards for organic cocoa, the MRLs of pesticides must be zero. This means that any exposure to chemicals used in pesticides may trigger non-compliance, including for example minute traces of material from other sources (i.e. the storage of cocoa beans in proximity to pesticide treated material). Therefore, particular attention should be paid to identifying farm or village locations of any material that contains pesticides. </w:t>
      </w:r>
      <w:r w:rsidRPr="00B003E9">
        <w:rPr>
          <w:rFonts w:cs="Open Sans"/>
          <w:b/>
          <w:bCs/>
          <w:sz w:val="20"/>
          <w:szCs w:val="20"/>
        </w:rPr>
        <w:t>Therefore, until the risk of contamination is reduced, cocoa from Sierra Leone is bettered considered “potentially organic by default”.</w:t>
      </w:r>
    </w:p>
    <w:p w14:paraId="4D8A6C92" w14:textId="13775389" w:rsidR="000F2CE1" w:rsidRPr="000F2CE1" w:rsidRDefault="000F2CE1" w:rsidP="000F2CE1">
      <w:pPr>
        <w:rPr>
          <w:rFonts w:cs="Open Sans"/>
          <w:sz w:val="20"/>
          <w:szCs w:val="20"/>
        </w:rPr>
      </w:pPr>
    </w:p>
    <w:p w14:paraId="50E5B93E" w14:textId="3D63C3CA" w:rsidR="006175C8" w:rsidRPr="00906C07" w:rsidRDefault="000F2CE1" w:rsidP="00906C07">
      <w:pPr>
        <w:pStyle w:val="Heading2"/>
      </w:pPr>
      <w:bookmarkStart w:id="192" w:name="_Toc228701056"/>
      <w:r w:rsidRPr="00906C07">
        <w:t>Conclusions</w:t>
      </w:r>
      <w:bookmarkEnd w:id="192"/>
    </w:p>
    <w:p w14:paraId="4A93C1B3" w14:textId="57FF4B6D" w:rsidR="00906C07" w:rsidRPr="006A5892" w:rsidRDefault="00906C07" w:rsidP="00906C07">
      <w:pPr>
        <w:rPr>
          <w:sz w:val="20"/>
          <w:szCs w:val="20"/>
        </w:rPr>
      </w:pPr>
      <w:r w:rsidRPr="006A5892">
        <w:rPr>
          <w:sz w:val="20"/>
          <w:szCs w:val="20"/>
        </w:rPr>
        <w:t xml:space="preserve">The previous use of the land replaced by cocoa is central to its environmental burden or indeed benefit. Despite the absence of organic chemical or pesticides, some activities such as burning of cocoa pods, the application and production of organic </w:t>
      </w:r>
      <w:proofErr w:type="spellStart"/>
      <w:r w:rsidRPr="006A5892">
        <w:rPr>
          <w:sz w:val="20"/>
          <w:szCs w:val="20"/>
        </w:rPr>
        <w:t>fertiliser</w:t>
      </w:r>
      <w:proofErr w:type="spellEnd"/>
      <w:r w:rsidRPr="006A5892">
        <w:rPr>
          <w:sz w:val="20"/>
          <w:szCs w:val="20"/>
        </w:rPr>
        <w:t xml:space="preserve"> will embody some impacts, the main determinant of climate change, human health and ecosystem impacts appeared to be less than those associated with land use change, due to the scale of carbon emissions associated with land transitions.</w:t>
      </w:r>
    </w:p>
    <w:p w14:paraId="217ADC4D" w14:textId="77777777" w:rsidR="00906C07" w:rsidRPr="006A5892" w:rsidRDefault="00906C07" w:rsidP="00906C07">
      <w:pPr>
        <w:rPr>
          <w:sz w:val="20"/>
          <w:szCs w:val="20"/>
        </w:rPr>
      </w:pPr>
    </w:p>
    <w:p w14:paraId="01623B83" w14:textId="77777777" w:rsidR="00906C07" w:rsidRPr="006A5892" w:rsidRDefault="00906C07" w:rsidP="00906C07">
      <w:pPr>
        <w:rPr>
          <w:sz w:val="20"/>
          <w:szCs w:val="20"/>
        </w:rPr>
      </w:pPr>
      <w:r w:rsidRPr="006A5892">
        <w:rPr>
          <w:sz w:val="20"/>
          <w:szCs w:val="20"/>
        </w:rPr>
        <w:t>Whilst cocoa agroforestry systems appear to have higher carbon stocks than other alternative land types, this is not the case for forestry. The replacement of (even secondary) forestry by cocoa agroforestry will result in significant emissions by the time a stand reaches maturity, even given the higher range of yields. Conversely the replacement of low canopy cover land types with organic cocoa agroforestry appears sufficient to produce carbon negative cocoa beans, with implications for the capacity of cocoa cultivation to offset emissions further along the value chain. There is a trade-off between environmental and economic benefits. With the establishment of cocoa agroforestry systems results in net accumulation of carbon per hectare, lower yields will increase the negative carbon footprint allocated per kg of beans. However, transition of forestry (even secondary forestry) is likely to result in a net release of emissions, which again is exacerbated when cocoa yields are low. Therefore, of the alternative case studies presented here, the most impactful case study is the cocoa grown on farms which replaced secondary forestry within the past 20 years</w:t>
      </w:r>
      <w:r w:rsidRPr="00B82559">
        <w:rPr>
          <w:sz w:val="20"/>
          <w:szCs w:val="20"/>
        </w:rPr>
        <w:t xml:space="preserve">, </w:t>
      </w:r>
      <w:r w:rsidRPr="006A5892">
        <w:rPr>
          <w:sz w:val="20"/>
          <w:szCs w:val="20"/>
        </w:rPr>
        <w:t xml:space="preserve">(20 years being the responsibility window for allocation of emissions due to land use change). The potential carbon emissions due to replacement of secondary </w:t>
      </w:r>
      <w:proofErr w:type="gramStart"/>
      <w:r w:rsidRPr="006A5892">
        <w:rPr>
          <w:sz w:val="20"/>
          <w:szCs w:val="20"/>
        </w:rPr>
        <w:t>forestry however</w:t>
      </w:r>
      <w:proofErr w:type="gramEnd"/>
      <w:r w:rsidRPr="006A5892">
        <w:rPr>
          <w:sz w:val="20"/>
          <w:szCs w:val="20"/>
        </w:rPr>
        <w:t xml:space="preserve"> are potentially very high.</w:t>
      </w:r>
    </w:p>
    <w:p w14:paraId="3091B348" w14:textId="77777777" w:rsidR="00906C07" w:rsidRPr="006A5892" w:rsidRDefault="00906C07" w:rsidP="00906C07">
      <w:pPr>
        <w:rPr>
          <w:sz w:val="20"/>
          <w:szCs w:val="20"/>
        </w:rPr>
      </w:pPr>
    </w:p>
    <w:p w14:paraId="6097AED1" w14:textId="27A3F11C" w:rsidR="00906C07" w:rsidRPr="006A5892" w:rsidRDefault="00906C07" w:rsidP="00906C07">
      <w:pPr>
        <w:rPr>
          <w:sz w:val="20"/>
          <w:szCs w:val="20"/>
        </w:rPr>
      </w:pPr>
      <w:r w:rsidRPr="006A5892">
        <w:rPr>
          <w:sz w:val="20"/>
          <w:szCs w:val="20"/>
        </w:rPr>
        <w:t>Plots that have not being managed and accumulate carbon through tree growth and soil accumulation whilst presenting lower yields. (</w:t>
      </w:r>
      <w:proofErr w:type="gramStart"/>
      <w:r w:rsidRPr="006A5892">
        <w:rPr>
          <w:sz w:val="20"/>
          <w:szCs w:val="20"/>
        </w:rPr>
        <w:t>Again</w:t>
      </w:r>
      <w:proofErr w:type="gramEnd"/>
      <w:r w:rsidRPr="006A5892">
        <w:rPr>
          <w:sz w:val="20"/>
          <w:szCs w:val="20"/>
        </w:rPr>
        <w:t xml:space="preserve"> bearing in mind that the replacement of the cocoa stand will result in the release of the carbon that contributes to negative footprints being presented here). It is important to view any estimate in context, well managed cocoa systems with high yields may have a higher carbon footprint (or a less “negative” carbon footprint) but higher productivity can reduce the pressure to expand into other areas. Drying and transport increase the carbon footprint by approximately 0.4 kg </w:t>
      </w:r>
      <w:proofErr w:type="spellStart"/>
      <w:r w:rsidRPr="006A5892">
        <w:rPr>
          <w:sz w:val="20"/>
          <w:szCs w:val="20"/>
        </w:rPr>
        <w:t>CO₂e</w:t>
      </w:r>
      <w:proofErr w:type="spellEnd"/>
      <w:r w:rsidRPr="006A5892">
        <w:rPr>
          <w:sz w:val="20"/>
          <w:szCs w:val="20"/>
        </w:rPr>
        <w:t>/kg dry beans in the case of high mechanical drying demands</w:t>
      </w:r>
      <w:r w:rsidRPr="00B82559">
        <w:rPr>
          <w:sz w:val="20"/>
          <w:szCs w:val="20"/>
        </w:rPr>
        <w:t xml:space="preserve">. </w:t>
      </w:r>
      <w:r w:rsidRPr="006A5892">
        <w:rPr>
          <w:sz w:val="20"/>
          <w:szCs w:val="20"/>
        </w:rPr>
        <w:t>The impact of moisture goes beyond additional energy demands. If moisture replaces bean weight on the farm, then a greater quantity of wet beans needs to leave to farm to provide a defined quantity of dry beans. Drying has a lessened effect along the value chain where moisture does not reduce/displace (dry weight equivalent) bean yield. When land use change is omitted and a large amount of drying is required, drying (and indeed transport) become</w:t>
      </w:r>
      <w:r w:rsidR="00BA642B">
        <w:rPr>
          <w:sz w:val="20"/>
          <w:szCs w:val="20"/>
        </w:rPr>
        <w:t>s</w:t>
      </w:r>
      <w:r w:rsidRPr="006A5892">
        <w:rPr>
          <w:sz w:val="20"/>
          <w:szCs w:val="20"/>
        </w:rPr>
        <w:t xml:space="preserve"> more prominent impact hotspots for all categories. </w:t>
      </w:r>
      <w:proofErr w:type="gramStart"/>
      <w:r w:rsidRPr="006A5892">
        <w:rPr>
          <w:sz w:val="20"/>
          <w:szCs w:val="20"/>
        </w:rPr>
        <w:t>So</w:t>
      </w:r>
      <w:proofErr w:type="gramEnd"/>
      <w:r w:rsidRPr="006A5892">
        <w:rPr>
          <w:sz w:val="20"/>
          <w:szCs w:val="20"/>
        </w:rPr>
        <w:t xml:space="preserve"> when land use change or emissions due to management are excluded this value of 0.4 kg </w:t>
      </w:r>
      <w:proofErr w:type="spellStart"/>
      <w:r w:rsidRPr="006A5892">
        <w:rPr>
          <w:sz w:val="20"/>
          <w:szCs w:val="20"/>
        </w:rPr>
        <w:t>CO₂e</w:t>
      </w:r>
      <w:proofErr w:type="spellEnd"/>
      <w:r w:rsidRPr="006A5892">
        <w:rPr>
          <w:sz w:val="20"/>
          <w:szCs w:val="20"/>
        </w:rPr>
        <w:t xml:space="preserve">/kg due to </w:t>
      </w:r>
      <w:proofErr w:type="gramStart"/>
      <w:r w:rsidRPr="006A5892">
        <w:rPr>
          <w:sz w:val="20"/>
          <w:szCs w:val="20"/>
        </w:rPr>
        <w:t>heavy-drying</w:t>
      </w:r>
      <w:proofErr w:type="gramEnd"/>
      <w:r w:rsidRPr="006A5892">
        <w:rPr>
          <w:sz w:val="20"/>
          <w:szCs w:val="20"/>
        </w:rPr>
        <w:t xml:space="preserve"> can increase the carbon footprint multiple times. </w:t>
      </w:r>
      <w:r w:rsidR="00BA642B" w:rsidRPr="00B003E9">
        <w:rPr>
          <w:b/>
          <w:bCs/>
          <w:sz w:val="20"/>
          <w:szCs w:val="20"/>
        </w:rPr>
        <w:t>Alternatively,</w:t>
      </w:r>
      <w:r w:rsidRPr="006A5892">
        <w:rPr>
          <w:sz w:val="20"/>
          <w:szCs w:val="20"/>
        </w:rPr>
        <w:t xml:space="preserve"> under conditions without emissions due to land use change but with organic fertilizers (post cleaning residue) and husk composting, this additional drying related footprint will increase the carbon footprint by 20-30%, a considerable hotspot.</w:t>
      </w:r>
    </w:p>
    <w:p w14:paraId="361A6F37" w14:textId="77777777" w:rsidR="00906C07" w:rsidRPr="006A5892" w:rsidRDefault="00906C07" w:rsidP="00906C07">
      <w:pPr>
        <w:rPr>
          <w:sz w:val="20"/>
          <w:szCs w:val="20"/>
        </w:rPr>
      </w:pPr>
    </w:p>
    <w:p w14:paraId="2F2966B3" w14:textId="77777777" w:rsidR="00906C07" w:rsidRPr="006A5892" w:rsidRDefault="00906C07" w:rsidP="00906C07">
      <w:pPr>
        <w:rPr>
          <w:sz w:val="20"/>
          <w:szCs w:val="20"/>
        </w:rPr>
      </w:pPr>
      <w:r w:rsidRPr="006A5892">
        <w:rPr>
          <w:sz w:val="20"/>
          <w:szCs w:val="20"/>
        </w:rPr>
        <w:t xml:space="preserve">Road quality can increase the environmental impact associated with transportation especially when considering a longer journey leg. It is likely that coco agroforestry systems present similar carbon stocks and biodiversity services as secondary forestry, what the biodiversity benefits are more fragile due to risk of fragmentation etc. However, the carbon and biodiversity benefits of agroforestry are </w:t>
      </w:r>
      <w:proofErr w:type="spellStart"/>
      <w:r w:rsidRPr="006A5892">
        <w:rPr>
          <w:sz w:val="20"/>
          <w:szCs w:val="20"/>
        </w:rPr>
        <w:t>maximised</w:t>
      </w:r>
      <w:proofErr w:type="spellEnd"/>
      <w:r w:rsidRPr="006A5892">
        <w:rPr>
          <w:sz w:val="20"/>
          <w:szCs w:val="20"/>
        </w:rPr>
        <w:t xml:space="preserve"> when low canopy systems are transitioned into agroforestry, as opposed to secondary forestry being converted into agroforestry.</w:t>
      </w:r>
    </w:p>
    <w:p w14:paraId="6255B312" w14:textId="77777777" w:rsidR="00906C07" w:rsidRPr="006A5892" w:rsidRDefault="00906C07" w:rsidP="00906C07">
      <w:pPr>
        <w:rPr>
          <w:sz w:val="20"/>
          <w:szCs w:val="20"/>
        </w:rPr>
      </w:pPr>
    </w:p>
    <w:p w14:paraId="0CC3B5C6" w14:textId="77777777" w:rsidR="00906C07" w:rsidRPr="006A5892" w:rsidRDefault="00906C07" w:rsidP="00906C07">
      <w:pPr>
        <w:rPr>
          <w:rFonts w:cs="Open Sans"/>
          <w:sz w:val="20"/>
          <w:szCs w:val="20"/>
        </w:rPr>
      </w:pPr>
      <w:r w:rsidRPr="006A5892">
        <w:rPr>
          <w:sz w:val="20"/>
          <w:szCs w:val="20"/>
        </w:rPr>
        <w:t>Agroforestry systems are perceived as providing a climate adaptation service through the increased shade but are not immune to climate impacts. Farmers are becoming more aware of rising heat, irregular rainfall, and increased crop stress. Younger cocoa trees are likely to be more vulnerable than mature trees, especially in poorly shaded areas. The risk of contamination arises from activities outside those associated with farming practices and can include diffuse sources. Proximity to traffic, artificial driers and (any) trace quantities of pesticides will potentially result in noncompliance with organic standards due to heavy metal, PAH or pesticide residue contamination. The latter is the most consequential as the allowable limit is effectively zero.</w:t>
      </w:r>
    </w:p>
    <w:p w14:paraId="08B02914" w14:textId="0BC4EE54" w:rsidR="00752F47" w:rsidRPr="00F32004" w:rsidRDefault="00752F47" w:rsidP="00F32004">
      <w:pPr>
        <w:pStyle w:val="Heading1"/>
      </w:pPr>
      <w:bookmarkStart w:id="193" w:name="_Toc228701057"/>
      <w:r w:rsidRPr="00F32004">
        <w:lastRenderedPageBreak/>
        <w:t>SYNTHESIS &amp; RECOMMENDATIONS</w:t>
      </w:r>
      <w:bookmarkEnd w:id="193"/>
    </w:p>
    <w:p w14:paraId="2951BA6D" w14:textId="3D12858F" w:rsidR="00F32004" w:rsidRPr="00F32004" w:rsidRDefault="00F32004" w:rsidP="00F32004">
      <w:pPr>
        <w:pStyle w:val="Heading2"/>
      </w:pPr>
      <w:bookmarkStart w:id="194" w:name="_Toc228701058"/>
      <w:bookmarkEnd w:id="6"/>
      <w:r w:rsidRPr="00F32004">
        <w:t>Summary of Main Findings</w:t>
      </w:r>
      <w:bookmarkEnd w:id="194"/>
    </w:p>
    <w:p w14:paraId="56B03D0C" w14:textId="001B3FF9" w:rsidR="00F32004" w:rsidRPr="00A972F9" w:rsidRDefault="00111B44" w:rsidP="00F32004">
      <w:pPr>
        <w:rPr>
          <w:sz w:val="20"/>
          <w:szCs w:val="20"/>
        </w:rPr>
      </w:pPr>
      <w:r w:rsidRPr="00111B44">
        <w:rPr>
          <w:sz w:val="20"/>
          <w:szCs w:val="20"/>
        </w:rPr>
        <w:t>The analysis of the Sierra Leone cocoa value chain highlights a sector with strong economic potential but constrained by structural weaknesses that limit its inclusiveness, social outcomes, and environmental sustainability. Across the three analytical dimensions, a consistent pattern emerges: while the value chain performs well at an aggregate level, its underlying foundations remain fragile</w:t>
      </w:r>
      <w:r w:rsidR="00F32004" w:rsidRPr="00A972F9">
        <w:rPr>
          <w:sz w:val="20"/>
          <w:szCs w:val="20"/>
        </w:rPr>
        <w:t>.</w:t>
      </w:r>
    </w:p>
    <w:p w14:paraId="4222EA9F" w14:textId="3C43464A" w:rsidR="00F32004" w:rsidRPr="00F32004" w:rsidRDefault="00F32004" w:rsidP="00F32004">
      <w:pPr>
        <w:pStyle w:val="Heading3"/>
      </w:pPr>
      <w:bookmarkStart w:id="195" w:name="_Toc228701059"/>
      <w:r w:rsidRPr="00F32004">
        <w:t>Economic Analysis: Contribution to Growth and Inclusiveness</w:t>
      </w:r>
      <w:bookmarkEnd w:id="195"/>
    </w:p>
    <w:p w14:paraId="495F4705" w14:textId="6DE077DC" w:rsidR="00111B44" w:rsidRPr="00111B44" w:rsidRDefault="00111B44" w:rsidP="00111B44">
      <w:pPr>
        <w:rPr>
          <w:sz w:val="20"/>
          <w:szCs w:val="20"/>
          <w:lang w:val="en-GB"/>
        </w:rPr>
      </w:pPr>
      <w:r w:rsidRPr="00111B44">
        <w:rPr>
          <w:sz w:val="20"/>
          <w:szCs w:val="20"/>
          <w:lang w:val="en-GB"/>
        </w:rPr>
        <w:t>The economic analysis shows that the Sierra Leone cocoa value chain is a competitive and growth-generating sector, with strong contributions to national income, foreign exchange earnings, and rural livelihoods. The value chain generates substantial value added (2,831 MSLE), contributing approximately 1.8% to national GDP and 4.2% to agricultural GDP, while maintaining a high degree of domestic integration (88.5%) and a significant trade surplus. Its international competitiveness is confirmed by a low Domestic Resource Cost (0.10) and near-parity pricing with global markets, reflecting efficient use of domestic factors and limited dependence on imported inputs.</w:t>
      </w:r>
    </w:p>
    <w:p w14:paraId="67346BE2" w14:textId="77777777" w:rsidR="00111B44" w:rsidRPr="00111B44" w:rsidRDefault="00111B44" w:rsidP="00111B44">
      <w:pPr>
        <w:rPr>
          <w:sz w:val="20"/>
          <w:szCs w:val="20"/>
          <w:lang w:val="en-GB"/>
        </w:rPr>
      </w:pPr>
    </w:p>
    <w:p w14:paraId="611B9F42" w14:textId="77777777" w:rsidR="00111B44" w:rsidRPr="00111B44" w:rsidRDefault="00111B44" w:rsidP="00111B44">
      <w:pPr>
        <w:rPr>
          <w:sz w:val="20"/>
          <w:szCs w:val="20"/>
          <w:lang w:val="en-GB"/>
        </w:rPr>
      </w:pPr>
      <w:r w:rsidRPr="00111B44">
        <w:rPr>
          <w:sz w:val="20"/>
          <w:szCs w:val="20"/>
          <w:lang w:val="en-GB"/>
        </w:rPr>
        <w:t>At the microeconomic level, all actors operate profitably, though with marked heterogeneity. Smallholders achieve high profit margins due to low input use, yet their absolute incomes remain low, reflecting small scale and limited productivity. Downstream actors, particularly exporters, capture substantial absolute profits through scale and market access.</w:t>
      </w:r>
    </w:p>
    <w:p w14:paraId="7BB97EDD" w14:textId="77777777" w:rsidR="00111B44" w:rsidRPr="00111B44" w:rsidRDefault="00111B44" w:rsidP="00111B44">
      <w:pPr>
        <w:rPr>
          <w:sz w:val="20"/>
          <w:szCs w:val="20"/>
          <w:lang w:val="en-GB"/>
        </w:rPr>
      </w:pPr>
    </w:p>
    <w:p w14:paraId="1644E6F7" w14:textId="77777777" w:rsidR="00111B44" w:rsidRPr="00111B44" w:rsidRDefault="00111B44" w:rsidP="00111B44">
      <w:pPr>
        <w:rPr>
          <w:sz w:val="20"/>
          <w:szCs w:val="20"/>
          <w:lang w:val="en-GB"/>
        </w:rPr>
      </w:pPr>
      <w:r w:rsidRPr="00111B44">
        <w:rPr>
          <w:sz w:val="20"/>
          <w:szCs w:val="20"/>
          <w:lang w:val="en-GB"/>
        </w:rPr>
        <w:t xml:space="preserve">Despite these </w:t>
      </w:r>
      <w:proofErr w:type="gramStart"/>
      <w:r w:rsidRPr="00111B44">
        <w:rPr>
          <w:sz w:val="20"/>
          <w:szCs w:val="20"/>
          <w:lang w:val="en-GB"/>
        </w:rPr>
        <w:t>positive growth</w:t>
      </w:r>
      <w:proofErr w:type="gramEnd"/>
      <w:r w:rsidRPr="00111B44">
        <w:rPr>
          <w:sz w:val="20"/>
          <w:szCs w:val="20"/>
          <w:lang w:val="en-GB"/>
        </w:rPr>
        <w:t xml:space="preserve"> outcomes, the value chain exhibits significant structural constraints to inclusiveness. Income distribution is highly unequal, with a Gini coefficient of 0.62, indicating strong concentration of profits among a small number of actors. While smallholders account for </w:t>
      </w:r>
      <w:proofErr w:type="gramStart"/>
      <w:r w:rsidRPr="00111B44">
        <w:rPr>
          <w:sz w:val="20"/>
          <w:szCs w:val="20"/>
          <w:lang w:val="en-GB"/>
        </w:rPr>
        <w:t>the majority of</w:t>
      </w:r>
      <w:proofErr w:type="gramEnd"/>
      <w:r w:rsidRPr="00111B44">
        <w:rPr>
          <w:sz w:val="20"/>
          <w:szCs w:val="20"/>
          <w:lang w:val="en-GB"/>
        </w:rPr>
        <w:t xml:space="preserve"> participants and a large share of value added, their incomes remain modest and largely derived from unpaid family labour. Wage employment is concentrated in primary production but is predominantly informal, seasonal, and low-paid, with limited opportunities for stable and higher-quality jobs. Gender disparities persist, particularly in downstream and decision-making roles.</w:t>
      </w:r>
    </w:p>
    <w:p w14:paraId="6C5D3CD0" w14:textId="77777777" w:rsidR="00111B44" w:rsidRPr="00111B44" w:rsidRDefault="00111B44" w:rsidP="00111B44">
      <w:pPr>
        <w:rPr>
          <w:sz w:val="20"/>
          <w:szCs w:val="20"/>
          <w:lang w:val="en-GB"/>
        </w:rPr>
      </w:pPr>
    </w:p>
    <w:p w14:paraId="508FB9DD" w14:textId="33E4B0E2" w:rsidR="00F32004" w:rsidRPr="00111B44" w:rsidRDefault="00111B44" w:rsidP="00111B44">
      <w:pPr>
        <w:rPr>
          <w:sz w:val="20"/>
          <w:szCs w:val="20"/>
          <w:lang w:val="en-GB"/>
        </w:rPr>
      </w:pPr>
      <w:r w:rsidRPr="00111B44">
        <w:rPr>
          <w:sz w:val="20"/>
          <w:szCs w:val="20"/>
          <w:lang w:val="en-GB"/>
        </w:rPr>
        <w:t>Governance structures further shape these outcomes. Weak cooperatives, strong dependence on exporters for finance and market access, and barriers to certification and credit constrain smallholder participation in higher-value segments. As a result, the value chain is broadly participatory but only partially inclusive, with limited transmission of growth into sustained income improvements for producers</w:t>
      </w:r>
      <w:r w:rsidR="00F32004" w:rsidRPr="00111B44">
        <w:rPr>
          <w:sz w:val="20"/>
          <w:szCs w:val="20"/>
          <w:lang w:val="en-GB"/>
        </w:rPr>
        <w:t>.</w:t>
      </w:r>
    </w:p>
    <w:p w14:paraId="2ABC6CC2" w14:textId="22738013" w:rsidR="00F32004" w:rsidRPr="00F32004" w:rsidRDefault="00F32004" w:rsidP="00F32004">
      <w:pPr>
        <w:pStyle w:val="Heading3"/>
      </w:pPr>
      <w:bookmarkStart w:id="196" w:name="_Toc228701060"/>
      <w:r w:rsidRPr="00F32004">
        <w:t>Social Analysis: Social Sustainability</w:t>
      </w:r>
      <w:bookmarkEnd w:id="196"/>
    </w:p>
    <w:p w14:paraId="1DC922B4" w14:textId="79F3D8EC" w:rsidR="00111B44" w:rsidRPr="00111B44" w:rsidRDefault="00111B44" w:rsidP="00111B44">
      <w:pPr>
        <w:rPr>
          <w:sz w:val="20"/>
          <w:szCs w:val="20"/>
        </w:rPr>
      </w:pPr>
      <w:r w:rsidRPr="00111B44">
        <w:rPr>
          <w:sz w:val="20"/>
          <w:szCs w:val="20"/>
        </w:rPr>
        <w:t xml:space="preserve">The social analysis indicates that the cocoa value chain is not yet socially sustainable, despite its central role in supporting rural livelihoods. The sector generates employment and income opportunities for </w:t>
      </w:r>
      <w:proofErr w:type="gramStart"/>
      <w:r w:rsidRPr="00111B44">
        <w:rPr>
          <w:sz w:val="20"/>
          <w:szCs w:val="20"/>
        </w:rPr>
        <w:t>a large number of</w:t>
      </w:r>
      <w:proofErr w:type="gramEnd"/>
      <w:r w:rsidRPr="00111B44">
        <w:rPr>
          <w:sz w:val="20"/>
          <w:szCs w:val="20"/>
        </w:rPr>
        <w:t xml:space="preserve"> households, but these do not translate into adequate living standards or resilient livelihoods.</w:t>
      </w:r>
    </w:p>
    <w:p w14:paraId="48451328" w14:textId="77777777" w:rsidR="00111B44" w:rsidRPr="00111B44" w:rsidRDefault="00111B44" w:rsidP="00111B44">
      <w:pPr>
        <w:rPr>
          <w:sz w:val="20"/>
          <w:szCs w:val="20"/>
        </w:rPr>
      </w:pPr>
    </w:p>
    <w:p w14:paraId="1CFCAF1D" w14:textId="3D223EC6" w:rsidR="00111B44" w:rsidRPr="00111B44" w:rsidRDefault="00111B44" w:rsidP="00111B44">
      <w:pPr>
        <w:rPr>
          <w:sz w:val="20"/>
          <w:szCs w:val="20"/>
        </w:rPr>
      </w:pPr>
      <w:r w:rsidRPr="00111B44">
        <w:rPr>
          <w:sz w:val="20"/>
          <w:szCs w:val="20"/>
        </w:rPr>
        <w:t xml:space="preserve">Working conditions remain constrained by informality, weak enforcement of </w:t>
      </w:r>
      <w:proofErr w:type="spellStart"/>
      <w:r w:rsidRPr="00111B44">
        <w:rPr>
          <w:sz w:val="20"/>
          <w:szCs w:val="20"/>
        </w:rPr>
        <w:t>labour</w:t>
      </w:r>
      <w:proofErr w:type="spellEnd"/>
      <w:r w:rsidRPr="00111B44">
        <w:rPr>
          <w:sz w:val="20"/>
          <w:szCs w:val="20"/>
        </w:rPr>
        <w:t xml:space="preserve"> standards, and income instability. The </w:t>
      </w:r>
      <w:proofErr w:type="spellStart"/>
      <w:r w:rsidRPr="00111B44">
        <w:rPr>
          <w:sz w:val="20"/>
          <w:szCs w:val="20"/>
        </w:rPr>
        <w:t>labour-intensive</w:t>
      </w:r>
      <w:proofErr w:type="spellEnd"/>
      <w:r w:rsidRPr="00111B44">
        <w:rPr>
          <w:sz w:val="20"/>
          <w:szCs w:val="20"/>
        </w:rPr>
        <w:t xml:space="preserve"> nature of cocoa production, combined with low and volatile earnings, results in widespread reliance on seasonal and informal </w:t>
      </w:r>
      <w:proofErr w:type="spellStart"/>
      <w:r w:rsidRPr="00111B44">
        <w:rPr>
          <w:sz w:val="20"/>
          <w:szCs w:val="20"/>
        </w:rPr>
        <w:t>labour</w:t>
      </w:r>
      <w:proofErr w:type="spellEnd"/>
      <w:r w:rsidRPr="00111B44">
        <w:rPr>
          <w:sz w:val="20"/>
          <w:szCs w:val="20"/>
        </w:rPr>
        <w:t xml:space="preserve"> arrangements. </w:t>
      </w:r>
      <w:r w:rsidRPr="00111B44">
        <w:rPr>
          <w:sz w:val="20"/>
          <w:szCs w:val="20"/>
        </w:rPr>
        <w:lastRenderedPageBreak/>
        <w:t>Occupational risks persist, and the use of</w:t>
      </w:r>
      <w:r w:rsidR="00A941E0">
        <w:rPr>
          <w:sz w:val="20"/>
          <w:szCs w:val="20"/>
        </w:rPr>
        <w:t xml:space="preserve"> intra-household</w:t>
      </w:r>
      <w:r w:rsidRPr="00111B44">
        <w:rPr>
          <w:sz w:val="20"/>
          <w:szCs w:val="20"/>
        </w:rPr>
        <w:t xml:space="preserve"> child </w:t>
      </w:r>
      <w:proofErr w:type="spellStart"/>
      <w:r w:rsidRPr="00111B44">
        <w:rPr>
          <w:sz w:val="20"/>
          <w:szCs w:val="20"/>
        </w:rPr>
        <w:t>labour</w:t>
      </w:r>
      <w:proofErr w:type="spellEnd"/>
      <w:r w:rsidRPr="00111B44">
        <w:rPr>
          <w:sz w:val="20"/>
          <w:szCs w:val="20"/>
        </w:rPr>
        <w:t xml:space="preserve"> remains a coping mechanism in the context of household vulnerability.</w:t>
      </w:r>
    </w:p>
    <w:p w14:paraId="24D6AD40" w14:textId="77777777" w:rsidR="00111B44" w:rsidRPr="00111B44" w:rsidRDefault="00111B44" w:rsidP="00111B44">
      <w:pPr>
        <w:rPr>
          <w:sz w:val="20"/>
          <w:szCs w:val="20"/>
        </w:rPr>
      </w:pPr>
    </w:p>
    <w:p w14:paraId="5AC12F30" w14:textId="77777777" w:rsidR="00111B44" w:rsidRPr="00111B44" w:rsidRDefault="00111B44" w:rsidP="00111B44">
      <w:pPr>
        <w:rPr>
          <w:sz w:val="20"/>
          <w:szCs w:val="20"/>
        </w:rPr>
      </w:pPr>
      <w:r w:rsidRPr="00111B44">
        <w:rPr>
          <w:sz w:val="20"/>
          <w:szCs w:val="20"/>
        </w:rPr>
        <w:t>Land governance shows partial progress, supported by recent legal reforms, but implementation remains uneven and continues to reflect customary tenure systems. Gender inequality is a structural feature of the value chain. Women play a critical role in production and post-harvest activities but face persistent barriers in access to land, finance, and decision-making power, and remain underrepresented in leadership positions.</w:t>
      </w:r>
    </w:p>
    <w:p w14:paraId="403C3475" w14:textId="77777777" w:rsidR="00111B44" w:rsidRPr="00111B44" w:rsidRDefault="00111B44" w:rsidP="00111B44">
      <w:pPr>
        <w:rPr>
          <w:sz w:val="20"/>
          <w:szCs w:val="20"/>
        </w:rPr>
      </w:pPr>
    </w:p>
    <w:p w14:paraId="60B5352F" w14:textId="77777777" w:rsidR="00111B44" w:rsidRPr="00111B44" w:rsidRDefault="00111B44" w:rsidP="00111B44">
      <w:pPr>
        <w:rPr>
          <w:sz w:val="20"/>
          <w:szCs w:val="20"/>
        </w:rPr>
      </w:pPr>
      <w:r w:rsidRPr="00111B44">
        <w:rPr>
          <w:sz w:val="20"/>
          <w:szCs w:val="20"/>
        </w:rPr>
        <w:t xml:space="preserve">Food and nutrition security is a major concern, particularly in cocoa-producing areas. Households experience pronounced seasonal food shortages and </w:t>
      </w:r>
      <w:proofErr w:type="gramStart"/>
      <w:r w:rsidRPr="00111B44">
        <w:rPr>
          <w:sz w:val="20"/>
          <w:szCs w:val="20"/>
        </w:rPr>
        <w:t>rely</w:t>
      </w:r>
      <w:proofErr w:type="gramEnd"/>
      <w:r w:rsidRPr="00111B44">
        <w:rPr>
          <w:sz w:val="20"/>
          <w:szCs w:val="20"/>
        </w:rPr>
        <w:t xml:space="preserve"> heavily on informal credit during the pre-harvest period, reinforcing cycles of indebtedness and vulnerability. Social capital exists but remains limited in its effectiveness. Producer </w:t>
      </w:r>
      <w:proofErr w:type="spellStart"/>
      <w:r w:rsidRPr="00111B44">
        <w:rPr>
          <w:sz w:val="20"/>
          <w:szCs w:val="20"/>
        </w:rPr>
        <w:t>organisations</w:t>
      </w:r>
      <w:proofErr w:type="spellEnd"/>
      <w:r w:rsidRPr="00111B44">
        <w:rPr>
          <w:sz w:val="20"/>
          <w:szCs w:val="20"/>
        </w:rPr>
        <w:t xml:space="preserve"> are often weakly </w:t>
      </w:r>
      <w:proofErr w:type="spellStart"/>
      <w:r w:rsidRPr="00111B44">
        <w:rPr>
          <w:sz w:val="20"/>
          <w:szCs w:val="20"/>
        </w:rPr>
        <w:t>institutionalised</w:t>
      </w:r>
      <w:proofErr w:type="spellEnd"/>
      <w:r w:rsidRPr="00111B44">
        <w:rPr>
          <w:sz w:val="20"/>
          <w:szCs w:val="20"/>
        </w:rPr>
        <w:t xml:space="preserve"> and lack the capacity to improve bargaining power or facilitate access to higher-value markets.</w:t>
      </w:r>
    </w:p>
    <w:p w14:paraId="22C62D42" w14:textId="77777777" w:rsidR="00111B44" w:rsidRPr="00111B44" w:rsidRDefault="00111B44" w:rsidP="00111B44">
      <w:pPr>
        <w:rPr>
          <w:sz w:val="20"/>
          <w:szCs w:val="20"/>
        </w:rPr>
      </w:pPr>
    </w:p>
    <w:p w14:paraId="27C30702" w14:textId="77777777" w:rsidR="00111B44" w:rsidRPr="00111B44" w:rsidRDefault="00111B44" w:rsidP="00111B44">
      <w:pPr>
        <w:rPr>
          <w:sz w:val="20"/>
          <w:szCs w:val="20"/>
        </w:rPr>
      </w:pPr>
      <w:r w:rsidRPr="00111B44">
        <w:rPr>
          <w:sz w:val="20"/>
          <w:szCs w:val="20"/>
        </w:rPr>
        <w:t>Living conditions in cocoa-producing regions remain constrained by limited access to essential services, including healthcare, education, and infrastructure. These structural deficits further weaken the link between participation in the value chain and improvements in well-being.</w:t>
      </w:r>
    </w:p>
    <w:p w14:paraId="7FF09CE2" w14:textId="77777777" w:rsidR="00111B44" w:rsidRPr="00111B44" w:rsidRDefault="00111B44" w:rsidP="00111B44">
      <w:pPr>
        <w:rPr>
          <w:sz w:val="20"/>
          <w:szCs w:val="20"/>
        </w:rPr>
      </w:pPr>
    </w:p>
    <w:p w14:paraId="7F198877" w14:textId="350B3F04" w:rsidR="00F32004" w:rsidRPr="00A972F9" w:rsidRDefault="00111B44" w:rsidP="00111B44">
      <w:pPr>
        <w:rPr>
          <w:sz w:val="20"/>
          <w:szCs w:val="20"/>
        </w:rPr>
      </w:pPr>
      <w:r w:rsidRPr="00111B44">
        <w:rPr>
          <w:sz w:val="20"/>
          <w:szCs w:val="20"/>
        </w:rPr>
        <w:t xml:space="preserve">Overall, the social analysis demonstrates that while the cocoa sector provides livelihoods, it does not yet deliver socially sustainable outcomes. Low and unstable incomes at the farm level are the central constraint, shaping </w:t>
      </w:r>
      <w:proofErr w:type="spellStart"/>
      <w:r w:rsidRPr="00111B44">
        <w:rPr>
          <w:sz w:val="20"/>
          <w:szCs w:val="20"/>
        </w:rPr>
        <w:t>labour</w:t>
      </w:r>
      <w:proofErr w:type="spellEnd"/>
      <w:r w:rsidRPr="00111B44">
        <w:rPr>
          <w:sz w:val="20"/>
          <w:szCs w:val="20"/>
        </w:rPr>
        <w:t xml:space="preserve"> conditions, food security, gender inequality, and broader welfare outcomes.</w:t>
      </w:r>
    </w:p>
    <w:p w14:paraId="25CFD829" w14:textId="4CBF7C34" w:rsidR="00F32004" w:rsidRPr="00F32004" w:rsidRDefault="00F32004" w:rsidP="00F32004">
      <w:pPr>
        <w:pStyle w:val="Heading3"/>
      </w:pPr>
      <w:bookmarkStart w:id="197" w:name="_Toc228701061"/>
      <w:r w:rsidRPr="00F32004">
        <w:t>Environmental Analysis: Environmental Sustainability</w:t>
      </w:r>
      <w:bookmarkEnd w:id="197"/>
    </w:p>
    <w:p w14:paraId="7EEAC0EE" w14:textId="576589B9" w:rsidR="00F07C49" w:rsidRPr="00111B44" w:rsidRDefault="00BA642B" w:rsidP="00F07C49">
      <w:pPr>
        <w:rPr>
          <w:sz w:val="20"/>
          <w:szCs w:val="20"/>
        </w:rPr>
      </w:pPr>
      <w:r w:rsidRPr="00111B44">
        <w:rPr>
          <w:sz w:val="20"/>
          <w:szCs w:val="20"/>
        </w:rPr>
        <w:t>Environmental</w:t>
      </w:r>
      <w:r w:rsidR="00F07C49" w:rsidRPr="00111B44">
        <w:rPr>
          <w:sz w:val="20"/>
          <w:szCs w:val="20"/>
        </w:rPr>
        <w:t xml:space="preserve"> analysis presents a conditional assessment of sustainability, with outcomes largely determined by land-use practices, agroforestry management, and post-harvest technologies.</w:t>
      </w:r>
    </w:p>
    <w:p w14:paraId="0EF8741C" w14:textId="77777777" w:rsidR="00F07C49" w:rsidRPr="00111B44" w:rsidRDefault="00F07C49" w:rsidP="00F07C49">
      <w:pPr>
        <w:rPr>
          <w:sz w:val="20"/>
          <w:szCs w:val="20"/>
        </w:rPr>
      </w:pPr>
    </w:p>
    <w:p w14:paraId="6C8AFD35" w14:textId="77777777" w:rsidR="00F07C49" w:rsidRDefault="00F07C49" w:rsidP="00F07C49">
      <w:pPr>
        <w:rPr>
          <w:sz w:val="20"/>
          <w:szCs w:val="20"/>
        </w:rPr>
      </w:pPr>
      <w:r w:rsidRPr="00111B44">
        <w:rPr>
          <w:sz w:val="20"/>
          <w:szCs w:val="20"/>
        </w:rPr>
        <w:t>Cocoa production in Sierra Leone is predominantly based on agroforestry systems, which provide important environmental benefits, including carbon sequestration, biodiversity conservation, and soil protection. These systems offer a strong foundation for environmentally sustainable production when maintained on existing agricultural land.</w:t>
      </w:r>
      <w:r>
        <w:rPr>
          <w:sz w:val="20"/>
          <w:szCs w:val="20"/>
        </w:rPr>
        <w:t xml:space="preserve"> </w:t>
      </w:r>
      <w:r w:rsidRPr="00111B44">
        <w:rPr>
          <w:sz w:val="20"/>
          <w:szCs w:val="20"/>
        </w:rPr>
        <w:t>However, sustainability is highly sensitive to land-use change. Expansion into forested areas poses significant risks in terms of carbon emissions, biodiversity loss, and compliance with international regulations, particularly the EU Deforestation Regulation. Low productivity exacerbates these risks by increasing pressure on land, as greater area is required to maintain production levels.</w:t>
      </w:r>
    </w:p>
    <w:p w14:paraId="42C1C0CC" w14:textId="6CF7B4A8" w:rsidR="00B46545" w:rsidRDefault="00B46545" w:rsidP="00F07C49">
      <w:pPr>
        <w:rPr>
          <w:sz w:val="20"/>
          <w:szCs w:val="20"/>
        </w:rPr>
      </w:pPr>
      <w:r w:rsidRPr="00B46545">
        <w:rPr>
          <w:sz w:val="20"/>
          <w:szCs w:val="20"/>
        </w:rPr>
        <w:t xml:space="preserve">Recent deforestation in Sierra Leone should be understood not only as a historical trend but also as an ongoing, spatially dynamic process. Global Forest Watch data indicate that, even in the most recent period, tree cover loss remains concentrated within natural forest areas, suggesting that recent losses are not limited to plantation turnover or temporary changes in tree crops, but continue to affect forest systems with ecological and carbon significance. However, agroforestry systems and shifting cultivation are also important drivers of short-term land-use dynamics, and the gross tree-cover loss data presented here do not account for subsequent reforestation or vegetation regrowth. For this reason, land area alone is a limited indicator of impact, since the consequences of land-use change depend on both the type of vegetation removed and the type and canopy structure of the land cover that replaces it. Recent GLAD disturbance alerts further show that forest disturbance is still occurring at short time scales; at the time of writing, 40,843 alerts had been detected over the previous four weeks, affecting approximately 500 ha, mainly in the Northern and Eastern regions. These alerts should be interpreted as near-real-time indicators of possible disturbance rather than confirmed permanent deforestation, but they reinforce the </w:t>
      </w:r>
      <w:r w:rsidRPr="00B46545">
        <w:rPr>
          <w:sz w:val="20"/>
          <w:szCs w:val="20"/>
        </w:rPr>
        <w:lastRenderedPageBreak/>
        <w:t>need for continued monitoring, ground verification and high-resolution spatial assessment, particularly in the context of EUDR implementation and the complexity of monitoring agroforestry landscapes at the national scale.</w:t>
      </w:r>
    </w:p>
    <w:p w14:paraId="5A048875" w14:textId="77777777" w:rsidR="00B46545" w:rsidRDefault="00B46545" w:rsidP="00F07C49">
      <w:pPr>
        <w:rPr>
          <w:sz w:val="20"/>
          <w:szCs w:val="20"/>
        </w:rPr>
      </w:pPr>
    </w:p>
    <w:p w14:paraId="2450045D" w14:textId="25C2F1C4" w:rsidR="00F07C49" w:rsidRPr="00111B44" w:rsidRDefault="00F07C49" w:rsidP="00F07C49">
      <w:pPr>
        <w:rPr>
          <w:sz w:val="20"/>
          <w:szCs w:val="20"/>
        </w:rPr>
      </w:pPr>
      <w:r w:rsidRPr="00111B44">
        <w:rPr>
          <w:sz w:val="20"/>
          <w:szCs w:val="20"/>
        </w:rPr>
        <w:t xml:space="preserve">Environmental impacts vary significantly depending on production and processing practices. </w:t>
      </w:r>
      <w:r>
        <w:rPr>
          <w:sz w:val="20"/>
          <w:szCs w:val="20"/>
        </w:rPr>
        <w:t xml:space="preserve">Low productivity is a trade-off as less productive farms allow more carbon storage per </w:t>
      </w:r>
      <w:proofErr w:type="spellStart"/>
      <w:r>
        <w:rPr>
          <w:sz w:val="20"/>
          <w:szCs w:val="20"/>
        </w:rPr>
        <w:t>tonne</w:t>
      </w:r>
      <w:proofErr w:type="spellEnd"/>
      <w:r>
        <w:rPr>
          <w:sz w:val="20"/>
          <w:szCs w:val="20"/>
        </w:rPr>
        <w:t xml:space="preserve"> of cocoa but presents reduced economic benefits and incentives land expansion. </w:t>
      </w:r>
      <w:r w:rsidRPr="00111B44">
        <w:rPr>
          <w:sz w:val="20"/>
          <w:szCs w:val="20"/>
        </w:rPr>
        <w:t xml:space="preserve">Agroforestry systems can act as net carbon sinks under appropriate conditions, while deforestation-related expansion results in substantial emissions. Post-harvest practices, particularly drying methods, represent an important environmental </w:t>
      </w:r>
      <w:proofErr w:type="gramStart"/>
      <w:r w:rsidRPr="00111B44">
        <w:rPr>
          <w:sz w:val="20"/>
          <w:szCs w:val="20"/>
        </w:rPr>
        <w:t>lever</w:t>
      </w:r>
      <w:proofErr w:type="gramEnd"/>
      <w:r w:rsidRPr="00111B44">
        <w:rPr>
          <w:sz w:val="20"/>
          <w:szCs w:val="20"/>
        </w:rPr>
        <w:t>. Traditional sun-drying has relatively low impact, whereas mechanical drying, especially when powered by fossil fuels, significantly increases emissions and resource use.</w:t>
      </w:r>
    </w:p>
    <w:p w14:paraId="2CC41A2F" w14:textId="77777777" w:rsidR="00F07C49" w:rsidRPr="00111B44" w:rsidRDefault="00F07C49" w:rsidP="00F07C49">
      <w:pPr>
        <w:rPr>
          <w:sz w:val="20"/>
          <w:szCs w:val="20"/>
        </w:rPr>
      </w:pPr>
    </w:p>
    <w:p w14:paraId="7A2D51F7" w14:textId="2B56D26C" w:rsidR="00F07C49" w:rsidRDefault="00F07C49" w:rsidP="00F07C49">
      <w:pPr>
        <w:rPr>
          <w:sz w:val="20"/>
          <w:szCs w:val="20"/>
        </w:rPr>
      </w:pPr>
      <w:r w:rsidRPr="00111B44">
        <w:rPr>
          <w:sz w:val="20"/>
          <w:szCs w:val="20"/>
        </w:rPr>
        <w:t>Additional risks arise from contamination, including pesticide residues and heavy metals, which have implications for both environmental sustainability and market access, particularly in organic markets.</w:t>
      </w:r>
      <w:r>
        <w:rPr>
          <w:sz w:val="20"/>
          <w:szCs w:val="20"/>
        </w:rPr>
        <w:t xml:space="preserve"> </w:t>
      </w:r>
      <w:r w:rsidRPr="00111B44">
        <w:rPr>
          <w:sz w:val="20"/>
          <w:szCs w:val="20"/>
        </w:rPr>
        <w:t>Overall, the environmental analysis concludes that the cocoa value chain can be environmentally sustainable, but only under specific conditions. These include maintaining agroforestry systems, avoiding deforestation, improving productivity on existing land, and adopting low-emission processing practices. Without these measures, environmental performance is likely to deteriorate under pressures for expansion</w:t>
      </w:r>
      <w:r w:rsidR="008D12C4">
        <w:rPr>
          <w:sz w:val="20"/>
          <w:szCs w:val="20"/>
        </w:rPr>
        <w:t xml:space="preserve"> into remaining </w:t>
      </w:r>
      <w:proofErr w:type="gramStart"/>
      <w:r w:rsidR="008D12C4">
        <w:rPr>
          <w:sz w:val="20"/>
          <w:szCs w:val="20"/>
        </w:rPr>
        <w:t>forests</w:t>
      </w:r>
      <w:r w:rsidR="00B1439D">
        <w:rPr>
          <w:sz w:val="20"/>
          <w:szCs w:val="20"/>
        </w:rPr>
        <w:t>.</w:t>
      </w:r>
      <w:r w:rsidRPr="00A972F9">
        <w:rPr>
          <w:sz w:val="20"/>
          <w:szCs w:val="20"/>
        </w:rPr>
        <w:t>.</w:t>
      </w:r>
      <w:proofErr w:type="gramEnd"/>
      <w:r w:rsidR="00B1439D">
        <w:rPr>
          <w:sz w:val="20"/>
          <w:szCs w:val="20"/>
        </w:rPr>
        <w:t xml:space="preserve"> EUDR compliance is not without its implementation challenges but offers a structured approach to assist in monitoring land use and LUC risks. However, the</w:t>
      </w:r>
      <w:r w:rsidR="000D61C0">
        <w:rPr>
          <w:sz w:val="20"/>
          <w:szCs w:val="20"/>
        </w:rPr>
        <w:t xml:space="preserve"> full</w:t>
      </w:r>
      <w:r w:rsidR="00B1439D">
        <w:rPr>
          <w:sz w:val="20"/>
          <w:szCs w:val="20"/>
        </w:rPr>
        <w:t xml:space="preserve"> benefits of EUDR compliance (i.e. access to EU markets</w:t>
      </w:r>
      <w:r w:rsidR="000D61C0">
        <w:rPr>
          <w:sz w:val="20"/>
          <w:szCs w:val="20"/>
        </w:rPr>
        <w:t xml:space="preserve"> including organic cocoa segments</w:t>
      </w:r>
      <w:r w:rsidR="00B1439D">
        <w:rPr>
          <w:sz w:val="20"/>
          <w:szCs w:val="20"/>
        </w:rPr>
        <w:t>)</w:t>
      </w:r>
      <w:r w:rsidR="000D61C0">
        <w:rPr>
          <w:sz w:val="20"/>
          <w:szCs w:val="20"/>
        </w:rPr>
        <w:t xml:space="preserve"> cannot be guaranteed without reducing wider contamination risks.</w:t>
      </w:r>
    </w:p>
    <w:p w14:paraId="641DA306" w14:textId="297E9B67" w:rsidR="006C7FC7" w:rsidRPr="00F32004" w:rsidRDefault="006C7FC7" w:rsidP="006C7FC7">
      <w:pPr>
        <w:pStyle w:val="Heading2"/>
        <w:ind w:left="0"/>
      </w:pPr>
      <w:bookmarkStart w:id="198" w:name="_Toc228701062"/>
      <w:r>
        <w:t>Risk Analysis</w:t>
      </w:r>
      <w:bookmarkEnd w:id="198"/>
    </w:p>
    <w:p w14:paraId="600405EE" w14:textId="32BC8F8F" w:rsidR="006C7FC7" w:rsidRDefault="002C2D39" w:rsidP="002C2D39">
      <w:pPr>
        <w:rPr>
          <w:sz w:val="20"/>
          <w:szCs w:val="20"/>
        </w:rPr>
      </w:pPr>
      <w:r w:rsidRPr="002C2D39">
        <w:rPr>
          <w:sz w:val="20"/>
          <w:szCs w:val="20"/>
        </w:rPr>
        <w:t xml:space="preserve">The risk analysis </w:t>
      </w:r>
      <w:r>
        <w:rPr>
          <w:sz w:val="20"/>
          <w:szCs w:val="20"/>
        </w:rPr>
        <w:t xml:space="preserve">presented in </w:t>
      </w:r>
      <w:r>
        <w:rPr>
          <w:sz w:val="20"/>
          <w:szCs w:val="20"/>
        </w:rPr>
        <w:fldChar w:fldCharType="begin"/>
      </w:r>
      <w:r>
        <w:rPr>
          <w:sz w:val="20"/>
          <w:szCs w:val="20"/>
        </w:rPr>
        <w:instrText xml:space="preserve"> REF _Ref227129467 \h </w:instrText>
      </w:r>
      <w:r w:rsidR="00552A55">
        <w:rPr>
          <w:sz w:val="20"/>
          <w:szCs w:val="20"/>
        </w:rPr>
        <w:instrText xml:space="preserve"> \* MERGEFORMAT </w:instrText>
      </w:r>
      <w:r>
        <w:rPr>
          <w:sz w:val="20"/>
          <w:szCs w:val="20"/>
        </w:rPr>
      </w:r>
      <w:r>
        <w:rPr>
          <w:sz w:val="20"/>
          <w:szCs w:val="20"/>
        </w:rPr>
        <w:fldChar w:fldCharType="separate"/>
      </w:r>
      <w:r w:rsidRPr="001F42F7">
        <w:rPr>
          <w:sz w:val="20"/>
          <w:szCs w:val="20"/>
        </w:rPr>
        <w:t>Table</w:t>
      </w:r>
      <w:r>
        <w:t xml:space="preserve"> </w:t>
      </w:r>
      <w:r>
        <w:rPr>
          <w:noProof/>
        </w:rPr>
        <w:t>6</w:t>
      </w:r>
      <w:r>
        <w:noBreakHyphen/>
      </w:r>
      <w:r>
        <w:rPr>
          <w:noProof/>
        </w:rPr>
        <w:t>1</w:t>
      </w:r>
      <w:r>
        <w:rPr>
          <w:sz w:val="20"/>
          <w:szCs w:val="20"/>
        </w:rPr>
        <w:fldChar w:fldCharType="end"/>
      </w:r>
      <w:r>
        <w:rPr>
          <w:sz w:val="20"/>
          <w:szCs w:val="20"/>
        </w:rPr>
        <w:t xml:space="preserve"> </w:t>
      </w:r>
      <w:r w:rsidRPr="002C2D39">
        <w:rPr>
          <w:sz w:val="20"/>
          <w:szCs w:val="20"/>
        </w:rPr>
        <w:t>highlights a set of interconnected vulnerabilities affecting the performance and sustainability of the Sierra Leone cocoa value chain. Market risks are significant, with strong exposure to global price volatility, directly affecting producer incomes and investment incentives. Institutional risks are equally critical, particularly gaps in traceability and compliance with the EU Deforestation Regulation (EUDR), which pose a high risk to continued access to EU markets. Weak governance structures, including limited cooperative capacity and reliance on exporters for finance, further constrain smallholder participation and upgrading</w:t>
      </w:r>
      <w:r w:rsidR="006C7FC7" w:rsidRPr="002C2D39">
        <w:rPr>
          <w:sz w:val="20"/>
          <w:szCs w:val="20"/>
        </w:rPr>
        <w:t>.</w:t>
      </w:r>
    </w:p>
    <w:p w14:paraId="189AFA01" w14:textId="77777777" w:rsidR="00F22F44" w:rsidRDefault="00F22F44" w:rsidP="002C2D39">
      <w:pPr>
        <w:rPr>
          <w:sz w:val="20"/>
          <w:szCs w:val="20"/>
        </w:rPr>
      </w:pPr>
    </w:p>
    <w:p w14:paraId="1B7D368D" w14:textId="77777777" w:rsidR="00F22F44" w:rsidRDefault="00F22F44" w:rsidP="002C2D39">
      <w:pPr>
        <w:rPr>
          <w:sz w:val="20"/>
          <w:szCs w:val="20"/>
        </w:rPr>
      </w:pPr>
    </w:p>
    <w:p w14:paraId="506C9CC7" w14:textId="77777777" w:rsidR="00F22F44" w:rsidRDefault="00F22F44" w:rsidP="002C2D39">
      <w:pPr>
        <w:rPr>
          <w:sz w:val="20"/>
          <w:szCs w:val="20"/>
        </w:rPr>
      </w:pPr>
    </w:p>
    <w:p w14:paraId="0A8F3F5E" w14:textId="77777777" w:rsidR="00F22F44" w:rsidRDefault="00F22F44" w:rsidP="002C2D39">
      <w:pPr>
        <w:rPr>
          <w:sz w:val="20"/>
          <w:szCs w:val="20"/>
        </w:rPr>
      </w:pPr>
    </w:p>
    <w:p w14:paraId="7BDC3A58" w14:textId="77777777" w:rsidR="00F22F44" w:rsidRDefault="00F22F44" w:rsidP="002C2D39">
      <w:pPr>
        <w:rPr>
          <w:sz w:val="20"/>
          <w:szCs w:val="20"/>
        </w:rPr>
      </w:pPr>
    </w:p>
    <w:p w14:paraId="72642FE3" w14:textId="77777777" w:rsidR="00F22F44" w:rsidRDefault="00F22F44" w:rsidP="002C2D39">
      <w:pPr>
        <w:rPr>
          <w:sz w:val="20"/>
          <w:szCs w:val="20"/>
        </w:rPr>
      </w:pPr>
    </w:p>
    <w:p w14:paraId="49F8DD4A" w14:textId="77777777" w:rsidR="00F22F44" w:rsidRDefault="00F22F44" w:rsidP="002C2D39">
      <w:pPr>
        <w:rPr>
          <w:sz w:val="20"/>
          <w:szCs w:val="20"/>
        </w:rPr>
      </w:pPr>
    </w:p>
    <w:p w14:paraId="3498CDE7" w14:textId="77777777" w:rsidR="00F22F44" w:rsidRDefault="00F22F44" w:rsidP="002C2D39">
      <w:pPr>
        <w:rPr>
          <w:sz w:val="20"/>
          <w:szCs w:val="20"/>
        </w:rPr>
      </w:pPr>
    </w:p>
    <w:p w14:paraId="15BA5046" w14:textId="77777777" w:rsidR="00F22F44" w:rsidRDefault="00F22F44" w:rsidP="002C2D39">
      <w:pPr>
        <w:rPr>
          <w:sz w:val="20"/>
          <w:szCs w:val="20"/>
        </w:rPr>
      </w:pPr>
    </w:p>
    <w:p w14:paraId="2EBBE579" w14:textId="77777777" w:rsidR="00F22F44" w:rsidRDefault="00F22F44" w:rsidP="002C2D39">
      <w:pPr>
        <w:rPr>
          <w:sz w:val="20"/>
          <w:szCs w:val="20"/>
        </w:rPr>
      </w:pPr>
    </w:p>
    <w:p w14:paraId="529427CC" w14:textId="77777777" w:rsidR="00F22F44" w:rsidRDefault="00F22F44" w:rsidP="002C2D39">
      <w:pPr>
        <w:rPr>
          <w:sz w:val="20"/>
          <w:szCs w:val="20"/>
        </w:rPr>
      </w:pPr>
    </w:p>
    <w:p w14:paraId="3FB10F03" w14:textId="77777777" w:rsidR="00F22F44" w:rsidRDefault="00F22F44" w:rsidP="002C2D39">
      <w:pPr>
        <w:rPr>
          <w:sz w:val="20"/>
          <w:szCs w:val="20"/>
        </w:rPr>
      </w:pPr>
    </w:p>
    <w:p w14:paraId="554209AA" w14:textId="77777777" w:rsidR="00F22F44" w:rsidRDefault="00F22F44" w:rsidP="002C2D39">
      <w:pPr>
        <w:rPr>
          <w:sz w:val="20"/>
          <w:szCs w:val="20"/>
        </w:rPr>
      </w:pPr>
    </w:p>
    <w:p w14:paraId="11C5ECE9" w14:textId="77777777" w:rsidR="00F22F44" w:rsidRPr="002C2D39" w:rsidRDefault="00F22F44" w:rsidP="002C2D39">
      <w:pPr>
        <w:rPr>
          <w:sz w:val="20"/>
          <w:szCs w:val="20"/>
        </w:rPr>
      </w:pPr>
    </w:p>
    <w:p w14:paraId="6DA30F73" w14:textId="4D4D6211" w:rsidR="006C7FC7" w:rsidRDefault="006C7FC7" w:rsidP="006C7FC7">
      <w:r w:rsidRPr="0068042E">
        <w:t xml:space="preserve"> </w:t>
      </w:r>
    </w:p>
    <w:p w14:paraId="45122712" w14:textId="5B8337CA" w:rsidR="002C2D39" w:rsidRPr="00552A55" w:rsidRDefault="002C2D39" w:rsidP="002C2D39">
      <w:pPr>
        <w:pStyle w:val="Caption"/>
        <w:keepNext/>
        <w:rPr>
          <w:szCs w:val="20"/>
        </w:rPr>
      </w:pPr>
      <w:bookmarkStart w:id="199" w:name="_Ref227129467"/>
      <w:bookmarkStart w:id="200" w:name="_Toc228701096"/>
      <w:r w:rsidRPr="00552A55">
        <w:rPr>
          <w:szCs w:val="20"/>
        </w:rPr>
        <w:lastRenderedPageBreak/>
        <w:t xml:space="preserve">Table </w:t>
      </w:r>
      <w:r w:rsidR="006C1C4E">
        <w:rPr>
          <w:szCs w:val="20"/>
        </w:rPr>
        <w:fldChar w:fldCharType="begin"/>
      </w:r>
      <w:r w:rsidR="006C1C4E">
        <w:rPr>
          <w:szCs w:val="20"/>
        </w:rPr>
        <w:instrText xml:space="preserve"> STYLEREF 1 \s </w:instrText>
      </w:r>
      <w:r w:rsidR="006C1C4E">
        <w:rPr>
          <w:szCs w:val="20"/>
        </w:rPr>
        <w:fldChar w:fldCharType="separate"/>
      </w:r>
      <w:r w:rsidR="006C1C4E">
        <w:rPr>
          <w:noProof/>
          <w:szCs w:val="20"/>
        </w:rPr>
        <w:t>6</w:t>
      </w:r>
      <w:r w:rsidR="006C1C4E">
        <w:rPr>
          <w:szCs w:val="20"/>
        </w:rPr>
        <w:fldChar w:fldCharType="end"/>
      </w:r>
      <w:r w:rsidR="006C1C4E">
        <w:rPr>
          <w:szCs w:val="20"/>
        </w:rPr>
        <w:noBreakHyphen/>
      </w:r>
      <w:r w:rsidR="006C1C4E">
        <w:rPr>
          <w:szCs w:val="20"/>
        </w:rPr>
        <w:fldChar w:fldCharType="begin"/>
      </w:r>
      <w:r w:rsidR="006C1C4E">
        <w:rPr>
          <w:szCs w:val="20"/>
        </w:rPr>
        <w:instrText xml:space="preserve"> SEQ Table \* ARABIC \s 1 </w:instrText>
      </w:r>
      <w:r w:rsidR="006C1C4E">
        <w:rPr>
          <w:szCs w:val="20"/>
        </w:rPr>
        <w:fldChar w:fldCharType="separate"/>
      </w:r>
      <w:r w:rsidR="006C1C4E">
        <w:rPr>
          <w:noProof/>
          <w:szCs w:val="20"/>
        </w:rPr>
        <w:t>1</w:t>
      </w:r>
      <w:r w:rsidR="006C1C4E">
        <w:rPr>
          <w:szCs w:val="20"/>
        </w:rPr>
        <w:fldChar w:fldCharType="end"/>
      </w:r>
      <w:bookmarkEnd w:id="199"/>
      <w:r w:rsidRPr="00552A55">
        <w:rPr>
          <w:szCs w:val="20"/>
        </w:rPr>
        <w:t xml:space="preserve"> PRESENTATION OF KEY RISKS</w:t>
      </w:r>
      <w:bookmarkEnd w:id="200"/>
    </w:p>
    <w:tbl>
      <w:tblPr>
        <w:tblW w:w="10348" w:type="dxa"/>
        <w:jc w:val="center"/>
        <w:tblLook w:val="04A0" w:firstRow="1" w:lastRow="0" w:firstColumn="1" w:lastColumn="0" w:noHBand="0" w:noVBand="1"/>
      </w:tblPr>
      <w:tblGrid>
        <w:gridCol w:w="1350"/>
        <w:gridCol w:w="3217"/>
        <w:gridCol w:w="2216"/>
        <w:gridCol w:w="1183"/>
        <w:gridCol w:w="2382"/>
      </w:tblGrid>
      <w:tr w:rsidR="002C2D39" w:rsidRPr="002C2D39" w14:paraId="1EF6DD35" w14:textId="77777777" w:rsidTr="002C2D39">
        <w:trPr>
          <w:trHeight w:val="460"/>
          <w:jc w:val="center"/>
        </w:trPr>
        <w:tc>
          <w:tcPr>
            <w:tcW w:w="1350" w:type="dxa"/>
            <w:tcBorders>
              <w:top w:val="single" w:sz="4" w:space="0" w:color="auto"/>
              <w:left w:val="nil"/>
              <w:bottom w:val="double" w:sz="6" w:space="0" w:color="auto"/>
              <w:right w:val="nil"/>
            </w:tcBorders>
            <w:vAlign w:val="center"/>
            <w:hideMark/>
          </w:tcPr>
          <w:p w14:paraId="1ECAA3D0" w14:textId="77777777" w:rsidR="002C2D39" w:rsidRPr="002C2D39" w:rsidRDefault="002C2D39" w:rsidP="002C2D39">
            <w:pPr>
              <w:contextualSpacing w:val="0"/>
              <w:jc w:val="center"/>
              <w:rPr>
                <w:rFonts w:ascii="Times New Roman" w:eastAsia="Times New Roman" w:hAnsi="Times New Roman" w:cs="Times New Roman"/>
                <w:b/>
                <w:bCs/>
                <w:sz w:val="20"/>
                <w:szCs w:val="20"/>
                <w:lang w:val="en-GB" w:eastAsia="en-GB"/>
              </w:rPr>
            </w:pPr>
            <w:r w:rsidRPr="002C2D39">
              <w:rPr>
                <w:rFonts w:ascii="Times New Roman" w:eastAsia="Times New Roman" w:hAnsi="Times New Roman" w:cs="Times New Roman"/>
                <w:b/>
                <w:bCs/>
                <w:sz w:val="20"/>
                <w:szCs w:val="20"/>
                <w:lang w:val="en-GB" w:eastAsia="en-GB"/>
              </w:rPr>
              <w:t>Risk Category</w:t>
            </w:r>
          </w:p>
        </w:tc>
        <w:tc>
          <w:tcPr>
            <w:tcW w:w="3217" w:type="dxa"/>
            <w:tcBorders>
              <w:top w:val="single" w:sz="4" w:space="0" w:color="auto"/>
              <w:left w:val="nil"/>
              <w:bottom w:val="double" w:sz="6" w:space="0" w:color="auto"/>
              <w:right w:val="nil"/>
            </w:tcBorders>
            <w:vAlign w:val="center"/>
            <w:hideMark/>
          </w:tcPr>
          <w:p w14:paraId="5EFB198F" w14:textId="77777777" w:rsidR="002C2D39" w:rsidRPr="002C2D39" w:rsidRDefault="002C2D39" w:rsidP="002C2D39">
            <w:pPr>
              <w:contextualSpacing w:val="0"/>
              <w:jc w:val="center"/>
              <w:rPr>
                <w:rFonts w:ascii="Times New Roman" w:eastAsia="Times New Roman" w:hAnsi="Times New Roman" w:cs="Times New Roman"/>
                <w:b/>
                <w:bCs/>
                <w:sz w:val="20"/>
                <w:szCs w:val="20"/>
                <w:lang w:val="en-GB" w:eastAsia="en-GB"/>
              </w:rPr>
            </w:pPr>
            <w:r w:rsidRPr="002C2D39">
              <w:rPr>
                <w:rFonts w:ascii="Times New Roman" w:eastAsia="Times New Roman" w:hAnsi="Times New Roman" w:cs="Times New Roman"/>
                <w:b/>
                <w:bCs/>
                <w:sz w:val="20"/>
                <w:szCs w:val="20"/>
                <w:lang w:val="en-GB" w:eastAsia="en-GB"/>
              </w:rPr>
              <w:t>Comments</w:t>
            </w:r>
          </w:p>
        </w:tc>
        <w:tc>
          <w:tcPr>
            <w:tcW w:w="2216" w:type="dxa"/>
            <w:tcBorders>
              <w:top w:val="single" w:sz="4" w:space="0" w:color="auto"/>
              <w:left w:val="nil"/>
              <w:bottom w:val="double" w:sz="6" w:space="0" w:color="auto"/>
              <w:right w:val="nil"/>
            </w:tcBorders>
            <w:vAlign w:val="center"/>
            <w:hideMark/>
          </w:tcPr>
          <w:p w14:paraId="62106939" w14:textId="77777777" w:rsidR="002C2D39" w:rsidRPr="002C2D39" w:rsidRDefault="002C2D39" w:rsidP="002C2D39">
            <w:pPr>
              <w:contextualSpacing w:val="0"/>
              <w:jc w:val="center"/>
              <w:rPr>
                <w:rFonts w:ascii="Times New Roman" w:eastAsia="Times New Roman" w:hAnsi="Times New Roman" w:cs="Times New Roman"/>
                <w:b/>
                <w:bCs/>
                <w:sz w:val="20"/>
                <w:szCs w:val="20"/>
                <w:lang w:val="en-GB" w:eastAsia="en-GB"/>
              </w:rPr>
            </w:pPr>
            <w:r w:rsidRPr="002C2D39">
              <w:rPr>
                <w:rFonts w:ascii="Times New Roman" w:eastAsia="Times New Roman" w:hAnsi="Times New Roman" w:cs="Times New Roman"/>
                <w:b/>
                <w:bCs/>
                <w:sz w:val="20"/>
                <w:szCs w:val="20"/>
                <w:lang w:val="en-GB" w:eastAsia="en-GB"/>
              </w:rPr>
              <w:t>Relevant Indicators</w:t>
            </w:r>
          </w:p>
        </w:tc>
        <w:tc>
          <w:tcPr>
            <w:tcW w:w="1183" w:type="dxa"/>
            <w:tcBorders>
              <w:top w:val="single" w:sz="4" w:space="0" w:color="auto"/>
              <w:left w:val="nil"/>
              <w:bottom w:val="double" w:sz="6" w:space="0" w:color="auto"/>
              <w:right w:val="nil"/>
            </w:tcBorders>
            <w:vAlign w:val="center"/>
            <w:hideMark/>
          </w:tcPr>
          <w:p w14:paraId="2AA1AD97" w14:textId="77777777" w:rsidR="002C2D39" w:rsidRPr="002C2D39" w:rsidRDefault="002C2D39" w:rsidP="002C2D39">
            <w:pPr>
              <w:contextualSpacing w:val="0"/>
              <w:jc w:val="center"/>
              <w:rPr>
                <w:rFonts w:ascii="Times New Roman" w:eastAsia="Times New Roman" w:hAnsi="Times New Roman" w:cs="Times New Roman"/>
                <w:b/>
                <w:bCs/>
                <w:sz w:val="20"/>
                <w:szCs w:val="20"/>
                <w:lang w:val="en-GB" w:eastAsia="en-GB"/>
              </w:rPr>
            </w:pPr>
            <w:r w:rsidRPr="002C2D39">
              <w:rPr>
                <w:rFonts w:ascii="Times New Roman" w:eastAsia="Times New Roman" w:hAnsi="Times New Roman" w:cs="Times New Roman"/>
                <w:b/>
                <w:bCs/>
                <w:sz w:val="20"/>
                <w:szCs w:val="20"/>
                <w:lang w:val="en-GB" w:eastAsia="en-GB"/>
              </w:rPr>
              <w:t>Probability</w:t>
            </w:r>
          </w:p>
        </w:tc>
        <w:tc>
          <w:tcPr>
            <w:tcW w:w="2382" w:type="dxa"/>
            <w:tcBorders>
              <w:top w:val="single" w:sz="4" w:space="0" w:color="auto"/>
              <w:left w:val="nil"/>
              <w:bottom w:val="double" w:sz="6" w:space="0" w:color="auto"/>
              <w:right w:val="nil"/>
            </w:tcBorders>
            <w:vAlign w:val="center"/>
            <w:hideMark/>
          </w:tcPr>
          <w:p w14:paraId="178D3354" w14:textId="77777777" w:rsidR="002C2D39" w:rsidRPr="002C2D39" w:rsidRDefault="002C2D39" w:rsidP="002C2D39">
            <w:pPr>
              <w:contextualSpacing w:val="0"/>
              <w:jc w:val="center"/>
              <w:rPr>
                <w:rFonts w:ascii="Times New Roman" w:eastAsia="Times New Roman" w:hAnsi="Times New Roman" w:cs="Times New Roman"/>
                <w:b/>
                <w:bCs/>
                <w:sz w:val="20"/>
                <w:szCs w:val="20"/>
                <w:lang w:val="en-GB" w:eastAsia="en-GB"/>
              </w:rPr>
            </w:pPr>
            <w:r w:rsidRPr="002C2D39">
              <w:rPr>
                <w:rFonts w:ascii="Times New Roman" w:eastAsia="Times New Roman" w:hAnsi="Times New Roman" w:cs="Times New Roman"/>
                <w:b/>
                <w:bCs/>
                <w:sz w:val="20"/>
                <w:szCs w:val="20"/>
                <w:lang w:val="en-GB" w:eastAsia="en-GB"/>
              </w:rPr>
              <w:t>Severity</w:t>
            </w:r>
          </w:p>
        </w:tc>
      </w:tr>
      <w:tr w:rsidR="002C2D39" w:rsidRPr="002C2D39" w14:paraId="042E941F" w14:textId="77777777" w:rsidTr="002C2D39">
        <w:trPr>
          <w:trHeight w:val="880"/>
          <w:jc w:val="center"/>
        </w:trPr>
        <w:tc>
          <w:tcPr>
            <w:tcW w:w="1350" w:type="dxa"/>
            <w:tcBorders>
              <w:top w:val="nil"/>
              <w:left w:val="nil"/>
              <w:bottom w:val="nil"/>
              <w:right w:val="nil"/>
            </w:tcBorders>
            <w:vAlign w:val="center"/>
            <w:hideMark/>
          </w:tcPr>
          <w:p w14:paraId="7F90FCDD"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Price trends</w:t>
            </w:r>
          </w:p>
        </w:tc>
        <w:tc>
          <w:tcPr>
            <w:tcW w:w="3217" w:type="dxa"/>
            <w:tcBorders>
              <w:top w:val="nil"/>
              <w:left w:val="nil"/>
              <w:bottom w:val="nil"/>
              <w:right w:val="nil"/>
            </w:tcBorders>
            <w:vAlign w:val="center"/>
            <w:hideMark/>
          </w:tcPr>
          <w:p w14:paraId="7841967A"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Global cocoa prices have surged but remain unsustainable; strong exposure to global market cycles</w:t>
            </w:r>
          </w:p>
        </w:tc>
        <w:tc>
          <w:tcPr>
            <w:tcW w:w="2216" w:type="dxa"/>
            <w:tcBorders>
              <w:top w:val="nil"/>
              <w:left w:val="nil"/>
              <w:bottom w:val="nil"/>
              <w:right w:val="nil"/>
            </w:tcBorders>
            <w:vAlign w:val="center"/>
            <w:hideMark/>
          </w:tcPr>
          <w:p w14:paraId="0736D19E"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ICE cocoa futures; export price trends; farm-gate prices</w:t>
            </w:r>
          </w:p>
        </w:tc>
        <w:tc>
          <w:tcPr>
            <w:tcW w:w="1183" w:type="dxa"/>
            <w:tcBorders>
              <w:top w:val="nil"/>
              <w:left w:val="nil"/>
              <w:bottom w:val="nil"/>
              <w:right w:val="nil"/>
            </w:tcBorders>
            <w:vAlign w:val="center"/>
            <w:hideMark/>
          </w:tcPr>
          <w:p w14:paraId="5D144149"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w:t>
            </w:r>
          </w:p>
        </w:tc>
        <w:tc>
          <w:tcPr>
            <w:tcW w:w="2382" w:type="dxa"/>
            <w:tcBorders>
              <w:top w:val="nil"/>
              <w:left w:val="nil"/>
              <w:bottom w:val="nil"/>
              <w:right w:val="nil"/>
            </w:tcBorders>
            <w:vAlign w:val="center"/>
            <w:hideMark/>
          </w:tcPr>
          <w:p w14:paraId="6D1971C5"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 - strong impact on export earnings and producer income stability</w:t>
            </w:r>
          </w:p>
        </w:tc>
      </w:tr>
      <w:tr w:rsidR="002C2D39" w:rsidRPr="002C2D39" w14:paraId="17D43340" w14:textId="77777777" w:rsidTr="002C2D39">
        <w:trPr>
          <w:trHeight w:val="860"/>
          <w:jc w:val="center"/>
        </w:trPr>
        <w:tc>
          <w:tcPr>
            <w:tcW w:w="1350" w:type="dxa"/>
            <w:tcBorders>
              <w:top w:val="nil"/>
              <w:left w:val="nil"/>
              <w:bottom w:val="nil"/>
              <w:right w:val="nil"/>
            </w:tcBorders>
            <w:vAlign w:val="center"/>
            <w:hideMark/>
          </w:tcPr>
          <w:p w14:paraId="09F51EFD"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Price volatility</w:t>
            </w:r>
          </w:p>
        </w:tc>
        <w:tc>
          <w:tcPr>
            <w:tcW w:w="3217" w:type="dxa"/>
            <w:tcBorders>
              <w:top w:val="nil"/>
              <w:left w:val="nil"/>
              <w:bottom w:val="nil"/>
              <w:right w:val="nil"/>
            </w:tcBorders>
            <w:vAlign w:val="center"/>
            <w:hideMark/>
          </w:tcPr>
          <w:p w14:paraId="1BB28C74"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Highly volatile global cocoa markets undermine investment and income stability</w:t>
            </w:r>
          </w:p>
        </w:tc>
        <w:tc>
          <w:tcPr>
            <w:tcW w:w="2216" w:type="dxa"/>
            <w:tcBorders>
              <w:top w:val="nil"/>
              <w:left w:val="nil"/>
              <w:bottom w:val="nil"/>
              <w:right w:val="nil"/>
            </w:tcBorders>
            <w:vAlign w:val="center"/>
            <w:hideMark/>
          </w:tcPr>
          <w:p w14:paraId="2BC30EFD"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Price variability indices; export price fluctuations</w:t>
            </w:r>
          </w:p>
        </w:tc>
        <w:tc>
          <w:tcPr>
            <w:tcW w:w="1183" w:type="dxa"/>
            <w:tcBorders>
              <w:top w:val="nil"/>
              <w:left w:val="nil"/>
              <w:bottom w:val="nil"/>
              <w:right w:val="nil"/>
            </w:tcBorders>
            <w:vAlign w:val="center"/>
            <w:hideMark/>
          </w:tcPr>
          <w:p w14:paraId="7522D95F"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Very high</w:t>
            </w:r>
          </w:p>
        </w:tc>
        <w:tc>
          <w:tcPr>
            <w:tcW w:w="2382" w:type="dxa"/>
            <w:tcBorders>
              <w:top w:val="nil"/>
              <w:left w:val="nil"/>
              <w:bottom w:val="nil"/>
              <w:right w:val="nil"/>
            </w:tcBorders>
            <w:vAlign w:val="center"/>
            <w:hideMark/>
          </w:tcPr>
          <w:p w14:paraId="54FA0D11"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Very high - directly affects household income and sector competitiveness</w:t>
            </w:r>
          </w:p>
        </w:tc>
      </w:tr>
      <w:tr w:rsidR="002C2D39" w:rsidRPr="002C2D39" w14:paraId="75B3F956" w14:textId="77777777" w:rsidTr="002C2D39">
        <w:trPr>
          <w:trHeight w:val="840"/>
          <w:jc w:val="center"/>
        </w:trPr>
        <w:tc>
          <w:tcPr>
            <w:tcW w:w="1350" w:type="dxa"/>
            <w:tcBorders>
              <w:top w:val="nil"/>
              <w:left w:val="nil"/>
              <w:bottom w:val="nil"/>
              <w:right w:val="nil"/>
            </w:tcBorders>
            <w:vAlign w:val="center"/>
            <w:hideMark/>
          </w:tcPr>
          <w:p w14:paraId="42BECB35"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Logistics and infrastructure</w:t>
            </w:r>
          </w:p>
        </w:tc>
        <w:tc>
          <w:tcPr>
            <w:tcW w:w="3217" w:type="dxa"/>
            <w:tcBorders>
              <w:top w:val="nil"/>
              <w:left w:val="nil"/>
              <w:bottom w:val="nil"/>
              <w:right w:val="nil"/>
            </w:tcBorders>
            <w:vAlign w:val="center"/>
            <w:hideMark/>
          </w:tcPr>
          <w:p w14:paraId="2C86897F"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Poor rural roads, long distances, and weak storage increase costs and post-harvest losses</w:t>
            </w:r>
          </w:p>
        </w:tc>
        <w:tc>
          <w:tcPr>
            <w:tcW w:w="2216" w:type="dxa"/>
            <w:tcBorders>
              <w:top w:val="nil"/>
              <w:left w:val="nil"/>
              <w:bottom w:val="nil"/>
              <w:right w:val="nil"/>
            </w:tcBorders>
            <w:vAlign w:val="center"/>
            <w:hideMark/>
          </w:tcPr>
          <w:p w14:paraId="40558D6D"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Transport costs; road quality; storage access</w:t>
            </w:r>
          </w:p>
        </w:tc>
        <w:tc>
          <w:tcPr>
            <w:tcW w:w="1183" w:type="dxa"/>
            <w:tcBorders>
              <w:top w:val="nil"/>
              <w:left w:val="nil"/>
              <w:bottom w:val="nil"/>
              <w:right w:val="nil"/>
            </w:tcBorders>
            <w:vAlign w:val="center"/>
            <w:hideMark/>
          </w:tcPr>
          <w:p w14:paraId="2D1F6298"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Medium</w:t>
            </w:r>
          </w:p>
        </w:tc>
        <w:tc>
          <w:tcPr>
            <w:tcW w:w="2382" w:type="dxa"/>
            <w:tcBorders>
              <w:top w:val="nil"/>
              <w:left w:val="nil"/>
              <w:bottom w:val="nil"/>
              <w:right w:val="nil"/>
            </w:tcBorders>
            <w:vAlign w:val="center"/>
            <w:hideMark/>
          </w:tcPr>
          <w:p w14:paraId="28162C73"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Medium to high - reduces farm-gate prices and quality outcomes</w:t>
            </w:r>
          </w:p>
        </w:tc>
      </w:tr>
      <w:tr w:rsidR="002C2D39" w:rsidRPr="002C2D39" w14:paraId="4ECD9D5E" w14:textId="77777777" w:rsidTr="002C2D39">
        <w:trPr>
          <w:trHeight w:val="870"/>
          <w:jc w:val="center"/>
        </w:trPr>
        <w:tc>
          <w:tcPr>
            <w:tcW w:w="1350" w:type="dxa"/>
            <w:tcBorders>
              <w:top w:val="nil"/>
              <w:left w:val="nil"/>
              <w:bottom w:val="nil"/>
              <w:right w:val="nil"/>
            </w:tcBorders>
            <w:vAlign w:val="center"/>
            <w:hideMark/>
          </w:tcPr>
          <w:p w14:paraId="147155FA"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Policies and regulation</w:t>
            </w:r>
          </w:p>
        </w:tc>
        <w:tc>
          <w:tcPr>
            <w:tcW w:w="3217" w:type="dxa"/>
            <w:tcBorders>
              <w:top w:val="nil"/>
              <w:left w:val="nil"/>
              <w:bottom w:val="nil"/>
              <w:right w:val="nil"/>
            </w:tcBorders>
            <w:vAlign w:val="center"/>
            <w:hideMark/>
          </w:tcPr>
          <w:p w14:paraId="5AFC0381"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EUDR compliance gaps, weak traceability (&lt;30% geolocated farms), and limited institutional capacity</w:t>
            </w:r>
          </w:p>
        </w:tc>
        <w:tc>
          <w:tcPr>
            <w:tcW w:w="2216" w:type="dxa"/>
            <w:tcBorders>
              <w:top w:val="nil"/>
              <w:left w:val="nil"/>
              <w:bottom w:val="nil"/>
              <w:right w:val="nil"/>
            </w:tcBorders>
            <w:vAlign w:val="center"/>
            <w:hideMark/>
          </w:tcPr>
          <w:p w14:paraId="111F41BC"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Share of mapped farms; compliance readiness; export certification</w:t>
            </w:r>
          </w:p>
        </w:tc>
        <w:tc>
          <w:tcPr>
            <w:tcW w:w="1183" w:type="dxa"/>
            <w:tcBorders>
              <w:top w:val="nil"/>
              <w:left w:val="nil"/>
              <w:bottom w:val="nil"/>
              <w:right w:val="nil"/>
            </w:tcBorders>
            <w:vAlign w:val="center"/>
            <w:hideMark/>
          </w:tcPr>
          <w:p w14:paraId="772982EA"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w:t>
            </w:r>
          </w:p>
        </w:tc>
        <w:tc>
          <w:tcPr>
            <w:tcW w:w="2382" w:type="dxa"/>
            <w:tcBorders>
              <w:top w:val="nil"/>
              <w:left w:val="nil"/>
              <w:bottom w:val="nil"/>
              <w:right w:val="nil"/>
            </w:tcBorders>
            <w:vAlign w:val="center"/>
            <w:hideMark/>
          </w:tcPr>
          <w:p w14:paraId="0E903F00"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Very high - risk of exclusion from EU markets</w:t>
            </w:r>
          </w:p>
        </w:tc>
      </w:tr>
      <w:tr w:rsidR="002C2D39" w:rsidRPr="002C2D39" w14:paraId="0903C83E" w14:textId="77777777" w:rsidTr="002C2D39">
        <w:trPr>
          <w:trHeight w:val="880"/>
          <w:jc w:val="center"/>
        </w:trPr>
        <w:tc>
          <w:tcPr>
            <w:tcW w:w="1350" w:type="dxa"/>
            <w:tcBorders>
              <w:top w:val="nil"/>
              <w:left w:val="nil"/>
              <w:bottom w:val="nil"/>
              <w:right w:val="nil"/>
            </w:tcBorders>
            <w:vAlign w:val="center"/>
            <w:hideMark/>
          </w:tcPr>
          <w:p w14:paraId="411B0C18"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Governance and institutions</w:t>
            </w:r>
          </w:p>
        </w:tc>
        <w:tc>
          <w:tcPr>
            <w:tcW w:w="3217" w:type="dxa"/>
            <w:tcBorders>
              <w:top w:val="nil"/>
              <w:left w:val="nil"/>
              <w:bottom w:val="nil"/>
              <w:right w:val="nil"/>
            </w:tcBorders>
            <w:vAlign w:val="center"/>
            <w:hideMark/>
          </w:tcPr>
          <w:p w14:paraId="45ABD29B"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Weak cooperatives and dependence on exporters for finance limit farmer bargaining power</w:t>
            </w:r>
          </w:p>
        </w:tc>
        <w:tc>
          <w:tcPr>
            <w:tcW w:w="2216" w:type="dxa"/>
            <w:tcBorders>
              <w:top w:val="nil"/>
              <w:left w:val="nil"/>
              <w:bottom w:val="nil"/>
              <w:right w:val="nil"/>
            </w:tcBorders>
            <w:vAlign w:val="center"/>
            <w:hideMark/>
          </w:tcPr>
          <w:p w14:paraId="6BBB4EA3"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Cooperative market share; access to credit; governance indicators</w:t>
            </w:r>
          </w:p>
        </w:tc>
        <w:tc>
          <w:tcPr>
            <w:tcW w:w="1183" w:type="dxa"/>
            <w:tcBorders>
              <w:top w:val="nil"/>
              <w:left w:val="nil"/>
              <w:bottom w:val="nil"/>
              <w:right w:val="nil"/>
            </w:tcBorders>
            <w:vAlign w:val="center"/>
            <w:hideMark/>
          </w:tcPr>
          <w:p w14:paraId="0BC4A440"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w:t>
            </w:r>
          </w:p>
        </w:tc>
        <w:tc>
          <w:tcPr>
            <w:tcW w:w="2382" w:type="dxa"/>
            <w:tcBorders>
              <w:top w:val="nil"/>
              <w:left w:val="nil"/>
              <w:bottom w:val="nil"/>
              <w:right w:val="nil"/>
            </w:tcBorders>
            <w:vAlign w:val="center"/>
            <w:hideMark/>
          </w:tcPr>
          <w:p w14:paraId="11DDE76C"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 - undermines inclusiveness and value capture</w:t>
            </w:r>
          </w:p>
        </w:tc>
      </w:tr>
      <w:tr w:rsidR="002C2D39" w:rsidRPr="002C2D39" w14:paraId="72F933BE" w14:textId="77777777" w:rsidTr="002C2D39">
        <w:trPr>
          <w:trHeight w:val="880"/>
          <w:jc w:val="center"/>
        </w:trPr>
        <w:tc>
          <w:tcPr>
            <w:tcW w:w="1350" w:type="dxa"/>
            <w:tcBorders>
              <w:top w:val="nil"/>
              <w:left w:val="nil"/>
              <w:bottom w:val="nil"/>
              <w:right w:val="nil"/>
            </w:tcBorders>
            <w:vAlign w:val="center"/>
            <w:hideMark/>
          </w:tcPr>
          <w:p w14:paraId="7125BA3A"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Social relations</w:t>
            </w:r>
          </w:p>
        </w:tc>
        <w:tc>
          <w:tcPr>
            <w:tcW w:w="3217" w:type="dxa"/>
            <w:tcBorders>
              <w:top w:val="nil"/>
              <w:left w:val="nil"/>
              <w:bottom w:val="nil"/>
              <w:right w:val="nil"/>
            </w:tcBorders>
            <w:vAlign w:val="center"/>
            <w:hideMark/>
          </w:tcPr>
          <w:p w14:paraId="4F663CC1"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Gender inequality and limited youth participation constrain inclusive development</w:t>
            </w:r>
          </w:p>
        </w:tc>
        <w:tc>
          <w:tcPr>
            <w:tcW w:w="2216" w:type="dxa"/>
            <w:tcBorders>
              <w:top w:val="nil"/>
              <w:left w:val="nil"/>
              <w:bottom w:val="nil"/>
              <w:right w:val="nil"/>
            </w:tcBorders>
            <w:vAlign w:val="center"/>
            <w:hideMark/>
          </w:tcPr>
          <w:p w14:paraId="2035915B"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Gender wage gaps; land access; participation rates</w:t>
            </w:r>
          </w:p>
        </w:tc>
        <w:tc>
          <w:tcPr>
            <w:tcW w:w="1183" w:type="dxa"/>
            <w:tcBorders>
              <w:top w:val="nil"/>
              <w:left w:val="nil"/>
              <w:bottom w:val="nil"/>
              <w:right w:val="nil"/>
            </w:tcBorders>
            <w:vAlign w:val="center"/>
            <w:hideMark/>
          </w:tcPr>
          <w:p w14:paraId="42161059"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w:t>
            </w:r>
          </w:p>
        </w:tc>
        <w:tc>
          <w:tcPr>
            <w:tcW w:w="2382" w:type="dxa"/>
            <w:tcBorders>
              <w:top w:val="nil"/>
              <w:left w:val="nil"/>
              <w:bottom w:val="nil"/>
              <w:right w:val="nil"/>
            </w:tcBorders>
            <w:vAlign w:val="center"/>
            <w:hideMark/>
          </w:tcPr>
          <w:p w14:paraId="637DFA53"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Medium - affects inclusiveness and long-term sector renewal</w:t>
            </w:r>
          </w:p>
        </w:tc>
      </w:tr>
      <w:tr w:rsidR="002C2D39" w:rsidRPr="002C2D39" w14:paraId="0BBAC02B" w14:textId="77777777" w:rsidTr="002C2D39">
        <w:trPr>
          <w:trHeight w:val="890"/>
          <w:jc w:val="center"/>
        </w:trPr>
        <w:tc>
          <w:tcPr>
            <w:tcW w:w="1350" w:type="dxa"/>
            <w:tcBorders>
              <w:top w:val="nil"/>
              <w:left w:val="nil"/>
              <w:bottom w:val="nil"/>
              <w:right w:val="nil"/>
            </w:tcBorders>
            <w:vAlign w:val="center"/>
            <w:hideMark/>
          </w:tcPr>
          <w:p w14:paraId="5D42E7F3"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Food safety and phytosanitary</w:t>
            </w:r>
          </w:p>
        </w:tc>
        <w:tc>
          <w:tcPr>
            <w:tcW w:w="3217" w:type="dxa"/>
            <w:tcBorders>
              <w:top w:val="nil"/>
              <w:left w:val="nil"/>
              <w:bottom w:val="nil"/>
              <w:right w:val="nil"/>
            </w:tcBorders>
            <w:vAlign w:val="center"/>
            <w:hideMark/>
          </w:tcPr>
          <w:p w14:paraId="6AC92CB7"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Risks of contamination (pesticides, heavy metals) and inconsistent quality control</w:t>
            </w:r>
          </w:p>
        </w:tc>
        <w:tc>
          <w:tcPr>
            <w:tcW w:w="2216" w:type="dxa"/>
            <w:tcBorders>
              <w:top w:val="nil"/>
              <w:left w:val="nil"/>
              <w:bottom w:val="nil"/>
              <w:right w:val="nil"/>
            </w:tcBorders>
            <w:vAlign w:val="center"/>
            <w:hideMark/>
          </w:tcPr>
          <w:p w14:paraId="42C567B5"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Residue levels; rejection rates; certification compliance</w:t>
            </w:r>
          </w:p>
        </w:tc>
        <w:tc>
          <w:tcPr>
            <w:tcW w:w="1183" w:type="dxa"/>
            <w:tcBorders>
              <w:top w:val="nil"/>
              <w:left w:val="nil"/>
              <w:bottom w:val="nil"/>
              <w:right w:val="nil"/>
            </w:tcBorders>
            <w:vAlign w:val="center"/>
            <w:hideMark/>
          </w:tcPr>
          <w:p w14:paraId="2A287514"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Medium</w:t>
            </w:r>
          </w:p>
        </w:tc>
        <w:tc>
          <w:tcPr>
            <w:tcW w:w="2382" w:type="dxa"/>
            <w:tcBorders>
              <w:top w:val="nil"/>
              <w:left w:val="nil"/>
              <w:bottom w:val="nil"/>
              <w:right w:val="nil"/>
            </w:tcBorders>
            <w:vAlign w:val="center"/>
            <w:hideMark/>
          </w:tcPr>
          <w:p w14:paraId="6D205070"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 - threatens access to premium markets</w:t>
            </w:r>
          </w:p>
        </w:tc>
      </w:tr>
      <w:tr w:rsidR="002C2D39" w:rsidRPr="002C2D39" w14:paraId="1F660673" w14:textId="77777777" w:rsidTr="002C2D39">
        <w:trPr>
          <w:trHeight w:val="570"/>
          <w:jc w:val="center"/>
        </w:trPr>
        <w:tc>
          <w:tcPr>
            <w:tcW w:w="1350" w:type="dxa"/>
            <w:tcBorders>
              <w:top w:val="nil"/>
              <w:left w:val="nil"/>
              <w:bottom w:val="nil"/>
              <w:right w:val="nil"/>
            </w:tcBorders>
            <w:vAlign w:val="center"/>
            <w:hideMark/>
          </w:tcPr>
          <w:p w14:paraId="166ADF41"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Climate change</w:t>
            </w:r>
          </w:p>
        </w:tc>
        <w:tc>
          <w:tcPr>
            <w:tcW w:w="3217" w:type="dxa"/>
            <w:tcBorders>
              <w:top w:val="nil"/>
              <w:left w:val="nil"/>
              <w:bottom w:val="nil"/>
              <w:right w:val="nil"/>
            </w:tcBorders>
            <w:vAlign w:val="center"/>
            <w:hideMark/>
          </w:tcPr>
          <w:p w14:paraId="1D038BD8"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Rising temperatures, erratic rainfall, pests and diseases reduce yields</w:t>
            </w:r>
          </w:p>
        </w:tc>
        <w:tc>
          <w:tcPr>
            <w:tcW w:w="2216" w:type="dxa"/>
            <w:tcBorders>
              <w:top w:val="nil"/>
              <w:left w:val="nil"/>
              <w:bottom w:val="nil"/>
              <w:right w:val="nil"/>
            </w:tcBorders>
            <w:vAlign w:val="center"/>
            <w:hideMark/>
          </w:tcPr>
          <w:p w14:paraId="2C189F08"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Yield variability; climate projections; farmer reports</w:t>
            </w:r>
          </w:p>
        </w:tc>
        <w:tc>
          <w:tcPr>
            <w:tcW w:w="1183" w:type="dxa"/>
            <w:tcBorders>
              <w:top w:val="nil"/>
              <w:left w:val="nil"/>
              <w:bottom w:val="nil"/>
              <w:right w:val="nil"/>
            </w:tcBorders>
            <w:vAlign w:val="center"/>
            <w:hideMark/>
          </w:tcPr>
          <w:p w14:paraId="4799CD46"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Very high</w:t>
            </w:r>
          </w:p>
        </w:tc>
        <w:tc>
          <w:tcPr>
            <w:tcW w:w="2382" w:type="dxa"/>
            <w:tcBorders>
              <w:top w:val="nil"/>
              <w:left w:val="nil"/>
              <w:bottom w:val="nil"/>
              <w:right w:val="nil"/>
            </w:tcBorders>
            <w:vAlign w:val="center"/>
            <w:hideMark/>
          </w:tcPr>
          <w:p w14:paraId="7264C853"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Very high - systemic risk to long-term production</w:t>
            </w:r>
          </w:p>
        </w:tc>
      </w:tr>
      <w:tr w:rsidR="002C2D39" w:rsidRPr="002C2D39" w14:paraId="737CF437" w14:textId="77777777" w:rsidTr="002C2D39">
        <w:trPr>
          <w:trHeight w:val="840"/>
          <w:jc w:val="center"/>
        </w:trPr>
        <w:tc>
          <w:tcPr>
            <w:tcW w:w="1350" w:type="dxa"/>
            <w:tcBorders>
              <w:top w:val="nil"/>
              <w:left w:val="nil"/>
              <w:bottom w:val="single" w:sz="4" w:space="0" w:color="auto"/>
              <w:right w:val="nil"/>
            </w:tcBorders>
            <w:vAlign w:val="center"/>
            <w:hideMark/>
          </w:tcPr>
          <w:p w14:paraId="28122BA4"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Natural environment</w:t>
            </w:r>
          </w:p>
        </w:tc>
        <w:tc>
          <w:tcPr>
            <w:tcW w:w="3217" w:type="dxa"/>
            <w:tcBorders>
              <w:top w:val="nil"/>
              <w:left w:val="nil"/>
              <w:bottom w:val="single" w:sz="4" w:space="0" w:color="auto"/>
              <w:right w:val="nil"/>
            </w:tcBorders>
            <w:vAlign w:val="center"/>
            <w:hideMark/>
          </w:tcPr>
          <w:p w14:paraId="5C20FF74"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Deforestation risks, land degradation, and pressure from low productivity systems</w:t>
            </w:r>
          </w:p>
        </w:tc>
        <w:tc>
          <w:tcPr>
            <w:tcW w:w="2216" w:type="dxa"/>
            <w:tcBorders>
              <w:top w:val="nil"/>
              <w:left w:val="nil"/>
              <w:bottom w:val="single" w:sz="4" w:space="0" w:color="auto"/>
              <w:right w:val="nil"/>
            </w:tcBorders>
            <w:vAlign w:val="center"/>
            <w:hideMark/>
          </w:tcPr>
          <w:p w14:paraId="78F4ECEA"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Land-use change; forest cover; agroforestry practices</w:t>
            </w:r>
          </w:p>
        </w:tc>
        <w:tc>
          <w:tcPr>
            <w:tcW w:w="1183" w:type="dxa"/>
            <w:tcBorders>
              <w:top w:val="nil"/>
              <w:left w:val="nil"/>
              <w:bottom w:val="single" w:sz="4" w:space="0" w:color="auto"/>
              <w:right w:val="nil"/>
            </w:tcBorders>
            <w:vAlign w:val="center"/>
            <w:hideMark/>
          </w:tcPr>
          <w:p w14:paraId="6731BCCC"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w:t>
            </w:r>
          </w:p>
        </w:tc>
        <w:tc>
          <w:tcPr>
            <w:tcW w:w="2382" w:type="dxa"/>
            <w:tcBorders>
              <w:top w:val="nil"/>
              <w:left w:val="nil"/>
              <w:bottom w:val="single" w:sz="4" w:space="0" w:color="auto"/>
              <w:right w:val="nil"/>
            </w:tcBorders>
            <w:vAlign w:val="center"/>
            <w:hideMark/>
          </w:tcPr>
          <w:p w14:paraId="7A24DE9C" w14:textId="77777777" w:rsidR="002C2D39" w:rsidRPr="002C2D39" w:rsidRDefault="002C2D39" w:rsidP="002C2D39">
            <w:pPr>
              <w:contextualSpacing w:val="0"/>
              <w:jc w:val="left"/>
              <w:rPr>
                <w:rFonts w:ascii="Times New Roman" w:eastAsia="Times New Roman" w:hAnsi="Times New Roman" w:cs="Times New Roman"/>
                <w:color w:val="000000"/>
                <w:sz w:val="20"/>
                <w:szCs w:val="20"/>
                <w:lang w:val="en-GB" w:eastAsia="en-GB"/>
              </w:rPr>
            </w:pPr>
            <w:r w:rsidRPr="002C2D39">
              <w:rPr>
                <w:rFonts w:ascii="Times New Roman" w:eastAsia="Times New Roman" w:hAnsi="Times New Roman" w:cs="Times New Roman"/>
                <w:color w:val="000000"/>
                <w:sz w:val="20"/>
                <w:szCs w:val="20"/>
                <w:lang w:val="en-GB" w:eastAsia="en-GB"/>
              </w:rPr>
              <w:t>High - threatens sustainability and compliance</w:t>
            </w:r>
          </w:p>
        </w:tc>
      </w:tr>
    </w:tbl>
    <w:p w14:paraId="1F6F065C" w14:textId="77777777" w:rsidR="006C7FC7" w:rsidRPr="002C2D39" w:rsidRDefault="006C7FC7" w:rsidP="006C7FC7">
      <w:pPr>
        <w:rPr>
          <w:lang w:val="en-GB"/>
        </w:rPr>
      </w:pPr>
    </w:p>
    <w:p w14:paraId="64697C6A" w14:textId="77777777" w:rsidR="007615BF" w:rsidRPr="007615BF" w:rsidRDefault="002C2D39" w:rsidP="007615BF">
      <w:pPr>
        <w:rPr>
          <w:sz w:val="20"/>
          <w:szCs w:val="20"/>
        </w:rPr>
      </w:pPr>
      <w:r w:rsidRPr="002C2D39">
        <w:rPr>
          <w:sz w:val="20"/>
          <w:szCs w:val="20"/>
        </w:rPr>
        <w:t xml:space="preserve">Structural constraints, </w:t>
      </w:r>
      <w:r w:rsidR="007615BF" w:rsidRPr="007615BF">
        <w:rPr>
          <w:sz w:val="20"/>
          <w:szCs w:val="20"/>
        </w:rPr>
        <w:t>particularly low productivity, remain a key underlying driver of many of the risks identified in this assessment. Low yields reduce household incomes, weaken incentives for investment, and increase pressure on land and natural resources. These risks are further compounded by inadequate infrastructure and post-harvest systems. Poor road connectivity, especially along secondary and feeder road networks, increases transport costs, limits market access, raises post-harvest losses, and constrains the efficient movement of cocoa from producing areas to aggregation and export hubs. These challenges are particularly acute in districts such as Kono, where infrastructure deficits remain a significant constraint to sector development.</w:t>
      </w:r>
    </w:p>
    <w:p w14:paraId="3DD6D11D" w14:textId="77777777" w:rsidR="007615BF" w:rsidRPr="007615BF" w:rsidRDefault="007615BF" w:rsidP="007615BF">
      <w:pPr>
        <w:rPr>
          <w:sz w:val="20"/>
          <w:szCs w:val="20"/>
        </w:rPr>
      </w:pPr>
    </w:p>
    <w:p w14:paraId="752120DF" w14:textId="77777777" w:rsidR="007615BF" w:rsidRPr="007615BF" w:rsidRDefault="007615BF" w:rsidP="007615BF">
      <w:pPr>
        <w:rPr>
          <w:sz w:val="20"/>
          <w:szCs w:val="20"/>
        </w:rPr>
      </w:pPr>
      <w:r w:rsidRPr="007615BF">
        <w:rPr>
          <w:sz w:val="20"/>
          <w:szCs w:val="20"/>
        </w:rPr>
        <w:t xml:space="preserve">Market access risks are also linked to quality assurance and certification requirements. Given the stringent standards associated with organic and EUDR-compliant cocoa, even low levels of contamination can </w:t>
      </w:r>
      <w:proofErr w:type="spellStart"/>
      <w:r w:rsidRPr="007615BF">
        <w:rPr>
          <w:sz w:val="20"/>
          <w:szCs w:val="20"/>
        </w:rPr>
        <w:t>jeopardise</w:t>
      </w:r>
      <w:proofErr w:type="spellEnd"/>
      <w:r w:rsidRPr="007615BF">
        <w:rPr>
          <w:sz w:val="20"/>
          <w:szCs w:val="20"/>
        </w:rPr>
        <w:t xml:space="preserve"> marketability and access to premium export markets. Strengthening on-farm and cooperative-level storage systems, alongside improved traceability and quality control measures, will therefore be essential for reducing compliance risks.</w:t>
      </w:r>
    </w:p>
    <w:p w14:paraId="12F6F4F7" w14:textId="77777777" w:rsidR="007615BF" w:rsidRPr="007615BF" w:rsidRDefault="007615BF" w:rsidP="007615BF">
      <w:pPr>
        <w:rPr>
          <w:sz w:val="20"/>
          <w:szCs w:val="20"/>
        </w:rPr>
      </w:pPr>
    </w:p>
    <w:p w14:paraId="569F7E7C" w14:textId="1E71DC46" w:rsidR="006C7FC7" w:rsidRPr="00A972F9" w:rsidRDefault="007615BF" w:rsidP="007615BF">
      <w:pPr>
        <w:rPr>
          <w:sz w:val="20"/>
          <w:szCs w:val="20"/>
        </w:rPr>
      </w:pPr>
      <w:r w:rsidRPr="007615BF">
        <w:rPr>
          <w:sz w:val="20"/>
          <w:szCs w:val="20"/>
        </w:rPr>
        <w:t xml:space="preserve">Social and environmental risks are closely interconnected with these structural constraints. Low and unstable incomes contribute to food insecurity, gender inequality, and poor working conditions, while climate change, deforestation, and contamination risks threaten both production and market access. Overall, the risks facing the cocoa value chain are systemic and mutually </w:t>
      </w:r>
      <w:r w:rsidRPr="007615BF">
        <w:rPr>
          <w:sz w:val="20"/>
          <w:szCs w:val="20"/>
        </w:rPr>
        <w:lastRenderedPageBreak/>
        <w:t>reinforcing, requiring coordinated interventions across productivity, infrastructure, governance, and sustainability dimensions</w:t>
      </w:r>
      <w:r w:rsidR="006C7FC7" w:rsidRPr="002C2D39">
        <w:rPr>
          <w:sz w:val="20"/>
          <w:szCs w:val="20"/>
        </w:rPr>
        <w:t>.</w:t>
      </w:r>
    </w:p>
    <w:p w14:paraId="44A089F4" w14:textId="77777777" w:rsidR="006C7FC7" w:rsidRPr="00A972F9" w:rsidRDefault="006C7FC7" w:rsidP="00F32004">
      <w:pPr>
        <w:rPr>
          <w:sz w:val="20"/>
          <w:szCs w:val="20"/>
        </w:rPr>
      </w:pPr>
    </w:p>
    <w:p w14:paraId="700C0315" w14:textId="73947F04" w:rsidR="00F32004" w:rsidRDefault="00F32004" w:rsidP="00F32004">
      <w:pPr>
        <w:pStyle w:val="Heading2"/>
      </w:pPr>
      <w:bookmarkStart w:id="201" w:name="_Toc228701063"/>
      <w:r w:rsidRPr="00F32004">
        <w:t>Recommendations</w:t>
      </w:r>
      <w:bookmarkEnd w:id="201"/>
    </w:p>
    <w:p w14:paraId="5AE64867" w14:textId="50794ACE" w:rsidR="00312766" w:rsidRDefault="00312766" w:rsidP="00312766">
      <w:pPr>
        <w:rPr>
          <w:sz w:val="20"/>
          <w:szCs w:val="20"/>
        </w:rPr>
      </w:pPr>
      <w:r w:rsidRPr="00312766">
        <w:rPr>
          <w:sz w:val="20"/>
          <w:szCs w:val="20"/>
        </w:rPr>
        <w:t xml:space="preserve">Enhancing the inclusiveness and sustainability of the Sierra Leone cocoa value chain requires coordinated interventions across production systems, governance structures, financial mechanisms, and market </w:t>
      </w:r>
      <w:proofErr w:type="spellStart"/>
      <w:r w:rsidRPr="00312766">
        <w:rPr>
          <w:sz w:val="20"/>
          <w:szCs w:val="20"/>
        </w:rPr>
        <w:t>organisation</w:t>
      </w:r>
      <w:proofErr w:type="spellEnd"/>
      <w:r w:rsidRPr="00312766">
        <w:rPr>
          <w:sz w:val="20"/>
          <w:szCs w:val="20"/>
        </w:rPr>
        <w:t>. The analysis shows that the sector’s core constraint is not a lack of economic viability, but weak foundations at the farm and institutional levels, which limit productivity, resilience, and value capture.</w:t>
      </w:r>
      <w:r>
        <w:rPr>
          <w:sz w:val="20"/>
          <w:szCs w:val="20"/>
        </w:rPr>
        <w:t xml:space="preserve"> </w:t>
      </w:r>
      <w:r w:rsidRPr="00312766">
        <w:rPr>
          <w:sz w:val="20"/>
          <w:szCs w:val="20"/>
        </w:rPr>
        <w:t>The recommendations are therefore structured around three strategic pillars: (</w:t>
      </w:r>
      <w:proofErr w:type="spellStart"/>
      <w:r w:rsidRPr="00312766">
        <w:rPr>
          <w:sz w:val="20"/>
          <w:szCs w:val="20"/>
        </w:rPr>
        <w:t>i</w:t>
      </w:r>
      <w:proofErr w:type="spellEnd"/>
      <w:r w:rsidRPr="00312766">
        <w:rPr>
          <w:sz w:val="20"/>
          <w:szCs w:val="20"/>
        </w:rPr>
        <w:t xml:space="preserve">) strengthening production and governance foundations, (ii) enhancing financial resilience and investment, and (iii) improving market access and </w:t>
      </w:r>
      <w:r w:rsidR="00F80E4D">
        <w:rPr>
          <w:sz w:val="20"/>
          <w:szCs w:val="20"/>
        </w:rPr>
        <w:t xml:space="preserve">trade </w:t>
      </w:r>
      <w:r w:rsidRPr="00312766">
        <w:rPr>
          <w:sz w:val="20"/>
          <w:szCs w:val="20"/>
        </w:rPr>
        <w:t>competitiveness. These pillars</w:t>
      </w:r>
      <w:r w:rsidR="00F35CCB">
        <w:rPr>
          <w:sz w:val="20"/>
          <w:szCs w:val="20"/>
        </w:rPr>
        <w:t xml:space="preserve"> (presented in </w:t>
      </w:r>
      <w:r w:rsidR="00F35CCB" w:rsidRPr="00552A55">
        <w:rPr>
          <w:sz w:val="20"/>
          <w:szCs w:val="20"/>
        </w:rPr>
        <w:fldChar w:fldCharType="begin"/>
      </w:r>
      <w:r w:rsidR="00F35CCB" w:rsidRPr="00552A55">
        <w:rPr>
          <w:sz w:val="20"/>
          <w:szCs w:val="20"/>
        </w:rPr>
        <w:instrText xml:space="preserve"> REF _Ref227136911 \h </w:instrText>
      </w:r>
      <w:r w:rsidR="00552A55" w:rsidRPr="00552A55">
        <w:rPr>
          <w:sz w:val="20"/>
          <w:szCs w:val="20"/>
        </w:rPr>
        <w:instrText xml:space="preserve"> \* MERGEFORMAT </w:instrText>
      </w:r>
      <w:r w:rsidR="00F35CCB" w:rsidRPr="00552A55">
        <w:rPr>
          <w:sz w:val="20"/>
          <w:szCs w:val="20"/>
        </w:rPr>
      </w:r>
      <w:r w:rsidR="00F35CCB" w:rsidRPr="00552A55">
        <w:rPr>
          <w:sz w:val="20"/>
          <w:szCs w:val="20"/>
        </w:rPr>
        <w:fldChar w:fldCharType="separate"/>
      </w:r>
      <w:r w:rsidR="00F35CCB" w:rsidRPr="001F42F7">
        <w:rPr>
          <w:sz w:val="20"/>
          <w:szCs w:val="20"/>
        </w:rPr>
        <w:t xml:space="preserve">Figure </w:t>
      </w:r>
      <w:r w:rsidR="00F35CCB" w:rsidRPr="001F42F7">
        <w:rPr>
          <w:noProof/>
          <w:sz w:val="20"/>
          <w:szCs w:val="20"/>
        </w:rPr>
        <w:t>6</w:t>
      </w:r>
      <w:r w:rsidR="00F35CCB" w:rsidRPr="001F42F7">
        <w:rPr>
          <w:sz w:val="20"/>
          <w:szCs w:val="20"/>
        </w:rPr>
        <w:t>.</w:t>
      </w:r>
      <w:r w:rsidR="00F35CCB" w:rsidRPr="001F42F7">
        <w:rPr>
          <w:noProof/>
          <w:sz w:val="20"/>
          <w:szCs w:val="20"/>
        </w:rPr>
        <w:t>1</w:t>
      </w:r>
      <w:r w:rsidR="00F35CCB" w:rsidRPr="00552A55">
        <w:rPr>
          <w:sz w:val="20"/>
          <w:szCs w:val="20"/>
        </w:rPr>
        <w:fldChar w:fldCharType="end"/>
      </w:r>
      <w:r w:rsidR="00F35CCB" w:rsidRPr="00552A55">
        <w:rPr>
          <w:sz w:val="20"/>
          <w:szCs w:val="20"/>
        </w:rPr>
        <w:t>)</w:t>
      </w:r>
      <w:r w:rsidRPr="00312766">
        <w:rPr>
          <w:sz w:val="20"/>
          <w:szCs w:val="20"/>
        </w:rPr>
        <w:t xml:space="preserve"> are mutually reinforcing and should be implemented in an integrated manner</w:t>
      </w:r>
      <w:r>
        <w:rPr>
          <w:sz w:val="20"/>
          <w:szCs w:val="20"/>
        </w:rPr>
        <w:t xml:space="preserve">. </w:t>
      </w:r>
      <w:r w:rsidR="00F07C49" w:rsidRPr="00F07C49">
        <w:rPr>
          <w:sz w:val="20"/>
          <w:szCs w:val="20"/>
        </w:rPr>
        <w:t>Some of these recommendations are readily implementable whereas others require coordination across the entire value chain.</w:t>
      </w:r>
    </w:p>
    <w:p w14:paraId="524A5FC3" w14:textId="77777777" w:rsidR="00F35CCB" w:rsidRDefault="00F35CCB" w:rsidP="00312766">
      <w:pPr>
        <w:rPr>
          <w:sz w:val="20"/>
          <w:szCs w:val="20"/>
        </w:rPr>
      </w:pPr>
    </w:p>
    <w:p w14:paraId="60F900E7" w14:textId="4556A997" w:rsidR="00F35CCB" w:rsidRDefault="006276D1" w:rsidP="00F35CCB">
      <w:pPr>
        <w:keepNext/>
        <w:jc w:val="center"/>
      </w:pPr>
      <w:r>
        <w:rPr>
          <w:noProof/>
        </w:rPr>
        <w:lastRenderedPageBreak/>
        <w:drawing>
          <wp:inline distT="0" distB="0" distL="0" distR="0" wp14:anchorId="28B4F101" wp14:editId="733EFEAA">
            <wp:extent cx="5731510" cy="6858000"/>
            <wp:effectExtent l="0" t="0" r="2540" b="0"/>
            <wp:docPr id="791968409" name="Picture 2" descr="The diagram illustrates a strategic framework for improving the cocoa sector, emphasizing market access, production, compliance, and various recommendations for enhancing different aspects of the indus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68409" name="Picture 2" descr="The diagram illustrates a strategic framework for improving the cocoa sector, emphasizing market access, production, compliance, and various recommendations for enhancing different aspects of the industry.&#10;&#10;AI-generated content may be incorrect."/>
                    <pic:cNvPicPr/>
                  </pic:nvPicPr>
                  <pic:blipFill rotWithShape="1">
                    <a:blip r:embed="rId43" cstate="print">
                      <a:extLst>
                        <a:ext uri="{28A0092B-C50C-407E-A947-70E740481C1C}">
                          <a14:useLocalDpi xmlns:a14="http://schemas.microsoft.com/office/drawing/2010/main" val="0"/>
                        </a:ext>
                      </a:extLst>
                    </a:blip>
                    <a:srcRect b="4306"/>
                    <a:stretch>
                      <a:fillRect/>
                    </a:stretch>
                  </pic:blipFill>
                  <pic:spPr bwMode="auto">
                    <a:xfrm>
                      <a:off x="0" y="0"/>
                      <a:ext cx="5731510" cy="6858000"/>
                    </a:xfrm>
                    <a:prstGeom prst="rect">
                      <a:avLst/>
                    </a:prstGeom>
                    <a:ln>
                      <a:noFill/>
                    </a:ln>
                    <a:extLst>
                      <a:ext uri="{53640926-AAD7-44D8-BBD7-CCE9431645EC}">
                        <a14:shadowObscured xmlns:a14="http://schemas.microsoft.com/office/drawing/2010/main"/>
                      </a:ext>
                    </a:extLst>
                  </pic:spPr>
                </pic:pic>
              </a:graphicData>
            </a:graphic>
          </wp:inline>
        </w:drawing>
      </w:r>
    </w:p>
    <w:p w14:paraId="7616C434" w14:textId="3EBC3F21" w:rsidR="00F35CCB" w:rsidRPr="00312766" w:rsidRDefault="00F35CCB" w:rsidP="00F35CCB">
      <w:pPr>
        <w:pStyle w:val="Caption"/>
        <w:jc w:val="center"/>
        <w:rPr>
          <w:szCs w:val="20"/>
        </w:rPr>
      </w:pPr>
      <w:bookmarkStart w:id="202" w:name="_Ref227136911"/>
      <w:bookmarkStart w:id="203" w:name="_Toc228701115"/>
      <w:r>
        <w:t xml:space="preserve">Figure </w:t>
      </w:r>
      <w:fldSimple w:instr=" STYLEREF 1 \s ">
        <w:r w:rsidR="007306EC">
          <w:rPr>
            <w:noProof/>
          </w:rPr>
          <w:t>6</w:t>
        </w:r>
      </w:fldSimple>
      <w:r w:rsidR="007306EC">
        <w:noBreakHyphen/>
      </w:r>
      <w:fldSimple w:instr=" SEQ Figure \* ARABIC \s 1 ">
        <w:r w:rsidR="007306EC">
          <w:rPr>
            <w:noProof/>
          </w:rPr>
          <w:t>1</w:t>
        </w:r>
      </w:fldSimple>
      <w:bookmarkEnd w:id="202"/>
      <w:r>
        <w:t xml:space="preserve"> Strategic recommendations</w:t>
      </w:r>
      <w:bookmarkEnd w:id="203"/>
    </w:p>
    <w:p w14:paraId="03BCD592" w14:textId="239EFF6F" w:rsidR="00D86D38" w:rsidRPr="00D86D38" w:rsidRDefault="00D86D38" w:rsidP="00D86D38">
      <w:pPr>
        <w:pStyle w:val="Heading3"/>
        <w:rPr>
          <w:rFonts w:eastAsia="Times New Roman" w:cs="Times New Roman"/>
          <w:b/>
          <w:sz w:val="22"/>
          <w:szCs w:val="26"/>
        </w:rPr>
      </w:pPr>
      <w:bookmarkStart w:id="204" w:name="_Toc228701064"/>
      <w:r w:rsidRPr="00D86D38">
        <w:rPr>
          <w:rFonts w:eastAsia="Times New Roman" w:cs="Times New Roman"/>
          <w:b/>
          <w:sz w:val="22"/>
          <w:szCs w:val="26"/>
        </w:rPr>
        <w:t>S</w:t>
      </w:r>
      <w:r w:rsidR="00312766" w:rsidRPr="00312766">
        <w:rPr>
          <w:rFonts w:eastAsia="Times New Roman" w:cs="Times New Roman"/>
          <w:b/>
          <w:sz w:val="22"/>
          <w:szCs w:val="26"/>
        </w:rPr>
        <w:t>trengthening production and governance foundations</w:t>
      </w:r>
      <w:bookmarkEnd w:id="204"/>
    </w:p>
    <w:p w14:paraId="51A44FCC" w14:textId="77777777" w:rsidR="00867D7A" w:rsidRPr="00F80E4D" w:rsidRDefault="00867D7A" w:rsidP="00867D7A">
      <w:pPr>
        <w:rPr>
          <w:sz w:val="20"/>
          <w:szCs w:val="20"/>
          <w:lang w:val="en-GB"/>
        </w:rPr>
      </w:pPr>
      <w:r w:rsidRPr="00F80E4D">
        <w:rPr>
          <w:sz w:val="20"/>
          <w:szCs w:val="20"/>
          <w:lang w:val="en-GB"/>
        </w:rPr>
        <w:t>Improving productivity and governance is the central priority for transforming the cocoa sector. Low yields, weak institutional coordination, and limited adoption of good agricultural practices constrain both economic performance and social and environmental outcomes.</w:t>
      </w:r>
    </w:p>
    <w:p w14:paraId="279615BC" w14:textId="77777777" w:rsidR="00867D7A" w:rsidRPr="00F80E4D" w:rsidRDefault="00867D7A" w:rsidP="00867D7A">
      <w:pPr>
        <w:rPr>
          <w:sz w:val="20"/>
          <w:szCs w:val="20"/>
          <w:lang w:val="en-GB"/>
        </w:rPr>
      </w:pPr>
    </w:p>
    <w:p w14:paraId="43CC91DB" w14:textId="6D617424" w:rsidR="00867D7A" w:rsidRPr="00F80E4D" w:rsidRDefault="00867D7A" w:rsidP="00867D7A">
      <w:pPr>
        <w:rPr>
          <w:sz w:val="20"/>
          <w:szCs w:val="20"/>
          <w:lang w:val="en-GB"/>
        </w:rPr>
      </w:pPr>
      <w:proofErr w:type="gramStart"/>
      <w:r w:rsidRPr="00F80E4D">
        <w:rPr>
          <w:sz w:val="20"/>
          <w:szCs w:val="20"/>
          <w:lang w:val="en-GB"/>
        </w:rPr>
        <w:t>A first priority</w:t>
      </w:r>
      <w:proofErr w:type="gramEnd"/>
      <w:r w:rsidRPr="00F80E4D">
        <w:rPr>
          <w:sz w:val="20"/>
          <w:szCs w:val="20"/>
          <w:lang w:val="en-GB"/>
        </w:rPr>
        <w:t xml:space="preserve"> is to accelerate farm rehabilitation and improve agronomic practices. This includes targeted support for replanting ageing cocoa trees, pruning, disease management, and the adoption of improved planting material. Given the sector’s positioning in organic markets, the </w:t>
      </w:r>
      <w:r w:rsidRPr="00F80E4D">
        <w:rPr>
          <w:sz w:val="20"/>
          <w:szCs w:val="20"/>
          <w:lang w:val="en-GB"/>
        </w:rPr>
        <w:lastRenderedPageBreak/>
        <w:t xml:space="preserve">promotion of sustainable input use, such as vermicompost and bio-based pest control, should be prioritised. </w:t>
      </w:r>
      <w:r>
        <w:rPr>
          <w:sz w:val="20"/>
          <w:szCs w:val="20"/>
          <w:lang w:val="en-GB"/>
        </w:rPr>
        <w:t xml:space="preserve">There are established organic agroforestry practices to make better use of available resources such as plant residues. </w:t>
      </w:r>
      <w:r w:rsidRPr="00F80E4D">
        <w:rPr>
          <w:sz w:val="20"/>
          <w:szCs w:val="20"/>
          <w:lang w:val="en-GB"/>
        </w:rPr>
        <w:t>Strengthening extension services and farmer training systems is essential but must be linked to access to finance to enable actual adoption.</w:t>
      </w:r>
      <w:r>
        <w:rPr>
          <w:sz w:val="20"/>
          <w:szCs w:val="20"/>
          <w:lang w:val="en-GB"/>
        </w:rPr>
        <w:t xml:space="preserve"> Existing practices such as access to model farms etc is crucial to avoid a “one and done” training configuration which does not support embedding and reinforcing of good practices. Enhancing training provision must take cognizance of local language as well as literacy requirements. Cooperatives have a role to play in this, leading to the second point.</w:t>
      </w:r>
    </w:p>
    <w:p w14:paraId="1A04601E" w14:textId="77777777" w:rsidR="00867D7A" w:rsidRPr="00F80E4D" w:rsidRDefault="00867D7A" w:rsidP="00867D7A">
      <w:pPr>
        <w:rPr>
          <w:sz w:val="20"/>
          <w:szCs w:val="20"/>
          <w:lang w:val="en-GB"/>
        </w:rPr>
      </w:pPr>
    </w:p>
    <w:p w14:paraId="34E82568" w14:textId="77777777" w:rsidR="00867D7A" w:rsidRPr="00F80E4D" w:rsidRDefault="00867D7A" w:rsidP="00867D7A">
      <w:pPr>
        <w:rPr>
          <w:sz w:val="20"/>
          <w:szCs w:val="20"/>
          <w:lang w:val="en-GB"/>
        </w:rPr>
      </w:pPr>
      <w:r w:rsidRPr="00F80E4D">
        <w:rPr>
          <w:sz w:val="20"/>
          <w:szCs w:val="20"/>
          <w:lang w:val="en-GB"/>
        </w:rPr>
        <w:t>Second, strengthening governance and collective action is critical. Cooperatives have the potential to improve farmer bargaining power, facilitate access to certification and finance, and enable entry into higher-value markets. However, their current capacity remains limited. Strengthening the Department of Cooperatives, improving cooperative governance, and supporting their operational and financial autonomy should be prioritised. Enabling cooperatives to engage more directly in marketing and export activities would reduce dependence on exporter-led financing arrangements and improve value capture at the producer level.</w:t>
      </w:r>
    </w:p>
    <w:p w14:paraId="48EFDDB3" w14:textId="77777777" w:rsidR="00867D7A" w:rsidRPr="00F80E4D" w:rsidRDefault="00867D7A" w:rsidP="00867D7A">
      <w:pPr>
        <w:rPr>
          <w:sz w:val="20"/>
          <w:szCs w:val="20"/>
          <w:lang w:val="en-GB"/>
        </w:rPr>
      </w:pPr>
    </w:p>
    <w:p w14:paraId="3518EA7A" w14:textId="77777777" w:rsidR="00867D7A" w:rsidRDefault="00867D7A" w:rsidP="00867D7A">
      <w:pPr>
        <w:rPr>
          <w:sz w:val="20"/>
          <w:szCs w:val="20"/>
          <w:lang w:val="en-GB"/>
        </w:rPr>
      </w:pPr>
      <w:r w:rsidRPr="00F80E4D">
        <w:rPr>
          <w:sz w:val="20"/>
          <w:szCs w:val="20"/>
          <w:lang w:val="en-GB"/>
        </w:rPr>
        <w:t>Third, improving traceability and compliance systems is essential, particularly in the context of the EU Deforestation Regulation (EUDR). Scaling up farm geolocation, strengthening internal control systems, and improving monitoring of cross-border flows are critical to maintaining access to EU markets.</w:t>
      </w:r>
      <w:r>
        <w:rPr>
          <w:sz w:val="20"/>
          <w:szCs w:val="20"/>
          <w:lang w:val="en-GB"/>
        </w:rPr>
        <w:t xml:space="preserve"> </w:t>
      </w:r>
      <w:r w:rsidRPr="00F80E4D">
        <w:rPr>
          <w:sz w:val="20"/>
          <w:szCs w:val="20"/>
          <w:lang w:val="en-GB"/>
        </w:rPr>
        <w:t>These efforts should be integrated with broader investments in data systems and sector coordination.</w:t>
      </w:r>
      <w:r>
        <w:rPr>
          <w:sz w:val="20"/>
          <w:szCs w:val="20"/>
          <w:lang w:val="en-GB"/>
        </w:rPr>
        <w:t xml:space="preserve"> Better integration of enhanced remote sensing datasets as well engagement with certification companies can help reduce the risk of misclassification, however this process should be leveraged to identify areas of high carbon/biodiversity adjacent to the cocoa growing area. </w:t>
      </w:r>
    </w:p>
    <w:p w14:paraId="17E82AFB" w14:textId="77777777" w:rsidR="00867D7A" w:rsidRDefault="00867D7A" w:rsidP="00867D7A">
      <w:pPr>
        <w:rPr>
          <w:sz w:val="20"/>
          <w:szCs w:val="20"/>
          <w:lang w:val="en-GB"/>
        </w:rPr>
      </w:pPr>
    </w:p>
    <w:p w14:paraId="40C59ECC" w14:textId="77777777" w:rsidR="00867D7A" w:rsidRPr="00F80E4D" w:rsidRDefault="00867D7A" w:rsidP="00867D7A">
      <w:pPr>
        <w:rPr>
          <w:sz w:val="20"/>
          <w:szCs w:val="20"/>
          <w:lang w:val="en-GB"/>
        </w:rPr>
      </w:pPr>
      <w:r w:rsidRPr="004B459C">
        <w:rPr>
          <w:sz w:val="20"/>
          <w:szCs w:val="20"/>
          <w:lang w:val="en-GB"/>
        </w:rPr>
        <w:t>Fourth, extension and advisory support should be redesigned to be both technically effective and socially inclusive. Women, who play a central role in cocoa production yet remain concentrated in lower-value and labour-intensive activities, must have equitable access to training, extension, and farm support services. This requires adapting delivery mechanisms to women’s time constraints, strengthening their participation in producer organisations, and moving beyond participation towards greater control over income, assets, and decision-making</w:t>
      </w:r>
      <w:r w:rsidRPr="00815E7B">
        <w:rPr>
          <w:sz w:val="20"/>
          <w:szCs w:val="20"/>
          <w:lang w:val="en-GB"/>
        </w:rPr>
        <w:t>.</w:t>
      </w:r>
    </w:p>
    <w:p w14:paraId="7869DA1D" w14:textId="77777777" w:rsidR="00867D7A" w:rsidRPr="00F80E4D" w:rsidRDefault="00867D7A" w:rsidP="00867D7A">
      <w:pPr>
        <w:rPr>
          <w:sz w:val="20"/>
          <w:szCs w:val="20"/>
          <w:lang w:val="en-GB"/>
        </w:rPr>
      </w:pPr>
    </w:p>
    <w:p w14:paraId="452665DE" w14:textId="5AEE57FC" w:rsidR="00C76C37" w:rsidRDefault="00867D7A" w:rsidP="00867D7A">
      <w:pPr>
        <w:rPr>
          <w:sz w:val="20"/>
          <w:szCs w:val="20"/>
          <w:lang w:val="en-GB"/>
        </w:rPr>
      </w:pPr>
      <w:r w:rsidRPr="00F80E4D">
        <w:rPr>
          <w:sz w:val="20"/>
          <w:szCs w:val="20"/>
          <w:lang w:val="en-GB"/>
        </w:rPr>
        <w:t>F</w:t>
      </w:r>
      <w:r w:rsidR="009910C0">
        <w:rPr>
          <w:sz w:val="20"/>
          <w:szCs w:val="20"/>
          <w:lang w:val="en-GB"/>
        </w:rPr>
        <w:t>ifth</w:t>
      </w:r>
      <w:r w:rsidRPr="00F80E4D">
        <w:rPr>
          <w:sz w:val="20"/>
          <w:szCs w:val="20"/>
          <w:lang w:val="en-GB"/>
        </w:rPr>
        <w:t>, environmental sustainability must be embedded in production systems. Promoting agroforestry-based cocoa systems, preventing expansion into forested areas, and improving soil and biodiversity management are essential for long-term sustainability</w:t>
      </w:r>
      <w:r>
        <w:rPr>
          <w:sz w:val="20"/>
          <w:szCs w:val="20"/>
          <w:lang w:val="en-GB"/>
        </w:rPr>
        <w:t xml:space="preserve"> and climate resilience.</w:t>
      </w:r>
      <w:r w:rsidRPr="00F80E4D">
        <w:rPr>
          <w:sz w:val="20"/>
          <w:szCs w:val="20"/>
          <w:lang w:val="en-GB"/>
        </w:rPr>
        <w:t xml:space="preserve"> </w:t>
      </w:r>
      <w:r>
        <w:rPr>
          <w:sz w:val="20"/>
          <w:szCs w:val="20"/>
          <w:lang w:val="en-GB"/>
        </w:rPr>
        <w:t>Maintaining environmental integrity at the farm level, whilst making improvements along the value chain (e.g. better solar drying) fosters</w:t>
      </w:r>
      <w:r w:rsidRPr="00F80E4D">
        <w:rPr>
          <w:sz w:val="20"/>
          <w:szCs w:val="20"/>
          <w:lang w:val="en-GB"/>
        </w:rPr>
        <w:t xml:space="preserve"> compliance with international market requirements and strengthen the sector’s positioning in premium segments</w:t>
      </w:r>
      <w:r>
        <w:rPr>
          <w:sz w:val="20"/>
          <w:szCs w:val="20"/>
          <w:lang w:val="en-GB"/>
        </w:rPr>
        <w:t xml:space="preserve">. </w:t>
      </w:r>
    </w:p>
    <w:p w14:paraId="489C4C6C" w14:textId="77777777" w:rsidR="009910C0" w:rsidRDefault="009910C0" w:rsidP="00867D7A">
      <w:pPr>
        <w:rPr>
          <w:sz w:val="20"/>
          <w:szCs w:val="20"/>
          <w:lang w:val="en-GB"/>
        </w:rPr>
      </w:pPr>
    </w:p>
    <w:p w14:paraId="615ABDD4" w14:textId="2C528F27" w:rsidR="009910C0" w:rsidRPr="005A4D87" w:rsidRDefault="009910C0" w:rsidP="00867D7A">
      <w:pPr>
        <w:rPr>
          <w:sz w:val="20"/>
          <w:szCs w:val="20"/>
        </w:rPr>
      </w:pPr>
      <w:r>
        <w:rPr>
          <w:sz w:val="20"/>
          <w:szCs w:val="20"/>
          <w:lang w:val="en-GB"/>
        </w:rPr>
        <w:t xml:space="preserve">Finally, </w:t>
      </w:r>
      <w:r w:rsidRPr="009910C0">
        <w:rPr>
          <w:sz w:val="20"/>
          <w:szCs w:val="20"/>
          <w:lang w:val="en-GB"/>
        </w:rPr>
        <w:t>improving rural infrastructure is essential for enhancing competitiveness, reducing losses, and strengthening market access within the cocoa value chain. Priority investments should focus on rehabilitating secondary and feeder roads linking cocoa-producing areas to aggregation centres and export corridors, particularly in key producing districts such as Kailahun, Kenema, and Kono. Improved road connectivity would reduce transport costs, facilitate timely market access, and strengthen traceability systems. Complementary investments in cooperative warehouses, collection centres, solar drying facilities, and quality-control infrastructure would improve post-harvest handling, reduce quality deterioration, and support compliance with organic and EUDR requirements. Together, these investments would enhance value capture, improve resilience, and increase the sector’s ability to access premium export markets.</w:t>
      </w:r>
    </w:p>
    <w:p w14:paraId="1E1B6779" w14:textId="428F2A6D" w:rsidR="00E703EF" w:rsidRPr="003C3BAD" w:rsidRDefault="00E703EF" w:rsidP="00C76C37">
      <w:pPr>
        <w:pStyle w:val="ListParagraph"/>
        <w:ind w:left="360" w:firstLine="0"/>
        <w:rPr>
          <w:sz w:val="20"/>
          <w:szCs w:val="20"/>
        </w:rPr>
      </w:pPr>
    </w:p>
    <w:p w14:paraId="4C109CF0" w14:textId="5261BCD6" w:rsidR="005334D7" w:rsidRPr="00D86D38" w:rsidRDefault="00F80E4D" w:rsidP="005334D7">
      <w:pPr>
        <w:pStyle w:val="Heading3"/>
        <w:rPr>
          <w:rFonts w:eastAsia="Times New Roman" w:cs="Times New Roman"/>
          <w:b/>
          <w:sz w:val="22"/>
          <w:szCs w:val="26"/>
        </w:rPr>
      </w:pPr>
      <w:bookmarkStart w:id="205" w:name="_Toc228701065"/>
      <w:r>
        <w:rPr>
          <w:rFonts w:eastAsia="Times New Roman" w:cs="Times New Roman"/>
          <w:b/>
          <w:sz w:val="22"/>
          <w:szCs w:val="26"/>
        </w:rPr>
        <w:lastRenderedPageBreak/>
        <w:t>E</w:t>
      </w:r>
      <w:r w:rsidRPr="00F80E4D">
        <w:rPr>
          <w:rFonts w:eastAsia="Times New Roman" w:cs="Times New Roman"/>
          <w:b/>
          <w:sz w:val="22"/>
          <w:szCs w:val="26"/>
        </w:rPr>
        <w:t>nhancing financial resilience and investment</w:t>
      </w:r>
      <w:bookmarkEnd w:id="205"/>
    </w:p>
    <w:p w14:paraId="4B65EE2F" w14:textId="77777777" w:rsidR="00867D7A" w:rsidRPr="004B459C" w:rsidRDefault="00867D7A" w:rsidP="00867D7A">
      <w:pPr>
        <w:contextualSpacing w:val="0"/>
        <w:rPr>
          <w:sz w:val="20"/>
          <w:szCs w:val="20"/>
        </w:rPr>
      </w:pPr>
      <w:r w:rsidRPr="004B459C">
        <w:rPr>
          <w:sz w:val="20"/>
          <w:szCs w:val="20"/>
        </w:rPr>
        <w:t xml:space="preserve">Financial constraints remain one of the most important barriers to inclusive and sustainable transformation. Smallholders often lack the liquidity needed to invest in rehabilitation, hire </w:t>
      </w:r>
      <w:proofErr w:type="spellStart"/>
      <w:r w:rsidRPr="004B459C">
        <w:rPr>
          <w:sz w:val="20"/>
          <w:szCs w:val="20"/>
        </w:rPr>
        <w:t>labour</w:t>
      </w:r>
      <w:proofErr w:type="spellEnd"/>
      <w:r w:rsidRPr="004B459C">
        <w:rPr>
          <w:sz w:val="20"/>
          <w:szCs w:val="20"/>
        </w:rPr>
        <w:t xml:space="preserve"> at the right time, or wait for better prices, while many households rely on borrowing during the lean season simply to meet food needs. The report shows that this seasonal dependence is especially acute during the “hungry month”, and that borrowing conditions differ sharply between those with access to cooperative-based support and those dependent on agents.</w:t>
      </w:r>
    </w:p>
    <w:p w14:paraId="206F693A" w14:textId="77777777" w:rsidR="00867D7A" w:rsidRPr="004B459C" w:rsidRDefault="00867D7A" w:rsidP="00867D7A">
      <w:pPr>
        <w:contextualSpacing w:val="0"/>
        <w:rPr>
          <w:sz w:val="20"/>
          <w:szCs w:val="20"/>
        </w:rPr>
      </w:pPr>
    </w:p>
    <w:p w14:paraId="6D249BFA" w14:textId="77777777" w:rsidR="00867D7A" w:rsidRPr="004B459C" w:rsidRDefault="00867D7A" w:rsidP="00867D7A">
      <w:pPr>
        <w:contextualSpacing w:val="0"/>
        <w:rPr>
          <w:sz w:val="20"/>
          <w:szCs w:val="20"/>
        </w:rPr>
      </w:pPr>
      <w:r w:rsidRPr="004B459C">
        <w:rPr>
          <w:sz w:val="20"/>
          <w:szCs w:val="20"/>
        </w:rPr>
        <w:t xml:space="preserve">A priority should therefore be to create tailored financial instruments that address the seasonal and structural realities of cocoa production. These should include revolving funds, concessional loans, warehouse receipt systems, and low-cost seasonal finance that </w:t>
      </w:r>
      <w:proofErr w:type="gramStart"/>
      <w:r w:rsidRPr="004B459C">
        <w:rPr>
          <w:sz w:val="20"/>
          <w:szCs w:val="20"/>
        </w:rPr>
        <w:t>helps</w:t>
      </w:r>
      <w:proofErr w:type="gramEnd"/>
      <w:r w:rsidRPr="004B459C">
        <w:rPr>
          <w:sz w:val="20"/>
          <w:szCs w:val="20"/>
        </w:rPr>
        <w:t xml:space="preserve"> farmers avoid distress sales and food-related indebtedness. Such instruments should be explicitly timed to the pre-harvest lean season and linked to productive investment, </w:t>
      </w:r>
      <w:proofErr w:type="gramStart"/>
      <w:r w:rsidRPr="004B459C">
        <w:rPr>
          <w:sz w:val="20"/>
          <w:szCs w:val="20"/>
        </w:rPr>
        <w:t>not only consumption</w:t>
      </w:r>
      <w:proofErr w:type="gramEnd"/>
      <w:r w:rsidRPr="004B459C">
        <w:rPr>
          <w:sz w:val="20"/>
          <w:szCs w:val="20"/>
        </w:rPr>
        <w:t xml:space="preserve"> smoothing.</w:t>
      </w:r>
    </w:p>
    <w:p w14:paraId="3080B1B8" w14:textId="77777777" w:rsidR="00867D7A" w:rsidRPr="004B459C" w:rsidRDefault="00867D7A" w:rsidP="00867D7A">
      <w:pPr>
        <w:contextualSpacing w:val="0"/>
        <w:rPr>
          <w:sz w:val="20"/>
          <w:szCs w:val="20"/>
        </w:rPr>
      </w:pPr>
    </w:p>
    <w:p w14:paraId="542EA8E6" w14:textId="77777777" w:rsidR="00867D7A" w:rsidRPr="004B459C" w:rsidRDefault="00867D7A" w:rsidP="00867D7A">
      <w:pPr>
        <w:contextualSpacing w:val="0"/>
        <w:rPr>
          <w:sz w:val="20"/>
          <w:szCs w:val="20"/>
        </w:rPr>
      </w:pPr>
      <w:r w:rsidRPr="004B459C">
        <w:rPr>
          <w:sz w:val="20"/>
          <w:szCs w:val="20"/>
        </w:rPr>
        <w:t xml:space="preserve">VSLAs deserve more prominent recognition as an operational entry point for strengthening resilience, especially for women and cooperative members. The evidence suggests that VSLAs already provide relatively affordable and structured support and may reduce repayment difficulties compared with dependence on agents. Scaling and </w:t>
      </w:r>
      <w:proofErr w:type="spellStart"/>
      <w:r w:rsidRPr="004B459C">
        <w:rPr>
          <w:sz w:val="20"/>
          <w:szCs w:val="20"/>
        </w:rPr>
        <w:t>professionalising</w:t>
      </w:r>
      <w:proofErr w:type="spellEnd"/>
      <w:r w:rsidRPr="004B459C">
        <w:rPr>
          <w:sz w:val="20"/>
          <w:szCs w:val="20"/>
        </w:rPr>
        <w:t xml:space="preserve"> these mechanisms, while linking them to </w:t>
      </w:r>
      <w:proofErr w:type="gramStart"/>
      <w:r w:rsidRPr="004B459C">
        <w:rPr>
          <w:sz w:val="20"/>
          <w:szCs w:val="20"/>
        </w:rPr>
        <w:t>cooperatives</w:t>
      </w:r>
      <w:proofErr w:type="gramEnd"/>
      <w:r w:rsidRPr="004B459C">
        <w:rPr>
          <w:sz w:val="20"/>
          <w:szCs w:val="20"/>
        </w:rPr>
        <w:t xml:space="preserve"> and formal financial channels, could provide a practical pathway for improving women’s access to finance, reducing vulnerability during food shortages, and enabling greater investment in farms and small businesses.</w:t>
      </w:r>
    </w:p>
    <w:p w14:paraId="1D125D38" w14:textId="77777777" w:rsidR="00867D7A" w:rsidRPr="004B459C" w:rsidRDefault="00867D7A" w:rsidP="00867D7A">
      <w:pPr>
        <w:contextualSpacing w:val="0"/>
        <w:rPr>
          <w:sz w:val="20"/>
          <w:szCs w:val="20"/>
        </w:rPr>
      </w:pPr>
    </w:p>
    <w:p w14:paraId="648EE2C4" w14:textId="77777777" w:rsidR="00867D7A" w:rsidRPr="004B459C" w:rsidRDefault="00867D7A" w:rsidP="00867D7A">
      <w:pPr>
        <w:contextualSpacing w:val="0"/>
        <w:rPr>
          <w:sz w:val="20"/>
          <w:szCs w:val="20"/>
        </w:rPr>
      </w:pPr>
      <w:r w:rsidRPr="004B459C">
        <w:rPr>
          <w:sz w:val="20"/>
          <w:szCs w:val="20"/>
        </w:rPr>
        <w:t>Targeted financial inclusion for women should be a specific objective, not a secondary outcome. Women have lower access to financial services, smaller farms, and less control over resources, despite their central role in production. Credit lines, matching grants, and cooperative finance windows should therefore be designed to support women producers, women-led enterprises, and women’s groups, including for trading, post-harvest upgrading, and value addition.</w:t>
      </w:r>
    </w:p>
    <w:p w14:paraId="589E6699" w14:textId="77777777" w:rsidR="00867D7A" w:rsidRPr="004B459C" w:rsidRDefault="00867D7A" w:rsidP="00867D7A">
      <w:pPr>
        <w:contextualSpacing w:val="0"/>
        <w:rPr>
          <w:sz w:val="20"/>
          <w:szCs w:val="20"/>
        </w:rPr>
      </w:pPr>
    </w:p>
    <w:p w14:paraId="4FD2DCEA" w14:textId="77777777" w:rsidR="00867D7A" w:rsidRDefault="00867D7A" w:rsidP="00867D7A">
      <w:pPr>
        <w:contextualSpacing w:val="0"/>
        <w:rPr>
          <w:sz w:val="20"/>
          <w:szCs w:val="20"/>
        </w:rPr>
      </w:pPr>
      <w:r w:rsidRPr="004B459C">
        <w:rPr>
          <w:sz w:val="20"/>
          <w:szCs w:val="20"/>
        </w:rPr>
        <w:t xml:space="preserve">Climate resilience should also shape the investment agenda. </w:t>
      </w:r>
      <w:r>
        <w:rPr>
          <w:sz w:val="20"/>
          <w:szCs w:val="20"/>
        </w:rPr>
        <w:t xml:space="preserve">Agroforestry, due to its high shade levels, already contributes to climate adaptation, but are not themselves immune. </w:t>
      </w:r>
      <w:r w:rsidRPr="00E5487D">
        <w:rPr>
          <w:sz w:val="20"/>
          <w:szCs w:val="20"/>
        </w:rPr>
        <w:t xml:space="preserve">Farmers are becoming more </w:t>
      </w:r>
      <w:r>
        <w:rPr>
          <w:sz w:val="20"/>
          <w:szCs w:val="20"/>
        </w:rPr>
        <w:t>conscious</w:t>
      </w:r>
      <w:r w:rsidRPr="00E5487D">
        <w:rPr>
          <w:sz w:val="20"/>
          <w:szCs w:val="20"/>
        </w:rPr>
        <w:t xml:space="preserve"> of rising heat, irregular rainfall, </w:t>
      </w:r>
      <w:r>
        <w:rPr>
          <w:sz w:val="20"/>
          <w:szCs w:val="20"/>
        </w:rPr>
        <w:t>leading respectively to</w:t>
      </w:r>
      <w:r w:rsidRPr="00E5487D">
        <w:rPr>
          <w:sz w:val="20"/>
          <w:szCs w:val="20"/>
        </w:rPr>
        <w:t xml:space="preserve"> increased crop stress</w:t>
      </w:r>
      <w:r>
        <w:rPr>
          <w:sz w:val="20"/>
          <w:szCs w:val="20"/>
        </w:rPr>
        <w:t>, increased black pod etc</w:t>
      </w:r>
      <w:r w:rsidRPr="00E5487D">
        <w:rPr>
          <w:sz w:val="20"/>
          <w:szCs w:val="20"/>
        </w:rPr>
        <w:t>. Younger cocoa trees are likely to be more vulnerable</w:t>
      </w:r>
      <w:r>
        <w:rPr>
          <w:sz w:val="20"/>
          <w:szCs w:val="20"/>
        </w:rPr>
        <w:t xml:space="preserve"> to climate change</w:t>
      </w:r>
      <w:r w:rsidRPr="00E5487D">
        <w:rPr>
          <w:sz w:val="20"/>
          <w:szCs w:val="20"/>
        </w:rPr>
        <w:t xml:space="preserve"> than mature trees, especially in poorly shaded areas.</w:t>
      </w:r>
      <w:r>
        <w:rPr>
          <w:sz w:val="20"/>
          <w:szCs w:val="20"/>
        </w:rPr>
        <w:t xml:space="preserve"> Given the long life of agroforestry systems rejuvenation and shade management, farmers need to be supported with ‘climate smart’ shade management plans that take into consideration the changing climate.</w:t>
      </w:r>
    </w:p>
    <w:p w14:paraId="6771D4F9" w14:textId="77777777" w:rsidR="00867D7A" w:rsidRDefault="00867D7A" w:rsidP="00867D7A">
      <w:pPr>
        <w:contextualSpacing w:val="0"/>
        <w:rPr>
          <w:sz w:val="20"/>
          <w:szCs w:val="20"/>
        </w:rPr>
      </w:pPr>
    </w:p>
    <w:p w14:paraId="150437BD" w14:textId="77777777" w:rsidR="00867D7A" w:rsidRPr="00F80E4D" w:rsidRDefault="00867D7A" w:rsidP="00867D7A">
      <w:pPr>
        <w:contextualSpacing w:val="0"/>
        <w:rPr>
          <w:sz w:val="20"/>
          <w:szCs w:val="20"/>
        </w:rPr>
      </w:pPr>
      <w:r w:rsidRPr="004B459C">
        <w:rPr>
          <w:sz w:val="20"/>
          <w:szCs w:val="20"/>
        </w:rPr>
        <w:t>Public and blended finance should support not only productivity growth, but also adaptation investments such as rehabilitation of degraded farms, improved shade management, low-emission drying technologies, and infrastructure that reduces post-harvest losses under more variable weather conditions. In this way, financial reform can help shift the value chain from short-term coping to longer-term resilience</w:t>
      </w:r>
      <w:r w:rsidRPr="00F80E4D">
        <w:rPr>
          <w:sz w:val="20"/>
          <w:szCs w:val="20"/>
        </w:rPr>
        <w:t>.</w:t>
      </w:r>
    </w:p>
    <w:p w14:paraId="01A5C91A" w14:textId="54562952" w:rsidR="005334D7" w:rsidRPr="00D86D38" w:rsidRDefault="00F80E4D" w:rsidP="005334D7">
      <w:pPr>
        <w:pStyle w:val="Heading3"/>
        <w:rPr>
          <w:rFonts w:eastAsia="Times New Roman" w:cs="Times New Roman"/>
          <w:b/>
          <w:sz w:val="22"/>
          <w:szCs w:val="26"/>
        </w:rPr>
      </w:pPr>
      <w:bookmarkStart w:id="206" w:name="_Toc228701066"/>
      <w:r>
        <w:rPr>
          <w:rFonts w:eastAsia="Times New Roman" w:cs="Times New Roman"/>
          <w:b/>
          <w:sz w:val="22"/>
          <w:szCs w:val="26"/>
        </w:rPr>
        <w:t>I</w:t>
      </w:r>
      <w:r w:rsidRPr="00F80E4D">
        <w:rPr>
          <w:rFonts w:eastAsia="Times New Roman" w:cs="Times New Roman"/>
          <w:b/>
          <w:sz w:val="22"/>
          <w:szCs w:val="26"/>
        </w:rPr>
        <w:t>mproving market access and trade competitiveness</w:t>
      </w:r>
      <w:bookmarkEnd w:id="206"/>
    </w:p>
    <w:p w14:paraId="6D46A2C5" w14:textId="77777777" w:rsidR="00867D7A" w:rsidRPr="004B459C" w:rsidRDefault="00867D7A" w:rsidP="00867D7A">
      <w:pPr>
        <w:contextualSpacing w:val="0"/>
        <w:rPr>
          <w:sz w:val="20"/>
          <w:szCs w:val="20"/>
        </w:rPr>
      </w:pPr>
      <w:r w:rsidRPr="004B459C">
        <w:rPr>
          <w:sz w:val="20"/>
          <w:szCs w:val="20"/>
        </w:rPr>
        <w:t>Improving market performance requires strengthening both access to premium markets and the capacity to retain more value domestically. EUDR compliance is central to this agenda. Investments in geolocation, traceability, internal control systems, and cross-border monitoring are essential if Sierra Leone is to maintain access to the EU market, especially given the current low level of mapped farms and the risks of co-mingling and informal inflows.</w:t>
      </w:r>
    </w:p>
    <w:p w14:paraId="49DF60A1" w14:textId="77777777" w:rsidR="00867D7A" w:rsidRPr="004B459C" w:rsidRDefault="00867D7A" w:rsidP="00867D7A">
      <w:pPr>
        <w:contextualSpacing w:val="0"/>
        <w:rPr>
          <w:sz w:val="20"/>
          <w:szCs w:val="20"/>
        </w:rPr>
      </w:pPr>
    </w:p>
    <w:p w14:paraId="73798AE1" w14:textId="77777777" w:rsidR="006D4918" w:rsidRDefault="006D4918" w:rsidP="00867D7A">
      <w:pPr>
        <w:contextualSpacing w:val="0"/>
        <w:rPr>
          <w:sz w:val="20"/>
          <w:szCs w:val="20"/>
        </w:rPr>
      </w:pPr>
      <w:r w:rsidRPr="006D4918">
        <w:rPr>
          <w:sz w:val="20"/>
          <w:szCs w:val="20"/>
        </w:rPr>
        <w:lastRenderedPageBreak/>
        <w:t xml:space="preserve">At present, </w:t>
      </w:r>
      <w:proofErr w:type="gramStart"/>
      <w:r w:rsidRPr="006D4918">
        <w:rPr>
          <w:sz w:val="20"/>
          <w:szCs w:val="20"/>
        </w:rPr>
        <w:t>the majority of</w:t>
      </w:r>
      <w:proofErr w:type="gramEnd"/>
      <w:r w:rsidRPr="006D4918">
        <w:rPr>
          <w:sz w:val="20"/>
          <w:szCs w:val="20"/>
        </w:rPr>
        <w:t xml:space="preserve"> Sierra Leone’s cocoa exports are </w:t>
      </w:r>
      <w:proofErr w:type="spellStart"/>
      <w:r w:rsidRPr="006D4918">
        <w:rPr>
          <w:sz w:val="20"/>
          <w:szCs w:val="20"/>
        </w:rPr>
        <w:t>channelled</w:t>
      </w:r>
      <w:proofErr w:type="spellEnd"/>
      <w:r w:rsidRPr="006D4918">
        <w:rPr>
          <w:sz w:val="20"/>
          <w:szCs w:val="20"/>
        </w:rPr>
        <w:t xml:space="preserve"> through the Netherlands, creating a degree of market concentration risk. To reduce dependence on a single export destination, Sierra Leone should pursue a market diversification strategy that expands direct commercial relationships with buyers in Germany, Belgium, France, Switzerland, Italy, and other premium European markets. A key opportunity lies in leveraging the country’s strategic advantage in organic, agroforestry-based, and low-cadmium cocoa production. As consumers and manufacturers increasingly seek verifiable sustainability credentials, Sierra Leone is well positioned to promote fully traceable, EUDR-compliant cocoa linked to genuine agroforestry and biodiversity outcomes. </w:t>
      </w:r>
    </w:p>
    <w:p w14:paraId="41D73003" w14:textId="77777777" w:rsidR="006D4918" w:rsidRDefault="006D4918" w:rsidP="00867D7A">
      <w:pPr>
        <w:contextualSpacing w:val="0"/>
        <w:rPr>
          <w:sz w:val="20"/>
          <w:szCs w:val="20"/>
        </w:rPr>
      </w:pPr>
    </w:p>
    <w:p w14:paraId="198AE8DE" w14:textId="18D1C09E" w:rsidR="00867D7A" w:rsidRDefault="006D4918" w:rsidP="00867D7A">
      <w:pPr>
        <w:contextualSpacing w:val="0"/>
        <w:rPr>
          <w:sz w:val="20"/>
          <w:szCs w:val="20"/>
        </w:rPr>
      </w:pPr>
      <w:proofErr w:type="spellStart"/>
      <w:r w:rsidRPr="006D4918">
        <w:rPr>
          <w:sz w:val="20"/>
          <w:szCs w:val="20"/>
        </w:rPr>
        <w:t>Realising</w:t>
      </w:r>
      <w:proofErr w:type="spellEnd"/>
      <w:r w:rsidRPr="006D4918">
        <w:rPr>
          <w:sz w:val="20"/>
          <w:szCs w:val="20"/>
        </w:rPr>
        <w:t xml:space="preserve"> this opportunity will require reducing the administrative burden of certification, improving support for Certificates of Inspection and other compliance processes, and investing in post-harvest systems that protect quality and </w:t>
      </w:r>
      <w:proofErr w:type="spellStart"/>
      <w:r w:rsidRPr="006D4918">
        <w:rPr>
          <w:sz w:val="20"/>
          <w:szCs w:val="20"/>
        </w:rPr>
        <w:t>minimise</w:t>
      </w:r>
      <w:proofErr w:type="spellEnd"/>
      <w:r w:rsidRPr="006D4918">
        <w:rPr>
          <w:sz w:val="20"/>
          <w:szCs w:val="20"/>
        </w:rPr>
        <w:t xml:space="preserve"> contamination risks. Investments in solar drying, improved storage and transport facilities, stricter lot separation, and enhanced quality control can simultaneously strengthen environmental performance and commercial competitiveness. Together with stronger market promotion and origin branding, these measures would support access to higher-value market segments while reducing dependence on a single trading hub</w:t>
      </w:r>
      <w:r w:rsidR="00867D7A" w:rsidRPr="004B459C">
        <w:rPr>
          <w:sz w:val="20"/>
          <w:szCs w:val="20"/>
        </w:rPr>
        <w:t>.</w:t>
      </w:r>
      <w:r w:rsidR="00867D7A">
        <w:rPr>
          <w:sz w:val="20"/>
          <w:szCs w:val="20"/>
        </w:rPr>
        <w:t xml:space="preserve"> </w:t>
      </w:r>
    </w:p>
    <w:p w14:paraId="0114411A" w14:textId="77777777" w:rsidR="00867D7A" w:rsidRDefault="00867D7A" w:rsidP="00867D7A">
      <w:pPr>
        <w:contextualSpacing w:val="0"/>
        <w:rPr>
          <w:sz w:val="20"/>
          <w:szCs w:val="20"/>
        </w:rPr>
      </w:pPr>
    </w:p>
    <w:p w14:paraId="01123B9F" w14:textId="77777777" w:rsidR="00867D7A" w:rsidRPr="004B459C" w:rsidRDefault="00867D7A" w:rsidP="00867D7A">
      <w:pPr>
        <w:contextualSpacing w:val="0"/>
        <w:rPr>
          <w:sz w:val="20"/>
          <w:szCs w:val="20"/>
        </w:rPr>
      </w:pPr>
      <w:r>
        <w:rPr>
          <w:sz w:val="20"/>
          <w:szCs w:val="20"/>
        </w:rPr>
        <w:t>The allowable limit for pesticide residues within cocoa butter entering the EU is effectively zero whilst the limit for Polycyclic aromatic hydrocarbons (PAHs) is extremely strict. Therefore, whilst the risk of non-compliance due to contaminants such as heavy metals can be due to</w:t>
      </w:r>
      <w:r w:rsidRPr="004D198C">
        <w:rPr>
          <w:sz w:val="20"/>
          <w:szCs w:val="20"/>
        </w:rPr>
        <w:t xml:space="preserve"> low</w:t>
      </w:r>
      <w:r w:rsidRPr="004D198C">
        <w:rPr>
          <w:rFonts w:ascii="Cambria Math" w:hAnsi="Cambria Math" w:cs="Cambria Math"/>
          <w:sz w:val="20"/>
          <w:szCs w:val="20"/>
        </w:rPr>
        <w:t>‑</w:t>
      </w:r>
      <w:r w:rsidRPr="004D198C">
        <w:rPr>
          <w:sz w:val="20"/>
          <w:szCs w:val="20"/>
        </w:rPr>
        <w:t xml:space="preserve">level chronic exposure </w:t>
      </w:r>
      <w:r>
        <w:rPr>
          <w:sz w:val="20"/>
          <w:szCs w:val="20"/>
        </w:rPr>
        <w:t>(i.e. fa</w:t>
      </w:r>
      <w:r w:rsidRPr="004D198C">
        <w:rPr>
          <w:sz w:val="20"/>
          <w:szCs w:val="20"/>
        </w:rPr>
        <w:t>ilure risk is cumulative</w:t>
      </w:r>
      <w:r>
        <w:rPr>
          <w:sz w:val="20"/>
          <w:szCs w:val="20"/>
        </w:rPr>
        <w:t xml:space="preserve">), it is more pronounced for certain chemicals. </w:t>
      </w:r>
      <w:r w:rsidRPr="003E68EE">
        <w:rPr>
          <w:sz w:val="20"/>
          <w:szCs w:val="20"/>
        </w:rPr>
        <w:t>Atmospheric deposition</w:t>
      </w:r>
      <w:r>
        <w:rPr>
          <w:sz w:val="20"/>
          <w:szCs w:val="20"/>
        </w:rPr>
        <w:t xml:space="preserve"> of agrochemicals applied outside the farm</w:t>
      </w:r>
      <w:r w:rsidRPr="003E68EE">
        <w:rPr>
          <w:sz w:val="20"/>
          <w:szCs w:val="20"/>
        </w:rPr>
        <w:t xml:space="preserve"> is explicitly identified as a contamination source in organic and conventional systems alike.</w:t>
      </w:r>
      <w:r>
        <w:rPr>
          <w:sz w:val="20"/>
          <w:szCs w:val="20"/>
        </w:rPr>
        <w:t xml:space="preserve"> Therefore, there is a need to d</w:t>
      </w:r>
      <w:r w:rsidRPr="00902087">
        <w:rPr>
          <w:sz w:val="20"/>
          <w:szCs w:val="20"/>
        </w:rPr>
        <w:t>evelop simple and implementable pesticide contamination risk checklists for application at both farm and village level to reduce the risk of no</w:t>
      </w:r>
      <w:r>
        <w:rPr>
          <w:sz w:val="20"/>
          <w:szCs w:val="20"/>
        </w:rPr>
        <w:t>n-</w:t>
      </w:r>
      <w:r w:rsidRPr="00902087">
        <w:rPr>
          <w:sz w:val="20"/>
          <w:szCs w:val="20"/>
        </w:rPr>
        <w:t xml:space="preserve">compliance due to pesticide residue </w:t>
      </w:r>
      <w:r>
        <w:rPr>
          <w:sz w:val="20"/>
          <w:szCs w:val="20"/>
        </w:rPr>
        <w:t xml:space="preserve">and other chemical </w:t>
      </w:r>
      <w:r w:rsidRPr="00902087">
        <w:rPr>
          <w:sz w:val="20"/>
          <w:szCs w:val="20"/>
        </w:rPr>
        <w:t>contamina</w:t>
      </w:r>
      <w:r>
        <w:rPr>
          <w:sz w:val="20"/>
          <w:szCs w:val="20"/>
        </w:rPr>
        <w:t xml:space="preserve">nts. This can be significantly enhanced by fully operationalized in country testing for PAHs and pesticides residue contamination pathways. </w:t>
      </w:r>
    </w:p>
    <w:p w14:paraId="3385E694" w14:textId="77777777" w:rsidR="00867D7A" w:rsidRDefault="00867D7A" w:rsidP="00867D7A">
      <w:pPr>
        <w:contextualSpacing w:val="0"/>
        <w:rPr>
          <w:sz w:val="20"/>
          <w:szCs w:val="20"/>
        </w:rPr>
      </w:pPr>
      <w:r>
        <w:rPr>
          <w:sz w:val="20"/>
          <w:szCs w:val="20"/>
        </w:rPr>
        <w:t xml:space="preserve"> </w:t>
      </w:r>
    </w:p>
    <w:p w14:paraId="32EB9A5D" w14:textId="77777777" w:rsidR="00867D7A" w:rsidRPr="004B459C" w:rsidRDefault="00867D7A" w:rsidP="00867D7A">
      <w:pPr>
        <w:contextualSpacing w:val="0"/>
        <w:rPr>
          <w:sz w:val="20"/>
          <w:szCs w:val="20"/>
        </w:rPr>
      </w:pPr>
      <w:r w:rsidRPr="004B459C">
        <w:rPr>
          <w:sz w:val="20"/>
          <w:szCs w:val="20"/>
        </w:rPr>
        <w:t xml:space="preserve">Improved market access must also be more inclusive. Women remain underrepresented in higher-value activities such as trading, intermediary roles, and price negotiation. Market upgrading efforts should therefore include deliberate support for women’s movement into these functions through training, finance, leadership support, and stronger representation within </w:t>
      </w:r>
      <w:proofErr w:type="gramStart"/>
      <w:r w:rsidRPr="004B459C">
        <w:rPr>
          <w:sz w:val="20"/>
          <w:szCs w:val="20"/>
        </w:rPr>
        <w:t>cooperatives</w:t>
      </w:r>
      <w:proofErr w:type="gramEnd"/>
      <w:r w:rsidRPr="004B459C">
        <w:rPr>
          <w:sz w:val="20"/>
          <w:szCs w:val="20"/>
        </w:rPr>
        <w:t xml:space="preserve"> and marketing structures.</w:t>
      </w:r>
    </w:p>
    <w:p w14:paraId="138D9DC5" w14:textId="77777777" w:rsidR="00867D7A" w:rsidRPr="004B459C" w:rsidRDefault="00867D7A" w:rsidP="00867D7A">
      <w:pPr>
        <w:contextualSpacing w:val="0"/>
        <w:rPr>
          <w:sz w:val="20"/>
          <w:szCs w:val="20"/>
        </w:rPr>
      </w:pPr>
    </w:p>
    <w:p w14:paraId="3AEA3E55" w14:textId="77777777" w:rsidR="00867D7A" w:rsidRPr="00815E7B" w:rsidRDefault="00867D7A" w:rsidP="00867D7A">
      <w:pPr>
        <w:contextualSpacing w:val="0"/>
        <w:rPr>
          <w:sz w:val="20"/>
          <w:szCs w:val="20"/>
        </w:rPr>
      </w:pPr>
      <w:r w:rsidRPr="004B459C">
        <w:rPr>
          <w:sz w:val="20"/>
          <w:szCs w:val="20"/>
        </w:rPr>
        <w:t xml:space="preserve">Sierra Leone should pursue more domestic value addition as part of a broader competitiveness strategy. Investments in processing, logistics, quality assurance, and market intelligence can generate more stable and skilled employment while reducing dependence on raw-bean exports. At the same time, better price information and more transparent pricing systems are needed so that producers and cooperatives can negotiate on fairer terms and reduce the asymmetry that currently </w:t>
      </w:r>
      <w:proofErr w:type="spellStart"/>
      <w:r w:rsidRPr="004B459C">
        <w:rPr>
          <w:sz w:val="20"/>
          <w:szCs w:val="20"/>
        </w:rPr>
        <w:t>favours</w:t>
      </w:r>
      <w:proofErr w:type="spellEnd"/>
      <w:r w:rsidRPr="004B459C">
        <w:rPr>
          <w:sz w:val="20"/>
          <w:szCs w:val="20"/>
        </w:rPr>
        <w:t xml:space="preserve"> larger downstream actors</w:t>
      </w:r>
      <w:r w:rsidRPr="00815E7B">
        <w:rPr>
          <w:sz w:val="20"/>
          <w:szCs w:val="20"/>
        </w:rPr>
        <w:t>.</w:t>
      </w:r>
    </w:p>
    <w:p w14:paraId="47662812" w14:textId="77777777" w:rsidR="00867D7A" w:rsidRPr="00815E7B" w:rsidRDefault="00867D7A" w:rsidP="00867D7A">
      <w:pPr>
        <w:contextualSpacing w:val="0"/>
        <w:rPr>
          <w:sz w:val="20"/>
          <w:szCs w:val="20"/>
        </w:rPr>
      </w:pPr>
    </w:p>
    <w:p w14:paraId="351C0CF6" w14:textId="77777777" w:rsidR="00867D7A" w:rsidRDefault="00867D7A" w:rsidP="00867D7A">
      <w:pPr>
        <w:contextualSpacing w:val="0"/>
        <w:rPr>
          <w:sz w:val="20"/>
          <w:szCs w:val="20"/>
        </w:rPr>
      </w:pPr>
      <w:r>
        <w:rPr>
          <w:sz w:val="20"/>
          <w:szCs w:val="20"/>
        </w:rPr>
        <w:t>S</w:t>
      </w:r>
      <w:r w:rsidRPr="00815E7B">
        <w:rPr>
          <w:sz w:val="20"/>
          <w:szCs w:val="20"/>
        </w:rPr>
        <w:t xml:space="preserve">trengthening data systems and market intelligence is essential for improving sector resilience. Better data on production, prices, trade flows, and compliance can support evidence-based policymaking and enable more effective responses to market shocks. Given Sierra Leone’s position as a price-taking exporter, diversification strategies and improved market coordination will be critical to managing exposure to global volatility. </w:t>
      </w:r>
    </w:p>
    <w:p w14:paraId="102A0BB7" w14:textId="77777777" w:rsidR="00867D7A" w:rsidRDefault="00867D7A" w:rsidP="00867D7A">
      <w:pPr>
        <w:contextualSpacing w:val="0"/>
        <w:rPr>
          <w:sz w:val="20"/>
          <w:szCs w:val="20"/>
        </w:rPr>
      </w:pPr>
    </w:p>
    <w:p w14:paraId="6241B2F8" w14:textId="3E3ECA85" w:rsidR="009A7FE5" w:rsidRPr="009A7FE5" w:rsidRDefault="009A7FE5" w:rsidP="00867D7A">
      <w:pPr>
        <w:rPr>
          <w:color w:val="44546A" w:themeColor="text2"/>
          <w:sz w:val="20"/>
          <w:szCs w:val="20"/>
        </w:rPr>
      </w:pPr>
      <w:r>
        <w:rPr>
          <w:sz w:val="20"/>
          <w:szCs w:val="20"/>
        </w:rPr>
        <w:t>Finally, a</w:t>
      </w:r>
      <w:r w:rsidR="00867D7A" w:rsidRPr="002420ED">
        <w:rPr>
          <w:sz w:val="20"/>
          <w:szCs w:val="20"/>
        </w:rPr>
        <w:t xml:space="preserve"> critical priority is to address the growing risk of informal cross-border inflows of non-organic cocoa from </w:t>
      </w:r>
      <w:proofErr w:type="spellStart"/>
      <w:r w:rsidR="00867D7A" w:rsidRPr="002420ED">
        <w:rPr>
          <w:sz w:val="20"/>
          <w:szCs w:val="20"/>
        </w:rPr>
        <w:t>neighbouring</w:t>
      </w:r>
      <w:proofErr w:type="spellEnd"/>
      <w:r w:rsidR="00867D7A" w:rsidRPr="002420ED">
        <w:rPr>
          <w:sz w:val="20"/>
          <w:szCs w:val="20"/>
        </w:rPr>
        <w:t xml:space="preserve"> countries, which undermine traceability, compromise organic </w:t>
      </w:r>
      <w:r w:rsidR="00867D7A" w:rsidRPr="002420ED">
        <w:rPr>
          <w:sz w:val="20"/>
          <w:szCs w:val="20"/>
        </w:rPr>
        <w:lastRenderedPageBreak/>
        <w:t>certification, and pose a significant threat to compliance with the EU Deforestation Regulation (EUDR). Tackling this challenge requires a coordinated approach that combines stronger monitoring with institutional reform and incentive alignment. This includes investing in digital traceability systems and farm geolocation, strengthening coordination between customs and regulatory bodies, and enhancing enforcement of sourcing and certification standards. At the same time, reducing the cost and complexity of formal trade processes is essential to limit incentives for informality. Complementary investments in data systems, supply chain audits, and domestic laboratory testing for residue and quality verification will further safeguard the integrity of Sierra Leone’s cocoa exports. Together, these measures are essential to protect the country’s organic positioning and ensure continued access to premium international markets.</w:t>
      </w:r>
      <w:r>
        <w:rPr>
          <w:sz w:val="20"/>
          <w:szCs w:val="20"/>
        </w:rPr>
        <w:t xml:space="preserve"> </w:t>
      </w:r>
      <w:r w:rsidRPr="009A7FE5">
        <w:rPr>
          <w:color w:val="44546A" w:themeColor="text2"/>
          <w:sz w:val="20"/>
          <w:szCs w:val="20"/>
        </w:rPr>
        <w:t xml:space="preserve">While informal cross-border cocoa movements currently pose risks to traceability and certification integrity, regional integration also presents opportunities. Sierra Leone should engage more actively in ECOWAS cocoa trade initiatives, strengthen cooperation with </w:t>
      </w:r>
      <w:proofErr w:type="spellStart"/>
      <w:r w:rsidRPr="009A7FE5">
        <w:rPr>
          <w:color w:val="44546A" w:themeColor="text2"/>
          <w:sz w:val="20"/>
          <w:szCs w:val="20"/>
        </w:rPr>
        <w:t>neighbouring</w:t>
      </w:r>
      <w:proofErr w:type="spellEnd"/>
      <w:r w:rsidRPr="009A7FE5">
        <w:rPr>
          <w:color w:val="44546A" w:themeColor="text2"/>
          <w:sz w:val="20"/>
          <w:szCs w:val="20"/>
        </w:rPr>
        <w:t xml:space="preserve"> countries on traceability and quality standards, and explore opportunities for regional processing and market development. </w:t>
      </w:r>
      <w:proofErr w:type="spellStart"/>
      <w:r w:rsidRPr="009A7FE5">
        <w:rPr>
          <w:color w:val="44546A" w:themeColor="text2"/>
          <w:sz w:val="20"/>
          <w:szCs w:val="20"/>
        </w:rPr>
        <w:t>Formalisation</w:t>
      </w:r>
      <w:proofErr w:type="spellEnd"/>
      <w:r w:rsidRPr="009A7FE5">
        <w:rPr>
          <w:color w:val="44546A" w:themeColor="text2"/>
          <w:sz w:val="20"/>
          <w:szCs w:val="20"/>
        </w:rPr>
        <w:t xml:space="preserve"> of regional trade could transform current compliance risks into a source of market expansion and value creation.</w:t>
      </w:r>
    </w:p>
    <w:p w14:paraId="0350C3AF" w14:textId="77777777" w:rsidR="003C3BAD" w:rsidRPr="00A972F9" w:rsidRDefault="003C3BAD" w:rsidP="00F32004">
      <w:pPr>
        <w:rPr>
          <w:sz w:val="20"/>
          <w:szCs w:val="20"/>
        </w:rPr>
      </w:pPr>
    </w:p>
    <w:p w14:paraId="549A7131" w14:textId="43F55784" w:rsidR="00DD4A33" w:rsidRPr="003C3BAD" w:rsidRDefault="003C3BAD" w:rsidP="003C3BAD">
      <w:pPr>
        <w:spacing w:after="200" w:line="276" w:lineRule="auto"/>
        <w:contextualSpacing w:val="0"/>
        <w:jc w:val="left"/>
        <w:rPr>
          <w:sz w:val="20"/>
          <w:szCs w:val="20"/>
        </w:rPr>
      </w:pPr>
      <w:r>
        <w:rPr>
          <w:sz w:val="20"/>
          <w:szCs w:val="20"/>
        </w:rPr>
        <w:br w:type="page"/>
      </w:r>
    </w:p>
    <w:p w14:paraId="5CF84E4A" w14:textId="43326D00" w:rsidR="00347A9F" w:rsidRDefault="00347A9F" w:rsidP="00342B48">
      <w:pPr>
        <w:pStyle w:val="Heading1"/>
      </w:pPr>
      <w:bookmarkStart w:id="207" w:name="_Toc228701067"/>
      <w:r>
        <w:lastRenderedPageBreak/>
        <w:t>REFERENCES</w:t>
      </w:r>
      <w:bookmarkEnd w:id="207"/>
    </w:p>
    <w:p w14:paraId="4D511E44"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Adiyah, F., Csorba, Á., </w:t>
      </w:r>
      <w:proofErr w:type="spellStart"/>
      <w:r w:rsidRPr="00796204">
        <w:rPr>
          <w:rFonts w:cs="Open Sans"/>
          <w:szCs w:val="18"/>
        </w:rPr>
        <w:t>Dawoe</w:t>
      </w:r>
      <w:proofErr w:type="spellEnd"/>
      <w:r w:rsidRPr="00796204">
        <w:rPr>
          <w:rFonts w:cs="Open Sans"/>
          <w:szCs w:val="18"/>
        </w:rPr>
        <w:t xml:space="preserve">, E., Ocansey, C.M., Asamoah, E., Szegi, T., Fuchs, M. and </w:t>
      </w:r>
      <w:proofErr w:type="spellStart"/>
      <w:r w:rsidRPr="00796204">
        <w:rPr>
          <w:rFonts w:cs="Open Sans"/>
          <w:szCs w:val="18"/>
        </w:rPr>
        <w:t>Michéli</w:t>
      </w:r>
      <w:proofErr w:type="spellEnd"/>
      <w:r w:rsidRPr="00796204">
        <w:rPr>
          <w:rFonts w:cs="Open Sans"/>
          <w:szCs w:val="18"/>
        </w:rPr>
        <w:t xml:space="preserve">, E. (2023) ‘Soil organic carbon changes under selected agroforestry cocoa systems in Ghana’, </w:t>
      </w:r>
      <w:proofErr w:type="spellStart"/>
      <w:r w:rsidRPr="00796204">
        <w:rPr>
          <w:rFonts w:cs="Open Sans"/>
          <w:szCs w:val="18"/>
        </w:rPr>
        <w:t>Geoderma</w:t>
      </w:r>
      <w:proofErr w:type="spellEnd"/>
      <w:r w:rsidRPr="00796204">
        <w:rPr>
          <w:rFonts w:cs="Open Sans"/>
          <w:szCs w:val="18"/>
        </w:rPr>
        <w:t xml:space="preserve"> Regional, 35, p. e00737.</w:t>
      </w:r>
    </w:p>
    <w:p w14:paraId="3C02E395"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Afele</w:t>
      </w:r>
      <w:proofErr w:type="spellEnd"/>
      <w:r w:rsidRPr="00796204">
        <w:rPr>
          <w:rFonts w:cs="Open Sans"/>
          <w:szCs w:val="18"/>
        </w:rPr>
        <w:t xml:space="preserve">, J.T., Dawoe, E., </w:t>
      </w:r>
      <w:proofErr w:type="spellStart"/>
      <w:r w:rsidRPr="00796204">
        <w:rPr>
          <w:rFonts w:cs="Open Sans"/>
          <w:szCs w:val="18"/>
        </w:rPr>
        <w:t>Abunyewa</w:t>
      </w:r>
      <w:proofErr w:type="spellEnd"/>
      <w:r w:rsidRPr="00796204">
        <w:rPr>
          <w:rFonts w:cs="Open Sans"/>
          <w:szCs w:val="18"/>
        </w:rPr>
        <w:t>, A.A., Afari-Sefa, V. and Asare, R. (2021) ‘Carbon storage in cocoa growing systems across different agroecological zones in Ghana’, Pelita Perkebunan, 37(1), pp. 32–49. https://doi.org/10.22302/iccri.jur.pelitaperkebunan.v37i1.395</w:t>
      </w:r>
    </w:p>
    <w:p w14:paraId="55E18C8A"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Agbotui</w:t>
      </w:r>
      <w:proofErr w:type="spellEnd"/>
      <w:r w:rsidRPr="00796204">
        <w:rPr>
          <w:rFonts w:cs="Open Sans"/>
          <w:szCs w:val="18"/>
        </w:rPr>
        <w:t>, D.K., Ingold, M. and Buerkert, A. (2024) ‘Carbon and nutrient cycling in cocoa agroforests under organic and conventional management’, Nutrient Cycling in Agroecosystems, 129, pp. 7–20.</w:t>
      </w:r>
    </w:p>
    <w:p w14:paraId="48D979ED"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Almeida, E., Lagoa, D. and Vasudhevan, T. (2024) Hidden harms: the economic and financial consequences of deforestation and its underlying drivers. London: </w:t>
      </w:r>
      <w:proofErr w:type="spellStart"/>
      <w:r w:rsidRPr="00796204">
        <w:rPr>
          <w:rFonts w:cs="Open Sans"/>
          <w:szCs w:val="18"/>
        </w:rPr>
        <w:t>CETEx</w:t>
      </w:r>
      <w:proofErr w:type="spellEnd"/>
      <w:r w:rsidRPr="00796204">
        <w:rPr>
          <w:rFonts w:cs="Open Sans"/>
          <w:szCs w:val="18"/>
        </w:rPr>
        <w:t xml:space="preserve"> and Grantham Research Institute on Climate Change and the Environment, London School of Economics and Political Science.</w:t>
      </w:r>
    </w:p>
    <w:p w14:paraId="5A27533C"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Amara, M.K.D., Momoh, J.J.E. and Oladele, A.T. (2015) ‘An economic analysis of the production and export of cocoa in Sierra Leone’, Research Journal of Agricultural Sciences, 5(1), pp. 65–71.</w:t>
      </w:r>
    </w:p>
    <w:p w14:paraId="31B11258"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Anyimah</w:t>
      </w:r>
      <w:proofErr w:type="spellEnd"/>
      <w:r w:rsidRPr="00796204">
        <w:rPr>
          <w:rFonts w:cs="Open Sans"/>
          <w:szCs w:val="18"/>
        </w:rPr>
        <w:t>-Ackah, E., Ofosu, I.W., Lutterodt, H.E. and Darko, G. (2019) ‘Exposures and risks of arsenic, cadmium, lead, and mercury in cocoa beans and cocoa-based foods: a systematic review’, Food Quality and Safety, 3(1), pp. 1–8.</w:t>
      </w:r>
    </w:p>
    <w:p w14:paraId="711982D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Ariza-Salamanca, A.J., Navarro-Cerrillo, R.M., Quero-Pérez, J.L., Gallardo-Armas, B., Crozier, J., Stirling, C., de Sousa, K. and González-Moreno, P. (2023) ‘Vulnerability of cocoa-based agroforestry systems to climate change in West Africa’, Scientific Reports, 13(1), p. 10033.</w:t>
      </w:r>
    </w:p>
    <w:p w14:paraId="7ABE9B18"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Armengot</w:t>
      </w:r>
      <w:proofErr w:type="spellEnd"/>
      <w:r w:rsidRPr="00796204">
        <w:rPr>
          <w:rFonts w:cs="Open Sans"/>
          <w:szCs w:val="18"/>
        </w:rPr>
        <w:t>, L., Barbieri, P., Andres, C., Milz, J. and Schneider, M. (</w:t>
      </w:r>
      <w:proofErr w:type="gramStart"/>
      <w:r w:rsidRPr="00796204">
        <w:rPr>
          <w:rFonts w:cs="Open Sans"/>
          <w:szCs w:val="18"/>
        </w:rPr>
        <w:t>2016) ‘</w:t>
      </w:r>
      <w:proofErr w:type="gramEnd"/>
      <w:r w:rsidRPr="00796204">
        <w:rPr>
          <w:rFonts w:cs="Open Sans"/>
          <w:szCs w:val="18"/>
        </w:rPr>
        <w:t>Cacao agroforestry systems have higher return on labor compared to full-sun monocultures’, Agronomy for Sustainable Development, 36(4), p. 70.</w:t>
      </w:r>
    </w:p>
    <w:p w14:paraId="7D50F21C"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Asare, R., Asare, R.A., Asante, W.A., Markussen, B.O. and Ræbild, A. (2017) ‘Influences of shading and fertilization on on-farm yields of cocoa in Ghana’, Experimental Agriculture, 53(3), pp. 416–431.</w:t>
      </w:r>
    </w:p>
    <w:p w14:paraId="256508E5"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Asigbaase</w:t>
      </w:r>
      <w:proofErr w:type="spellEnd"/>
      <w:r w:rsidRPr="00796204">
        <w:rPr>
          <w:rFonts w:cs="Open Sans"/>
          <w:szCs w:val="18"/>
        </w:rPr>
        <w:t xml:space="preserve">, M., </w:t>
      </w:r>
      <w:proofErr w:type="spellStart"/>
      <w:r w:rsidRPr="00796204">
        <w:rPr>
          <w:rFonts w:cs="Open Sans"/>
          <w:szCs w:val="18"/>
        </w:rPr>
        <w:t>Dawoe</w:t>
      </w:r>
      <w:proofErr w:type="spellEnd"/>
      <w:r w:rsidRPr="00796204">
        <w:rPr>
          <w:rFonts w:cs="Open Sans"/>
          <w:szCs w:val="18"/>
        </w:rPr>
        <w:t xml:space="preserve">, E., Lomax, B.H. and </w:t>
      </w:r>
      <w:proofErr w:type="spellStart"/>
      <w:r w:rsidRPr="00796204">
        <w:rPr>
          <w:rFonts w:cs="Open Sans"/>
          <w:szCs w:val="18"/>
        </w:rPr>
        <w:t>Sjogersten</w:t>
      </w:r>
      <w:proofErr w:type="spellEnd"/>
      <w:r w:rsidRPr="00796204">
        <w:rPr>
          <w:rFonts w:cs="Open Sans"/>
          <w:szCs w:val="18"/>
        </w:rPr>
        <w:t>, S. (2021) ‘Biomass and carbon stocks of organic and conventional cocoa agroforests, Ghana’, Agriculture, Ecosystems &amp; Environment, 306, p. 107192.</w:t>
      </w:r>
    </w:p>
    <w:p w14:paraId="3013023F"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Asitoakor</w:t>
      </w:r>
      <w:proofErr w:type="spellEnd"/>
      <w:r w:rsidRPr="00796204">
        <w:rPr>
          <w:rFonts w:cs="Open Sans"/>
          <w:szCs w:val="18"/>
        </w:rPr>
        <w:t>, B.K., Ræbild, A., Vaast, P., Ravn, H.P., Owusu, K., Mensah, E.O. and Asare, R. (2023) ‘Shade tree species matter: sustainable cocoa-agroforestry management’, in Agroforestry as climate change adaptation: the case of cocoa farming in Ghana. Cham: Springer International Publishing, pp. 59–92.</w:t>
      </w:r>
    </w:p>
    <w:p w14:paraId="644A088C"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Atorqui</w:t>
      </w:r>
      <w:proofErr w:type="spellEnd"/>
      <w:r w:rsidRPr="00796204">
        <w:rPr>
          <w:rFonts w:cs="Open Sans"/>
          <w:szCs w:val="18"/>
        </w:rPr>
        <w:t xml:space="preserve">, D., Quaye, A.K., </w:t>
      </w:r>
      <w:proofErr w:type="spellStart"/>
      <w:r w:rsidRPr="00796204">
        <w:rPr>
          <w:rFonts w:cs="Open Sans"/>
          <w:szCs w:val="18"/>
        </w:rPr>
        <w:t>Atuah</w:t>
      </w:r>
      <w:proofErr w:type="spellEnd"/>
      <w:r w:rsidRPr="00796204">
        <w:rPr>
          <w:rFonts w:cs="Open Sans"/>
          <w:szCs w:val="18"/>
        </w:rPr>
        <w:t xml:space="preserve">, L., </w:t>
      </w:r>
      <w:proofErr w:type="spellStart"/>
      <w:r w:rsidRPr="00796204">
        <w:rPr>
          <w:rFonts w:cs="Open Sans"/>
          <w:szCs w:val="18"/>
        </w:rPr>
        <w:t>Awunyo</w:t>
      </w:r>
      <w:proofErr w:type="spellEnd"/>
      <w:r w:rsidRPr="00796204">
        <w:rPr>
          <w:rFonts w:cs="Open Sans"/>
          <w:szCs w:val="18"/>
        </w:rPr>
        <w:t xml:space="preserve">-Vitor, D. and </w:t>
      </w:r>
      <w:proofErr w:type="spellStart"/>
      <w:r w:rsidRPr="00796204">
        <w:rPr>
          <w:rFonts w:cs="Open Sans"/>
          <w:szCs w:val="18"/>
        </w:rPr>
        <w:t>Sizmur</w:t>
      </w:r>
      <w:proofErr w:type="spellEnd"/>
      <w:r w:rsidRPr="00796204">
        <w:rPr>
          <w:rFonts w:cs="Open Sans"/>
          <w:szCs w:val="18"/>
        </w:rPr>
        <w:t>, T. (2025) Cocoa pod husk compost preparation guide. Department of Horticulture, Kwame Nkrumah University of Science and Technology, in collaboration with the University of Reading.</w:t>
      </w:r>
    </w:p>
    <w:p w14:paraId="0736BEA6" w14:textId="77777777" w:rsidR="00796204" w:rsidRDefault="00796204" w:rsidP="00796204">
      <w:pPr>
        <w:spacing w:after="60" w:line="259" w:lineRule="auto"/>
        <w:ind w:left="403" w:hanging="403"/>
        <w:jc w:val="left"/>
        <w:rPr>
          <w:rFonts w:cs="Open Sans"/>
          <w:szCs w:val="18"/>
        </w:rPr>
      </w:pPr>
      <w:r w:rsidRPr="00796204">
        <w:rPr>
          <w:rFonts w:cs="Open Sans"/>
          <w:szCs w:val="18"/>
        </w:rPr>
        <w:t>Bennett, R.E., Sillett, T.S., Rice, R.A. and Marra, P.P. (</w:t>
      </w:r>
      <w:proofErr w:type="gramStart"/>
      <w:r w:rsidRPr="00796204">
        <w:rPr>
          <w:rFonts w:cs="Open Sans"/>
          <w:szCs w:val="18"/>
        </w:rPr>
        <w:t>2022) ‘</w:t>
      </w:r>
      <w:proofErr w:type="gramEnd"/>
      <w:r w:rsidRPr="00796204">
        <w:rPr>
          <w:rFonts w:cs="Open Sans"/>
          <w:szCs w:val="18"/>
        </w:rPr>
        <w:t>Impact of cocoa agricultural intensification on bird diversity and community composition’, Conservation Biology, 36(1), p. e13779.</w:t>
      </w:r>
    </w:p>
    <w:p w14:paraId="280F58B3" w14:textId="38BC028F" w:rsidR="005D74AC" w:rsidRPr="00796204" w:rsidRDefault="005D74AC" w:rsidP="00796204">
      <w:pPr>
        <w:spacing w:after="60" w:line="259" w:lineRule="auto"/>
        <w:ind w:left="403" w:hanging="403"/>
        <w:jc w:val="left"/>
        <w:rPr>
          <w:rFonts w:cs="Open Sans"/>
          <w:szCs w:val="18"/>
        </w:rPr>
      </w:pPr>
      <w:r w:rsidRPr="007270FB">
        <w:rPr>
          <w:rFonts w:cs="Open Sans"/>
          <w:szCs w:val="18"/>
          <w:lang w:val="pt-BR"/>
        </w:rPr>
        <w:t xml:space="preserve">Bessou, C., Roda, J.-M., Kumar, R., &amp; Deen, S. (2018). </w:t>
      </w:r>
      <w:r w:rsidRPr="005D74AC">
        <w:rPr>
          <w:rFonts w:cs="Open Sans"/>
          <w:i/>
          <w:iCs/>
          <w:szCs w:val="18"/>
        </w:rPr>
        <w:t>Palm oil value chain analysis in Sierra Leone</w:t>
      </w:r>
      <w:r w:rsidRPr="005D74AC">
        <w:rPr>
          <w:rFonts w:cs="Open Sans"/>
          <w:szCs w:val="18"/>
        </w:rPr>
        <w:t>. European Commission, Directorate-General for International Cooperation and Development (DEVCO), VCA4D.</w:t>
      </w:r>
    </w:p>
    <w:p w14:paraId="5A3CAD56"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Boahen</w:t>
      </w:r>
      <w:proofErr w:type="spellEnd"/>
      <w:r w:rsidRPr="00796204">
        <w:rPr>
          <w:rFonts w:cs="Open Sans"/>
          <w:szCs w:val="18"/>
        </w:rPr>
        <w:t>, E. (</w:t>
      </w:r>
      <w:proofErr w:type="gramStart"/>
      <w:r w:rsidRPr="00796204">
        <w:rPr>
          <w:rFonts w:cs="Open Sans"/>
          <w:szCs w:val="18"/>
        </w:rPr>
        <w:t>2024) ‘</w:t>
      </w:r>
      <w:proofErr w:type="gramEnd"/>
      <w:r w:rsidRPr="00796204">
        <w:rPr>
          <w:rFonts w:cs="Open Sans"/>
          <w:szCs w:val="18"/>
        </w:rPr>
        <w:t>Heavy metal contamination in urban roadside vegetables: Origins, exposure pathways, and health implications’, Discover Environment, 2(1), p. 145.</w:t>
      </w:r>
    </w:p>
    <w:p w14:paraId="64D29D9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Business &amp; Human Rights Resource Centre (2020) </w:t>
      </w:r>
      <w:proofErr w:type="spellStart"/>
      <w:r w:rsidRPr="00796204">
        <w:rPr>
          <w:rFonts w:cs="Open Sans"/>
          <w:szCs w:val="18"/>
        </w:rPr>
        <w:t>Socfin</w:t>
      </w:r>
      <w:proofErr w:type="spellEnd"/>
      <w:r w:rsidRPr="00796204">
        <w:rPr>
          <w:rFonts w:cs="Open Sans"/>
          <w:szCs w:val="18"/>
        </w:rPr>
        <w:t xml:space="preserve"> lawsuits (re defamation by Green Scenery, Sierra Leone). 17 March. Available at: https://www.business-humanrights.org/en/latest-news/socfin-lawsuits-re-defamation-by-green-scenery-sierra-leone/</w:t>
      </w:r>
    </w:p>
    <w:p w14:paraId="7EF3E85D"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CAOBISCO/ECA (2023) Chocolate and Cocoa Industry Quality Requirements. Edited by M.J. End and R. Dand. Brussels: CAOBISCO/ECA.</w:t>
      </w:r>
    </w:p>
    <w:p w14:paraId="6E26416D"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Chéron</w:t>
      </w:r>
      <w:proofErr w:type="spellEnd"/>
      <w:r w:rsidRPr="00796204">
        <w:rPr>
          <w:rFonts w:cs="Open Sans"/>
          <w:szCs w:val="18"/>
        </w:rPr>
        <w:t xml:space="preserve">-Bessou, C., Acosta-Alba, I., Boissy, J., Payen, S., Rigal, C., Setiawan, A.A.R., </w:t>
      </w:r>
      <w:proofErr w:type="spellStart"/>
      <w:r w:rsidRPr="00796204">
        <w:rPr>
          <w:rFonts w:cs="Open Sans"/>
          <w:szCs w:val="18"/>
        </w:rPr>
        <w:t>Sevenster</w:t>
      </w:r>
      <w:proofErr w:type="spellEnd"/>
      <w:r w:rsidRPr="00796204">
        <w:rPr>
          <w:rFonts w:cs="Open Sans"/>
          <w:szCs w:val="18"/>
        </w:rPr>
        <w:t xml:space="preserve">, M., Tran, T. and </w:t>
      </w:r>
      <w:proofErr w:type="spellStart"/>
      <w:r w:rsidRPr="00796204">
        <w:rPr>
          <w:rFonts w:cs="Open Sans"/>
          <w:szCs w:val="18"/>
        </w:rPr>
        <w:t>Azapagic</w:t>
      </w:r>
      <w:proofErr w:type="spellEnd"/>
      <w:r w:rsidRPr="00796204">
        <w:rPr>
          <w:rFonts w:cs="Open Sans"/>
          <w:szCs w:val="18"/>
        </w:rPr>
        <w:t>, A. (2024) ‘Unravelling life cycle impacts of coffee: Why do results differ so much among studies?’, Sustainable Production and Consumption, 47, pp. 251–266.</w:t>
      </w:r>
    </w:p>
    <w:p w14:paraId="4CA8E65D"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Critchley, M., Sassen, M. and </w:t>
      </w:r>
      <w:proofErr w:type="spellStart"/>
      <w:r w:rsidRPr="00796204">
        <w:rPr>
          <w:rFonts w:cs="Open Sans"/>
          <w:szCs w:val="18"/>
        </w:rPr>
        <w:t>Umunay</w:t>
      </w:r>
      <w:proofErr w:type="spellEnd"/>
      <w:r w:rsidRPr="00796204">
        <w:rPr>
          <w:rFonts w:cs="Open Sans"/>
          <w:szCs w:val="18"/>
        </w:rPr>
        <w:t>, P. (2021) Mapping opportunities for cocoa agroforestry in Côte d’Ivoire: Assessing its potential to contribute to national forest cover restoration targets and ecosystem services co-benefits.</w:t>
      </w:r>
    </w:p>
    <w:p w14:paraId="069A49B1"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lastRenderedPageBreak/>
        <w:t xml:space="preserve">Cuni-Sanchez, A., Sullivan, M.J., Platts, P.J., Lewis, S.L., Marchant, R., Imani, G., Hubau, W., </w:t>
      </w:r>
      <w:proofErr w:type="spellStart"/>
      <w:r w:rsidRPr="00796204">
        <w:rPr>
          <w:rFonts w:cs="Open Sans"/>
          <w:szCs w:val="18"/>
        </w:rPr>
        <w:t>Abiem</w:t>
      </w:r>
      <w:proofErr w:type="spellEnd"/>
      <w:r w:rsidRPr="00796204">
        <w:rPr>
          <w:rFonts w:cs="Open Sans"/>
          <w:szCs w:val="18"/>
        </w:rPr>
        <w:t>, I., Adhikari, H., Albrecht, T. and Altman, J. (2021) ‘High aboveground carbon stock of African tropical montane forests’, Nature, 596(7873), pp. 536–542.</w:t>
      </w:r>
    </w:p>
    <w:p w14:paraId="6809BED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Dadson, J.A., Antwi-Adjei, R., Dodoo, D.K. and </w:t>
      </w:r>
      <w:proofErr w:type="spellStart"/>
      <w:r w:rsidRPr="00796204">
        <w:rPr>
          <w:rFonts w:cs="Open Sans"/>
          <w:szCs w:val="18"/>
        </w:rPr>
        <w:t>Essumang</w:t>
      </w:r>
      <w:proofErr w:type="spellEnd"/>
      <w:r w:rsidRPr="00796204">
        <w:rPr>
          <w:rFonts w:cs="Open Sans"/>
          <w:szCs w:val="18"/>
        </w:rPr>
        <w:t>, D.K. (2025) ‘Polycyclic hydrocarbons (PAHs) in Ghana cocoa beans’, Journal of Agricultural Chemistry and Environment, 14, pp. 193–201.</w:t>
      </w:r>
    </w:p>
    <w:p w14:paraId="58EB89D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Diallo, O., Habraken, R. and Smits, E. (2025) Living Income Benchmark for the Eastern Province and Living Income Reference Price for the cocoa sector in Sierra Leone (2024). Amsterdam: KIT Institute.</w:t>
      </w:r>
    </w:p>
    <w:p w14:paraId="5F13AC0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Department of Cooperatives (</w:t>
      </w:r>
      <w:proofErr w:type="spellStart"/>
      <w:r w:rsidRPr="00796204">
        <w:rPr>
          <w:rFonts w:cs="Open Sans"/>
          <w:szCs w:val="18"/>
        </w:rPr>
        <w:t>DoC</w:t>
      </w:r>
      <w:proofErr w:type="spellEnd"/>
      <w:r w:rsidRPr="00796204">
        <w:rPr>
          <w:rFonts w:cs="Open Sans"/>
          <w:szCs w:val="18"/>
        </w:rPr>
        <w:t>), Ministry of Trade and Industry, Government of Sierra Leone (2025) Names of active agricultural cooperatives in Kenema, Kailahun, Kono. Internal document. Received 28 November 2025.</w:t>
      </w:r>
    </w:p>
    <w:p w14:paraId="10BABDB1"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Doe, E.K., </w:t>
      </w:r>
      <w:proofErr w:type="spellStart"/>
      <w:r w:rsidRPr="00796204">
        <w:rPr>
          <w:rFonts w:cs="Open Sans"/>
          <w:szCs w:val="18"/>
        </w:rPr>
        <w:t>Attua</w:t>
      </w:r>
      <w:proofErr w:type="spellEnd"/>
      <w:r w:rsidRPr="00796204">
        <w:rPr>
          <w:rFonts w:cs="Open Sans"/>
          <w:szCs w:val="18"/>
        </w:rPr>
        <w:t>, E.M., Obour, P.B., Quaye, A.K. and Fosu-Mensah, B.Y. (2023) ‘Soil health and synergy of ecological determinants of green cocoa productivity in different soil ecotypes in Ghana’, Frontiers in Sustainable Food Systems, 7, p. 1169015.</w:t>
      </w:r>
    </w:p>
    <w:p w14:paraId="670BF788"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Dogbatse</w:t>
      </w:r>
      <w:proofErr w:type="spellEnd"/>
      <w:r w:rsidRPr="00796204">
        <w:rPr>
          <w:rFonts w:cs="Open Sans"/>
          <w:szCs w:val="18"/>
        </w:rPr>
        <w:t xml:space="preserve">, J.A., Arthur, A., Asare, E.K., Quaye, A.K., </w:t>
      </w:r>
      <w:proofErr w:type="spellStart"/>
      <w:r w:rsidRPr="00796204">
        <w:rPr>
          <w:rFonts w:cs="Open Sans"/>
          <w:szCs w:val="18"/>
        </w:rPr>
        <w:t>Konlan</w:t>
      </w:r>
      <w:proofErr w:type="spellEnd"/>
      <w:r w:rsidRPr="00796204">
        <w:rPr>
          <w:rFonts w:cs="Open Sans"/>
          <w:szCs w:val="18"/>
        </w:rPr>
        <w:t>, S., Yeboah, S. and Addo, D. (2020) ‘Physicochemical and biological properties of different cocoa pod husk-based composts’, West African Journal of Applied Ecology, 28(1), pp. 46–60.</w:t>
      </w:r>
    </w:p>
    <w:p w14:paraId="5123FA24"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Dyck, J. (2017) Reducing energy use in grain dryers. Ontario Ministry of Agriculture, Food and Rural Affairs. Available at: http://www.omafra.gov.on.ca/english/engineer/facts/17-001.pdf</w:t>
      </w:r>
    </w:p>
    <w:p w14:paraId="6C4019D5"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Ecofin (2024) African organic cocoa exports fall in </w:t>
      </w:r>
      <w:proofErr w:type="gramStart"/>
      <w:r w:rsidRPr="00796204">
        <w:rPr>
          <w:rFonts w:cs="Open Sans"/>
          <w:szCs w:val="18"/>
        </w:rPr>
        <w:t>2024</w:t>
      </w:r>
      <w:proofErr w:type="gramEnd"/>
      <w:r w:rsidRPr="00796204">
        <w:rPr>
          <w:rFonts w:cs="Open Sans"/>
          <w:szCs w:val="18"/>
        </w:rPr>
        <w:t xml:space="preserve"> but continent retains global lead. Available at: https://www.ecofinagency.com/news/0103-53345-african-organic-cocoa-exports-fall-in-2024-but-continent-retains-global-lead</w:t>
      </w:r>
    </w:p>
    <w:p w14:paraId="722BE9A7"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EUDR Team (</w:t>
      </w:r>
      <w:proofErr w:type="gramStart"/>
      <w:r w:rsidRPr="00796204">
        <w:rPr>
          <w:rFonts w:cs="Open Sans"/>
          <w:szCs w:val="18"/>
        </w:rPr>
        <w:t>2025) ‘</w:t>
      </w:r>
      <w:proofErr w:type="gramEnd"/>
      <w:r w:rsidRPr="00796204">
        <w:rPr>
          <w:rFonts w:cs="Open Sans"/>
          <w:szCs w:val="18"/>
        </w:rPr>
        <w:t>EUDR cocoa compliance: key steps and challenges’, EUDR co., 13 September. Available at: https://eudr.co/eudr-cocoa-compliance/</w:t>
      </w:r>
    </w:p>
    <w:p w14:paraId="19AF8D74"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 Sustainable Cocoa Initiative (2022) Alliance for Sustainable Cocoa: for the economic, social and environmental sustainability of cocoa production and trade. Brussels.</w:t>
      </w:r>
    </w:p>
    <w:p w14:paraId="7ED25043"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European Bank for Reconstruction and Development (EBRD) (2020) Sector supply-chain guidance: cocoa. Available at: https://www.ebrd.com/content/dam/ebrd_dxp/assets/pdfs/financial-institution/sustainable-finance/environmental-and-social-risk-management/issues/Cocoa-sector-supply-chain-guidance.pdf</w:t>
      </w:r>
    </w:p>
    <w:p w14:paraId="655E123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European Commission (2023a) Commission Regulation (EU) 2023/915 on maximum levels of cadmium in cocoa and chocolate products. Official Journal of the European Union, L 119/1. Available at: https://eur-lex.europa.eu/legal-content/EN/TXT/?uri=CELEX%3A32023R0915</w:t>
      </w:r>
    </w:p>
    <w:p w14:paraId="64EE0685"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European Commission (2023b) Regulation (EU) 2023/1115 on the making available on the Union market and the export from the Union of certain commodities and products associated with deforestation and forest degradation (EU Deforestation Regulation – EUDR). Official Journal of the European Union, L 150/206.</w:t>
      </w:r>
    </w:p>
    <w:p w14:paraId="1A7D192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European Forest Institute (EFI) (2025) Preparedness check of Liberia for the EU Deforestation Regulation. EFI Technical Facility on Deforestation-free Value Chains. Available at: https://efi.int/sites/default/files/files/flegtredd/TF/Documents/EUDR%20preparedness%20check%20Liberia_EN%20-%20March2025.pdf</w:t>
      </w:r>
    </w:p>
    <w:p w14:paraId="4C3A91C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Fairtrade International (2024) West Africa cocoa </w:t>
      </w:r>
      <w:proofErr w:type="spellStart"/>
      <w:r w:rsidRPr="00796204">
        <w:rPr>
          <w:rFonts w:cs="Open Sans"/>
          <w:szCs w:val="18"/>
        </w:rPr>
        <w:t>programme</w:t>
      </w:r>
      <w:proofErr w:type="spellEnd"/>
      <w:r w:rsidRPr="00796204">
        <w:rPr>
          <w:rFonts w:cs="Open Sans"/>
          <w:szCs w:val="18"/>
        </w:rPr>
        <w:t xml:space="preserve"> monitoring report. 4th </w:t>
      </w:r>
      <w:proofErr w:type="spellStart"/>
      <w:r w:rsidRPr="00796204">
        <w:rPr>
          <w:rFonts w:cs="Open Sans"/>
          <w:szCs w:val="18"/>
        </w:rPr>
        <w:t>edn</w:t>
      </w:r>
      <w:proofErr w:type="spellEnd"/>
      <w:r w:rsidRPr="00796204">
        <w:rPr>
          <w:rFonts w:cs="Open Sans"/>
          <w:szCs w:val="18"/>
        </w:rPr>
        <w:t>. Available at: https://www.fairtrade.net/content/dam/fairtrade/fairtrade-international/library/2024/fairtrade-west-africa-cocoa-programme-monitoring-report,-fourth-edition/Fairtrade-WACP-MR-4th-Ed-2024-EN.pdf</w:t>
      </w:r>
    </w:p>
    <w:p w14:paraId="7DF88537"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FAOSTAT (2023) Crops and Livestock Products Statistics. Rome: Food and Agriculture Organization of the United Nations. Available at: https://www.fao.org/faostat and https://www.fao.org/faostat/en/#data/QCL</w:t>
      </w:r>
    </w:p>
    <w:p w14:paraId="421B9913"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FiBL</w:t>
      </w:r>
      <w:proofErr w:type="spellEnd"/>
      <w:r w:rsidRPr="00796204">
        <w:rPr>
          <w:rFonts w:cs="Open Sans"/>
          <w:szCs w:val="18"/>
        </w:rPr>
        <w:t xml:space="preserve"> (2023) The World of Organic Agriculture: Statistics and Emerging Trends 2023. Research Institute of Organic Agriculture.</w:t>
      </w:r>
    </w:p>
    <w:p w14:paraId="37CC3EC0"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Fifanou</w:t>
      </w:r>
      <w:proofErr w:type="spellEnd"/>
      <w:r w:rsidRPr="00796204">
        <w:rPr>
          <w:rFonts w:cs="Open Sans"/>
          <w:szCs w:val="18"/>
        </w:rPr>
        <w:t>, V.G., Ousmane, C., Gauthier, B. and Brice, S. (2011) ‘Traditional agroforestry systems and biodiversity conservation in Benin (West Africa)’, Agroforestry Systems, 82(1), pp. 1–13.</w:t>
      </w:r>
    </w:p>
    <w:p w14:paraId="31902537"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lastRenderedPageBreak/>
        <w:t>Godebo</w:t>
      </w:r>
      <w:proofErr w:type="spellEnd"/>
      <w:r w:rsidRPr="00796204">
        <w:rPr>
          <w:rFonts w:cs="Open Sans"/>
          <w:szCs w:val="18"/>
        </w:rPr>
        <w:t xml:space="preserve">, T.R., Stoner, H., </w:t>
      </w:r>
      <w:proofErr w:type="spellStart"/>
      <w:r w:rsidRPr="00796204">
        <w:rPr>
          <w:rFonts w:cs="Open Sans"/>
          <w:szCs w:val="18"/>
        </w:rPr>
        <w:t>Kodsup</w:t>
      </w:r>
      <w:proofErr w:type="spellEnd"/>
      <w:r w:rsidRPr="00796204">
        <w:rPr>
          <w:rFonts w:cs="Open Sans"/>
          <w:szCs w:val="18"/>
        </w:rPr>
        <w:t>, P., Bases, B., Marzoni, S., Weil, J., Frey, M., Daley, P., Earnhart, A., Ellias, G. and Friedman, T. (2024) ‘Occurrence of heavy metals coupled with elevated levels of essential elements in chocolates: Health risk assessment’, Food Research International, 187, p. 114360.</w:t>
      </w:r>
    </w:p>
    <w:p w14:paraId="01F0842E"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Government of Sierra Leone (2019) National Cocoa Value Chain Policy. Ministry of Agriculture. Available at: https://faolex.fao.org/docs/pdf/sie216571.pdf</w:t>
      </w:r>
    </w:p>
    <w:p w14:paraId="030B79FC"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Government of Sierra Leone (2021) National Cooperative Policy. Ministry of Trade and Industry.</w:t>
      </w:r>
    </w:p>
    <w:p w14:paraId="6A535E8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Government of Sierra Leone (2022a) Customary Land Rights Act, 2022. Available at: https://sierralii.gov.sl/akn/sl/act/2022/20/eng@2022-09-23</w:t>
      </w:r>
    </w:p>
    <w:p w14:paraId="1B5EA22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Government of Sierra Leone (2022b) Gender Equality and Women’s Empowerment Act, 2022. Available at: https://www.policyvault.africa/policy/the-gender-equality-and-womens-empowerment-act-2022/</w:t>
      </w:r>
    </w:p>
    <w:p w14:paraId="187EA18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Government of Sierra Leone (2023) Employment Act, 2023. Available at: https://sierralii.gov.sl/akn/sl/act/2023/15/eng@2023-05-11</w:t>
      </w:r>
    </w:p>
    <w:p w14:paraId="4D08AF0F" w14:textId="4D194C6E" w:rsidR="00796204" w:rsidRDefault="00796204" w:rsidP="00796204">
      <w:pPr>
        <w:spacing w:after="60" w:line="259" w:lineRule="auto"/>
        <w:ind w:left="403" w:hanging="403"/>
        <w:jc w:val="left"/>
        <w:rPr>
          <w:rFonts w:cs="Open Sans"/>
          <w:szCs w:val="18"/>
        </w:rPr>
      </w:pPr>
      <w:r w:rsidRPr="00796204">
        <w:rPr>
          <w:rFonts w:cs="Open Sans"/>
          <w:szCs w:val="18"/>
        </w:rPr>
        <w:t xml:space="preserve">Guyot, L. (2023) ‘Sierra Leone enacts land laws that allow communities to protect their lands and empower women’, Pathfinders / SDG16.plus, 2 June. Available at: </w:t>
      </w:r>
      <w:hyperlink r:id="rId44" w:history="1">
        <w:r w:rsidR="00A62A3F" w:rsidRPr="007063FE">
          <w:rPr>
            <w:rStyle w:val="Hyperlink"/>
            <w:rFonts w:cs="Open Sans"/>
            <w:sz w:val="18"/>
            <w:szCs w:val="18"/>
          </w:rPr>
          <w:t>https://www.sdg16.plus/policies/sierra-leone-enacts-land-laws-that-allow-communities-to-protect-their-lands-and-empower-women</w:t>
        </w:r>
      </w:hyperlink>
    </w:p>
    <w:p w14:paraId="317712A7" w14:textId="540029F5" w:rsidR="005E5E6E" w:rsidRPr="00796204" w:rsidRDefault="002442B3" w:rsidP="00796204">
      <w:pPr>
        <w:spacing w:after="60" w:line="259" w:lineRule="auto"/>
        <w:ind w:left="403" w:hanging="403"/>
        <w:jc w:val="left"/>
        <w:rPr>
          <w:rFonts w:cs="Open Sans"/>
          <w:szCs w:val="18"/>
        </w:rPr>
      </w:pPr>
      <w:r w:rsidRPr="002442B3">
        <w:rPr>
          <w:rFonts w:cs="Open Sans"/>
          <w:szCs w:val="18"/>
        </w:rPr>
        <w:t xml:space="preserve">Hansen, M.C., P.V. Potapov, R. Moore, M. Hancher, S.A. </w:t>
      </w:r>
      <w:proofErr w:type="spellStart"/>
      <w:r w:rsidRPr="002442B3">
        <w:rPr>
          <w:rFonts w:cs="Open Sans"/>
          <w:szCs w:val="18"/>
        </w:rPr>
        <w:t>Turubanova</w:t>
      </w:r>
      <w:proofErr w:type="spellEnd"/>
      <w:r w:rsidRPr="002442B3">
        <w:rPr>
          <w:rFonts w:cs="Open Sans"/>
          <w:szCs w:val="18"/>
        </w:rPr>
        <w:t xml:space="preserve">, A. </w:t>
      </w:r>
      <w:proofErr w:type="spellStart"/>
      <w:r w:rsidRPr="002442B3">
        <w:rPr>
          <w:rFonts w:cs="Open Sans"/>
          <w:szCs w:val="18"/>
        </w:rPr>
        <w:t>Tyukavina</w:t>
      </w:r>
      <w:proofErr w:type="spellEnd"/>
      <w:r w:rsidRPr="002442B3">
        <w:rPr>
          <w:rFonts w:cs="Open Sans"/>
          <w:szCs w:val="18"/>
        </w:rPr>
        <w:t xml:space="preserve">, D. Thau, et al. 2013. “High-Resolution Global Maps of 21st-Century Forest Cover Change.” Science 342 (6160): 850–53. </w:t>
      </w:r>
      <w:proofErr w:type="gramStart"/>
      <w:r w:rsidRPr="002442B3">
        <w:rPr>
          <w:rFonts w:cs="Open Sans"/>
          <w:szCs w:val="18"/>
        </w:rPr>
        <w:t>doi:10.1126/science.1244693.</w:t>
      </w:r>
      <w:r w:rsidR="005E5E6E" w:rsidRPr="005E5E6E">
        <w:rPr>
          <w:rFonts w:cs="Open Sans"/>
          <w:szCs w:val="18"/>
        </w:rPr>
        <w:t>Hansen</w:t>
      </w:r>
      <w:proofErr w:type="gramEnd"/>
      <w:r w:rsidR="005E5E6E" w:rsidRPr="005E5E6E">
        <w:rPr>
          <w:rFonts w:cs="Open Sans"/>
          <w:szCs w:val="18"/>
        </w:rPr>
        <w:t xml:space="preserve">, M.C., Krylov, A., </w:t>
      </w:r>
      <w:proofErr w:type="spellStart"/>
      <w:r w:rsidR="005E5E6E" w:rsidRPr="005E5E6E">
        <w:rPr>
          <w:rFonts w:cs="Open Sans"/>
          <w:szCs w:val="18"/>
        </w:rPr>
        <w:t>Tyukavina</w:t>
      </w:r>
      <w:proofErr w:type="spellEnd"/>
      <w:r w:rsidR="005E5E6E" w:rsidRPr="005E5E6E">
        <w:rPr>
          <w:rFonts w:cs="Open Sans"/>
          <w:szCs w:val="18"/>
        </w:rPr>
        <w:t xml:space="preserve">, A., Potapov, P.V., </w:t>
      </w:r>
      <w:proofErr w:type="spellStart"/>
      <w:r w:rsidR="005E5E6E" w:rsidRPr="005E5E6E">
        <w:rPr>
          <w:rFonts w:cs="Open Sans"/>
          <w:szCs w:val="18"/>
        </w:rPr>
        <w:t>Turubanova</w:t>
      </w:r>
      <w:proofErr w:type="spellEnd"/>
      <w:r w:rsidR="005E5E6E" w:rsidRPr="005E5E6E">
        <w:rPr>
          <w:rFonts w:cs="Open Sans"/>
          <w:szCs w:val="18"/>
        </w:rPr>
        <w:t xml:space="preserve">, S., </w:t>
      </w:r>
      <w:proofErr w:type="spellStart"/>
      <w:r w:rsidR="005E5E6E" w:rsidRPr="005E5E6E">
        <w:rPr>
          <w:rFonts w:cs="Open Sans"/>
          <w:szCs w:val="18"/>
        </w:rPr>
        <w:t>Zutta</w:t>
      </w:r>
      <w:proofErr w:type="spellEnd"/>
      <w:r w:rsidR="005E5E6E" w:rsidRPr="005E5E6E">
        <w:rPr>
          <w:rFonts w:cs="Open Sans"/>
          <w:szCs w:val="18"/>
        </w:rPr>
        <w:t>, B., Ifo, S., Margono, B., Stolle, F. and Moore, R., 2016. Humid tropical forest disturbance alerts using Landsat data. Environmental Research Letters, 11(3), p.034008.</w:t>
      </w:r>
    </w:p>
    <w:p w14:paraId="6130B08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Harvard Growth Lab (2023) Atlas of Economic Complexity: Sierra Leone Country Profile. Center for International Development, Harvard University. Available at: https://atlas.hks.harvard.edu/explore/treemap?exporter=country-694</w:t>
      </w:r>
    </w:p>
    <w:p w14:paraId="23F23D2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Hougni, D.G., Schut, A.G., </w:t>
      </w:r>
      <w:proofErr w:type="spellStart"/>
      <w:r w:rsidRPr="00796204">
        <w:rPr>
          <w:rFonts w:cs="Open Sans"/>
          <w:szCs w:val="18"/>
        </w:rPr>
        <w:t>Woittiez</w:t>
      </w:r>
      <w:proofErr w:type="spellEnd"/>
      <w:r w:rsidRPr="00796204">
        <w:rPr>
          <w:rFonts w:cs="Open Sans"/>
          <w:szCs w:val="18"/>
        </w:rPr>
        <w:t>, L.S., Vanlauwe, B. and Giller, K.E. (</w:t>
      </w:r>
      <w:proofErr w:type="gramStart"/>
      <w:r w:rsidRPr="00796204">
        <w:rPr>
          <w:rFonts w:cs="Open Sans"/>
          <w:szCs w:val="18"/>
        </w:rPr>
        <w:t>2021) ‘</w:t>
      </w:r>
      <w:proofErr w:type="gramEnd"/>
      <w:r w:rsidRPr="00796204">
        <w:rPr>
          <w:rFonts w:cs="Open Sans"/>
          <w:szCs w:val="18"/>
        </w:rPr>
        <w:t>How nutrient rich are decaying cocoa pod husks? The kinetics of nutrient leaching’, Plant and Soil, 463(1), pp. 155–170.</w:t>
      </w:r>
    </w:p>
    <w:p w14:paraId="1F2208BF"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Huijbregts</w:t>
      </w:r>
      <w:proofErr w:type="spellEnd"/>
      <w:r w:rsidRPr="00796204">
        <w:rPr>
          <w:rFonts w:cs="Open Sans"/>
          <w:szCs w:val="18"/>
        </w:rPr>
        <w:t xml:space="preserve">, M.A., Steinmann, Z.J., </w:t>
      </w:r>
      <w:proofErr w:type="spellStart"/>
      <w:r w:rsidRPr="00796204">
        <w:rPr>
          <w:rFonts w:cs="Open Sans"/>
          <w:szCs w:val="18"/>
        </w:rPr>
        <w:t>Elshout</w:t>
      </w:r>
      <w:proofErr w:type="spellEnd"/>
      <w:r w:rsidRPr="00796204">
        <w:rPr>
          <w:rFonts w:cs="Open Sans"/>
          <w:szCs w:val="18"/>
        </w:rPr>
        <w:t xml:space="preserve">, P.M., Stam, G., </w:t>
      </w:r>
      <w:proofErr w:type="spellStart"/>
      <w:r w:rsidRPr="00796204">
        <w:rPr>
          <w:rFonts w:cs="Open Sans"/>
          <w:szCs w:val="18"/>
        </w:rPr>
        <w:t>Verones</w:t>
      </w:r>
      <w:proofErr w:type="spellEnd"/>
      <w:r w:rsidRPr="00796204">
        <w:rPr>
          <w:rFonts w:cs="Open Sans"/>
          <w:szCs w:val="18"/>
        </w:rPr>
        <w:t xml:space="preserve">, F., Vieira, M., Zijp, M., Hollander, A. and Van Zelm, R. (2017) ‘ReCiPe2016: a </w:t>
      </w:r>
      <w:proofErr w:type="spellStart"/>
      <w:r w:rsidRPr="00796204">
        <w:rPr>
          <w:rFonts w:cs="Open Sans"/>
          <w:szCs w:val="18"/>
        </w:rPr>
        <w:t>harmonised</w:t>
      </w:r>
      <w:proofErr w:type="spellEnd"/>
      <w:r w:rsidRPr="00796204">
        <w:rPr>
          <w:rFonts w:cs="Open Sans"/>
          <w:szCs w:val="18"/>
        </w:rPr>
        <w:t xml:space="preserve"> life cycle impact assessment method at midpoint and endpoint level’, The International Journal of Life Cycle Assessment, 22(2), pp. 138–147.</w:t>
      </w:r>
    </w:p>
    <w:p w14:paraId="77B6449A"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IFAD (2024) Sierra Leone Agricultural Value Chain Development Project: Supervision report. Available at: https://www.ifad.org/documents/48415603/50525134/SLE_2000001544_SUPERVISION_REPORT_OCT_2024_0024-1871414904-2795.pdf/4597d7a2-786e-6f8b-4dda-99161322b0ce?t=1736952739781</w:t>
      </w:r>
    </w:p>
    <w:p w14:paraId="2672B12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International </w:t>
      </w:r>
      <w:proofErr w:type="spellStart"/>
      <w:r w:rsidRPr="00796204">
        <w:rPr>
          <w:rFonts w:cs="Open Sans"/>
          <w:szCs w:val="18"/>
        </w:rPr>
        <w:t>Labour</w:t>
      </w:r>
      <w:proofErr w:type="spellEnd"/>
      <w:r w:rsidRPr="00796204">
        <w:rPr>
          <w:rFonts w:cs="Open Sans"/>
          <w:szCs w:val="18"/>
        </w:rPr>
        <w:t xml:space="preserve"> Organization (n.d.) Ratifications for Sierra Leone. NORMLEX. Available at: https://www.ilo.org/dyn/normlex/en/f?p=1000:11200:0::NO:11200:P11200_COUNTRY_ID:103269</w:t>
      </w:r>
    </w:p>
    <w:p w14:paraId="1902B32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Jacobi, J., Andres, C., Schneider, M., Pillco, M., Calizaya, P. and Rist, S. (2014) ‘Carbon stocks, tree diversity, and the role of organic certification in different cocoa production systems in Alto Beni, Bolivia’, Agroforestry Systems, 88(6), pp. 1117–1132.</w:t>
      </w:r>
    </w:p>
    <w:p w14:paraId="17A0C447"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Jekayinfa</w:t>
      </w:r>
      <w:proofErr w:type="spellEnd"/>
      <w:r w:rsidRPr="00796204">
        <w:rPr>
          <w:rFonts w:cs="Open Sans"/>
          <w:szCs w:val="18"/>
        </w:rPr>
        <w:t xml:space="preserve">, S.O. and </w:t>
      </w:r>
      <w:proofErr w:type="spellStart"/>
      <w:r w:rsidRPr="00796204">
        <w:rPr>
          <w:rFonts w:cs="Open Sans"/>
          <w:szCs w:val="18"/>
        </w:rPr>
        <w:t>Enweremadu</w:t>
      </w:r>
      <w:proofErr w:type="spellEnd"/>
      <w:r w:rsidRPr="00796204">
        <w:rPr>
          <w:rFonts w:cs="Open Sans"/>
          <w:szCs w:val="18"/>
        </w:rPr>
        <w:t>, C.C. (2026) ‘Influence of processing parameters on the quality of cocoa pod husk biomass pellets’, Biofuels, 17(2), pp. 286–306.</w:t>
      </w:r>
    </w:p>
    <w:p w14:paraId="0D96A61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Jokiniemi, T., Kautto, K., Kokin, E. and Ahokas, J. (2011) ‘Energy efficiency measurements in grain drying’, Agronomy Research Biosystem Engineering, 1, pp. 69–75.</w:t>
      </w:r>
    </w:p>
    <w:p w14:paraId="676EB970"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Kaba, J.S., Agyei, E.K., </w:t>
      </w:r>
      <w:proofErr w:type="spellStart"/>
      <w:r w:rsidRPr="00796204">
        <w:rPr>
          <w:rFonts w:cs="Open Sans"/>
          <w:szCs w:val="18"/>
        </w:rPr>
        <w:t>Avilineni</w:t>
      </w:r>
      <w:proofErr w:type="spellEnd"/>
      <w:r w:rsidRPr="00796204">
        <w:rPr>
          <w:rFonts w:cs="Open Sans"/>
          <w:szCs w:val="18"/>
        </w:rPr>
        <w:t xml:space="preserve">, M.K.C., Yamoah, F.A., </w:t>
      </w:r>
      <w:proofErr w:type="spellStart"/>
      <w:r w:rsidRPr="00796204">
        <w:rPr>
          <w:rFonts w:cs="Open Sans"/>
          <w:szCs w:val="18"/>
        </w:rPr>
        <w:t>Issahaku</w:t>
      </w:r>
      <w:proofErr w:type="spellEnd"/>
      <w:r w:rsidRPr="00796204">
        <w:rPr>
          <w:rFonts w:cs="Open Sans"/>
          <w:szCs w:val="18"/>
        </w:rPr>
        <w:t>, I., Ntiamoah, P., Acquah, E. and Mas-Ud, M. (2024) ‘Agroforestry as an old approach to a new challenge of combating climate change: a critical analysis of the cocoa sector’, Discover Agriculture, 2(1), p. 92.</w:t>
      </w:r>
    </w:p>
    <w:p w14:paraId="1DCCEBE9"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Kainyande</w:t>
      </w:r>
      <w:proofErr w:type="spellEnd"/>
      <w:r w:rsidRPr="00796204">
        <w:rPr>
          <w:rFonts w:cs="Open Sans"/>
          <w:szCs w:val="18"/>
        </w:rPr>
        <w:t>, A. (2024) ‘Perspective piece: Rekindling interest in forestry education in Sierra Leone’.</w:t>
      </w:r>
    </w:p>
    <w:p w14:paraId="5983048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Kamara, P.M., Tuffour, Y.A., Baffour-Ata, F. and Obeng, D.A. (2025) ‘Assessing local community perspectives on climate change and variability: implications for unpaved secondary roads in Sierra Leone’, Sustainable Futures, 10, p. 100785.</w:t>
      </w:r>
    </w:p>
    <w:p w14:paraId="1251F32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Kouassi, A.K., Zo-Bi, I.C., </w:t>
      </w:r>
      <w:proofErr w:type="spellStart"/>
      <w:r w:rsidRPr="00796204">
        <w:rPr>
          <w:rFonts w:cs="Open Sans"/>
          <w:szCs w:val="18"/>
        </w:rPr>
        <w:t>Hérault</w:t>
      </w:r>
      <w:proofErr w:type="spellEnd"/>
      <w:r w:rsidRPr="00796204">
        <w:rPr>
          <w:rFonts w:cs="Open Sans"/>
          <w:szCs w:val="18"/>
        </w:rPr>
        <w:t xml:space="preserve">, B., Konan, I.K., Dago, M.R., </w:t>
      </w:r>
      <w:proofErr w:type="spellStart"/>
      <w:r w:rsidRPr="00796204">
        <w:rPr>
          <w:rFonts w:cs="Open Sans"/>
          <w:szCs w:val="18"/>
        </w:rPr>
        <w:t>Lasbats</w:t>
      </w:r>
      <w:proofErr w:type="spellEnd"/>
      <w:r w:rsidRPr="00796204">
        <w:rPr>
          <w:rFonts w:cs="Open Sans"/>
          <w:szCs w:val="18"/>
        </w:rPr>
        <w:t xml:space="preserve">, B., Schmitt, S., N’Guessan, A.E. and </w:t>
      </w:r>
      <w:proofErr w:type="spellStart"/>
      <w:r w:rsidRPr="00796204">
        <w:rPr>
          <w:rFonts w:cs="Open Sans"/>
          <w:szCs w:val="18"/>
        </w:rPr>
        <w:t>Aussenac</w:t>
      </w:r>
      <w:proofErr w:type="spellEnd"/>
      <w:r w:rsidRPr="00796204">
        <w:rPr>
          <w:rFonts w:cs="Open Sans"/>
          <w:szCs w:val="18"/>
        </w:rPr>
        <w:t>, R. (2025) ‘Tree growth in West African cocoa agroforestry systems: high timber yields and superior performance of natural regeneration’, Annals of Forest Science, 82(1), p. 17.</w:t>
      </w:r>
    </w:p>
    <w:p w14:paraId="6CE92063"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Krumbiegel</w:t>
      </w:r>
      <w:proofErr w:type="spellEnd"/>
      <w:r w:rsidRPr="00796204">
        <w:rPr>
          <w:rFonts w:cs="Open Sans"/>
          <w:szCs w:val="18"/>
        </w:rPr>
        <w:t>, K. and Tillie, P. (</w:t>
      </w:r>
      <w:proofErr w:type="gramStart"/>
      <w:r w:rsidRPr="00796204">
        <w:rPr>
          <w:rFonts w:cs="Open Sans"/>
          <w:szCs w:val="18"/>
        </w:rPr>
        <w:t>2024) ‘</w:t>
      </w:r>
      <w:proofErr w:type="gramEnd"/>
      <w:r w:rsidRPr="00796204">
        <w:rPr>
          <w:rFonts w:cs="Open Sans"/>
          <w:szCs w:val="18"/>
        </w:rPr>
        <w:t>Sustainable practices in cocoa production: the role of certification schemes and farmer cooperatives’, Ecological Economics, 222, p. 108211.</w:t>
      </w:r>
    </w:p>
    <w:p w14:paraId="468C694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lastRenderedPageBreak/>
        <w:t>Land for Life (2023) Land governance and agricultural investment in Sierra Leone: Country assessment report. Available at: https://landforlife.org.sl/wp-content/uploads/2023/02/SLE_LfL_Country-Assessment-Report.pdf</w:t>
      </w:r>
    </w:p>
    <w:p w14:paraId="13AFB79D" w14:textId="77777777" w:rsidR="00796204" w:rsidRDefault="00796204" w:rsidP="00796204">
      <w:pPr>
        <w:spacing w:after="60" w:line="259" w:lineRule="auto"/>
        <w:ind w:left="403" w:hanging="403"/>
        <w:jc w:val="left"/>
        <w:rPr>
          <w:rFonts w:cs="Open Sans"/>
          <w:szCs w:val="18"/>
        </w:rPr>
      </w:pPr>
      <w:r w:rsidRPr="00796204">
        <w:rPr>
          <w:rFonts w:cs="Open Sans"/>
          <w:szCs w:val="18"/>
        </w:rPr>
        <w:t>Lander, T.A., Atta-Boateng, A., Toledo-Hernández, M., Wood, A., Malhi, Y., Solé, M., Tscharntke, T. and Wanger, T.C. (2025) ‘Global chocolate supply is limited by low pollination and high temperatures’, Communications Earth &amp; Environment, 6(1), p. 97.</w:t>
      </w:r>
    </w:p>
    <w:p w14:paraId="334A3ADB" w14:textId="072F73D7" w:rsidR="004A1BE4" w:rsidRPr="00796204" w:rsidRDefault="004A1BE4" w:rsidP="00796204">
      <w:pPr>
        <w:spacing w:after="60" w:line="259" w:lineRule="auto"/>
        <w:ind w:left="403" w:hanging="403"/>
        <w:jc w:val="left"/>
        <w:rPr>
          <w:rFonts w:cs="Open Sans"/>
          <w:szCs w:val="18"/>
        </w:rPr>
      </w:pPr>
      <w:proofErr w:type="spellStart"/>
      <w:r w:rsidRPr="00541739">
        <w:rPr>
          <w:rFonts w:cs="Open Sans"/>
          <w:szCs w:val="18"/>
          <w:lang w:val="es-ES"/>
        </w:rPr>
        <w:t>Lescuyer</w:t>
      </w:r>
      <w:proofErr w:type="spellEnd"/>
      <w:r w:rsidRPr="00541739">
        <w:rPr>
          <w:rFonts w:cs="Open Sans"/>
          <w:szCs w:val="18"/>
          <w:lang w:val="es-ES"/>
        </w:rPr>
        <w:t xml:space="preserve">, G., Acosta-Alba, I., Allen, C., </w:t>
      </w:r>
      <w:proofErr w:type="spellStart"/>
      <w:r w:rsidRPr="00541739">
        <w:rPr>
          <w:rFonts w:cs="Open Sans"/>
          <w:szCs w:val="18"/>
          <w:lang w:val="es-ES"/>
        </w:rPr>
        <w:t>Avadi</w:t>
      </w:r>
      <w:proofErr w:type="spellEnd"/>
      <w:r w:rsidRPr="00541739">
        <w:rPr>
          <w:rFonts w:cs="Open Sans"/>
          <w:szCs w:val="18"/>
          <w:lang w:val="es-ES"/>
        </w:rPr>
        <w:t xml:space="preserve">, A., &amp; Kazadi, A. M. (2024). </w:t>
      </w:r>
      <w:r w:rsidRPr="004A1BE4">
        <w:rPr>
          <w:rFonts w:cs="Open Sans"/>
          <w:i/>
          <w:iCs/>
          <w:szCs w:val="18"/>
        </w:rPr>
        <w:t>Analysis of the cocoa value chain in Liberia</w:t>
      </w:r>
      <w:r w:rsidRPr="004A1BE4">
        <w:rPr>
          <w:rFonts w:cs="Open Sans"/>
          <w:szCs w:val="18"/>
        </w:rPr>
        <w:t>. European Commission, Directorate-General for International Partnerships (INTPA), VCA4D.</w:t>
      </w:r>
    </w:p>
    <w:p w14:paraId="5723CE50"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Liang, J., Gamarra, J.G., Picard, N., Zhou, M., Pijanowski, B., Jacobs, D.F., Reich, P.B., Crowther, T.W., </w:t>
      </w:r>
      <w:proofErr w:type="spellStart"/>
      <w:r w:rsidRPr="00796204">
        <w:rPr>
          <w:rFonts w:cs="Open Sans"/>
          <w:szCs w:val="18"/>
        </w:rPr>
        <w:t>Nabuurs</w:t>
      </w:r>
      <w:proofErr w:type="spellEnd"/>
      <w:r w:rsidRPr="00796204">
        <w:rPr>
          <w:rFonts w:cs="Open Sans"/>
          <w:szCs w:val="18"/>
        </w:rPr>
        <w:t>, G.J., De-Miguel, S. and Fang, J. (2022) ‘Co-limitation towards lower latitudes shapes global forest diversity gradients’, Nature Ecology &amp; Evolution, 6(10), pp. 1423–1437.</w:t>
      </w:r>
    </w:p>
    <w:p w14:paraId="13AEA975"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MAFS – Ministry of Agriculture and Food Security (2024) National Cocoa Policy: Towards a Transformative Cocoa Industry. Government of Sierra Leone.</w:t>
      </w:r>
    </w:p>
    <w:p w14:paraId="2EA7B18A"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Mahida, D.K., Makwana, V.M., Sankhla, M.S., Patel, A. and </w:t>
      </w:r>
      <w:proofErr w:type="spellStart"/>
      <w:r w:rsidRPr="00796204">
        <w:rPr>
          <w:rFonts w:cs="Open Sans"/>
          <w:szCs w:val="18"/>
        </w:rPr>
        <w:t>Dodia</w:t>
      </w:r>
      <w:proofErr w:type="spellEnd"/>
      <w:r w:rsidRPr="00796204">
        <w:rPr>
          <w:rFonts w:cs="Open Sans"/>
          <w:szCs w:val="18"/>
        </w:rPr>
        <w:t>, P. (</w:t>
      </w:r>
      <w:proofErr w:type="gramStart"/>
      <w:r w:rsidRPr="00796204">
        <w:rPr>
          <w:rFonts w:cs="Open Sans"/>
          <w:szCs w:val="18"/>
        </w:rPr>
        <w:t>2023) ‘</w:t>
      </w:r>
      <w:proofErr w:type="gramEnd"/>
      <w:r w:rsidRPr="00796204">
        <w:rPr>
          <w:rFonts w:cs="Open Sans"/>
          <w:szCs w:val="18"/>
        </w:rPr>
        <w:t>Accumulation of heavy metals in roadside plants and their role in phytoremediation’, in Anthropogenic Environmental Hazards: Compensation and Mitigation. Cham: Springer Nature Switzerland, pp. 119–141.</w:t>
      </w:r>
    </w:p>
    <w:p w14:paraId="7252D246"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Makieu</w:t>
      </w:r>
      <w:proofErr w:type="spellEnd"/>
      <w:r w:rsidRPr="00796204">
        <w:rPr>
          <w:rFonts w:cs="Open Sans"/>
          <w:szCs w:val="18"/>
        </w:rPr>
        <w:t>, P., Kanu, M.S., Koroma, I. and Sheriff, A. (</w:t>
      </w:r>
      <w:proofErr w:type="gramStart"/>
      <w:r w:rsidRPr="00796204">
        <w:rPr>
          <w:rFonts w:cs="Open Sans"/>
          <w:szCs w:val="18"/>
        </w:rPr>
        <w:t>2025) ‘</w:t>
      </w:r>
      <w:proofErr w:type="gramEnd"/>
      <w:r w:rsidRPr="00796204">
        <w:rPr>
          <w:rFonts w:cs="Open Sans"/>
          <w:szCs w:val="18"/>
        </w:rPr>
        <w:t xml:space="preserve">Assessing the challenges faced by cocoa farmers in accessing credit from community banks in Kailahun District’, </w:t>
      </w:r>
      <w:proofErr w:type="spellStart"/>
      <w:r w:rsidRPr="00796204">
        <w:rPr>
          <w:rFonts w:cs="Open Sans"/>
          <w:szCs w:val="18"/>
        </w:rPr>
        <w:t>Biosys</w:t>
      </w:r>
      <w:proofErr w:type="spellEnd"/>
      <w:r w:rsidRPr="00796204">
        <w:rPr>
          <w:rFonts w:cs="Open Sans"/>
          <w:szCs w:val="18"/>
        </w:rPr>
        <w:t xml:space="preserve"> Journal Biotechnology &amp; Bioengineering, 1(2).</w:t>
      </w:r>
    </w:p>
    <w:p w14:paraId="6E59AAC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Mars, Incorporated (</w:t>
      </w:r>
      <w:proofErr w:type="gramStart"/>
      <w:r w:rsidRPr="00796204">
        <w:rPr>
          <w:rFonts w:cs="Open Sans"/>
          <w:szCs w:val="18"/>
        </w:rPr>
        <w:t>2023) ‘</w:t>
      </w:r>
      <w:proofErr w:type="gramEnd"/>
      <w:r w:rsidRPr="00796204">
        <w:rPr>
          <w:rFonts w:cs="Open Sans"/>
          <w:szCs w:val="18"/>
        </w:rPr>
        <w:t>The importance of gender equality for a thriving cocoa supply chain’, Mars News &amp; Stories, 7 March. Available at: https://www.mars.com/en-gb/news-and-stories/articles/gender-equality-cocoa-supply-chain</w:t>
      </w:r>
    </w:p>
    <w:p w14:paraId="00F9B57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Martin, D.A. and </w:t>
      </w:r>
      <w:proofErr w:type="spellStart"/>
      <w:r w:rsidRPr="00796204">
        <w:rPr>
          <w:rFonts w:cs="Open Sans"/>
          <w:szCs w:val="18"/>
        </w:rPr>
        <w:t>Raveloaritiana</w:t>
      </w:r>
      <w:proofErr w:type="spellEnd"/>
      <w:r w:rsidRPr="00796204">
        <w:rPr>
          <w:rFonts w:cs="Open Sans"/>
          <w:szCs w:val="18"/>
        </w:rPr>
        <w:t>, E. (</w:t>
      </w:r>
      <w:proofErr w:type="gramStart"/>
      <w:r w:rsidRPr="00796204">
        <w:rPr>
          <w:rFonts w:cs="Open Sans"/>
          <w:szCs w:val="18"/>
        </w:rPr>
        <w:t>2022) ‘</w:t>
      </w:r>
      <w:proofErr w:type="gramEnd"/>
      <w:r w:rsidRPr="00796204">
        <w:rPr>
          <w:rFonts w:cs="Open Sans"/>
          <w:szCs w:val="18"/>
        </w:rPr>
        <w:t>Using land-use history and multiple baselines to determine bird responses to cocoa agroforestry’, Conservation Biology, 36(4), p. e13920.</w:t>
      </w:r>
    </w:p>
    <w:p w14:paraId="06B364FC"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Mattalia</w:t>
      </w:r>
      <w:proofErr w:type="spellEnd"/>
      <w:r w:rsidRPr="00796204">
        <w:rPr>
          <w:rFonts w:cs="Open Sans"/>
          <w:szCs w:val="18"/>
        </w:rPr>
        <w:t xml:space="preserve">, G., Wezel, A., </w:t>
      </w:r>
      <w:proofErr w:type="spellStart"/>
      <w:r w:rsidRPr="00796204">
        <w:rPr>
          <w:rFonts w:cs="Open Sans"/>
          <w:szCs w:val="18"/>
        </w:rPr>
        <w:t>Costet</w:t>
      </w:r>
      <w:proofErr w:type="spellEnd"/>
      <w:r w:rsidRPr="00796204">
        <w:rPr>
          <w:rFonts w:cs="Open Sans"/>
          <w:szCs w:val="18"/>
        </w:rPr>
        <w:t xml:space="preserve">, P., Jagoret, P., </w:t>
      </w:r>
      <w:proofErr w:type="spellStart"/>
      <w:r w:rsidRPr="00796204">
        <w:rPr>
          <w:rFonts w:cs="Open Sans"/>
          <w:szCs w:val="18"/>
        </w:rPr>
        <w:t>Deheuvels</w:t>
      </w:r>
      <w:proofErr w:type="spellEnd"/>
      <w:r w:rsidRPr="00796204">
        <w:rPr>
          <w:rFonts w:cs="Open Sans"/>
          <w:szCs w:val="18"/>
        </w:rPr>
        <w:t>, O., Migliorini, P. and David, C. (2022) ‘Contribution of cacao agroforestry versus mono-cropping systems for enhanced sustainability: a review with a focus on yield’, Agroforestry Systems, 96(7), pp. 1077–1089.</w:t>
      </w:r>
    </w:p>
    <w:p w14:paraId="2B35C75B"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Mboma, J.C.A., </w:t>
      </w:r>
      <w:proofErr w:type="spellStart"/>
      <w:r w:rsidRPr="00796204">
        <w:rPr>
          <w:rFonts w:cs="Open Sans"/>
          <w:szCs w:val="18"/>
        </w:rPr>
        <w:t>Vonu</w:t>
      </w:r>
      <w:proofErr w:type="spellEnd"/>
      <w:r w:rsidRPr="00796204">
        <w:rPr>
          <w:rFonts w:cs="Open Sans"/>
          <w:szCs w:val="18"/>
        </w:rPr>
        <w:t xml:space="preserve">, O.S. and Bockarie, V.M. (2022) ‘Assessment of child </w:t>
      </w:r>
      <w:proofErr w:type="spellStart"/>
      <w:r w:rsidRPr="00796204">
        <w:rPr>
          <w:rFonts w:cs="Open Sans"/>
          <w:szCs w:val="18"/>
        </w:rPr>
        <w:t>labour</w:t>
      </w:r>
      <w:proofErr w:type="spellEnd"/>
      <w:r w:rsidRPr="00796204">
        <w:rPr>
          <w:rFonts w:cs="Open Sans"/>
          <w:szCs w:val="18"/>
        </w:rPr>
        <w:t xml:space="preserve"> and its related dangers and hazards on children in cocoa producing communities in Malema Chiefdom, Eastern Sierra Leone’, International Journal of Innovation Scientific Research and Review.</w:t>
      </w:r>
    </w:p>
    <w:p w14:paraId="492DA8B1" w14:textId="77777777" w:rsidR="00796204" w:rsidRDefault="00796204" w:rsidP="00796204">
      <w:pPr>
        <w:spacing w:after="60" w:line="259" w:lineRule="auto"/>
        <w:ind w:left="403" w:hanging="403"/>
        <w:jc w:val="left"/>
        <w:rPr>
          <w:rFonts w:cs="Open Sans"/>
          <w:szCs w:val="18"/>
        </w:rPr>
      </w:pPr>
      <w:r w:rsidRPr="00796204">
        <w:rPr>
          <w:rFonts w:cs="Open Sans"/>
          <w:szCs w:val="18"/>
        </w:rPr>
        <w:t xml:space="preserve">Mensah, S., </w:t>
      </w:r>
      <w:proofErr w:type="spellStart"/>
      <w:r w:rsidRPr="00796204">
        <w:rPr>
          <w:rFonts w:cs="Open Sans"/>
          <w:szCs w:val="18"/>
        </w:rPr>
        <w:t>Noulèkoun</w:t>
      </w:r>
      <w:proofErr w:type="spellEnd"/>
      <w:r w:rsidRPr="00796204">
        <w:rPr>
          <w:rFonts w:cs="Open Sans"/>
          <w:szCs w:val="18"/>
        </w:rPr>
        <w:t xml:space="preserve">, F., </w:t>
      </w:r>
      <w:proofErr w:type="spellStart"/>
      <w:r w:rsidRPr="00796204">
        <w:rPr>
          <w:rFonts w:cs="Open Sans"/>
          <w:szCs w:val="18"/>
        </w:rPr>
        <w:t>Dimobe</w:t>
      </w:r>
      <w:proofErr w:type="spellEnd"/>
      <w:r w:rsidRPr="00796204">
        <w:rPr>
          <w:rFonts w:cs="Open Sans"/>
          <w:szCs w:val="18"/>
        </w:rPr>
        <w:t xml:space="preserve">, K., Seifert, T. and </w:t>
      </w:r>
      <w:proofErr w:type="spellStart"/>
      <w:r w:rsidRPr="00796204">
        <w:rPr>
          <w:rFonts w:cs="Open Sans"/>
          <w:szCs w:val="18"/>
        </w:rPr>
        <w:t>Glèlè</w:t>
      </w:r>
      <w:proofErr w:type="spellEnd"/>
      <w:r w:rsidRPr="00796204">
        <w:rPr>
          <w:rFonts w:cs="Open Sans"/>
          <w:szCs w:val="18"/>
        </w:rPr>
        <w:t xml:space="preserve"> Kakaï, R. (2023) ‘Climate and soil effects on tree species diversity and aboveground carbon patterns in semi-arid tree savannas’, Scientific Reports, 13(1), p. 11509.</w:t>
      </w:r>
    </w:p>
    <w:p w14:paraId="17AFB1AB" w14:textId="5F375409" w:rsidR="000232AC" w:rsidRPr="00796204" w:rsidRDefault="000232AC" w:rsidP="00796204">
      <w:pPr>
        <w:spacing w:after="60" w:line="259" w:lineRule="auto"/>
        <w:ind w:left="403" w:hanging="403"/>
        <w:jc w:val="left"/>
        <w:rPr>
          <w:rFonts w:cs="Open Sans"/>
          <w:szCs w:val="18"/>
        </w:rPr>
      </w:pPr>
      <w:r w:rsidRPr="00D52692">
        <w:rPr>
          <w:rFonts w:cs="Open Sans"/>
          <w:szCs w:val="18"/>
          <w:lang w:val="pt-BR"/>
        </w:rPr>
        <w:t xml:space="preserve">Michel, B., Kumar, R., Benoist, A., Bangura, S., &amp; Desclee, D. (2018). </w:t>
      </w:r>
      <w:r w:rsidRPr="000232AC">
        <w:rPr>
          <w:rFonts w:cs="Open Sans"/>
          <w:i/>
          <w:iCs/>
          <w:szCs w:val="18"/>
        </w:rPr>
        <w:t>Cashew value chain analysis in Sierra Leone</w:t>
      </w:r>
      <w:r w:rsidRPr="000232AC">
        <w:rPr>
          <w:rFonts w:cs="Open Sans"/>
          <w:szCs w:val="18"/>
        </w:rPr>
        <w:t>. European Commission, Directorate-General for International Cooperation and Development (DEVCO), VCA4D.</w:t>
      </w:r>
    </w:p>
    <w:p w14:paraId="77AD5A1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Ministry of Employment, </w:t>
      </w:r>
      <w:proofErr w:type="spellStart"/>
      <w:r w:rsidRPr="00796204">
        <w:rPr>
          <w:rFonts w:cs="Open Sans"/>
          <w:szCs w:val="18"/>
        </w:rPr>
        <w:t>Labour</w:t>
      </w:r>
      <w:proofErr w:type="spellEnd"/>
      <w:r w:rsidRPr="00796204">
        <w:rPr>
          <w:rFonts w:cs="Open Sans"/>
          <w:szCs w:val="18"/>
        </w:rPr>
        <w:t xml:space="preserve"> and Social Security (2023) The Sierra Leone Decent Work Country </w:t>
      </w:r>
      <w:proofErr w:type="spellStart"/>
      <w:r w:rsidRPr="00796204">
        <w:rPr>
          <w:rFonts w:cs="Open Sans"/>
          <w:szCs w:val="18"/>
        </w:rPr>
        <w:t>Programme</w:t>
      </w:r>
      <w:proofErr w:type="spellEnd"/>
      <w:r w:rsidRPr="00796204">
        <w:rPr>
          <w:rFonts w:cs="Open Sans"/>
          <w:szCs w:val="18"/>
        </w:rPr>
        <w:t xml:space="preserve"> 2023–2027. Published 27 October 2023. Available at: https://www.ilo.org/resource/other/decent-work-country-programme-sierra-leone-sl-dwcp-ii-2023-2027</w:t>
      </w:r>
    </w:p>
    <w:p w14:paraId="506606F6"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MoPADA</w:t>
      </w:r>
      <w:proofErr w:type="spellEnd"/>
      <w:r w:rsidRPr="00796204">
        <w:rPr>
          <w:rFonts w:cs="Open Sans"/>
          <w:szCs w:val="18"/>
        </w:rPr>
        <w:t>-SL (2025) Cocoa value chain project implementation presentation. Internal document.</w:t>
      </w:r>
    </w:p>
    <w:p w14:paraId="7525E6B4"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Moinina</w:t>
      </w:r>
      <w:proofErr w:type="spellEnd"/>
      <w:r w:rsidRPr="00796204">
        <w:rPr>
          <w:rFonts w:cs="Open Sans"/>
          <w:szCs w:val="18"/>
        </w:rPr>
        <w:t xml:space="preserve">, A., </w:t>
      </w:r>
      <w:proofErr w:type="spellStart"/>
      <w:r w:rsidRPr="00796204">
        <w:rPr>
          <w:rFonts w:cs="Open Sans"/>
          <w:szCs w:val="18"/>
        </w:rPr>
        <w:t>Lahlali</w:t>
      </w:r>
      <w:proofErr w:type="spellEnd"/>
      <w:r w:rsidRPr="00796204">
        <w:rPr>
          <w:rFonts w:cs="Open Sans"/>
          <w:szCs w:val="18"/>
        </w:rPr>
        <w:t xml:space="preserve">, R. and </w:t>
      </w:r>
      <w:proofErr w:type="spellStart"/>
      <w:r w:rsidRPr="00796204">
        <w:rPr>
          <w:rFonts w:cs="Open Sans"/>
          <w:szCs w:val="18"/>
        </w:rPr>
        <w:t>Boulif</w:t>
      </w:r>
      <w:proofErr w:type="spellEnd"/>
      <w:r w:rsidRPr="00796204">
        <w:rPr>
          <w:rFonts w:cs="Open Sans"/>
          <w:szCs w:val="18"/>
        </w:rPr>
        <w:t>, M. (2023) ‘Management practices to improve the cocoa bean value chain in Sierra Leone’, Moroccan Journal of Agricultural Sciences, 4(2), pp. 45–52.</w:t>
      </w:r>
    </w:p>
    <w:p w14:paraId="4A107157"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Mokuwa</w:t>
      </w:r>
      <w:proofErr w:type="spellEnd"/>
      <w:r w:rsidRPr="00796204">
        <w:rPr>
          <w:rFonts w:cs="Open Sans"/>
          <w:szCs w:val="18"/>
        </w:rPr>
        <w:t>, E. (2024) ‘Hiding the cocoa: women farmers anticipating old age’, 17 September. Available at: https://africanarguments.org/2024/09/hiding-the-coco-women-farmers-anticipating-old-age/</w:t>
      </w:r>
    </w:p>
    <w:p w14:paraId="73D8EA73"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Mwafulirwa, L., </w:t>
      </w:r>
      <w:proofErr w:type="spellStart"/>
      <w:r w:rsidRPr="00796204">
        <w:rPr>
          <w:rFonts w:cs="Open Sans"/>
          <w:szCs w:val="18"/>
        </w:rPr>
        <w:t>Sizmur</w:t>
      </w:r>
      <w:proofErr w:type="spellEnd"/>
      <w:r w:rsidRPr="00796204">
        <w:rPr>
          <w:rFonts w:cs="Open Sans"/>
          <w:szCs w:val="18"/>
        </w:rPr>
        <w:t xml:space="preserve">, T., Daymond, A., </w:t>
      </w:r>
      <w:proofErr w:type="spellStart"/>
      <w:r w:rsidRPr="00796204">
        <w:rPr>
          <w:rFonts w:cs="Open Sans"/>
          <w:szCs w:val="18"/>
        </w:rPr>
        <w:t>Atuah</w:t>
      </w:r>
      <w:proofErr w:type="spellEnd"/>
      <w:r w:rsidRPr="00796204">
        <w:rPr>
          <w:rFonts w:cs="Open Sans"/>
          <w:szCs w:val="18"/>
        </w:rPr>
        <w:t xml:space="preserve">, L., Quaye, A.K., Coole, S., Robinson, S., Hammond, J., </w:t>
      </w:r>
      <w:proofErr w:type="spellStart"/>
      <w:r w:rsidRPr="00796204">
        <w:rPr>
          <w:rFonts w:cs="Open Sans"/>
          <w:szCs w:val="18"/>
        </w:rPr>
        <w:t>Awudzi</w:t>
      </w:r>
      <w:proofErr w:type="spellEnd"/>
      <w:r w:rsidRPr="00796204">
        <w:rPr>
          <w:rFonts w:cs="Open Sans"/>
          <w:szCs w:val="18"/>
        </w:rPr>
        <w:t xml:space="preserve">, G., </w:t>
      </w:r>
      <w:proofErr w:type="spellStart"/>
      <w:r w:rsidRPr="00796204">
        <w:rPr>
          <w:rFonts w:cs="Open Sans"/>
          <w:szCs w:val="18"/>
        </w:rPr>
        <w:t>Awunyo</w:t>
      </w:r>
      <w:proofErr w:type="spellEnd"/>
      <w:r w:rsidRPr="00796204">
        <w:rPr>
          <w:rFonts w:cs="Open Sans"/>
          <w:szCs w:val="18"/>
        </w:rPr>
        <w:t xml:space="preserve">-Vitor, D. and </w:t>
      </w:r>
      <w:proofErr w:type="spellStart"/>
      <w:r w:rsidRPr="00796204">
        <w:rPr>
          <w:rFonts w:cs="Open Sans"/>
          <w:szCs w:val="18"/>
        </w:rPr>
        <w:t>Domfeh</w:t>
      </w:r>
      <w:proofErr w:type="spellEnd"/>
      <w:r w:rsidRPr="00796204">
        <w:rPr>
          <w:rFonts w:cs="Open Sans"/>
          <w:szCs w:val="18"/>
        </w:rPr>
        <w:t>, O. (2024) ‘Cocoa pod husk-derived organic soil amendments differentially affect soil fertility, nutrient leaching, and greenhouse gas emissions in cocoa soils’, Journal of Cleaner Production, 479, p. 144065.</w:t>
      </w:r>
    </w:p>
    <w:p w14:paraId="63A7216E"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Nugraha</w:t>
      </w:r>
      <w:proofErr w:type="spellEnd"/>
      <w:r w:rsidRPr="00796204">
        <w:rPr>
          <w:rFonts w:cs="Open Sans"/>
          <w:szCs w:val="18"/>
        </w:rPr>
        <w:t xml:space="preserve">, M.G., </w:t>
      </w:r>
      <w:proofErr w:type="spellStart"/>
      <w:r w:rsidRPr="00796204">
        <w:rPr>
          <w:rFonts w:cs="Open Sans"/>
          <w:szCs w:val="18"/>
        </w:rPr>
        <w:t>Sharfan</w:t>
      </w:r>
      <w:proofErr w:type="spellEnd"/>
      <w:r w:rsidRPr="00796204">
        <w:rPr>
          <w:rFonts w:cs="Open Sans"/>
          <w:szCs w:val="18"/>
        </w:rPr>
        <w:t xml:space="preserve">, A., </w:t>
      </w:r>
      <w:proofErr w:type="spellStart"/>
      <w:r w:rsidRPr="00796204">
        <w:rPr>
          <w:rFonts w:cs="Open Sans"/>
          <w:szCs w:val="18"/>
        </w:rPr>
        <w:t>Prakoso</w:t>
      </w:r>
      <w:proofErr w:type="spellEnd"/>
      <w:r w:rsidRPr="00796204">
        <w:rPr>
          <w:rFonts w:cs="Open Sans"/>
          <w:szCs w:val="18"/>
        </w:rPr>
        <w:t xml:space="preserve">, V.S.Y., Hidayat, M. and </w:t>
      </w:r>
      <w:proofErr w:type="spellStart"/>
      <w:r w:rsidRPr="00796204">
        <w:rPr>
          <w:rFonts w:cs="Open Sans"/>
          <w:szCs w:val="18"/>
        </w:rPr>
        <w:t>Saptoadi</w:t>
      </w:r>
      <w:proofErr w:type="spellEnd"/>
      <w:r w:rsidRPr="00796204">
        <w:rPr>
          <w:rFonts w:cs="Open Sans"/>
          <w:szCs w:val="18"/>
        </w:rPr>
        <w:t>, H. (</w:t>
      </w:r>
      <w:proofErr w:type="gramStart"/>
      <w:r w:rsidRPr="00796204">
        <w:rPr>
          <w:rFonts w:cs="Open Sans"/>
          <w:szCs w:val="18"/>
        </w:rPr>
        <w:t>2024) ‘</w:t>
      </w:r>
      <w:proofErr w:type="gramEnd"/>
      <w:r w:rsidRPr="00796204">
        <w:rPr>
          <w:rFonts w:cs="Open Sans"/>
          <w:szCs w:val="18"/>
        </w:rPr>
        <w:t>Particulate matter emission in agricultural biomass residue combustion’, Global Journal of Environmental Science &amp; Management, 10(3).</w:t>
      </w:r>
    </w:p>
    <w:p w14:paraId="1DBA694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lastRenderedPageBreak/>
        <w:t>OEC (Observatory of Economic Complexity) (2023) Sierra Leone Trade Profile. MIT Media Lab. Available at: https://oec.world/en/profile/country/sle</w:t>
      </w:r>
    </w:p>
    <w:p w14:paraId="1365AD5A"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OEC (Observatory of Economic Complexity) (2024) Bilateral Trade. MIT Media Lab. Available at: https://oec.world/en/profile/bilateral-product/cocoa-beans/reporter/sle</w:t>
      </w:r>
    </w:p>
    <w:p w14:paraId="3EB8000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OHCHR (n.d.) Ratification status for Sierra Leone. Available at: https://indicators.ohchr.org/</w:t>
      </w:r>
    </w:p>
    <w:p w14:paraId="33E5FE6F" w14:textId="77777777" w:rsidR="00796204" w:rsidRDefault="00796204" w:rsidP="00796204">
      <w:pPr>
        <w:spacing w:after="60" w:line="259" w:lineRule="auto"/>
        <w:ind w:left="403" w:hanging="403"/>
        <w:jc w:val="left"/>
        <w:rPr>
          <w:rFonts w:cs="Open Sans"/>
          <w:szCs w:val="18"/>
        </w:rPr>
      </w:pPr>
      <w:r w:rsidRPr="00796204">
        <w:rPr>
          <w:rFonts w:cs="Open Sans"/>
          <w:szCs w:val="18"/>
        </w:rPr>
        <w:t>Osorio, M., Laven, A., Morahan, R., Gallina, A., Jaskiewicz, K. and Oonk, L. (2019) Changing the terms of women’s engagement in cocoa and coffee supply chains. Rome: FAO, KIT and Twin.</w:t>
      </w:r>
    </w:p>
    <w:p w14:paraId="6BE181DA" w14:textId="3FA47534" w:rsidR="00930D5E" w:rsidRPr="005A2AD7" w:rsidRDefault="00930D5E" w:rsidP="00930D5E">
      <w:pPr>
        <w:spacing w:after="60" w:line="259" w:lineRule="auto"/>
        <w:ind w:left="403" w:hanging="403"/>
        <w:jc w:val="left"/>
        <w:rPr>
          <w:rFonts w:cs="Open Sans"/>
          <w:szCs w:val="18"/>
          <w:lang w:val="cs-CZ"/>
        </w:rPr>
      </w:pPr>
      <w:r w:rsidRPr="00930D5E">
        <w:rPr>
          <w:rFonts w:cs="Open Sans"/>
          <w:szCs w:val="18"/>
          <w:lang w:val="cs-CZ"/>
        </w:rPr>
        <w:t>Pirkle, L., Zimmerman, C., Sadhu, S., Kysia, K., &amp; Ranganathan, M. (2024). Child labour in cocoa growing regions of Ghana and Côte d’Ivoire: an analysis of academic attainment in children engaged in hazardous labour. Global Public Health, 19(1). https://doi.org/10.1080/17441692.2024.2320860</w:t>
      </w:r>
    </w:p>
    <w:p w14:paraId="195EC5C3" w14:textId="77777777" w:rsidR="00796204" w:rsidRPr="00541739" w:rsidRDefault="00796204" w:rsidP="00796204">
      <w:pPr>
        <w:spacing w:after="60" w:line="259" w:lineRule="auto"/>
        <w:ind w:left="403" w:hanging="403"/>
        <w:jc w:val="left"/>
        <w:rPr>
          <w:rFonts w:cs="Open Sans"/>
          <w:szCs w:val="18"/>
          <w:lang w:val="cs-CZ"/>
        </w:rPr>
      </w:pPr>
      <w:r w:rsidRPr="00541739">
        <w:rPr>
          <w:rFonts w:cs="Open Sans"/>
          <w:szCs w:val="18"/>
          <w:lang w:val="cs-CZ"/>
        </w:rPr>
        <w:t>Saj, S., Jagoret, P., Etoa, L.E., Fonkeng, E.E., Tarla, J.N., Nieboukaho, J.D.E. and Sakouma, K.M. (2017) ‘Lessons learned from the long-term analysis of cacao yield and stand structure in central Cameroonian agroforestry systems’, Agricultural Systems, 156, pp. 95–104.</w:t>
      </w:r>
    </w:p>
    <w:p w14:paraId="63D590B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San Martin Ruiz, M., Reiser, M. and Kranert, M. (2021) ‘Composting and methane emissions of coffee by-products’, Atmosphere, 12(9), p. 1153.</w:t>
      </w:r>
    </w:p>
    <w:p w14:paraId="131DDC9B"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Sanou, C.L., Neya, O., Agodzo, S.K., </w:t>
      </w:r>
      <w:proofErr w:type="spellStart"/>
      <w:r w:rsidRPr="00796204">
        <w:rPr>
          <w:rFonts w:cs="Open Sans"/>
          <w:szCs w:val="18"/>
        </w:rPr>
        <w:t>Bessah</w:t>
      </w:r>
      <w:proofErr w:type="spellEnd"/>
      <w:r w:rsidRPr="00796204">
        <w:rPr>
          <w:rFonts w:cs="Open Sans"/>
          <w:szCs w:val="18"/>
        </w:rPr>
        <w:t>, E., Antwi-Agyei, P. and Balima, L.H. (2025) ‘Woody species diversity and aboveground carbon stocks in agroforestry systems in Burkina Faso’, Discover Sustainability, 6(1), p. 234.</w:t>
      </w:r>
    </w:p>
    <w:p w14:paraId="7BA4E02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Santos, A., Maia, P., Jacob, R., Wei, H., Callegari, C., Fiorini, A.C.O., Schaeffer, R. and </w:t>
      </w:r>
      <w:proofErr w:type="spellStart"/>
      <w:r w:rsidRPr="00796204">
        <w:rPr>
          <w:rFonts w:cs="Open Sans"/>
          <w:szCs w:val="18"/>
        </w:rPr>
        <w:t>Szklo</w:t>
      </w:r>
      <w:proofErr w:type="spellEnd"/>
      <w:r w:rsidRPr="00796204">
        <w:rPr>
          <w:rFonts w:cs="Open Sans"/>
          <w:szCs w:val="18"/>
        </w:rPr>
        <w:t>, A. (</w:t>
      </w:r>
      <w:proofErr w:type="gramStart"/>
      <w:r w:rsidRPr="00796204">
        <w:rPr>
          <w:rFonts w:cs="Open Sans"/>
          <w:szCs w:val="18"/>
        </w:rPr>
        <w:t>2024) ‘</w:t>
      </w:r>
      <w:proofErr w:type="gramEnd"/>
      <w:r w:rsidRPr="00796204">
        <w:rPr>
          <w:rFonts w:cs="Open Sans"/>
          <w:szCs w:val="18"/>
        </w:rPr>
        <w:t>Road conditions and driving patterns on fuel usage: Lessons from an emerging economy’, Energy, 295, p. 130979.</w:t>
      </w:r>
    </w:p>
    <w:p w14:paraId="7F381AB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Schneidewind, U.L.F., </w:t>
      </w:r>
      <w:proofErr w:type="spellStart"/>
      <w:r w:rsidRPr="00796204">
        <w:rPr>
          <w:rFonts w:cs="Open Sans"/>
          <w:szCs w:val="18"/>
        </w:rPr>
        <w:t>Niether</w:t>
      </w:r>
      <w:proofErr w:type="spellEnd"/>
      <w:r w:rsidRPr="00796204">
        <w:rPr>
          <w:rFonts w:cs="Open Sans"/>
          <w:szCs w:val="18"/>
        </w:rPr>
        <w:t xml:space="preserve">, W., </w:t>
      </w:r>
      <w:proofErr w:type="spellStart"/>
      <w:r w:rsidRPr="00796204">
        <w:rPr>
          <w:rFonts w:cs="Open Sans"/>
          <w:szCs w:val="18"/>
        </w:rPr>
        <w:t>Armengot</w:t>
      </w:r>
      <w:proofErr w:type="spellEnd"/>
      <w:r w:rsidRPr="00796204">
        <w:rPr>
          <w:rFonts w:cs="Open Sans"/>
          <w:szCs w:val="18"/>
        </w:rPr>
        <w:t>, L., Schneider, M., Sauer, D., Heitkamp, F. and Gerold, G. (2019) ‘Carbon stocks, litterfall and pruning residues in monoculture and agroforestry cacao production systems’, Experimental Agriculture, 55(3), pp. 452–470.</w:t>
      </w:r>
    </w:p>
    <w:p w14:paraId="2665197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Schroth, G., </w:t>
      </w:r>
      <w:proofErr w:type="spellStart"/>
      <w:r w:rsidRPr="00796204">
        <w:rPr>
          <w:rFonts w:cs="Open Sans"/>
          <w:szCs w:val="18"/>
        </w:rPr>
        <w:t>Läderach</w:t>
      </w:r>
      <w:proofErr w:type="spellEnd"/>
      <w:r w:rsidRPr="00796204">
        <w:rPr>
          <w:rFonts w:cs="Open Sans"/>
          <w:szCs w:val="18"/>
        </w:rPr>
        <w:t xml:space="preserve">, P., Martinez-Valle, A.I., Bunn, C. and </w:t>
      </w:r>
      <w:proofErr w:type="spellStart"/>
      <w:r w:rsidRPr="00796204">
        <w:rPr>
          <w:rFonts w:cs="Open Sans"/>
          <w:szCs w:val="18"/>
        </w:rPr>
        <w:t>Jassogne</w:t>
      </w:r>
      <w:proofErr w:type="spellEnd"/>
      <w:r w:rsidRPr="00796204">
        <w:rPr>
          <w:rFonts w:cs="Open Sans"/>
          <w:szCs w:val="18"/>
        </w:rPr>
        <w:t>, L. (2016) ‘Vulnerability to climate change of cocoa in West Africa: patterns, opportunities and limits to adaptation’, Science of the Total Environment, 556, pp. 231–241.</w:t>
      </w:r>
    </w:p>
    <w:p w14:paraId="0F8F05B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Sierra Leone Agricultural Research Institute (SLARI) (2023) Research and Development Brief on Cocoa Rehabilitation and Organic Varieties. Njala: SLARI.</w:t>
      </w:r>
    </w:p>
    <w:p w14:paraId="7CDAC6EB"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Sierra Leone Produce Marketing Company (SLPMC) (2023) National Cocoa Export Report 2023. Freetown: SLPMC.</w:t>
      </w:r>
    </w:p>
    <w:p w14:paraId="700E213A" w14:textId="77777777" w:rsidR="00796204" w:rsidRPr="00D52692" w:rsidRDefault="00796204" w:rsidP="00796204">
      <w:pPr>
        <w:spacing w:after="60" w:line="259" w:lineRule="auto"/>
        <w:ind w:left="403" w:hanging="403"/>
        <w:jc w:val="left"/>
        <w:rPr>
          <w:rFonts w:cs="Open Sans"/>
          <w:szCs w:val="18"/>
        </w:rPr>
      </w:pPr>
      <w:r w:rsidRPr="00D52692">
        <w:rPr>
          <w:rFonts w:cs="Open Sans"/>
          <w:szCs w:val="18"/>
        </w:rPr>
        <w:t>Simões Amaral, S., Andrade de Carvalho Jr, J., Martins Costa, M.A. and Pinheiro, C. (2016) ‘Particulate matter emission factors for biomass combustion’, Atmosphere, 7(11), p. 141.</w:t>
      </w:r>
    </w:p>
    <w:p w14:paraId="638A7A1E" w14:textId="3C9A4F89" w:rsidR="003E2252" w:rsidRPr="00D52692" w:rsidRDefault="003E2252" w:rsidP="00796204">
      <w:pPr>
        <w:spacing w:after="60" w:line="259" w:lineRule="auto"/>
        <w:ind w:left="403" w:hanging="403"/>
        <w:jc w:val="left"/>
        <w:rPr>
          <w:rFonts w:cs="Open Sans"/>
          <w:szCs w:val="18"/>
          <w:lang w:val="en-GB"/>
        </w:rPr>
      </w:pPr>
      <w:r w:rsidRPr="00D52692">
        <w:rPr>
          <w:rFonts w:cs="Open Sans"/>
          <w:szCs w:val="18"/>
          <w:lang w:val="en-GB"/>
        </w:rPr>
        <w:t xml:space="preserve">Sims, M.J., R. </w:t>
      </w:r>
      <w:proofErr w:type="spellStart"/>
      <w:r w:rsidRPr="00D52692">
        <w:rPr>
          <w:rFonts w:cs="Open Sans"/>
          <w:szCs w:val="18"/>
          <w:lang w:val="en-GB"/>
        </w:rPr>
        <w:t>Stanimirova</w:t>
      </w:r>
      <w:proofErr w:type="spellEnd"/>
      <w:r w:rsidRPr="00D52692">
        <w:rPr>
          <w:rFonts w:cs="Open Sans"/>
          <w:szCs w:val="18"/>
          <w:lang w:val="en-GB"/>
        </w:rPr>
        <w:t xml:space="preserve">, A. Raichuk, M. Neumann, J. Richter, F. Follett, J. MacCarthy, K. Lister, C. Randle, L. Sloat, E. </w:t>
      </w:r>
      <w:proofErr w:type="spellStart"/>
      <w:r w:rsidRPr="00D52692">
        <w:rPr>
          <w:rFonts w:cs="Open Sans"/>
          <w:szCs w:val="18"/>
          <w:lang w:val="en-GB"/>
        </w:rPr>
        <w:t>Esipova</w:t>
      </w:r>
      <w:proofErr w:type="spellEnd"/>
      <w:r w:rsidRPr="00D52692">
        <w:rPr>
          <w:rFonts w:cs="Open Sans"/>
          <w:szCs w:val="18"/>
          <w:lang w:val="en-GB"/>
        </w:rPr>
        <w:t>, J. Jupiter, C. Stanton, D. Morris, C. M. Slay, D. Purves, and N. Harris. 2025. “Global Drivers of Forest Loss at 1 Km Resolution.” Environmental Research Letters 20 (7): 074027. doi:10.1088/1748-9326/add606.</w:t>
      </w:r>
    </w:p>
    <w:p w14:paraId="691D91A6" w14:textId="77777777" w:rsidR="00796204" w:rsidRPr="00D52692" w:rsidRDefault="00796204" w:rsidP="00796204">
      <w:pPr>
        <w:spacing w:after="60" w:line="259" w:lineRule="auto"/>
        <w:ind w:left="403" w:hanging="403"/>
        <w:jc w:val="left"/>
        <w:rPr>
          <w:rFonts w:cs="Open Sans"/>
          <w:szCs w:val="18"/>
          <w:lang w:val="en-GB"/>
        </w:rPr>
      </w:pPr>
      <w:r w:rsidRPr="00D52692">
        <w:rPr>
          <w:rFonts w:cs="Open Sans"/>
          <w:szCs w:val="18"/>
          <w:lang w:val="en-GB"/>
        </w:rPr>
        <w:t xml:space="preserve">Somarriba, E., Cerda, R., Orozco, L., Cifuentes, M., Dávila, H., Espin, T., </w:t>
      </w:r>
      <w:proofErr w:type="spellStart"/>
      <w:r w:rsidRPr="00D52692">
        <w:rPr>
          <w:rFonts w:cs="Open Sans"/>
          <w:szCs w:val="18"/>
          <w:lang w:val="en-GB"/>
        </w:rPr>
        <w:t>Mavisoy</w:t>
      </w:r>
      <w:proofErr w:type="spellEnd"/>
      <w:r w:rsidRPr="00D52692">
        <w:rPr>
          <w:rFonts w:cs="Open Sans"/>
          <w:szCs w:val="18"/>
          <w:lang w:val="en-GB"/>
        </w:rPr>
        <w:t>, H., Ávila, G., Alvarado, E., Poveda, V. and Astorga, C. (2013) ‘Carbon stocks and cocoa yields in agroforestry systems of Central America’, Agriculture, Ecosystems &amp; Environment, 173, pp. 46–57.</w:t>
      </w:r>
    </w:p>
    <w:p w14:paraId="2E697695"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Statistics Sierra Leone (2024) Annual Agricultural Survey Report 2023. Freetown: Statistics Sierra Leone.</w:t>
      </w:r>
    </w:p>
    <w:p w14:paraId="1EF6ED7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Statistics Sierra Leone and Ministry of Agriculture and Food Security (MAFS) (2024) Sierra Leone 2024 women’s empowerment and nutrition survey report. Available at: https://www.statistics.sl/images/StatisticsSL/Documents/Womens_Empowerment_Nutrition_Survey_Report_2024.pdf</w:t>
      </w:r>
    </w:p>
    <w:p w14:paraId="02010F68" w14:textId="77777777" w:rsidR="00796204" w:rsidRPr="00796204" w:rsidRDefault="00796204" w:rsidP="00796204">
      <w:pPr>
        <w:spacing w:after="60" w:line="259" w:lineRule="auto"/>
        <w:ind w:left="403" w:hanging="403"/>
        <w:jc w:val="left"/>
        <w:rPr>
          <w:rFonts w:cs="Open Sans"/>
          <w:szCs w:val="18"/>
        </w:rPr>
      </w:pPr>
      <w:r w:rsidRPr="005A2AD7">
        <w:rPr>
          <w:rFonts w:cs="Open Sans"/>
          <w:szCs w:val="18"/>
          <w:lang w:val="pt-BR"/>
        </w:rPr>
        <w:t xml:space="preserve">TRACES (2023) EU Organic Cocoa Import Data 2019–2022. </w:t>
      </w:r>
      <w:r w:rsidRPr="00796204">
        <w:rPr>
          <w:rFonts w:cs="Open Sans"/>
          <w:szCs w:val="18"/>
        </w:rPr>
        <w:t>Directorate-General for Agriculture and Rural Development, European Commission, Brussels. Available at: https://ec.europa.eu/agriculture/tracesability</w:t>
      </w:r>
    </w:p>
    <w:p w14:paraId="7DB8B117"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TrustAfrica</w:t>
      </w:r>
      <w:proofErr w:type="spellEnd"/>
      <w:r w:rsidRPr="00796204">
        <w:rPr>
          <w:rFonts w:cs="Open Sans"/>
          <w:szCs w:val="18"/>
        </w:rPr>
        <w:t xml:space="preserve"> (2024) Assessing cocoa pricing mechanisms and cost of production of cocoa: A cross-country comparison in Côte d’Ivoire, Ghana and Sierra Leone. Available at: https://trustafrica.org/publication/assessing-cocoa-pricing-mechanisms-and-cost-of-production-of-cocoa-a-cross-country-comparison-in-cote-divoire-ghana-and-sierra-leone/</w:t>
      </w:r>
    </w:p>
    <w:p w14:paraId="316EB4EC"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lastRenderedPageBreak/>
        <w:t>Udawatta</w:t>
      </w:r>
      <w:proofErr w:type="spellEnd"/>
      <w:r w:rsidRPr="00796204">
        <w:rPr>
          <w:rFonts w:cs="Open Sans"/>
          <w:szCs w:val="18"/>
        </w:rPr>
        <w:t xml:space="preserve">, R.P., </w:t>
      </w:r>
      <w:proofErr w:type="spellStart"/>
      <w:r w:rsidRPr="00796204">
        <w:rPr>
          <w:rFonts w:cs="Open Sans"/>
          <w:szCs w:val="18"/>
        </w:rPr>
        <w:t>Rankoth</w:t>
      </w:r>
      <w:proofErr w:type="spellEnd"/>
      <w:r w:rsidRPr="00796204">
        <w:rPr>
          <w:rFonts w:cs="Open Sans"/>
          <w:szCs w:val="18"/>
        </w:rPr>
        <w:t>, L.M. and Jose, S. (</w:t>
      </w:r>
      <w:proofErr w:type="gramStart"/>
      <w:r w:rsidRPr="00796204">
        <w:rPr>
          <w:rFonts w:cs="Open Sans"/>
          <w:szCs w:val="18"/>
        </w:rPr>
        <w:t>2019) ‘</w:t>
      </w:r>
      <w:proofErr w:type="gramEnd"/>
      <w:r w:rsidRPr="00796204">
        <w:rPr>
          <w:rFonts w:cs="Open Sans"/>
          <w:szCs w:val="18"/>
        </w:rPr>
        <w:t>Agroforestry and biodiversity’, Sustainability, 11(10), p. 2879.</w:t>
      </w:r>
    </w:p>
    <w:p w14:paraId="7F1F8BFC"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UN Women (2017) ‘Sierra Leonean women in agribusiness are critical for inclusive economic growth’, UN Women Africa, 5 June. Available at: https://africa.unwomen.org/en/news-and-events/stories/2017/06/women-in-agribusiness-in-sierra-leone</w:t>
      </w:r>
    </w:p>
    <w:p w14:paraId="784A42F9" w14:textId="3EC09304" w:rsidR="00796204" w:rsidRDefault="00796204" w:rsidP="00796204">
      <w:pPr>
        <w:spacing w:after="60" w:line="259" w:lineRule="auto"/>
        <w:ind w:left="403" w:hanging="403"/>
        <w:jc w:val="left"/>
        <w:rPr>
          <w:rFonts w:cs="Open Sans"/>
          <w:szCs w:val="18"/>
        </w:rPr>
      </w:pPr>
      <w:r w:rsidRPr="00796204">
        <w:rPr>
          <w:rFonts w:cs="Open Sans"/>
          <w:szCs w:val="18"/>
        </w:rPr>
        <w:t xml:space="preserve">United Nations Sierra Leone (2024) Common country analysis 2023. Available at: </w:t>
      </w:r>
      <w:hyperlink r:id="rId45" w:history="1">
        <w:r w:rsidR="008C599D" w:rsidRPr="00B6103F">
          <w:rPr>
            <w:rStyle w:val="Hyperlink"/>
            <w:rFonts w:cs="Open Sans"/>
            <w:sz w:val="18"/>
            <w:szCs w:val="18"/>
          </w:rPr>
          <w:t>https://sierraleone.un.org/sites/default/files/2024-05/UNCT%20CCA%202023.pdf</w:t>
        </w:r>
      </w:hyperlink>
    </w:p>
    <w:p w14:paraId="17DC62ED" w14:textId="238B7173" w:rsidR="008C599D" w:rsidRPr="005A2AD7" w:rsidRDefault="008C599D" w:rsidP="008C599D">
      <w:pPr>
        <w:spacing w:after="60" w:line="259" w:lineRule="auto"/>
        <w:ind w:left="403" w:hanging="403"/>
        <w:jc w:val="left"/>
        <w:rPr>
          <w:rFonts w:cs="Open Sans"/>
          <w:szCs w:val="18"/>
          <w:lang w:val="cs-CZ"/>
        </w:rPr>
      </w:pPr>
      <w:r w:rsidRPr="008C599D">
        <w:rPr>
          <w:rFonts w:cs="Open Sans"/>
          <w:szCs w:val="18"/>
          <w:lang w:val="cs-CZ"/>
        </w:rPr>
        <w:t xml:space="preserve">U.S. Department of Labor (2024). Findings on the worst forms of child labor: Sierra Leone. </w:t>
      </w:r>
      <w:r w:rsidR="007D44F3">
        <w:rPr>
          <w:rFonts w:cs="Open Sans"/>
          <w:szCs w:val="18"/>
          <w:lang w:val="cs-CZ"/>
        </w:rPr>
        <w:t xml:space="preserve">Available at&gt; </w:t>
      </w:r>
      <w:r w:rsidRPr="008C599D">
        <w:rPr>
          <w:rFonts w:cs="Open Sans"/>
          <w:szCs w:val="18"/>
          <w:lang w:val="cs-CZ"/>
        </w:rPr>
        <w:t>https://www.dol.gov/sites/dolgov/files/ILAB/child_labor_reports/tda2024/Sierra-Leone.pd</w:t>
      </w:r>
      <w:r w:rsidR="007D44F3">
        <w:rPr>
          <w:rFonts w:cs="Open Sans"/>
          <w:szCs w:val="18"/>
          <w:lang w:val="cs-CZ"/>
        </w:rPr>
        <w:t>f</w:t>
      </w:r>
    </w:p>
    <w:p w14:paraId="53F8312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van den Boogaard, V., Prichard, W. and </w:t>
      </w:r>
      <w:proofErr w:type="spellStart"/>
      <w:r w:rsidRPr="00796204">
        <w:rPr>
          <w:rFonts w:cs="Open Sans"/>
          <w:szCs w:val="18"/>
        </w:rPr>
        <w:t>Jibao</w:t>
      </w:r>
      <w:proofErr w:type="spellEnd"/>
      <w:r w:rsidRPr="00796204">
        <w:rPr>
          <w:rFonts w:cs="Open Sans"/>
          <w:szCs w:val="18"/>
        </w:rPr>
        <w:t>, S. (2018) Norms, Networks, Power, and Control: Understanding Informal Payments and Brokerage in Cross-Border Trade in Sierra Leone. ICTD Working Paper 74. Brighton: IDS.</w:t>
      </w:r>
    </w:p>
    <w:p w14:paraId="7383B31C"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van Noordwijk, M. (2019) Sustainable development through trees on farms: Agroforestry in its fifth decade. World Agroforestry (ICRAF).</w:t>
      </w:r>
    </w:p>
    <w:p w14:paraId="1E7B2D9D"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van Noordwijk, M., Dewi, S., </w:t>
      </w:r>
      <w:proofErr w:type="spellStart"/>
      <w:r w:rsidRPr="00796204">
        <w:rPr>
          <w:rFonts w:cs="Open Sans"/>
          <w:szCs w:val="18"/>
        </w:rPr>
        <w:t>Minang</w:t>
      </w:r>
      <w:proofErr w:type="spellEnd"/>
      <w:r w:rsidRPr="00796204">
        <w:rPr>
          <w:rFonts w:cs="Open Sans"/>
          <w:szCs w:val="18"/>
        </w:rPr>
        <w:t xml:space="preserve">, P.A., Harrison, R.D., </w:t>
      </w:r>
      <w:proofErr w:type="spellStart"/>
      <w:r w:rsidRPr="00796204">
        <w:rPr>
          <w:rFonts w:cs="Open Sans"/>
          <w:szCs w:val="18"/>
        </w:rPr>
        <w:t>Leimona</w:t>
      </w:r>
      <w:proofErr w:type="spellEnd"/>
      <w:r w:rsidRPr="00796204">
        <w:rPr>
          <w:rFonts w:cs="Open Sans"/>
          <w:szCs w:val="18"/>
        </w:rPr>
        <w:t xml:space="preserve">, B., </w:t>
      </w:r>
      <w:proofErr w:type="spellStart"/>
      <w:r w:rsidRPr="00796204">
        <w:rPr>
          <w:rFonts w:cs="Open Sans"/>
          <w:szCs w:val="18"/>
        </w:rPr>
        <w:t>Ekadinata</w:t>
      </w:r>
      <w:proofErr w:type="spellEnd"/>
      <w:r w:rsidRPr="00796204">
        <w:rPr>
          <w:rFonts w:cs="Open Sans"/>
          <w:szCs w:val="18"/>
        </w:rPr>
        <w:t>, A., Burgers, P., Slingerland, M., Sassen, M., Watson, C. and Sayer, J. (2025b) ‘Beyond imperfect maps: Evidence for EUDR-compliant agroforestry’, People and Nature, 7(7), pp. 1713–1723.</w:t>
      </w:r>
    </w:p>
    <w:p w14:paraId="76919DFF"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van Noordwijk, M., </w:t>
      </w:r>
      <w:proofErr w:type="spellStart"/>
      <w:r w:rsidRPr="00796204">
        <w:rPr>
          <w:rFonts w:cs="Open Sans"/>
          <w:szCs w:val="18"/>
        </w:rPr>
        <w:t>Leimona</w:t>
      </w:r>
      <w:proofErr w:type="spellEnd"/>
      <w:r w:rsidRPr="00796204">
        <w:rPr>
          <w:rFonts w:cs="Open Sans"/>
          <w:szCs w:val="18"/>
        </w:rPr>
        <w:t xml:space="preserve">, B. and </w:t>
      </w:r>
      <w:proofErr w:type="spellStart"/>
      <w:r w:rsidRPr="00796204">
        <w:rPr>
          <w:rFonts w:cs="Open Sans"/>
          <w:szCs w:val="18"/>
        </w:rPr>
        <w:t>Minang</w:t>
      </w:r>
      <w:proofErr w:type="spellEnd"/>
      <w:r w:rsidRPr="00796204">
        <w:rPr>
          <w:rFonts w:cs="Open Sans"/>
          <w:szCs w:val="18"/>
        </w:rPr>
        <w:t>, P.A. (2025</w:t>
      </w:r>
      <w:proofErr w:type="gramStart"/>
      <w:r w:rsidRPr="00796204">
        <w:rPr>
          <w:rFonts w:cs="Open Sans"/>
          <w:szCs w:val="18"/>
        </w:rPr>
        <w:t>a) ‘</w:t>
      </w:r>
      <w:proofErr w:type="gramEnd"/>
      <w:r w:rsidRPr="00796204">
        <w:rPr>
          <w:rFonts w:cs="Open Sans"/>
          <w:szCs w:val="18"/>
        </w:rPr>
        <w:t xml:space="preserve">The European deforestation-free trade regulation: collateral damage to </w:t>
      </w:r>
      <w:proofErr w:type="spellStart"/>
      <w:r w:rsidRPr="00796204">
        <w:rPr>
          <w:rFonts w:cs="Open Sans"/>
          <w:szCs w:val="18"/>
        </w:rPr>
        <w:t>agroforesters</w:t>
      </w:r>
      <w:proofErr w:type="spellEnd"/>
      <w:r w:rsidRPr="00796204">
        <w:rPr>
          <w:rFonts w:cs="Open Sans"/>
          <w:szCs w:val="18"/>
        </w:rPr>
        <w:t>?’, Current Opinion in Environmental Sustainability, 72, p. 101505.</w:t>
      </w:r>
    </w:p>
    <w:p w14:paraId="4B674828"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Van </w:t>
      </w:r>
      <w:proofErr w:type="spellStart"/>
      <w:r w:rsidRPr="00796204">
        <w:rPr>
          <w:rFonts w:cs="Open Sans"/>
          <w:szCs w:val="18"/>
        </w:rPr>
        <w:t>Oijen</w:t>
      </w:r>
      <w:proofErr w:type="spellEnd"/>
      <w:r w:rsidRPr="00796204">
        <w:rPr>
          <w:rFonts w:cs="Open Sans"/>
          <w:szCs w:val="18"/>
        </w:rPr>
        <w:t xml:space="preserve">, M., Haggar, J., Barrios, M., </w:t>
      </w:r>
      <w:proofErr w:type="spellStart"/>
      <w:r w:rsidRPr="00796204">
        <w:rPr>
          <w:rFonts w:cs="Open Sans"/>
          <w:szCs w:val="18"/>
        </w:rPr>
        <w:t>Büchi</w:t>
      </w:r>
      <w:proofErr w:type="spellEnd"/>
      <w:r w:rsidRPr="00796204">
        <w:rPr>
          <w:rFonts w:cs="Open Sans"/>
          <w:szCs w:val="18"/>
        </w:rPr>
        <w:t xml:space="preserve">, L., Cerda, R., </w:t>
      </w:r>
      <w:proofErr w:type="spellStart"/>
      <w:r w:rsidRPr="00796204">
        <w:rPr>
          <w:rFonts w:cs="Open Sans"/>
          <w:szCs w:val="18"/>
        </w:rPr>
        <w:t>Cerretelli</w:t>
      </w:r>
      <w:proofErr w:type="spellEnd"/>
      <w:r w:rsidRPr="00796204">
        <w:rPr>
          <w:rFonts w:cs="Open Sans"/>
          <w:szCs w:val="18"/>
        </w:rPr>
        <w:t>, S., López, E., de Melo Virginio Filho, E. and Ospina, A. (2022) ‘Ecosystem services from coffee agroforestry in Central America: estimation using the CAF2021 model’, Agroforestry Systems, 96(7), pp. 969–981.</w:t>
      </w:r>
    </w:p>
    <w:p w14:paraId="5447FE92"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Wade, A.S.I., </w:t>
      </w:r>
      <w:proofErr w:type="spellStart"/>
      <w:r w:rsidRPr="00796204">
        <w:rPr>
          <w:rFonts w:cs="Open Sans"/>
          <w:szCs w:val="18"/>
        </w:rPr>
        <w:t>Asase</w:t>
      </w:r>
      <w:proofErr w:type="spellEnd"/>
      <w:r w:rsidRPr="00796204">
        <w:rPr>
          <w:rFonts w:cs="Open Sans"/>
          <w:szCs w:val="18"/>
        </w:rPr>
        <w:t>, A., Hadley, P., Mason, J., Ofori-Frimpong, K., Preece, D., Spring, N. and Norris, K. (2010) ‘Management strategies for maximizing carbon storage and tree species diversity in cocoa-growing landscapes’, Agriculture, Ecosystems and Environment, 138, pp. 324–334.</w:t>
      </w:r>
    </w:p>
    <w:p w14:paraId="68FE114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Wan, Y., Liu, J., Zhuang, Z., Wang, Q. and Li, H. (2024) ‘Heavy metals in agricultural soils: Sources, influencing factors, and remediation strategies’, Toxics, 12(1), p. 63.</w:t>
      </w:r>
    </w:p>
    <w:p w14:paraId="75EA0D1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 xml:space="preserve">Wang, X., </w:t>
      </w:r>
      <w:proofErr w:type="spellStart"/>
      <w:r w:rsidRPr="00796204">
        <w:rPr>
          <w:rFonts w:cs="Open Sans"/>
          <w:szCs w:val="18"/>
        </w:rPr>
        <w:t>Firouzkouhi</w:t>
      </w:r>
      <w:proofErr w:type="spellEnd"/>
      <w:r w:rsidRPr="00796204">
        <w:rPr>
          <w:rFonts w:cs="Open Sans"/>
          <w:szCs w:val="18"/>
        </w:rPr>
        <w:t>, H., Chow, J.C., Watson, J.G., Carter, W. and De Vos, A.S. (2023) ‘Characterization of gas and particle emissions from open burning of household solid waste from South Africa’, Atmospheric Chemistry and Physics, 23(15), pp. 8921–8937.</w:t>
      </w:r>
    </w:p>
    <w:p w14:paraId="2F04F097"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Welthungerhilfe (2024) Capacity building and EUDR compliance project concept. Internal document.</w:t>
      </w:r>
    </w:p>
    <w:p w14:paraId="6B8EA466"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Welthungerhilfe and Solidaridad (2025) Cocoa value chain stakeholder consultation findings. Internal document.</w:t>
      </w:r>
    </w:p>
    <w:p w14:paraId="5A45CB33"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World Bank (2023a) Sierra Leone: Pathways to a Transformation of the Agri-Food Sector. Available at: https://documents.worldbank.org/pt/publication/documents-reports/documentdetail/099444004282527285</w:t>
      </w:r>
    </w:p>
    <w:p w14:paraId="42913DF7"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World Bank (2024a) Sierra Leone Agricultural Sector Risk Assessment. Washington, DC: World Bank. Available at: https://documents1.worldbank.org/curated/en/099056204242594495/pdf/IDU-22b98c27-246b-4502-ab9f-d91afa3ced82.pdf</w:t>
      </w:r>
    </w:p>
    <w:p w14:paraId="59030FC9"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t>World Bank (2024b) Sierra Leone Water Supply, Sanitation and Hygiene (WASH) Poverty Diagnostic. Available at: https://documents.worldbank.org/en/publication/documents-reports/documentdetail/099146408282412861</w:t>
      </w:r>
    </w:p>
    <w:p w14:paraId="658170CD" w14:textId="77777777" w:rsidR="00796204" w:rsidRPr="00796204" w:rsidRDefault="00796204" w:rsidP="00796204">
      <w:pPr>
        <w:spacing w:after="60" w:line="259" w:lineRule="auto"/>
        <w:ind w:left="403" w:hanging="403"/>
        <w:jc w:val="left"/>
        <w:rPr>
          <w:rFonts w:cs="Open Sans"/>
          <w:szCs w:val="18"/>
        </w:rPr>
      </w:pPr>
      <w:r w:rsidRPr="00541739">
        <w:rPr>
          <w:rFonts w:cs="Open Sans"/>
          <w:szCs w:val="18"/>
          <w:lang w:val="en-GB"/>
        </w:rPr>
        <w:t xml:space="preserve">World Bank (2028) Gini index – Sierra Leone. </w:t>
      </w:r>
      <w:r w:rsidRPr="00796204">
        <w:rPr>
          <w:rFonts w:cs="Open Sans"/>
          <w:szCs w:val="18"/>
        </w:rPr>
        <w:t>Available at: https://data.worldbank.org/indicator/SI.POV.GINI?locations=SL</w:t>
      </w:r>
    </w:p>
    <w:p w14:paraId="31D1600F" w14:textId="64E38FD1" w:rsidR="00796204" w:rsidRDefault="00796204" w:rsidP="00796204">
      <w:pPr>
        <w:spacing w:after="60" w:line="259" w:lineRule="auto"/>
        <w:ind w:left="403" w:hanging="403"/>
        <w:jc w:val="left"/>
        <w:rPr>
          <w:rFonts w:cs="Open Sans"/>
          <w:szCs w:val="18"/>
        </w:rPr>
      </w:pPr>
      <w:r w:rsidRPr="00796204">
        <w:rPr>
          <w:rFonts w:cs="Open Sans"/>
          <w:szCs w:val="18"/>
        </w:rPr>
        <w:t xml:space="preserve">World Food </w:t>
      </w:r>
      <w:proofErr w:type="spellStart"/>
      <w:r w:rsidRPr="00796204">
        <w:rPr>
          <w:rFonts w:cs="Open Sans"/>
          <w:szCs w:val="18"/>
        </w:rPr>
        <w:t>Programme</w:t>
      </w:r>
      <w:proofErr w:type="spellEnd"/>
      <w:r w:rsidRPr="00796204">
        <w:rPr>
          <w:rFonts w:cs="Open Sans"/>
          <w:szCs w:val="18"/>
        </w:rPr>
        <w:t xml:space="preserve"> (2023) Sierra Leone Country Brief. Available at: </w:t>
      </w:r>
      <w:hyperlink r:id="rId46" w:history="1">
        <w:r w:rsidR="008011BE" w:rsidRPr="007270FB">
          <w:rPr>
            <w:rStyle w:val="Hyperlink"/>
            <w:rFonts w:cs="Open Sans"/>
            <w:i w:val="0"/>
            <w:iCs/>
            <w:color w:val="auto"/>
            <w:sz w:val="18"/>
            <w:szCs w:val="18"/>
            <w:u w:val="none"/>
          </w:rPr>
          <w:t>https://www.wfp.org/countries/sierra-leone</w:t>
        </w:r>
      </w:hyperlink>
      <w:r w:rsidR="00FB46B9">
        <w:rPr>
          <w:rFonts w:cs="Open Sans"/>
          <w:i/>
          <w:iCs/>
          <w:szCs w:val="18"/>
        </w:rPr>
        <w:t xml:space="preserve"> </w:t>
      </w:r>
    </w:p>
    <w:p w14:paraId="7E22D8DD" w14:textId="1C5B656A" w:rsidR="008011BE" w:rsidRPr="00796204" w:rsidRDefault="008011BE" w:rsidP="00796204">
      <w:pPr>
        <w:spacing w:after="60" w:line="259" w:lineRule="auto"/>
        <w:ind w:left="403" w:hanging="403"/>
        <w:jc w:val="left"/>
        <w:rPr>
          <w:rFonts w:cs="Open Sans"/>
          <w:szCs w:val="18"/>
        </w:rPr>
      </w:pPr>
      <w:r w:rsidRPr="008011BE">
        <w:rPr>
          <w:rFonts w:cs="Open Sans"/>
          <w:szCs w:val="18"/>
        </w:rPr>
        <w:t xml:space="preserve">World Food </w:t>
      </w:r>
      <w:proofErr w:type="spellStart"/>
      <w:r w:rsidRPr="008011BE">
        <w:rPr>
          <w:rFonts w:cs="Open Sans"/>
          <w:szCs w:val="18"/>
        </w:rPr>
        <w:t>Programme</w:t>
      </w:r>
      <w:proofErr w:type="spellEnd"/>
      <w:r w:rsidRPr="008011BE">
        <w:rPr>
          <w:rFonts w:cs="Open Sans"/>
          <w:szCs w:val="18"/>
        </w:rPr>
        <w:t xml:space="preserve">. (2024). </w:t>
      </w:r>
      <w:r w:rsidRPr="008011BE">
        <w:rPr>
          <w:rFonts w:cs="Open Sans"/>
          <w:i/>
          <w:iCs/>
          <w:szCs w:val="18"/>
        </w:rPr>
        <w:t>Food Security Monitoring System (FSMS) Report: Sierra Leone, February 2024</w:t>
      </w:r>
      <w:r w:rsidRPr="008011BE">
        <w:rPr>
          <w:rFonts w:cs="Open Sans"/>
          <w:szCs w:val="18"/>
        </w:rPr>
        <w:t xml:space="preserve">. World Food </w:t>
      </w:r>
      <w:proofErr w:type="spellStart"/>
      <w:r w:rsidRPr="008011BE">
        <w:rPr>
          <w:rFonts w:cs="Open Sans"/>
          <w:szCs w:val="18"/>
        </w:rPr>
        <w:t>Programme</w:t>
      </w:r>
      <w:proofErr w:type="spellEnd"/>
      <w:r w:rsidRPr="008011BE">
        <w:rPr>
          <w:rFonts w:cs="Open Sans"/>
          <w:szCs w:val="18"/>
        </w:rPr>
        <w:t>.</w:t>
      </w:r>
      <w:r w:rsidR="00A23DEA">
        <w:rPr>
          <w:rFonts w:cs="Open Sans"/>
          <w:szCs w:val="18"/>
        </w:rPr>
        <w:t xml:space="preserve"> </w:t>
      </w:r>
      <w:r w:rsidR="00A23DEA" w:rsidRPr="00A23DEA">
        <w:rPr>
          <w:rFonts w:cs="Open Sans"/>
          <w:szCs w:val="18"/>
        </w:rPr>
        <w:t>https://wfp.tind.io/record/129867/files/ELR%202950.pdf</w:t>
      </w:r>
    </w:p>
    <w:p w14:paraId="485EF564" w14:textId="77777777" w:rsidR="00796204" w:rsidRPr="00796204" w:rsidRDefault="00796204" w:rsidP="00796204">
      <w:pPr>
        <w:spacing w:after="60" w:line="259" w:lineRule="auto"/>
        <w:ind w:left="403" w:hanging="403"/>
        <w:jc w:val="left"/>
        <w:rPr>
          <w:rFonts w:cs="Open Sans"/>
          <w:szCs w:val="18"/>
        </w:rPr>
      </w:pPr>
      <w:proofErr w:type="spellStart"/>
      <w:r w:rsidRPr="00796204">
        <w:rPr>
          <w:rFonts w:cs="Open Sans"/>
          <w:szCs w:val="18"/>
        </w:rPr>
        <w:t>Yaffar</w:t>
      </w:r>
      <w:proofErr w:type="spellEnd"/>
      <w:r w:rsidRPr="00796204">
        <w:rPr>
          <w:rFonts w:cs="Open Sans"/>
          <w:szCs w:val="18"/>
        </w:rPr>
        <w:t>, D., Addo-Danso, S.D., Powers, J.S. and Meier, I.C. (2023) ‘Fundamental but underrepresented: root carbon stocks in African montane forests’, Frontiers in Forests and Global Change, 6, p. 1273996.</w:t>
      </w:r>
    </w:p>
    <w:p w14:paraId="7DF8E447" w14:textId="77777777" w:rsidR="00796204" w:rsidRPr="00796204" w:rsidRDefault="00796204" w:rsidP="00796204">
      <w:pPr>
        <w:spacing w:after="60" w:line="259" w:lineRule="auto"/>
        <w:ind w:left="403" w:hanging="403"/>
        <w:jc w:val="left"/>
        <w:rPr>
          <w:rFonts w:cs="Open Sans"/>
          <w:szCs w:val="18"/>
        </w:rPr>
      </w:pPr>
      <w:r w:rsidRPr="00796204">
        <w:rPr>
          <w:rFonts w:cs="Open Sans"/>
          <w:szCs w:val="18"/>
        </w:rPr>
        <w:lastRenderedPageBreak/>
        <w:t>Zulkarnain, M.A., Shahriman, M.K. and Yudin, A.S.M. (</w:t>
      </w:r>
      <w:proofErr w:type="gramStart"/>
      <w:r w:rsidRPr="00796204">
        <w:rPr>
          <w:rFonts w:cs="Open Sans"/>
          <w:szCs w:val="18"/>
        </w:rPr>
        <w:t>2020) ‘</w:t>
      </w:r>
      <w:proofErr w:type="gramEnd"/>
      <w:r w:rsidRPr="00796204">
        <w:rPr>
          <w:rFonts w:cs="Open Sans"/>
          <w:szCs w:val="18"/>
        </w:rPr>
        <w:t>Experimental study of drying characteristics of cocoa bean in a swirling fluidized bed dryer’, in IOP Conference Series: Materials Science and Engineering, 863(1), p. 012048.</w:t>
      </w:r>
    </w:p>
    <w:p w14:paraId="68701C35" w14:textId="77777777" w:rsidR="00DD4A33" w:rsidRDefault="00DD4A33" w:rsidP="00347A9F">
      <w:pPr>
        <w:tabs>
          <w:tab w:val="left" w:pos="1930"/>
        </w:tabs>
      </w:pPr>
    </w:p>
    <w:p w14:paraId="33B6AB39" w14:textId="77777777" w:rsidR="00DD4A33" w:rsidRDefault="00DD4A33" w:rsidP="00347A9F">
      <w:pPr>
        <w:tabs>
          <w:tab w:val="left" w:pos="1930"/>
        </w:tabs>
      </w:pPr>
    </w:p>
    <w:p w14:paraId="27A74359" w14:textId="77777777" w:rsidR="00DD4A33" w:rsidRDefault="00DD4A33" w:rsidP="00347A9F">
      <w:pPr>
        <w:tabs>
          <w:tab w:val="left" w:pos="1930"/>
        </w:tabs>
      </w:pPr>
    </w:p>
    <w:p w14:paraId="4930A281" w14:textId="77777777" w:rsidR="00DD4A33" w:rsidRDefault="00DD4A33" w:rsidP="00347A9F">
      <w:pPr>
        <w:tabs>
          <w:tab w:val="left" w:pos="1930"/>
        </w:tabs>
      </w:pPr>
    </w:p>
    <w:p w14:paraId="55F0D45F" w14:textId="77777777" w:rsidR="00275F54" w:rsidRDefault="00275F54" w:rsidP="003668BE">
      <w:pPr>
        <w:pStyle w:val="Caption"/>
        <w:keepNext/>
        <w:rPr>
          <w:b/>
          <w:bCs w:val="0"/>
          <w:i/>
          <w:iCs/>
          <w:sz w:val="22"/>
          <w:szCs w:val="22"/>
        </w:rPr>
        <w:sectPr w:rsidR="00275F54" w:rsidSect="00046DF2">
          <w:pgSz w:w="11906" w:h="16838"/>
          <w:pgMar w:top="1440" w:right="1440" w:bottom="1440" w:left="1440" w:header="708" w:footer="708" w:gutter="0"/>
          <w:cols w:space="708"/>
          <w:docGrid w:linePitch="360"/>
        </w:sectPr>
      </w:pPr>
    </w:p>
    <w:p w14:paraId="07E92F29" w14:textId="6DE54FA4" w:rsidR="00014A01" w:rsidRDefault="00014A01" w:rsidP="00014A01">
      <w:pPr>
        <w:pStyle w:val="Caption"/>
        <w:keepNext/>
        <w:rPr>
          <w:b/>
          <w:bCs w:val="0"/>
          <w:iCs/>
          <w:sz w:val="22"/>
          <w:szCs w:val="22"/>
        </w:rPr>
      </w:pPr>
      <w:r>
        <w:rPr>
          <w:b/>
          <w:bCs w:val="0"/>
          <w:iCs/>
          <w:sz w:val="22"/>
          <w:szCs w:val="22"/>
        </w:rPr>
        <w:lastRenderedPageBreak/>
        <w:t>Appendix</w:t>
      </w:r>
    </w:p>
    <w:p w14:paraId="12EED121" w14:textId="77777777" w:rsidR="00014A01" w:rsidRPr="00014A01" w:rsidRDefault="00014A01" w:rsidP="00014A01">
      <w:pPr>
        <w:rPr>
          <w:lang w:bidi="hi-IN"/>
        </w:rPr>
      </w:pPr>
    </w:p>
    <w:p w14:paraId="1DB3F009" w14:textId="0FCBC916" w:rsidR="00014A01" w:rsidRDefault="00014A01" w:rsidP="00014A01">
      <w:pPr>
        <w:pStyle w:val="Caption"/>
        <w:keepNext/>
      </w:pPr>
      <w:r>
        <w:t>Table A0 Implementation of the Sierra Leone cocoa value chain study</w:t>
      </w:r>
    </w:p>
    <w:tbl>
      <w:tblPr>
        <w:tblW w:w="10924" w:type="dxa"/>
        <w:jc w:val="center"/>
        <w:tblLook w:val="04A0" w:firstRow="1" w:lastRow="0" w:firstColumn="1" w:lastColumn="0" w:noHBand="0" w:noVBand="1"/>
      </w:tblPr>
      <w:tblGrid>
        <w:gridCol w:w="1105"/>
        <w:gridCol w:w="1075"/>
        <w:gridCol w:w="1051"/>
        <w:gridCol w:w="2053"/>
        <w:gridCol w:w="2727"/>
        <w:gridCol w:w="2913"/>
      </w:tblGrid>
      <w:tr w:rsidR="00014A01" w:rsidRPr="00014A01" w14:paraId="20D2B2F8" w14:textId="77777777" w:rsidTr="00014A01">
        <w:trPr>
          <w:trHeight w:val="554"/>
          <w:jc w:val="center"/>
        </w:trPr>
        <w:tc>
          <w:tcPr>
            <w:tcW w:w="1109" w:type="dxa"/>
            <w:tcBorders>
              <w:top w:val="single" w:sz="4" w:space="0" w:color="auto"/>
              <w:left w:val="nil"/>
              <w:bottom w:val="double" w:sz="6" w:space="0" w:color="auto"/>
              <w:right w:val="nil"/>
            </w:tcBorders>
            <w:vAlign w:val="center"/>
            <w:hideMark/>
          </w:tcPr>
          <w:p w14:paraId="69A69D21"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Phase</w:t>
            </w:r>
          </w:p>
        </w:tc>
        <w:tc>
          <w:tcPr>
            <w:tcW w:w="1021" w:type="dxa"/>
            <w:tcBorders>
              <w:top w:val="single" w:sz="4" w:space="0" w:color="auto"/>
              <w:left w:val="nil"/>
              <w:bottom w:val="double" w:sz="6" w:space="0" w:color="auto"/>
              <w:right w:val="nil"/>
            </w:tcBorders>
            <w:vAlign w:val="center"/>
            <w:hideMark/>
          </w:tcPr>
          <w:p w14:paraId="37E6D846"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Timeline</w:t>
            </w:r>
          </w:p>
        </w:tc>
        <w:tc>
          <w:tcPr>
            <w:tcW w:w="992" w:type="dxa"/>
            <w:tcBorders>
              <w:top w:val="single" w:sz="4" w:space="0" w:color="auto"/>
              <w:left w:val="nil"/>
              <w:bottom w:val="double" w:sz="6" w:space="0" w:color="auto"/>
              <w:right w:val="nil"/>
            </w:tcBorders>
            <w:vAlign w:val="center"/>
            <w:hideMark/>
          </w:tcPr>
          <w:p w14:paraId="2E03D4BD"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Regions Covered</w:t>
            </w:r>
          </w:p>
        </w:tc>
        <w:tc>
          <w:tcPr>
            <w:tcW w:w="2077" w:type="dxa"/>
            <w:tcBorders>
              <w:top w:val="single" w:sz="4" w:space="0" w:color="auto"/>
              <w:left w:val="nil"/>
              <w:bottom w:val="double" w:sz="6" w:space="0" w:color="auto"/>
              <w:right w:val="nil"/>
            </w:tcBorders>
            <w:vAlign w:val="center"/>
            <w:hideMark/>
          </w:tcPr>
          <w:p w14:paraId="6405324C"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Stakeholders Engaged</w:t>
            </w:r>
          </w:p>
        </w:tc>
        <w:tc>
          <w:tcPr>
            <w:tcW w:w="2773" w:type="dxa"/>
            <w:tcBorders>
              <w:top w:val="single" w:sz="4" w:space="0" w:color="auto"/>
              <w:left w:val="nil"/>
              <w:bottom w:val="double" w:sz="6" w:space="0" w:color="auto"/>
              <w:right w:val="nil"/>
            </w:tcBorders>
            <w:vAlign w:val="center"/>
            <w:hideMark/>
          </w:tcPr>
          <w:p w14:paraId="36676D12"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Key Activities</w:t>
            </w:r>
          </w:p>
        </w:tc>
        <w:tc>
          <w:tcPr>
            <w:tcW w:w="2952" w:type="dxa"/>
            <w:tcBorders>
              <w:top w:val="single" w:sz="4" w:space="0" w:color="auto"/>
              <w:left w:val="nil"/>
              <w:bottom w:val="double" w:sz="6" w:space="0" w:color="auto"/>
              <w:right w:val="nil"/>
            </w:tcBorders>
            <w:vAlign w:val="center"/>
            <w:hideMark/>
          </w:tcPr>
          <w:p w14:paraId="38D00EC0" w14:textId="77777777" w:rsidR="00014A01" w:rsidRPr="00014A01" w:rsidRDefault="00014A01" w:rsidP="00014A01">
            <w:pPr>
              <w:contextualSpacing w:val="0"/>
              <w:jc w:val="left"/>
              <w:rPr>
                <w:rFonts w:ascii="Calibri" w:eastAsia="Times New Roman" w:hAnsi="Calibri" w:cs="Calibri"/>
                <w:b/>
                <w:bCs/>
                <w:sz w:val="20"/>
                <w:szCs w:val="20"/>
                <w:lang w:val="en-GB" w:eastAsia="en-GB"/>
              </w:rPr>
            </w:pPr>
            <w:r w:rsidRPr="00014A01">
              <w:rPr>
                <w:rFonts w:ascii="Calibri" w:eastAsia="Times New Roman" w:hAnsi="Calibri" w:cs="Calibri"/>
                <w:b/>
                <w:bCs/>
                <w:sz w:val="20"/>
                <w:szCs w:val="20"/>
                <w:lang w:val="en-GB" w:eastAsia="en-GB"/>
              </w:rPr>
              <w:t>Purpose / Outputs</w:t>
            </w:r>
          </w:p>
        </w:tc>
      </w:tr>
      <w:tr w:rsidR="00014A01" w:rsidRPr="00014A01" w14:paraId="48A0E75B" w14:textId="77777777" w:rsidTr="00014A01">
        <w:trPr>
          <w:trHeight w:val="1828"/>
          <w:jc w:val="center"/>
        </w:trPr>
        <w:tc>
          <w:tcPr>
            <w:tcW w:w="1109" w:type="dxa"/>
            <w:tcBorders>
              <w:top w:val="nil"/>
              <w:left w:val="nil"/>
              <w:bottom w:val="nil"/>
              <w:right w:val="nil"/>
            </w:tcBorders>
            <w:hideMark/>
          </w:tcPr>
          <w:p w14:paraId="4E28980E"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Mission 1</w:t>
            </w:r>
          </w:p>
        </w:tc>
        <w:tc>
          <w:tcPr>
            <w:tcW w:w="1021" w:type="dxa"/>
            <w:tcBorders>
              <w:top w:val="nil"/>
              <w:left w:val="nil"/>
              <w:bottom w:val="nil"/>
              <w:right w:val="nil"/>
            </w:tcBorders>
            <w:hideMark/>
          </w:tcPr>
          <w:p w14:paraId="065E2143"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2–12 November 2025</w:t>
            </w:r>
          </w:p>
        </w:tc>
        <w:tc>
          <w:tcPr>
            <w:tcW w:w="992" w:type="dxa"/>
            <w:tcBorders>
              <w:top w:val="nil"/>
              <w:left w:val="nil"/>
              <w:bottom w:val="nil"/>
              <w:right w:val="nil"/>
            </w:tcBorders>
            <w:hideMark/>
          </w:tcPr>
          <w:p w14:paraId="642EC873"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Freetown; Kenema; Kailahun; Kono</w:t>
            </w:r>
          </w:p>
        </w:tc>
        <w:tc>
          <w:tcPr>
            <w:tcW w:w="2077" w:type="dxa"/>
            <w:tcBorders>
              <w:top w:val="nil"/>
              <w:left w:val="nil"/>
              <w:bottom w:val="nil"/>
              <w:right w:val="nil"/>
            </w:tcBorders>
            <w:hideMark/>
          </w:tcPr>
          <w:p w14:paraId="71CCDE0F"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EU Delegation, Ministry of Agriculture, Ministry of Trade, PMB, Exporters, Cooperatives, Farmers, agents</w:t>
            </w:r>
          </w:p>
        </w:tc>
        <w:tc>
          <w:tcPr>
            <w:tcW w:w="2773" w:type="dxa"/>
            <w:tcBorders>
              <w:top w:val="nil"/>
              <w:left w:val="nil"/>
              <w:bottom w:val="nil"/>
              <w:right w:val="nil"/>
            </w:tcBorders>
            <w:hideMark/>
          </w:tcPr>
          <w:p w14:paraId="5B6FD012"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Kick-off meetings; national stakeholder workshop; field visits; focus group discussions; value chain mapping</w:t>
            </w:r>
          </w:p>
        </w:tc>
        <w:tc>
          <w:tcPr>
            <w:tcW w:w="2952" w:type="dxa"/>
            <w:tcBorders>
              <w:top w:val="nil"/>
              <w:left w:val="nil"/>
              <w:bottom w:val="nil"/>
              <w:right w:val="nil"/>
            </w:tcBorders>
            <w:hideMark/>
          </w:tcPr>
          <w:p w14:paraId="6B8E2EA9"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Establish study scope, develop functional analysis, identify key constraints, and collect primary data on production systems, market linkages, and institutional dynamics</w:t>
            </w:r>
          </w:p>
        </w:tc>
      </w:tr>
      <w:tr w:rsidR="00014A01" w:rsidRPr="00014A01" w14:paraId="45C9FC68" w14:textId="77777777" w:rsidTr="00014A01">
        <w:trPr>
          <w:trHeight w:val="1670"/>
          <w:jc w:val="center"/>
        </w:trPr>
        <w:tc>
          <w:tcPr>
            <w:tcW w:w="1109" w:type="dxa"/>
            <w:tcBorders>
              <w:top w:val="nil"/>
              <w:left w:val="nil"/>
              <w:bottom w:val="nil"/>
              <w:right w:val="nil"/>
            </w:tcBorders>
            <w:hideMark/>
          </w:tcPr>
          <w:p w14:paraId="5FD85F81"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Mission 2</w:t>
            </w:r>
          </w:p>
        </w:tc>
        <w:tc>
          <w:tcPr>
            <w:tcW w:w="1021" w:type="dxa"/>
            <w:tcBorders>
              <w:top w:val="nil"/>
              <w:left w:val="nil"/>
              <w:bottom w:val="nil"/>
              <w:right w:val="nil"/>
            </w:tcBorders>
            <w:hideMark/>
          </w:tcPr>
          <w:p w14:paraId="0AD4C2B7"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20–30 January 2026</w:t>
            </w:r>
          </w:p>
        </w:tc>
        <w:tc>
          <w:tcPr>
            <w:tcW w:w="992" w:type="dxa"/>
            <w:tcBorders>
              <w:top w:val="nil"/>
              <w:left w:val="nil"/>
              <w:bottom w:val="nil"/>
              <w:right w:val="nil"/>
            </w:tcBorders>
            <w:hideMark/>
          </w:tcPr>
          <w:p w14:paraId="1F3E9AB5"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Freetown; Kenema; Kailahun; Kono</w:t>
            </w:r>
          </w:p>
        </w:tc>
        <w:tc>
          <w:tcPr>
            <w:tcW w:w="2077" w:type="dxa"/>
            <w:tcBorders>
              <w:top w:val="nil"/>
              <w:left w:val="nil"/>
              <w:bottom w:val="nil"/>
              <w:right w:val="nil"/>
            </w:tcBorders>
            <w:hideMark/>
          </w:tcPr>
          <w:p w14:paraId="3FC1DC62" w14:textId="529DD9D9"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Government agencies, Statistics SL, PMB, SLARI, UNIDO, FAO, Exporters,</w:t>
            </w:r>
            <w:r>
              <w:rPr>
                <w:rFonts w:ascii="Calibri" w:eastAsia="Times New Roman" w:hAnsi="Calibri" w:cs="Calibri"/>
                <w:color w:val="000000"/>
                <w:sz w:val="20"/>
                <w:szCs w:val="20"/>
                <w:lang w:val="en-GB" w:eastAsia="en-GB"/>
              </w:rPr>
              <w:t xml:space="preserve"> </w:t>
            </w:r>
            <w:r w:rsidRPr="00014A01">
              <w:rPr>
                <w:rFonts w:ascii="Calibri" w:eastAsia="Times New Roman" w:hAnsi="Calibri" w:cs="Calibri"/>
                <w:color w:val="000000"/>
                <w:sz w:val="20"/>
                <w:szCs w:val="20"/>
                <w:lang w:val="en-GB" w:eastAsia="en-GB"/>
              </w:rPr>
              <w:t>Agents, Dealers, Farmers</w:t>
            </w:r>
          </w:p>
        </w:tc>
        <w:tc>
          <w:tcPr>
            <w:tcW w:w="2773" w:type="dxa"/>
            <w:tcBorders>
              <w:top w:val="nil"/>
              <w:left w:val="nil"/>
              <w:bottom w:val="nil"/>
              <w:right w:val="nil"/>
            </w:tcBorders>
            <w:hideMark/>
          </w:tcPr>
          <w:p w14:paraId="0B307226"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Institutional consultations, extended field visits, farmers' survey, validation meetings, stakeholder interviews, and farm visits</w:t>
            </w:r>
          </w:p>
        </w:tc>
        <w:tc>
          <w:tcPr>
            <w:tcW w:w="2952" w:type="dxa"/>
            <w:tcBorders>
              <w:top w:val="nil"/>
              <w:left w:val="nil"/>
              <w:bottom w:val="nil"/>
              <w:right w:val="nil"/>
            </w:tcBorders>
            <w:hideMark/>
          </w:tcPr>
          <w:p w14:paraId="5C97C769"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 xml:space="preserve">Validate functional analysis, </w:t>
            </w:r>
            <w:proofErr w:type="gramStart"/>
            <w:r w:rsidRPr="00014A01">
              <w:rPr>
                <w:rFonts w:ascii="Calibri" w:eastAsia="Times New Roman" w:hAnsi="Calibri" w:cs="Calibri"/>
                <w:color w:val="000000"/>
                <w:sz w:val="20"/>
                <w:szCs w:val="20"/>
                <w:lang w:val="en-GB" w:eastAsia="en-GB"/>
              </w:rPr>
              <w:t>Collecting</w:t>
            </w:r>
            <w:proofErr w:type="gramEnd"/>
            <w:r w:rsidRPr="00014A01">
              <w:rPr>
                <w:rFonts w:ascii="Calibri" w:eastAsia="Times New Roman" w:hAnsi="Calibri" w:cs="Calibri"/>
                <w:color w:val="000000"/>
                <w:sz w:val="20"/>
                <w:szCs w:val="20"/>
                <w:lang w:val="en-GB" w:eastAsia="en-GB"/>
              </w:rPr>
              <w:t xml:space="preserve"> data on economic, social, and environmental dimensions; Generate evidence on productivity, practices, and governance structures</w:t>
            </w:r>
          </w:p>
        </w:tc>
      </w:tr>
      <w:tr w:rsidR="00014A01" w:rsidRPr="00014A01" w14:paraId="10F7774E" w14:textId="77777777" w:rsidTr="00014A01">
        <w:trPr>
          <w:trHeight w:val="1087"/>
          <w:jc w:val="center"/>
        </w:trPr>
        <w:tc>
          <w:tcPr>
            <w:tcW w:w="1109" w:type="dxa"/>
            <w:tcBorders>
              <w:top w:val="nil"/>
              <w:left w:val="nil"/>
              <w:bottom w:val="single" w:sz="4" w:space="0" w:color="auto"/>
              <w:right w:val="nil"/>
            </w:tcBorders>
            <w:hideMark/>
          </w:tcPr>
          <w:p w14:paraId="70E505E2"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Analysis and Reporting</w:t>
            </w:r>
          </w:p>
        </w:tc>
        <w:tc>
          <w:tcPr>
            <w:tcW w:w="1021" w:type="dxa"/>
            <w:tcBorders>
              <w:top w:val="nil"/>
              <w:left w:val="nil"/>
              <w:bottom w:val="single" w:sz="4" w:space="0" w:color="auto"/>
              <w:right w:val="nil"/>
            </w:tcBorders>
            <w:hideMark/>
          </w:tcPr>
          <w:p w14:paraId="1D1FA2B8"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February-April 2026</w:t>
            </w:r>
          </w:p>
        </w:tc>
        <w:tc>
          <w:tcPr>
            <w:tcW w:w="992" w:type="dxa"/>
            <w:tcBorders>
              <w:top w:val="nil"/>
              <w:left w:val="nil"/>
              <w:bottom w:val="single" w:sz="4" w:space="0" w:color="auto"/>
              <w:right w:val="nil"/>
            </w:tcBorders>
            <w:hideMark/>
          </w:tcPr>
          <w:p w14:paraId="61B22ACF"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Desk-based</w:t>
            </w:r>
          </w:p>
        </w:tc>
        <w:tc>
          <w:tcPr>
            <w:tcW w:w="2077" w:type="dxa"/>
            <w:tcBorders>
              <w:top w:val="nil"/>
              <w:left w:val="nil"/>
              <w:bottom w:val="single" w:sz="4" w:space="0" w:color="auto"/>
              <w:right w:val="nil"/>
            </w:tcBorders>
            <w:hideMark/>
          </w:tcPr>
          <w:p w14:paraId="0B21295C"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Study team; primary and secondary data; literature</w:t>
            </w:r>
          </w:p>
        </w:tc>
        <w:tc>
          <w:tcPr>
            <w:tcW w:w="2773" w:type="dxa"/>
            <w:tcBorders>
              <w:top w:val="nil"/>
              <w:left w:val="nil"/>
              <w:bottom w:val="single" w:sz="4" w:space="0" w:color="auto"/>
              <w:right w:val="nil"/>
            </w:tcBorders>
            <w:hideMark/>
          </w:tcPr>
          <w:p w14:paraId="123C5FF4"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Data cleaning; quantitative and qualitative analysis; triangulation of findings, draft report preparation</w:t>
            </w:r>
          </w:p>
        </w:tc>
        <w:tc>
          <w:tcPr>
            <w:tcW w:w="2952" w:type="dxa"/>
            <w:tcBorders>
              <w:top w:val="nil"/>
              <w:left w:val="nil"/>
              <w:bottom w:val="single" w:sz="4" w:space="0" w:color="auto"/>
              <w:right w:val="nil"/>
            </w:tcBorders>
            <w:hideMark/>
          </w:tcPr>
          <w:p w14:paraId="3139C997" w14:textId="77777777" w:rsidR="00014A01" w:rsidRPr="00014A01" w:rsidRDefault="00014A01" w:rsidP="00014A01">
            <w:pPr>
              <w:contextualSpacing w:val="0"/>
              <w:jc w:val="left"/>
              <w:rPr>
                <w:rFonts w:ascii="Calibri" w:eastAsia="Times New Roman" w:hAnsi="Calibri" w:cs="Calibri"/>
                <w:color w:val="000000"/>
                <w:sz w:val="20"/>
                <w:szCs w:val="20"/>
                <w:lang w:val="en-GB" w:eastAsia="en-GB"/>
              </w:rPr>
            </w:pPr>
            <w:r w:rsidRPr="00014A01">
              <w:rPr>
                <w:rFonts w:ascii="Calibri" w:eastAsia="Times New Roman" w:hAnsi="Calibri" w:cs="Calibri"/>
                <w:color w:val="000000"/>
                <w:sz w:val="20"/>
                <w:szCs w:val="20"/>
                <w:lang w:val="en-GB" w:eastAsia="en-GB"/>
              </w:rPr>
              <w:t>Answer VCA4D framing questions; prepare draft results, produce synthesis and recommendations, finalise report</w:t>
            </w:r>
          </w:p>
        </w:tc>
      </w:tr>
    </w:tbl>
    <w:p w14:paraId="0E91748C" w14:textId="77777777" w:rsidR="00014A01" w:rsidRPr="00014A01" w:rsidRDefault="00014A01" w:rsidP="00014A01">
      <w:pPr>
        <w:rPr>
          <w:lang w:val="en-GB" w:bidi="hi-IN"/>
        </w:rPr>
      </w:pPr>
    </w:p>
    <w:p w14:paraId="37AACF99" w14:textId="17C2E681" w:rsidR="00014A01" w:rsidRPr="00014A01" w:rsidRDefault="00014A01" w:rsidP="00014A01">
      <w:pPr>
        <w:tabs>
          <w:tab w:val="left" w:pos="830"/>
        </w:tabs>
        <w:rPr>
          <w:lang w:bidi="hi-IN"/>
        </w:rPr>
        <w:sectPr w:rsidR="00014A01" w:rsidRPr="00014A01" w:rsidSect="00046DF2">
          <w:pgSz w:w="11906" w:h="16838"/>
          <w:pgMar w:top="1440" w:right="1440" w:bottom="1440" w:left="1440" w:header="708" w:footer="708" w:gutter="0"/>
          <w:cols w:space="708"/>
          <w:docGrid w:linePitch="360"/>
        </w:sectPr>
      </w:pPr>
      <w:r>
        <w:rPr>
          <w:lang w:bidi="hi-IN"/>
        </w:rPr>
        <w:tab/>
      </w:r>
    </w:p>
    <w:p w14:paraId="63C9504D" w14:textId="437EF321" w:rsidR="003668BE" w:rsidRPr="003668BE" w:rsidRDefault="003668BE" w:rsidP="003668BE">
      <w:pPr>
        <w:pStyle w:val="Caption"/>
        <w:keepNext/>
        <w:rPr>
          <w:b/>
          <w:bCs w:val="0"/>
          <w:i/>
          <w:iCs/>
          <w:sz w:val="22"/>
          <w:szCs w:val="22"/>
        </w:rPr>
      </w:pPr>
      <w:r>
        <w:rPr>
          <w:b/>
          <w:bCs w:val="0"/>
          <w:iCs/>
          <w:sz w:val="22"/>
          <w:szCs w:val="22"/>
        </w:rPr>
        <w:lastRenderedPageBreak/>
        <w:t>Appendix</w:t>
      </w:r>
      <w:r w:rsidRPr="003668BE">
        <w:rPr>
          <w:b/>
          <w:bCs w:val="0"/>
          <w:iCs/>
          <w:sz w:val="22"/>
          <w:szCs w:val="22"/>
        </w:rPr>
        <w:t xml:space="preserve"> </w:t>
      </w:r>
      <w:r w:rsidR="00275F54">
        <w:rPr>
          <w:b/>
          <w:bCs w:val="0"/>
          <w:i/>
          <w:iCs/>
          <w:sz w:val="22"/>
          <w:szCs w:val="22"/>
        </w:rPr>
        <w:t>for</w:t>
      </w:r>
      <w:r w:rsidRPr="003668BE">
        <w:rPr>
          <w:b/>
          <w:bCs w:val="0"/>
          <w:iCs/>
          <w:sz w:val="22"/>
          <w:szCs w:val="22"/>
        </w:rPr>
        <w:t xml:space="preserve"> </w:t>
      </w:r>
      <w:r>
        <w:rPr>
          <w:b/>
          <w:bCs w:val="0"/>
          <w:iCs/>
          <w:sz w:val="22"/>
          <w:szCs w:val="22"/>
        </w:rPr>
        <w:t>Economic</w:t>
      </w:r>
      <w:r w:rsidRPr="003668BE">
        <w:rPr>
          <w:b/>
          <w:bCs w:val="0"/>
          <w:iCs/>
          <w:sz w:val="22"/>
          <w:szCs w:val="22"/>
        </w:rPr>
        <w:t xml:space="preserve"> Analysis</w:t>
      </w:r>
    </w:p>
    <w:p w14:paraId="2593D48A" w14:textId="3F764F53" w:rsidR="00962C1A" w:rsidRDefault="00962C1A" w:rsidP="00962C1A"/>
    <w:p w14:paraId="334D7079" w14:textId="77777777" w:rsidR="00962C1A" w:rsidRDefault="00962C1A" w:rsidP="00962C1A"/>
    <w:p w14:paraId="3CE0B098" w14:textId="1AA11553" w:rsidR="00962C1A" w:rsidRDefault="008D69C5" w:rsidP="00962C1A">
      <w:pPr>
        <w:keepNext/>
        <w:jc w:val="center"/>
      </w:pPr>
      <w:r w:rsidRPr="008D69C5">
        <w:rPr>
          <w:noProof/>
        </w:rPr>
        <w:drawing>
          <wp:inline distT="0" distB="0" distL="0" distR="0" wp14:anchorId="30BBC108" wp14:editId="6975DA51">
            <wp:extent cx="3570790" cy="3323003"/>
            <wp:effectExtent l="0" t="0" r="0" b="0"/>
            <wp:docPr id="1893416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16789" name=""/>
                    <pic:cNvPicPr/>
                  </pic:nvPicPr>
                  <pic:blipFill>
                    <a:blip r:embed="rId47"/>
                    <a:stretch>
                      <a:fillRect/>
                    </a:stretch>
                  </pic:blipFill>
                  <pic:spPr>
                    <a:xfrm>
                      <a:off x="0" y="0"/>
                      <a:ext cx="3576714" cy="3328516"/>
                    </a:xfrm>
                    <a:prstGeom prst="rect">
                      <a:avLst/>
                    </a:prstGeom>
                  </pic:spPr>
                </pic:pic>
              </a:graphicData>
            </a:graphic>
          </wp:inline>
        </w:drawing>
      </w:r>
    </w:p>
    <w:p w14:paraId="12E37A82" w14:textId="42B4145A" w:rsidR="00962C1A" w:rsidRPr="00D03D4E" w:rsidRDefault="00962C1A" w:rsidP="00962C1A">
      <w:pPr>
        <w:pStyle w:val="Caption"/>
        <w:jc w:val="center"/>
        <w:rPr>
          <w:i/>
          <w:iCs/>
          <w:sz w:val="22"/>
          <w:szCs w:val="22"/>
        </w:rPr>
      </w:pPr>
      <w:r w:rsidRPr="00D03D4E">
        <w:rPr>
          <w:sz w:val="22"/>
          <w:szCs w:val="22"/>
        </w:rPr>
        <w:t xml:space="preserve">Figure A1 </w:t>
      </w:r>
      <w:r w:rsidR="008D69C5">
        <w:rPr>
          <w:sz w:val="22"/>
          <w:szCs w:val="22"/>
        </w:rPr>
        <w:t>Cocoa</w:t>
      </w:r>
      <w:r w:rsidRPr="00D03D4E">
        <w:rPr>
          <w:sz w:val="22"/>
          <w:szCs w:val="22"/>
        </w:rPr>
        <w:t xml:space="preserve"> Value Chain Operations Chart</w:t>
      </w:r>
    </w:p>
    <w:p w14:paraId="3BDF850C" w14:textId="77777777" w:rsidR="00962C1A" w:rsidRDefault="00962C1A" w:rsidP="00962C1A"/>
    <w:p w14:paraId="09000391" w14:textId="236B35C2" w:rsidR="00962C1A" w:rsidRDefault="00046DF2" w:rsidP="00962C1A">
      <w:pPr>
        <w:keepNext/>
        <w:jc w:val="center"/>
      </w:pPr>
      <w:r w:rsidRPr="00046DF2">
        <w:rPr>
          <w:noProof/>
        </w:rPr>
        <w:drawing>
          <wp:inline distT="0" distB="0" distL="0" distR="0" wp14:anchorId="62FA2752" wp14:editId="211F7D7D">
            <wp:extent cx="3981691" cy="3888751"/>
            <wp:effectExtent l="0" t="0" r="0" b="0"/>
            <wp:docPr id="2145531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31861" name=""/>
                    <pic:cNvPicPr/>
                  </pic:nvPicPr>
                  <pic:blipFill>
                    <a:blip r:embed="rId48"/>
                    <a:stretch>
                      <a:fillRect/>
                    </a:stretch>
                  </pic:blipFill>
                  <pic:spPr>
                    <a:xfrm>
                      <a:off x="0" y="0"/>
                      <a:ext cx="3985440" cy="3892413"/>
                    </a:xfrm>
                    <a:prstGeom prst="rect">
                      <a:avLst/>
                    </a:prstGeom>
                  </pic:spPr>
                </pic:pic>
              </a:graphicData>
            </a:graphic>
          </wp:inline>
        </w:drawing>
      </w:r>
    </w:p>
    <w:p w14:paraId="60957BDC" w14:textId="40D51493" w:rsidR="00962C1A" w:rsidRDefault="00962C1A" w:rsidP="00962C1A">
      <w:pPr>
        <w:pStyle w:val="Caption"/>
        <w:jc w:val="center"/>
        <w:rPr>
          <w:i/>
          <w:sz w:val="22"/>
          <w:szCs w:val="22"/>
        </w:rPr>
      </w:pPr>
      <w:r w:rsidRPr="00E11D7C">
        <w:rPr>
          <w:sz w:val="22"/>
          <w:szCs w:val="22"/>
        </w:rPr>
        <w:t>Figure A</w:t>
      </w:r>
      <w:r w:rsidR="00C34D9B">
        <w:rPr>
          <w:sz w:val="22"/>
          <w:szCs w:val="22"/>
        </w:rPr>
        <w:t>2</w:t>
      </w:r>
      <w:r w:rsidRPr="00E11D7C">
        <w:rPr>
          <w:sz w:val="22"/>
          <w:szCs w:val="22"/>
        </w:rPr>
        <w:t xml:space="preserve"> </w:t>
      </w:r>
      <w:r w:rsidR="00046DF2">
        <w:rPr>
          <w:sz w:val="22"/>
          <w:szCs w:val="22"/>
        </w:rPr>
        <w:t>Cocoa</w:t>
      </w:r>
      <w:r w:rsidRPr="00E11D7C">
        <w:rPr>
          <w:sz w:val="22"/>
          <w:szCs w:val="22"/>
        </w:rPr>
        <w:t xml:space="preserve"> Value Chain Flow Graph</w:t>
      </w:r>
    </w:p>
    <w:p w14:paraId="55421E0B" w14:textId="77777777" w:rsidR="00275F54" w:rsidRPr="00275F54" w:rsidRDefault="00275F54" w:rsidP="00275F54">
      <w:pPr>
        <w:rPr>
          <w:lang w:bidi="hi-IN"/>
        </w:rPr>
      </w:pPr>
    </w:p>
    <w:p w14:paraId="1F9180F0" w14:textId="574A7999" w:rsidR="009E2F5B" w:rsidRDefault="009E2F5B">
      <w:pPr>
        <w:spacing w:after="200" w:line="276" w:lineRule="auto"/>
        <w:contextualSpacing w:val="0"/>
        <w:jc w:val="left"/>
        <w:rPr>
          <w:b/>
          <w:iCs/>
          <w:sz w:val="22"/>
        </w:rPr>
      </w:pPr>
      <w:r>
        <w:rPr>
          <w:b/>
          <w:iCs/>
          <w:sz w:val="22"/>
        </w:rPr>
        <w:br w:type="page"/>
      </w:r>
    </w:p>
    <w:p w14:paraId="04C26DE5" w14:textId="36268625" w:rsidR="009E2F5B" w:rsidRPr="009E2F5B" w:rsidRDefault="009E2F5B" w:rsidP="007270FB">
      <w:pPr>
        <w:pStyle w:val="Caption"/>
        <w:keepNext/>
        <w:rPr>
          <w:b/>
          <w:iCs/>
          <w:sz w:val="22"/>
        </w:rPr>
      </w:pPr>
      <w:r w:rsidRPr="009E2F5B">
        <w:rPr>
          <w:b/>
          <w:bCs w:val="0"/>
          <w:iCs/>
          <w:sz w:val="22"/>
          <w:szCs w:val="22"/>
        </w:rPr>
        <w:lastRenderedPageBreak/>
        <w:t xml:space="preserve">Appendix </w:t>
      </w:r>
      <w:r w:rsidRPr="007270FB">
        <w:rPr>
          <w:b/>
          <w:bCs w:val="0"/>
          <w:iCs/>
          <w:sz w:val="22"/>
          <w:szCs w:val="22"/>
        </w:rPr>
        <w:t>for</w:t>
      </w:r>
      <w:r w:rsidRPr="009E2F5B">
        <w:rPr>
          <w:b/>
          <w:bCs w:val="0"/>
          <w:iCs/>
          <w:sz w:val="22"/>
          <w:szCs w:val="22"/>
        </w:rPr>
        <w:t xml:space="preserve"> Social Analysis</w:t>
      </w:r>
    </w:p>
    <w:p w14:paraId="5F27B65A" w14:textId="77777777" w:rsidR="00275F54" w:rsidRDefault="00275F54" w:rsidP="00275F54">
      <w:pPr>
        <w:rPr>
          <w:b/>
          <w:iCs/>
          <w:sz w:val="22"/>
        </w:rPr>
      </w:pPr>
    </w:p>
    <w:p w14:paraId="441F1996" w14:textId="77777777" w:rsidR="00B26CCA" w:rsidRDefault="00B26CCA" w:rsidP="00F907B8">
      <w:pPr>
        <w:pStyle w:val="Caption"/>
        <w:rPr>
          <w:sz w:val="22"/>
          <w:szCs w:val="22"/>
        </w:rPr>
      </w:pPr>
    </w:p>
    <w:p w14:paraId="40F530A5" w14:textId="21438B12" w:rsidR="00B26CCA" w:rsidRPr="003C7588" w:rsidRDefault="00B26CCA" w:rsidP="00B26CCA">
      <w:pPr>
        <w:pStyle w:val="Caption"/>
        <w:rPr>
          <w:sz w:val="22"/>
        </w:rPr>
      </w:pPr>
      <w:r w:rsidRPr="003C7588">
        <w:rPr>
          <w:sz w:val="22"/>
          <w:szCs w:val="22"/>
        </w:rPr>
        <w:t>Table</w:t>
      </w:r>
      <w:r>
        <w:rPr>
          <w:sz w:val="22"/>
          <w:szCs w:val="22"/>
        </w:rPr>
        <w:t xml:space="preserve"> A1.</w:t>
      </w:r>
      <w:r w:rsidRPr="003C7588">
        <w:rPr>
          <w:sz w:val="22"/>
          <w:szCs w:val="22"/>
        </w:rPr>
        <w:t xml:space="preserve"> </w:t>
      </w:r>
      <w:r w:rsidRPr="00F907B8">
        <w:rPr>
          <w:sz w:val="22"/>
          <w:szCs w:val="22"/>
        </w:rPr>
        <w:t xml:space="preserve"> </w:t>
      </w:r>
      <w:r>
        <w:rPr>
          <w:sz w:val="22"/>
        </w:rPr>
        <w:t>Key Food Security Indicators for Cocoa Districts and Country Average</w:t>
      </w:r>
    </w:p>
    <w:p w14:paraId="506BBAD9" w14:textId="77777777" w:rsidR="00B26CCA" w:rsidRDefault="00B26CCA" w:rsidP="00F907B8">
      <w:pPr>
        <w:pStyle w:val="Caption"/>
        <w:rPr>
          <w:sz w:val="22"/>
          <w:szCs w:val="22"/>
        </w:rPr>
      </w:pPr>
    </w:p>
    <w:tbl>
      <w:tblPr>
        <w:tblStyle w:val="VCA4D1"/>
        <w:tblW w:w="0" w:type="auto"/>
        <w:tblLook w:val="04A0" w:firstRow="1" w:lastRow="0" w:firstColumn="1" w:lastColumn="0" w:noHBand="0" w:noVBand="1"/>
      </w:tblPr>
      <w:tblGrid>
        <w:gridCol w:w="1794"/>
        <w:gridCol w:w="952"/>
        <w:gridCol w:w="1018"/>
        <w:gridCol w:w="677"/>
        <w:gridCol w:w="1132"/>
        <w:gridCol w:w="1045"/>
        <w:gridCol w:w="2408"/>
      </w:tblGrid>
      <w:tr w:rsidR="009F78DF" w:rsidRPr="009F78DF" w14:paraId="3AD3599D" w14:textId="77777777" w:rsidTr="007270FB">
        <w:trPr>
          <w:cnfStyle w:val="100000000000" w:firstRow="1" w:lastRow="0" w:firstColumn="0" w:lastColumn="0" w:oddVBand="0" w:evenVBand="0" w:oddHBand="0" w:evenHBand="0" w:firstRowFirstColumn="0" w:firstRowLastColumn="0" w:lastRowFirstColumn="0" w:lastRowLastColumn="0"/>
        </w:trPr>
        <w:tc>
          <w:tcPr>
            <w:tcW w:w="0" w:type="auto"/>
            <w:hideMark/>
          </w:tcPr>
          <w:p w14:paraId="7DF781A9" w14:textId="77777777" w:rsidR="009F78DF" w:rsidRPr="007270FB" w:rsidRDefault="009F78DF" w:rsidP="009F78DF">
            <w:pPr>
              <w:rPr>
                <w:bCs/>
                <w:color w:val="FFFFFF" w:themeColor="background1"/>
                <w:lang w:val="en-GB"/>
              </w:rPr>
            </w:pPr>
            <w:r w:rsidRPr="007270FB">
              <w:rPr>
                <w:bCs/>
                <w:color w:val="FFFFFF" w:themeColor="background1"/>
                <w:lang w:val="en-GB"/>
              </w:rPr>
              <w:t>Indicator</w:t>
            </w:r>
          </w:p>
        </w:tc>
        <w:tc>
          <w:tcPr>
            <w:tcW w:w="0" w:type="auto"/>
            <w:hideMark/>
          </w:tcPr>
          <w:p w14:paraId="1B36322D" w14:textId="77777777" w:rsidR="009F78DF" w:rsidRPr="007270FB" w:rsidRDefault="009F78DF" w:rsidP="009F78DF">
            <w:pPr>
              <w:rPr>
                <w:bCs/>
                <w:color w:val="FFFFFF" w:themeColor="background1"/>
                <w:lang w:val="en-GB"/>
              </w:rPr>
            </w:pPr>
            <w:r w:rsidRPr="007270FB">
              <w:rPr>
                <w:bCs/>
                <w:color w:val="FFFFFF" w:themeColor="background1"/>
                <w:lang w:val="en-GB"/>
              </w:rPr>
              <w:t>Kenema</w:t>
            </w:r>
          </w:p>
        </w:tc>
        <w:tc>
          <w:tcPr>
            <w:tcW w:w="0" w:type="auto"/>
            <w:hideMark/>
          </w:tcPr>
          <w:p w14:paraId="092FA39F" w14:textId="77777777" w:rsidR="009F78DF" w:rsidRPr="007270FB" w:rsidRDefault="009F78DF" w:rsidP="009F78DF">
            <w:pPr>
              <w:rPr>
                <w:bCs/>
                <w:color w:val="FFFFFF" w:themeColor="background1"/>
                <w:lang w:val="en-GB"/>
              </w:rPr>
            </w:pPr>
            <w:r w:rsidRPr="007270FB">
              <w:rPr>
                <w:bCs/>
                <w:color w:val="FFFFFF" w:themeColor="background1"/>
                <w:lang w:val="en-GB"/>
              </w:rPr>
              <w:t>Kailahun</w:t>
            </w:r>
          </w:p>
        </w:tc>
        <w:tc>
          <w:tcPr>
            <w:tcW w:w="0" w:type="auto"/>
            <w:hideMark/>
          </w:tcPr>
          <w:p w14:paraId="03A4B1E1" w14:textId="77777777" w:rsidR="009F78DF" w:rsidRPr="007270FB" w:rsidRDefault="009F78DF" w:rsidP="009F78DF">
            <w:pPr>
              <w:rPr>
                <w:bCs/>
                <w:color w:val="FFFFFF" w:themeColor="background1"/>
                <w:lang w:val="en-GB"/>
              </w:rPr>
            </w:pPr>
            <w:r w:rsidRPr="007270FB">
              <w:rPr>
                <w:bCs/>
                <w:color w:val="FFFFFF" w:themeColor="background1"/>
                <w:lang w:val="en-GB"/>
              </w:rPr>
              <w:t>Kono</w:t>
            </w:r>
          </w:p>
        </w:tc>
        <w:tc>
          <w:tcPr>
            <w:tcW w:w="0" w:type="auto"/>
            <w:hideMark/>
          </w:tcPr>
          <w:p w14:paraId="6048B12B" w14:textId="77777777" w:rsidR="009F78DF" w:rsidRPr="007270FB" w:rsidRDefault="009F78DF" w:rsidP="009F78DF">
            <w:pPr>
              <w:rPr>
                <w:bCs/>
                <w:color w:val="FFFFFF" w:themeColor="background1"/>
                <w:lang w:val="en-GB"/>
              </w:rPr>
            </w:pPr>
            <w:r w:rsidRPr="007270FB">
              <w:rPr>
                <w:bCs/>
                <w:color w:val="FFFFFF" w:themeColor="background1"/>
                <w:lang w:val="en-GB"/>
              </w:rPr>
              <w:t>Cocoa districts average</w:t>
            </w:r>
          </w:p>
        </w:tc>
        <w:tc>
          <w:tcPr>
            <w:tcW w:w="0" w:type="auto"/>
            <w:hideMark/>
          </w:tcPr>
          <w:p w14:paraId="5FC1B3CF" w14:textId="7FAFFA67" w:rsidR="009F78DF" w:rsidRPr="007270FB" w:rsidRDefault="00234A06" w:rsidP="009F78DF">
            <w:pPr>
              <w:rPr>
                <w:bCs/>
                <w:color w:val="FFFFFF" w:themeColor="background1"/>
                <w:lang w:val="en-GB"/>
              </w:rPr>
            </w:pPr>
            <w:r>
              <w:rPr>
                <w:bCs/>
                <w:color w:val="FFFFFF" w:themeColor="background1"/>
                <w:lang w:val="en-GB"/>
              </w:rPr>
              <w:t>C</w:t>
            </w:r>
            <w:r w:rsidR="009F78DF" w:rsidRPr="007270FB">
              <w:rPr>
                <w:bCs/>
                <w:color w:val="FFFFFF" w:themeColor="background1"/>
                <w:lang w:val="en-GB"/>
              </w:rPr>
              <w:t>ountry average</w:t>
            </w:r>
          </w:p>
        </w:tc>
        <w:tc>
          <w:tcPr>
            <w:tcW w:w="0" w:type="auto"/>
            <w:hideMark/>
          </w:tcPr>
          <w:p w14:paraId="251BE956" w14:textId="77777777" w:rsidR="009F78DF" w:rsidRPr="007270FB" w:rsidRDefault="009F78DF" w:rsidP="009F78DF">
            <w:pPr>
              <w:rPr>
                <w:bCs/>
                <w:color w:val="FFFFFF" w:themeColor="background1"/>
                <w:lang w:val="en-GB"/>
              </w:rPr>
            </w:pPr>
            <w:r w:rsidRPr="007270FB">
              <w:rPr>
                <w:bCs/>
                <w:color w:val="FFFFFF" w:themeColor="background1"/>
                <w:lang w:val="en-GB"/>
              </w:rPr>
              <w:t>Interpretation</w:t>
            </w:r>
          </w:p>
        </w:tc>
      </w:tr>
      <w:tr w:rsidR="009F78DF" w:rsidRPr="009F78DF" w14:paraId="34F5E420" w14:textId="77777777" w:rsidTr="007270FB">
        <w:tc>
          <w:tcPr>
            <w:tcW w:w="0" w:type="auto"/>
            <w:hideMark/>
          </w:tcPr>
          <w:p w14:paraId="5921BFEA" w14:textId="77777777" w:rsidR="009F78DF" w:rsidRPr="009F78DF" w:rsidRDefault="009F78DF" w:rsidP="007270FB">
            <w:pPr>
              <w:jc w:val="left"/>
              <w:rPr>
                <w:b/>
                <w:bCs/>
                <w:lang w:val="en-GB"/>
              </w:rPr>
            </w:pPr>
            <w:r w:rsidRPr="009F78DF">
              <w:rPr>
                <w:b/>
                <w:bCs/>
                <w:lang w:val="en-GB"/>
              </w:rPr>
              <w:t>Poor Food Consumption Score (FCS) (%)</w:t>
            </w:r>
          </w:p>
        </w:tc>
        <w:tc>
          <w:tcPr>
            <w:tcW w:w="0" w:type="auto"/>
            <w:hideMark/>
          </w:tcPr>
          <w:p w14:paraId="7ECC52B7" w14:textId="77777777" w:rsidR="009F78DF" w:rsidRPr="009F78DF" w:rsidRDefault="009F78DF" w:rsidP="009F78DF">
            <w:pPr>
              <w:rPr>
                <w:lang w:val="en-GB"/>
              </w:rPr>
            </w:pPr>
            <w:r w:rsidRPr="009F78DF">
              <w:rPr>
                <w:lang w:val="en-GB"/>
              </w:rPr>
              <w:t>29</w:t>
            </w:r>
          </w:p>
        </w:tc>
        <w:tc>
          <w:tcPr>
            <w:tcW w:w="0" w:type="auto"/>
            <w:hideMark/>
          </w:tcPr>
          <w:p w14:paraId="7F8E2718" w14:textId="77777777" w:rsidR="009F78DF" w:rsidRPr="009F78DF" w:rsidRDefault="009F78DF" w:rsidP="009F78DF">
            <w:pPr>
              <w:rPr>
                <w:lang w:val="en-GB"/>
              </w:rPr>
            </w:pPr>
            <w:r w:rsidRPr="009F78DF">
              <w:rPr>
                <w:lang w:val="en-GB"/>
              </w:rPr>
              <w:t>3</w:t>
            </w:r>
          </w:p>
        </w:tc>
        <w:tc>
          <w:tcPr>
            <w:tcW w:w="0" w:type="auto"/>
            <w:hideMark/>
          </w:tcPr>
          <w:p w14:paraId="0B7EC439" w14:textId="77777777" w:rsidR="009F78DF" w:rsidRPr="009F78DF" w:rsidRDefault="009F78DF" w:rsidP="009F78DF">
            <w:pPr>
              <w:rPr>
                <w:lang w:val="en-GB"/>
              </w:rPr>
            </w:pPr>
            <w:r w:rsidRPr="009F78DF">
              <w:rPr>
                <w:lang w:val="en-GB"/>
              </w:rPr>
              <w:t>14</w:t>
            </w:r>
          </w:p>
        </w:tc>
        <w:tc>
          <w:tcPr>
            <w:tcW w:w="0" w:type="auto"/>
            <w:hideMark/>
          </w:tcPr>
          <w:p w14:paraId="193A85F7" w14:textId="77777777" w:rsidR="009F78DF" w:rsidRPr="009F78DF" w:rsidRDefault="009F78DF" w:rsidP="009F78DF">
            <w:pPr>
              <w:rPr>
                <w:lang w:val="en-GB"/>
              </w:rPr>
            </w:pPr>
            <w:r w:rsidRPr="009F78DF">
              <w:rPr>
                <w:lang w:val="en-GB"/>
              </w:rPr>
              <w:t>15.3</w:t>
            </w:r>
          </w:p>
        </w:tc>
        <w:tc>
          <w:tcPr>
            <w:tcW w:w="0" w:type="auto"/>
            <w:hideMark/>
          </w:tcPr>
          <w:p w14:paraId="7532249A" w14:textId="77777777" w:rsidR="009F78DF" w:rsidRPr="009F78DF" w:rsidRDefault="009F78DF" w:rsidP="009F78DF">
            <w:pPr>
              <w:rPr>
                <w:lang w:val="en-GB"/>
              </w:rPr>
            </w:pPr>
            <w:r w:rsidRPr="009F78DF">
              <w:rPr>
                <w:lang w:val="en-GB"/>
              </w:rPr>
              <w:t>13.1</w:t>
            </w:r>
          </w:p>
        </w:tc>
        <w:tc>
          <w:tcPr>
            <w:tcW w:w="0" w:type="auto"/>
            <w:hideMark/>
          </w:tcPr>
          <w:p w14:paraId="1FB319EA" w14:textId="77777777" w:rsidR="009F78DF" w:rsidRPr="009F78DF" w:rsidRDefault="009F78DF" w:rsidP="007270FB">
            <w:pPr>
              <w:jc w:val="left"/>
              <w:rPr>
                <w:lang w:val="en-GB"/>
              </w:rPr>
            </w:pPr>
            <w:r w:rsidRPr="009F78DF">
              <w:rPr>
                <w:lang w:val="en-GB"/>
              </w:rPr>
              <w:t>Kenema is among the worst districts; Kailahun is among the best; Kono is around national level</w:t>
            </w:r>
          </w:p>
        </w:tc>
      </w:tr>
      <w:tr w:rsidR="009F78DF" w:rsidRPr="009F78DF" w14:paraId="533F1AFF" w14:textId="77777777" w:rsidTr="007270FB">
        <w:tc>
          <w:tcPr>
            <w:tcW w:w="0" w:type="auto"/>
            <w:hideMark/>
          </w:tcPr>
          <w:p w14:paraId="583D695A" w14:textId="77777777" w:rsidR="009F78DF" w:rsidRPr="009F78DF" w:rsidRDefault="009F78DF" w:rsidP="007270FB">
            <w:pPr>
              <w:jc w:val="left"/>
              <w:rPr>
                <w:b/>
                <w:bCs/>
                <w:lang w:val="en-GB"/>
              </w:rPr>
            </w:pPr>
            <w:r w:rsidRPr="009F78DF">
              <w:rPr>
                <w:b/>
                <w:bCs/>
                <w:lang w:val="en-GB"/>
              </w:rPr>
              <w:t>Borderline FCS (%)</w:t>
            </w:r>
          </w:p>
        </w:tc>
        <w:tc>
          <w:tcPr>
            <w:tcW w:w="0" w:type="auto"/>
            <w:hideMark/>
          </w:tcPr>
          <w:p w14:paraId="46FF97B5" w14:textId="77777777" w:rsidR="009F78DF" w:rsidRPr="009F78DF" w:rsidRDefault="009F78DF" w:rsidP="009F78DF">
            <w:pPr>
              <w:rPr>
                <w:lang w:val="en-GB"/>
              </w:rPr>
            </w:pPr>
            <w:r w:rsidRPr="009F78DF">
              <w:rPr>
                <w:lang w:val="en-GB"/>
              </w:rPr>
              <w:t>63</w:t>
            </w:r>
          </w:p>
        </w:tc>
        <w:tc>
          <w:tcPr>
            <w:tcW w:w="0" w:type="auto"/>
            <w:hideMark/>
          </w:tcPr>
          <w:p w14:paraId="566BD7D0" w14:textId="77777777" w:rsidR="009F78DF" w:rsidRPr="009F78DF" w:rsidRDefault="009F78DF" w:rsidP="009F78DF">
            <w:pPr>
              <w:rPr>
                <w:lang w:val="en-GB"/>
              </w:rPr>
            </w:pPr>
            <w:r w:rsidRPr="009F78DF">
              <w:rPr>
                <w:lang w:val="en-GB"/>
              </w:rPr>
              <w:t>54</w:t>
            </w:r>
          </w:p>
        </w:tc>
        <w:tc>
          <w:tcPr>
            <w:tcW w:w="0" w:type="auto"/>
            <w:hideMark/>
          </w:tcPr>
          <w:p w14:paraId="02433755" w14:textId="77777777" w:rsidR="009F78DF" w:rsidRPr="009F78DF" w:rsidRDefault="009F78DF" w:rsidP="009F78DF">
            <w:pPr>
              <w:rPr>
                <w:lang w:val="en-GB"/>
              </w:rPr>
            </w:pPr>
            <w:r w:rsidRPr="009F78DF">
              <w:rPr>
                <w:lang w:val="en-GB"/>
              </w:rPr>
              <w:t>67</w:t>
            </w:r>
          </w:p>
        </w:tc>
        <w:tc>
          <w:tcPr>
            <w:tcW w:w="0" w:type="auto"/>
            <w:hideMark/>
          </w:tcPr>
          <w:p w14:paraId="67AE7984" w14:textId="77777777" w:rsidR="009F78DF" w:rsidRPr="009F78DF" w:rsidRDefault="009F78DF" w:rsidP="009F78DF">
            <w:pPr>
              <w:rPr>
                <w:lang w:val="en-GB"/>
              </w:rPr>
            </w:pPr>
            <w:r w:rsidRPr="009F78DF">
              <w:rPr>
                <w:lang w:val="en-GB"/>
              </w:rPr>
              <w:t>61.3</w:t>
            </w:r>
          </w:p>
        </w:tc>
        <w:tc>
          <w:tcPr>
            <w:tcW w:w="0" w:type="auto"/>
            <w:hideMark/>
          </w:tcPr>
          <w:p w14:paraId="2B789B4B" w14:textId="77777777" w:rsidR="009F78DF" w:rsidRPr="009F78DF" w:rsidRDefault="009F78DF" w:rsidP="009F78DF">
            <w:pPr>
              <w:rPr>
                <w:lang w:val="en-GB"/>
              </w:rPr>
            </w:pPr>
            <w:r w:rsidRPr="009F78DF">
              <w:rPr>
                <w:lang w:val="en-GB"/>
              </w:rPr>
              <w:t>63.1</w:t>
            </w:r>
          </w:p>
        </w:tc>
        <w:tc>
          <w:tcPr>
            <w:tcW w:w="0" w:type="auto"/>
            <w:hideMark/>
          </w:tcPr>
          <w:p w14:paraId="4CEA4AA9" w14:textId="77777777" w:rsidR="009F78DF" w:rsidRPr="009F78DF" w:rsidRDefault="009F78DF" w:rsidP="007270FB">
            <w:pPr>
              <w:jc w:val="left"/>
              <w:rPr>
                <w:lang w:val="en-GB"/>
              </w:rPr>
            </w:pPr>
            <w:r w:rsidRPr="009F78DF">
              <w:rPr>
                <w:lang w:val="en-GB"/>
              </w:rPr>
              <w:t>Cocoa districts are broadly similar to non-cocoa districts</w:t>
            </w:r>
          </w:p>
        </w:tc>
      </w:tr>
      <w:tr w:rsidR="009F78DF" w:rsidRPr="009F78DF" w14:paraId="0503BECA" w14:textId="77777777" w:rsidTr="007270FB">
        <w:tc>
          <w:tcPr>
            <w:tcW w:w="0" w:type="auto"/>
            <w:hideMark/>
          </w:tcPr>
          <w:p w14:paraId="36FB8E2A" w14:textId="77777777" w:rsidR="009F78DF" w:rsidRPr="009F78DF" w:rsidRDefault="009F78DF" w:rsidP="007270FB">
            <w:pPr>
              <w:jc w:val="left"/>
              <w:rPr>
                <w:b/>
                <w:bCs/>
                <w:lang w:val="en-GB"/>
              </w:rPr>
            </w:pPr>
            <w:r w:rsidRPr="009F78DF">
              <w:rPr>
                <w:b/>
                <w:bCs/>
                <w:lang w:val="en-GB"/>
              </w:rPr>
              <w:t>Acceptable FCS (%)</w:t>
            </w:r>
          </w:p>
        </w:tc>
        <w:tc>
          <w:tcPr>
            <w:tcW w:w="0" w:type="auto"/>
            <w:hideMark/>
          </w:tcPr>
          <w:p w14:paraId="6B89BFD1" w14:textId="77777777" w:rsidR="009F78DF" w:rsidRPr="009F78DF" w:rsidRDefault="009F78DF" w:rsidP="009F78DF">
            <w:pPr>
              <w:rPr>
                <w:lang w:val="en-GB"/>
              </w:rPr>
            </w:pPr>
            <w:r w:rsidRPr="009F78DF">
              <w:rPr>
                <w:lang w:val="en-GB"/>
              </w:rPr>
              <w:t>7</w:t>
            </w:r>
          </w:p>
        </w:tc>
        <w:tc>
          <w:tcPr>
            <w:tcW w:w="0" w:type="auto"/>
            <w:hideMark/>
          </w:tcPr>
          <w:p w14:paraId="1E90979C" w14:textId="77777777" w:rsidR="009F78DF" w:rsidRPr="009F78DF" w:rsidRDefault="009F78DF" w:rsidP="009F78DF">
            <w:pPr>
              <w:rPr>
                <w:lang w:val="en-GB"/>
              </w:rPr>
            </w:pPr>
            <w:r w:rsidRPr="009F78DF">
              <w:rPr>
                <w:lang w:val="en-GB"/>
              </w:rPr>
              <w:t>43</w:t>
            </w:r>
          </w:p>
        </w:tc>
        <w:tc>
          <w:tcPr>
            <w:tcW w:w="0" w:type="auto"/>
            <w:hideMark/>
          </w:tcPr>
          <w:p w14:paraId="2C14F7B1" w14:textId="77777777" w:rsidR="009F78DF" w:rsidRPr="009F78DF" w:rsidRDefault="009F78DF" w:rsidP="009F78DF">
            <w:pPr>
              <w:rPr>
                <w:lang w:val="en-GB"/>
              </w:rPr>
            </w:pPr>
            <w:r w:rsidRPr="009F78DF">
              <w:rPr>
                <w:lang w:val="en-GB"/>
              </w:rPr>
              <w:t>19</w:t>
            </w:r>
          </w:p>
        </w:tc>
        <w:tc>
          <w:tcPr>
            <w:tcW w:w="0" w:type="auto"/>
            <w:hideMark/>
          </w:tcPr>
          <w:p w14:paraId="3B6F07BC" w14:textId="77777777" w:rsidR="009F78DF" w:rsidRPr="009F78DF" w:rsidRDefault="009F78DF" w:rsidP="009F78DF">
            <w:pPr>
              <w:rPr>
                <w:lang w:val="en-GB"/>
              </w:rPr>
            </w:pPr>
            <w:r w:rsidRPr="009F78DF">
              <w:rPr>
                <w:lang w:val="en-GB"/>
              </w:rPr>
              <w:t>23.0</w:t>
            </w:r>
          </w:p>
        </w:tc>
        <w:tc>
          <w:tcPr>
            <w:tcW w:w="0" w:type="auto"/>
            <w:hideMark/>
          </w:tcPr>
          <w:p w14:paraId="2D88873F" w14:textId="77777777" w:rsidR="009F78DF" w:rsidRPr="009F78DF" w:rsidRDefault="009F78DF" w:rsidP="009F78DF">
            <w:pPr>
              <w:rPr>
                <w:lang w:val="en-GB"/>
              </w:rPr>
            </w:pPr>
            <w:r w:rsidRPr="009F78DF">
              <w:rPr>
                <w:lang w:val="en-GB"/>
              </w:rPr>
              <w:t>23.7</w:t>
            </w:r>
          </w:p>
        </w:tc>
        <w:tc>
          <w:tcPr>
            <w:tcW w:w="0" w:type="auto"/>
            <w:hideMark/>
          </w:tcPr>
          <w:p w14:paraId="69B94E75" w14:textId="77777777" w:rsidR="009F78DF" w:rsidRPr="009F78DF" w:rsidRDefault="009F78DF" w:rsidP="007270FB">
            <w:pPr>
              <w:jc w:val="left"/>
              <w:rPr>
                <w:lang w:val="en-GB"/>
              </w:rPr>
            </w:pPr>
            <w:r w:rsidRPr="009F78DF">
              <w:rPr>
                <w:lang w:val="en-GB"/>
              </w:rPr>
              <w:t>Kailahun performs well; Kenema performs poorly</w:t>
            </w:r>
          </w:p>
        </w:tc>
      </w:tr>
      <w:tr w:rsidR="009F78DF" w:rsidRPr="009F78DF" w14:paraId="6F1F695C" w14:textId="77777777" w:rsidTr="007270FB">
        <w:tc>
          <w:tcPr>
            <w:tcW w:w="0" w:type="auto"/>
            <w:hideMark/>
          </w:tcPr>
          <w:p w14:paraId="7BBB0E84" w14:textId="77777777" w:rsidR="009F78DF" w:rsidRPr="009F78DF" w:rsidRDefault="009F78DF" w:rsidP="007270FB">
            <w:pPr>
              <w:jc w:val="left"/>
              <w:rPr>
                <w:b/>
                <w:bCs/>
                <w:lang w:val="en-GB"/>
              </w:rPr>
            </w:pPr>
            <w:r w:rsidRPr="009F78DF">
              <w:rPr>
                <w:b/>
                <w:bCs/>
                <w:lang w:val="en-GB"/>
              </w:rPr>
              <w:t>Households with DDS* ≤5 food groups (%)</w:t>
            </w:r>
          </w:p>
        </w:tc>
        <w:tc>
          <w:tcPr>
            <w:tcW w:w="0" w:type="auto"/>
            <w:hideMark/>
          </w:tcPr>
          <w:p w14:paraId="5228D490" w14:textId="77777777" w:rsidR="009F78DF" w:rsidRPr="009F78DF" w:rsidRDefault="009F78DF" w:rsidP="009F78DF">
            <w:pPr>
              <w:rPr>
                <w:lang w:val="en-GB"/>
              </w:rPr>
            </w:pPr>
            <w:r w:rsidRPr="009F78DF">
              <w:rPr>
                <w:lang w:val="en-GB"/>
              </w:rPr>
              <w:t>54</w:t>
            </w:r>
          </w:p>
        </w:tc>
        <w:tc>
          <w:tcPr>
            <w:tcW w:w="0" w:type="auto"/>
            <w:hideMark/>
          </w:tcPr>
          <w:p w14:paraId="036F86D6" w14:textId="77777777" w:rsidR="009F78DF" w:rsidRPr="009F78DF" w:rsidRDefault="009F78DF" w:rsidP="009F78DF">
            <w:pPr>
              <w:rPr>
                <w:lang w:val="en-GB"/>
              </w:rPr>
            </w:pPr>
            <w:r w:rsidRPr="009F78DF">
              <w:rPr>
                <w:lang w:val="en-GB"/>
              </w:rPr>
              <w:t>51</w:t>
            </w:r>
          </w:p>
        </w:tc>
        <w:tc>
          <w:tcPr>
            <w:tcW w:w="0" w:type="auto"/>
            <w:hideMark/>
          </w:tcPr>
          <w:p w14:paraId="68947025" w14:textId="77777777" w:rsidR="009F78DF" w:rsidRPr="009F78DF" w:rsidRDefault="009F78DF" w:rsidP="009F78DF">
            <w:pPr>
              <w:rPr>
                <w:lang w:val="en-GB"/>
              </w:rPr>
            </w:pPr>
            <w:r w:rsidRPr="009F78DF">
              <w:rPr>
                <w:lang w:val="en-GB"/>
              </w:rPr>
              <w:t>58</w:t>
            </w:r>
          </w:p>
        </w:tc>
        <w:tc>
          <w:tcPr>
            <w:tcW w:w="0" w:type="auto"/>
            <w:hideMark/>
          </w:tcPr>
          <w:p w14:paraId="219F2252" w14:textId="77777777" w:rsidR="009F78DF" w:rsidRPr="009F78DF" w:rsidRDefault="009F78DF" w:rsidP="009F78DF">
            <w:pPr>
              <w:rPr>
                <w:lang w:val="en-GB"/>
              </w:rPr>
            </w:pPr>
            <w:r w:rsidRPr="009F78DF">
              <w:rPr>
                <w:lang w:val="en-GB"/>
              </w:rPr>
              <w:t>54.3</w:t>
            </w:r>
          </w:p>
        </w:tc>
        <w:tc>
          <w:tcPr>
            <w:tcW w:w="0" w:type="auto"/>
            <w:hideMark/>
          </w:tcPr>
          <w:p w14:paraId="70F46653" w14:textId="77777777" w:rsidR="009F78DF" w:rsidRPr="009F78DF" w:rsidRDefault="009F78DF" w:rsidP="009F78DF">
            <w:pPr>
              <w:rPr>
                <w:lang w:val="en-GB"/>
              </w:rPr>
            </w:pPr>
            <w:r w:rsidRPr="009F78DF">
              <w:rPr>
                <w:lang w:val="en-GB"/>
              </w:rPr>
              <w:t>62.9</w:t>
            </w:r>
          </w:p>
        </w:tc>
        <w:tc>
          <w:tcPr>
            <w:tcW w:w="0" w:type="auto"/>
            <w:hideMark/>
          </w:tcPr>
          <w:p w14:paraId="6B066361" w14:textId="77777777" w:rsidR="009F78DF" w:rsidRPr="009F78DF" w:rsidRDefault="009F78DF" w:rsidP="007270FB">
            <w:pPr>
              <w:jc w:val="left"/>
              <w:rPr>
                <w:lang w:val="en-GB"/>
              </w:rPr>
            </w:pPr>
            <w:r w:rsidRPr="009F78DF">
              <w:rPr>
                <w:lang w:val="en-GB"/>
              </w:rPr>
              <w:t>Cocoa districts appear better than the rest on dietary diversity</w:t>
            </w:r>
          </w:p>
        </w:tc>
      </w:tr>
      <w:tr w:rsidR="009F78DF" w:rsidRPr="009F78DF" w14:paraId="31E2D6D7" w14:textId="77777777" w:rsidTr="007270FB">
        <w:tc>
          <w:tcPr>
            <w:tcW w:w="0" w:type="auto"/>
            <w:hideMark/>
          </w:tcPr>
          <w:p w14:paraId="2319E8A2" w14:textId="77777777" w:rsidR="009F78DF" w:rsidRPr="009F78DF" w:rsidRDefault="009F78DF" w:rsidP="007270FB">
            <w:pPr>
              <w:jc w:val="left"/>
              <w:rPr>
                <w:b/>
                <w:bCs/>
                <w:lang w:val="en-GB"/>
              </w:rPr>
            </w:pPr>
            <w:r w:rsidRPr="009F78DF">
              <w:rPr>
                <w:b/>
                <w:bCs/>
                <w:lang w:val="en-GB"/>
              </w:rPr>
              <w:t>Mean reduced Coping Strategies Index (</w:t>
            </w:r>
            <w:proofErr w:type="spellStart"/>
            <w:r w:rsidRPr="009F78DF">
              <w:rPr>
                <w:b/>
                <w:bCs/>
                <w:lang w:val="en-GB"/>
              </w:rPr>
              <w:t>rCSI</w:t>
            </w:r>
            <w:proofErr w:type="spellEnd"/>
            <w:r w:rsidRPr="009F78DF">
              <w:rPr>
                <w:b/>
                <w:bCs/>
                <w:lang w:val="en-GB"/>
              </w:rPr>
              <w:t>)</w:t>
            </w:r>
          </w:p>
        </w:tc>
        <w:tc>
          <w:tcPr>
            <w:tcW w:w="0" w:type="auto"/>
            <w:hideMark/>
          </w:tcPr>
          <w:p w14:paraId="33FE4C38" w14:textId="77777777" w:rsidR="009F78DF" w:rsidRPr="009F78DF" w:rsidRDefault="009F78DF" w:rsidP="009F78DF">
            <w:pPr>
              <w:rPr>
                <w:lang w:val="en-GB"/>
              </w:rPr>
            </w:pPr>
            <w:r w:rsidRPr="009F78DF">
              <w:rPr>
                <w:lang w:val="en-GB"/>
              </w:rPr>
              <w:t>5.9</w:t>
            </w:r>
          </w:p>
        </w:tc>
        <w:tc>
          <w:tcPr>
            <w:tcW w:w="0" w:type="auto"/>
            <w:hideMark/>
          </w:tcPr>
          <w:p w14:paraId="3DBED11E" w14:textId="77777777" w:rsidR="009F78DF" w:rsidRPr="009F78DF" w:rsidRDefault="009F78DF" w:rsidP="009F78DF">
            <w:pPr>
              <w:rPr>
                <w:lang w:val="en-GB"/>
              </w:rPr>
            </w:pPr>
            <w:r w:rsidRPr="009F78DF">
              <w:rPr>
                <w:lang w:val="en-GB"/>
              </w:rPr>
              <w:t>8.9</w:t>
            </w:r>
          </w:p>
        </w:tc>
        <w:tc>
          <w:tcPr>
            <w:tcW w:w="0" w:type="auto"/>
            <w:hideMark/>
          </w:tcPr>
          <w:p w14:paraId="5C693E65" w14:textId="77777777" w:rsidR="009F78DF" w:rsidRPr="009F78DF" w:rsidRDefault="009F78DF" w:rsidP="009F78DF">
            <w:pPr>
              <w:rPr>
                <w:lang w:val="en-GB"/>
              </w:rPr>
            </w:pPr>
            <w:r w:rsidRPr="009F78DF">
              <w:rPr>
                <w:lang w:val="en-GB"/>
              </w:rPr>
              <w:t>5.4</w:t>
            </w:r>
          </w:p>
        </w:tc>
        <w:tc>
          <w:tcPr>
            <w:tcW w:w="0" w:type="auto"/>
            <w:hideMark/>
          </w:tcPr>
          <w:p w14:paraId="4C8B8201" w14:textId="77777777" w:rsidR="009F78DF" w:rsidRPr="009F78DF" w:rsidRDefault="009F78DF" w:rsidP="009F78DF">
            <w:pPr>
              <w:rPr>
                <w:lang w:val="en-GB"/>
              </w:rPr>
            </w:pPr>
            <w:r w:rsidRPr="009F78DF">
              <w:rPr>
                <w:lang w:val="en-GB"/>
              </w:rPr>
              <w:t>6.7</w:t>
            </w:r>
          </w:p>
        </w:tc>
        <w:tc>
          <w:tcPr>
            <w:tcW w:w="0" w:type="auto"/>
            <w:hideMark/>
          </w:tcPr>
          <w:p w14:paraId="1F074DFC" w14:textId="77777777" w:rsidR="009F78DF" w:rsidRPr="009F78DF" w:rsidRDefault="009F78DF" w:rsidP="009F78DF">
            <w:pPr>
              <w:rPr>
                <w:lang w:val="en-GB"/>
              </w:rPr>
            </w:pPr>
            <w:r w:rsidRPr="009F78DF">
              <w:rPr>
                <w:lang w:val="en-GB"/>
              </w:rPr>
              <w:t>10.0</w:t>
            </w:r>
          </w:p>
        </w:tc>
        <w:tc>
          <w:tcPr>
            <w:tcW w:w="0" w:type="auto"/>
            <w:hideMark/>
          </w:tcPr>
          <w:p w14:paraId="76478C6B" w14:textId="77777777" w:rsidR="009F78DF" w:rsidRPr="009F78DF" w:rsidRDefault="009F78DF" w:rsidP="007270FB">
            <w:pPr>
              <w:jc w:val="left"/>
              <w:rPr>
                <w:lang w:val="en-GB"/>
              </w:rPr>
            </w:pPr>
            <w:r w:rsidRPr="009F78DF">
              <w:rPr>
                <w:lang w:val="en-GB"/>
              </w:rPr>
              <w:t>Cocoa districts use fewer short-term food coping strategies than non-cocoa districts</w:t>
            </w:r>
          </w:p>
        </w:tc>
      </w:tr>
      <w:tr w:rsidR="009F78DF" w:rsidRPr="009F78DF" w14:paraId="6C60B3F2" w14:textId="77777777" w:rsidTr="007270FB">
        <w:tc>
          <w:tcPr>
            <w:tcW w:w="0" w:type="auto"/>
            <w:hideMark/>
          </w:tcPr>
          <w:p w14:paraId="6658B438" w14:textId="77777777" w:rsidR="009F78DF" w:rsidRPr="009F78DF" w:rsidRDefault="009F78DF" w:rsidP="007270FB">
            <w:pPr>
              <w:jc w:val="left"/>
              <w:rPr>
                <w:b/>
                <w:bCs/>
                <w:lang w:val="en-GB"/>
              </w:rPr>
            </w:pPr>
            <w:r w:rsidRPr="009F78DF">
              <w:rPr>
                <w:b/>
                <w:bCs/>
                <w:lang w:val="en-GB"/>
              </w:rPr>
              <w:t>Emergency livelihood coping (%)</w:t>
            </w:r>
          </w:p>
        </w:tc>
        <w:tc>
          <w:tcPr>
            <w:tcW w:w="0" w:type="auto"/>
            <w:hideMark/>
          </w:tcPr>
          <w:p w14:paraId="7406B86F" w14:textId="77777777" w:rsidR="009F78DF" w:rsidRPr="009F78DF" w:rsidRDefault="009F78DF" w:rsidP="009F78DF">
            <w:pPr>
              <w:rPr>
                <w:lang w:val="en-GB"/>
              </w:rPr>
            </w:pPr>
            <w:r w:rsidRPr="009F78DF">
              <w:rPr>
                <w:lang w:val="en-GB"/>
              </w:rPr>
              <w:t>28</w:t>
            </w:r>
          </w:p>
        </w:tc>
        <w:tc>
          <w:tcPr>
            <w:tcW w:w="0" w:type="auto"/>
            <w:hideMark/>
          </w:tcPr>
          <w:p w14:paraId="40DE7056" w14:textId="77777777" w:rsidR="009F78DF" w:rsidRPr="009F78DF" w:rsidRDefault="009F78DF" w:rsidP="009F78DF">
            <w:pPr>
              <w:rPr>
                <w:lang w:val="en-GB"/>
              </w:rPr>
            </w:pPr>
            <w:r w:rsidRPr="009F78DF">
              <w:rPr>
                <w:lang w:val="en-GB"/>
              </w:rPr>
              <w:t>n/a</w:t>
            </w:r>
          </w:p>
        </w:tc>
        <w:tc>
          <w:tcPr>
            <w:tcW w:w="0" w:type="auto"/>
            <w:hideMark/>
          </w:tcPr>
          <w:p w14:paraId="30887061" w14:textId="77777777" w:rsidR="009F78DF" w:rsidRPr="009F78DF" w:rsidRDefault="009F78DF" w:rsidP="009F78DF">
            <w:pPr>
              <w:rPr>
                <w:lang w:val="en-GB"/>
              </w:rPr>
            </w:pPr>
            <w:r w:rsidRPr="009F78DF">
              <w:rPr>
                <w:lang w:val="en-GB"/>
              </w:rPr>
              <w:t>n/a</w:t>
            </w:r>
          </w:p>
        </w:tc>
        <w:tc>
          <w:tcPr>
            <w:tcW w:w="0" w:type="auto"/>
            <w:hideMark/>
          </w:tcPr>
          <w:p w14:paraId="7D4C0A9B" w14:textId="77777777" w:rsidR="009F78DF" w:rsidRPr="009F78DF" w:rsidRDefault="009F78DF" w:rsidP="009F78DF">
            <w:pPr>
              <w:rPr>
                <w:lang w:val="en-GB"/>
              </w:rPr>
            </w:pPr>
            <w:r w:rsidRPr="009F78DF">
              <w:rPr>
                <w:lang w:val="en-GB"/>
              </w:rPr>
              <w:t>n/a</w:t>
            </w:r>
          </w:p>
        </w:tc>
        <w:tc>
          <w:tcPr>
            <w:tcW w:w="0" w:type="auto"/>
            <w:hideMark/>
          </w:tcPr>
          <w:p w14:paraId="693FE68D" w14:textId="77777777" w:rsidR="009F78DF" w:rsidRPr="009F78DF" w:rsidRDefault="009F78DF" w:rsidP="009F78DF">
            <w:pPr>
              <w:rPr>
                <w:lang w:val="en-GB"/>
              </w:rPr>
            </w:pPr>
            <w:r w:rsidRPr="009F78DF">
              <w:rPr>
                <w:lang w:val="en-GB"/>
              </w:rPr>
              <w:t>n/a</w:t>
            </w:r>
          </w:p>
        </w:tc>
        <w:tc>
          <w:tcPr>
            <w:tcW w:w="0" w:type="auto"/>
            <w:hideMark/>
          </w:tcPr>
          <w:p w14:paraId="537C8E02" w14:textId="77777777" w:rsidR="009F78DF" w:rsidRPr="009F78DF" w:rsidRDefault="009F78DF" w:rsidP="007270FB">
            <w:pPr>
              <w:jc w:val="left"/>
              <w:rPr>
                <w:lang w:val="en-GB"/>
              </w:rPr>
            </w:pPr>
            <w:r w:rsidRPr="009F78DF">
              <w:rPr>
                <w:lang w:val="en-GB"/>
              </w:rPr>
              <w:t>Kenema is among the worst districts for emergency livelihood coping</w:t>
            </w:r>
          </w:p>
        </w:tc>
      </w:tr>
    </w:tbl>
    <w:p w14:paraId="2C3468DC" w14:textId="77777777" w:rsidR="00B26CCA" w:rsidRPr="007270FB" w:rsidRDefault="00B26CCA" w:rsidP="00F81E06">
      <w:pPr>
        <w:rPr>
          <w:lang w:val="cs-CZ"/>
        </w:rPr>
      </w:pPr>
    </w:p>
    <w:p w14:paraId="0B17175F" w14:textId="4FEC02CE" w:rsidR="00F907B8" w:rsidRPr="007270FB" w:rsidRDefault="009E2F5B" w:rsidP="00F907B8">
      <w:pPr>
        <w:pStyle w:val="Caption"/>
        <w:rPr>
          <w:sz w:val="22"/>
        </w:rPr>
      </w:pPr>
      <w:r w:rsidRPr="007270FB">
        <w:rPr>
          <w:sz w:val="22"/>
          <w:szCs w:val="22"/>
        </w:rPr>
        <w:t>Table</w:t>
      </w:r>
      <w:r w:rsidR="003B1861">
        <w:rPr>
          <w:sz w:val="22"/>
          <w:szCs w:val="22"/>
        </w:rPr>
        <w:t xml:space="preserve"> A2.</w:t>
      </w:r>
      <w:r w:rsidRPr="007270FB">
        <w:rPr>
          <w:sz w:val="22"/>
          <w:szCs w:val="22"/>
        </w:rPr>
        <w:t xml:space="preserve"> </w:t>
      </w:r>
      <w:r w:rsidR="00660600" w:rsidRPr="00F907B8">
        <w:rPr>
          <w:sz w:val="22"/>
          <w:szCs w:val="22"/>
        </w:rPr>
        <w:t xml:space="preserve"> </w:t>
      </w:r>
      <w:r w:rsidR="00F907B8" w:rsidRPr="007270FB">
        <w:rPr>
          <w:sz w:val="22"/>
        </w:rPr>
        <w:t>Comparative Social Analysis of Cocoa Value Chains in Sierra Leone and Liberia</w:t>
      </w:r>
    </w:p>
    <w:p w14:paraId="157A4994" w14:textId="0FE85E9F" w:rsidR="009E2F5B" w:rsidRDefault="009E2F5B" w:rsidP="00660600">
      <w:pPr>
        <w:pStyle w:val="Caption"/>
        <w:rPr>
          <w:sz w:val="22"/>
          <w:szCs w:val="22"/>
        </w:rPr>
      </w:pPr>
    </w:p>
    <w:p w14:paraId="748DE872" w14:textId="77777777" w:rsidR="00636943" w:rsidRDefault="00636943" w:rsidP="00636943">
      <w:pPr>
        <w:rPr>
          <w:lang w:bidi="hi-IN"/>
        </w:rPr>
      </w:pPr>
    </w:p>
    <w:tbl>
      <w:tblPr>
        <w:tblStyle w:val="TableGrid"/>
        <w:tblW w:w="5000" w:type="pct"/>
        <w:tblLook w:val="04A0" w:firstRow="1" w:lastRow="0" w:firstColumn="1" w:lastColumn="0" w:noHBand="0" w:noVBand="1"/>
      </w:tblPr>
      <w:tblGrid>
        <w:gridCol w:w="1218"/>
        <w:gridCol w:w="2082"/>
        <w:gridCol w:w="1804"/>
        <w:gridCol w:w="1886"/>
        <w:gridCol w:w="2036"/>
      </w:tblGrid>
      <w:tr w:rsidR="00F907B8" w:rsidRPr="00636943" w14:paraId="7FAFD5AA" w14:textId="77777777" w:rsidTr="007270FB">
        <w:trPr>
          <w:cnfStyle w:val="100000000000" w:firstRow="1" w:lastRow="0" w:firstColumn="0" w:lastColumn="0" w:oddVBand="0" w:evenVBand="0" w:oddHBand="0" w:evenHBand="0" w:firstRowFirstColumn="0" w:firstRowLastColumn="0" w:lastRowFirstColumn="0" w:lastRowLastColumn="0"/>
        </w:trPr>
        <w:tc>
          <w:tcPr>
            <w:tcW w:w="674" w:type="pct"/>
            <w:hideMark/>
          </w:tcPr>
          <w:p w14:paraId="4D86AA94" w14:textId="77777777" w:rsidR="00F907B8" w:rsidRPr="00636943" w:rsidRDefault="00F907B8" w:rsidP="00636943">
            <w:pPr>
              <w:rPr>
                <w:bCs/>
                <w:lang w:val="en-GB" w:bidi="hi-IN"/>
              </w:rPr>
            </w:pPr>
            <w:r w:rsidRPr="00636943">
              <w:rPr>
                <w:bCs/>
                <w:lang w:val="en-GB" w:bidi="hi-IN"/>
              </w:rPr>
              <w:t>Social dimension</w:t>
            </w:r>
          </w:p>
        </w:tc>
        <w:tc>
          <w:tcPr>
            <w:tcW w:w="1153" w:type="pct"/>
            <w:hideMark/>
          </w:tcPr>
          <w:p w14:paraId="4C867590" w14:textId="77777777" w:rsidR="00F907B8" w:rsidRPr="00636943" w:rsidRDefault="00F907B8" w:rsidP="00636943">
            <w:pPr>
              <w:rPr>
                <w:bCs/>
                <w:lang w:val="en-GB" w:bidi="hi-IN"/>
              </w:rPr>
            </w:pPr>
            <w:r w:rsidRPr="00636943">
              <w:rPr>
                <w:bCs/>
                <w:lang w:val="en-GB" w:bidi="hi-IN"/>
              </w:rPr>
              <w:t>Common characteristics across Sierra Leone and Liberia CVCs</w:t>
            </w:r>
          </w:p>
        </w:tc>
        <w:tc>
          <w:tcPr>
            <w:tcW w:w="999" w:type="pct"/>
            <w:hideMark/>
          </w:tcPr>
          <w:p w14:paraId="5D58F764" w14:textId="77777777" w:rsidR="00F907B8" w:rsidRPr="00636943" w:rsidRDefault="00F907B8" w:rsidP="00636943">
            <w:pPr>
              <w:rPr>
                <w:bCs/>
                <w:lang w:val="en-GB" w:bidi="hi-IN"/>
              </w:rPr>
            </w:pPr>
            <w:r w:rsidRPr="00636943">
              <w:rPr>
                <w:bCs/>
                <w:lang w:val="en-GB" w:bidi="hi-IN"/>
              </w:rPr>
              <w:t xml:space="preserve">Sierra Leone CVC </w:t>
            </w:r>
          </w:p>
        </w:tc>
        <w:tc>
          <w:tcPr>
            <w:tcW w:w="1045" w:type="pct"/>
            <w:hideMark/>
          </w:tcPr>
          <w:p w14:paraId="3917AE9D" w14:textId="77777777" w:rsidR="00F907B8" w:rsidRPr="00636943" w:rsidRDefault="00F907B8" w:rsidP="00636943">
            <w:pPr>
              <w:rPr>
                <w:bCs/>
                <w:lang w:val="en-GB" w:bidi="hi-IN"/>
              </w:rPr>
            </w:pPr>
            <w:r w:rsidRPr="00636943">
              <w:rPr>
                <w:bCs/>
                <w:lang w:val="en-GB" w:bidi="hi-IN"/>
              </w:rPr>
              <w:t xml:space="preserve">Liberia CVC </w:t>
            </w:r>
          </w:p>
        </w:tc>
        <w:tc>
          <w:tcPr>
            <w:tcW w:w="1128" w:type="pct"/>
            <w:hideMark/>
          </w:tcPr>
          <w:p w14:paraId="5C929D77" w14:textId="77777777" w:rsidR="00F907B8" w:rsidRPr="00636943" w:rsidRDefault="00F907B8" w:rsidP="00636943">
            <w:pPr>
              <w:rPr>
                <w:bCs/>
                <w:lang w:val="en-GB" w:bidi="hi-IN"/>
              </w:rPr>
            </w:pPr>
            <w:r w:rsidRPr="00636943">
              <w:rPr>
                <w:bCs/>
                <w:lang w:val="en-GB" w:bidi="hi-IN"/>
              </w:rPr>
              <w:t>Policy reading</w:t>
            </w:r>
          </w:p>
        </w:tc>
      </w:tr>
      <w:tr w:rsidR="00F907B8" w:rsidRPr="00636943" w14:paraId="11C3A829" w14:textId="77777777" w:rsidTr="007270FB">
        <w:tc>
          <w:tcPr>
            <w:tcW w:w="674" w:type="pct"/>
            <w:hideMark/>
          </w:tcPr>
          <w:p w14:paraId="17A4C921" w14:textId="77777777" w:rsidR="00F907B8" w:rsidRPr="00636943" w:rsidRDefault="00F907B8" w:rsidP="00636943">
            <w:pPr>
              <w:rPr>
                <w:lang w:val="en-GB" w:bidi="hi-IN"/>
              </w:rPr>
            </w:pPr>
            <w:r w:rsidRPr="00636943">
              <w:rPr>
                <w:b/>
                <w:bCs/>
                <w:lang w:val="en-GB" w:bidi="hi-IN"/>
              </w:rPr>
              <w:t>Working conditions</w:t>
            </w:r>
          </w:p>
        </w:tc>
        <w:tc>
          <w:tcPr>
            <w:tcW w:w="1153" w:type="pct"/>
            <w:hideMark/>
          </w:tcPr>
          <w:p w14:paraId="420283EA" w14:textId="77777777" w:rsidR="00F907B8" w:rsidRPr="00636943" w:rsidRDefault="00F907B8" w:rsidP="007270FB">
            <w:pPr>
              <w:jc w:val="left"/>
              <w:rPr>
                <w:lang w:val="en-GB" w:bidi="hi-IN"/>
              </w:rPr>
            </w:pPr>
            <w:r w:rsidRPr="00636943">
              <w:rPr>
                <w:lang w:val="en-GB" w:bidi="hi-IN"/>
              </w:rPr>
              <w:t xml:space="preserve">Both CVCs are smallholder-based, highly informal, dependent on family and casual labour, and difficult to regulate at the farm level </w:t>
            </w:r>
          </w:p>
        </w:tc>
        <w:tc>
          <w:tcPr>
            <w:tcW w:w="999" w:type="pct"/>
            <w:hideMark/>
          </w:tcPr>
          <w:p w14:paraId="758B8C09" w14:textId="77777777" w:rsidR="00F907B8" w:rsidRPr="00636943" w:rsidRDefault="00F907B8" w:rsidP="007270FB">
            <w:pPr>
              <w:jc w:val="left"/>
              <w:rPr>
                <w:lang w:val="en-GB" w:bidi="hi-IN"/>
              </w:rPr>
            </w:pPr>
            <w:r w:rsidRPr="00636943">
              <w:rPr>
                <w:lang w:val="en-GB" w:bidi="hi-IN"/>
              </w:rPr>
              <w:t xml:space="preserve">Stronger links to formal exporters, certification and cooperatives, but farm-level labour remains </w:t>
            </w:r>
            <w:proofErr w:type="gramStart"/>
            <w:r w:rsidRPr="00636943">
              <w:rPr>
                <w:lang w:val="en-GB" w:bidi="hi-IN"/>
              </w:rPr>
              <w:t>informal</w:t>
            </w:r>
            <w:proofErr w:type="gramEnd"/>
            <w:r w:rsidRPr="00636943">
              <w:rPr>
                <w:lang w:val="en-GB" w:bidi="hi-IN"/>
              </w:rPr>
              <w:t xml:space="preserve"> and safety risks persist </w:t>
            </w:r>
          </w:p>
        </w:tc>
        <w:tc>
          <w:tcPr>
            <w:tcW w:w="1045" w:type="pct"/>
            <w:hideMark/>
          </w:tcPr>
          <w:p w14:paraId="058821EB" w14:textId="77777777" w:rsidR="00F907B8" w:rsidRPr="00636943" w:rsidRDefault="00F907B8" w:rsidP="007270FB">
            <w:pPr>
              <w:jc w:val="left"/>
              <w:rPr>
                <w:lang w:val="en-GB" w:bidi="hi-IN"/>
              </w:rPr>
            </w:pPr>
            <w:r w:rsidRPr="00636943">
              <w:rPr>
                <w:lang w:val="en-GB" w:bidi="hi-IN"/>
              </w:rPr>
              <w:t xml:space="preserve">Labour is mostly unpaid family labour or informal paid labour; enforcement of labour law is almost impossible at the smallholder level </w:t>
            </w:r>
          </w:p>
        </w:tc>
        <w:tc>
          <w:tcPr>
            <w:tcW w:w="1128" w:type="pct"/>
            <w:hideMark/>
          </w:tcPr>
          <w:p w14:paraId="5289F688" w14:textId="77777777" w:rsidR="00F907B8" w:rsidRPr="00636943" w:rsidRDefault="00F907B8" w:rsidP="007270FB">
            <w:pPr>
              <w:jc w:val="left"/>
              <w:rPr>
                <w:lang w:val="en-GB" w:bidi="hi-IN"/>
              </w:rPr>
            </w:pPr>
            <w:r w:rsidRPr="00636943">
              <w:rPr>
                <w:lang w:val="en-GB" w:bidi="hi-IN"/>
              </w:rPr>
              <w:t>Use cooperatives, certification systems and buyer requirements for labour monitoring, occupational safety, and child labour risk identification</w:t>
            </w:r>
          </w:p>
        </w:tc>
      </w:tr>
      <w:tr w:rsidR="00F907B8" w:rsidRPr="00636943" w14:paraId="3E41EC79" w14:textId="77777777" w:rsidTr="007270FB">
        <w:tc>
          <w:tcPr>
            <w:tcW w:w="674" w:type="pct"/>
            <w:hideMark/>
          </w:tcPr>
          <w:p w14:paraId="1A16DDD3" w14:textId="77777777" w:rsidR="00F907B8" w:rsidRPr="00636943" w:rsidRDefault="00F907B8" w:rsidP="00636943">
            <w:pPr>
              <w:rPr>
                <w:lang w:val="en-GB" w:bidi="hi-IN"/>
              </w:rPr>
            </w:pPr>
            <w:r w:rsidRPr="00636943">
              <w:rPr>
                <w:b/>
                <w:bCs/>
                <w:lang w:val="en-GB" w:bidi="hi-IN"/>
              </w:rPr>
              <w:t>Land and water rights</w:t>
            </w:r>
          </w:p>
        </w:tc>
        <w:tc>
          <w:tcPr>
            <w:tcW w:w="1153" w:type="pct"/>
            <w:hideMark/>
          </w:tcPr>
          <w:p w14:paraId="51F7CA2E" w14:textId="77777777" w:rsidR="00F907B8" w:rsidRPr="00636943" w:rsidRDefault="00F907B8" w:rsidP="007270FB">
            <w:pPr>
              <w:jc w:val="left"/>
              <w:rPr>
                <w:lang w:val="en-GB" w:bidi="hi-IN"/>
              </w:rPr>
            </w:pPr>
            <w:r w:rsidRPr="00636943">
              <w:rPr>
                <w:lang w:val="en-GB" w:bidi="hi-IN"/>
              </w:rPr>
              <w:t xml:space="preserve">Both countries combine progressive or evolving legal frameworks with customary land systems, weak implementation, and </w:t>
            </w:r>
            <w:r w:rsidRPr="00636943">
              <w:rPr>
                <w:lang w:val="en-GB" w:bidi="hi-IN"/>
              </w:rPr>
              <w:lastRenderedPageBreak/>
              <w:t xml:space="preserve">gendered access to land </w:t>
            </w:r>
          </w:p>
        </w:tc>
        <w:tc>
          <w:tcPr>
            <w:tcW w:w="999" w:type="pct"/>
            <w:hideMark/>
          </w:tcPr>
          <w:p w14:paraId="2A142EA3" w14:textId="77777777" w:rsidR="00F907B8" w:rsidRPr="00636943" w:rsidRDefault="00F907B8" w:rsidP="007270FB">
            <w:pPr>
              <w:jc w:val="left"/>
              <w:rPr>
                <w:lang w:val="en-GB" w:bidi="hi-IN"/>
              </w:rPr>
            </w:pPr>
            <w:r w:rsidRPr="00636943">
              <w:rPr>
                <w:lang w:val="en-GB" w:bidi="hi-IN"/>
              </w:rPr>
              <w:lastRenderedPageBreak/>
              <w:t xml:space="preserve">Tenure is perceived as locally secure, but land is weakly documented, women’s land control is limited, and grievance </w:t>
            </w:r>
            <w:r w:rsidRPr="00636943">
              <w:rPr>
                <w:lang w:val="en-GB" w:bidi="hi-IN"/>
              </w:rPr>
              <w:lastRenderedPageBreak/>
              <w:t xml:space="preserve">systems remain informal </w:t>
            </w:r>
          </w:p>
        </w:tc>
        <w:tc>
          <w:tcPr>
            <w:tcW w:w="1045" w:type="pct"/>
            <w:hideMark/>
          </w:tcPr>
          <w:p w14:paraId="634DFA94" w14:textId="77777777" w:rsidR="00F907B8" w:rsidRPr="00636943" w:rsidRDefault="00F907B8" w:rsidP="007270FB">
            <w:pPr>
              <w:jc w:val="left"/>
              <w:rPr>
                <w:lang w:val="en-GB" w:bidi="hi-IN"/>
              </w:rPr>
            </w:pPr>
            <w:r w:rsidRPr="00636943">
              <w:rPr>
                <w:lang w:val="en-GB" w:bidi="hi-IN"/>
              </w:rPr>
              <w:lastRenderedPageBreak/>
              <w:t xml:space="preserve">Progressive Land Rights Act, but land registration is slow, costly and dependent on external support; corruption and </w:t>
            </w:r>
            <w:r w:rsidRPr="00636943">
              <w:rPr>
                <w:lang w:val="en-GB" w:bidi="hi-IN"/>
              </w:rPr>
              <w:lastRenderedPageBreak/>
              <w:t>overlapping titles remain risks</w:t>
            </w:r>
          </w:p>
        </w:tc>
        <w:tc>
          <w:tcPr>
            <w:tcW w:w="1128" w:type="pct"/>
            <w:hideMark/>
          </w:tcPr>
          <w:p w14:paraId="4192F807" w14:textId="77777777" w:rsidR="00F907B8" w:rsidRPr="00636943" w:rsidRDefault="00F907B8" w:rsidP="007270FB">
            <w:pPr>
              <w:jc w:val="left"/>
              <w:rPr>
                <w:lang w:val="en-GB" w:bidi="hi-IN"/>
              </w:rPr>
            </w:pPr>
            <w:r w:rsidRPr="00636943">
              <w:rPr>
                <w:lang w:val="en-GB" w:bidi="hi-IN"/>
              </w:rPr>
              <w:lastRenderedPageBreak/>
              <w:t xml:space="preserve">Invest in participatory land mapping, women’s land-rights implementation, transparent compensation and </w:t>
            </w:r>
            <w:r w:rsidRPr="00636943">
              <w:rPr>
                <w:lang w:val="en-GB" w:bidi="hi-IN"/>
              </w:rPr>
              <w:lastRenderedPageBreak/>
              <w:t>accessible grievance mechanisms</w:t>
            </w:r>
          </w:p>
        </w:tc>
      </w:tr>
      <w:tr w:rsidR="00F907B8" w:rsidRPr="00636943" w14:paraId="16C1C6D1" w14:textId="77777777" w:rsidTr="007270FB">
        <w:tc>
          <w:tcPr>
            <w:tcW w:w="674" w:type="pct"/>
            <w:hideMark/>
          </w:tcPr>
          <w:p w14:paraId="0219C630" w14:textId="77777777" w:rsidR="00F907B8" w:rsidRPr="00636943" w:rsidRDefault="00F907B8" w:rsidP="00636943">
            <w:pPr>
              <w:rPr>
                <w:lang w:val="en-GB" w:bidi="hi-IN"/>
              </w:rPr>
            </w:pPr>
            <w:r w:rsidRPr="00636943">
              <w:rPr>
                <w:b/>
                <w:bCs/>
                <w:lang w:val="en-GB" w:bidi="hi-IN"/>
              </w:rPr>
              <w:lastRenderedPageBreak/>
              <w:t>Gender equality</w:t>
            </w:r>
          </w:p>
        </w:tc>
        <w:tc>
          <w:tcPr>
            <w:tcW w:w="1153" w:type="pct"/>
            <w:hideMark/>
          </w:tcPr>
          <w:p w14:paraId="4ABAE30E" w14:textId="77777777" w:rsidR="00F907B8" w:rsidRPr="00636943" w:rsidRDefault="00F907B8" w:rsidP="007270FB">
            <w:pPr>
              <w:jc w:val="left"/>
              <w:rPr>
                <w:lang w:val="en-GB" w:bidi="hi-IN"/>
              </w:rPr>
            </w:pPr>
            <w:r w:rsidRPr="00636943">
              <w:rPr>
                <w:lang w:val="en-GB" w:bidi="hi-IN"/>
              </w:rPr>
              <w:t xml:space="preserve">In both CVCs, women contribute to cocoa livelihoods but have weaker control over land, assets, income, services, leadership and decision-making </w:t>
            </w:r>
          </w:p>
        </w:tc>
        <w:tc>
          <w:tcPr>
            <w:tcW w:w="999" w:type="pct"/>
            <w:hideMark/>
          </w:tcPr>
          <w:p w14:paraId="7EA57084" w14:textId="77777777" w:rsidR="00F907B8" w:rsidRPr="00636943" w:rsidRDefault="00F907B8" w:rsidP="007270FB">
            <w:pPr>
              <w:jc w:val="left"/>
              <w:rPr>
                <w:lang w:val="en-GB" w:bidi="hi-IN"/>
              </w:rPr>
            </w:pPr>
            <w:r w:rsidRPr="00636943">
              <w:rPr>
                <w:lang w:val="en-GB" w:bidi="hi-IN"/>
              </w:rPr>
              <w:t xml:space="preserve">Women are highly visible in production but concentrated in labour-intensive and lower-value roles, with limited control over income and leadership </w:t>
            </w:r>
          </w:p>
        </w:tc>
        <w:tc>
          <w:tcPr>
            <w:tcW w:w="1045" w:type="pct"/>
            <w:hideMark/>
          </w:tcPr>
          <w:p w14:paraId="2BDA6F64" w14:textId="77777777" w:rsidR="00F907B8" w:rsidRPr="00636943" w:rsidRDefault="00F907B8" w:rsidP="007270FB">
            <w:pPr>
              <w:jc w:val="left"/>
              <w:rPr>
                <w:lang w:val="en-GB" w:bidi="hi-IN"/>
              </w:rPr>
            </w:pPr>
            <w:r w:rsidRPr="00636943">
              <w:rPr>
                <w:lang w:val="en-GB" w:bidi="hi-IN"/>
              </w:rPr>
              <w:t xml:space="preserve">Women are less visible in the CVC than men; when they farm cocoa, their farms are smaller, and they face constraints in labour, assets, services, groups and literacy </w:t>
            </w:r>
          </w:p>
        </w:tc>
        <w:tc>
          <w:tcPr>
            <w:tcW w:w="1128" w:type="pct"/>
            <w:hideMark/>
          </w:tcPr>
          <w:p w14:paraId="75F0177B" w14:textId="77777777" w:rsidR="00F907B8" w:rsidRPr="00636943" w:rsidRDefault="00F907B8" w:rsidP="007270FB">
            <w:pPr>
              <w:jc w:val="left"/>
              <w:rPr>
                <w:lang w:val="en-GB" w:bidi="hi-IN"/>
              </w:rPr>
            </w:pPr>
            <w:r w:rsidRPr="00636943">
              <w:rPr>
                <w:lang w:val="en-GB" w:bidi="hi-IN"/>
              </w:rPr>
              <w:t>Move beyond women’s participation and target control over income, land, finance, market information, cooperative leadership and workload reduction</w:t>
            </w:r>
          </w:p>
        </w:tc>
      </w:tr>
      <w:tr w:rsidR="00F907B8" w:rsidRPr="00636943" w14:paraId="4249987D" w14:textId="77777777" w:rsidTr="007270FB">
        <w:tc>
          <w:tcPr>
            <w:tcW w:w="674" w:type="pct"/>
            <w:hideMark/>
          </w:tcPr>
          <w:p w14:paraId="22F50097" w14:textId="77777777" w:rsidR="00F907B8" w:rsidRPr="00636943" w:rsidRDefault="00F907B8" w:rsidP="00636943">
            <w:pPr>
              <w:rPr>
                <w:lang w:val="en-GB" w:bidi="hi-IN"/>
              </w:rPr>
            </w:pPr>
            <w:r w:rsidRPr="00636943">
              <w:rPr>
                <w:b/>
                <w:bCs/>
                <w:lang w:val="en-GB" w:bidi="hi-IN"/>
              </w:rPr>
              <w:t>Food and nutrition security</w:t>
            </w:r>
          </w:p>
        </w:tc>
        <w:tc>
          <w:tcPr>
            <w:tcW w:w="1153" w:type="pct"/>
            <w:hideMark/>
          </w:tcPr>
          <w:p w14:paraId="0D1C8081" w14:textId="77777777" w:rsidR="00F907B8" w:rsidRPr="00636943" w:rsidRDefault="00F907B8" w:rsidP="004C3170">
            <w:pPr>
              <w:rPr>
                <w:lang w:val="en-GB" w:bidi="hi-IN"/>
              </w:rPr>
            </w:pPr>
            <w:r w:rsidRPr="00636943">
              <w:rPr>
                <w:lang w:val="en-GB" w:bidi="hi-IN"/>
              </w:rPr>
              <w:t xml:space="preserve">Cocoa income helps households buy food, but food security remains seasonal and vulnerable to prices, market access, credit and weak livelihood diversification </w:t>
            </w:r>
          </w:p>
        </w:tc>
        <w:tc>
          <w:tcPr>
            <w:tcW w:w="999" w:type="pct"/>
            <w:hideMark/>
          </w:tcPr>
          <w:p w14:paraId="197A984D" w14:textId="77777777" w:rsidR="00F907B8" w:rsidRPr="00636943" w:rsidRDefault="00F907B8" w:rsidP="004C3170">
            <w:pPr>
              <w:rPr>
                <w:lang w:val="en-GB" w:bidi="hi-IN"/>
              </w:rPr>
            </w:pPr>
            <w:r w:rsidRPr="00636943">
              <w:rPr>
                <w:lang w:val="en-GB" w:bidi="hi-IN"/>
              </w:rPr>
              <w:t xml:space="preserve">Food insecurity is linked to unstable cocoa income, reliance on loans, low dietary diversity and an average food shortage of about 4.8 months </w:t>
            </w:r>
          </w:p>
        </w:tc>
        <w:tc>
          <w:tcPr>
            <w:tcW w:w="1045" w:type="pct"/>
            <w:hideMark/>
          </w:tcPr>
          <w:p w14:paraId="0F3187BC" w14:textId="77777777" w:rsidR="00F907B8" w:rsidRPr="00636943" w:rsidRDefault="00F907B8" w:rsidP="004C3170">
            <w:pPr>
              <w:rPr>
                <w:lang w:val="en-GB" w:bidi="hi-IN"/>
              </w:rPr>
            </w:pPr>
            <w:r w:rsidRPr="00636943">
              <w:rPr>
                <w:lang w:val="en-GB" w:bidi="hi-IN"/>
              </w:rPr>
              <w:t>Rural households often depend on markets for food; cocoa income can help mitigate food insecurity</w:t>
            </w:r>
          </w:p>
        </w:tc>
        <w:tc>
          <w:tcPr>
            <w:tcW w:w="1128" w:type="pct"/>
            <w:hideMark/>
          </w:tcPr>
          <w:p w14:paraId="7A30EEE4" w14:textId="77777777" w:rsidR="00F907B8" w:rsidRPr="00636943" w:rsidRDefault="00F907B8" w:rsidP="004C3170">
            <w:pPr>
              <w:rPr>
                <w:lang w:val="en-GB" w:bidi="hi-IN"/>
              </w:rPr>
            </w:pPr>
            <w:r w:rsidRPr="00636943">
              <w:rPr>
                <w:lang w:val="en-GB" w:bidi="hi-IN"/>
              </w:rPr>
              <w:t>Monitor cocoa-to-rice terms of trade, seasonal food prices, credit dependence, and food security indicators among cocoa and non-cocoa households</w:t>
            </w:r>
          </w:p>
        </w:tc>
      </w:tr>
      <w:tr w:rsidR="00F907B8" w:rsidRPr="00636943" w14:paraId="6011EA2F" w14:textId="77777777" w:rsidTr="007270FB">
        <w:tc>
          <w:tcPr>
            <w:tcW w:w="674" w:type="pct"/>
            <w:hideMark/>
          </w:tcPr>
          <w:p w14:paraId="1C6BD066" w14:textId="77777777" w:rsidR="00F907B8" w:rsidRPr="00636943" w:rsidRDefault="00F907B8" w:rsidP="00636943">
            <w:pPr>
              <w:rPr>
                <w:lang w:val="en-GB" w:bidi="hi-IN"/>
              </w:rPr>
            </w:pPr>
            <w:r w:rsidRPr="00636943">
              <w:rPr>
                <w:b/>
                <w:bCs/>
                <w:lang w:val="en-GB" w:bidi="hi-IN"/>
              </w:rPr>
              <w:t>Social capital</w:t>
            </w:r>
          </w:p>
        </w:tc>
        <w:tc>
          <w:tcPr>
            <w:tcW w:w="1153" w:type="pct"/>
            <w:hideMark/>
          </w:tcPr>
          <w:p w14:paraId="374E5388" w14:textId="77777777" w:rsidR="00F907B8" w:rsidRPr="00636943" w:rsidRDefault="00F907B8" w:rsidP="004C3170">
            <w:pPr>
              <w:rPr>
                <w:lang w:val="en-GB" w:bidi="hi-IN"/>
              </w:rPr>
            </w:pPr>
            <w:r w:rsidRPr="00636943">
              <w:rPr>
                <w:lang w:val="en-GB" w:bidi="hi-IN"/>
              </w:rPr>
              <w:t xml:space="preserve">Both CVCs have cooperatives or farmer groups, but these often remain weak in market coordination, bargaining power, information flows and autonomous service delivery </w:t>
            </w:r>
          </w:p>
        </w:tc>
        <w:tc>
          <w:tcPr>
            <w:tcW w:w="999" w:type="pct"/>
            <w:hideMark/>
          </w:tcPr>
          <w:p w14:paraId="52E76671" w14:textId="77777777" w:rsidR="00F907B8" w:rsidRPr="00636943" w:rsidRDefault="00F907B8" w:rsidP="004C3170">
            <w:pPr>
              <w:rPr>
                <w:lang w:val="en-GB" w:bidi="hi-IN"/>
              </w:rPr>
            </w:pPr>
            <w:r w:rsidRPr="00636943">
              <w:rPr>
                <w:lang w:val="en-GB" w:bidi="hi-IN"/>
              </w:rPr>
              <w:t xml:space="preserve">Cooperatives are present and trusted by members, but have limited influence over prices and remain dependent on buyers, NGOs and exporters </w:t>
            </w:r>
          </w:p>
        </w:tc>
        <w:tc>
          <w:tcPr>
            <w:tcW w:w="1045" w:type="pct"/>
            <w:hideMark/>
          </w:tcPr>
          <w:p w14:paraId="1251D552" w14:textId="77777777" w:rsidR="00F907B8" w:rsidRPr="00636943" w:rsidRDefault="00F907B8" w:rsidP="004C3170">
            <w:pPr>
              <w:rPr>
                <w:lang w:val="en-GB" w:bidi="hi-IN"/>
              </w:rPr>
            </w:pPr>
            <w:r w:rsidRPr="00636943">
              <w:rPr>
                <w:lang w:val="en-GB" w:bidi="hi-IN"/>
              </w:rPr>
              <w:t xml:space="preserve">Cooperatives are rare and weak; around 70% of producers in supported production basins do not belong to or use farmer-based organisations </w:t>
            </w:r>
          </w:p>
        </w:tc>
        <w:tc>
          <w:tcPr>
            <w:tcW w:w="1128" w:type="pct"/>
            <w:hideMark/>
          </w:tcPr>
          <w:p w14:paraId="68715D37" w14:textId="77777777" w:rsidR="00F907B8" w:rsidRPr="00636943" w:rsidRDefault="00F907B8" w:rsidP="004C3170">
            <w:pPr>
              <w:rPr>
                <w:lang w:val="en-GB" w:bidi="hi-IN"/>
              </w:rPr>
            </w:pPr>
            <w:r w:rsidRPr="00636943">
              <w:rPr>
                <w:lang w:val="en-GB" w:bidi="hi-IN"/>
              </w:rPr>
              <w:t>Strengthen cooperative governance, financial capacity, price information, member services and inclusive participation of women and youth</w:t>
            </w:r>
          </w:p>
        </w:tc>
      </w:tr>
      <w:tr w:rsidR="00F907B8" w:rsidRPr="00636943" w14:paraId="716FDC05" w14:textId="77777777" w:rsidTr="007270FB">
        <w:tc>
          <w:tcPr>
            <w:tcW w:w="674" w:type="pct"/>
            <w:hideMark/>
          </w:tcPr>
          <w:p w14:paraId="2A51F9CC" w14:textId="77777777" w:rsidR="00F907B8" w:rsidRPr="00636943" w:rsidRDefault="00F907B8" w:rsidP="00636943">
            <w:pPr>
              <w:rPr>
                <w:lang w:val="en-GB" w:bidi="hi-IN"/>
              </w:rPr>
            </w:pPr>
            <w:r w:rsidRPr="00636943">
              <w:rPr>
                <w:b/>
                <w:bCs/>
                <w:lang w:val="en-GB" w:bidi="hi-IN"/>
              </w:rPr>
              <w:t>Living conditions</w:t>
            </w:r>
          </w:p>
        </w:tc>
        <w:tc>
          <w:tcPr>
            <w:tcW w:w="1153" w:type="pct"/>
            <w:hideMark/>
          </w:tcPr>
          <w:p w14:paraId="6F83D90C" w14:textId="77777777" w:rsidR="00F907B8" w:rsidRPr="00636943" w:rsidRDefault="00F907B8" w:rsidP="004C3170">
            <w:pPr>
              <w:rPr>
                <w:lang w:val="en-GB" w:bidi="hi-IN"/>
              </w:rPr>
            </w:pPr>
            <w:r w:rsidRPr="00636943">
              <w:rPr>
                <w:lang w:val="en-GB" w:bidi="hi-IN"/>
              </w:rPr>
              <w:t xml:space="preserve">Poor roads, weak rural services, limited healthcare, education constraints and poor mobility reduce welfare and market access in both CVCs </w:t>
            </w:r>
          </w:p>
        </w:tc>
        <w:tc>
          <w:tcPr>
            <w:tcW w:w="999" w:type="pct"/>
            <w:hideMark/>
          </w:tcPr>
          <w:p w14:paraId="302A8145" w14:textId="77777777" w:rsidR="00F907B8" w:rsidRPr="00636943" w:rsidRDefault="00F907B8" w:rsidP="004C3170">
            <w:pPr>
              <w:rPr>
                <w:lang w:val="en-GB" w:bidi="hi-IN"/>
              </w:rPr>
            </w:pPr>
            <w:r w:rsidRPr="00636943">
              <w:rPr>
                <w:lang w:val="en-GB" w:bidi="hi-IN"/>
              </w:rPr>
              <w:t xml:space="preserve">Cocoa income is used for health, education and housing, but poor roads, weak WASH, low literacy and high service costs limit sustained welfare gains </w:t>
            </w:r>
          </w:p>
        </w:tc>
        <w:tc>
          <w:tcPr>
            <w:tcW w:w="1045" w:type="pct"/>
            <w:hideMark/>
          </w:tcPr>
          <w:p w14:paraId="69ADFAB9" w14:textId="77777777" w:rsidR="00F907B8" w:rsidRPr="00636943" w:rsidRDefault="00F907B8" w:rsidP="004C3170">
            <w:pPr>
              <w:rPr>
                <w:lang w:val="en-GB" w:bidi="hi-IN"/>
              </w:rPr>
            </w:pPr>
            <w:r w:rsidRPr="00636943">
              <w:rPr>
                <w:lang w:val="en-GB" w:bidi="hi-IN"/>
              </w:rPr>
              <w:t xml:space="preserve">Rural roads are one of the strongest constraints; many areas are cut off during the rainy season, and communities may have easier access to neighbouring-country markets </w:t>
            </w:r>
          </w:p>
        </w:tc>
        <w:tc>
          <w:tcPr>
            <w:tcW w:w="1128" w:type="pct"/>
            <w:hideMark/>
          </w:tcPr>
          <w:p w14:paraId="5278700F" w14:textId="77777777" w:rsidR="00F907B8" w:rsidRPr="00636943" w:rsidRDefault="00F907B8" w:rsidP="004C3170">
            <w:pPr>
              <w:rPr>
                <w:lang w:val="en-GB" w:bidi="hi-IN"/>
              </w:rPr>
            </w:pPr>
            <w:r w:rsidRPr="00636943">
              <w:rPr>
                <w:lang w:val="en-GB" w:bidi="hi-IN"/>
              </w:rPr>
              <w:t>Treat roads, WASH, health, education, extension and mobility as core cocoa-sector investments, not external social services</w:t>
            </w:r>
          </w:p>
        </w:tc>
      </w:tr>
      <w:tr w:rsidR="00F907B8" w:rsidRPr="00636943" w14:paraId="56B8F046" w14:textId="77777777" w:rsidTr="007270FB">
        <w:tc>
          <w:tcPr>
            <w:tcW w:w="674" w:type="pct"/>
            <w:hideMark/>
          </w:tcPr>
          <w:p w14:paraId="6B588D39" w14:textId="77777777" w:rsidR="00F907B8" w:rsidRPr="00636943" w:rsidRDefault="00F907B8" w:rsidP="00636943">
            <w:pPr>
              <w:rPr>
                <w:lang w:val="en-GB" w:bidi="hi-IN"/>
              </w:rPr>
            </w:pPr>
            <w:r w:rsidRPr="00636943">
              <w:rPr>
                <w:b/>
                <w:bCs/>
                <w:lang w:val="en-GB" w:bidi="hi-IN"/>
              </w:rPr>
              <w:t>Overall social profile</w:t>
            </w:r>
          </w:p>
        </w:tc>
        <w:tc>
          <w:tcPr>
            <w:tcW w:w="1153" w:type="pct"/>
            <w:hideMark/>
          </w:tcPr>
          <w:p w14:paraId="7B224CCF" w14:textId="77777777" w:rsidR="00F907B8" w:rsidRPr="00636943" w:rsidRDefault="00F907B8" w:rsidP="004C3170">
            <w:pPr>
              <w:rPr>
                <w:lang w:val="en-GB" w:bidi="hi-IN"/>
              </w:rPr>
            </w:pPr>
            <w:r w:rsidRPr="00636943">
              <w:rPr>
                <w:lang w:val="en-GB" w:bidi="hi-IN"/>
              </w:rPr>
              <w:t xml:space="preserve">Both CVCs provide important rural cash income but are not socially sustainable without stronger governance, income stability, services and inclusion </w:t>
            </w:r>
          </w:p>
        </w:tc>
        <w:tc>
          <w:tcPr>
            <w:tcW w:w="999" w:type="pct"/>
            <w:hideMark/>
          </w:tcPr>
          <w:p w14:paraId="6DE99C3B" w14:textId="07CA1EEB" w:rsidR="00F907B8" w:rsidRPr="00636943" w:rsidRDefault="00F907B8" w:rsidP="004C3170">
            <w:pPr>
              <w:rPr>
                <w:lang w:val="en-GB" w:bidi="hi-IN"/>
              </w:rPr>
            </w:pPr>
            <w:r w:rsidRPr="00636943">
              <w:rPr>
                <w:lang w:val="en-GB" w:bidi="hi-IN"/>
              </w:rPr>
              <w:t xml:space="preserve">More structured through cooperatives, certification and formal export linkages, but outcomes remain weak in food security, gender equality, </w:t>
            </w:r>
            <w:r w:rsidR="004C3170">
              <w:rPr>
                <w:lang w:val="en-GB" w:bidi="hi-IN"/>
              </w:rPr>
              <w:t xml:space="preserve">and </w:t>
            </w:r>
            <w:r w:rsidRPr="00636943">
              <w:rPr>
                <w:lang w:val="en-GB" w:bidi="hi-IN"/>
              </w:rPr>
              <w:t>working conditions</w:t>
            </w:r>
          </w:p>
        </w:tc>
        <w:tc>
          <w:tcPr>
            <w:tcW w:w="1045" w:type="pct"/>
            <w:hideMark/>
          </w:tcPr>
          <w:p w14:paraId="361B672A" w14:textId="77777777" w:rsidR="00F907B8" w:rsidRPr="00636943" w:rsidRDefault="00F907B8" w:rsidP="004C3170">
            <w:pPr>
              <w:rPr>
                <w:lang w:val="en-GB" w:bidi="hi-IN"/>
              </w:rPr>
            </w:pPr>
            <w:r w:rsidRPr="00636943">
              <w:rPr>
                <w:lang w:val="en-GB" w:bidi="hi-IN"/>
              </w:rPr>
              <w:t xml:space="preserve">Less regulated, less documented and more dependent on informal trade, with weak coordination and very limited support reaching most producers </w:t>
            </w:r>
          </w:p>
        </w:tc>
        <w:tc>
          <w:tcPr>
            <w:tcW w:w="1128" w:type="pct"/>
            <w:hideMark/>
          </w:tcPr>
          <w:p w14:paraId="5451871B" w14:textId="77777777" w:rsidR="00F907B8" w:rsidRPr="00636943" w:rsidRDefault="00F907B8" w:rsidP="004C3170">
            <w:pPr>
              <w:rPr>
                <w:lang w:val="en-GB" w:bidi="hi-IN"/>
              </w:rPr>
            </w:pPr>
            <w:r w:rsidRPr="00636943">
              <w:rPr>
                <w:lang w:val="en-GB" w:bidi="hi-IN"/>
              </w:rPr>
              <w:t>Sierra Leone should protect its stronger formalisation advantage, while Liberia shows the risks of weak regulation, weak traceability and fragmented support</w:t>
            </w:r>
          </w:p>
        </w:tc>
      </w:tr>
    </w:tbl>
    <w:p w14:paraId="4B61EE0A" w14:textId="77777777" w:rsidR="00636943" w:rsidRPr="007270FB" w:rsidRDefault="00636943" w:rsidP="00636943">
      <w:pPr>
        <w:rPr>
          <w:lang w:val="en-GB" w:bidi="hi-IN"/>
        </w:rPr>
      </w:pPr>
    </w:p>
    <w:p w14:paraId="6BA4F32E" w14:textId="77777777" w:rsidR="003B1861" w:rsidRDefault="003B1861">
      <w:pPr>
        <w:spacing w:after="200" w:line="276" w:lineRule="auto"/>
        <w:contextualSpacing w:val="0"/>
        <w:jc w:val="left"/>
        <w:rPr>
          <w:b/>
          <w:iCs/>
          <w:sz w:val="22"/>
        </w:rPr>
      </w:pPr>
    </w:p>
    <w:p w14:paraId="4366D3CA" w14:textId="1E0CDD21" w:rsidR="003B1861" w:rsidRPr="003C7588" w:rsidRDefault="003B1861" w:rsidP="003B1861">
      <w:pPr>
        <w:pStyle w:val="Caption"/>
        <w:rPr>
          <w:sz w:val="22"/>
        </w:rPr>
      </w:pPr>
      <w:r w:rsidRPr="003C7588">
        <w:rPr>
          <w:sz w:val="22"/>
          <w:szCs w:val="22"/>
        </w:rPr>
        <w:lastRenderedPageBreak/>
        <w:t>Table</w:t>
      </w:r>
      <w:r>
        <w:rPr>
          <w:sz w:val="22"/>
          <w:szCs w:val="22"/>
        </w:rPr>
        <w:t xml:space="preserve"> A3.</w:t>
      </w:r>
      <w:r w:rsidRPr="003C7588">
        <w:rPr>
          <w:sz w:val="22"/>
          <w:szCs w:val="22"/>
        </w:rPr>
        <w:t xml:space="preserve"> </w:t>
      </w:r>
      <w:r w:rsidRPr="00F907B8">
        <w:rPr>
          <w:sz w:val="22"/>
          <w:szCs w:val="22"/>
        </w:rPr>
        <w:t xml:space="preserve"> </w:t>
      </w:r>
      <w:r w:rsidRPr="003C7588">
        <w:rPr>
          <w:sz w:val="22"/>
        </w:rPr>
        <w:t>Comparative</w:t>
      </w:r>
      <w:r w:rsidR="00D92945">
        <w:rPr>
          <w:sz w:val="22"/>
        </w:rPr>
        <w:t xml:space="preserve"> VCA4D</w:t>
      </w:r>
      <w:r w:rsidRPr="003C7588">
        <w:rPr>
          <w:sz w:val="22"/>
        </w:rPr>
        <w:t xml:space="preserve"> Social Analysis of Value Chains in Sierra Leone </w:t>
      </w:r>
      <w:r w:rsidR="00D92945">
        <w:rPr>
          <w:sz w:val="22"/>
        </w:rPr>
        <w:t>– cocoa, cashew, oil palm</w:t>
      </w:r>
    </w:p>
    <w:p w14:paraId="33FC3061" w14:textId="77777777" w:rsidR="00C3737E" w:rsidRPr="00C3737E" w:rsidRDefault="00C3737E" w:rsidP="00C3737E">
      <w:pPr>
        <w:spacing w:after="160" w:line="278" w:lineRule="auto"/>
        <w:contextualSpacing w:val="0"/>
        <w:jc w:val="left"/>
        <w:rPr>
          <w:rFonts w:ascii="Calibri" w:eastAsia="Aptos" w:hAnsi="Calibri" w:cs="Calibri"/>
          <w:kern w:val="2"/>
          <w:sz w:val="24"/>
          <w:szCs w:val="24"/>
          <w:lang w:val="en-GB"/>
          <w14:ligatures w14:val="standardContextual"/>
        </w:rPr>
      </w:pPr>
    </w:p>
    <w:tbl>
      <w:tblPr>
        <w:tblStyle w:val="VCA4D1"/>
        <w:tblW w:w="9354" w:type="dxa"/>
        <w:tblLook w:val="04A0" w:firstRow="1" w:lastRow="0" w:firstColumn="1" w:lastColumn="0" w:noHBand="0" w:noVBand="1"/>
      </w:tblPr>
      <w:tblGrid>
        <w:gridCol w:w="1161"/>
        <w:gridCol w:w="1557"/>
        <w:gridCol w:w="1602"/>
        <w:gridCol w:w="1613"/>
        <w:gridCol w:w="2061"/>
        <w:gridCol w:w="1661"/>
      </w:tblGrid>
      <w:tr w:rsidR="00C3737E" w:rsidRPr="00C3737E" w14:paraId="5926FA30" w14:textId="77777777" w:rsidTr="007270FB">
        <w:trPr>
          <w:cnfStyle w:val="100000000000" w:firstRow="1" w:lastRow="0" w:firstColumn="0" w:lastColumn="0" w:oddVBand="0" w:evenVBand="0" w:oddHBand="0" w:evenHBand="0" w:firstRowFirstColumn="0" w:firstRowLastColumn="0" w:lastRowFirstColumn="0" w:lastRowLastColumn="0"/>
        </w:trPr>
        <w:tc>
          <w:tcPr>
            <w:tcW w:w="1418" w:type="dxa"/>
            <w:hideMark/>
          </w:tcPr>
          <w:p w14:paraId="6CD8C18B"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Social dimension</w:t>
            </w:r>
          </w:p>
        </w:tc>
        <w:tc>
          <w:tcPr>
            <w:tcW w:w="0" w:type="auto"/>
            <w:hideMark/>
          </w:tcPr>
          <w:p w14:paraId="5285D633"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Common characteristics across CVCs</w:t>
            </w:r>
          </w:p>
        </w:tc>
        <w:tc>
          <w:tcPr>
            <w:tcW w:w="0" w:type="auto"/>
            <w:hideMark/>
          </w:tcPr>
          <w:p w14:paraId="73774129"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Cocoa VC</w:t>
            </w:r>
          </w:p>
        </w:tc>
        <w:tc>
          <w:tcPr>
            <w:tcW w:w="0" w:type="auto"/>
            <w:hideMark/>
          </w:tcPr>
          <w:p w14:paraId="410BAB8B"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Cashew VC</w:t>
            </w:r>
          </w:p>
        </w:tc>
        <w:tc>
          <w:tcPr>
            <w:tcW w:w="0" w:type="auto"/>
            <w:hideMark/>
          </w:tcPr>
          <w:p w14:paraId="77C0D1D4"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Palm oil VC</w:t>
            </w:r>
          </w:p>
        </w:tc>
        <w:tc>
          <w:tcPr>
            <w:tcW w:w="0" w:type="auto"/>
          </w:tcPr>
          <w:p w14:paraId="6D7914FC" w14:textId="77777777" w:rsidR="00C3737E" w:rsidRPr="007270FB" w:rsidRDefault="00C3737E" w:rsidP="007270FB">
            <w:pPr>
              <w:spacing w:after="160"/>
              <w:contextualSpacing w:val="0"/>
              <w:jc w:val="left"/>
              <w:rPr>
                <w:rFonts w:eastAsia="Aptos" w:cs="Open Sans"/>
                <w:bCs/>
                <w:kern w:val="2"/>
                <w:szCs w:val="18"/>
                <w:lang w:val="en-GB"/>
                <w14:ligatures w14:val="standardContextual"/>
              </w:rPr>
            </w:pPr>
            <w:r w:rsidRPr="007270FB">
              <w:rPr>
                <w:rFonts w:eastAsia="Aptos" w:cs="Open Sans"/>
                <w:bCs/>
                <w:kern w:val="2"/>
                <w:szCs w:val="18"/>
                <w:lang w:val="en-GB"/>
                <w14:ligatures w14:val="standardContextual"/>
              </w:rPr>
              <w:t>Policy reading</w:t>
            </w:r>
          </w:p>
        </w:tc>
      </w:tr>
      <w:tr w:rsidR="00C3737E" w:rsidRPr="00C3737E" w14:paraId="3C57445B" w14:textId="77777777" w:rsidTr="007270FB">
        <w:tc>
          <w:tcPr>
            <w:tcW w:w="1418" w:type="dxa"/>
            <w:hideMark/>
          </w:tcPr>
          <w:p w14:paraId="4758D9FB"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b/>
                <w:bCs/>
                <w:kern w:val="2"/>
                <w:szCs w:val="18"/>
                <w:lang w:val="en-GB"/>
                <w14:ligatures w14:val="standardContextual"/>
              </w:rPr>
              <w:t>Working conditions</w:t>
            </w:r>
          </w:p>
        </w:tc>
        <w:tc>
          <w:tcPr>
            <w:tcW w:w="0" w:type="auto"/>
            <w:hideMark/>
          </w:tcPr>
          <w:p w14:paraId="36AF4428"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kern w:val="2"/>
                <w:szCs w:val="18"/>
                <w:lang w:val="en-GB"/>
                <w14:ligatures w14:val="standardContextual"/>
              </w:rPr>
              <w:t xml:space="preserve">Labour is mostly informal, weakly protected and difficult to monitor across smallholder-based rural systems </w:t>
            </w:r>
          </w:p>
        </w:tc>
        <w:tc>
          <w:tcPr>
            <w:tcW w:w="0" w:type="auto"/>
            <w:hideMark/>
          </w:tcPr>
          <w:p w14:paraId="7CD6816D"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kern w:val="2"/>
                <w:szCs w:val="18"/>
                <w:lang w:val="en-GB"/>
                <w14:ligatures w14:val="standardContextual"/>
              </w:rPr>
              <w:t xml:space="preserve">Labour-intensive production, income instability, weak PPE use, child/intra-household work, youth disengagement </w:t>
            </w:r>
          </w:p>
        </w:tc>
        <w:tc>
          <w:tcPr>
            <w:tcW w:w="0" w:type="auto"/>
            <w:hideMark/>
          </w:tcPr>
          <w:p w14:paraId="4C303D11"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kern w:val="2"/>
                <w:szCs w:val="18"/>
                <w:lang w:val="en-GB"/>
                <w14:ligatures w14:val="standardContextual"/>
              </w:rPr>
              <w:t xml:space="preserve">Block farming offers a comparatively better labour model, but most farm labour remains low-paid and informal </w:t>
            </w:r>
          </w:p>
        </w:tc>
        <w:tc>
          <w:tcPr>
            <w:tcW w:w="0" w:type="auto"/>
            <w:hideMark/>
          </w:tcPr>
          <w:p w14:paraId="71A3826D"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kern w:val="2"/>
                <w:szCs w:val="18"/>
                <w:lang w:val="en-GB"/>
                <w14:ligatures w14:val="standardContextual"/>
              </w:rPr>
              <w:t xml:space="preserve">Worse working environments are reported in soap factories and processing sites, while industrial workers are relatively better off </w:t>
            </w:r>
          </w:p>
        </w:tc>
        <w:tc>
          <w:tcPr>
            <w:tcW w:w="0" w:type="auto"/>
          </w:tcPr>
          <w:p w14:paraId="399C4D89" w14:textId="77777777" w:rsidR="00C3737E" w:rsidRPr="007270FB" w:rsidRDefault="00C3737E" w:rsidP="002001E5">
            <w:pPr>
              <w:spacing w:after="160"/>
              <w:contextualSpacing w:val="0"/>
              <w:jc w:val="left"/>
              <w:rPr>
                <w:rFonts w:eastAsia="Aptos" w:cs="Open Sans"/>
                <w:kern w:val="2"/>
                <w:szCs w:val="18"/>
                <w:lang w:val="en-GB"/>
                <w14:ligatures w14:val="standardContextual"/>
              </w:rPr>
            </w:pPr>
            <w:r w:rsidRPr="007270FB">
              <w:rPr>
                <w:rFonts w:eastAsia="Aptos" w:cs="Open Sans"/>
                <w:kern w:val="2"/>
                <w:szCs w:val="18"/>
                <w:lang w:val="en-GB"/>
                <w14:ligatures w14:val="standardContextual"/>
              </w:rPr>
              <w:t>Labour risks are systemic across all three chains; cocoa and cashew need cooperative-based labour monitoring, while palm oil needs stronger protection at processing sites</w:t>
            </w:r>
          </w:p>
        </w:tc>
      </w:tr>
      <w:tr w:rsidR="00C3737E" w:rsidRPr="00C3737E" w14:paraId="3FD0EE27" w14:textId="77777777" w:rsidTr="007270FB">
        <w:tc>
          <w:tcPr>
            <w:tcW w:w="1418" w:type="dxa"/>
            <w:hideMark/>
          </w:tcPr>
          <w:p w14:paraId="7AE62AC0"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b/>
                <w:bCs/>
                <w:kern w:val="2"/>
                <w:szCs w:val="18"/>
                <w:lang w:val="en-GB"/>
                <w14:ligatures w14:val="standardContextual"/>
              </w:rPr>
              <w:t>Land and water rights</w:t>
            </w:r>
          </w:p>
        </w:tc>
        <w:tc>
          <w:tcPr>
            <w:tcW w:w="0" w:type="auto"/>
            <w:hideMark/>
          </w:tcPr>
          <w:p w14:paraId="6B0303D4"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Customary tenure, weak formalisation, limited consultation and weak implementation of land safeguards are common concerns </w:t>
            </w:r>
          </w:p>
        </w:tc>
        <w:tc>
          <w:tcPr>
            <w:tcW w:w="0" w:type="auto"/>
            <w:hideMark/>
          </w:tcPr>
          <w:p w14:paraId="6DB6D46C"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Land is perceived as secure but weakly documented; risks concern gender equity, compensation and future investment safeguards </w:t>
            </w:r>
          </w:p>
        </w:tc>
        <w:tc>
          <w:tcPr>
            <w:tcW w:w="0" w:type="auto"/>
            <w:hideMark/>
          </w:tcPr>
          <w:p w14:paraId="1A002F8B"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Cashew has a “clean slate” because large-scale land acquisition has not yet become central; this makes preventive land governance especially important</w:t>
            </w:r>
          </w:p>
        </w:tc>
        <w:tc>
          <w:tcPr>
            <w:tcW w:w="0" w:type="auto"/>
            <w:hideMark/>
          </w:tcPr>
          <w:p w14:paraId="142CA82A"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Palm oil is the strongest warning case, with documented VGGT non-compliance and weak ESIA practice in large-scale land investments</w:t>
            </w:r>
          </w:p>
        </w:tc>
        <w:tc>
          <w:tcPr>
            <w:tcW w:w="0" w:type="auto"/>
          </w:tcPr>
          <w:p w14:paraId="6873DC22"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Palm oil is the warning case; cocoa and cashew should strengthen land documentation, FPIC, compensation, and grievance systems before larger investments expand</w:t>
            </w:r>
          </w:p>
        </w:tc>
      </w:tr>
      <w:tr w:rsidR="00C3737E" w:rsidRPr="00C3737E" w14:paraId="3F340C41" w14:textId="77777777" w:rsidTr="007270FB">
        <w:tc>
          <w:tcPr>
            <w:tcW w:w="1418" w:type="dxa"/>
            <w:hideMark/>
          </w:tcPr>
          <w:p w14:paraId="4D4D13ED"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b/>
                <w:bCs/>
                <w:kern w:val="2"/>
                <w:szCs w:val="18"/>
                <w:lang w:val="en-GB"/>
                <w14:ligatures w14:val="standardContextual"/>
              </w:rPr>
              <w:t>Gender equality</w:t>
            </w:r>
          </w:p>
        </w:tc>
        <w:tc>
          <w:tcPr>
            <w:tcW w:w="0" w:type="auto"/>
            <w:hideMark/>
          </w:tcPr>
          <w:p w14:paraId="2102490F"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Women are highly involved economically but have weaker access to land, finance, extension, leadership and income control </w:t>
            </w:r>
          </w:p>
        </w:tc>
        <w:tc>
          <w:tcPr>
            <w:tcW w:w="0" w:type="auto"/>
            <w:hideMark/>
          </w:tcPr>
          <w:p w14:paraId="6FB995BE"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Women’s labour contribution is substantial but not matched by control over resources, income or leadership </w:t>
            </w:r>
          </w:p>
        </w:tc>
        <w:tc>
          <w:tcPr>
            <w:tcW w:w="0" w:type="auto"/>
            <w:hideMark/>
          </w:tcPr>
          <w:p w14:paraId="3DB29D4C"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Women have stronger direct income opportunities in processing and trading, but men mostly control income from cashew farming</w:t>
            </w:r>
          </w:p>
        </w:tc>
        <w:tc>
          <w:tcPr>
            <w:tcW w:w="0" w:type="auto"/>
            <w:hideMark/>
          </w:tcPr>
          <w:p w14:paraId="08494F72"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Women do more than 60% of traditional production and processing work, but are excluded from land-leasing decisions and have poor access to services</w:t>
            </w:r>
          </w:p>
        </w:tc>
        <w:tc>
          <w:tcPr>
            <w:tcW w:w="0" w:type="auto"/>
          </w:tcPr>
          <w:p w14:paraId="702E670B"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Participation is high, but empowerment is weak; investment should target women’s control over land, income, finance, leadership and labour-saving technologies</w:t>
            </w:r>
          </w:p>
        </w:tc>
      </w:tr>
      <w:tr w:rsidR="00C3737E" w:rsidRPr="00C3737E" w14:paraId="4A968410" w14:textId="77777777" w:rsidTr="007270FB">
        <w:tc>
          <w:tcPr>
            <w:tcW w:w="1418" w:type="dxa"/>
            <w:hideMark/>
          </w:tcPr>
          <w:p w14:paraId="4AC6EBCF"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b/>
                <w:bCs/>
                <w:kern w:val="2"/>
                <w:szCs w:val="18"/>
                <w:lang w:val="en-GB"/>
                <w14:ligatures w14:val="standardContextual"/>
              </w:rPr>
              <w:t>Food and nutrition security</w:t>
            </w:r>
          </w:p>
        </w:tc>
        <w:tc>
          <w:tcPr>
            <w:tcW w:w="0" w:type="auto"/>
            <w:hideMark/>
          </w:tcPr>
          <w:p w14:paraId="4C514801"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Food insecurity is linked to income seasonality, inflation, weak safety nets and limited dietary diversity </w:t>
            </w:r>
          </w:p>
        </w:tc>
        <w:tc>
          <w:tcPr>
            <w:tcW w:w="0" w:type="auto"/>
            <w:hideMark/>
          </w:tcPr>
          <w:p w14:paraId="6544261A" w14:textId="6CCBB3E0" w:rsidR="00C3737E" w:rsidRPr="002001E5" w:rsidRDefault="00536515" w:rsidP="002001E5">
            <w:pPr>
              <w:spacing w:after="160"/>
              <w:contextualSpacing w:val="0"/>
              <w:jc w:val="left"/>
              <w:rPr>
                <w:rFonts w:eastAsia="Aptos" w:cs="Open Sans"/>
                <w:kern w:val="2"/>
                <w:szCs w:val="18"/>
                <w:lang w:val="en-GB"/>
                <w14:ligatures w14:val="standardContextual"/>
              </w:rPr>
            </w:pPr>
            <w:r>
              <w:rPr>
                <w:rFonts w:eastAsia="Aptos" w:cs="Open Sans"/>
                <w:kern w:val="2"/>
                <w:szCs w:val="18"/>
                <w:lang w:val="en-GB"/>
                <w14:ligatures w14:val="standardContextual"/>
              </w:rPr>
              <w:t>S</w:t>
            </w:r>
            <w:r w:rsidR="00C3737E" w:rsidRPr="002001E5">
              <w:rPr>
                <w:rFonts w:eastAsia="Aptos" w:cs="Open Sans"/>
                <w:kern w:val="2"/>
                <w:szCs w:val="18"/>
                <w:lang w:val="en-GB"/>
                <w14:ligatures w14:val="standardContextual"/>
              </w:rPr>
              <w:t>trong dependence on cocoa income, seasonal food shortages, credit reliance and low dietary diversity</w:t>
            </w:r>
          </w:p>
        </w:tc>
        <w:tc>
          <w:tcPr>
            <w:tcW w:w="0" w:type="auto"/>
            <w:hideMark/>
          </w:tcPr>
          <w:p w14:paraId="0276A830"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Cashew may help during the hungry season and improve income if combined with intercropping and nutrition-</w:t>
            </w:r>
            <w:r w:rsidRPr="002001E5">
              <w:rPr>
                <w:rFonts w:eastAsia="Aptos" w:cs="Open Sans"/>
                <w:kern w:val="2"/>
                <w:szCs w:val="18"/>
                <w:lang w:val="en-GB"/>
                <w14:ligatures w14:val="standardContextual"/>
              </w:rPr>
              <w:lastRenderedPageBreak/>
              <w:t>sensitive programming</w:t>
            </w:r>
          </w:p>
        </w:tc>
        <w:tc>
          <w:tcPr>
            <w:tcW w:w="0" w:type="auto"/>
            <w:hideMark/>
          </w:tcPr>
          <w:p w14:paraId="1D1EECC4"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lastRenderedPageBreak/>
              <w:t>Palm oil differs because it is both cash crop and food crop, contributing directly to calories and household self-consumption</w:t>
            </w:r>
          </w:p>
        </w:tc>
        <w:tc>
          <w:tcPr>
            <w:tcW w:w="0" w:type="auto"/>
          </w:tcPr>
          <w:p w14:paraId="000E95D4"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Cocoa and cashew need nutrition-sensitive diversification; palm oil has a stronger direct food role but remains </w:t>
            </w:r>
            <w:r w:rsidRPr="002001E5">
              <w:rPr>
                <w:rFonts w:eastAsia="Aptos" w:cs="Open Sans"/>
                <w:kern w:val="2"/>
                <w:szCs w:val="18"/>
                <w:lang w:val="en-GB"/>
                <w14:ligatures w14:val="standardContextual"/>
              </w:rPr>
              <w:lastRenderedPageBreak/>
              <w:t>vulnerable to inflation</w:t>
            </w:r>
          </w:p>
        </w:tc>
      </w:tr>
      <w:tr w:rsidR="00C3737E" w:rsidRPr="00C3737E" w14:paraId="50097E99" w14:textId="77777777" w:rsidTr="007270FB">
        <w:tc>
          <w:tcPr>
            <w:tcW w:w="1418" w:type="dxa"/>
            <w:hideMark/>
          </w:tcPr>
          <w:p w14:paraId="0B552D70"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b/>
                <w:bCs/>
                <w:kern w:val="2"/>
                <w:szCs w:val="18"/>
                <w:lang w:val="en-GB"/>
                <w14:ligatures w14:val="standardContextual"/>
              </w:rPr>
              <w:lastRenderedPageBreak/>
              <w:t>Social capital</w:t>
            </w:r>
          </w:p>
        </w:tc>
        <w:tc>
          <w:tcPr>
            <w:tcW w:w="0" w:type="auto"/>
            <w:hideMark/>
          </w:tcPr>
          <w:p w14:paraId="5DBCD7B6"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Producer organisations exist but are often weak, under-capacitated and have limited bargaining power or service capacity</w:t>
            </w:r>
          </w:p>
        </w:tc>
        <w:tc>
          <w:tcPr>
            <w:tcW w:w="0" w:type="auto"/>
            <w:hideMark/>
          </w:tcPr>
          <w:p w14:paraId="30AC3989"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Cooperatives exist but remain weakly institutionalised, dependent on external actors and limited in price influence </w:t>
            </w:r>
          </w:p>
        </w:tc>
        <w:tc>
          <w:tcPr>
            <w:tcW w:w="0" w:type="auto"/>
            <w:hideMark/>
          </w:tcPr>
          <w:p w14:paraId="5A27FD22"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Cashew shows the most visible institutional experimentation through CPUs, block farms, semi-block farms and women-centred ABCs</w:t>
            </w:r>
          </w:p>
        </w:tc>
        <w:tc>
          <w:tcPr>
            <w:tcW w:w="0" w:type="auto"/>
            <w:hideMark/>
          </w:tcPr>
          <w:p w14:paraId="4B26DC50"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Palm oil appears weakest in formal organisation, with more than half of producers and processors outside FBOs/ABCs </w:t>
            </w:r>
          </w:p>
        </w:tc>
        <w:tc>
          <w:tcPr>
            <w:tcW w:w="0" w:type="auto"/>
          </w:tcPr>
          <w:p w14:paraId="7BD907B4"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Cashew has the most visible institutional experimentation; cocoa has cooperative infrastructure but weak influence; palm oil is the least organised</w:t>
            </w:r>
          </w:p>
        </w:tc>
      </w:tr>
      <w:tr w:rsidR="00C3737E" w:rsidRPr="00C3737E" w14:paraId="7AC7451D" w14:textId="77777777" w:rsidTr="007270FB">
        <w:tc>
          <w:tcPr>
            <w:tcW w:w="1418" w:type="dxa"/>
            <w:hideMark/>
          </w:tcPr>
          <w:p w14:paraId="174A9750"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b/>
                <w:bCs/>
                <w:kern w:val="2"/>
                <w:szCs w:val="18"/>
                <w:lang w:val="en-GB"/>
                <w14:ligatures w14:val="standardContextual"/>
              </w:rPr>
              <w:t>Living conditions</w:t>
            </w:r>
          </w:p>
        </w:tc>
        <w:tc>
          <w:tcPr>
            <w:tcW w:w="0" w:type="auto"/>
            <w:hideMark/>
          </w:tcPr>
          <w:p w14:paraId="239BA8D6"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Rural households face weak health services, poor WASH, education barriers, limited infrastructure and high service costs </w:t>
            </w:r>
          </w:p>
        </w:tc>
        <w:tc>
          <w:tcPr>
            <w:tcW w:w="0" w:type="auto"/>
            <w:hideMark/>
          </w:tcPr>
          <w:p w14:paraId="25A8EC3D"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Cocoa households face limited access to health, WASH, roads, mobility and education, with costs increasing vulnerability </w:t>
            </w:r>
          </w:p>
        </w:tc>
        <w:tc>
          <w:tcPr>
            <w:tcW w:w="0" w:type="auto"/>
            <w:hideMark/>
          </w:tcPr>
          <w:p w14:paraId="5C7BB979"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Cashew upgrading is constrained by low education and training, especially for production and processing quality </w:t>
            </w:r>
          </w:p>
        </w:tc>
        <w:tc>
          <w:tcPr>
            <w:tcW w:w="0" w:type="auto"/>
            <w:hideMark/>
          </w:tcPr>
          <w:p w14:paraId="11874495"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 xml:space="preserve">Palm oil households show particularly poor housing and WASH conditions, with more than 80% of producers/processors living in dilapidated dwellings </w:t>
            </w:r>
          </w:p>
        </w:tc>
        <w:tc>
          <w:tcPr>
            <w:tcW w:w="0" w:type="auto"/>
          </w:tcPr>
          <w:p w14:paraId="04D1AC2F"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Social upgrading requires rural infrastructure investment, not only value-chain support</w:t>
            </w:r>
          </w:p>
        </w:tc>
      </w:tr>
      <w:tr w:rsidR="00C3737E" w:rsidRPr="00C3737E" w14:paraId="20438F7D" w14:textId="77777777" w:rsidTr="007270FB">
        <w:tc>
          <w:tcPr>
            <w:tcW w:w="1418" w:type="dxa"/>
          </w:tcPr>
          <w:p w14:paraId="49B352A9" w14:textId="77777777" w:rsidR="00C3737E" w:rsidRPr="002001E5" w:rsidRDefault="00C3737E" w:rsidP="002001E5">
            <w:pPr>
              <w:spacing w:after="160"/>
              <w:contextualSpacing w:val="0"/>
              <w:jc w:val="left"/>
              <w:rPr>
                <w:rFonts w:eastAsia="Aptos" w:cs="Open Sans"/>
                <w:b/>
                <w:bCs/>
                <w:kern w:val="2"/>
                <w:szCs w:val="18"/>
                <w:lang w:val="en-GB"/>
                <w14:ligatures w14:val="standardContextual"/>
              </w:rPr>
            </w:pPr>
            <w:r w:rsidRPr="002001E5">
              <w:rPr>
                <w:rFonts w:eastAsia="Aptos" w:cs="Open Sans"/>
                <w:b/>
                <w:bCs/>
                <w:kern w:val="2"/>
                <w:szCs w:val="18"/>
                <w:lang w:val="en-GB"/>
                <w14:ligatures w14:val="standardContextual"/>
              </w:rPr>
              <w:t>Overall social profile</w:t>
            </w:r>
          </w:p>
        </w:tc>
        <w:tc>
          <w:tcPr>
            <w:tcW w:w="0" w:type="auto"/>
          </w:tcPr>
          <w:p w14:paraId="7F76F13C"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All three chains provide rural income but do not automatically generate socially sustainable outcomes without investment in governance, services, inclusion and resilience</w:t>
            </w:r>
          </w:p>
        </w:tc>
        <w:tc>
          <w:tcPr>
            <w:tcW w:w="0" w:type="auto"/>
          </w:tcPr>
          <w:p w14:paraId="111194D1"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Partially socially sustainable in structure, but weak in outcomes because income instability drives vulnerability</w:t>
            </w:r>
          </w:p>
        </w:tc>
        <w:tc>
          <w:tcPr>
            <w:tcW w:w="0" w:type="auto"/>
          </w:tcPr>
          <w:p w14:paraId="6A86DFE1"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Moderate to low social risks and strong pro-poor potential, but still small-scale and dependent on finance, extension and market organisation</w:t>
            </w:r>
          </w:p>
        </w:tc>
        <w:tc>
          <w:tcPr>
            <w:tcW w:w="0" w:type="auto"/>
          </w:tcPr>
          <w:p w14:paraId="53479F4B"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Economically significant and liquidity-generating, but strongly artisanal, informal and constrained by infrastructure and inflation</w:t>
            </w:r>
          </w:p>
        </w:tc>
        <w:tc>
          <w:tcPr>
            <w:tcW w:w="0" w:type="auto"/>
          </w:tcPr>
          <w:p w14:paraId="697A9F71" w14:textId="77777777" w:rsidR="00C3737E" w:rsidRPr="002001E5" w:rsidRDefault="00C3737E" w:rsidP="002001E5">
            <w:pPr>
              <w:spacing w:after="160"/>
              <w:contextualSpacing w:val="0"/>
              <w:jc w:val="left"/>
              <w:rPr>
                <w:rFonts w:eastAsia="Aptos" w:cs="Open Sans"/>
                <w:kern w:val="2"/>
                <w:szCs w:val="18"/>
                <w:lang w:val="en-GB"/>
                <w14:ligatures w14:val="standardContextual"/>
              </w:rPr>
            </w:pPr>
            <w:r w:rsidRPr="002001E5">
              <w:rPr>
                <w:rFonts w:eastAsia="Aptos" w:cs="Open Sans"/>
                <w:kern w:val="2"/>
                <w:szCs w:val="18"/>
                <w:lang w:val="en-GB"/>
                <w14:ligatures w14:val="standardContextual"/>
              </w:rPr>
              <w:t>Cocoa needs outcome-focused social investment; cashew offers preventive investment opportunities; palm oil requires corrective safeguards</w:t>
            </w:r>
          </w:p>
        </w:tc>
      </w:tr>
    </w:tbl>
    <w:p w14:paraId="6BCD3668" w14:textId="09978F39" w:rsidR="009E2F5B" w:rsidRPr="002001E5" w:rsidRDefault="00900495">
      <w:pPr>
        <w:spacing w:after="200" w:line="276" w:lineRule="auto"/>
        <w:contextualSpacing w:val="0"/>
        <w:jc w:val="left"/>
        <w:rPr>
          <w:bCs/>
          <w:iCs/>
          <w:szCs w:val="18"/>
        </w:rPr>
      </w:pPr>
      <w:r w:rsidRPr="002001E5">
        <w:rPr>
          <w:bCs/>
          <w:iCs/>
          <w:szCs w:val="18"/>
        </w:rPr>
        <w:t>ABC</w:t>
      </w:r>
      <w:r w:rsidR="00C61E64" w:rsidRPr="002001E5">
        <w:rPr>
          <w:bCs/>
          <w:iCs/>
          <w:szCs w:val="18"/>
        </w:rPr>
        <w:t xml:space="preserve"> – Agriculture Business </w:t>
      </w:r>
      <w:proofErr w:type="spellStart"/>
      <w:r w:rsidR="00C61E64" w:rsidRPr="002001E5">
        <w:rPr>
          <w:bCs/>
          <w:iCs/>
          <w:szCs w:val="18"/>
        </w:rPr>
        <w:t>Centres</w:t>
      </w:r>
      <w:proofErr w:type="spellEnd"/>
      <w:r w:rsidR="00C61E64">
        <w:rPr>
          <w:bCs/>
          <w:iCs/>
          <w:szCs w:val="18"/>
        </w:rPr>
        <w:t>, FBO</w:t>
      </w:r>
      <w:r w:rsidR="000465B2">
        <w:rPr>
          <w:bCs/>
          <w:iCs/>
          <w:szCs w:val="18"/>
        </w:rPr>
        <w:t xml:space="preserve"> – Farmer-Based </w:t>
      </w:r>
      <w:proofErr w:type="spellStart"/>
      <w:r w:rsidR="000465B2">
        <w:rPr>
          <w:bCs/>
          <w:iCs/>
          <w:szCs w:val="18"/>
        </w:rPr>
        <w:t>Organisations</w:t>
      </w:r>
      <w:proofErr w:type="spellEnd"/>
      <w:r w:rsidR="00C61E64">
        <w:rPr>
          <w:bCs/>
          <w:iCs/>
          <w:szCs w:val="18"/>
        </w:rPr>
        <w:t>, CPU – Community Processing Unit</w:t>
      </w:r>
      <w:r w:rsidR="009E2F5B" w:rsidRPr="002001E5">
        <w:rPr>
          <w:bCs/>
          <w:iCs/>
          <w:szCs w:val="18"/>
        </w:rPr>
        <w:br w:type="page"/>
      </w:r>
    </w:p>
    <w:p w14:paraId="55FFD2B1" w14:textId="77777777" w:rsidR="00275F54" w:rsidRDefault="00275F54" w:rsidP="00275F54">
      <w:pPr>
        <w:rPr>
          <w:b/>
          <w:iCs/>
          <w:sz w:val="22"/>
        </w:rPr>
      </w:pPr>
    </w:p>
    <w:p w14:paraId="3B689CBF" w14:textId="64F31E00" w:rsidR="00275F54" w:rsidRDefault="00275F54" w:rsidP="00275F54">
      <w:pPr>
        <w:rPr>
          <w:b/>
          <w:iCs/>
          <w:sz w:val="22"/>
        </w:rPr>
      </w:pPr>
      <w:r>
        <w:rPr>
          <w:b/>
          <w:iCs/>
          <w:sz w:val="22"/>
        </w:rPr>
        <w:t>Appendix</w:t>
      </w:r>
      <w:r w:rsidRPr="003668BE">
        <w:rPr>
          <w:b/>
          <w:iCs/>
          <w:sz w:val="22"/>
        </w:rPr>
        <w:t xml:space="preserve"> </w:t>
      </w:r>
      <w:r>
        <w:rPr>
          <w:b/>
          <w:bCs/>
          <w:i/>
          <w:iCs/>
          <w:sz w:val="22"/>
        </w:rPr>
        <w:t>for</w:t>
      </w:r>
      <w:r w:rsidRPr="003668BE">
        <w:rPr>
          <w:b/>
          <w:iCs/>
          <w:sz w:val="22"/>
        </w:rPr>
        <w:t xml:space="preserve"> </w:t>
      </w:r>
      <w:r>
        <w:rPr>
          <w:b/>
          <w:iCs/>
          <w:sz w:val="22"/>
        </w:rPr>
        <w:t>Environment</w:t>
      </w:r>
      <w:r w:rsidRPr="003668BE">
        <w:rPr>
          <w:b/>
          <w:iCs/>
          <w:sz w:val="22"/>
        </w:rPr>
        <w:t xml:space="preserve"> Analysis</w:t>
      </w:r>
    </w:p>
    <w:p w14:paraId="736B6A03" w14:textId="77777777" w:rsidR="00F81753" w:rsidRPr="006A5892" w:rsidRDefault="00F81753" w:rsidP="00F81753">
      <w:pPr>
        <w:pStyle w:val="Caption"/>
      </w:pPr>
      <w:r w:rsidRPr="006A5892">
        <w:t xml:space="preserve">Table </w:t>
      </w:r>
      <w:proofErr w:type="gramStart"/>
      <w:r w:rsidRPr="006A5892">
        <w:t>A :</w:t>
      </w:r>
      <w:proofErr w:type="gramEnd"/>
      <w:r w:rsidRPr="006A5892">
        <w:t xml:space="preserve"> Case Studies Expanded</w:t>
      </w:r>
    </w:p>
    <w:p w14:paraId="7ACEE734" w14:textId="77777777" w:rsidR="00F81753" w:rsidRPr="006A5892" w:rsidRDefault="00F81753" w:rsidP="00F81753">
      <w:pPr>
        <w:rPr>
          <w:b/>
          <w:bCs/>
          <w:color w:val="000000" w:themeColor="text1"/>
          <w:sz w:val="20"/>
          <w:szCs w:val="20"/>
        </w:rPr>
      </w:pPr>
    </w:p>
    <w:tbl>
      <w:tblPr>
        <w:tblStyle w:val="GridTable4-Accent1"/>
        <w:tblW w:w="0" w:type="auto"/>
        <w:tblLook w:val="04A0" w:firstRow="1" w:lastRow="0" w:firstColumn="1" w:lastColumn="0" w:noHBand="0" w:noVBand="1"/>
      </w:tblPr>
      <w:tblGrid>
        <w:gridCol w:w="1550"/>
        <w:gridCol w:w="1264"/>
        <w:gridCol w:w="1524"/>
        <w:gridCol w:w="1531"/>
        <w:gridCol w:w="1577"/>
        <w:gridCol w:w="785"/>
      </w:tblGrid>
      <w:tr w:rsidR="00F81753" w:rsidRPr="006A5892" w14:paraId="1DB54E72" w14:textId="77777777" w:rsidTr="008934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6E88A84E" w14:textId="77777777" w:rsidR="00F81753" w:rsidRPr="006A5892" w:rsidRDefault="00F81753" w:rsidP="0089347F">
            <w:pPr>
              <w:jc w:val="center"/>
              <w:rPr>
                <w:szCs w:val="18"/>
              </w:rPr>
            </w:pPr>
            <w:r w:rsidRPr="006A5892">
              <w:rPr>
                <w:szCs w:val="18"/>
              </w:rPr>
              <w:t>Case Study</w:t>
            </w:r>
          </w:p>
        </w:tc>
        <w:tc>
          <w:tcPr>
            <w:tcW w:w="1264" w:type="dxa"/>
          </w:tcPr>
          <w:p w14:paraId="0BADA044"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1</w:t>
            </w:r>
          </w:p>
        </w:tc>
        <w:tc>
          <w:tcPr>
            <w:tcW w:w="1524" w:type="dxa"/>
          </w:tcPr>
          <w:p w14:paraId="1EEA01C9"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2</w:t>
            </w:r>
          </w:p>
        </w:tc>
        <w:tc>
          <w:tcPr>
            <w:tcW w:w="1531" w:type="dxa"/>
          </w:tcPr>
          <w:p w14:paraId="12532E86"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3</w:t>
            </w:r>
          </w:p>
        </w:tc>
        <w:tc>
          <w:tcPr>
            <w:tcW w:w="1577" w:type="dxa"/>
          </w:tcPr>
          <w:p w14:paraId="1C2C8E7E"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szCs w:val="18"/>
              </w:rPr>
            </w:pPr>
            <w:r w:rsidRPr="006A5892">
              <w:rPr>
                <w:szCs w:val="18"/>
              </w:rPr>
              <w:t>4</w:t>
            </w:r>
          </w:p>
        </w:tc>
        <w:tc>
          <w:tcPr>
            <w:tcW w:w="785" w:type="dxa"/>
          </w:tcPr>
          <w:p w14:paraId="74633A02"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szCs w:val="18"/>
              </w:rPr>
            </w:pPr>
          </w:p>
        </w:tc>
      </w:tr>
      <w:tr w:rsidR="00F81753" w:rsidRPr="006A5892" w14:paraId="506BCC07" w14:textId="77777777" w:rsidTr="0089347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550" w:type="dxa"/>
            <w:shd w:val="clear" w:color="auto" w:fill="FFC000" w:themeFill="accent4"/>
          </w:tcPr>
          <w:p w14:paraId="4F8F3EA9" w14:textId="77777777" w:rsidR="00F81753" w:rsidRPr="006A5892" w:rsidRDefault="00F81753" w:rsidP="0089347F">
            <w:pPr>
              <w:jc w:val="center"/>
              <w:rPr>
                <w:szCs w:val="18"/>
              </w:rPr>
            </w:pPr>
            <w:r w:rsidRPr="006A5892">
              <w:rPr>
                <w:color w:val="00B050"/>
                <w:szCs w:val="18"/>
              </w:rPr>
              <w:t>Initial Stage</w:t>
            </w:r>
          </w:p>
        </w:tc>
        <w:tc>
          <w:tcPr>
            <w:tcW w:w="5896" w:type="dxa"/>
            <w:gridSpan w:val="4"/>
            <w:shd w:val="clear" w:color="auto" w:fill="FFC000" w:themeFill="accent4"/>
          </w:tcPr>
          <w:p w14:paraId="4563ABAA"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b/>
                <w:bCs/>
                <w:szCs w:val="18"/>
              </w:rPr>
            </w:pPr>
            <w:r w:rsidRPr="006A5892">
              <w:rPr>
                <w:b/>
                <w:bCs/>
                <w:szCs w:val="18"/>
              </w:rPr>
              <w:t>Farm gate, (partially) dried, fermented cocoa in jute bag</w:t>
            </w:r>
          </w:p>
        </w:tc>
        <w:tc>
          <w:tcPr>
            <w:tcW w:w="785" w:type="dxa"/>
            <w:shd w:val="clear" w:color="auto" w:fill="FFC000" w:themeFill="accent4"/>
          </w:tcPr>
          <w:p w14:paraId="1BBD8388"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b/>
                <w:bCs/>
                <w:szCs w:val="18"/>
              </w:rPr>
            </w:pPr>
          </w:p>
        </w:tc>
      </w:tr>
      <w:tr w:rsidR="00F81753" w:rsidRPr="006A5892" w14:paraId="1C611D3D"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527EF74B" w14:textId="77777777" w:rsidR="00F81753" w:rsidRPr="006A5892" w:rsidRDefault="00F81753" w:rsidP="0089347F">
            <w:pPr>
              <w:jc w:val="center"/>
              <w:rPr>
                <w:szCs w:val="18"/>
              </w:rPr>
            </w:pPr>
            <w:r w:rsidRPr="006A5892">
              <w:rPr>
                <w:szCs w:val="18"/>
              </w:rPr>
              <w:t>Previous Land Use</w:t>
            </w:r>
          </w:p>
        </w:tc>
        <w:tc>
          <w:tcPr>
            <w:tcW w:w="1264" w:type="dxa"/>
          </w:tcPr>
          <w:p w14:paraId="6BE1CE69"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NA</w:t>
            </w:r>
          </w:p>
        </w:tc>
        <w:tc>
          <w:tcPr>
            <w:tcW w:w="1524" w:type="dxa"/>
          </w:tcPr>
          <w:p w14:paraId="50B88E00"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Bush land</w:t>
            </w:r>
          </w:p>
        </w:tc>
        <w:tc>
          <w:tcPr>
            <w:tcW w:w="1531" w:type="dxa"/>
          </w:tcPr>
          <w:p w14:paraId="532C7994"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 xml:space="preserve">1)Forest, </w:t>
            </w:r>
            <w:proofErr w:type="gramStart"/>
            <w:r w:rsidRPr="006A5892">
              <w:rPr>
                <w:szCs w:val="18"/>
              </w:rPr>
              <w:t>2)Wooded</w:t>
            </w:r>
            <w:proofErr w:type="gramEnd"/>
            <w:r w:rsidRPr="006A5892">
              <w:rPr>
                <w:szCs w:val="18"/>
              </w:rPr>
              <w:t xml:space="preserve">        Grass land                </w:t>
            </w:r>
            <w:proofErr w:type="gramStart"/>
            <w:r w:rsidRPr="006A5892">
              <w:rPr>
                <w:szCs w:val="18"/>
              </w:rPr>
              <w:t>3)NA</w:t>
            </w:r>
            <w:proofErr w:type="gramEnd"/>
          </w:p>
        </w:tc>
        <w:tc>
          <w:tcPr>
            <w:tcW w:w="1577" w:type="dxa"/>
          </w:tcPr>
          <w:p w14:paraId="6C410BF6"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NA</w:t>
            </w:r>
          </w:p>
        </w:tc>
        <w:tc>
          <w:tcPr>
            <w:tcW w:w="785" w:type="dxa"/>
          </w:tcPr>
          <w:p w14:paraId="1674DD79"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28117323" w14:textId="77777777" w:rsidTr="0089347F">
        <w:trPr>
          <w:cnfStyle w:val="000000100000" w:firstRow="0" w:lastRow="0" w:firstColumn="0" w:lastColumn="0" w:oddVBand="0" w:evenVBand="0" w:oddHBand="1" w:evenHBand="0" w:firstRowFirstColumn="0" w:firstRowLastColumn="0" w:lastRowFirstColumn="0" w:lastRowLastColumn="0"/>
          <w:trHeight w:val="1071"/>
        </w:trPr>
        <w:tc>
          <w:tcPr>
            <w:cnfStyle w:val="001000000000" w:firstRow="0" w:lastRow="0" w:firstColumn="1" w:lastColumn="0" w:oddVBand="0" w:evenVBand="0" w:oddHBand="0" w:evenHBand="0" w:firstRowFirstColumn="0" w:firstRowLastColumn="0" w:lastRowFirstColumn="0" w:lastRowLastColumn="0"/>
            <w:tcW w:w="1550" w:type="dxa"/>
          </w:tcPr>
          <w:p w14:paraId="54AB5C10" w14:textId="77777777" w:rsidR="00F81753" w:rsidRPr="006A5892" w:rsidRDefault="00F81753" w:rsidP="0089347F">
            <w:pPr>
              <w:jc w:val="center"/>
              <w:rPr>
                <w:szCs w:val="18"/>
              </w:rPr>
            </w:pPr>
            <w:r w:rsidRPr="006A5892">
              <w:rPr>
                <w:szCs w:val="18"/>
              </w:rPr>
              <w:t>Agroforestry Type</w:t>
            </w:r>
          </w:p>
        </w:tc>
        <w:tc>
          <w:tcPr>
            <w:tcW w:w="1264" w:type="dxa"/>
          </w:tcPr>
          <w:p w14:paraId="4CF7C6C6"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 xml:space="preserve">Old, limited diversity, high shade. </w:t>
            </w:r>
          </w:p>
        </w:tc>
        <w:tc>
          <w:tcPr>
            <w:tcW w:w="1524" w:type="dxa"/>
          </w:tcPr>
          <w:p w14:paraId="58918886"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 xml:space="preserve">Young, canopy in development, banana as shade and fruit.  </w:t>
            </w:r>
          </w:p>
        </w:tc>
        <w:tc>
          <w:tcPr>
            <w:tcW w:w="1531" w:type="dxa"/>
          </w:tcPr>
          <w:p w14:paraId="622F5A6A"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Mature, multi-story canopy diverse use cocoa and fruit.</w:t>
            </w:r>
          </w:p>
          <w:p w14:paraId="4DAC7743"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p w14:paraId="6C682E9D"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p w14:paraId="73D11EBD"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77" w:type="dxa"/>
          </w:tcPr>
          <w:p w14:paraId="38953378"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Late mature, multi-story higher shade canopy diverse use cocoa and fruit.</w:t>
            </w:r>
          </w:p>
        </w:tc>
        <w:tc>
          <w:tcPr>
            <w:tcW w:w="785" w:type="dxa"/>
          </w:tcPr>
          <w:p w14:paraId="4EE45158"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12742884"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407ADB35" w14:textId="77777777" w:rsidR="00F81753" w:rsidRPr="006A5892" w:rsidRDefault="00F81753" w:rsidP="0089347F">
            <w:pPr>
              <w:jc w:val="center"/>
              <w:rPr>
                <w:szCs w:val="18"/>
              </w:rPr>
            </w:pPr>
            <w:r w:rsidRPr="006A5892">
              <w:rPr>
                <w:szCs w:val="18"/>
              </w:rPr>
              <w:t>Age</w:t>
            </w:r>
          </w:p>
        </w:tc>
        <w:tc>
          <w:tcPr>
            <w:tcW w:w="1264" w:type="dxa"/>
          </w:tcPr>
          <w:p w14:paraId="443863C2"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40</w:t>
            </w:r>
          </w:p>
        </w:tc>
        <w:tc>
          <w:tcPr>
            <w:tcW w:w="1524" w:type="dxa"/>
          </w:tcPr>
          <w:p w14:paraId="4257EBB5"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10</w:t>
            </w:r>
          </w:p>
        </w:tc>
        <w:tc>
          <w:tcPr>
            <w:tcW w:w="1531" w:type="dxa"/>
          </w:tcPr>
          <w:p w14:paraId="41FA5D9D"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1 &amp; 2) 19 years</w:t>
            </w:r>
          </w:p>
          <w:p w14:paraId="3CE6283A"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2) 21 years</w:t>
            </w:r>
          </w:p>
        </w:tc>
        <w:tc>
          <w:tcPr>
            <w:tcW w:w="1577" w:type="dxa"/>
          </w:tcPr>
          <w:p w14:paraId="64A20AE4"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32</w:t>
            </w:r>
          </w:p>
        </w:tc>
        <w:tc>
          <w:tcPr>
            <w:tcW w:w="785" w:type="dxa"/>
          </w:tcPr>
          <w:p w14:paraId="3788B428"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6F607193"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0D431C75" w14:textId="77777777" w:rsidR="00F81753" w:rsidRPr="006A5892" w:rsidRDefault="00F81753" w:rsidP="0089347F">
            <w:pPr>
              <w:jc w:val="center"/>
              <w:rPr>
                <w:szCs w:val="18"/>
              </w:rPr>
            </w:pPr>
            <w:r w:rsidRPr="006A5892">
              <w:rPr>
                <w:szCs w:val="18"/>
              </w:rPr>
              <w:t>Farmer Typology</w:t>
            </w:r>
          </w:p>
        </w:tc>
        <w:tc>
          <w:tcPr>
            <w:tcW w:w="1264" w:type="dxa"/>
          </w:tcPr>
          <w:p w14:paraId="62A77970"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Small</w:t>
            </w:r>
          </w:p>
        </w:tc>
        <w:tc>
          <w:tcPr>
            <w:tcW w:w="1524" w:type="dxa"/>
          </w:tcPr>
          <w:p w14:paraId="4DEA9BB9"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Small</w:t>
            </w:r>
          </w:p>
        </w:tc>
        <w:tc>
          <w:tcPr>
            <w:tcW w:w="1531" w:type="dxa"/>
          </w:tcPr>
          <w:p w14:paraId="3C64E079"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Medium</w:t>
            </w:r>
          </w:p>
        </w:tc>
        <w:tc>
          <w:tcPr>
            <w:tcW w:w="1577" w:type="dxa"/>
          </w:tcPr>
          <w:p w14:paraId="05045AC0"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Medium</w:t>
            </w:r>
          </w:p>
        </w:tc>
        <w:tc>
          <w:tcPr>
            <w:tcW w:w="785" w:type="dxa"/>
          </w:tcPr>
          <w:p w14:paraId="131A3498"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77920854"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61F203BE" w14:textId="77777777" w:rsidR="00F81753" w:rsidRPr="006A5892" w:rsidRDefault="00F81753" w:rsidP="0089347F">
            <w:pPr>
              <w:jc w:val="center"/>
              <w:rPr>
                <w:szCs w:val="18"/>
              </w:rPr>
            </w:pPr>
            <w:r w:rsidRPr="006A5892">
              <w:rPr>
                <w:szCs w:val="18"/>
              </w:rPr>
              <w:t>Cocoa *</w:t>
            </w:r>
          </w:p>
        </w:tc>
        <w:tc>
          <w:tcPr>
            <w:tcW w:w="1264" w:type="dxa"/>
          </w:tcPr>
          <w:p w14:paraId="1C868D3B"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100 kg/ha</w:t>
            </w:r>
          </w:p>
        </w:tc>
        <w:tc>
          <w:tcPr>
            <w:tcW w:w="1524" w:type="dxa"/>
          </w:tcPr>
          <w:p w14:paraId="70E4D7E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150 kg/ha</w:t>
            </w:r>
          </w:p>
        </w:tc>
        <w:tc>
          <w:tcPr>
            <w:tcW w:w="1531" w:type="dxa"/>
          </w:tcPr>
          <w:p w14:paraId="163C10C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250 kg/ha</w:t>
            </w:r>
          </w:p>
        </w:tc>
        <w:tc>
          <w:tcPr>
            <w:tcW w:w="1577" w:type="dxa"/>
          </w:tcPr>
          <w:p w14:paraId="195CD4B3"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200 kg/ha</w:t>
            </w:r>
          </w:p>
        </w:tc>
        <w:tc>
          <w:tcPr>
            <w:tcW w:w="785" w:type="dxa"/>
          </w:tcPr>
          <w:p w14:paraId="19589D2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D52692" w14:paraId="14CDE5B6"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85687EF" w14:textId="77777777" w:rsidR="00F81753" w:rsidRPr="006A5892" w:rsidRDefault="00F81753" w:rsidP="0089347F">
            <w:pPr>
              <w:jc w:val="center"/>
              <w:rPr>
                <w:szCs w:val="18"/>
              </w:rPr>
            </w:pPr>
          </w:p>
        </w:tc>
        <w:tc>
          <w:tcPr>
            <w:tcW w:w="5896" w:type="dxa"/>
            <w:gridSpan w:val="4"/>
          </w:tcPr>
          <w:p w14:paraId="6AA9BAC2"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bags/</w:t>
            </w:r>
            <w:proofErr w:type="gramStart"/>
            <w:r w:rsidRPr="006A5892">
              <w:rPr>
                <w:szCs w:val="18"/>
              </w:rPr>
              <w:t>ha  or</w:t>
            </w:r>
            <w:proofErr w:type="gramEnd"/>
            <w:r w:rsidRPr="006A5892">
              <w:rPr>
                <w:szCs w:val="18"/>
              </w:rPr>
              <w:t xml:space="preserve"> kg (palm oil)/ha</w:t>
            </w:r>
          </w:p>
          <w:p w14:paraId="0C6E83A4"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(cocoa sold at 80 le/</w:t>
            </w:r>
            <w:proofErr w:type="gramStart"/>
            <w:r w:rsidRPr="006A5892">
              <w:rPr>
                <w:szCs w:val="18"/>
              </w:rPr>
              <w:t>kg)*</w:t>
            </w:r>
            <w:proofErr w:type="gramEnd"/>
          </w:p>
        </w:tc>
        <w:tc>
          <w:tcPr>
            <w:tcW w:w="785" w:type="dxa"/>
          </w:tcPr>
          <w:p w14:paraId="06BCD1EB" w14:textId="77777777" w:rsidR="00F81753" w:rsidRPr="00541739" w:rsidRDefault="00F81753" w:rsidP="0089347F">
            <w:pPr>
              <w:cnfStyle w:val="000000100000" w:firstRow="0" w:lastRow="0" w:firstColumn="0" w:lastColumn="0" w:oddVBand="0" w:evenVBand="0" w:oddHBand="1" w:evenHBand="0" w:firstRowFirstColumn="0" w:firstRowLastColumn="0" w:lastRowFirstColumn="0" w:lastRowLastColumn="0"/>
              <w:rPr>
                <w:szCs w:val="18"/>
                <w:lang w:val="fr-BE"/>
              </w:rPr>
            </w:pPr>
            <w:r w:rsidRPr="00541739">
              <w:rPr>
                <w:szCs w:val="18"/>
                <w:lang w:val="fr-BE"/>
              </w:rPr>
              <w:t>Le /kg* or le/bag</w:t>
            </w:r>
          </w:p>
        </w:tc>
      </w:tr>
      <w:tr w:rsidR="00F81753" w:rsidRPr="006A5892" w14:paraId="0045AFEE" w14:textId="77777777" w:rsidTr="0089347F">
        <w:tc>
          <w:tcPr>
            <w:cnfStyle w:val="001000000000" w:firstRow="0" w:lastRow="0" w:firstColumn="1" w:lastColumn="0" w:oddVBand="0" w:evenVBand="0" w:oddHBand="0" w:evenHBand="0" w:firstRowFirstColumn="0" w:firstRowLastColumn="0" w:lastRowFirstColumn="0" w:lastRowLastColumn="0"/>
            <w:tcW w:w="1550" w:type="dxa"/>
            <w:vAlign w:val="bottom"/>
          </w:tcPr>
          <w:p w14:paraId="39F23994" w14:textId="77777777" w:rsidR="00F81753" w:rsidRPr="006A5892" w:rsidRDefault="00F81753" w:rsidP="0089347F">
            <w:pPr>
              <w:jc w:val="center"/>
              <w:rPr>
                <w:szCs w:val="18"/>
              </w:rPr>
            </w:pPr>
            <w:r w:rsidRPr="006A5892">
              <w:rPr>
                <w:rFonts w:ascii="Aptos Narrow" w:hAnsi="Aptos Narrow"/>
                <w:color w:val="000000"/>
                <w:sz w:val="22"/>
              </w:rPr>
              <w:t>Banana</w:t>
            </w:r>
          </w:p>
        </w:tc>
        <w:tc>
          <w:tcPr>
            <w:tcW w:w="1264" w:type="dxa"/>
          </w:tcPr>
          <w:p w14:paraId="1C97C107"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24" w:type="dxa"/>
          </w:tcPr>
          <w:p w14:paraId="04D4F05B"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1.5</w:t>
            </w:r>
          </w:p>
        </w:tc>
        <w:tc>
          <w:tcPr>
            <w:tcW w:w="1531" w:type="dxa"/>
          </w:tcPr>
          <w:p w14:paraId="7815791E"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77" w:type="dxa"/>
          </w:tcPr>
          <w:p w14:paraId="6AD47E97"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785" w:type="dxa"/>
          </w:tcPr>
          <w:p w14:paraId="75094915"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250</w:t>
            </w:r>
          </w:p>
        </w:tc>
      </w:tr>
      <w:tr w:rsidR="00F81753" w:rsidRPr="006A5892" w14:paraId="78AE68A7"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vAlign w:val="bottom"/>
          </w:tcPr>
          <w:p w14:paraId="0C7AF656" w14:textId="77777777" w:rsidR="00F81753" w:rsidRPr="006A5892" w:rsidRDefault="00F81753" w:rsidP="0089347F">
            <w:pPr>
              <w:jc w:val="center"/>
              <w:rPr>
                <w:szCs w:val="18"/>
              </w:rPr>
            </w:pPr>
            <w:r w:rsidRPr="006A5892">
              <w:rPr>
                <w:rFonts w:ascii="Aptos Narrow" w:hAnsi="Aptos Narrow"/>
                <w:color w:val="000000"/>
                <w:sz w:val="22"/>
              </w:rPr>
              <w:t>Oranges</w:t>
            </w:r>
          </w:p>
        </w:tc>
        <w:tc>
          <w:tcPr>
            <w:tcW w:w="1264" w:type="dxa"/>
          </w:tcPr>
          <w:p w14:paraId="6448EF8C"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24" w:type="dxa"/>
          </w:tcPr>
          <w:p w14:paraId="5D1ABFD1"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31" w:type="dxa"/>
          </w:tcPr>
          <w:p w14:paraId="663D8A0B"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0.5</w:t>
            </w:r>
          </w:p>
        </w:tc>
        <w:tc>
          <w:tcPr>
            <w:tcW w:w="1577" w:type="dxa"/>
          </w:tcPr>
          <w:p w14:paraId="61E5AF05"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785" w:type="dxa"/>
          </w:tcPr>
          <w:p w14:paraId="437849A7"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450</w:t>
            </w:r>
          </w:p>
        </w:tc>
      </w:tr>
      <w:tr w:rsidR="00F81753" w:rsidRPr="006A5892" w14:paraId="7523FDD6" w14:textId="77777777" w:rsidTr="0089347F">
        <w:tc>
          <w:tcPr>
            <w:cnfStyle w:val="001000000000" w:firstRow="0" w:lastRow="0" w:firstColumn="1" w:lastColumn="0" w:oddVBand="0" w:evenVBand="0" w:oddHBand="0" w:evenHBand="0" w:firstRowFirstColumn="0" w:firstRowLastColumn="0" w:lastRowFirstColumn="0" w:lastRowLastColumn="0"/>
            <w:tcW w:w="1550" w:type="dxa"/>
            <w:vAlign w:val="bottom"/>
          </w:tcPr>
          <w:p w14:paraId="55F1B877" w14:textId="77777777" w:rsidR="00F81753" w:rsidRPr="006A5892" w:rsidRDefault="00F81753" w:rsidP="0089347F">
            <w:pPr>
              <w:jc w:val="center"/>
              <w:rPr>
                <w:szCs w:val="18"/>
              </w:rPr>
            </w:pPr>
            <w:r w:rsidRPr="006A5892">
              <w:rPr>
                <w:rFonts w:ascii="Aptos Narrow" w:hAnsi="Aptos Narrow"/>
                <w:color w:val="000000"/>
                <w:sz w:val="22"/>
              </w:rPr>
              <w:t>Mango</w:t>
            </w:r>
          </w:p>
        </w:tc>
        <w:tc>
          <w:tcPr>
            <w:tcW w:w="1264" w:type="dxa"/>
          </w:tcPr>
          <w:p w14:paraId="353E995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24" w:type="dxa"/>
          </w:tcPr>
          <w:p w14:paraId="3D8DEFA8"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31" w:type="dxa"/>
          </w:tcPr>
          <w:p w14:paraId="092FD155"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0.5</w:t>
            </w:r>
          </w:p>
        </w:tc>
        <w:tc>
          <w:tcPr>
            <w:tcW w:w="1577" w:type="dxa"/>
          </w:tcPr>
          <w:p w14:paraId="0A7E606E"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2</w:t>
            </w:r>
          </w:p>
        </w:tc>
        <w:tc>
          <w:tcPr>
            <w:tcW w:w="785" w:type="dxa"/>
          </w:tcPr>
          <w:p w14:paraId="2D46186E"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250</w:t>
            </w:r>
          </w:p>
        </w:tc>
      </w:tr>
      <w:tr w:rsidR="00F81753" w:rsidRPr="006A5892" w14:paraId="21EB33BD"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vAlign w:val="bottom"/>
          </w:tcPr>
          <w:p w14:paraId="00CDFEB2" w14:textId="77777777" w:rsidR="00F81753" w:rsidRPr="006A5892" w:rsidRDefault="00F81753" w:rsidP="0089347F">
            <w:pPr>
              <w:jc w:val="center"/>
              <w:rPr>
                <w:szCs w:val="18"/>
              </w:rPr>
            </w:pPr>
            <w:r w:rsidRPr="006A5892">
              <w:rPr>
                <w:rFonts w:ascii="Aptos Narrow" w:hAnsi="Aptos Narrow"/>
                <w:color w:val="000000"/>
                <w:sz w:val="22"/>
              </w:rPr>
              <w:t>Kola</w:t>
            </w:r>
          </w:p>
        </w:tc>
        <w:tc>
          <w:tcPr>
            <w:tcW w:w="1264" w:type="dxa"/>
          </w:tcPr>
          <w:p w14:paraId="79B0A131"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24" w:type="dxa"/>
          </w:tcPr>
          <w:p w14:paraId="0824CD4A"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31" w:type="dxa"/>
          </w:tcPr>
          <w:p w14:paraId="06E451E6"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77" w:type="dxa"/>
          </w:tcPr>
          <w:p w14:paraId="00269902"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0.5</w:t>
            </w:r>
          </w:p>
        </w:tc>
        <w:tc>
          <w:tcPr>
            <w:tcW w:w="785" w:type="dxa"/>
          </w:tcPr>
          <w:p w14:paraId="63C89AE5"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1,000</w:t>
            </w:r>
          </w:p>
        </w:tc>
      </w:tr>
      <w:tr w:rsidR="00F81753" w:rsidRPr="006A5892" w14:paraId="234CD06C" w14:textId="77777777" w:rsidTr="0089347F">
        <w:tc>
          <w:tcPr>
            <w:cnfStyle w:val="001000000000" w:firstRow="0" w:lastRow="0" w:firstColumn="1" w:lastColumn="0" w:oddVBand="0" w:evenVBand="0" w:oddHBand="0" w:evenHBand="0" w:firstRowFirstColumn="0" w:firstRowLastColumn="0" w:lastRowFirstColumn="0" w:lastRowLastColumn="0"/>
            <w:tcW w:w="1550" w:type="dxa"/>
            <w:vAlign w:val="bottom"/>
          </w:tcPr>
          <w:p w14:paraId="572C94C7" w14:textId="77777777" w:rsidR="00F81753" w:rsidRPr="006A5892" w:rsidRDefault="00F81753" w:rsidP="0089347F">
            <w:pPr>
              <w:jc w:val="center"/>
              <w:rPr>
                <w:szCs w:val="18"/>
              </w:rPr>
            </w:pPr>
            <w:r w:rsidRPr="006A5892">
              <w:rPr>
                <w:rFonts w:ascii="Aptos Narrow" w:hAnsi="Aptos Narrow"/>
                <w:color w:val="000000"/>
                <w:sz w:val="22"/>
              </w:rPr>
              <w:t>Coffee</w:t>
            </w:r>
          </w:p>
        </w:tc>
        <w:tc>
          <w:tcPr>
            <w:tcW w:w="1264" w:type="dxa"/>
          </w:tcPr>
          <w:p w14:paraId="64547C32"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24" w:type="dxa"/>
          </w:tcPr>
          <w:p w14:paraId="182D6534"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31" w:type="dxa"/>
          </w:tcPr>
          <w:p w14:paraId="209049F8"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1</w:t>
            </w:r>
          </w:p>
        </w:tc>
        <w:tc>
          <w:tcPr>
            <w:tcW w:w="1577" w:type="dxa"/>
          </w:tcPr>
          <w:p w14:paraId="5A726CE9"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0.5</w:t>
            </w:r>
          </w:p>
        </w:tc>
        <w:tc>
          <w:tcPr>
            <w:tcW w:w="785" w:type="dxa"/>
          </w:tcPr>
          <w:p w14:paraId="72C8FADC"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t>2,000</w:t>
            </w:r>
          </w:p>
        </w:tc>
      </w:tr>
      <w:tr w:rsidR="00F81753" w:rsidRPr="006A5892" w14:paraId="3DD61FBA"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vAlign w:val="bottom"/>
          </w:tcPr>
          <w:p w14:paraId="54E47482" w14:textId="77777777" w:rsidR="00F81753" w:rsidRPr="006A5892" w:rsidRDefault="00F81753" w:rsidP="0089347F">
            <w:pPr>
              <w:jc w:val="center"/>
              <w:rPr>
                <w:szCs w:val="18"/>
              </w:rPr>
            </w:pPr>
            <w:r w:rsidRPr="006A5892">
              <w:rPr>
                <w:rFonts w:ascii="Aptos Narrow" w:hAnsi="Aptos Narrow"/>
                <w:color w:val="000000"/>
                <w:sz w:val="22"/>
              </w:rPr>
              <w:t>Palm Oil (kg)*</w:t>
            </w:r>
          </w:p>
        </w:tc>
        <w:tc>
          <w:tcPr>
            <w:tcW w:w="1264" w:type="dxa"/>
          </w:tcPr>
          <w:p w14:paraId="5B567EAF"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24" w:type="dxa"/>
          </w:tcPr>
          <w:p w14:paraId="2046E927"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c>
          <w:tcPr>
            <w:tcW w:w="1531" w:type="dxa"/>
          </w:tcPr>
          <w:p w14:paraId="5B6B2E05"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10</w:t>
            </w:r>
          </w:p>
        </w:tc>
        <w:tc>
          <w:tcPr>
            <w:tcW w:w="1577" w:type="dxa"/>
          </w:tcPr>
          <w:p w14:paraId="39D16024"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20</w:t>
            </w:r>
          </w:p>
        </w:tc>
        <w:tc>
          <w:tcPr>
            <w:tcW w:w="785" w:type="dxa"/>
          </w:tcPr>
          <w:p w14:paraId="30621541"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t>20</w:t>
            </w:r>
          </w:p>
        </w:tc>
      </w:tr>
      <w:tr w:rsidR="00F81753" w:rsidRPr="006A5892" w14:paraId="13B9B260"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5A8BF67D" w14:textId="77777777" w:rsidR="00F81753" w:rsidRPr="006A5892" w:rsidRDefault="00F81753" w:rsidP="0089347F">
            <w:pPr>
              <w:jc w:val="center"/>
              <w:rPr>
                <w:szCs w:val="18"/>
              </w:rPr>
            </w:pPr>
          </w:p>
        </w:tc>
        <w:tc>
          <w:tcPr>
            <w:tcW w:w="1264" w:type="dxa"/>
          </w:tcPr>
          <w:p w14:paraId="467C0408"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24" w:type="dxa"/>
          </w:tcPr>
          <w:p w14:paraId="1EB392F5"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31" w:type="dxa"/>
          </w:tcPr>
          <w:p w14:paraId="6A1971A1"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77" w:type="dxa"/>
          </w:tcPr>
          <w:p w14:paraId="6D292944"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785" w:type="dxa"/>
          </w:tcPr>
          <w:p w14:paraId="5F21189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5A5B67C1"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5FCCBF7" w14:textId="77777777" w:rsidR="00F81753" w:rsidRPr="006A5892" w:rsidRDefault="00F81753" w:rsidP="0089347F">
            <w:pPr>
              <w:jc w:val="center"/>
              <w:rPr>
                <w:szCs w:val="18"/>
              </w:rPr>
            </w:pPr>
            <w:r w:rsidRPr="006A5892">
              <w:rPr>
                <w:szCs w:val="18"/>
              </w:rPr>
              <w:t>Management</w:t>
            </w:r>
          </w:p>
        </w:tc>
        <w:tc>
          <w:tcPr>
            <w:tcW w:w="1264" w:type="dxa"/>
          </w:tcPr>
          <w:p w14:paraId="5E299A52"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None</w:t>
            </w:r>
          </w:p>
        </w:tc>
        <w:tc>
          <w:tcPr>
            <w:tcW w:w="1524" w:type="dxa"/>
          </w:tcPr>
          <w:p w14:paraId="7D122296"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Brush Clearing</w:t>
            </w:r>
          </w:p>
        </w:tc>
        <w:tc>
          <w:tcPr>
            <w:tcW w:w="1531" w:type="dxa"/>
          </w:tcPr>
          <w:p w14:paraId="3BC5DCCA"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Active light management, pruning and high pruning space filling.</w:t>
            </w:r>
          </w:p>
          <w:p w14:paraId="30B3F472"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p w14:paraId="02B582B3"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20% of husk used for burning and compost respectively.</w:t>
            </w:r>
          </w:p>
        </w:tc>
        <w:tc>
          <w:tcPr>
            <w:tcW w:w="1577" w:type="dxa"/>
          </w:tcPr>
          <w:p w14:paraId="0863B2DF"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Shade management removal overly competitive species, underplanting, coppicing etc.</w:t>
            </w:r>
          </w:p>
          <w:p w14:paraId="73D1BE12"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p w14:paraId="5075BE0D"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p w14:paraId="5008DDA7"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20% of husk used for burning and compost respectively.</w:t>
            </w:r>
          </w:p>
        </w:tc>
        <w:tc>
          <w:tcPr>
            <w:tcW w:w="785" w:type="dxa"/>
          </w:tcPr>
          <w:p w14:paraId="7F2C1CD7"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411BAB73"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7FA8367E" w14:textId="77777777" w:rsidR="00F81753" w:rsidRPr="006A5892" w:rsidRDefault="00F81753" w:rsidP="0089347F">
            <w:pPr>
              <w:jc w:val="center"/>
              <w:rPr>
                <w:szCs w:val="18"/>
              </w:rPr>
            </w:pPr>
          </w:p>
        </w:tc>
        <w:tc>
          <w:tcPr>
            <w:tcW w:w="1264" w:type="dxa"/>
          </w:tcPr>
          <w:p w14:paraId="733F88BD"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24" w:type="dxa"/>
          </w:tcPr>
          <w:p w14:paraId="676DBC5C"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31" w:type="dxa"/>
          </w:tcPr>
          <w:p w14:paraId="77DFFF71"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1577" w:type="dxa"/>
          </w:tcPr>
          <w:p w14:paraId="67579313"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c>
          <w:tcPr>
            <w:tcW w:w="785" w:type="dxa"/>
          </w:tcPr>
          <w:p w14:paraId="25B23804"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2CFABF06"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D8D24E1" w14:textId="77777777" w:rsidR="00F81753" w:rsidRPr="006A5892" w:rsidRDefault="00F81753" w:rsidP="0089347F">
            <w:pPr>
              <w:jc w:val="center"/>
              <w:rPr>
                <w:szCs w:val="18"/>
              </w:rPr>
            </w:pPr>
            <w:r w:rsidRPr="006A5892">
              <w:rPr>
                <w:szCs w:val="18"/>
              </w:rPr>
              <w:t>Output MC</w:t>
            </w:r>
          </w:p>
        </w:tc>
        <w:tc>
          <w:tcPr>
            <w:tcW w:w="1264" w:type="dxa"/>
          </w:tcPr>
          <w:p w14:paraId="0ACCBE3B"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w:t>
            </w:r>
          </w:p>
        </w:tc>
        <w:tc>
          <w:tcPr>
            <w:tcW w:w="1524" w:type="dxa"/>
          </w:tcPr>
          <w:p w14:paraId="6BAAA5E3"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w:t>
            </w:r>
          </w:p>
        </w:tc>
        <w:tc>
          <w:tcPr>
            <w:tcW w:w="1531" w:type="dxa"/>
          </w:tcPr>
          <w:p w14:paraId="0CAAE81C"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10%/30%</w:t>
            </w:r>
          </w:p>
        </w:tc>
        <w:tc>
          <w:tcPr>
            <w:tcW w:w="1577" w:type="dxa"/>
          </w:tcPr>
          <w:p w14:paraId="13972A5B"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10%/30%</w:t>
            </w:r>
          </w:p>
        </w:tc>
        <w:tc>
          <w:tcPr>
            <w:tcW w:w="785" w:type="dxa"/>
          </w:tcPr>
          <w:p w14:paraId="294090AB"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425A56A9" w14:textId="77777777" w:rsidTr="0089347F">
        <w:tc>
          <w:tcPr>
            <w:cnfStyle w:val="001000000000" w:firstRow="0" w:lastRow="0" w:firstColumn="1" w:lastColumn="0" w:oddVBand="0" w:evenVBand="0" w:oddHBand="0" w:evenHBand="0" w:firstRowFirstColumn="0" w:firstRowLastColumn="0" w:lastRowFirstColumn="0" w:lastRowLastColumn="0"/>
            <w:tcW w:w="1550" w:type="dxa"/>
            <w:shd w:val="clear" w:color="auto" w:fill="FFC000" w:themeFill="accent4"/>
          </w:tcPr>
          <w:p w14:paraId="2A7F06EC" w14:textId="77777777" w:rsidR="00F81753" w:rsidRPr="006A5892" w:rsidRDefault="00F81753" w:rsidP="0089347F">
            <w:pPr>
              <w:jc w:val="center"/>
              <w:rPr>
                <w:szCs w:val="18"/>
              </w:rPr>
            </w:pPr>
            <w:r w:rsidRPr="006A5892">
              <w:rPr>
                <w:color w:val="00B050"/>
                <w:szCs w:val="18"/>
              </w:rPr>
              <w:t>Next Stage</w:t>
            </w:r>
          </w:p>
        </w:tc>
        <w:tc>
          <w:tcPr>
            <w:tcW w:w="5896" w:type="dxa"/>
            <w:gridSpan w:val="4"/>
            <w:shd w:val="clear" w:color="auto" w:fill="FFC000" w:themeFill="accent4"/>
          </w:tcPr>
          <w:p w14:paraId="663958F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b/>
                <w:bCs/>
                <w:szCs w:val="18"/>
              </w:rPr>
            </w:pPr>
            <w:r w:rsidRPr="006A5892">
              <w:rPr>
                <w:b/>
                <w:bCs/>
                <w:szCs w:val="18"/>
              </w:rPr>
              <w:t>Cooperative Office</w:t>
            </w:r>
          </w:p>
        </w:tc>
        <w:tc>
          <w:tcPr>
            <w:tcW w:w="785" w:type="dxa"/>
            <w:shd w:val="clear" w:color="auto" w:fill="FFC000" w:themeFill="accent4"/>
          </w:tcPr>
          <w:p w14:paraId="41179FCD"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b/>
                <w:bCs/>
                <w:szCs w:val="18"/>
              </w:rPr>
            </w:pPr>
          </w:p>
        </w:tc>
      </w:tr>
      <w:tr w:rsidR="00F81753" w:rsidRPr="006A5892" w14:paraId="6C81B1AA"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1EBB6D69" w14:textId="77777777" w:rsidR="00F81753" w:rsidRPr="006A5892" w:rsidRDefault="00F81753" w:rsidP="0089347F">
            <w:pPr>
              <w:jc w:val="center"/>
              <w:rPr>
                <w:szCs w:val="18"/>
              </w:rPr>
            </w:pPr>
            <w:r w:rsidRPr="006A5892">
              <w:rPr>
                <w:szCs w:val="18"/>
              </w:rPr>
              <w:t>Delivery Distance</w:t>
            </w:r>
          </w:p>
        </w:tc>
        <w:tc>
          <w:tcPr>
            <w:tcW w:w="1264" w:type="dxa"/>
          </w:tcPr>
          <w:p w14:paraId="17610AB9"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5 km</w:t>
            </w:r>
          </w:p>
        </w:tc>
        <w:tc>
          <w:tcPr>
            <w:tcW w:w="1524" w:type="dxa"/>
          </w:tcPr>
          <w:p w14:paraId="00E509D1"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5 km</w:t>
            </w:r>
          </w:p>
        </w:tc>
        <w:tc>
          <w:tcPr>
            <w:tcW w:w="1531" w:type="dxa"/>
          </w:tcPr>
          <w:p w14:paraId="6DB649A6"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5 km</w:t>
            </w:r>
          </w:p>
        </w:tc>
        <w:tc>
          <w:tcPr>
            <w:tcW w:w="1577" w:type="dxa"/>
          </w:tcPr>
          <w:p w14:paraId="05346463"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5 km</w:t>
            </w:r>
          </w:p>
        </w:tc>
        <w:tc>
          <w:tcPr>
            <w:tcW w:w="785" w:type="dxa"/>
          </w:tcPr>
          <w:p w14:paraId="45FBEB61"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5A87F91B"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4689C742" w14:textId="77777777" w:rsidR="00F81753" w:rsidRPr="006A5892" w:rsidRDefault="00F81753" w:rsidP="0089347F">
            <w:pPr>
              <w:jc w:val="center"/>
              <w:rPr>
                <w:szCs w:val="18"/>
              </w:rPr>
            </w:pPr>
            <w:r w:rsidRPr="006A5892">
              <w:rPr>
                <w:szCs w:val="18"/>
              </w:rPr>
              <w:lastRenderedPageBreak/>
              <w:t>Transport Mode</w:t>
            </w:r>
          </w:p>
        </w:tc>
        <w:tc>
          <w:tcPr>
            <w:tcW w:w="5896" w:type="dxa"/>
            <w:gridSpan w:val="4"/>
          </w:tcPr>
          <w:p w14:paraId="2EAE1C99"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Motorcycle with 2 x 62 kg bags.</w:t>
            </w:r>
          </w:p>
        </w:tc>
        <w:tc>
          <w:tcPr>
            <w:tcW w:w="785" w:type="dxa"/>
          </w:tcPr>
          <w:p w14:paraId="688BE974"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4FBA983C"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D6C6537" w14:textId="77777777" w:rsidR="00F81753" w:rsidRPr="006A5892" w:rsidRDefault="00F81753" w:rsidP="0089347F">
            <w:pPr>
              <w:jc w:val="center"/>
              <w:rPr>
                <w:szCs w:val="18"/>
              </w:rPr>
            </w:pPr>
            <w:r w:rsidRPr="006A5892">
              <w:rPr>
                <w:szCs w:val="18"/>
              </w:rPr>
              <w:t>Mode of Drying</w:t>
            </w:r>
          </w:p>
        </w:tc>
        <w:tc>
          <w:tcPr>
            <w:tcW w:w="1264" w:type="dxa"/>
          </w:tcPr>
          <w:p w14:paraId="3273B1BE"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Solar</w:t>
            </w:r>
          </w:p>
        </w:tc>
        <w:tc>
          <w:tcPr>
            <w:tcW w:w="1524" w:type="dxa"/>
          </w:tcPr>
          <w:p w14:paraId="1B7699CC"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Solar</w:t>
            </w:r>
          </w:p>
        </w:tc>
        <w:tc>
          <w:tcPr>
            <w:tcW w:w="1531" w:type="dxa"/>
          </w:tcPr>
          <w:p w14:paraId="2FF6DD6F"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Solar/NA</w:t>
            </w:r>
          </w:p>
        </w:tc>
        <w:tc>
          <w:tcPr>
            <w:tcW w:w="1577" w:type="dxa"/>
          </w:tcPr>
          <w:p w14:paraId="2C99B940"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Solar/NA</w:t>
            </w:r>
          </w:p>
        </w:tc>
        <w:tc>
          <w:tcPr>
            <w:tcW w:w="785" w:type="dxa"/>
          </w:tcPr>
          <w:p w14:paraId="2064A27F"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32609A8A"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446F152E" w14:textId="77777777" w:rsidR="00F81753" w:rsidRPr="006A5892" w:rsidRDefault="00F81753" w:rsidP="0089347F">
            <w:pPr>
              <w:jc w:val="center"/>
              <w:rPr>
                <w:szCs w:val="18"/>
              </w:rPr>
            </w:pPr>
            <w:r w:rsidRPr="006A5892">
              <w:rPr>
                <w:szCs w:val="18"/>
              </w:rPr>
              <w:t>Output MC</w:t>
            </w:r>
          </w:p>
        </w:tc>
        <w:tc>
          <w:tcPr>
            <w:tcW w:w="1264" w:type="dxa"/>
          </w:tcPr>
          <w:p w14:paraId="748C6850"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7%</w:t>
            </w:r>
          </w:p>
        </w:tc>
        <w:tc>
          <w:tcPr>
            <w:tcW w:w="1524" w:type="dxa"/>
          </w:tcPr>
          <w:p w14:paraId="498AC6C3"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7%</w:t>
            </w:r>
          </w:p>
        </w:tc>
        <w:tc>
          <w:tcPr>
            <w:tcW w:w="1531" w:type="dxa"/>
          </w:tcPr>
          <w:p w14:paraId="6BF810D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7%/10%/30%</w:t>
            </w:r>
          </w:p>
        </w:tc>
        <w:tc>
          <w:tcPr>
            <w:tcW w:w="1577" w:type="dxa"/>
          </w:tcPr>
          <w:p w14:paraId="26ABC8F3"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7%/10/30%</w:t>
            </w:r>
          </w:p>
        </w:tc>
        <w:tc>
          <w:tcPr>
            <w:tcW w:w="785" w:type="dxa"/>
          </w:tcPr>
          <w:p w14:paraId="2748E407"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58845AE2"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FFC000" w:themeFill="accent4"/>
          </w:tcPr>
          <w:p w14:paraId="3F156A3D" w14:textId="77777777" w:rsidR="00F81753" w:rsidRPr="006A5892" w:rsidRDefault="00F81753" w:rsidP="0089347F">
            <w:pPr>
              <w:jc w:val="center"/>
              <w:rPr>
                <w:szCs w:val="18"/>
              </w:rPr>
            </w:pPr>
            <w:r w:rsidRPr="006A5892">
              <w:rPr>
                <w:color w:val="00B050"/>
                <w:szCs w:val="18"/>
              </w:rPr>
              <w:t>Next Stage</w:t>
            </w:r>
          </w:p>
        </w:tc>
        <w:tc>
          <w:tcPr>
            <w:tcW w:w="5896" w:type="dxa"/>
            <w:gridSpan w:val="4"/>
            <w:shd w:val="clear" w:color="auto" w:fill="FFC000" w:themeFill="accent4"/>
          </w:tcPr>
          <w:p w14:paraId="3399724A"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b/>
                <w:bCs/>
                <w:szCs w:val="18"/>
              </w:rPr>
              <w:t>Trader store</w:t>
            </w:r>
          </w:p>
        </w:tc>
        <w:tc>
          <w:tcPr>
            <w:tcW w:w="785" w:type="dxa"/>
            <w:shd w:val="clear" w:color="auto" w:fill="FFC000" w:themeFill="accent4"/>
          </w:tcPr>
          <w:p w14:paraId="20C24957"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b/>
                <w:bCs/>
                <w:szCs w:val="18"/>
              </w:rPr>
            </w:pPr>
          </w:p>
        </w:tc>
      </w:tr>
      <w:tr w:rsidR="00F81753" w:rsidRPr="006A5892" w14:paraId="4BD3107A"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689F667E" w14:textId="77777777" w:rsidR="00F81753" w:rsidRPr="006A5892" w:rsidRDefault="00F81753" w:rsidP="0089347F">
            <w:pPr>
              <w:jc w:val="center"/>
              <w:rPr>
                <w:szCs w:val="18"/>
              </w:rPr>
            </w:pPr>
            <w:r w:rsidRPr="006A5892">
              <w:rPr>
                <w:szCs w:val="18"/>
              </w:rPr>
              <w:t>Delivery Distance</w:t>
            </w:r>
          </w:p>
        </w:tc>
        <w:tc>
          <w:tcPr>
            <w:tcW w:w="2788" w:type="dxa"/>
            <w:gridSpan w:val="2"/>
          </w:tcPr>
          <w:p w14:paraId="462BDA2C"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10 miles (16 km)</w:t>
            </w:r>
          </w:p>
        </w:tc>
        <w:tc>
          <w:tcPr>
            <w:tcW w:w="3108" w:type="dxa"/>
            <w:gridSpan w:val="2"/>
          </w:tcPr>
          <w:p w14:paraId="1B5DA121"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28 miles (45 km)</w:t>
            </w:r>
          </w:p>
        </w:tc>
        <w:tc>
          <w:tcPr>
            <w:tcW w:w="785" w:type="dxa"/>
          </w:tcPr>
          <w:p w14:paraId="71FB2BFA" w14:textId="77777777" w:rsidR="00F81753" w:rsidRPr="006A5892" w:rsidRDefault="00F81753" w:rsidP="0089347F">
            <w:pP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6213C27E"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7B2BFF7E" w14:textId="77777777" w:rsidR="00F81753" w:rsidRPr="006A5892" w:rsidRDefault="00F81753" w:rsidP="0089347F">
            <w:pPr>
              <w:jc w:val="center"/>
              <w:rPr>
                <w:szCs w:val="18"/>
              </w:rPr>
            </w:pPr>
            <w:r w:rsidRPr="006A5892">
              <w:rPr>
                <w:szCs w:val="18"/>
              </w:rPr>
              <w:t>Transport Mode</w:t>
            </w:r>
          </w:p>
        </w:tc>
        <w:tc>
          <w:tcPr>
            <w:tcW w:w="5896" w:type="dxa"/>
            <w:gridSpan w:val="4"/>
          </w:tcPr>
          <w:p w14:paraId="61F5898B"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Large (10 tonne) truck</w:t>
            </w:r>
          </w:p>
        </w:tc>
        <w:tc>
          <w:tcPr>
            <w:tcW w:w="785" w:type="dxa"/>
          </w:tcPr>
          <w:p w14:paraId="23AA949B" w14:textId="77777777" w:rsidR="00F81753" w:rsidRPr="006A5892" w:rsidRDefault="00F81753" w:rsidP="0089347F">
            <w:pP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04286F7D"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2B1940DA" w14:textId="77777777" w:rsidR="00F81753" w:rsidRPr="006A5892" w:rsidRDefault="00F81753" w:rsidP="0089347F">
            <w:pPr>
              <w:jc w:val="center"/>
              <w:rPr>
                <w:szCs w:val="18"/>
              </w:rPr>
            </w:pPr>
            <w:r w:rsidRPr="006A5892">
              <w:rPr>
                <w:szCs w:val="18"/>
              </w:rPr>
              <w:t>Mode of Drying</w:t>
            </w:r>
          </w:p>
        </w:tc>
        <w:tc>
          <w:tcPr>
            <w:tcW w:w="1264" w:type="dxa"/>
          </w:tcPr>
          <w:p w14:paraId="02D9C650"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NA</w:t>
            </w:r>
          </w:p>
        </w:tc>
        <w:tc>
          <w:tcPr>
            <w:tcW w:w="1524" w:type="dxa"/>
          </w:tcPr>
          <w:p w14:paraId="779999BD"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NA</w:t>
            </w:r>
          </w:p>
        </w:tc>
        <w:tc>
          <w:tcPr>
            <w:tcW w:w="3108" w:type="dxa"/>
            <w:gridSpan w:val="2"/>
          </w:tcPr>
          <w:p w14:paraId="5AABEE15"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r w:rsidRPr="006A5892">
              <w:rPr>
                <w:szCs w:val="18"/>
              </w:rPr>
              <w:t>LPG if needed</w:t>
            </w:r>
          </w:p>
        </w:tc>
        <w:tc>
          <w:tcPr>
            <w:tcW w:w="785" w:type="dxa"/>
          </w:tcPr>
          <w:p w14:paraId="10D9874E"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szCs w:val="18"/>
              </w:rPr>
            </w:pPr>
          </w:p>
        </w:tc>
      </w:tr>
      <w:tr w:rsidR="00F81753" w:rsidRPr="006A5892" w14:paraId="070088C8"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1E49D213" w14:textId="77777777" w:rsidR="00F81753" w:rsidRPr="006A5892" w:rsidRDefault="00F81753" w:rsidP="0089347F">
            <w:pPr>
              <w:jc w:val="center"/>
              <w:rPr>
                <w:szCs w:val="18"/>
              </w:rPr>
            </w:pPr>
            <w:r w:rsidRPr="006A5892">
              <w:rPr>
                <w:szCs w:val="18"/>
              </w:rPr>
              <w:t>Output MC</w:t>
            </w:r>
          </w:p>
        </w:tc>
        <w:tc>
          <w:tcPr>
            <w:tcW w:w="1264" w:type="dxa"/>
          </w:tcPr>
          <w:p w14:paraId="110CD735"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7%</w:t>
            </w:r>
          </w:p>
        </w:tc>
        <w:tc>
          <w:tcPr>
            <w:tcW w:w="1524" w:type="dxa"/>
          </w:tcPr>
          <w:p w14:paraId="34A8B77D"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7%</w:t>
            </w:r>
          </w:p>
        </w:tc>
        <w:tc>
          <w:tcPr>
            <w:tcW w:w="1531" w:type="dxa"/>
          </w:tcPr>
          <w:p w14:paraId="479408D5"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7%</w:t>
            </w:r>
          </w:p>
        </w:tc>
        <w:tc>
          <w:tcPr>
            <w:tcW w:w="1577" w:type="dxa"/>
          </w:tcPr>
          <w:p w14:paraId="1523A5BA"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7%</w:t>
            </w:r>
          </w:p>
        </w:tc>
        <w:tc>
          <w:tcPr>
            <w:tcW w:w="785" w:type="dxa"/>
          </w:tcPr>
          <w:p w14:paraId="13999BF4"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43096345" w14:textId="77777777" w:rsidTr="0089347F">
        <w:tc>
          <w:tcPr>
            <w:cnfStyle w:val="001000000000" w:firstRow="0" w:lastRow="0" w:firstColumn="1" w:lastColumn="0" w:oddVBand="0" w:evenVBand="0" w:oddHBand="0" w:evenHBand="0" w:firstRowFirstColumn="0" w:firstRowLastColumn="0" w:lastRowFirstColumn="0" w:lastRowLastColumn="0"/>
            <w:tcW w:w="1550" w:type="dxa"/>
            <w:shd w:val="clear" w:color="auto" w:fill="FFC000"/>
          </w:tcPr>
          <w:p w14:paraId="3A8C096B" w14:textId="77777777" w:rsidR="00F81753" w:rsidRPr="006A5892" w:rsidRDefault="00F81753" w:rsidP="0089347F">
            <w:pPr>
              <w:jc w:val="center"/>
              <w:rPr>
                <w:color w:val="00B050"/>
                <w:szCs w:val="18"/>
              </w:rPr>
            </w:pPr>
            <w:r w:rsidRPr="006A5892">
              <w:rPr>
                <w:color w:val="00B050"/>
                <w:szCs w:val="18"/>
              </w:rPr>
              <w:t>Next Stage</w:t>
            </w:r>
          </w:p>
        </w:tc>
        <w:tc>
          <w:tcPr>
            <w:tcW w:w="5896" w:type="dxa"/>
            <w:gridSpan w:val="4"/>
            <w:shd w:val="clear" w:color="auto" w:fill="FFC000"/>
          </w:tcPr>
          <w:p w14:paraId="29522085"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b/>
                <w:bCs/>
                <w:color w:val="00B050"/>
                <w:szCs w:val="18"/>
              </w:rPr>
            </w:pPr>
            <w:r w:rsidRPr="006A5892">
              <w:rPr>
                <w:b/>
                <w:bCs/>
                <w:szCs w:val="18"/>
              </w:rPr>
              <w:t>Port</w:t>
            </w:r>
          </w:p>
        </w:tc>
        <w:tc>
          <w:tcPr>
            <w:tcW w:w="785" w:type="dxa"/>
            <w:shd w:val="clear" w:color="auto" w:fill="FFC000"/>
          </w:tcPr>
          <w:p w14:paraId="4EB64F34"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b/>
                <w:bCs/>
                <w:szCs w:val="18"/>
              </w:rPr>
            </w:pPr>
          </w:p>
        </w:tc>
      </w:tr>
      <w:tr w:rsidR="00F81753" w:rsidRPr="006A5892" w14:paraId="1C348901" w14:textId="77777777" w:rsidTr="00893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A321EB0" w14:textId="77777777" w:rsidR="00F81753" w:rsidRPr="006A5892" w:rsidRDefault="00F81753" w:rsidP="0089347F">
            <w:pPr>
              <w:jc w:val="center"/>
              <w:rPr>
                <w:szCs w:val="18"/>
              </w:rPr>
            </w:pPr>
            <w:r w:rsidRPr="006A5892">
              <w:rPr>
                <w:szCs w:val="18"/>
              </w:rPr>
              <w:t>Delivery Distance</w:t>
            </w:r>
          </w:p>
        </w:tc>
        <w:tc>
          <w:tcPr>
            <w:tcW w:w="1264" w:type="dxa"/>
          </w:tcPr>
          <w:p w14:paraId="4FD030DC"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305 km</w:t>
            </w:r>
          </w:p>
        </w:tc>
        <w:tc>
          <w:tcPr>
            <w:tcW w:w="1524" w:type="dxa"/>
          </w:tcPr>
          <w:p w14:paraId="00EF497C"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422 km</w:t>
            </w:r>
          </w:p>
        </w:tc>
        <w:tc>
          <w:tcPr>
            <w:tcW w:w="1531" w:type="dxa"/>
          </w:tcPr>
          <w:p w14:paraId="76E2BA30"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422 km</w:t>
            </w:r>
          </w:p>
        </w:tc>
        <w:tc>
          <w:tcPr>
            <w:tcW w:w="1577" w:type="dxa"/>
          </w:tcPr>
          <w:p w14:paraId="730DC0B7"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363 km</w:t>
            </w:r>
          </w:p>
          <w:p w14:paraId="71A72CD4"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r w:rsidRPr="006A5892">
              <w:rPr>
                <w:szCs w:val="18"/>
              </w:rPr>
              <w:t xml:space="preserve">395* km </w:t>
            </w:r>
          </w:p>
        </w:tc>
        <w:tc>
          <w:tcPr>
            <w:tcW w:w="785" w:type="dxa"/>
          </w:tcPr>
          <w:p w14:paraId="356FC710"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szCs w:val="18"/>
              </w:rPr>
            </w:pPr>
          </w:p>
        </w:tc>
      </w:tr>
      <w:tr w:rsidR="00F81753" w:rsidRPr="006A5892" w14:paraId="09902FED" w14:textId="77777777" w:rsidTr="0089347F">
        <w:tc>
          <w:tcPr>
            <w:cnfStyle w:val="001000000000" w:firstRow="0" w:lastRow="0" w:firstColumn="1" w:lastColumn="0" w:oddVBand="0" w:evenVBand="0" w:oddHBand="0" w:evenHBand="0" w:firstRowFirstColumn="0" w:firstRowLastColumn="0" w:lastRowFirstColumn="0" w:lastRowLastColumn="0"/>
            <w:tcW w:w="1550" w:type="dxa"/>
          </w:tcPr>
          <w:p w14:paraId="2678BD30" w14:textId="77777777" w:rsidR="00F81753" w:rsidRPr="006A5892" w:rsidRDefault="00F81753" w:rsidP="0089347F">
            <w:pPr>
              <w:jc w:val="center"/>
              <w:rPr>
                <w:szCs w:val="18"/>
              </w:rPr>
            </w:pPr>
            <w:r w:rsidRPr="006A5892">
              <w:rPr>
                <w:szCs w:val="18"/>
              </w:rPr>
              <w:t>Transport Mode</w:t>
            </w:r>
          </w:p>
        </w:tc>
        <w:tc>
          <w:tcPr>
            <w:tcW w:w="5896" w:type="dxa"/>
            <w:gridSpan w:val="4"/>
          </w:tcPr>
          <w:p w14:paraId="00FE9B68" w14:textId="77777777" w:rsidR="00F81753" w:rsidRPr="006A5892" w:rsidRDefault="00F81753" w:rsidP="0089347F">
            <w:pPr>
              <w:keepNext/>
              <w:cnfStyle w:val="000000000000" w:firstRow="0" w:lastRow="0" w:firstColumn="0" w:lastColumn="0" w:oddVBand="0" w:evenVBand="0" w:oddHBand="0" w:evenHBand="0" w:firstRowFirstColumn="0" w:firstRowLastColumn="0" w:lastRowFirstColumn="0" w:lastRowLastColumn="0"/>
              <w:rPr>
                <w:szCs w:val="18"/>
              </w:rPr>
            </w:pPr>
            <w:r w:rsidRPr="006A5892">
              <w:rPr>
                <w:szCs w:val="18"/>
              </w:rPr>
              <w:t xml:space="preserve">Container/Large (&gt; 20 tonnes) Truck </w:t>
            </w:r>
          </w:p>
        </w:tc>
        <w:tc>
          <w:tcPr>
            <w:tcW w:w="785" w:type="dxa"/>
          </w:tcPr>
          <w:p w14:paraId="429C8467" w14:textId="77777777" w:rsidR="00F81753" w:rsidRPr="006A5892" w:rsidRDefault="00F81753" w:rsidP="0089347F">
            <w:pPr>
              <w:keepNext/>
              <w:cnfStyle w:val="000000000000" w:firstRow="0" w:lastRow="0" w:firstColumn="0" w:lastColumn="0" w:oddVBand="0" w:evenVBand="0" w:oddHBand="0" w:evenHBand="0" w:firstRowFirstColumn="0" w:firstRowLastColumn="0" w:lastRowFirstColumn="0" w:lastRowLastColumn="0"/>
              <w:rPr>
                <w:szCs w:val="18"/>
              </w:rPr>
            </w:pPr>
          </w:p>
        </w:tc>
      </w:tr>
    </w:tbl>
    <w:p w14:paraId="7B8B4121" w14:textId="77777777" w:rsidR="00F81753" w:rsidRPr="006A5892" w:rsidRDefault="00F81753" w:rsidP="00F81753"/>
    <w:p w14:paraId="284E8B5F" w14:textId="77777777" w:rsidR="00F81753" w:rsidRPr="00671B2F" w:rsidRDefault="00F81753" w:rsidP="00F81753">
      <w:pPr>
        <w:rPr>
          <w:b/>
          <w:bCs/>
        </w:rPr>
      </w:pPr>
      <w:r w:rsidRPr="00671B2F">
        <w:rPr>
          <w:b/>
          <w:bCs/>
        </w:rPr>
        <w:t xml:space="preserve">Cocoa and </w:t>
      </w:r>
      <w:proofErr w:type="spellStart"/>
      <w:r w:rsidRPr="00671B2F">
        <w:rPr>
          <w:b/>
          <w:bCs/>
        </w:rPr>
        <w:t>Agroforesty</w:t>
      </w:r>
      <w:proofErr w:type="spellEnd"/>
    </w:p>
    <w:p w14:paraId="68458311" w14:textId="77777777" w:rsidR="00F81753" w:rsidRPr="006A5892" w:rsidRDefault="00F81753" w:rsidP="00F81753">
      <w:r w:rsidRPr="006A5892">
        <w:t xml:space="preserve">The global forest watch (Resource Watch, 2025) estimates that Sierra Leone has a total carbon stock of 740 Mt </w:t>
      </w:r>
      <w:proofErr w:type="gramStart"/>
      <w:r w:rsidRPr="006A5892">
        <w:t>C ,</w:t>
      </w:r>
      <w:proofErr w:type="gramEnd"/>
      <w:r w:rsidRPr="006A5892">
        <w:t xml:space="preserve"> with aboveground biomass (&gt; 30% Canopy), belowground biomass and soil contributing 45%, 12% and 43% respectively. Similarly, between 2001 and 2024 Sierra Leone lost a cumulative humid primary forest area of 43, 000 ha, with an estimated gross carbon loss of 21 Mt </w:t>
      </w:r>
      <w:proofErr w:type="spellStart"/>
      <w:r w:rsidRPr="006A5892">
        <w:t>CO</w:t>
      </w:r>
      <w:r w:rsidRPr="006A5892">
        <w:rPr>
          <w:rFonts w:ascii="Cambria Math" w:hAnsi="Cambria Math" w:cs="Cambria Math"/>
        </w:rPr>
        <w:t>₂</w:t>
      </w:r>
      <w:r w:rsidRPr="006A5892">
        <w:t>e</w:t>
      </w:r>
      <w:proofErr w:type="spellEnd"/>
      <w:r w:rsidRPr="006A5892">
        <w:t xml:space="preserve">. Across all forest types over that period, it is estimated that Sierra Leone emitted 45 Mt </w:t>
      </w:r>
      <w:proofErr w:type="spellStart"/>
      <w:r w:rsidRPr="006A5892">
        <w:t>CO</w:t>
      </w:r>
      <w:r w:rsidRPr="006A5892">
        <w:rPr>
          <w:rFonts w:ascii="Cambria Math" w:hAnsi="Cambria Math" w:cs="Cambria Math"/>
        </w:rPr>
        <w:t>₂</w:t>
      </w:r>
      <w:r w:rsidRPr="006A5892">
        <w:t>e</w:t>
      </w:r>
      <w:proofErr w:type="spellEnd"/>
      <w:r w:rsidRPr="006A5892">
        <w:t xml:space="preserve">/year, and removed -36 </w:t>
      </w:r>
      <w:proofErr w:type="spellStart"/>
      <w:r w:rsidRPr="006A5892">
        <w:t>MtCO</w:t>
      </w:r>
      <w:r w:rsidRPr="006A5892">
        <w:rPr>
          <w:rFonts w:ascii="Cambria Math" w:hAnsi="Cambria Math" w:cs="Cambria Math"/>
        </w:rPr>
        <w:t>₂</w:t>
      </w:r>
      <w:r w:rsidRPr="006A5892">
        <w:t>e</w:t>
      </w:r>
      <w:proofErr w:type="spellEnd"/>
      <w:r w:rsidRPr="006A5892">
        <w:t xml:space="preserve">/year reflecting a negative carbon balance i.e. a net carbon source of 9.0 Mt </w:t>
      </w:r>
      <w:proofErr w:type="spellStart"/>
      <w:r w:rsidRPr="006A5892">
        <w:t>CO</w:t>
      </w:r>
      <w:r w:rsidRPr="006A5892">
        <w:rPr>
          <w:rFonts w:ascii="Cambria Math" w:hAnsi="Cambria Math" w:cs="Cambria Math"/>
        </w:rPr>
        <w:t>₂</w:t>
      </w:r>
      <w:r w:rsidRPr="006A5892">
        <w:t>e</w:t>
      </w:r>
      <w:proofErr w:type="spellEnd"/>
      <w:r w:rsidRPr="006A5892">
        <w:t xml:space="preserve">/year (Figure 1). Establishment of permanent agricultural is estimated to be a driver of deforestation result in the release of 6.0 Mt </w:t>
      </w:r>
      <w:proofErr w:type="spellStart"/>
      <w:r w:rsidRPr="006A5892">
        <w:t>CO</w:t>
      </w:r>
      <w:r w:rsidRPr="006A5892">
        <w:rPr>
          <w:rFonts w:ascii="Cambria Math" w:hAnsi="Cambria Math" w:cs="Cambria Math"/>
        </w:rPr>
        <w:t>₂</w:t>
      </w:r>
      <w:r w:rsidRPr="006A5892">
        <w:t>e</w:t>
      </w:r>
      <w:proofErr w:type="spellEnd"/>
      <w:r w:rsidRPr="006A5892">
        <w:t xml:space="preserve"> per year, however this is approximately 17% of the estimate for emissions due to shifting cultivation which whilst considered to be source of </w:t>
      </w:r>
      <w:r w:rsidRPr="006A5892">
        <w:rPr>
          <w:rFonts w:cs="Open Sans"/>
        </w:rPr>
        <w:t>“</w:t>
      </w:r>
      <w:r w:rsidRPr="006A5892">
        <w:t>temporary disturbances</w:t>
      </w:r>
      <w:r w:rsidRPr="006A5892">
        <w:rPr>
          <w:rFonts w:cs="Open Sans"/>
        </w:rPr>
        <w:t>”</w:t>
      </w:r>
      <w:r w:rsidRPr="006A5892">
        <w:t xml:space="preserve"> is identified as the main driver of forest-related greenhouse gas emissions in Sierra Leone.  In terms of carbon storage potential, </w:t>
      </w:r>
      <w:proofErr w:type="gramStart"/>
      <w:r w:rsidRPr="006A5892">
        <w:t>a number of</w:t>
      </w:r>
      <w:proofErr w:type="gramEnd"/>
      <w:r w:rsidRPr="006A5892">
        <w:t xml:space="preserve"> different factors influence the capacity of agroforestry systems to accumulate carbon both in cocoa and other trees. The more shaded management types tend to have taller, more structurally complex canopies, which </w:t>
      </w:r>
      <w:proofErr w:type="gramStart"/>
      <w:r w:rsidRPr="006A5892">
        <w:t>is</w:t>
      </w:r>
      <w:proofErr w:type="gramEnd"/>
      <w:r w:rsidRPr="006A5892">
        <w:t xml:space="preserve"> strongly correlated with higher biomass and therefore higher carbon stocks. A study for Côte d’Ivoire (UNEP-WCMC, 2021) suggests that at national scale, transitioning from current (high % full sun) management to high shade agroforestry in all cocoa areas (classified forests + rural domain) would increase national stocks from 173 Mt C to 533 Mt C. Even a less ambitious scenario (partial shade in the rural domain, high shade in classified forests) yields an additional 120 Mt C (approx. 440 Mt </w:t>
      </w:r>
      <w:proofErr w:type="spellStart"/>
      <w:r w:rsidRPr="006A5892">
        <w:t>CO</w:t>
      </w:r>
      <w:r w:rsidRPr="006A5892">
        <w:rPr>
          <w:rFonts w:ascii="Cambria Math" w:hAnsi="Cambria Math" w:cs="Cambria Math"/>
        </w:rPr>
        <w:t>₂</w:t>
      </w:r>
      <w:r w:rsidRPr="006A5892">
        <w:t>e</w:t>
      </w:r>
      <w:proofErr w:type="spellEnd"/>
      <w:r w:rsidRPr="006A5892">
        <w:t>).</w:t>
      </w:r>
    </w:p>
    <w:p w14:paraId="4DC20EEC" w14:textId="77777777" w:rsidR="00F81753" w:rsidRPr="006A5892" w:rsidRDefault="00F81753" w:rsidP="00F81753"/>
    <w:p w14:paraId="28C35538" w14:textId="77777777" w:rsidR="00F81753" w:rsidRPr="006A5892" w:rsidRDefault="00F81753" w:rsidP="00F81753">
      <w:r w:rsidRPr="006A5892">
        <w:t xml:space="preserve">Shade % on its own does not guarantee high carbon storage potential, equally important is shade tree density and composition (e.g. many large-crowned timber species vs a few small fruit trees) strongly affect carbon via biomass amount, wood density, tree height and longevity. More </w:t>
      </w:r>
      <w:proofErr w:type="gramStart"/>
      <w:r w:rsidRPr="006A5892">
        <w:t>specifically</w:t>
      </w:r>
      <w:proofErr w:type="gramEnd"/>
      <w:r w:rsidRPr="006A5892">
        <w:t xml:space="preserve"> multi-layered stands with tall emergent trees have the potential to store more carbon than low, single-layer canopies. Current carbon stock is largely a function of how much forest biomass and soil carbon were lost during deforestation/degradation and regeneration respectively. Retained trees therefore play a role in terms of both carbon retention and shade provision. In addition, a key question remains as to whether cocoa agroforestry replaces primary forest. The estimates above assumes that primary forestry in Sierra Leone contains carbon stocks of 130-150 t C/ha. This is similar if less than estimates for other parts of West Africa (</w:t>
      </w:r>
      <w:proofErr w:type="spellStart"/>
      <w:r w:rsidRPr="006A5892">
        <w:t>Asase</w:t>
      </w:r>
      <w:proofErr w:type="spellEnd"/>
      <w:r w:rsidRPr="006A5892">
        <w:t xml:space="preserve"> et al., 2012) and Critchley et al. (2021). Therefore, conversion from primary forest should be avoided. The marginal carbon benefit (i.e. carbon balance) of adopting cocoa agroforestry is greatest on severely degraded lands (representing a low or negligible carbon starting point) and </w:t>
      </w:r>
      <w:proofErr w:type="gramStart"/>
      <w:r w:rsidRPr="006A5892">
        <w:t>lowest</w:t>
      </w:r>
      <w:proofErr w:type="gramEnd"/>
      <w:r w:rsidRPr="006A5892">
        <w:t xml:space="preserve"> or negative where high shade agroforests already exist.</w:t>
      </w:r>
    </w:p>
    <w:p w14:paraId="68A904E1" w14:textId="77777777" w:rsidR="00F81753" w:rsidRPr="006A5892" w:rsidRDefault="00F81753" w:rsidP="00F81753"/>
    <w:p w14:paraId="372D2D24" w14:textId="77777777" w:rsidR="00F81753" w:rsidRPr="006A5892" w:rsidRDefault="00F81753" w:rsidP="00F81753">
      <w:r w:rsidRPr="006A5892">
        <w:t xml:space="preserve">Cocoa agroforestry systems in West Africa, whether organically or conventionally managed, function as substantial carbon sinks due to their integration of shade trees that store carbon across above-ground biomass, below-ground biomass, and soils. Comparisons from Ghana demonstrate that organically managed cocoa agroforests consistently accumulate greater carbon stocks than conventional farms, driven primarily by higher shade-tree diversity, increased structural complexity, and greater woody biomass. The same study </w:t>
      </w:r>
      <w:r w:rsidRPr="006A5892">
        <w:lastRenderedPageBreak/>
        <w:t>demonstrated similar estimates of carbon stocks for coarse roots and litter of cocoa trees for organic and conventional farms, meaning that in terms of above ground biomass (AGB) the main determinant is shade tree composition (</w:t>
      </w:r>
      <w:proofErr w:type="spellStart"/>
      <w:r w:rsidRPr="006A5892">
        <w:t>Asigbaase</w:t>
      </w:r>
      <w:proofErr w:type="spellEnd"/>
      <w:r w:rsidRPr="006A5892">
        <w:t xml:space="preserve"> et al., 2021). </w:t>
      </w:r>
    </w:p>
    <w:p w14:paraId="5B298C27" w14:textId="77777777" w:rsidR="00F81753" w:rsidRPr="006A5892" w:rsidRDefault="00F81753" w:rsidP="00F81753"/>
    <w:p w14:paraId="63F29858" w14:textId="77777777" w:rsidR="00F81753" w:rsidRPr="006A5892" w:rsidRDefault="00F81753" w:rsidP="00F81753">
      <w:r w:rsidRPr="006A5892">
        <w:t xml:space="preserve">These patterns reflect broader regional findings demonstrating that shaded cocoa systems store substantially more carbon than full-sun monocultures, with shaded systems in Ghana holding more soil carbon than non-shaded counterparts. While decomposition rates may not differ significantly between management types, the increased biomass inputs and species richness characteristic of organic agroforestry led to enhanced long-term carbon accumulation within ecosystem pools. Collectively, the evidence indicates that organic cocoa agroforestry systems provide a markedly stronger carbon-sink function than conventional systems, offering greater climate-mitigation potential while supporting biodiversity and sustaining ecosystem services essential for long-term cocoa production resilience.  The issue of yield differentials between full sun and cocoa agroforestry system and between organic and inorganic cocoa agroforestry system is more complex than might otherwise be expected. At superficial level full sun systems.  This suggests an apparent trade-off between productivity and climate mitigation, but even this is context specific, whilst Asare et al. (2017) and </w:t>
      </w:r>
      <w:proofErr w:type="spellStart"/>
      <w:r w:rsidRPr="006A5892">
        <w:t>Asitoakor</w:t>
      </w:r>
      <w:proofErr w:type="spellEnd"/>
      <w:r w:rsidRPr="006A5892">
        <w:t xml:space="preserve"> et al. (2023) demonstrate that agroforestry system can present higher yield under nutrient constraints, other studies reinforce low (or no) shade systems will be more productive under intensive </w:t>
      </w:r>
      <w:proofErr w:type="spellStart"/>
      <w:r w:rsidRPr="006A5892">
        <w:t>fertiliser</w:t>
      </w:r>
      <w:proofErr w:type="spellEnd"/>
      <w:r w:rsidRPr="006A5892">
        <w:t xml:space="preserve"> and agrochemical applications. Similarly, the distinction between organic and conventional agroforestry systems is dependent on several determinants.</w:t>
      </w:r>
    </w:p>
    <w:p w14:paraId="6CCB628D" w14:textId="77777777" w:rsidR="00F81753" w:rsidRPr="006A5892" w:rsidRDefault="00F81753" w:rsidP="00F81753"/>
    <w:p w14:paraId="51909B5B" w14:textId="77777777" w:rsidR="00F81753" w:rsidRPr="006A5892" w:rsidRDefault="00F81753" w:rsidP="00F81753">
      <w:pPr>
        <w:rPr>
          <w:b/>
          <w:iCs/>
          <w:sz w:val="22"/>
        </w:rPr>
      </w:pPr>
    </w:p>
    <w:p w14:paraId="33A4CDB2" w14:textId="77777777" w:rsidR="00F81753" w:rsidRPr="006A5892" w:rsidRDefault="00F81753" w:rsidP="00F81753">
      <w:pPr>
        <w:pStyle w:val="Caption"/>
      </w:pPr>
      <w:r w:rsidRPr="006A5892">
        <w:t>Table A2: Carbon Balance</w:t>
      </w:r>
    </w:p>
    <w:p w14:paraId="5474051F" w14:textId="77777777" w:rsidR="00F81753" w:rsidRPr="006A5892" w:rsidRDefault="00F81753" w:rsidP="00F81753"/>
    <w:p w14:paraId="01F55FD7" w14:textId="77777777" w:rsidR="00F81753" w:rsidRPr="006A5892" w:rsidRDefault="00F81753" w:rsidP="00F81753"/>
    <w:tbl>
      <w:tblPr>
        <w:tblStyle w:val="GridTable4-Accent1"/>
        <w:tblW w:w="0" w:type="auto"/>
        <w:jc w:val="center"/>
        <w:tblLook w:val="04A0" w:firstRow="1" w:lastRow="0" w:firstColumn="1" w:lastColumn="0" w:noHBand="0" w:noVBand="1"/>
      </w:tblPr>
      <w:tblGrid>
        <w:gridCol w:w="3874"/>
        <w:gridCol w:w="669"/>
        <w:gridCol w:w="873"/>
        <w:gridCol w:w="1145"/>
      </w:tblGrid>
      <w:tr w:rsidR="00F81753" w:rsidRPr="006A5892" w14:paraId="024A13DD" w14:textId="77777777" w:rsidTr="0089347F">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6A6BF6" w14:textId="77777777" w:rsidR="00F81753" w:rsidRPr="006A5892" w:rsidRDefault="00F81753" w:rsidP="0089347F">
            <w:pPr>
              <w:rPr>
                <w:rFonts w:ascii="Times New Roman" w:eastAsia="Times New Roman" w:hAnsi="Times New Roman" w:cs="Times New Roman"/>
                <w:kern w:val="0"/>
                <w:sz w:val="24"/>
                <w:szCs w:val="24"/>
                <w:lang w:eastAsia="en-GB"/>
                <w14:ligatures w14:val="none"/>
              </w:rPr>
            </w:pPr>
          </w:p>
        </w:tc>
        <w:tc>
          <w:tcPr>
            <w:tcW w:w="0" w:type="auto"/>
            <w:noWrap/>
            <w:hideMark/>
          </w:tcPr>
          <w:p w14:paraId="36BC8055"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t C/ha</w:t>
            </w:r>
          </w:p>
        </w:tc>
        <w:tc>
          <w:tcPr>
            <w:tcW w:w="0" w:type="auto"/>
            <w:noWrap/>
            <w:hideMark/>
          </w:tcPr>
          <w:p w14:paraId="7893FDB0"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t C/ha/yr</w:t>
            </w:r>
          </w:p>
        </w:tc>
        <w:tc>
          <w:tcPr>
            <w:tcW w:w="0" w:type="auto"/>
            <w:noWrap/>
            <w:hideMark/>
          </w:tcPr>
          <w:p w14:paraId="60784DB5" w14:textId="77777777" w:rsidR="00F81753" w:rsidRPr="006A5892" w:rsidRDefault="00F81753" w:rsidP="0089347F">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lang w:eastAsia="en-GB"/>
                <w14:ligatures w14:val="none"/>
              </w:rPr>
            </w:pPr>
            <w:r w:rsidRPr="006A5892">
              <w:rPr>
                <w:rFonts w:ascii="Aptos Narrow" w:eastAsia="Times New Roman" w:hAnsi="Aptos Narrow" w:cs="Times New Roman"/>
                <w:kern w:val="0"/>
                <w:lang w:eastAsia="en-GB"/>
                <w14:ligatures w14:val="none"/>
              </w:rPr>
              <w:t>t CO₂E/ha/yr</w:t>
            </w:r>
          </w:p>
        </w:tc>
      </w:tr>
      <w:tr w:rsidR="00F81753" w:rsidRPr="006A5892" w14:paraId="15191291"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EE8C978"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 Bushland to Young Cocoa AF</w:t>
            </w:r>
          </w:p>
        </w:tc>
        <w:tc>
          <w:tcPr>
            <w:tcW w:w="0" w:type="auto"/>
            <w:noWrap/>
            <w:hideMark/>
          </w:tcPr>
          <w:p w14:paraId="7385E5AC"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-35</w:t>
            </w:r>
          </w:p>
        </w:tc>
        <w:tc>
          <w:tcPr>
            <w:tcW w:w="0" w:type="auto"/>
            <w:noWrap/>
            <w:hideMark/>
          </w:tcPr>
          <w:p w14:paraId="72C8E999"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-4</w:t>
            </w:r>
          </w:p>
        </w:tc>
        <w:tc>
          <w:tcPr>
            <w:tcW w:w="0" w:type="auto"/>
            <w:noWrap/>
            <w:hideMark/>
          </w:tcPr>
          <w:p w14:paraId="20B68500"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-13</w:t>
            </w:r>
          </w:p>
        </w:tc>
      </w:tr>
      <w:tr w:rsidR="00F81753" w:rsidRPr="006A5892" w14:paraId="631A3E40"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E9F5AD"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2 Cropland to Young Cocoa AF</w:t>
            </w:r>
          </w:p>
        </w:tc>
        <w:tc>
          <w:tcPr>
            <w:tcW w:w="0" w:type="auto"/>
            <w:noWrap/>
            <w:hideMark/>
          </w:tcPr>
          <w:p w14:paraId="1382E61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-31</w:t>
            </w:r>
          </w:p>
        </w:tc>
        <w:tc>
          <w:tcPr>
            <w:tcW w:w="0" w:type="auto"/>
            <w:noWrap/>
            <w:hideMark/>
          </w:tcPr>
          <w:p w14:paraId="1FC2882E"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-3</w:t>
            </w:r>
          </w:p>
        </w:tc>
        <w:tc>
          <w:tcPr>
            <w:tcW w:w="0" w:type="auto"/>
            <w:noWrap/>
            <w:hideMark/>
          </w:tcPr>
          <w:p w14:paraId="04EF158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-11</w:t>
            </w:r>
          </w:p>
        </w:tc>
      </w:tr>
      <w:tr w:rsidR="00F81753" w:rsidRPr="006A5892" w14:paraId="3812C52B"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D30568" w14:textId="77777777" w:rsidR="00F81753" w:rsidRPr="006A5892" w:rsidRDefault="00F81753" w:rsidP="0089347F">
            <w:pPr>
              <w:jc w:val="center"/>
              <w:rPr>
                <w:rFonts w:ascii="Aptos Narrow" w:eastAsia="Times New Roman" w:hAnsi="Aptos Narrow" w:cs="Times New Roman"/>
                <w:b w:val="0"/>
                <w:bCs w:val="0"/>
                <w:color w:val="EE0000"/>
                <w:kern w:val="0"/>
                <w:lang w:eastAsia="en-GB"/>
                <w14:ligatures w14:val="none"/>
              </w:rPr>
            </w:pPr>
            <w:r w:rsidRPr="006A5892">
              <w:rPr>
                <w:rFonts w:ascii="Aptos Narrow" w:eastAsia="Times New Roman" w:hAnsi="Aptos Narrow" w:cs="Times New Roman"/>
                <w:color w:val="EE0000"/>
                <w:kern w:val="0"/>
                <w:lang w:eastAsia="en-GB"/>
                <w14:ligatures w14:val="none"/>
              </w:rPr>
              <w:t>3 Forest to Young Cocoa AF</w:t>
            </w:r>
          </w:p>
        </w:tc>
        <w:tc>
          <w:tcPr>
            <w:tcW w:w="0" w:type="auto"/>
            <w:noWrap/>
            <w:hideMark/>
          </w:tcPr>
          <w:p w14:paraId="3A830654"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22</w:t>
            </w:r>
          </w:p>
        </w:tc>
        <w:tc>
          <w:tcPr>
            <w:tcW w:w="0" w:type="auto"/>
            <w:noWrap/>
            <w:hideMark/>
          </w:tcPr>
          <w:p w14:paraId="4F968A0D"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2</w:t>
            </w:r>
          </w:p>
        </w:tc>
        <w:tc>
          <w:tcPr>
            <w:tcW w:w="0" w:type="auto"/>
            <w:noWrap/>
            <w:hideMark/>
          </w:tcPr>
          <w:p w14:paraId="5D3AE93E"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8</w:t>
            </w:r>
          </w:p>
        </w:tc>
      </w:tr>
      <w:tr w:rsidR="00F81753" w:rsidRPr="006A5892" w14:paraId="36780958"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322CDB3"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4 Wooded Grassland to Young Cocoa AF</w:t>
            </w:r>
          </w:p>
        </w:tc>
        <w:tc>
          <w:tcPr>
            <w:tcW w:w="0" w:type="auto"/>
            <w:noWrap/>
            <w:hideMark/>
          </w:tcPr>
          <w:p w14:paraId="293A2605"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-28</w:t>
            </w:r>
          </w:p>
        </w:tc>
        <w:tc>
          <w:tcPr>
            <w:tcW w:w="0" w:type="auto"/>
            <w:noWrap/>
            <w:hideMark/>
          </w:tcPr>
          <w:p w14:paraId="36D14710"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-3</w:t>
            </w:r>
          </w:p>
        </w:tc>
        <w:tc>
          <w:tcPr>
            <w:tcW w:w="0" w:type="auto"/>
            <w:noWrap/>
            <w:hideMark/>
          </w:tcPr>
          <w:p w14:paraId="15A001F6"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hAnsi="Aptos Narrow"/>
                <w:color w:val="000000"/>
              </w:rPr>
              <w:t>-10</w:t>
            </w:r>
          </w:p>
        </w:tc>
      </w:tr>
      <w:tr w:rsidR="00F81753" w:rsidRPr="006A5892" w14:paraId="2877B0CA"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0B39AE" w14:textId="77777777" w:rsidR="00F81753" w:rsidRPr="006A5892" w:rsidRDefault="00F81753" w:rsidP="0089347F">
            <w:pPr>
              <w:jc w:val="center"/>
              <w:rPr>
                <w:rFonts w:ascii="Aptos Narrow" w:eastAsia="Times New Roman" w:hAnsi="Aptos Narrow" w:cs="Times New Roman"/>
                <w:color w:val="EE0000"/>
                <w:kern w:val="0"/>
                <w:lang w:eastAsia="en-GB"/>
                <w14:ligatures w14:val="none"/>
              </w:rPr>
            </w:pPr>
            <w:r w:rsidRPr="006A5892">
              <w:rPr>
                <w:rFonts w:ascii="Aptos Narrow" w:eastAsia="Times New Roman" w:hAnsi="Aptos Narrow" w:cs="Times New Roman"/>
                <w:color w:val="EE0000"/>
                <w:kern w:val="0"/>
                <w:lang w:eastAsia="en-GB"/>
                <w14:ligatures w14:val="none"/>
              </w:rPr>
              <w:t>5 Woodland to Young Cocoa AF</w:t>
            </w:r>
          </w:p>
        </w:tc>
        <w:tc>
          <w:tcPr>
            <w:tcW w:w="0" w:type="auto"/>
            <w:noWrap/>
            <w:hideMark/>
          </w:tcPr>
          <w:p w14:paraId="67B09157"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3</w:t>
            </w:r>
          </w:p>
        </w:tc>
        <w:tc>
          <w:tcPr>
            <w:tcW w:w="0" w:type="auto"/>
            <w:noWrap/>
            <w:hideMark/>
          </w:tcPr>
          <w:p w14:paraId="7BC49B3B"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0</w:t>
            </w:r>
          </w:p>
        </w:tc>
        <w:tc>
          <w:tcPr>
            <w:tcW w:w="0" w:type="auto"/>
            <w:noWrap/>
            <w:hideMark/>
          </w:tcPr>
          <w:p w14:paraId="40842477"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hAnsi="Aptos Narrow"/>
                <w:b/>
                <w:bCs/>
                <w:color w:val="EE0000"/>
              </w:rPr>
              <w:t>1</w:t>
            </w:r>
          </w:p>
        </w:tc>
      </w:tr>
      <w:tr w:rsidR="00F81753" w:rsidRPr="006A5892" w14:paraId="6E40FF7F"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2C5FAC5"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6 Bushland to Mature Cocoa AF </w:t>
            </w:r>
            <w:proofErr w:type="spellStart"/>
            <w:r w:rsidRPr="006A5892">
              <w:rPr>
                <w:rFonts w:ascii="Aptos Narrow" w:eastAsia="Times New Roman" w:hAnsi="Aptos Narrow" w:cs="Times New Roman"/>
                <w:color w:val="000000"/>
                <w:kern w:val="0"/>
                <w:lang w:eastAsia="en-GB"/>
                <w14:ligatures w14:val="none"/>
              </w:rPr>
              <w:t>incl</w:t>
            </w:r>
            <w:proofErr w:type="spellEnd"/>
            <w:r w:rsidRPr="006A5892">
              <w:rPr>
                <w:rFonts w:ascii="Aptos Narrow" w:eastAsia="Times New Roman" w:hAnsi="Aptos Narrow" w:cs="Times New Roman"/>
                <w:color w:val="000000"/>
                <w:kern w:val="0"/>
                <w:lang w:eastAsia="en-GB"/>
                <w14:ligatures w14:val="none"/>
              </w:rPr>
              <w:t xml:space="preserve"> LUC</w:t>
            </w:r>
          </w:p>
        </w:tc>
        <w:tc>
          <w:tcPr>
            <w:tcW w:w="0" w:type="auto"/>
            <w:noWrap/>
            <w:hideMark/>
          </w:tcPr>
          <w:p w14:paraId="503212AF"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-42</w:t>
            </w:r>
          </w:p>
        </w:tc>
        <w:tc>
          <w:tcPr>
            <w:tcW w:w="0" w:type="auto"/>
            <w:noWrap/>
            <w:hideMark/>
          </w:tcPr>
          <w:p w14:paraId="2C03A97A"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-2</w:t>
            </w:r>
          </w:p>
        </w:tc>
        <w:tc>
          <w:tcPr>
            <w:tcW w:w="0" w:type="auto"/>
            <w:noWrap/>
            <w:hideMark/>
          </w:tcPr>
          <w:p w14:paraId="2389885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-8</w:t>
            </w:r>
          </w:p>
        </w:tc>
      </w:tr>
      <w:tr w:rsidR="00F81753" w:rsidRPr="006A5892" w14:paraId="7AF7E96C"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E968F51"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7 Cropland to Mature Cocoa AF </w:t>
            </w:r>
            <w:proofErr w:type="spellStart"/>
            <w:r w:rsidRPr="006A5892">
              <w:rPr>
                <w:rFonts w:ascii="Aptos Narrow" w:eastAsia="Times New Roman" w:hAnsi="Aptos Narrow" w:cs="Times New Roman"/>
                <w:color w:val="000000"/>
                <w:kern w:val="0"/>
                <w:lang w:eastAsia="en-GB"/>
                <w14:ligatures w14:val="none"/>
              </w:rPr>
              <w:t>incl</w:t>
            </w:r>
            <w:proofErr w:type="spellEnd"/>
            <w:r w:rsidRPr="006A5892">
              <w:rPr>
                <w:rFonts w:ascii="Aptos Narrow" w:eastAsia="Times New Roman" w:hAnsi="Aptos Narrow" w:cs="Times New Roman"/>
                <w:color w:val="000000"/>
                <w:kern w:val="0"/>
                <w:lang w:eastAsia="en-GB"/>
                <w14:ligatures w14:val="none"/>
              </w:rPr>
              <w:t xml:space="preserve"> LUC</w:t>
            </w:r>
          </w:p>
        </w:tc>
        <w:tc>
          <w:tcPr>
            <w:tcW w:w="0" w:type="auto"/>
            <w:noWrap/>
            <w:hideMark/>
          </w:tcPr>
          <w:p w14:paraId="0104EAB9"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-38</w:t>
            </w:r>
          </w:p>
        </w:tc>
        <w:tc>
          <w:tcPr>
            <w:tcW w:w="0" w:type="auto"/>
            <w:noWrap/>
            <w:hideMark/>
          </w:tcPr>
          <w:p w14:paraId="34AD7BF2"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-2</w:t>
            </w:r>
          </w:p>
        </w:tc>
        <w:tc>
          <w:tcPr>
            <w:tcW w:w="0" w:type="auto"/>
            <w:noWrap/>
            <w:hideMark/>
          </w:tcPr>
          <w:p w14:paraId="7E78CA5A"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-7</w:t>
            </w:r>
          </w:p>
        </w:tc>
      </w:tr>
      <w:tr w:rsidR="00F81753" w:rsidRPr="006A5892" w14:paraId="6596AC2D"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C2CD19" w14:textId="77777777" w:rsidR="00F81753" w:rsidRPr="006A5892" w:rsidRDefault="00F81753" w:rsidP="0089347F">
            <w:pPr>
              <w:jc w:val="center"/>
              <w:rPr>
                <w:rFonts w:ascii="Aptos Narrow" w:eastAsia="Times New Roman" w:hAnsi="Aptos Narrow" w:cs="Times New Roman"/>
                <w:color w:val="EE0000"/>
                <w:kern w:val="0"/>
                <w:lang w:eastAsia="en-GB"/>
                <w14:ligatures w14:val="none"/>
              </w:rPr>
            </w:pPr>
            <w:r w:rsidRPr="006A5892">
              <w:rPr>
                <w:rFonts w:ascii="Aptos Narrow" w:eastAsia="Times New Roman" w:hAnsi="Aptos Narrow" w:cs="Times New Roman"/>
                <w:color w:val="EE0000"/>
                <w:kern w:val="0"/>
                <w:lang w:eastAsia="en-GB"/>
                <w14:ligatures w14:val="none"/>
              </w:rPr>
              <w:t xml:space="preserve">8 Forest to Mature Cocoa AF </w:t>
            </w:r>
            <w:proofErr w:type="spellStart"/>
            <w:r w:rsidRPr="006A5892">
              <w:rPr>
                <w:rFonts w:ascii="Aptos Narrow" w:eastAsia="Times New Roman" w:hAnsi="Aptos Narrow" w:cs="Times New Roman"/>
                <w:color w:val="EE0000"/>
                <w:kern w:val="0"/>
                <w:lang w:eastAsia="en-GB"/>
                <w14:ligatures w14:val="none"/>
              </w:rPr>
              <w:t>incl</w:t>
            </w:r>
            <w:proofErr w:type="spellEnd"/>
            <w:r w:rsidRPr="006A5892">
              <w:rPr>
                <w:rFonts w:ascii="Aptos Narrow" w:eastAsia="Times New Roman" w:hAnsi="Aptos Narrow" w:cs="Times New Roman"/>
                <w:color w:val="EE0000"/>
                <w:kern w:val="0"/>
                <w:lang w:eastAsia="en-GB"/>
                <w14:ligatures w14:val="none"/>
              </w:rPr>
              <w:t xml:space="preserve"> LUC</w:t>
            </w:r>
          </w:p>
        </w:tc>
        <w:tc>
          <w:tcPr>
            <w:tcW w:w="0" w:type="auto"/>
            <w:noWrap/>
            <w:hideMark/>
          </w:tcPr>
          <w:p w14:paraId="3342EB1C"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15</w:t>
            </w:r>
          </w:p>
        </w:tc>
        <w:tc>
          <w:tcPr>
            <w:tcW w:w="0" w:type="auto"/>
            <w:noWrap/>
            <w:hideMark/>
          </w:tcPr>
          <w:p w14:paraId="29425F66"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1</w:t>
            </w:r>
          </w:p>
        </w:tc>
        <w:tc>
          <w:tcPr>
            <w:tcW w:w="0" w:type="auto"/>
            <w:noWrap/>
            <w:hideMark/>
          </w:tcPr>
          <w:p w14:paraId="725297CE"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EE0000"/>
                <w:kern w:val="0"/>
                <w:lang w:eastAsia="en-GB"/>
                <w14:ligatures w14:val="none"/>
              </w:rPr>
            </w:pPr>
            <w:r w:rsidRPr="006A5892">
              <w:rPr>
                <w:rFonts w:ascii="Aptos Narrow" w:eastAsia="Times New Roman" w:hAnsi="Aptos Narrow" w:cs="Times New Roman"/>
                <w:b/>
                <w:bCs/>
                <w:color w:val="EE0000"/>
                <w:kern w:val="0"/>
                <w:lang w:eastAsia="en-GB"/>
                <w14:ligatures w14:val="none"/>
              </w:rPr>
              <w:t>3</w:t>
            </w:r>
          </w:p>
        </w:tc>
      </w:tr>
      <w:tr w:rsidR="00F81753" w:rsidRPr="006A5892" w14:paraId="52ACDD4F"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581B61"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9 Wooded Grassland to Mature Cocoa AF </w:t>
            </w:r>
            <w:proofErr w:type="spellStart"/>
            <w:r w:rsidRPr="006A5892">
              <w:rPr>
                <w:rFonts w:ascii="Aptos Narrow" w:eastAsia="Times New Roman" w:hAnsi="Aptos Narrow" w:cs="Times New Roman"/>
                <w:color w:val="000000"/>
                <w:kern w:val="0"/>
                <w:lang w:eastAsia="en-GB"/>
                <w14:ligatures w14:val="none"/>
              </w:rPr>
              <w:t>incl</w:t>
            </w:r>
            <w:proofErr w:type="spellEnd"/>
            <w:r w:rsidRPr="006A5892">
              <w:rPr>
                <w:rFonts w:ascii="Aptos Narrow" w:eastAsia="Times New Roman" w:hAnsi="Aptos Narrow" w:cs="Times New Roman"/>
                <w:color w:val="000000"/>
                <w:kern w:val="0"/>
                <w:lang w:eastAsia="en-GB"/>
                <w14:ligatures w14:val="none"/>
              </w:rPr>
              <w:t xml:space="preserve"> LUC</w:t>
            </w:r>
          </w:p>
        </w:tc>
        <w:tc>
          <w:tcPr>
            <w:tcW w:w="0" w:type="auto"/>
            <w:noWrap/>
            <w:hideMark/>
          </w:tcPr>
          <w:p w14:paraId="2F1F3AB2"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-35</w:t>
            </w:r>
          </w:p>
        </w:tc>
        <w:tc>
          <w:tcPr>
            <w:tcW w:w="0" w:type="auto"/>
            <w:noWrap/>
            <w:hideMark/>
          </w:tcPr>
          <w:p w14:paraId="5C1B8C10"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-2</w:t>
            </w:r>
          </w:p>
        </w:tc>
        <w:tc>
          <w:tcPr>
            <w:tcW w:w="0" w:type="auto"/>
            <w:noWrap/>
            <w:hideMark/>
          </w:tcPr>
          <w:p w14:paraId="27D93401"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-7</w:t>
            </w:r>
          </w:p>
        </w:tc>
      </w:tr>
      <w:tr w:rsidR="00F81753" w:rsidRPr="006A5892" w14:paraId="29995DC1"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CB2FC76"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10 Woodland to Mature Cocoa AF </w:t>
            </w:r>
            <w:proofErr w:type="spellStart"/>
            <w:r w:rsidRPr="006A5892">
              <w:rPr>
                <w:rFonts w:ascii="Aptos Narrow" w:eastAsia="Times New Roman" w:hAnsi="Aptos Narrow" w:cs="Times New Roman"/>
                <w:color w:val="000000"/>
                <w:kern w:val="0"/>
                <w:lang w:eastAsia="en-GB"/>
                <w14:ligatures w14:val="none"/>
              </w:rPr>
              <w:t>incl</w:t>
            </w:r>
            <w:proofErr w:type="spellEnd"/>
            <w:r w:rsidRPr="006A5892">
              <w:rPr>
                <w:rFonts w:ascii="Aptos Narrow" w:eastAsia="Times New Roman" w:hAnsi="Aptos Narrow" w:cs="Times New Roman"/>
                <w:color w:val="000000"/>
                <w:kern w:val="0"/>
                <w:lang w:eastAsia="en-GB"/>
                <w14:ligatures w14:val="none"/>
              </w:rPr>
              <w:t xml:space="preserve"> LUC</w:t>
            </w:r>
          </w:p>
        </w:tc>
        <w:tc>
          <w:tcPr>
            <w:tcW w:w="0" w:type="auto"/>
            <w:noWrap/>
            <w:hideMark/>
          </w:tcPr>
          <w:p w14:paraId="098C0FC4"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-4</w:t>
            </w:r>
          </w:p>
        </w:tc>
        <w:tc>
          <w:tcPr>
            <w:tcW w:w="0" w:type="auto"/>
            <w:noWrap/>
            <w:hideMark/>
          </w:tcPr>
          <w:p w14:paraId="5D457DF6"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0</w:t>
            </w:r>
          </w:p>
        </w:tc>
        <w:tc>
          <w:tcPr>
            <w:tcW w:w="0" w:type="auto"/>
            <w:noWrap/>
            <w:hideMark/>
          </w:tcPr>
          <w:p w14:paraId="4DFE2334"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w:t>
            </w:r>
          </w:p>
        </w:tc>
      </w:tr>
      <w:tr w:rsidR="00F81753" w:rsidRPr="006A5892" w14:paraId="76992378" w14:textId="77777777" w:rsidTr="0089347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AE831C" w14:textId="77777777" w:rsidR="00F81753" w:rsidRPr="00671B2F" w:rsidRDefault="00F81753" w:rsidP="0089347F">
            <w:pPr>
              <w:jc w:val="center"/>
              <w:rPr>
                <w:rFonts w:ascii="Aptos Narrow" w:eastAsia="Times New Roman" w:hAnsi="Aptos Narrow" w:cs="Times New Roman"/>
                <w:color w:val="000000"/>
                <w:kern w:val="0"/>
                <w:lang w:val="it-IT" w:eastAsia="en-GB"/>
                <w14:ligatures w14:val="none"/>
              </w:rPr>
            </w:pPr>
            <w:r w:rsidRPr="00671B2F">
              <w:rPr>
                <w:rFonts w:ascii="Aptos Narrow" w:eastAsia="Times New Roman" w:hAnsi="Aptos Narrow" w:cs="Times New Roman"/>
                <w:color w:val="000000"/>
                <w:lang w:val="it-IT" w:eastAsia="en-GB"/>
              </w:rPr>
              <w:t>11 Mature Cocoa AF excl LUC</w:t>
            </w:r>
          </w:p>
        </w:tc>
        <w:tc>
          <w:tcPr>
            <w:tcW w:w="0" w:type="auto"/>
            <w:noWrap/>
            <w:hideMark/>
          </w:tcPr>
          <w:p w14:paraId="70E8CCBE"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-93</w:t>
            </w:r>
          </w:p>
        </w:tc>
        <w:tc>
          <w:tcPr>
            <w:tcW w:w="0" w:type="auto"/>
            <w:noWrap/>
            <w:hideMark/>
          </w:tcPr>
          <w:p w14:paraId="2E0393BB"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-5</w:t>
            </w:r>
          </w:p>
        </w:tc>
        <w:tc>
          <w:tcPr>
            <w:tcW w:w="0" w:type="auto"/>
            <w:noWrap/>
            <w:hideMark/>
          </w:tcPr>
          <w:p w14:paraId="5A472667" w14:textId="77777777" w:rsidR="00F81753" w:rsidRPr="006A5892" w:rsidRDefault="00F81753" w:rsidP="0089347F">
            <w:pPr>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-18</w:t>
            </w:r>
          </w:p>
        </w:tc>
      </w:tr>
      <w:tr w:rsidR="00F81753" w:rsidRPr="006A5892" w14:paraId="31B648F3" w14:textId="77777777" w:rsidTr="0089347F">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F29B91" w14:textId="77777777" w:rsidR="00F81753" w:rsidRPr="006A5892" w:rsidRDefault="00F81753" w:rsidP="0089347F">
            <w:pPr>
              <w:jc w:val="center"/>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 xml:space="preserve">12 Old Cocoa AF </w:t>
            </w:r>
            <w:proofErr w:type="spellStart"/>
            <w:r w:rsidRPr="006A5892">
              <w:rPr>
                <w:rFonts w:ascii="Aptos Narrow" w:eastAsia="Times New Roman" w:hAnsi="Aptos Narrow" w:cs="Times New Roman"/>
                <w:color w:val="000000"/>
                <w:kern w:val="0"/>
                <w:lang w:eastAsia="en-GB"/>
                <w14:ligatures w14:val="none"/>
              </w:rPr>
              <w:t>excl</w:t>
            </w:r>
            <w:proofErr w:type="spellEnd"/>
            <w:r w:rsidRPr="006A5892">
              <w:rPr>
                <w:rFonts w:ascii="Aptos Narrow" w:eastAsia="Times New Roman" w:hAnsi="Aptos Narrow" w:cs="Times New Roman"/>
                <w:color w:val="000000"/>
                <w:kern w:val="0"/>
                <w:lang w:eastAsia="en-GB"/>
                <w14:ligatures w14:val="none"/>
              </w:rPr>
              <w:t xml:space="preserve"> LUC</w:t>
            </w:r>
          </w:p>
        </w:tc>
        <w:tc>
          <w:tcPr>
            <w:tcW w:w="0" w:type="auto"/>
            <w:noWrap/>
            <w:hideMark/>
          </w:tcPr>
          <w:p w14:paraId="5546F5F2"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-104</w:t>
            </w:r>
          </w:p>
        </w:tc>
        <w:tc>
          <w:tcPr>
            <w:tcW w:w="0" w:type="auto"/>
            <w:noWrap/>
            <w:hideMark/>
          </w:tcPr>
          <w:p w14:paraId="1E5630E3" w14:textId="77777777" w:rsidR="00F81753" w:rsidRPr="006A5892" w:rsidRDefault="00F81753" w:rsidP="0089347F">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-3</w:t>
            </w:r>
          </w:p>
        </w:tc>
        <w:tc>
          <w:tcPr>
            <w:tcW w:w="0" w:type="auto"/>
            <w:noWrap/>
            <w:hideMark/>
          </w:tcPr>
          <w:p w14:paraId="6B9E447C" w14:textId="77777777" w:rsidR="00F81753" w:rsidRPr="006A5892" w:rsidRDefault="00F81753" w:rsidP="0089347F">
            <w:pPr>
              <w:keepNex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A5892">
              <w:rPr>
                <w:rFonts w:ascii="Aptos Narrow" w:eastAsia="Times New Roman" w:hAnsi="Aptos Narrow" w:cs="Times New Roman"/>
                <w:color w:val="000000"/>
                <w:kern w:val="0"/>
                <w:lang w:eastAsia="en-GB"/>
                <w14:ligatures w14:val="none"/>
              </w:rPr>
              <w:t>-12</w:t>
            </w:r>
          </w:p>
        </w:tc>
      </w:tr>
    </w:tbl>
    <w:p w14:paraId="39196E84" w14:textId="77777777" w:rsidR="00F81753" w:rsidRPr="006A5892" w:rsidRDefault="00F81753" w:rsidP="00F81753"/>
    <w:p w14:paraId="1FB1886F" w14:textId="77777777" w:rsidR="00F81753" w:rsidRPr="006A5892" w:rsidRDefault="00F81753" w:rsidP="00F81753">
      <w:r w:rsidRPr="006A5892">
        <w:t xml:space="preserve">Summary of net emissions based on previous carbon stocks *1-10, taken from Amara et al. (2019) and cocoa agroforestry (AF) carbon stock from </w:t>
      </w:r>
      <w:proofErr w:type="spellStart"/>
      <w:r w:rsidRPr="006A5892">
        <w:t>Asigbaase</w:t>
      </w:r>
      <w:proofErr w:type="spellEnd"/>
      <w:r w:rsidRPr="006A5892">
        <w:t xml:space="preserve"> at al. (2021). Only Topsoil carbon </w:t>
      </w:r>
      <w:proofErr w:type="gramStart"/>
      <w:r w:rsidRPr="006A5892">
        <w:t>included</w:t>
      </w:r>
      <w:proofErr w:type="gramEnd"/>
      <w:r w:rsidRPr="006A5892">
        <w:t xml:space="preserve"> in comparison. A negative number denotes accumulation of carbon whilst a positive number denotes carbon loss.  Young cocoa stands assumed to be 12 years, mature stands assumed to be 19 and 20 years for the purposes of including or not emissions due to land use change. Carbon stock for 20-year-old mature and 35 years older agroforestry systems (*11-12) do not include emissions due to land use change.</w:t>
      </w:r>
    </w:p>
    <w:p w14:paraId="78CBD2ED" w14:textId="77777777" w:rsidR="00F81753" w:rsidRPr="006A5892" w:rsidRDefault="00F81753" w:rsidP="00F81753"/>
    <w:p w14:paraId="3E67CEAD" w14:textId="77777777" w:rsidR="00F81753" w:rsidRPr="006A5892" w:rsidRDefault="00F81753" w:rsidP="00F81753"/>
    <w:p w14:paraId="2F709100" w14:textId="77777777" w:rsidR="00F81753" w:rsidRPr="006A5892" w:rsidRDefault="00F81753" w:rsidP="00F81753"/>
    <w:p w14:paraId="0C7771CA" w14:textId="77777777" w:rsidR="00F81753" w:rsidRPr="006A5892" w:rsidRDefault="00F81753" w:rsidP="00F81753"/>
    <w:p w14:paraId="5D54FC1E" w14:textId="77777777" w:rsidR="00F81753" w:rsidRPr="006A5892" w:rsidRDefault="00F81753" w:rsidP="00F81753"/>
    <w:p w14:paraId="2058EB69" w14:textId="77777777" w:rsidR="00F81753" w:rsidRPr="006A5892" w:rsidRDefault="00F81753" w:rsidP="00F81753"/>
    <w:p w14:paraId="0E4BCCD3" w14:textId="77777777" w:rsidR="00F81753" w:rsidRPr="006A5892" w:rsidRDefault="00F81753" w:rsidP="00F81753"/>
    <w:p w14:paraId="0CFD7E8A" w14:textId="77777777" w:rsidR="00F81753" w:rsidRPr="00671B2F" w:rsidRDefault="00F81753" w:rsidP="00F81753">
      <w:pPr>
        <w:rPr>
          <w:b/>
          <w:bCs/>
        </w:rPr>
      </w:pPr>
      <w:r w:rsidRPr="00671B2F">
        <w:rPr>
          <w:b/>
          <w:bCs/>
        </w:rPr>
        <w:t xml:space="preserve">Additional Results </w:t>
      </w:r>
    </w:p>
    <w:p w14:paraId="73EC3D56" w14:textId="77777777" w:rsidR="00F81753" w:rsidRPr="006A5892" w:rsidRDefault="00F81753" w:rsidP="00F81753">
      <w:pPr>
        <w:pStyle w:val="Caption"/>
      </w:pPr>
      <w:r w:rsidRPr="006A5892">
        <w:t>Table A3: Ecosystem Quality Results</w:t>
      </w:r>
    </w:p>
    <w:p w14:paraId="48F9F7D7" w14:textId="77777777" w:rsidR="00F81753" w:rsidRPr="006A5892" w:rsidRDefault="00F81753" w:rsidP="00F81753"/>
    <w:p w14:paraId="38A5C6A7" w14:textId="77777777" w:rsidR="00F81753" w:rsidRPr="006A5892" w:rsidRDefault="00F81753" w:rsidP="00F817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881"/>
        <w:gridCol w:w="1043"/>
        <w:gridCol w:w="1043"/>
        <w:gridCol w:w="1042"/>
        <w:gridCol w:w="1066"/>
        <w:gridCol w:w="1042"/>
        <w:gridCol w:w="1044"/>
      </w:tblGrid>
      <w:tr w:rsidR="00F81753" w:rsidRPr="006A5892" w14:paraId="2F9F5346" w14:textId="77777777" w:rsidTr="0089347F">
        <w:trPr>
          <w:trHeight w:val="290"/>
        </w:trPr>
        <w:tc>
          <w:tcPr>
            <w:tcW w:w="1342" w:type="pct"/>
            <w:noWrap/>
            <w:vAlign w:val="bottom"/>
          </w:tcPr>
          <w:p w14:paraId="4AC2BC73" w14:textId="77777777" w:rsidR="00F81753" w:rsidRPr="006A5892" w:rsidRDefault="00F81753" w:rsidP="0089347F">
            <w:pPr>
              <w:rPr>
                <w:rFonts w:ascii="Times New Roman" w:eastAsia="Times New Roman" w:hAnsi="Times New Roman" w:cs="Times New Roman"/>
                <w:sz w:val="24"/>
                <w:szCs w:val="24"/>
                <w:lang w:eastAsia="en-GB"/>
              </w:rPr>
            </w:pPr>
          </w:p>
        </w:tc>
        <w:tc>
          <w:tcPr>
            <w:tcW w:w="525" w:type="pct"/>
            <w:noWrap/>
            <w:vAlign w:val="bottom"/>
          </w:tcPr>
          <w:p w14:paraId="2BC46211" w14:textId="77777777" w:rsidR="00F81753" w:rsidRPr="006A5892" w:rsidRDefault="00F81753" w:rsidP="0089347F">
            <w:pPr>
              <w:rPr>
                <w:rFonts w:ascii="Times New Roman" w:eastAsia="Times New Roman" w:hAnsi="Times New Roman" w:cs="Times New Roman"/>
                <w:sz w:val="20"/>
                <w:szCs w:val="20"/>
                <w:lang w:eastAsia="en-GB"/>
              </w:rPr>
            </w:pPr>
          </w:p>
        </w:tc>
        <w:tc>
          <w:tcPr>
            <w:tcW w:w="3133" w:type="pct"/>
            <w:gridSpan w:val="6"/>
            <w:noWrap/>
            <w:vAlign w:val="bottom"/>
          </w:tcPr>
          <w:p w14:paraId="27F2FB4C"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Absolute Impact Score per dry kg at port</w:t>
            </w:r>
          </w:p>
        </w:tc>
      </w:tr>
      <w:tr w:rsidR="00F81753" w:rsidRPr="006A5892" w14:paraId="5F802D86" w14:textId="77777777" w:rsidTr="0089347F">
        <w:trPr>
          <w:trHeight w:val="290"/>
        </w:trPr>
        <w:tc>
          <w:tcPr>
            <w:tcW w:w="1342" w:type="pct"/>
            <w:noWrap/>
            <w:vAlign w:val="bottom"/>
            <w:hideMark/>
          </w:tcPr>
          <w:p w14:paraId="0E4A74E8" w14:textId="77777777" w:rsidR="00F81753" w:rsidRPr="006A5892" w:rsidRDefault="00F81753" w:rsidP="0089347F">
            <w:pPr>
              <w:rPr>
                <w:rFonts w:ascii="Times New Roman" w:eastAsia="Times New Roman" w:hAnsi="Times New Roman" w:cs="Times New Roman"/>
                <w:sz w:val="24"/>
                <w:szCs w:val="24"/>
                <w:lang w:eastAsia="en-GB"/>
              </w:rPr>
            </w:pPr>
          </w:p>
        </w:tc>
        <w:tc>
          <w:tcPr>
            <w:tcW w:w="525" w:type="pct"/>
            <w:noWrap/>
            <w:vAlign w:val="bottom"/>
            <w:hideMark/>
          </w:tcPr>
          <w:p w14:paraId="59739EE7" w14:textId="77777777" w:rsidR="00F81753" w:rsidRPr="006A5892" w:rsidRDefault="00F81753" w:rsidP="0089347F">
            <w:pPr>
              <w:jc w:val="center"/>
              <w:rPr>
                <w:rFonts w:ascii="Aptos" w:eastAsia="Times New Roman" w:hAnsi="Aptos" w:cs="Times New Roman"/>
                <w:sz w:val="20"/>
                <w:szCs w:val="20"/>
                <w:lang w:eastAsia="en-GB"/>
              </w:rPr>
            </w:pPr>
            <w:r w:rsidRPr="006A5892">
              <w:rPr>
                <w:rFonts w:ascii="Aptos" w:eastAsia="Times New Roman" w:hAnsi="Aptos" w:cs="Times New Roman"/>
                <w:sz w:val="20"/>
                <w:szCs w:val="20"/>
                <w:lang w:eastAsia="en-GB"/>
              </w:rPr>
              <w:t>Units</w:t>
            </w:r>
          </w:p>
        </w:tc>
        <w:tc>
          <w:tcPr>
            <w:tcW w:w="520" w:type="pct"/>
            <w:noWrap/>
            <w:vAlign w:val="bottom"/>
            <w:hideMark/>
          </w:tcPr>
          <w:p w14:paraId="43A3EDB8"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CS1</w:t>
            </w:r>
          </w:p>
        </w:tc>
        <w:tc>
          <w:tcPr>
            <w:tcW w:w="520" w:type="pct"/>
            <w:noWrap/>
            <w:vAlign w:val="bottom"/>
            <w:hideMark/>
          </w:tcPr>
          <w:p w14:paraId="02E3719B"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CS2</w:t>
            </w:r>
          </w:p>
        </w:tc>
        <w:tc>
          <w:tcPr>
            <w:tcW w:w="520" w:type="pct"/>
            <w:noWrap/>
            <w:vAlign w:val="bottom"/>
            <w:hideMark/>
          </w:tcPr>
          <w:p w14:paraId="6A89FEE7"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CS3.1</w:t>
            </w:r>
          </w:p>
        </w:tc>
        <w:tc>
          <w:tcPr>
            <w:tcW w:w="532" w:type="pct"/>
            <w:noWrap/>
            <w:vAlign w:val="bottom"/>
            <w:hideMark/>
          </w:tcPr>
          <w:p w14:paraId="4B04DB95"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CS3.2</w:t>
            </w:r>
          </w:p>
        </w:tc>
        <w:tc>
          <w:tcPr>
            <w:tcW w:w="520" w:type="pct"/>
            <w:noWrap/>
            <w:vAlign w:val="bottom"/>
            <w:hideMark/>
          </w:tcPr>
          <w:p w14:paraId="1468B0AF"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CS3.3</w:t>
            </w:r>
          </w:p>
        </w:tc>
        <w:tc>
          <w:tcPr>
            <w:tcW w:w="521" w:type="pct"/>
            <w:noWrap/>
            <w:vAlign w:val="bottom"/>
            <w:hideMark/>
          </w:tcPr>
          <w:p w14:paraId="0F4EDCFA"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CS4</w:t>
            </w:r>
          </w:p>
        </w:tc>
      </w:tr>
      <w:tr w:rsidR="00F81753" w:rsidRPr="006A5892" w14:paraId="519A5D34" w14:textId="77777777" w:rsidTr="0089347F">
        <w:trPr>
          <w:trHeight w:val="290"/>
        </w:trPr>
        <w:tc>
          <w:tcPr>
            <w:tcW w:w="1342" w:type="pct"/>
            <w:noWrap/>
            <w:vAlign w:val="bottom"/>
            <w:hideMark/>
          </w:tcPr>
          <w:p w14:paraId="535F4B30"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Human health</w:t>
            </w:r>
          </w:p>
        </w:tc>
        <w:tc>
          <w:tcPr>
            <w:tcW w:w="525" w:type="pct"/>
            <w:noWrap/>
            <w:vAlign w:val="bottom"/>
            <w:hideMark/>
          </w:tcPr>
          <w:p w14:paraId="09D464A8"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DALY</w:t>
            </w:r>
          </w:p>
        </w:tc>
        <w:tc>
          <w:tcPr>
            <w:tcW w:w="520" w:type="pct"/>
            <w:noWrap/>
            <w:vAlign w:val="bottom"/>
            <w:hideMark/>
          </w:tcPr>
          <w:p w14:paraId="342629F1"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1.53E-06</w:t>
            </w:r>
          </w:p>
        </w:tc>
        <w:tc>
          <w:tcPr>
            <w:tcW w:w="520" w:type="pct"/>
            <w:noWrap/>
            <w:vAlign w:val="bottom"/>
            <w:hideMark/>
          </w:tcPr>
          <w:p w14:paraId="3723E322"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1.60E-03</w:t>
            </w:r>
          </w:p>
        </w:tc>
        <w:tc>
          <w:tcPr>
            <w:tcW w:w="520" w:type="pct"/>
            <w:noWrap/>
            <w:vAlign w:val="bottom"/>
            <w:hideMark/>
          </w:tcPr>
          <w:p w14:paraId="76CD6E5C"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9.84E-04</w:t>
            </w:r>
          </w:p>
        </w:tc>
        <w:tc>
          <w:tcPr>
            <w:tcW w:w="532" w:type="pct"/>
            <w:noWrap/>
            <w:vAlign w:val="bottom"/>
            <w:hideMark/>
          </w:tcPr>
          <w:p w14:paraId="420FA58D"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5.32E-04</w:t>
            </w:r>
          </w:p>
        </w:tc>
        <w:tc>
          <w:tcPr>
            <w:tcW w:w="520" w:type="pct"/>
            <w:noWrap/>
            <w:vAlign w:val="bottom"/>
            <w:hideMark/>
          </w:tcPr>
          <w:p w14:paraId="6D4EDBE0"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1.86E-05</w:t>
            </w:r>
          </w:p>
        </w:tc>
        <w:tc>
          <w:tcPr>
            <w:tcW w:w="521" w:type="pct"/>
            <w:noWrap/>
            <w:vAlign w:val="bottom"/>
            <w:hideMark/>
          </w:tcPr>
          <w:p w14:paraId="05560F6C"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1.88E-05</w:t>
            </w:r>
          </w:p>
        </w:tc>
      </w:tr>
      <w:tr w:rsidR="00F81753" w:rsidRPr="006A5892" w14:paraId="0BB9C963" w14:textId="77777777" w:rsidTr="0089347F">
        <w:trPr>
          <w:trHeight w:val="290"/>
        </w:trPr>
        <w:tc>
          <w:tcPr>
            <w:tcW w:w="1342" w:type="pct"/>
            <w:noWrap/>
            <w:vAlign w:val="bottom"/>
            <w:hideMark/>
          </w:tcPr>
          <w:p w14:paraId="29F66BDC"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Ecosystems</w:t>
            </w:r>
          </w:p>
        </w:tc>
        <w:tc>
          <w:tcPr>
            <w:tcW w:w="525" w:type="pct"/>
            <w:noWrap/>
            <w:vAlign w:val="bottom"/>
            <w:hideMark/>
          </w:tcPr>
          <w:p w14:paraId="6D9493D6" w14:textId="77777777" w:rsidR="00F81753" w:rsidRPr="006A5892" w:rsidRDefault="00F81753" w:rsidP="0089347F">
            <w:pPr>
              <w:jc w:val="center"/>
              <w:rPr>
                <w:rFonts w:ascii="Aptos Narrow" w:eastAsia="Times New Roman" w:hAnsi="Aptos Narrow" w:cs="Times New Roman"/>
                <w:color w:val="000000"/>
                <w:szCs w:val="18"/>
                <w:lang w:eastAsia="en-GB"/>
              </w:rPr>
            </w:pPr>
            <w:proofErr w:type="spellStart"/>
            <w:proofErr w:type="gramStart"/>
            <w:r w:rsidRPr="006A5892">
              <w:rPr>
                <w:rFonts w:ascii="Aptos Narrow" w:eastAsia="Times New Roman" w:hAnsi="Aptos Narrow" w:cs="Times New Roman"/>
                <w:color w:val="000000"/>
                <w:szCs w:val="18"/>
                <w:lang w:eastAsia="en-GB"/>
              </w:rPr>
              <w:t>species.yr</w:t>
            </w:r>
            <w:proofErr w:type="spellEnd"/>
            <w:proofErr w:type="gramEnd"/>
          </w:p>
        </w:tc>
        <w:tc>
          <w:tcPr>
            <w:tcW w:w="520" w:type="pct"/>
            <w:noWrap/>
            <w:vAlign w:val="bottom"/>
            <w:hideMark/>
          </w:tcPr>
          <w:p w14:paraId="77F86C6E"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1.97E-09</w:t>
            </w:r>
          </w:p>
        </w:tc>
        <w:tc>
          <w:tcPr>
            <w:tcW w:w="520" w:type="pct"/>
            <w:noWrap/>
            <w:vAlign w:val="bottom"/>
            <w:hideMark/>
          </w:tcPr>
          <w:p w14:paraId="1064A330"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3.19E-06</w:t>
            </w:r>
          </w:p>
        </w:tc>
        <w:tc>
          <w:tcPr>
            <w:tcW w:w="520" w:type="pct"/>
            <w:noWrap/>
            <w:vAlign w:val="bottom"/>
            <w:hideMark/>
          </w:tcPr>
          <w:p w14:paraId="7FD51936"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1.94E-06</w:t>
            </w:r>
          </w:p>
        </w:tc>
        <w:tc>
          <w:tcPr>
            <w:tcW w:w="532" w:type="pct"/>
            <w:noWrap/>
            <w:vAlign w:val="bottom"/>
            <w:hideMark/>
          </w:tcPr>
          <w:p w14:paraId="2D353656"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1.04E-06</w:t>
            </w:r>
          </w:p>
        </w:tc>
        <w:tc>
          <w:tcPr>
            <w:tcW w:w="520" w:type="pct"/>
            <w:noWrap/>
            <w:vAlign w:val="bottom"/>
            <w:hideMark/>
          </w:tcPr>
          <w:p w14:paraId="6D7255AF"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1.20E-08</w:t>
            </w:r>
          </w:p>
        </w:tc>
        <w:tc>
          <w:tcPr>
            <w:tcW w:w="521" w:type="pct"/>
            <w:noWrap/>
            <w:vAlign w:val="bottom"/>
            <w:hideMark/>
          </w:tcPr>
          <w:p w14:paraId="564E0F9C"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1.32E-08</w:t>
            </w:r>
          </w:p>
        </w:tc>
      </w:tr>
      <w:tr w:rsidR="00F81753" w:rsidRPr="006A5892" w14:paraId="7F28B6A5" w14:textId="77777777" w:rsidTr="0089347F">
        <w:trPr>
          <w:trHeight w:val="290"/>
        </w:trPr>
        <w:tc>
          <w:tcPr>
            <w:tcW w:w="1342" w:type="pct"/>
            <w:noWrap/>
            <w:vAlign w:val="bottom"/>
            <w:hideMark/>
          </w:tcPr>
          <w:p w14:paraId="716F9C26"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Mineral resource scarcity</w:t>
            </w:r>
          </w:p>
        </w:tc>
        <w:tc>
          <w:tcPr>
            <w:tcW w:w="525" w:type="pct"/>
            <w:noWrap/>
            <w:vAlign w:val="bottom"/>
            <w:hideMark/>
          </w:tcPr>
          <w:p w14:paraId="61C65F0E"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USD2013</w:t>
            </w:r>
          </w:p>
        </w:tc>
        <w:tc>
          <w:tcPr>
            <w:tcW w:w="520" w:type="pct"/>
            <w:noWrap/>
            <w:vAlign w:val="bottom"/>
            <w:hideMark/>
          </w:tcPr>
          <w:p w14:paraId="123982AA"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2.42E-06</w:t>
            </w:r>
          </w:p>
        </w:tc>
        <w:tc>
          <w:tcPr>
            <w:tcW w:w="520" w:type="pct"/>
            <w:noWrap/>
            <w:vAlign w:val="bottom"/>
            <w:hideMark/>
          </w:tcPr>
          <w:p w14:paraId="435680C9"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2.55E-05</w:t>
            </w:r>
          </w:p>
        </w:tc>
        <w:tc>
          <w:tcPr>
            <w:tcW w:w="520" w:type="pct"/>
            <w:noWrap/>
            <w:vAlign w:val="bottom"/>
            <w:hideMark/>
          </w:tcPr>
          <w:p w14:paraId="68976E5E"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6.36E-05</w:t>
            </w:r>
          </w:p>
        </w:tc>
        <w:tc>
          <w:tcPr>
            <w:tcW w:w="532" w:type="pct"/>
            <w:noWrap/>
            <w:vAlign w:val="bottom"/>
            <w:hideMark/>
          </w:tcPr>
          <w:p w14:paraId="1471F3B4"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6.36E-05</w:t>
            </w:r>
          </w:p>
        </w:tc>
        <w:tc>
          <w:tcPr>
            <w:tcW w:w="520" w:type="pct"/>
            <w:noWrap/>
            <w:vAlign w:val="bottom"/>
            <w:hideMark/>
          </w:tcPr>
          <w:p w14:paraId="729EF4EA"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6.36E-05</w:t>
            </w:r>
          </w:p>
        </w:tc>
        <w:tc>
          <w:tcPr>
            <w:tcW w:w="521" w:type="pct"/>
            <w:noWrap/>
            <w:vAlign w:val="bottom"/>
            <w:hideMark/>
          </w:tcPr>
          <w:p w14:paraId="57269B82"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6.33E-05</w:t>
            </w:r>
          </w:p>
        </w:tc>
      </w:tr>
      <w:tr w:rsidR="00F81753" w:rsidRPr="006A5892" w14:paraId="0A2F629E" w14:textId="77777777" w:rsidTr="0089347F">
        <w:trPr>
          <w:trHeight w:val="290"/>
        </w:trPr>
        <w:tc>
          <w:tcPr>
            <w:tcW w:w="1342" w:type="pct"/>
            <w:noWrap/>
            <w:vAlign w:val="bottom"/>
            <w:hideMark/>
          </w:tcPr>
          <w:p w14:paraId="57F3D1C6"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Fossil resource scarcity</w:t>
            </w:r>
          </w:p>
        </w:tc>
        <w:tc>
          <w:tcPr>
            <w:tcW w:w="525" w:type="pct"/>
            <w:noWrap/>
            <w:vAlign w:val="bottom"/>
            <w:hideMark/>
          </w:tcPr>
          <w:p w14:paraId="3FC38042"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USD2013</w:t>
            </w:r>
          </w:p>
        </w:tc>
        <w:tc>
          <w:tcPr>
            <w:tcW w:w="520" w:type="pct"/>
            <w:noWrap/>
            <w:vAlign w:val="bottom"/>
            <w:hideMark/>
          </w:tcPr>
          <w:p w14:paraId="4A1C29F6"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0.009</w:t>
            </w:r>
          </w:p>
        </w:tc>
        <w:tc>
          <w:tcPr>
            <w:tcW w:w="520" w:type="pct"/>
            <w:noWrap/>
            <w:vAlign w:val="bottom"/>
            <w:hideMark/>
          </w:tcPr>
          <w:p w14:paraId="35828EDF"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0.011</w:t>
            </w:r>
          </w:p>
        </w:tc>
        <w:tc>
          <w:tcPr>
            <w:tcW w:w="520" w:type="pct"/>
            <w:noWrap/>
            <w:vAlign w:val="bottom"/>
            <w:hideMark/>
          </w:tcPr>
          <w:p w14:paraId="6CAFC5F1"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0.012</w:t>
            </w:r>
          </w:p>
        </w:tc>
        <w:tc>
          <w:tcPr>
            <w:tcW w:w="532" w:type="pct"/>
            <w:noWrap/>
            <w:vAlign w:val="bottom"/>
            <w:hideMark/>
          </w:tcPr>
          <w:p w14:paraId="2E49B2F3"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0.012</w:t>
            </w:r>
          </w:p>
        </w:tc>
        <w:tc>
          <w:tcPr>
            <w:tcW w:w="520" w:type="pct"/>
            <w:noWrap/>
            <w:vAlign w:val="bottom"/>
            <w:hideMark/>
          </w:tcPr>
          <w:p w14:paraId="5C62EC9E"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0.012</w:t>
            </w:r>
          </w:p>
        </w:tc>
        <w:tc>
          <w:tcPr>
            <w:tcW w:w="521" w:type="pct"/>
            <w:noWrap/>
            <w:vAlign w:val="bottom"/>
            <w:hideMark/>
          </w:tcPr>
          <w:p w14:paraId="5A1C4928" w14:textId="77777777" w:rsidR="00F81753" w:rsidRPr="006A5892" w:rsidRDefault="00F81753" w:rsidP="0089347F">
            <w:pPr>
              <w:jc w:val="center"/>
              <w:rPr>
                <w:rFonts w:ascii="Aptos Narrow" w:eastAsia="Times New Roman" w:hAnsi="Aptos Narrow" w:cs="Times New Roman"/>
                <w:color w:val="000000"/>
                <w:sz w:val="20"/>
                <w:szCs w:val="20"/>
                <w:lang w:eastAsia="en-GB"/>
              </w:rPr>
            </w:pPr>
            <w:r w:rsidRPr="006A5892">
              <w:rPr>
                <w:rFonts w:ascii="Aptos Narrow" w:eastAsia="Times New Roman" w:hAnsi="Aptos Narrow" w:cs="Times New Roman"/>
                <w:color w:val="000000"/>
                <w:sz w:val="20"/>
                <w:szCs w:val="20"/>
                <w:lang w:eastAsia="en-GB"/>
              </w:rPr>
              <w:t>0.011</w:t>
            </w:r>
          </w:p>
        </w:tc>
      </w:tr>
      <w:tr w:rsidR="00F81753" w:rsidRPr="006A5892" w14:paraId="12EBA63D" w14:textId="77777777" w:rsidTr="0089347F">
        <w:trPr>
          <w:trHeight w:val="290"/>
        </w:trPr>
        <w:tc>
          <w:tcPr>
            <w:tcW w:w="1342" w:type="pct"/>
            <w:noWrap/>
            <w:vAlign w:val="bottom"/>
            <w:hideMark/>
          </w:tcPr>
          <w:p w14:paraId="56E70E21" w14:textId="77777777" w:rsidR="00F81753" w:rsidRPr="006A5892" w:rsidRDefault="00F81753" w:rsidP="0089347F">
            <w:pPr>
              <w:jc w:val="center"/>
              <w:rPr>
                <w:rFonts w:ascii="Aptos Narrow" w:eastAsia="Times New Roman" w:hAnsi="Aptos Narrow" w:cs="Times New Roman"/>
                <w:color w:val="000000"/>
                <w:lang w:eastAsia="en-GB"/>
              </w:rPr>
            </w:pPr>
          </w:p>
        </w:tc>
        <w:tc>
          <w:tcPr>
            <w:tcW w:w="525" w:type="pct"/>
            <w:noWrap/>
            <w:vAlign w:val="bottom"/>
            <w:hideMark/>
          </w:tcPr>
          <w:p w14:paraId="7915F3CF" w14:textId="77777777" w:rsidR="00F81753" w:rsidRPr="006A5892" w:rsidRDefault="00F81753" w:rsidP="0089347F">
            <w:pPr>
              <w:rPr>
                <w:rFonts w:ascii="Times New Roman" w:eastAsia="Times New Roman" w:hAnsi="Times New Roman" w:cs="Times New Roman"/>
                <w:szCs w:val="18"/>
                <w:lang w:eastAsia="en-GB"/>
              </w:rPr>
            </w:pPr>
          </w:p>
        </w:tc>
        <w:tc>
          <w:tcPr>
            <w:tcW w:w="3133" w:type="pct"/>
            <w:gridSpan w:val="6"/>
            <w:noWrap/>
            <w:vAlign w:val="bottom"/>
            <w:hideMark/>
          </w:tcPr>
          <w:p w14:paraId="5A3734A6" w14:textId="77777777" w:rsidR="00F81753" w:rsidRPr="006A5892" w:rsidRDefault="00F81753" w:rsidP="0089347F">
            <w:pPr>
              <w:jc w:val="center"/>
              <w:rPr>
                <w:rFonts w:ascii="Times New Roman" w:eastAsia="Times New Roman" w:hAnsi="Times New Roman" w:cs="Times New Roman"/>
                <w:sz w:val="20"/>
                <w:szCs w:val="20"/>
                <w:lang w:eastAsia="en-GB"/>
              </w:rPr>
            </w:pPr>
            <w:proofErr w:type="spellStart"/>
            <w:r w:rsidRPr="006A5892">
              <w:rPr>
                <w:rFonts w:ascii="Aptos Narrow" w:eastAsia="Times New Roman" w:hAnsi="Aptos Narrow" w:cs="Times New Roman"/>
                <w:color w:val="000000"/>
                <w:lang w:eastAsia="en-GB"/>
              </w:rPr>
              <w:t>Realtive</w:t>
            </w:r>
            <w:proofErr w:type="spellEnd"/>
            <w:r w:rsidRPr="006A5892">
              <w:rPr>
                <w:rFonts w:ascii="Aptos Narrow" w:eastAsia="Times New Roman" w:hAnsi="Aptos Narrow" w:cs="Times New Roman"/>
                <w:color w:val="000000"/>
                <w:lang w:eastAsia="en-GB"/>
              </w:rPr>
              <w:t xml:space="preserve"> Impact Score per dry kg at port. Highest score per impact category </w:t>
            </w:r>
            <w:proofErr w:type="gramStart"/>
            <w:r w:rsidRPr="006A5892">
              <w:rPr>
                <w:rFonts w:ascii="Aptos Narrow" w:eastAsia="Times New Roman" w:hAnsi="Aptos Narrow" w:cs="Times New Roman"/>
                <w:color w:val="000000"/>
                <w:lang w:eastAsia="en-GB"/>
              </w:rPr>
              <w:t>indexed</w:t>
            </w:r>
            <w:proofErr w:type="gramEnd"/>
            <w:r w:rsidRPr="006A5892">
              <w:rPr>
                <w:rFonts w:ascii="Aptos Narrow" w:eastAsia="Times New Roman" w:hAnsi="Aptos Narrow" w:cs="Times New Roman"/>
                <w:color w:val="000000"/>
                <w:lang w:eastAsia="en-GB"/>
              </w:rPr>
              <w:t xml:space="preserve"> at 100%.</w:t>
            </w:r>
          </w:p>
        </w:tc>
      </w:tr>
      <w:tr w:rsidR="00F81753" w:rsidRPr="006A5892" w14:paraId="1482D872" w14:textId="77777777" w:rsidTr="0089347F">
        <w:trPr>
          <w:trHeight w:val="290"/>
        </w:trPr>
        <w:tc>
          <w:tcPr>
            <w:tcW w:w="1342" w:type="pct"/>
            <w:noWrap/>
            <w:vAlign w:val="bottom"/>
            <w:hideMark/>
          </w:tcPr>
          <w:p w14:paraId="75553525" w14:textId="77777777" w:rsidR="00F81753" w:rsidRPr="006A5892" w:rsidRDefault="00F81753" w:rsidP="0089347F">
            <w:pPr>
              <w:jc w:val="center"/>
              <w:rPr>
                <w:rFonts w:ascii="Times New Roman" w:eastAsia="Times New Roman" w:hAnsi="Times New Roman" w:cs="Times New Roman"/>
                <w:sz w:val="20"/>
                <w:szCs w:val="20"/>
                <w:lang w:eastAsia="en-GB"/>
              </w:rPr>
            </w:pPr>
          </w:p>
        </w:tc>
        <w:tc>
          <w:tcPr>
            <w:tcW w:w="525" w:type="pct"/>
            <w:noWrap/>
            <w:vAlign w:val="bottom"/>
            <w:hideMark/>
          </w:tcPr>
          <w:p w14:paraId="60E4B51D" w14:textId="77777777" w:rsidR="00F81753" w:rsidRPr="006A5892" w:rsidRDefault="00F81753" w:rsidP="0089347F">
            <w:pPr>
              <w:rPr>
                <w:rFonts w:ascii="Times New Roman" w:eastAsia="Times New Roman" w:hAnsi="Times New Roman" w:cs="Times New Roman"/>
                <w:szCs w:val="18"/>
                <w:lang w:eastAsia="en-GB"/>
              </w:rPr>
            </w:pPr>
          </w:p>
        </w:tc>
        <w:tc>
          <w:tcPr>
            <w:tcW w:w="520" w:type="pct"/>
            <w:noWrap/>
            <w:vAlign w:val="bottom"/>
            <w:hideMark/>
          </w:tcPr>
          <w:p w14:paraId="4105104C"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CS1</w:t>
            </w:r>
          </w:p>
        </w:tc>
        <w:tc>
          <w:tcPr>
            <w:tcW w:w="520" w:type="pct"/>
            <w:noWrap/>
            <w:vAlign w:val="bottom"/>
            <w:hideMark/>
          </w:tcPr>
          <w:p w14:paraId="7A4F09A0"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CS2</w:t>
            </w:r>
          </w:p>
        </w:tc>
        <w:tc>
          <w:tcPr>
            <w:tcW w:w="520" w:type="pct"/>
            <w:noWrap/>
            <w:vAlign w:val="bottom"/>
            <w:hideMark/>
          </w:tcPr>
          <w:p w14:paraId="45312D0B"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CS3.1</w:t>
            </w:r>
          </w:p>
        </w:tc>
        <w:tc>
          <w:tcPr>
            <w:tcW w:w="532" w:type="pct"/>
            <w:noWrap/>
            <w:vAlign w:val="bottom"/>
            <w:hideMark/>
          </w:tcPr>
          <w:p w14:paraId="0A99EAD2"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CS3.2</w:t>
            </w:r>
          </w:p>
        </w:tc>
        <w:tc>
          <w:tcPr>
            <w:tcW w:w="520" w:type="pct"/>
            <w:noWrap/>
            <w:vAlign w:val="bottom"/>
            <w:hideMark/>
          </w:tcPr>
          <w:p w14:paraId="4DD23C60"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CS3.3</w:t>
            </w:r>
          </w:p>
        </w:tc>
        <w:tc>
          <w:tcPr>
            <w:tcW w:w="521" w:type="pct"/>
            <w:noWrap/>
            <w:vAlign w:val="bottom"/>
            <w:hideMark/>
          </w:tcPr>
          <w:p w14:paraId="156310A9"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CS4</w:t>
            </w:r>
          </w:p>
        </w:tc>
      </w:tr>
      <w:tr w:rsidR="00F81753" w:rsidRPr="006A5892" w14:paraId="529ECDBA" w14:textId="77777777" w:rsidTr="0089347F">
        <w:trPr>
          <w:trHeight w:val="290"/>
        </w:trPr>
        <w:tc>
          <w:tcPr>
            <w:tcW w:w="1342" w:type="pct"/>
            <w:noWrap/>
            <w:vAlign w:val="bottom"/>
            <w:hideMark/>
          </w:tcPr>
          <w:p w14:paraId="7AB657F7"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Human health</w:t>
            </w:r>
          </w:p>
        </w:tc>
        <w:tc>
          <w:tcPr>
            <w:tcW w:w="525" w:type="pct"/>
            <w:noWrap/>
            <w:vAlign w:val="bottom"/>
            <w:hideMark/>
          </w:tcPr>
          <w:p w14:paraId="405994AB"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DALY</w:t>
            </w:r>
          </w:p>
        </w:tc>
        <w:tc>
          <w:tcPr>
            <w:tcW w:w="520" w:type="pct"/>
            <w:shd w:val="clear" w:color="000000" w:fill="63BE7B"/>
            <w:noWrap/>
            <w:vAlign w:val="bottom"/>
            <w:hideMark/>
          </w:tcPr>
          <w:p w14:paraId="47A93A5D"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0.10%</w:t>
            </w:r>
          </w:p>
        </w:tc>
        <w:tc>
          <w:tcPr>
            <w:tcW w:w="520" w:type="pct"/>
            <w:shd w:val="clear" w:color="000000" w:fill="F8696B"/>
            <w:noWrap/>
            <w:vAlign w:val="bottom"/>
            <w:hideMark/>
          </w:tcPr>
          <w:p w14:paraId="4230DE3F"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0" w:type="pct"/>
            <w:shd w:val="clear" w:color="000000" w:fill="FCA677"/>
            <w:noWrap/>
            <w:vAlign w:val="bottom"/>
            <w:hideMark/>
          </w:tcPr>
          <w:p w14:paraId="67CAF645"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62%</w:t>
            </w:r>
          </w:p>
        </w:tc>
        <w:tc>
          <w:tcPr>
            <w:tcW w:w="532" w:type="pct"/>
            <w:shd w:val="clear" w:color="000000" w:fill="FED280"/>
            <w:noWrap/>
            <w:vAlign w:val="bottom"/>
            <w:hideMark/>
          </w:tcPr>
          <w:p w14:paraId="705697AB"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33%</w:t>
            </w:r>
          </w:p>
        </w:tc>
        <w:tc>
          <w:tcPr>
            <w:tcW w:w="520" w:type="pct"/>
            <w:shd w:val="clear" w:color="000000" w:fill="6CC07B"/>
            <w:noWrap/>
            <w:vAlign w:val="bottom"/>
            <w:hideMark/>
          </w:tcPr>
          <w:p w14:paraId="45057CD2"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w:t>
            </w:r>
          </w:p>
        </w:tc>
        <w:tc>
          <w:tcPr>
            <w:tcW w:w="521" w:type="pct"/>
            <w:shd w:val="clear" w:color="000000" w:fill="6CC07B"/>
            <w:noWrap/>
            <w:vAlign w:val="bottom"/>
            <w:hideMark/>
          </w:tcPr>
          <w:p w14:paraId="7E926E4F"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w:t>
            </w:r>
          </w:p>
        </w:tc>
      </w:tr>
      <w:tr w:rsidR="00F81753" w:rsidRPr="006A5892" w14:paraId="0DE8A6CD" w14:textId="77777777" w:rsidTr="0089347F">
        <w:trPr>
          <w:trHeight w:val="290"/>
        </w:trPr>
        <w:tc>
          <w:tcPr>
            <w:tcW w:w="1342" w:type="pct"/>
            <w:noWrap/>
            <w:vAlign w:val="bottom"/>
            <w:hideMark/>
          </w:tcPr>
          <w:p w14:paraId="31472A51"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Ecosystems</w:t>
            </w:r>
          </w:p>
        </w:tc>
        <w:tc>
          <w:tcPr>
            <w:tcW w:w="525" w:type="pct"/>
            <w:noWrap/>
            <w:vAlign w:val="bottom"/>
            <w:hideMark/>
          </w:tcPr>
          <w:p w14:paraId="122F45C9" w14:textId="77777777" w:rsidR="00F81753" w:rsidRPr="006A5892" w:rsidRDefault="00F81753" w:rsidP="0089347F">
            <w:pPr>
              <w:jc w:val="center"/>
              <w:rPr>
                <w:rFonts w:ascii="Aptos Narrow" w:eastAsia="Times New Roman" w:hAnsi="Aptos Narrow" w:cs="Times New Roman"/>
                <w:color w:val="000000"/>
                <w:szCs w:val="18"/>
                <w:lang w:eastAsia="en-GB"/>
              </w:rPr>
            </w:pPr>
            <w:proofErr w:type="spellStart"/>
            <w:proofErr w:type="gramStart"/>
            <w:r w:rsidRPr="006A5892">
              <w:rPr>
                <w:rFonts w:ascii="Aptos Narrow" w:eastAsia="Times New Roman" w:hAnsi="Aptos Narrow" w:cs="Times New Roman"/>
                <w:color w:val="000000"/>
                <w:szCs w:val="18"/>
                <w:lang w:eastAsia="en-GB"/>
              </w:rPr>
              <w:t>species.yr</w:t>
            </w:r>
            <w:proofErr w:type="spellEnd"/>
            <w:proofErr w:type="gramEnd"/>
          </w:p>
        </w:tc>
        <w:tc>
          <w:tcPr>
            <w:tcW w:w="520" w:type="pct"/>
            <w:shd w:val="clear" w:color="000000" w:fill="63BE7B"/>
            <w:noWrap/>
            <w:vAlign w:val="bottom"/>
            <w:hideMark/>
          </w:tcPr>
          <w:p w14:paraId="3A94FA20"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0.06%</w:t>
            </w:r>
          </w:p>
        </w:tc>
        <w:tc>
          <w:tcPr>
            <w:tcW w:w="520" w:type="pct"/>
            <w:shd w:val="clear" w:color="000000" w:fill="F8696B"/>
            <w:noWrap/>
            <w:vAlign w:val="bottom"/>
            <w:hideMark/>
          </w:tcPr>
          <w:p w14:paraId="004C69C2"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0" w:type="pct"/>
            <w:shd w:val="clear" w:color="000000" w:fill="FCA677"/>
            <w:noWrap/>
            <w:vAlign w:val="bottom"/>
            <w:hideMark/>
          </w:tcPr>
          <w:p w14:paraId="0E81D993"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61%</w:t>
            </w:r>
          </w:p>
        </w:tc>
        <w:tc>
          <w:tcPr>
            <w:tcW w:w="532" w:type="pct"/>
            <w:shd w:val="clear" w:color="000000" w:fill="FED280"/>
            <w:noWrap/>
            <w:vAlign w:val="bottom"/>
            <w:hideMark/>
          </w:tcPr>
          <w:p w14:paraId="26848252"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33%</w:t>
            </w:r>
          </w:p>
        </w:tc>
        <w:tc>
          <w:tcPr>
            <w:tcW w:w="520" w:type="pct"/>
            <w:shd w:val="clear" w:color="000000" w:fill="65BE7B"/>
            <w:noWrap/>
            <w:vAlign w:val="bottom"/>
            <w:hideMark/>
          </w:tcPr>
          <w:p w14:paraId="44884230"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0.38%</w:t>
            </w:r>
          </w:p>
        </w:tc>
        <w:tc>
          <w:tcPr>
            <w:tcW w:w="521" w:type="pct"/>
            <w:shd w:val="clear" w:color="000000" w:fill="66BE7B"/>
            <w:noWrap/>
            <w:vAlign w:val="bottom"/>
            <w:hideMark/>
          </w:tcPr>
          <w:p w14:paraId="3A5FF28C"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0.41%</w:t>
            </w:r>
          </w:p>
        </w:tc>
      </w:tr>
      <w:tr w:rsidR="00F81753" w:rsidRPr="006A5892" w14:paraId="59E3A9A0" w14:textId="77777777" w:rsidTr="0089347F">
        <w:trPr>
          <w:trHeight w:val="290"/>
        </w:trPr>
        <w:tc>
          <w:tcPr>
            <w:tcW w:w="1342" w:type="pct"/>
            <w:noWrap/>
            <w:vAlign w:val="bottom"/>
            <w:hideMark/>
          </w:tcPr>
          <w:p w14:paraId="3153B3F5"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Mineral resource scarcity</w:t>
            </w:r>
          </w:p>
        </w:tc>
        <w:tc>
          <w:tcPr>
            <w:tcW w:w="525" w:type="pct"/>
            <w:noWrap/>
            <w:vAlign w:val="bottom"/>
            <w:hideMark/>
          </w:tcPr>
          <w:p w14:paraId="732B7B4B"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USD2013</w:t>
            </w:r>
          </w:p>
        </w:tc>
        <w:tc>
          <w:tcPr>
            <w:tcW w:w="520" w:type="pct"/>
            <w:shd w:val="clear" w:color="000000" w:fill="63BE7B"/>
            <w:noWrap/>
            <w:vAlign w:val="bottom"/>
            <w:hideMark/>
          </w:tcPr>
          <w:p w14:paraId="6625DC69"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w:t>
            </w:r>
          </w:p>
        </w:tc>
        <w:tc>
          <w:tcPr>
            <w:tcW w:w="520" w:type="pct"/>
            <w:shd w:val="clear" w:color="000000" w:fill="9ECF7E"/>
            <w:noWrap/>
            <w:vAlign w:val="bottom"/>
            <w:hideMark/>
          </w:tcPr>
          <w:p w14:paraId="5585A533"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40%</w:t>
            </w:r>
          </w:p>
        </w:tc>
        <w:tc>
          <w:tcPr>
            <w:tcW w:w="520" w:type="pct"/>
            <w:shd w:val="clear" w:color="000000" w:fill="F8696B"/>
            <w:noWrap/>
            <w:vAlign w:val="bottom"/>
            <w:hideMark/>
          </w:tcPr>
          <w:p w14:paraId="031F7571"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32" w:type="pct"/>
            <w:shd w:val="clear" w:color="000000" w:fill="F8696B"/>
            <w:noWrap/>
            <w:vAlign w:val="bottom"/>
            <w:hideMark/>
          </w:tcPr>
          <w:p w14:paraId="68E91058"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0" w:type="pct"/>
            <w:shd w:val="clear" w:color="000000" w:fill="F8696B"/>
            <w:noWrap/>
            <w:vAlign w:val="bottom"/>
            <w:hideMark/>
          </w:tcPr>
          <w:p w14:paraId="5024E4D3"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1" w:type="pct"/>
            <w:shd w:val="clear" w:color="000000" w:fill="FEEA83"/>
            <w:noWrap/>
            <w:vAlign w:val="bottom"/>
            <w:hideMark/>
          </w:tcPr>
          <w:p w14:paraId="326B4FDD"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r>
      <w:tr w:rsidR="00F81753" w:rsidRPr="006A5892" w14:paraId="4517E9CB" w14:textId="77777777" w:rsidTr="0089347F">
        <w:trPr>
          <w:trHeight w:val="290"/>
        </w:trPr>
        <w:tc>
          <w:tcPr>
            <w:tcW w:w="1342" w:type="pct"/>
            <w:noWrap/>
            <w:vAlign w:val="bottom"/>
            <w:hideMark/>
          </w:tcPr>
          <w:p w14:paraId="0DEF3EE3"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Fossil resource scarcity</w:t>
            </w:r>
          </w:p>
        </w:tc>
        <w:tc>
          <w:tcPr>
            <w:tcW w:w="525" w:type="pct"/>
            <w:noWrap/>
            <w:vAlign w:val="bottom"/>
            <w:hideMark/>
          </w:tcPr>
          <w:p w14:paraId="2E4C4330" w14:textId="77777777" w:rsidR="00F81753" w:rsidRPr="006A5892" w:rsidRDefault="00F81753" w:rsidP="0089347F">
            <w:pPr>
              <w:jc w:val="center"/>
              <w:rPr>
                <w:rFonts w:ascii="Aptos Narrow" w:eastAsia="Times New Roman" w:hAnsi="Aptos Narrow" w:cs="Times New Roman"/>
                <w:color w:val="000000"/>
                <w:szCs w:val="18"/>
                <w:lang w:eastAsia="en-GB"/>
              </w:rPr>
            </w:pPr>
            <w:r w:rsidRPr="006A5892">
              <w:rPr>
                <w:rFonts w:ascii="Aptos Narrow" w:eastAsia="Times New Roman" w:hAnsi="Aptos Narrow" w:cs="Times New Roman"/>
                <w:color w:val="000000"/>
                <w:szCs w:val="18"/>
                <w:lang w:eastAsia="en-GB"/>
              </w:rPr>
              <w:t>USD2013</w:t>
            </w:r>
          </w:p>
        </w:tc>
        <w:tc>
          <w:tcPr>
            <w:tcW w:w="520" w:type="pct"/>
            <w:shd w:val="clear" w:color="000000" w:fill="63BE7B"/>
            <w:noWrap/>
            <w:vAlign w:val="bottom"/>
            <w:hideMark/>
          </w:tcPr>
          <w:p w14:paraId="3EBA4F2C"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72%</w:t>
            </w:r>
          </w:p>
        </w:tc>
        <w:tc>
          <w:tcPr>
            <w:tcW w:w="520" w:type="pct"/>
            <w:shd w:val="clear" w:color="000000" w:fill="E8E482"/>
            <w:noWrap/>
            <w:vAlign w:val="bottom"/>
            <w:hideMark/>
          </w:tcPr>
          <w:p w14:paraId="0C7C1072"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94%</w:t>
            </w:r>
          </w:p>
        </w:tc>
        <w:tc>
          <w:tcPr>
            <w:tcW w:w="520" w:type="pct"/>
            <w:shd w:val="clear" w:color="000000" w:fill="F8696B"/>
            <w:noWrap/>
            <w:vAlign w:val="bottom"/>
            <w:hideMark/>
          </w:tcPr>
          <w:p w14:paraId="0E8FA781"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32" w:type="pct"/>
            <w:shd w:val="clear" w:color="000000" w:fill="F8696B"/>
            <w:noWrap/>
            <w:vAlign w:val="bottom"/>
            <w:hideMark/>
          </w:tcPr>
          <w:p w14:paraId="3819BB48"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0" w:type="pct"/>
            <w:shd w:val="clear" w:color="000000" w:fill="F8696B"/>
            <w:noWrap/>
            <w:vAlign w:val="bottom"/>
            <w:hideMark/>
          </w:tcPr>
          <w:p w14:paraId="4E329491" w14:textId="77777777" w:rsidR="00F81753" w:rsidRPr="006A5892" w:rsidRDefault="00F81753" w:rsidP="0089347F">
            <w:pPr>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100%</w:t>
            </w:r>
          </w:p>
        </w:tc>
        <w:tc>
          <w:tcPr>
            <w:tcW w:w="521" w:type="pct"/>
            <w:shd w:val="clear" w:color="000000" w:fill="EFE683"/>
            <w:noWrap/>
            <w:vAlign w:val="bottom"/>
            <w:hideMark/>
          </w:tcPr>
          <w:p w14:paraId="057A6F99" w14:textId="77777777" w:rsidR="00F81753" w:rsidRPr="006A5892" w:rsidRDefault="00F81753" w:rsidP="0089347F">
            <w:pPr>
              <w:keepNext/>
              <w:jc w:val="center"/>
              <w:rPr>
                <w:rFonts w:ascii="Aptos Narrow" w:eastAsia="Times New Roman" w:hAnsi="Aptos Narrow" w:cs="Times New Roman"/>
                <w:color w:val="000000"/>
                <w:lang w:eastAsia="en-GB"/>
              </w:rPr>
            </w:pPr>
            <w:r w:rsidRPr="006A5892">
              <w:rPr>
                <w:rFonts w:ascii="Aptos Narrow" w:eastAsia="Times New Roman" w:hAnsi="Aptos Narrow" w:cs="Times New Roman"/>
                <w:color w:val="000000"/>
                <w:lang w:eastAsia="en-GB"/>
              </w:rPr>
              <w:t>95%</w:t>
            </w:r>
          </w:p>
        </w:tc>
      </w:tr>
    </w:tbl>
    <w:p w14:paraId="4170E6D7" w14:textId="77777777" w:rsidR="00F81753" w:rsidRPr="006A5892" w:rsidRDefault="00F81753" w:rsidP="00F81753"/>
    <w:p w14:paraId="79C8FB38" w14:textId="77777777" w:rsidR="00275F54" w:rsidRDefault="00275F54" w:rsidP="00275F54">
      <w:pPr>
        <w:rPr>
          <w:b/>
          <w:bCs/>
          <w:color w:val="000000" w:themeColor="text1"/>
          <w:sz w:val="20"/>
          <w:szCs w:val="20"/>
        </w:rPr>
      </w:pPr>
    </w:p>
    <w:sectPr w:rsidR="00275F54" w:rsidSect="00046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96BB" w14:textId="77777777" w:rsidR="001167C4" w:rsidRDefault="001167C4">
      <w:r>
        <w:separator/>
      </w:r>
    </w:p>
  </w:endnote>
  <w:endnote w:type="continuationSeparator" w:id="0">
    <w:p w14:paraId="710186EA" w14:textId="77777777" w:rsidR="001167C4" w:rsidRDefault="001167C4">
      <w:r>
        <w:continuationSeparator/>
      </w:r>
    </w:p>
  </w:endnote>
  <w:endnote w:type="continuationNotice" w:id="1">
    <w:p w14:paraId="704B824B" w14:textId="77777777" w:rsidR="001167C4" w:rsidRDefault="0011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GLLGF+PalatinoLinotype">
    <w:altName w:val="Book Antiqua"/>
    <w:panose1 w:val="00000000000000000000"/>
    <w:charset w:val="00"/>
    <w:family w:val="roman"/>
    <w:notTrueType/>
    <w:pitch w:val="default"/>
    <w:sig w:usb0="00000003" w:usb1="00000000" w:usb2="00000000" w:usb3="00000000" w:csb0="00000001" w:csb1="00000000"/>
  </w:font>
  <w:font w:name="Frutiger LT Std 45 Light">
    <w:altName w:val="Cambria"/>
    <w:panose1 w:val="00000000000000000000"/>
    <w:charset w:val="00"/>
    <w:family w:val="swiss"/>
    <w:notTrueType/>
    <w:pitch w:val="default"/>
    <w:sig w:usb0="00000003" w:usb1="00000000" w:usb2="00000000" w:usb3="00000000" w:csb0="00000001" w:csb1="00000000"/>
  </w:font>
  <w:font w:name="Times">
    <w:altName w:val="Times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oogle San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Google Sans Text">
    <w:altName w:val="Calibri"/>
    <w:charset w:val="00"/>
    <w:family w:val="auto"/>
    <w:pitch w:val="default"/>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194058"/>
      <w:docPartObj>
        <w:docPartGallery w:val="Page Numbers (Bottom of Page)"/>
        <w:docPartUnique/>
      </w:docPartObj>
    </w:sdtPr>
    <w:sdtEndPr>
      <w:rPr>
        <w:noProof/>
      </w:rPr>
    </w:sdtEndPr>
    <w:sdtContent>
      <w:p w14:paraId="05724FCD" w14:textId="77777777" w:rsidR="00483473" w:rsidRDefault="00483473" w:rsidP="00890B37">
        <w:pPr>
          <w:pStyle w:val="Footer"/>
          <w:jc w:val="lef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425159"/>
      <w:docPartObj>
        <w:docPartGallery w:val="Page Numbers (Bottom of Page)"/>
        <w:docPartUnique/>
      </w:docPartObj>
    </w:sdtPr>
    <w:sdtEndPr>
      <w:rPr>
        <w:noProof/>
      </w:rPr>
    </w:sdtEndPr>
    <w:sdtContent>
      <w:p w14:paraId="09DA8BB5" w14:textId="77777777" w:rsidR="00483473" w:rsidRDefault="00483473" w:rsidP="003F76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761916"/>
      <w:docPartObj>
        <w:docPartGallery w:val="Page Numbers (Bottom of Page)"/>
        <w:docPartUnique/>
      </w:docPartObj>
    </w:sdtPr>
    <w:sdtEndPr>
      <w:rPr>
        <w:noProof/>
      </w:rPr>
    </w:sdtEndPr>
    <w:sdtContent>
      <w:p w14:paraId="49A291CF" w14:textId="77777777" w:rsidR="002E3468" w:rsidRDefault="002E34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C080CC" w14:textId="77777777" w:rsidR="002E3468" w:rsidRDefault="002E34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580510"/>
      <w:docPartObj>
        <w:docPartGallery w:val="Page Numbers (Bottom of Page)"/>
        <w:docPartUnique/>
      </w:docPartObj>
    </w:sdtPr>
    <w:sdtEndPr>
      <w:rPr>
        <w:noProof/>
      </w:rPr>
    </w:sdtEndPr>
    <w:sdtContent>
      <w:p w14:paraId="38E9D870" w14:textId="77777777" w:rsidR="00614F1B" w:rsidRDefault="00614F1B" w:rsidP="00890B37">
        <w:pPr>
          <w:pStyle w:val="Footer"/>
          <w:jc w:val="lef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330483"/>
      <w:docPartObj>
        <w:docPartGallery w:val="Page Numbers (Bottom of Page)"/>
        <w:docPartUnique/>
      </w:docPartObj>
    </w:sdtPr>
    <w:sdtEndPr>
      <w:rPr>
        <w:noProof/>
      </w:rPr>
    </w:sdtEndPr>
    <w:sdtContent>
      <w:p w14:paraId="0BAF731E" w14:textId="77777777" w:rsidR="00614F1B" w:rsidRDefault="00614F1B" w:rsidP="003F76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B05E" w14:textId="77777777" w:rsidR="001167C4" w:rsidRDefault="001167C4">
      <w:r>
        <w:separator/>
      </w:r>
    </w:p>
  </w:footnote>
  <w:footnote w:type="continuationSeparator" w:id="0">
    <w:p w14:paraId="73261AB7" w14:textId="77777777" w:rsidR="001167C4" w:rsidRDefault="001167C4">
      <w:r>
        <w:continuationSeparator/>
      </w:r>
    </w:p>
  </w:footnote>
  <w:footnote w:type="continuationNotice" w:id="1">
    <w:p w14:paraId="68A19541" w14:textId="77777777" w:rsidR="001167C4" w:rsidRDefault="001167C4"/>
  </w:footnote>
  <w:footnote w:id="2">
    <w:p w14:paraId="389B14D2" w14:textId="310BAE47" w:rsidR="00021182" w:rsidRDefault="00021182">
      <w:pPr>
        <w:pStyle w:val="FootnoteText"/>
      </w:pPr>
      <w:r>
        <w:rPr>
          <w:rStyle w:val="FootnoteReference"/>
        </w:rPr>
        <w:footnoteRef/>
      </w:r>
      <w:r>
        <w:t xml:space="preserve"> </w:t>
      </w:r>
      <w:r w:rsidR="00820B4B">
        <w:t>i</w:t>
      </w:r>
      <w:r>
        <w:t xml:space="preserve">ncluding </w:t>
      </w:r>
      <w:r w:rsidR="00572886">
        <w:t>working children – for more see chapter 4.1</w:t>
      </w:r>
    </w:p>
  </w:footnote>
  <w:footnote w:id="3">
    <w:p w14:paraId="388E160E" w14:textId="1D44F35A" w:rsidR="006060F2" w:rsidRPr="007462FD" w:rsidRDefault="006060F2">
      <w:pPr>
        <w:pStyle w:val="FootnoteText"/>
      </w:pPr>
      <w:r>
        <w:rPr>
          <w:rStyle w:val="FootnoteReference"/>
        </w:rPr>
        <w:footnoteRef/>
      </w:r>
      <w:r>
        <w:t xml:space="preserve"> </w:t>
      </w:r>
      <w:r w:rsidR="0046208F">
        <w:t>If conditions permitted, a</w:t>
      </w:r>
      <w:r w:rsidR="007462FD">
        <w:t>t the beginning of the FGD</w:t>
      </w:r>
      <w:r w:rsidR="0046208F">
        <w:t>,</w:t>
      </w:r>
      <w:r w:rsidR="007462FD">
        <w:t xml:space="preserve"> basic </w:t>
      </w:r>
      <w:r w:rsidR="003D2A0A">
        <w:t xml:space="preserve">socio-demographic and </w:t>
      </w:r>
      <w:r w:rsidR="007462FD">
        <w:t xml:space="preserve">quantitative data on cocoa </w:t>
      </w:r>
      <w:r w:rsidR="0046208F">
        <w:t>were collected</w:t>
      </w:r>
      <w:r w:rsidR="003D2A0A">
        <w:t xml:space="preserve"> and further aggregated with the mini-survey </w:t>
      </w:r>
      <w:r w:rsidR="003A518C">
        <w:t xml:space="preserve">data for further analysis. </w:t>
      </w:r>
    </w:p>
  </w:footnote>
  <w:footnote w:id="4">
    <w:p w14:paraId="7CAC409E" w14:textId="77777777" w:rsidR="00C22380" w:rsidRDefault="00C22380" w:rsidP="00C22380">
      <w:pPr>
        <w:pStyle w:val="FootnoteText"/>
      </w:pPr>
      <w:r>
        <w:rPr>
          <w:rStyle w:val="FootnoteReference"/>
        </w:rPr>
        <w:footnoteRef/>
      </w:r>
      <w:r>
        <w:t xml:space="preserve"> We consider the national minimum wage of 800 SLE, valid at the time of the field data collection (</w:t>
      </w:r>
      <w:proofErr w:type="gramStart"/>
      <w:r>
        <w:t>January,</w:t>
      </w:r>
      <w:proofErr w:type="gramEnd"/>
      <w:r>
        <w:t xml:space="preserve"> 2026). The new minimum wage of 1 200 SLE coming into effect on 1 April 2026. </w:t>
      </w:r>
      <w:hyperlink r:id="rId1" w:history="1">
        <w:r w:rsidRPr="00B6103F">
          <w:rPr>
            <w:rStyle w:val="Hyperlink"/>
          </w:rPr>
          <w:t>https://moice.gov.sl/sierra-leones-labour-minister-announces-new-minimum-wage-and-social-protection-scheme-for-the-informal-sector/?utm_source=chatgpt.com</w:t>
        </w:r>
      </w:hyperlink>
      <w:r>
        <w:t xml:space="preserve"> </w:t>
      </w:r>
    </w:p>
  </w:footnote>
  <w:footnote w:id="5">
    <w:p w14:paraId="3B92100E" w14:textId="039078C3" w:rsidR="003570EA" w:rsidRPr="005A2AD7" w:rsidRDefault="003570EA">
      <w:pPr>
        <w:pStyle w:val="FootnoteText"/>
      </w:pPr>
      <w:r>
        <w:rPr>
          <w:rStyle w:val="FootnoteReference"/>
        </w:rPr>
        <w:footnoteRef/>
      </w:r>
      <w:r w:rsidRPr="005A2AD7">
        <w:t xml:space="preserve"> </w:t>
      </w:r>
      <w:r w:rsidR="00867AFB" w:rsidRPr="005A2AD7">
        <w:t xml:space="preserve">n = </w:t>
      </w:r>
      <w:r w:rsidR="00E12CA9" w:rsidRPr="005A2AD7">
        <w:rPr>
          <w:sz w:val="20"/>
        </w:rPr>
        <w:t>165</w:t>
      </w:r>
      <w:r w:rsidR="00835FC7" w:rsidRPr="005A2AD7">
        <w:rPr>
          <w:sz w:val="20"/>
        </w:rPr>
        <w:t xml:space="preserve"> (women </w:t>
      </w:r>
      <w:r w:rsidR="00843108" w:rsidRPr="005A2AD7">
        <w:rPr>
          <w:sz w:val="20"/>
        </w:rPr>
        <w:t>114</w:t>
      </w:r>
      <w:r w:rsidR="00835FC7" w:rsidRPr="005A2AD7">
        <w:rPr>
          <w:sz w:val="20"/>
        </w:rPr>
        <w:t xml:space="preserve">, men </w:t>
      </w:r>
      <w:r w:rsidR="00843108" w:rsidRPr="005A2AD7">
        <w:rPr>
          <w:sz w:val="20"/>
        </w:rPr>
        <w:t>51</w:t>
      </w:r>
      <w:r w:rsidR="00835FC7" w:rsidRPr="005A2AD7">
        <w:rPr>
          <w:sz w:val="20"/>
        </w:rPr>
        <w:t xml:space="preserve">) </w:t>
      </w:r>
    </w:p>
  </w:footnote>
  <w:footnote w:id="6">
    <w:p w14:paraId="7C12E535" w14:textId="3BB40CAC" w:rsidR="00CE60CC" w:rsidRPr="002A78D3" w:rsidRDefault="00CE60CC">
      <w:pPr>
        <w:pStyle w:val="FootnoteText"/>
      </w:pPr>
      <w:r>
        <w:rPr>
          <w:rStyle w:val="FootnoteReference"/>
        </w:rPr>
        <w:footnoteRef/>
      </w:r>
      <w:r w:rsidRPr="002A78D3">
        <w:t xml:space="preserve"> n = </w:t>
      </w:r>
      <w:r w:rsidR="00EF22DF" w:rsidRPr="002A78D3">
        <w:t>149 (</w:t>
      </w:r>
      <w:r w:rsidR="002A78D3" w:rsidRPr="002A78D3">
        <w:t>wo</w:t>
      </w:r>
      <w:r w:rsidR="002A78D3" w:rsidRPr="005A2AD7">
        <w:t>me</w:t>
      </w:r>
      <w:r w:rsidR="002A78D3">
        <w:t xml:space="preserve">n </w:t>
      </w:r>
      <w:r w:rsidR="006139B2">
        <w:t>98, men 51)</w:t>
      </w:r>
    </w:p>
  </w:footnote>
  <w:footnote w:id="7">
    <w:p w14:paraId="7D452BD7" w14:textId="75286926" w:rsidR="00BA13E9" w:rsidRDefault="00BA13E9">
      <w:pPr>
        <w:pStyle w:val="FootnoteText"/>
      </w:pPr>
      <w:r>
        <w:rPr>
          <w:rStyle w:val="FootnoteReference"/>
        </w:rPr>
        <w:footnoteRef/>
      </w:r>
      <w:r>
        <w:t xml:space="preserve"> n = </w:t>
      </w:r>
      <w:r w:rsidR="005503BA">
        <w:t>8</w:t>
      </w:r>
      <w:r w:rsidR="00540946">
        <w:t>6 (</w:t>
      </w:r>
      <w:r w:rsidR="00813265">
        <w:t>women 65, men 21)</w:t>
      </w:r>
    </w:p>
  </w:footnote>
  <w:footnote w:id="8">
    <w:p w14:paraId="3E65B154" w14:textId="4C99BED1" w:rsidR="00065835" w:rsidRDefault="00065835">
      <w:pPr>
        <w:pStyle w:val="FootnoteText"/>
      </w:pPr>
      <w:r>
        <w:rPr>
          <w:rStyle w:val="FootnoteReference"/>
        </w:rPr>
        <w:footnoteRef/>
      </w:r>
      <w:r>
        <w:t xml:space="preserve"> </w:t>
      </w:r>
      <w:r w:rsidRPr="00065835">
        <w:rPr>
          <w:lang w:val="en-US"/>
        </w:rPr>
        <w:t xml:space="preserve">The empowerment index was calculated as: </w:t>
      </w:r>
      <w:r w:rsidRPr="00065835">
        <w:rPr>
          <w:i/>
          <w:iCs/>
          <w:lang w:val="en-US"/>
        </w:rPr>
        <w:t xml:space="preserve">Empowerment index = (Decision-making over cocoa income </w:t>
      </w:r>
      <w:proofErr w:type="gramStart"/>
      <w:r w:rsidRPr="00065835">
        <w:rPr>
          <w:i/>
          <w:iCs/>
          <w:lang w:val="en-US"/>
        </w:rPr>
        <w:t>+  Control</w:t>
      </w:r>
      <w:proofErr w:type="gramEnd"/>
      <w:r w:rsidRPr="00065835">
        <w:rPr>
          <w:i/>
          <w:iCs/>
          <w:lang w:val="en-US"/>
        </w:rPr>
        <w:t xml:space="preserve"> over farm resources +   Equal access to services)/3</w:t>
      </w:r>
    </w:p>
  </w:footnote>
  <w:footnote w:id="9">
    <w:p w14:paraId="010A1674" w14:textId="42D78C30" w:rsidR="00B3362C" w:rsidRDefault="00B3362C">
      <w:pPr>
        <w:pStyle w:val="FootnoteText"/>
      </w:pPr>
      <w:r>
        <w:rPr>
          <w:rStyle w:val="FootnoteReference"/>
        </w:rPr>
        <w:footnoteRef/>
      </w:r>
      <w:r>
        <w:t xml:space="preserve"> </w:t>
      </w:r>
      <w:r w:rsidRPr="00B3362C">
        <w:rPr>
          <w:lang w:val="en-US"/>
        </w:rPr>
        <w:t xml:space="preserve">The control score was calculated as the share of women who have effective control over farm resources. Responses were coded as 1 if women had full or joint control, and 0 if control was held by men or was limited. The average of this binary variable represents the proportion of women who </w:t>
      </w:r>
      <w:proofErr w:type="gramStart"/>
      <w:r w:rsidRPr="00B3362C">
        <w:rPr>
          <w:lang w:val="en-US"/>
        </w:rPr>
        <w:t>actually have</w:t>
      </w:r>
      <w:proofErr w:type="gramEnd"/>
      <w:r w:rsidRPr="00B3362C">
        <w:rPr>
          <w:lang w:val="en-US"/>
        </w:rPr>
        <w:t xml:space="preserve"> control over resources.</w:t>
      </w:r>
    </w:p>
  </w:footnote>
  <w:footnote w:id="10">
    <w:p w14:paraId="5C166D8F" w14:textId="2B424F84" w:rsidR="0058067B" w:rsidRDefault="0058067B">
      <w:pPr>
        <w:pStyle w:val="FootnoteText"/>
      </w:pPr>
      <w:r>
        <w:rPr>
          <w:rStyle w:val="FootnoteReference"/>
        </w:rPr>
        <w:footnoteRef/>
      </w:r>
      <w:r>
        <w:t xml:space="preserve"> n = 86 (women 65, men 21)</w:t>
      </w:r>
    </w:p>
  </w:footnote>
  <w:footnote w:id="11">
    <w:p w14:paraId="7737D58C" w14:textId="77777777" w:rsidR="00C22380" w:rsidRDefault="00C22380" w:rsidP="00C22380">
      <w:pPr>
        <w:pStyle w:val="FootnoteText"/>
      </w:pPr>
      <w:r>
        <w:rPr>
          <w:rStyle w:val="FootnoteReference"/>
        </w:rPr>
        <w:footnoteRef/>
      </w:r>
      <w:r>
        <w:t xml:space="preserve"> farm-gate price of fermented and dried beans</w:t>
      </w:r>
    </w:p>
  </w:footnote>
  <w:footnote w:id="12">
    <w:p w14:paraId="34A85767" w14:textId="4D923272" w:rsidR="00690175" w:rsidRPr="00690175" w:rsidRDefault="00D76933" w:rsidP="00690175">
      <w:pPr>
        <w:pStyle w:val="FootnoteText"/>
      </w:pPr>
      <w:r>
        <w:rPr>
          <w:rStyle w:val="FootnoteReference"/>
        </w:rPr>
        <w:footnoteRef/>
      </w:r>
      <w:r>
        <w:t xml:space="preserve"> </w:t>
      </w:r>
      <w:r w:rsidR="002E1640">
        <w:t>In this analysis</w:t>
      </w:r>
      <w:r w:rsidR="00D242CF">
        <w:t>, the term ‘child labour’ is used with caution and refers to the intra-household work of children,</w:t>
      </w:r>
      <w:r w:rsidR="002E1640">
        <w:t xml:space="preserve"> </w:t>
      </w:r>
      <w:r w:rsidR="00685E4A">
        <w:t>which might prevent them from schooling</w:t>
      </w:r>
      <w:r w:rsidR="002F76A6">
        <w:t xml:space="preserve">. </w:t>
      </w:r>
      <w:r w:rsidR="00A27C11">
        <w:t xml:space="preserve">However, there is a lack of data to assess the prevalence of this pattern among </w:t>
      </w:r>
      <w:r w:rsidR="00D242CF">
        <w:t>cocoa</w:t>
      </w:r>
      <w:r w:rsidR="00A27C11">
        <w:t xml:space="preserve"> farming households. </w:t>
      </w:r>
      <w:r w:rsidR="00B109C3">
        <w:t>T</w:t>
      </w:r>
      <w:r w:rsidR="00690175" w:rsidRPr="00690175">
        <w:t xml:space="preserve">he U.S. Department of Labour (2024) notes that children in SL work in agriculture, including cocoa and coffee, but the literature evidence is smaller than in Ghana and Côte d’Ivoire, where large-scale evidence is available. The Ghana and Côte d’Ivoire evidence is important because it shows that even children who remain in school can suffer lower educational attainment when engaged in hazardous cocoa work, especially when injuries are involved (U.S. Department of Labor, 2024; Pirkle et al., 2024). Hence, this is also relevant for the SL conditions, as the study by Pirkle et al. (2024) suggests: not only to examine whether working children attend school, but also whether work intensity and hazardous tasks undermine learning, progression, and retention. </w:t>
      </w:r>
    </w:p>
    <w:p w14:paraId="23E91639" w14:textId="59F24D3F" w:rsidR="00C62C9A" w:rsidRPr="00C62C9A" w:rsidRDefault="00690175" w:rsidP="005A2AD7">
      <w:pPr>
        <w:pStyle w:val="FootnoteText"/>
      </w:pPr>
      <w:r w:rsidRPr="00690175">
        <w:rPr>
          <w:lang w:val="en-US"/>
        </w:rPr>
        <w:t xml:space="preserve">Our mini-survey results show that 65% of respondents reported child involvement in cocoa work. However, the data further show that the remaining respondents did not report it, as no ‘work-able’ children lived in the household (they were either too young to work or at an age when they no longer lived with their parents). The insights from the FGDs reveal that children, if living in the household, are an important contributor to cocoa work and reduce costs for hired </w:t>
      </w:r>
      <w:r w:rsidR="00C62C9A" w:rsidRPr="00C62C9A">
        <w:t xml:space="preserve">labour. Most respondents mentioned that children do lighter work (often without specifying what this meant) and that this is carried out directly in cocoa plots: some participants reported fetching water and watering young cocoa seedlings in the plots and nursery, helping with food for hired labour during brushing and harvesting, and helping with harvesting and drying (spreading out and stacking beans for sun drying). FGD participants seem to be sensitised to the relationship between child labour and its effect on school attendance. A frequent narrative we heard is aligned with a statement by the male farmer: </w:t>
      </w:r>
      <w:r w:rsidR="00C62C9A" w:rsidRPr="00C62C9A">
        <w:rPr>
          <w:i/>
          <w:iCs/>
        </w:rPr>
        <w:t>‘It is ok to involve children in cocoa production work as they are learning while working on the cocoa plot…they do so only after school and during school holidays.</w:t>
      </w:r>
      <w:r w:rsidR="00C62C9A" w:rsidRPr="00C62C9A">
        <w:t>’ The KIIs with the NGO sector confirmed that awareness campaigns and bylaws have led to school attendance rates of approximately 80–90% in some communities, which was related to the significant decline of child labour over the last five years (</w:t>
      </w:r>
      <w:r w:rsidR="00E85797">
        <w:t>estimating</w:t>
      </w:r>
      <w:r w:rsidR="0089712C">
        <w:t xml:space="preserve">, </w:t>
      </w:r>
      <w:r w:rsidR="00C62C9A" w:rsidRPr="00C62C9A">
        <w:t xml:space="preserve">from 95% of households with child labour to about 20% at this moment). The importance of recognising education as an asset is demonstrated by farmers’ reports that a significant share of cocoa income is allocated to education, often prioritising school fees right after expenditures on basic food (rice). However, this demonstrates </w:t>
      </w:r>
      <w:proofErr w:type="gramStart"/>
      <w:r w:rsidR="00C62C9A" w:rsidRPr="00C62C9A">
        <w:t>progress, but</w:t>
      </w:r>
      <w:proofErr w:type="gramEnd"/>
      <w:r w:rsidR="00C62C9A" w:rsidRPr="00C62C9A">
        <w:t xml:space="preserve"> also highlights the persistence of </w:t>
      </w:r>
      <w:r w:rsidR="004E6D96">
        <w:t xml:space="preserve">intra-household </w:t>
      </w:r>
      <w:r w:rsidR="00C62C9A" w:rsidRPr="00C62C9A">
        <w:t xml:space="preserve">child labour as a coping strategy under conditions of poverty and shocks. The interviews with cooperative representatives confirm that children </w:t>
      </w:r>
      <w:r w:rsidR="00EB5D3B">
        <w:t xml:space="preserve">in households with a member of a Fairtrade-certified cooperative are less likely to be exposed to intra-household child labour due to the cooperative's </w:t>
      </w:r>
      <w:r w:rsidR="00C62C9A" w:rsidRPr="00C62C9A">
        <w:t xml:space="preserve">internal control system. </w:t>
      </w:r>
    </w:p>
    <w:p w14:paraId="17A559EA" w14:textId="40064181" w:rsidR="00D76933" w:rsidRDefault="00D76933" w:rsidP="00690175">
      <w:pPr>
        <w:pStyle w:val="FootnoteText"/>
      </w:pPr>
    </w:p>
  </w:footnote>
  <w:footnote w:id="13">
    <w:p w14:paraId="445E46FD" w14:textId="412B4CE3" w:rsidR="00D242CF" w:rsidRDefault="00D242CF">
      <w:pPr>
        <w:pStyle w:val="FootnoteText"/>
      </w:pPr>
      <w:r>
        <w:rPr>
          <w:rStyle w:val="FootnoteReference"/>
        </w:rPr>
        <w:footnoteRef/>
      </w:r>
      <w:r>
        <w:t xml:space="preserve"> </w:t>
      </w:r>
      <w:r w:rsidR="00355C36">
        <w:t xml:space="preserve">Motorbikes, or </w:t>
      </w:r>
      <w:proofErr w:type="spellStart"/>
      <w:r w:rsidR="00355C36" w:rsidRPr="00787992">
        <w:rPr>
          <w:i/>
          <w:iCs/>
        </w:rPr>
        <w:t>keke</w:t>
      </w:r>
      <w:proofErr w:type="spellEnd"/>
      <w:r w:rsidR="00355C36">
        <w:t xml:space="preserve"> (three-wheel motorbikes) in Freetown</w:t>
      </w:r>
    </w:p>
  </w:footnote>
  <w:footnote w:id="14">
    <w:p w14:paraId="76BC09C5" w14:textId="77777777" w:rsidR="00210B45" w:rsidRPr="009259B3" w:rsidRDefault="00210B45" w:rsidP="00210B45">
      <w:pPr>
        <w:pStyle w:val="FootnoteText"/>
      </w:pPr>
      <w:r>
        <w:rPr>
          <w:rStyle w:val="FootnoteReference"/>
        </w:rPr>
        <w:footnoteRef/>
      </w:r>
      <w:r w:rsidRPr="009259B3">
        <w:t xml:space="preserve"> n = 165 (women 114, men 51)</w:t>
      </w:r>
    </w:p>
  </w:footnote>
  <w:footnote w:id="15">
    <w:p w14:paraId="44BE39B0" w14:textId="5D470CB3" w:rsidR="004004CD" w:rsidRPr="001F1358" w:rsidRDefault="004004CD">
      <w:pPr>
        <w:pStyle w:val="FootnoteText"/>
      </w:pPr>
      <w:r>
        <w:rPr>
          <w:rStyle w:val="FootnoteReference"/>
        </w:rPr>
        <w:footnoteRef/>
      </w:r>
      <w:r w:rsidRPr="001F1358">
        <w:t xml:space="preserve"> n = 165</w:t>
      </w:r>
      <w:r w:rsidR="001F1358" w:rsidRPr="005A2AD7">
        <w:t xml:space="preserve"> (</w:t>
      </w:r>
      <w:r w:rsidR="005C2D63">
        <w:t>women 114, men 51)</w:t>
      </w:r>
    </w:p>
  </w:footnote>
  <w:footnote w:id="16">
    <w:p w14:paraId="57C52313" w14:textId="2A4DD3DD" w:rsidR="00E35506" w:rsidRDefault="00E35506">
      <w:pPr>
        <w:pStyle w:val="FootnoteText"/>
      </w:pPr>
      <w:r>
        <w:rPr>
          <w:rStyle w:val="FootnoteReference"/>
        </w:rPr>
        <w:footnoteRef/>
      </w:r>
      <w:r>
        <w:t xml:space="preserve"> </w:t>
      </w:r>
      <w:r w:rsidRPr="00E35506">
        <w:rPr>
          <w:lang w:val="en-US"/>
        </w:rPr>
        <w:t xml:space="preserve">Women’s control over income was assessed using two complementary indicators: participation in decision-making and effective control over resources. Decision-making was coded as a binary variable capturing whether women participated in income-related decisions, while control was coded based on whether women had full or joint authority over farm resources. </w:t>
      </w:r>
    </w:p>
  </w:footnote>
  <w:footnote w:id="17">
    <w:p w14:paraId="2F8A3E14" w14:textId="7C2C1DBF" w:rsidR="00EE12B7" w:rsidRDefault="00EE12B7">
      <w:pPr>
        <w:pStyle w:val="FootnoteText"/>
      </w:pPr>
      <w:r>
        <w:rPr>
          <w:rStyle w:val="FootnoteReference"/>
        </w:rPr>
        <w:footnoteRef/>
      </w:r>
      <w:r>
        <w:t xml:space="preserve"> </w:t>
      </w:r>
      <w:r w:rsidR="001C09EC" w:rsidRPr="001C09EC">
        <w:rPr>
          <w:lang w:val="en-US"/>
        </w:rPr>
        <w:t xml:space="preserve">The control score was calculated as the share of women who have effective control over farm resources. Responses were coded as 1 if women had full or joint control, and 0 if control was held by men or was limited. The average of this binary variable represents the proportion of women </w:t>
      </w:r>
      <w:r w:rsidR="001C09EC">
        <w:rPr>
          <w:lang w:val="en-US"/>
        </w:rPr>
        <w:t xml:space="preserve">who </w:t>
      </w:r>
      <w:proofErr w:type="gramStart"/>
      <w:r w:rsidR="001C09EC">
        <w:rPr>
          <w:lang w:val="en-US"/>
        </w:rPr>
        <w:t>actually have</w:t>
      </w:r>
      <w:proofErr w:type="gramEnd"/>
      <w:r w:rsidR="001C09EC" w:rsidRPr="001C09EC">
        <w:rPr>
          <w:lang w:val="en-US"/>
        </w:rPr>
        <w:t xml:space="preserve"> control over resources.</w:t>
      </w:r>
    </w:p>
  </w:footnote>
  <w:footnote w:id="18">
    <w:p w14:paraId="5C723E0D" w14:textId="662C0B01" w:rsidR="00400153" w:rsidRDefault="00400153">
      <w:pPr>
        <w:pStyle w:val="FootnoteText"/>
      </w:pPr>
      <w:r>
        <w:rPr>
          <w:rStyle w:val="FootnoteReference"/>
        </w:rPr>
        <w:footnoteRef/>
      </w:r>
      <w:r>
        <w:t xml:space="preserve"> n = 107 (</w:t>
      </w:r>
      <w:r w:rsidR="00CF5A59">
        <w:t xml:space="preserve">women 65, men </w:t>
      </w:r>
      <w:r w:rsidR="009B661F">
        <w:t>23)</w:t>
      </w:r>
    </w:p>
  </w:footnote>
  <w:footnote w:id="19">
    <w:p w14:paraId="066062C4" w14:textId="1F656CC9" w:rsidR="002C2B1A" w:rsidRDefault="002C2B1A">
      <w:pPr>
        <w:pStyle w:val="FootnoteText"/>
      </w:pPr>
      <w:r>
        <w:rPr>
          <w:rStyle w:val="FootnoteReference"/>
        </w:rPr>
        <w:footnoteRef/>
      </w:r>
      <w:r>
        <w:t xml:space="preserve"> </w:t>
      </w:r>
      <w:r w:rsidR="00387577" w:rsidRPr="00387577">
        <w:rPr>
          <w:lang w:val="en-US"/>
        </w:rPr>
        <w:t xml:space="preserve">The </w:t>
      </w:r>
      <w:proofErr w:type="spellStart"/>
      <w:r w:rsidR="00387577" w:rsidRPr="00387577">
        <w:rPr>
          <w:lang w:val="en-US"/>
        </w:rPr>
        <w:t>labour</w:t>
      </w:r>
      <w:proofErr w:type="spellEnd"/>
      <w:r w:rsidR="00387577" w:rsidRPr="00387577">
        <w:rPr>
          <w:lang w:val="en-US"/>
        </w:rPr>
        <w:t xml:space="preserve">-intensity index was constructed as the share of </w:t>
      </w:r>
      <w:proofErr w:type="spellStart"/>
      <w:r w:rsidR="00387577" w:rsidRPr="00387577">
        <w:rPr>
          <w:lang w:val="en-US"/>
        </w:rPr>
        <w:t>labour</w:t>
      </w:r>
      <w:proofErr w:type="spellEnd"/>
      <w:r w:rsidR="00387577" w:rsidRPr="00387577">
        <w:rPr>
          <w:lang w:val="en-US"/>
        </w:rPr>
        <w:t xml:space="preserve">-demanding cocoa activities reported by each respondent. The index ranges from 0 to 1 and reflects the relative breadth of </w:t>
      </w:r>
      <w:proofErr w:type="spellStart"/>
      <w:r w:rsidR="00387577" w:rsidRPr="00387577">
        <w:rPr>
          <w:lang w:val="en-US"/>
        </w:rPr>
        <w:t>labour</w:t>
      </w:r>
      <w:proofErr w:type="spellEnd"/>
      <w:r w:rsidR="00387577" w:rsidRPr="00387577">
        <w:rPr>
          <w:lang w:val="en-US"/>
        </w:rPr>
        <w:t xml:space="preserve"> involvement across key production stages.</w:t>
      </w:r>
    </w:p>
  </w:footnote>
  <w:footnote w:id="20">
    <w:p w14:paraId="7A6ADDAC" w14:textId="715F7565" w:rsidR="000B2604" w:rsidRDefault="000B2604">
      <w:pPr>
        <w:pStyle w:val="FootnoteText"/>
      </w:pPr>
      <w:r>
        <w:rPr>
          <w:rStyle w:val="FootnoteReference"/>
        </w:rPr>
        <w:footnoteRef/>
      </w:r>
      <w:r>
        <w:t xml:space="preserve"> </w:t>
      </w:r>
      <w:r w:rsidR="00672EB1" w:rsidRPr="00672EB1">
        <w:rPr>
          <w:vertAlign w:val="superscript"/>
          <w:lang w:val="en-US"/>
        </w:rPr>
        <w:footnoteRef/>
      </w:r>
      <w:r w:rsidR="00672EB1" w:rsidRPr="00672EB1">
        <w:rPr>
          <w:lang w:val="en-US"/>
        </w:rPr>
        <w:t xml:space="preserve"> The workload index was calculated by combining three components: (</w:t>
      </w:r>
      <w:proofErr w:type="spellStart"/>
      <w:r w:rsidR="00672EB1" w:rsidRPr="00672EB1">
        <w:rPr>
          <w:lang w:val="en-US"/>
        </w:rPr>
        <w:t>i</w:t>
      </w:r>
      <w:proofErr w:type="spellEnd"/>
      <w:r w:rsidR="00672EB1" w:rsidRPr="00672EB1">
        <w:rPr>
          <w:lang w:val="en-US"/>
        </w:rPr>
        <w:t xml:space="preserve">) the share of </w:t>
      </w:r>
      <w:proofErr w:type="spellStart"/>
      <w:r w:rsidR="00672EB1" w:rsidRPr="00672EB1">
        <w:rPr>
          <w:lang w:val="en-US"/>
        </w:rPr>
        <w:t>labour-intensive</w:t>
      </w:r>
      <w:proofErr w:type="spellEnd"/>
      <w:r w:rsidR="00672EB1" w:rsidRPr="00672EB1">
        <w:rPr>
          <w:lang w:val="en-US"/>
        </w:rPr>
        <w:t xml:space="preserve"> cocoa tasks performed (productive </w:t>
      </w:r>
      <w:proofErr w:type="spellStart"/>
      <w:r w:rsidR="00672EB1" w:rsidRPr="00672EB1">
        <w:rPr>
          <w:lang w:val="en-US"/>
        </w:rPr>
        <w:t>labour</w:t>
      </w:r>
      <w:proofErr w:type="spellEnd"/>
      <w:r w:rsidR="00672EB1" w:rsidRPr="00672EB1">
        <w:rPr>
          <w:lang w:val="en-US"/>
        </w:rPr>
        <w:t xml:space="preserve">), (ii) a binary indicator of time pressure based on whether working hours were reported as unmanageable, and (iii) a proxy for domestic </w:t>
      </w:r>
      <w:proofErr w:type="spellStart"/>
      <w:r w:rsidR="00672EB1" w:rsidRPr="00672EB1">
        <w:rPr>
          <w:lang w:val="en-US"/>
        </w:rPr>
        <w:t>labour</w:t>
      </w:r>
      <w:proofErr w:type="spellEnd"/>
      <w:r w:rsidR="00672EB1" w:rsidRPr="00672EB1">
        <w:rPr>
          <w:lang w:val="en-US"/>
        </w:rPr>
        <w:t xml:space="preserve"> based on gender. Each component was </w:t>
      </w:r>
      <w:proofErr w:type="spellStart"/>
      <w:r w:rsidR="00672EB1" w:rsidRPr="00672EB1">
        <w:rPr>
          <w:lang w:val="en-US"/>
        </w:rPr>
        <w:t>normalised</w:t>
      </w:r>
      <w:proofErr w:type="spellEnd"/>
      <w:r w:rsidR="00672EB1" w:rsidRPr="00672EB1">
        <w:rPr>
          <w:lang w:val="en-US"/>
        </w:rPr>
        <w:t xml:space="preserve"> to a 0–1 scale and averaged to produce a composite index ranging from 0 (low workload) to 1 (high workload). A robustness check was conducted using a weighted version of the productive </w:t>
      </w:r>
      <w:proofErr w:type="spellStart"/>
      <w:r w:rsidR="00672EB1" w:rsidRPr="00672EB1">
        <w:rPr>
          <w:lang w:val="en-US"/>
        </w:rPr>
        <w:t>labour</w:t>
      </w:r>
      <w:proofErr w:type="spellEnd"/>
      <w:r w:rsidR="00672EB1" w:rsidRPr="00672EB1">
        <w:rPr>
          <w:lang w:val="en-US"/>
        </w:rPr>
        <w:t xml:space="preserve"> component, assigning higher weights to more physically demanding tasks such as brushing and harvesting.</w:t>
      </w:r>
    </w:p>
  </w:footnote>
  <w:footnote w:id="21">
    <w:p w14:paraId="2323103E" w14:textId="5A97572C" w:rsidR="0068659B" w:rsidRPr="005A2AD7" w:rsidRDefault="0068659B">
      <w:pPr>
        <w:pStyle w:val="FootnoteText"/>
        <w:rPr>
          <w:lang w:val="cs-CZ"/>
        </w:rPr>
      </w:pPr>
      <w:r>
        <w:rPr>
          <w:rStyle w:val="FootnoteReference"/>
        </w:rPr>
        <w:footnoteRef/>
      </w:r>
      <w:r>
        <w:t xml:space="preserve"> </w:t>
      </w:r>
      <w:r>
        <w:rPr>
          <w:lang w:val="cs-CZ"/>
        </w:rPr>
        <w:t>n = 165 (women 114, men 51)</w:t>
      </w:r>
    </w:p>
  </w:footnote>
  <w:footnote w:id="22">
    <w:p w14:paraId="62B86122" w14:textId="2439F822" w:rsidR="00A15964" w:rsidRDefault="00A15964">
      <w:pPr>
        <w:pStyle w:val="FootnoteText"/>
      </w:pPr>
      <w:r>
        <w:rPr>
          <w:rStyle w:val="FootnoteReference"/>
        </w:rPr>
        <w:footnoteRef/>
      </w:r>
      <w:r>
        <w:t xml:space="preserve"> n = </w:t>
      </w:r>
      <w:r w:rsidR="00F00FAE">
        <w:t>165</w:t>
      </w:r>
      <w:r w:rsidR="0068659B">
        <w:t xml:space="preserve"> </w:t>
      </w:r>
      <w:r w:rsidR="0068659B">
        <w:rPr>
          <w:lang w:val="cs-CZ"/>
        </w:rPr>
        <w:t>(women 114, men 51)</w:t>
      </w:r>
    </w:p>
  </w:footnote>
  <w:footnote w:id="23">
    <w:p w14:paraId="3FFC34AF" w14:textId="77777777" w:rsidR="002A0BC6" w:rsidRDefault="002A0BC6" w:rsidP="002A0BC6">
      <w:pPr>
        <w:pStyle w:val="FootnoteText"/>
      </w:pPr>
      <w:r>
        <w:rPr>
          <w:rStyle w:val="FootnoteReference"/>
        </w:rPr>
        <w:footnoteRef/>
      </w:r>
      <w:r>
        <w:t xml:space="preserve"> </w:t>
      </w:r>
      <w:r w:rsidRPr="003D3D64">
        <w:rPr>
          <w:lang w:val="en-US"/>
        </w:rPr>
        <w:t xml:space="preserve">To fully confirm such a statement, a larger randomly selected sample would be needed. </w:t>
      </w:r>
    </w:p>
  </w:footnote>
  <w:footnote w:id="24">
    <w:p w14:paraId="3356EBDF" w14:textId="77777777" w:rsidR="002A0BC6" w:rsidRDefault="002A0BC6" w:rsidP="002A0BC6">
      <w:pPr>
        <w:pStyle w:val="FootnoteText"/>
      </w:pPr>
      <w:r>
        <w:rPr>
          <w:rStyle w:val="FootnoteReference"/>
        </w:rPr>
        <w:footnoteRef/>
      </w:r>
      <w:r>
        <w:t xml:space="preserve"> status in January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0DE87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A991"/>
    <w:multiLevelType w:val="multilevel"/>
    <w:tmpl w:val="10CA9C1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3949E5"/>
    <w:multiLevelType w:val="hybridMultilevel"/>
    <w:tmpl w:val="53648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69E40"/>
    <w:multiLevelType w:val="hybridMultilevel"/>
    <w:tmpl w:val="FFFFFFFF"/>
    <w:lvl w:ilvl="0" w:tplc="6E02C574">
      <w:start w:val="1"/>
      <w:numFmt w:val="bullet"/>
      <w:lvlText w:val="·"/>
      <w:lvlJc w:val="left"/>
      <w:pPr>
        <w:ind w:left="720" w:hanging="360"/>
      </w:pPr>
      <w:rPr>
        <w:rFonts w:ascii="Symbol" w:hAnsi="Symbol" w:hint="default"/>
      </w:rPr>
    </w:lvl>
    <w:lvl w:ilvl="1" w:tplc="AB6E0A62">
      <w:start w:val="1"/>
      <w:numFmt w:val="bullet"/>
      <w:lvlText w:val="o"/>
      <w:lvlJc w:val="left"/>
      <w:pPr>
        <w:ind w:left="1440" w:hanging="360"/>
      </w:pPr>
      <w:rPr>
        <w:rFonts w:ascii="Courier New" w:hAnsi="Courier New" w:hint="default"/>
      </w:rPr>
    </w:lvl>
    <w:lvl w:ilvl="2" w:tplc="8E68BEA8">
      <w:start w:val="1"/>
      <w:numFmt w:val="bullet"/>
      <w:lvlText w:val=""/>
      <w:lvlJc w:val="left"/>
      <w:pPr>
        <w:ind w:left="2160" w:hanging="360"/>
      </w:pPr>
      <w:rPr>
        <w:rFonts w:ascii="Wingdings" w:hAnsi="Wingdings" w:hint="default"/>
      </w:rPr>
    </w:lvl>
    <w:lvl w:ilvl="3" w:tplc="BF3045DC">
      <w:start w:val="1"/>
      <w:numFmt w:val="bullet"/>
      <w:lvlText w:val=""/>
      <w:lvlJc w:val="left"/>
      <w:pPr>
        <w:ind w:left="2880" w:hanging="360"/>
      </w:pPr>
      <w:rPr>
        <w:rFonts w:ascii="Symbol" w:hAnsi="Symbol" w:hint="default"/>
      </w:rPr>
    </w:lvl>
    <w:lvl w:ilvl="4" w:tplc="9EEEB930">
      <w:start w:val="1"/>
      <w:numFmt w:val="bullet"/>
      <w:lvlText w:val="o"/>
      <w:lvlJc w:val="left"/>
      <w:pPr>
        <w:ind w:left="3600" w:hanging="360"/>
      </w:pPr>
      <w:rPr>
        <w:rFonts w:ascii="Courier New" w:hAnsi="Courier New" w:hint="default"/>
      </w:rPr>
    </w:lvl>
    <w:lvl w:ilvl="5" w:tplc="202A45B0">
      <w:start w:val="1"/>
      <w:numFmt w:val="bullet"/>
      <w:lvlText w:val=""/>
      <w:lvlJc w:val="left"/>
      <w:pPr>
        <w:ind w:left="4320" w:hanging="360"/>
      </w:pPr>
      <w:rPr>
        <w:rFonts w:ascii="Wingdings" w:hAnsi="Wingdings" w:hint="default"/>
      </w:rPr>
    </w:lvl>
    <w:lvl w:ilvl="6" w:tplc="F1F2744C">
      <w:start w:val="1"/>
      <w:numFmt w:val="bullet"/>
      <w:lvlText w:val=""/>
      <w:lvlJc w:val="left"/>
      <w:pPr>
        <w:ind w:left="5040" w:hanging="360"/>
      </w:pPr>
      <w:rPr>
        <w:rFonts w:ascii="Symbol" w:hAnsi="Symbol" w:hint="default"/>
      </w:rPr>
    </w:lvl>
    <w:lvl w:ilvl="7" w:tplc="FBF44B56">
      <w:start w:val="1"/>
      <w:numFmt w:val="bullet"/>
      <w:lvlText w:val="o"/>
      <w:lvlJc w:val="left"/>
      <w:pPr>
        <w:ind w:left="5760" w:hanging="360"/>
      </w:pPr>
      <w:rPr>
        <w:rFonts w:ascii="Courier New" w:hAnsi="Courier New" w:hint="default"/>
      </w:rPr>
    </w:lvl>
    <w:lvl w:ilvl="8" w:tplc="8CB6A934">
      <w:start w:val="1"/>
      <w:numFmt w:val="bullet"/>
      <w:lvlText w:val=""/>
      <w:lvlJc w:val="left"/>
      <w:pPr>
        <w:ind w:left="6480" w:hanging="360"/>
      </w:pPr>
      <w:rPr>
        <w:rFonts w:ascii="Wingdings" w:hAnsi="Wingdings" w:hint="default"/>
      </w:rPr>
    </w:lvl>
  </w:abstractNum>
  <w:abstractNum w:abstractNumId="4" w15:restartNumberingAfterBreak="0">
    <w:nsid w:val="0A725C75"/>
    <w:multiLevelType w:val="hybridMultilevel"/>
    <w:tmpl w:val="96CC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73DF0"/>
    <w:multiLevelType w:val="hybridMultilevel"/>
    <w:tmpl w:val="D76E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53564"/>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D51EC8"/>
    <w:multiLevelType w:val="multilevel"/>
    <w:tmpl w:val="217E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208"/>
    <w:multiLevelType w:val="multilevel"/>
    <w:tmpl w:val="08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830F7C"/>
    <w:multiLevelType w:val="hybridMultilevel"/>
    <w:tmpl w:val="8728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D3C19"/>
    <w:multiLevelType w:val="hybridMultilevel"/>
    <w:tmpl w:val="ED1E4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22075C"/>
    <w:multiLevelType w:val="multilevel"/>
    <w:tmpl w:val="08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C07C5"/>
    <w:multiLevelType w:val="hybridMultilevel"/>
    <w:tmpl w:val="701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4649D"/>
    <w:multiLevelType w:val="hybridMultilevel"/>
    <w:tmpl w:val="4CC0E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20ADC"/>
    <w:multiLevelType w:val="hybridMultilevel"/>
    <w:tmpl w:val="E6A60516"/>
    <w:lvl w:ilvl="0" w:tplc="7BBEA1BC">
      <w:start w:val="1"/>
      <w:numFmt w:val="bullet"/>
      <w:pStyle w:val="ListBulletNegative"/>
      <w:lvlText w:val=""/>
      <w:lvlJc w:val="left"/>
      <w:pPr>
        <w:ind w:left="576" w:hanging="432"/>
      </w:pPr>
      <w:rPr>
        <w:rFonts w:ascii="Wingdings 3" w:hAnsi="Wingdings 3" w:hint="default"/>
        <w:color w:val="7F7F7F" w:themeColor="text1" w:themeTint="80"/>
        <w:position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E1C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F81477"/>
    <w:multiLevelType w:val="hybridMultilevel"/>
    <w:tmpl w:val="DF9CF2C6"/>
    <w:lvl w:ilvl="0" w:tplc="FF6C60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F369CB"/>
    <w:multiLevelType w:val="hybridMultilevel"/>
    <w:tmpl w:val="6FC07668"/>
    <w:lvl w:ilvl="0" w:tplc="F4A86E0A">
      <w:start w:val="1"/>
      <w:numFmt w:val="bullet"/>
      <w:pStyle w:val="ListBullet"/>
      <w:lvlText w:val=""/>
      <w:lvlJc w:val="left"/>
      <w:pPr>
        <w:ind w:left="576" w:hanging="432"/>
      </w:pPr>
      <w:rPr>
        <w:rFonts w:ascii="Wingdings 3" w:hAnsi="Wingdings 3" w:hint="default"/>
        <w:color w:val="4472C4" w:themeColor="accent1"/>
        <w:position w:val="-4"/>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4389B"/>
    <w:multiLevelType w:val="multilevel"/>
    <w:tmpl w:val="98AC873E"/>
    <w:lvl w:ilvl="0">
      <w:start w:val="1"/>
      <w:numFmt w:val="bullet"/>
      <w:lvlText w:val="●"/>
      <w:lvlJc w:val="left"/>
      <w:pPr>
        <w:ind w:left="600" w:hanging="360"/>
      </w:pPr>
      <w:rPr>
        <w:rFonts w:ascii="Arial" w:hAnsi="Aria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39DCAD2B"/>
    <w:multiLevelType w:val="hybridMultilevel"/>
    <w:tmpl w:val="FFFFFFFF"/>
    <w:lvl w:ilvl="0" w:tplc="41F48824">
      <w:start w:val="1"/>
      <w:numFmt w:val="lowerLetter"/>
      <w:lvlText w:val="(%1)"/>
      <w:lvlJc w:val="left"/>
      <w:pPr>
        <w:ind w:left="720" w:hanging="360"/>
      </w:pPr>
    </w:lvl>
    <w:lvl w:ilvl="1" w:tplc="69E27D80">
      <w:start w:val="1"/>
      <w:numFmt w:val="lowerLetter"/>
      <w:lvlText w:val="%2."/>
      <w:lvlJc w:val="left"/>
      <w:pPr>
        <w:ind w:left="1440" w:hanging="360"/>
      </w:pPr>
    </w:lvl>
    <w:lvl w:ilvl="2" w:tplc="08725148">
      <w:start w:val="1"/>
      <w:numFmt w:val="lowerRoman"/>
      <w:lvlText w:val="%3."/>
      <w:lvlJc w:val="right"/>
      <w:pPr>
        <w:ind w:left="2160" w:hanging="180"/>
      </w:pPr>
    </w:lvl>
    <w:lvl w:ilvl="3" w:tplc="C34A7B14">
      <w:start w:val="1"/>
      <w:numFmt w:val="decimal"/>
      <w:lvlText w:val="%4."/>
      <w:lvlJc w:val="left"/>
      <w:pPr>
        <w:ind w:left="2880" w:hanging="360"/>
      </w:pPr>
    </w:lvl>
    <w:lvl w:ilvl="4" w:tplc="3A262320">
      <w:start w:val="1"/>
      <w:numFmt w:val="lowerLetter"/>
      <w:lvlText w:val="%5."/>
      <w:lvlJc w:val="left"/>
      <w:pPr>
        <w:ind w:left="3600" w:hanging="360"/>
      </w:pPr>
    </w:lvl>
    <w:lvl w:ilvl="5" w:tplc="0F92A1C2">
      <w:start w:val="1"/>
      <w:numFmt w:val="lowerRoman"/>
      <w:lvlText w:val="%6."/>
      <w:lvlJc w:val="right"/>
      <w:pPr>
        <w:ind w:left="4320" w:hanging="180"/>
      </w:pPr>
    </w:lvl>
    <w:lvl w:ilvl="6" w:tplc="3BEA0420">
      <w:start w:val="1"/>
      <w:numFmt w:val="decimal"/>
      <w:lvlText w:val="%7."/>
      <w:lvlJc w:val="left"/>
      <w:pPr>
        <w:ind w:left="5040" w:hanging="360"/>
      </w:pPr>
    </w:lvl>
    <w:lvl w:ilvl="7" w:tplc="A25AF208">
      <w:start w:val="1"/>
      <w:numFmt w:val="lowerLetter"/>
      <w:lvlText w:val="%8."/>
      <w:lvlJc w:val="left"/>
      <w:pPr>
        <w:ind w:left="5760" w:hanging="360"/>
      </w:pPr>
    </w:lvl>
    <w:lvl w:ilvl="8" w:tplc="CBD8DCAA">
      <w:start w:val="1"/>
      <w:numFmt w:val="lowerRoman"/>
      <w:lvlText w:val="%9."/>
      <w:lvlJc w:val="right"/>
      <w:pPr>
        <w:ind w:left="6480" w:hanging="180"/>
      </w:pPr>
    </w:lvl>
  </w:abstractNum>
  <w:abstractNum w:abstractNumId="20" w15:restartNumberingAfterBreak="0">
    <w:nsid w:val="3ADF2CA8"/>
    <w:multiLevelType w:val="hybridMultilevel"/>
    <w:tmpl w:val="3B769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F550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9F1EC7"/>
    <w:multiLevelType w:val="multilevel"/>
    <w:tmpl w:val="E86E46A0"/>
    <w:styleLink w:val="Test"/>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3FB40DA5"/>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BD0E14"/>
    <w:multiLevelType w:val="hybridMultilevel"/>
    <w:tmpl w:val="914EF5F4"/>
    <w:lvl w:ilvl="0" w:tplc="4D425AE6">
      <w:start w:val="1"/>
      <w:numFmt w:val="bullet"/>
      <w:pStyle w:val="LCAFoodHeading2"/>
      <w:lvlText w:val=""/>
      <w:lvlJc w:val="left"/>
      <w:pPr>
        <w:ind w:left="720" w:hanging="360"/>
      </w:pPr>
      <w:rPr>
        <w:rFonts w:ascii="Wingdings" w:hAnsi="Wingdings" w:hint="default"/>
        <w:color w:val="576D2D"/>
      </w:rPr>
    </w:lvl>
    <w:lvl w:ilvl="1" w:tplc="82069A8A" w:tentative="1">
      <w:start w:val="1"/>
      <w:numFmt w:val="bullet"/>
      <w:lvlText w:val="o"/>
      <w:lvlJc w:val="left"/>
      <w:pPr>
        <w:ind w:left="1440" w:hanging="360"/>
      </w:pPr>
      <w:rPr>
        <w:rFonts w:ascii="Courier New" w:hAnsi="Courier New" w:cs="Courier New" w:hint="default"/>
      </w:rPr>
    </w:lvl>
    <w:lvl w:ilvl="2" w:tplc="09F08994" w:tentative="1">
      <w:start w:val="1"/>
      <w:numFmt w:val="bullet"/>
      <w:lvlText w:val=""/>
      <w:lvlJc w:val="left"/>
      <w:pPr>
        <w:ind w:left="2160" w:hanging="360"/>
      </w:pPr>
      <w:rPr>
        <w:rFonts w:ascii="Wingdings" w:hAnsi="Wingdings" w:hint="default"/>
      </w:rPr>
    </w:lvl>
    <w:lvl w:ilvl="3" w:tplc="983E2ECA" w:tentative="1">
      <w:start w:val="1"/>
      <w:numFmt w:val="bullet"/>
      <w:lvlText w:val=""/>
      <w:lvlJc w:val="left"/>
      <w:pPr>
        <w:ind w:left="2880" w:hanging="360"/>
      </w:pPr>
      <w:rPr>
        <w:rFonts w:ascii="Symbol" w:hAnsi="Symbol" w:hint="default"/>
      </w:rPr>
    </w:lvl>
    <w:lvl w:ilvl="4" w:tplc="77B6EF20" w:tentative="1">
      <w:start w:val="1"/>
      <w:numFmt w:val="bullet"/>
      <w:lvlText w:val="o"/>
      <w:lvlJc w:val="left"/>
      <w:pPr>
        <w:ind w:left="3600" w:hanging="360"/>
      </w:pPr>
      <w:rPr>
        <w:rFonts w:ascii="Courier New" w:hAnsi="Courier New" w:cs="Courier New" w:hint="default"/>
      </w:rPr>
    </w:lvl>
    <w:lvl w:ilvl="5" w:tplc="6532C656" w:tentative="1">
      <w:start w:val="1"/>
      <w:numFmt w:val="bullet"/>
      <w:lvlText w:val=""/>
      <w:lvlJc w:val="left"/>
      <w:pPr>
        <w:ind w:left="4320" w:hanging="360"/>
      </w:pPr>
      <w:rPr>
        <w:rFonts w:ascii="Wingdings" w:hAnsi="Wingdings" w:hint="default"/>
      </w:rPr>
    </w:lvl>
    <w:lvl w:ilvl="6" w:tplc="8018A766" w:tentative="1">
      <w:start w:val="1"/>
      <w:numFmt w:val="bullet"/>
      <w:lvlText w:val=""/>
      <w:lvlJc w:val="left"/>
      <w:pPr>
        <w:ind w:left="5040" w:hanging="360"/>
      </w:pPr>
      <w:rPr>
        <w:rFonts w:ascii="Symbol" w:hAnsi="Symbol" w:hint="default"/>
      </w:rPr>
    </w:lvl>
    <w:lvl w:ilvl="7" w:tplc="77C2D2C2" w:tentative="1">
      <w:start w:val="1"/>
      <w:numFmt w:val="bullet"/>
      <w:lvlText w:val="o"/>
      <w:lvlJc w:val="left"/>
      <w:pPr>
        <w:ind w:left="5760" w:hanging="360"/>
      </w:pPr>
      <w:rPr>
        <w:rFonts w:ascii="Courier New" w:hAnsi="Courier New" w:cs="Courier New" w:hint="default"/>
      </w:rPr>
    </w:lvl>
    <w:lvl w:ilvl="8" w:tplc="10C8502C" w:tentative="1">
      <w:start w:val="1"/>
      <w:numFmt w:val="bullet"/>
      <w:lvlText w:val=""/>
      <w:lvlJc w:val="left"/>
      <w:pPr>
        <w:ind w:left="6480" w:hanging="360"/>
      </w:pPr>
      <w:rPr>
        <w:rFonts w:ascii="Wingdings" w:hAnsi="Wingdings" w:hint="default"/>
      </w:rPr>
    </w:lvl>
  </w:abstractNum>
  <w:abstractNum w:abstractNumId="25" w15:restartNumberingAfterBreak="0">
    <w:nsid w:val="4A9215D5"/>
    <w:multiLevelType w:val="hybridMultilevel"/>
    <w:tmpl w:val="73BC4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353AD5"/>
    <w:multiLevelType w:val="multilevel"/>
    <w:tmpl w:val="7586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67547C"/>
    <w:multiLevelType w:val="multilevel"/>
    <w:tmpl w:val="A35E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72261"/>
    <w:multiLevelType w:val="hybridMultilevel"/>
    <w:tmpl w:val="2ED4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2756B1"/>
    <w:multiLevelType w:val="hybridMultilevel"/>
    <w:tmpl w:val="58F05394"/>
    <w:lvl w:ilvl="0" w:tplc="78024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D31B6F"/>
    <w:multiLevelType w:val="hybridMultilevel"/>
    <w:tmpl w:val="69D2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B2932"/>
    <w:multiLevelType w:val="hybridMultilevel"/>
    <w:tmpl w:val="C2FA7AFC"/>
    <w:lvl w:ilvl="0" w:tplc="B1E40790">
      <w:start w:val="1"/>
      <w:numFmt w:val="lowerRoman"/>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B706130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DBC400"/>
    <w:multiLevelType w:val="hybridMultilevel"/>
    <w:tmpl w:val="80AE2C1A"/>
    <w:lvl w:ilvl="0" w:tplc="3A0A148A">
      <w:start w:val="1"/>
      <w:numFmt w:val="lowerLetter"/>
      <w:lvlText w:val="(%1)"/>
      <w:lvlJc w:val="left"/>
      <w:pPr>
        <w:ind w:left="720" w:hanging="360"/>
      </w:pPr>
    </w:lvl>
    <w:lvl w:ilvl="1" w:tplc="311E9754">
      <w:start w:val="1"/>
      <w:numFmt w:val="lowerLetter"/>
      <w:lvlText w:val="%2."/>
      <w:lvlJc w:val="left"/>
      <w:pPr>
        <w:ind w:left="1440" w:hanging="360"/>
      </w:pPr>
    </w:lvl>
    <w:lvl w:ilvl="2" w:tplc="EEAC060C">
      <w:start w:val="1"/>
      <w:numFmt w:val="lowerRoman"/>
      <w:lvlText w:val="%3."/>
      <w:lvlJc w:val="right"/>
      <w:pPr>
        <w:ind w:left="2160" w:hanging="180"/>
      </w:pPr>
    </w:lvl>
    <w:lvl w:ilvl="3" w:tplc="4CB63A12">
      <w:start w:val="1"/>
      <w:numFmt w:val="decimal"/>
      <w:lvlText w:val="%4."/>
      <w:lvlJc w:val="left"/>
      <w:pPr>
        <w:ind w:left="2880" w:hanging="360"/>
      </w:pPr>
    </w:lvl>
    <w:lvl w:ilvl="4" w:tplc="5308E482">
      <w:start w:val="1"/>
      <w:numFmt w:val="lowerLetter"/>
      <w:lvlText w:val="%5."/>
      <w:lvlJc w:val="left"/>
      <w:pPr>
        <w:ind w:left="3600" w:hanging="360"/>
      </w:pPr>
    </w:lvl>
    <w:lvl w:ilvl="5" w:tplc="05E699E8">
      <w:start w:val="1"/>
      <w:numFmt w:val="lowerRoman"/>
      <w:lvlText w:val="%6."/>
      <w:lvlJc w:val="right"/>
      <w:pPr>
        <w:ind w:left="4320" w:hanging="180"/>
      </w:pPr>
    </w:lvl>
    <w:lvl w:ilvl="6" w:tplc="D5FE077C">
      <w:start w:val="1"/>
      <w:numFmt w:val="decimal"/>
      <w:lvlText w:val="%7."/>
      <w:lvlJc w:val="left"/>
      <w:pPr>
        <w:ind w:left="5040" w:hanging="360"/>
      </w:pPr>
    </w:lvl>
    <w:lvl w:ilvl="7" w:tplc="5F5A8922">
      <w:start w:val="1"/>
      <w:numFmt w:val="lowerLetter"/>
      <w:lvlText w:val="%8."/>
      <w:lvlJc w:val="left"/>
      <w:pPr>
        <w:ind w:left="5760" w:hanging="360"/>
      </w:pPr>
    </w:lvl>
    <w:lvl w:ilvl="8" w:tplc="87B841AC">
      <w:start w:val="1"/>
      <w:numFmt w:val="lowerRoman"/>
      <w:lvlText w:val="%9."/>
      <w:lvlJc w:val="right"/>
      <w:pPr>
        <w:ind w:left="6480" w:hanging="180"/>
      </w:pPr>
    </w:lvl>
  </w:abstractNum>
  <w:abstractNum w:abstractNumId="33" w15:restartNumberingAfterBreak="0">
    <w:nsid w:val="59211EDC"/>
    <w:multiLevelType w:val="hybridMultilevel"/>
    <w:tmpl w:val="403A8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0E5D29"/>
    <w:multiLevelType w:val="hybridMultilevel"/>
    <w:tmpl w:val="5DDAFC0A"/>
    <w:lvl w:ilvl="0" w:tplc="08725148">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FB65F8"/>
    <w:multiLevelType w:val="hybridMultilevel"/>
    <w:tmpl w:val="CE7878AE"/>
    <w:lvl w:ilvl="0" w:tplc="6BECD85C">
      <w:start w:val="1"/>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961F3B"/>
    <w:multiLevelType w:val="multilevel"/>
    <w:tmpl w:val="AF6E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335AA"/>
    <w:multiLevelType w:val="multilevel"/>
    <w:tmpl w:val="09E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2637A0"/>
    <w:multiLevelType w:val="hybridMultilevel"/>
    <w:tmpl w:val="5AA24F10"/>
    <w:lvl w:ilvl="0" w:tplc="EF788C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D4209D"/>
    <w:multiLevelType w:val="hybridMultilevel"/>
    <w:tmpl w:val="EB98D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510AD"/>
    <w:multiLevelType w:val="multilevel"/>
    <w:tmpl w:val="CC10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465906">
    <w:abstractNumId w:val="17"/>
  </w:num>
  <w:num w:numId="2" w16cid:durableId="11808761">
    <w:abstractNumId w:val="0"/>
  </w:num>
  <w:num w:numId="3" w16cid:durableId="809321956">
    <w:abstractNumId w:val="14"/>
  </w:num>
  <w:num w:numId="4" w16cid:durableId="2110543727">
    <w:abstractNumId w:val="24"/>
  </w:num>
  <w:num w:numId="5" w16cid:durableId="2063169637">
    <w:abstractNumId w:val="23"/>
  </w:num>
  <w:num w:numId="6" w16cid:durableId="906956964">
    <w:abstractNumId w:val="11"/>
  </w:num>
  <w:num w:numId="7" w16cid:durableId="2057197506">
    <w:abstractNumId w:val="8"/>
  </w:num>
  <w:num w:numId="8" w16cid:durableId="2124764240">
    <w:abstractNumId w:val="6"/>
  </w:num>
  <w:num w:numId="9" w16cid:durableId="633103724">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0" w16cid:durableId="466821165">
    <w:abstractNumId w:val="22"/>
  </w:num>
  <w:num w:numId="11" w16cid:durableId="440540898">
    <w:abstractNumId w:val="22"/>
    <w:lvlOverride w:ilvl="0">
      <w:startOverride w:val="1"/>
      <w:lvl w:ilvl="0">
        <w:start w:val="1"/>
        <w:numFmt w:val="decimal"/>
        <w:pStyle w:val="Heading1"/>
        <w:lvlText w:val="%1."/>
        <w:lvlJc w:val="left"/>
        <w:pPr>
          <w:ind w:left="0" w:firstLine="0"/>
        </w:pPr>
        <w:rPr>
          <w:rFonts w:hint="default"/>
        </w:rPr>
      </w:lvl>
    </w:lvlOverride>
    <w:lvlOverride w:ilvl="1">
      <w:startOverride w:val="1"/>
      <w:lvl w:ilvl="1">
        <w:start w:val="1"/>
        <w:numFmt w:val="decimal"/>
        <w:pStyle w:val="Heading2"/>
        <w:lvlText w:val="%1.%2"/>
        <w:lvlJc w:val="left"/>
        <w:pPr>
          <w:ind w:left="0" w:firstLine="0"/>
        </w:pPr>
        <w:rPr>
          <w:rFonts w:hint="default"/>
        </w:rPr>
      </w:lvl>
    </w:lvlOverride>
    <w:lvlOverride w:ilvl="2">
      <w:startOverride w:val="1"/>
      <w:lvl w:ilvl="2">
        <w:start w:val="1"/>
        <w:numFmt w:val="decimal"/>
        <w:pStyle w:val="Heading3"/>
        <w:lvlText w:val="%1.%2.%3"/>
        <w:lvlJc w:val="left"/>
        <w:pPr>
          <w:ind w:left="0" w:firstLine="0"/>
        </w:pPr>
        <w:rPr>
          <w:rFonts w:hint="default"/>
        </w:rPr>
      </w:lvl>
    </w:lvlOverride>
    <w:lvlOverride w:ilvl="3">
      <w:startOverride w:val="1"/>
      <w:lvl w:ilvl="3">
        <w:start w:val="1"/>
        <w:numFmt w:val="decimal"/>
        <w:pStyle w:val="Heading4"/>
        <w:lvlText w:val="%1.%2.%3.%4"/>
        <w:lvlJc w:val="left"/>
        <w:pPr>
          <w:ind w:left="0" w:firstLine="0"/>
        </w:pPr>
        <w:rPr>
          <w:rFonts w:hint="default"/>
        </w:rPr>
      </w:lvl>
    </w:lvlOverride>
    <w:lvlOverride w:ilvl="4">
      <w:startOverride w:val="1"/>
      <w:lvl w:ilvl="4">
        <w:start w:val="1"/>
        <w:numFmt w:val="lowerLetter"/>
        <w:lvlText w:val="(%5)"/>
        <w:lvlJc w:val="left"/>
        <w:pPr>
          <w:ind w:left="0" w:firstLine="0"/>
        </w:pPr>
        <w:rPr>
          <w:rFonts w:hint="default"/>
        </w:rPr>
      </w:lvl>
    </w:lvlOverride>
    <w:lvlOverride w:ilvl="5">
      <w:startOverride w:val="1"/>
      <w:lvl w:ilvl="5">
        <w:start w:val="1"/>
        <w:numFmt w:val="lowerRoman"/>
        <w:lvlText w:val="(%6)"/>
        <w:lvlJc w:val="left"/>
        <w:pPr>
          <w:ind w:left="0" w:firstLine="0"/>
        </w:pPr>
        <w:rPr>
          <w:rFonts w:hint="default"/>
        </w:rPr>
      </w:lvl>
    </w:lvlOverride>
    <w:lvlOverride w:ilvl="6">
      <w:startOverride w:val="1"/>
      <w:lvl w:ilvl="6">
        <w:start w:val="1"/>
        <w:numFmt w:val="decimal"/>
        <w:lvlText w:val="%7."/>
        <w:lvlJc w:val="left"/>
        <w:pPr>
          <w:ind w:left="0" w:firstLine="0"/>
        </w:pPr>
        <w:rPr>
          <w:rFonts w:hint="default"/>
        </w:rPr>
      </w:lvl>
    </w:lvlOverride>
    <w:lvlOverride w:ilvl="7">
      <w:startOverride w:val="1"/>
      <w:lvl w:ilvl="7">
        <w:start w:val="1"/>
        <w:numFmt w:val="lowerLetter"/>
        <w:lvlText w:val="%8."/>
        <w:lvlJc w:val="left"/>
        <w:pPr>
          <w:ind w:left="0" w:firstLine="0"/>
        </w:pPr>
        <w:rPr>
          <w:rFonts w:hint="default"/>
        </w:rPr>
      </w:lvl>
    </w:lvlOverride>
    <w:lvlOverride w:ilvl="8">
      <w:startOverride w:val="1"/>
      <w:lvl w:ilvl="8">
        <w:start w:val="1"/>
        <w:numFmt w:val="lowerRoman"/>
        <w:lvlText w:val="%9."/>
        <w:lvlJc w:val="left"/>
        <w:pPr>
          <w:ind w:left="0" w:firstLine="0"/>
        </w:pPr>
        <w:rPr>
          <w:rFonts w:hint="default"/>
        </w:rPr>
      </w:lvl>
    </w:lvlOverride>
  </w:num>
  <w:num w:numId="12" w16cid:durableId="1004894272">
    <w:abstractNumId w:val="3"/>
  </w:num>
  <w:num w:numId="13" w16cid:durableId="1855920580">
    <w:abstractNumId w:val="31"/>
  </w:num>
  <w:num w:numId="14" w16cid:durableId="804658962">
    <w:abstractNumId w:val="19"/>
  </w:num>
  <w:num w:numId="15" w16cid:durableId="1035349684">
    <w:abstractNumId w:val="32"/>
  </w:num>
  <w:num w:numId="16" w16cid:durableId="1431196100">
    <w:abstractNumId w:val="16"/>
  </w:num>
  <w:num w:numId="17" w16cid:durableId="1555311655">
    <w:abstractNumId w:val="38"/>
  </w:num>
  <w:num w:numId="18" w16cid:durableId="308100160">
    <w:abstractNumId w:val="34"/>
  </w:num>
  <w:num w:numId="19" w16cid:durableId="1522208188">
    <w:abstractNumId w:val="28"/>
  </w:num>
  <w:num w:numId="20" w16cid:durableId="2094230540">
    <w:abstractNumId w:val="22"/>
    <w:lvlOverride w:ilvl="0">
      <w:startOverride w:val="1"/>
      <w:lvl w:ilvl="0">
        <w:start w:val="1"/>
        <w:numFmt w:val="decimal"/>
        <w:pStyle w:val="Heading1"/>
        <w:lvlText w:val="%1."/>
        <w:lvlJc w:val="left"/>
        <w:pPr>
          <w:ind w:left="0" w:firstLine="0"/>
        </w:pPr>
        <w:rPr>
          <w:rFonts w:hint="default"/>
        </w:rPr>
      </w:lvl>
    </w:lvlOverride>
    <w:lvlOverride w:ilvl="1">
      <w:startOverride w:val="1"/>
      <w:lvl w:ilvl="1">
        <w:start w:val="1"/>
        <w:numFmt w:val="decimal"/>
        <w:pStyle w:val="Heading2"/>
        <w:lvlText w:val="%1.%2"/>
        <w:lvlJc w:val="left"/>
        <w:pPr>
          <w:ind w:left="0" w:firstLine="0"/>
        </w:pPr>
        <w:rPr>
          <w:rFonts w:hint="default"/>
        </w:rPr>
      </w:lvl>
    </w:lvlOverride>
    <w:lvlOverride w:ilvl="2">
      <w:startOverride w:val="3"/>
      <w:lvl w:ilvl="2">
        <w:start w:val="3"/>
        <w:numFmt w:val="decimal"/>
        <w:pStyle w:val="Heading3"/>
        <w:lvlText w:val="%1.%2.%3"/>
        <w:lvlJc w:val="left"/>
        <w:pPr>
          <w:ind w:left="0" w:firstLine="0"/>
        </w:pPr>
        <w:rPr>
          <w:rFonts w:hint="default"/>
        </w:rPr>
      </w:lvl>
    </w:lvlOverride>
  </w:num>
  <w:num w:numId="21" w16cid:durableId="684478045">
    <w:abstractNumId w:val="35"/>
  </w:num>
  <w:num w:numId="22" w16cid:durableId="1677995098">
    <w:abstractNumId w:val="39"/>
  </w:num>
  <w:num w:numId="23" w16cid:durableId="1445350019">
    <w:abstractNumId w:val="2"/>
  </w:num>
  <w:num w:numId="24" w16cid:durableId="241067870">
    <w:abstractNumId w:val="13"/>
  </w:num>
  <w:num w:numId="25" w16cid:durableId="944388500">
    <w:abstractNumId w:val="10"/>
  </w:num>
  <w:num w:numId="26" w16cid:durableId="934554746">
    <w:abstractNumId w:val="25"/>
  </w:num>
  <w:num w:numId="27" w16cid:durableId="1500609403">
    <w:abstractNumId w:val="12"/>
  </w:num>
  <w:num w:numId="28" w16cid:durableId="167869766">
    <w:abstractNumId w:val="4"/>
  </w:num>
  <w:num w:numId="29" w16cid:durableId="1490513869">
    <w:abstractNumId w:val="15"/>
  </w:num>
  <w:num w:numId="30" w16cid:durableId="15079610">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1" w16cid:durableId="1025792270">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2" w16cid:durableId="1749960219">
    <w:abstractNumId w:val="7"/>
  </w:num>
  <w:num w:numId="33" w16cid:durableId="919631426">
    <w:abstractNumId w:val="40"/>
  </w:num>
  <w:num w:numId="34" w16cid:durableId="2036609814">
    <w:abstractNumId w:val="26"/>
  </w:num>
  <w:num w:numId="35" w16cid:durableId="1054696038">
    <w:abstractNumId w:val="37"/>
  </w:num>
  <w:num w:numId="36" w16cid:durableId="799542106">
    <w:abstractNumId w:val="36"/>
  </w:num>
  <w:num w:numId="37" w16cid:durableId="115486236">
    <w:abstractNumId w:val="5"/>
  </w:num>
  <w:num w:numId="38" w16cid:durableId="225340463">
    <w:abstractNumId w:val="1"/>
  </w:num>
  <w:num w:numId="39" w16cid:durableId="876891576">
    <w:abstractNumId w:val="18"/>
  </w:num>
  <w:num w:numId="40" w16cid:durableId="414865185">
    <w:abstractNumId w:val="20"/>
  </w:num>
  <w:num w:numId="41" w16cid:durableId="1996102151">
    <w:abstractNumId w:val="33"/>
  </w:num>
  <w:num w:numId="42" w16cid:durableId="1828743816">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3" w16cid:durableId="1635209083">
    <w:abstractNumId w:val="21"/>
  </w:num>
  <w:num w:numId="44" w16cid:durableId="196235397">
    <w:abstractNumId w:val="30"/>
  </w:num>
  <w:num w:numId="45" w16cid:durableId="1793984797">
    <w:abstractNumId w:val="27"/>
  </w:num>
  <w:num w:numId="46" w16cid:durableId="1988581354">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7" w16cid:durableId="627126293">
    <w:abstractNumId w:val="22"/>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pStyle w:val="Heading4"/>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8" w16cid:durableId="963727866">
    <w:abstractNumId w:val="9"/>
  </w:num>
  <w:num w:numId="49" w16cid:durableId="812211470">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OyNDGzNDMyNjUAAiUdpeDU4uLM/DyQAqNaAHBxMZMsAAAA"/>
  </w:docVars>
  <w:rsids>
    <w:rsidRoot w:val="00BC075C"/>
    <w:rsid w:val="00000D94"/>
    <w:rsid w:val="0000153D"/>
    <w:rsid w:val="000036F4"/>
    <w:rsid w:val="00004937"/>
    <w:rsid w:val="00007736"/>
    <w:rsid w:val="00007C07"/>
    <w:rsid w:val="00011850"/>
    <w:rsid w:val="000121E9"/>
    <w:rsid w:val="00012AC1"/>
    <w:rsid w:val="00013D9E"/>
    <w:rsid w:val="00013F60"/>
    <w:rsid w:val="00014A01"/>
    <w:rsid w:val="00015279"/>
    <w:rsid w:val="00020BBB"/>
    <w:rsid w:val="00021182"/>
    <w:rsid w:val="000216A2"/>
    <w:rsid w:val="00022431"/>
    <w:rsid w:val="000232AC"/>
    <w:rsid w:val="000257D4"/>
    <w:rsid w:val="00025FB0"/>
    <w:rsid w:val="00026D2E"/>
    <w:rsid w:val="0003184A"/>
    <w:rsid w:val="00031D95"/>
    <w:rsid w:val="000334AC"/>
    <w:rsid w:val="00035610"/>
    <w:rsid w:val="00037BFF"/>
    <w:rsid w:val="00041402"/>
    <w:rsid w:val="000427D5"/>
    <w:rsid w:val="000447E4"/>
    <w:rsid w:val="000465B2"/>
    <w:rsid w:val="00046DF2"/>
    <w:rsid w:val="00047133"/>
    <w:rsid w:val="0005088F"/>
    <w:rsid w:val="00050A9B"/>
    <w:rsid w:val="00051022"/>
    <w:rsid w:val="000514D1"/>
    <w:rsid w:val="00051AA6"/>
    <w:rsid w:val="00053227"/>
    <w:rsid w:val="00053DAE"/>
    <w:rsid w:val="00053E7C"/>
    <w:rsid w:val="00055DA0"/>
    <w:rsid w:val="00055F91"/>
    <w:rsid w:val="0005667C"/>
    <w:rsid w:val="00057124"/>
    <w:rsid w:val="000608AF"/>
    <w:rsid w:val="000609D8"/>
    <w:rsid w:val="00065835"/>
    <w:rsid w:val="00066423"/>
    <w:rsid w:val="0006642D"/>
    <w:rsid w:val="00067BF6"/>
    <w:rsid w:val="00071304"/>
    <w:rsid w:val="000718CB"/>
    <w:rsid w:val="00074333"/>
    <w:rsid w:val="00081865"/>
    <w:rsid w:val="00081BF3"/>
    <w:rsid w:val="00083E04"/>
    <w:rsid w:val="000851BC"/>
    <w:rsid w:val="00086F19"/>
    <w:rsid w:val="00087520"/>
    <w:rsid w:val="0008782F"/>
    <w:rsid w:val="0009110C"/>
    <w:rsid w:val="0009216E"/>
    <w:rsid w:val="00092F49"/>
    <w:rsid w:val="000930C8"/>
    <w:rsid w:val="0009381E"/>
    <w:rsid w:val="00094994"/>
    <w:rsid w:val="00096C8B"/>
    <w:rsid w:val="000A02C5"/>
    <w:rsid w:val="000A064C"/>
    <w:rsid w:val="000A1F0A"/>
    <w:rsid w:val="000A46C0"/>
    <w:rsid w:val="000A53EB"/>
    <w:rsid w:val="000A5CF0"/>
    <w:rsid w:val="000A62ED"/>
    <w:rsid w:val="000B1F25"/>
    <w:rsid w:val="000B234D"/>
    <w:rsid w:val="000B2604"/>
    <w:rsid w:val="000B3323"/>
    <w:rsid w:val="000B342C"/>
    <w:rsid w:val="000B3A47"/>
    <w:rsid w:val="000B3DD6"/>
    <w:rsid w:val="000B40CE"/>
    <w:rsid w:val="000B4827"/>
    <w:rsid w:val="000B5E87"/>
    <w:rsid w:val="000B6952"/>
    <w:rsid w:val="000B7E29"/>
    <w:rsid w:val="000C08EC"/>
    <w:rsid w:val="000C3047"/>
    <w:rsid w:val="000C3760"/>
    <w:rsid w:val="000C47F7"/>
    <w:rsid w:val="000C4DF2"/>
    <w:rsid w:val="000C4E48"/>
    <w:rsid w:val="000C629B"/>
    <w:rsid w:val="000C67F8"/>
    <w:rsid w:val="000C7E6F"/>
    <w:rsid w:val="000D0C12"/>
    <w:rsid w:val="000D0F7A"/>
    <w:rsid w:val="000D1C4E"/>
    <w:rsid w:val="000D1D40"/>
    <w:rsid w:val="000D27A9"/>
    <w:rsid w:val="000D4E13"/>
    <w:rsid w:val="000D5002"/>
    <w:rsid w:val="000D61C0"/>
    <w:rsid w:val="000D6D8A"/>
    <w:rsid w:val="000E028D"/>
    <w:rsid w:val="000E0974"/>
    <w:rsid w:val="000E260F"/>
    <w:rsid w:val="000E3177"/>
    <w:rsid w:val="000E4233"/>
    <w:rsid w:val="000E503B"/>
    <w:rsid w:val="000E5BD8"/>
    <w:rsid w:val="000E6316"/>
    <w:rsid w:val="000E6DE7"/>
    <w:rsid w:val="000F06BD"/>
    <w:rsid w:val="000F2CE1"/>
    <w:rsid w:val="000F4316"/>
    <w:rsid w:val="000F5B97"/>
    <w:rsid w:val="000F5DBF"/>
    <w:rsid w:val="00100007"/>
    <w:rsid w:val="0010174D"/>
    <w:rsid w:val="00101E2B"/>
    <w:rsid w:val="00103854"/>
    <w:rsid w:val="00103DA5"/>
    <w:rsid w:val="00105C60"/>
    <w:rsid w:val="0010622F"/>
    <w:rsid w:val="001072ED"/>
    <w:rsid w:val="00111B44"/>
    <w:rsid w:val="00114EF4"/>
    <w:rsid w:val="00115104"/>
    <w:rsid w:val="0011613A"/>
    <w:rsid w:val="001167C4"/>
    <w:rsid w:val="00116B6C"/>
    <w:rsid w:val="0011792F"/>
    <w:rsid w:val="00120F30"/>
    <w:rsid w:val="001213A3"/>
    <w:rsid w:val="00124B57"/>
    <w:rsid w:val="00125812"/>
    <w:rsid w:val="00126236"/>
    <w:rsid w:val="00126D72"/>
    <w:rsid w:val="00126E5C"/>
    <w:rsid w:val="0013042D"/>
    <w:rsid w:val="0013078C"/>
    <w:rsid w:val="00131D5A"/>
    <w:rsid w:val="00132CFC"/>
    <w:rsid w:val="00133170"/>
    <w:rsid w:val="001336C7"/>
    <w:rsid w:val="00133779"/>
    <w:rsid w:val="00133F84"/>
    <w:rsid w:val="001342F0"/>
    <w:rsid w:val="0013446D"/>
    <w:rsid w:val="0013632D"/>
    <w:rsid w:val="001375CA"/>
    <w:rsid w:val="001378D4"/>
    <w:rsid w:val="00137E24"/>
    <w:rsid w:val="00140A8B"/>
    <w:rsid w:val="00141CD9"/>
    <w:rsid w:val="0014363F"/>
    <w:rsid w:val="001475E2"/>
    <w:rsid w:val="00152D53"/>
    <w:rsid w:val="0015346C"/>
    <w:rsid w:val="00153DF1"/>
    <w:rsid w:val="00154E74"/>
    <w:rsid w:val="00156E2A"/>
    <w:rsid w:val="001612D3"/>
    <w:rsid w:val="001613B4"/>
    <w:rsid w:val="00161868"/>
    <w:rsid w:val="00163B70"/>
    <w:rsid w:val="001641C0"/>
    <w:rsid w:val="00165D4A"/>
    <w:rsid w:val="001668F9"/>
    <w:rsid w:val="00170896"/>
    <w:rsid w:val="001728D0"/>
    <w:rsid w:val="00172A70"/>
    <w:rsid w:val="001732A4"/>
    <w:rsid w:val="00173346"/>
    <w:rsid w:val="0017485E"/>
    <w:rsid w:val="00174D41"/>
    <w:rsid w:val="00175746"/>
    <w:rsid w:val="001763A1"/>
    <w:rsid w:val="00176C83"/>
    <w:rsid w:val="00177DF9"/>
    <w:rsid w:val="00181A38"/>
    <w:rsid w:val="001821AF"/>
    <w:rsid w:val="00182FD6"/>
    <w:rsid w:val="001835ED"/>
    <w:rsid w:val="0018565A"/>
    <w:rsid w:val="001859B4"/>
    <w:rsid w:val="00185A04"/>
    <w:rsid w:val="00190BB0"/>
    <w:rsid w:val="00192564"/>
    <w:rsid w:val="00194CF1"/>
    <w:rsid w:val="00196A0C"/>
    <w:rsid w:val="001A09E7"/>
    <w:rsid w:val="001A3A73"/>
    <w:rsid w:val="001A49C2"/>
    <w:rsid w:val="001A5742"/>
    <w:rsid w:val="001B1CA7"/>
    <w:rsid w:val="001B2606"/>
    <w:rsid w:val="001B30F1"/>
    <w:rsid w:val="001B3764"/>
    <w:rsid w:val="001B39D2"/>
    <w:rsid w:val="001B5D6A"/>
    <w:rsid w:val="001B61C4"/>
    <w:rsid w:val="001B63AC"/>
    <w:rsid w:val="001B6883"/>
    <w:rsid w:val="001B68F9"/>
    <w:rsid w:val="001C05B1"/>
    <w:rsid w:val="001C09EC"/>
    <w:rsid w:val="001C3F0E"/>
    <w:rsid w:val="001C487F"/>
    <w:rsid w:val="001C4E7B"/>
    <w:rsid w:val="001C5C9E"/>
    <w:rsid w:val="001C6940"/>
    <w:rsid w:val="001C7825"/>
    <w:rsid w:val="001D10CE"/>
    <w:rsid w:val="001D35F9"/>
    <w:rsid w:val="001D4580"/>
    <w:rsid w:val="001D7AAC"/>
    <w:rsid w:val="001E07BF"/>
    <w:rsid w:val="001E1D56"/>
    <w:rsid w:val="001E51DF"/>
    <w:rsid w:val="001E6693"/>
    <w:rsid w:val="001E6EED"/>
    <w:rsid w:val="001E7110"/>
    <w:rsid w:val="001E7AB2"/>
    <w:rsid w:val="001F11B2"/>
    <w:rsid w:val="001F1269"/>
    <w:rsid w:val="001F1358"/>
    <w:rsid w:val="001F42F7"/>
    <w:rsid w:val="001F4321"/>
    <w:rsid w:val="001F6FA0"/>
    <w:rsid w:val="001F75AC"/>
    <w:rsid w:val="002001E5"/>
    <w:rsid w:val="00200BC3"/>
    <w:rsid w:val="00204095"/>
    <w:rsid w:val="00204C63"/>
    <w:rsid w:val="0020569E"/>
    <w:rsid w:val="002078FC"/>
    <w:rsid w:val="00210B45"/>
    <w:rsid w:val="00212583"/>
    <w:rsid w:val="00216470"/>
    <w:rsid w:val="00217BA9"/>
    <w:rsid w:val="00220764"/>
    <w:rsid w:val="002232CD"/>
    <w:rsid w:val="00225F5E"/>
    <w:rsid w:val="00226A54"/>
    <w:rsid w:val="00226C1E"/>
    <w:rsid w:val="002305F8"/>
    <w:rsid w:val="00230938"/>
    <w:rsid w:val="00230BA5"/>
    <w:rsid w:val="00233322"/>
    <w:rsid w:val="0023333A"/>
    <w:rsid w:val="00233516"/>
    <w:rsid w:val="00234A06"/>
    <w:rsid w:val="00235D6E"/>
    <w:rsid w:val="00236EF4"/>
    <w:rsid w:val="00237E19"/>
    <w:rsid w:val="00237F52"/>
    <w:rsid w:val="0024072A"/>
    <w:rsid w:val="002409E8"/>
    <w:rsid w:val="002420ED"/>
    <w:rsid w:val="00243AE8"/>
    <w:rsid w:val="002442B3"/>
    <w:rsid w:val="00244D99"/>
    <w:rsid w:val="00245247"/>
    <w:rsid w:val="002458EB"/>
    <w:rsid w:val="00245C20"/>
    <w:rsid w:val="00245FE0"/>
    <w:rsid w:val="00246CB1"/>
    <w:rsid w:val="00250335"/>
    <w:rsid w:val="00252F9C"/>
    <w:rsid w:val="00253B4F"/>
    <w:rsid w:val="002545F5"/>
    <w:rsid w:val="002555E8"/>
    <w:rsid w:val="00255F79"/>
    <w:rsid w:val="002565B8"/>
    <w:rsid w:val="00257651"/>
    <w:rsid w:val="00260B81"/>
    <w:rsid w:val="0026200B"/>
    <w:rsid w:val="00263064"/>
    <w:rsid w:val="002630B5"/>
    <w:rsid w:val="00263234"/>
    <w:rsid w:val="00264A20"/>
    <w:rsid w:val="00266C27"/>
    <w:rsid w:val="00270485"/>
    <w:rsid w:val="0027049F"/>
    <w:rsid w:val="002712AF"/>
    <w:rsid w:val="0027434A"/>
    <w:rsid w:val="00274503"/>
    <w:rsid w:val="00275328"/>
    <w:rsid w:val="002756E4"/>
    <w:rsid w:val="00275F54"/>
    <w:rsid w:val="0027601A"/>
    <w:rsid w:val="002768AD"/>
    <w:rsid w:val="00277D69"/>
    <w:rsid w:val="00277D8D"/>
    <w:rsid w:val="002808FB"/>
    <w:rsid w:val="00281BD4"/>
    <w:rsid w:val="00283198"/>
    <w:rsid w:val="00285ED7"/>
    <w:rsid w:val="002874A3"/>
    <w:rsid w:val="002876DB"/>
    <w:rsid w:val="0029005E"/>
    <w:rsid w:val="00291C9D"/>
    <w:rsid w:val="002932DE"/>
    <w:rsid w:val="00294864"/>
    <w:rsid w:val="00296996"/>
    <w:rsid w:val="0029730E"/>
    <w:rsid w:val="002A0BC6"/>
    <w:rsid w:val="002A1F16"/>
    <w:rsid w:val="002A265D"/>
    <w:rsid w:val="002A2A02"/>
    <w:rsid w:val="002A6BF0"/>
    <w:rsid w:val="002A78D3"/>
    <w:rsid w:val="002A7E8C"/>
    <w:rsid w:val="002B1B26"/>
    <w:rsid w:val="002B2E8E"/>
    <w:rsid w:val="002B4296"/>
    <w:rsid w:val="002B6A90"/>
    <w:rsid w:val="002B6D82"/>
    <w:rsid w:val="002C04EB"/>
    <w:rsid w:val="002C2B1A"/>
    <w:rsid w:val="002C2D39"/>
    <w:rsid w:val="002C3136"/>
    <w:rsid w:val="002C54C5"/>
    <w:rsid w:val="002C5A8B"/>
    <w:rsid w:val="002D0563"/>
    <w:rsid w:val="002D0960"/>
    <w:rsid w:val="002D1777"/>
    <w:rsid w:val="002D3ADA"/>
    <w:rsid w:val="002D3C7C"/>
    <w:rsid w:val="002D40FE"/>
    <w:rsid w:val="002D5BEA"/>
    <w:rsid w:val="002E1640"/>
    <w:rsid w:val="002E3468"/>
    <w:rsid w:val="002E3E0E"/>
    <w:rsid w:val="002E4FAF"/>
    <w:rsid w:val="002F0AD0"/>
    <w:rsid w:val="002F1B4D"/>
    <w:rsid w:val="002F2CE3"/>
    <w:rsid w:val="002F695A"/>
    <w:rsid w:val="002F76A6"/>
    <w:rsid w:val="002F7BB1"/>
    <w:rsid w:val="00300091"/>
    <w:rsid w:val="00300836"/>
    <w:rsid w:val="00300B01"/>
    <w:rsid w:val="003017F3"/>
    <w:rsid w:val="00301BD7"/>
    <w:rsid w:val="003066C1"/>
    <w:rsid w:val="00307EB7"/>
    <w:rsid w:val="003108A4"/>
    <w:rsid w:val="00310C8C"/>
    <w:rsid w:val="00311FA1"/>
    <w:rsid w:val="00312766"/>
    <w:rsid w:val="003128E5"/>
    <w:rsid w:val="00312AB9"/>
    <w:rsid w:val="00312DD2"/>
    <w:rsid w:val="0031426B"/>
    <w:rsid w:val="00315259"/>
    <w:rsid w:val="003174ED"/>
    <w:rsid w:val="00320C9D"/>
    <w:rsid w:val="003210F4"/>
    <w:rsid w:val="00321C91"/>
    <w:rsid w:val="003228A4"/>
    <w:rsid w:val="00322C43"/>
    <w:rsid w:val="0032408B"/>
    <w:rsid w:val="00324E31"/>
    <w:rsid w:val="0032767B"/>
    <w:rsid w:val="003279BF"/>
    <w:rsid w:val="00330491"/>
    <w:rsid w:val="003326F8"/>
    <w:rsid w:val="0033404D"/>
    <w:rsid w:val="003341DC"/>
    <w:rsid w:val="00335A01"/>
    <w:rsid w:val="00336676"/>
    <w:rsid w:val="003367F1"/>
    <w:rsid w:val="00336F96"/>
    <w:rsid w:val="00337501"/>
    <w:rsid w:val="0034018C"/>
    <w:rsid w:val="003404F3"/>
    <w:rsid w:val="003405B1"/>
    <w:rsid w:val="00340F41"/>
    <w:rsid w:val="00341206"/>
    <w:rsid w:val="0034124B"/>
    <w:rsid w:val="00341837"/>
    <w:rsid w:val="00341E7F"/>
    <w:rsid w:val="0034214D"/>
    <w:rsid w:val="00342B48"/>
    <w:rsid w:val="00343D22"/>
    <w:rsid w:val="003460D9"/>
    <w:rsid w:val="00347A9F"/>
    <w:rsid w:val="00351F6A"/>
    <w:rsid w:val="00355C36"/>
    <w:rsid w:val="0035633C"/>
    <w:rsid w:val="0035682D"/>
    <w:rsid w:val="00356E56"/>
    <w:rsid w:val="003570EA"/>
    <w:rsid w:val="0035744A"/>
    <w:rsid w:val="00357E6F"/>
    <w:rsid w:val="003602C8"/>
    <w:rsid w:val="00362939"/>
    <w:rsid w:val="00362E4B"/>
    <w:rsid w:val="003638BE"/>
    <w:rsid w:val="00363F00"/>
    <w:rsid w:val="003647A8"/>
    <w:rsid w:val="003649E4"/>
    <w:rsid w:val="003668BE"/>
    <w:rsid w:val="00367587"/>
    <w:rsid w:val="003676D2"/>
    <w:rsid w:val="00370629"/>
    <w:rsid w:val="00371560"/>
    <w:rsid w:val="003720EE"/>
    <w:rsid w:val="00372E5B"/>
    <w:rsid w:val="00373729"/>
    <w:rsid w:val="00377EDF"/>
    <w:rsid w:val="00377F6B"/>
    <w:rsid w:val="0038045A"/>
    <w:rsid w:val="00382CCA"/>
    <w:rsid w:val="003834AD"/>
    <w:rsid w:val="00384AD9"/>
    <w:rsid w:val="003863F3"/>
    <w:rsid w:val="00387577"/>
    <w:rsid w:val="00390F16"/>
    <w:rsid w:val="003A1A33"/>
    <w:rsid w:val="003A1A3E"/>
    <w:rsid w:val="003A4113"/>
    <w:rsid w:val="003A4575"/>
    <w:rsid w:val="003A518C"/>
    <w:rsid w:val="003A751E"/>
    <w:rsid w:val="003B09C5"/>
    <w:rsid w:val="003B1861"/>
    <w:rsid w:val="003B44AA"/>
    <w:rsid w:val="003C131A"/>
    <w:rsid w:val="003C3BAD"/>
    <w:rsid w:val="003C6D52"/>
    <w:rsid w:val="003D0372"/>
    <w:rsid w:val="003D0643"/>
    <w:rsid w:val="003D27CB"/>
    <w:rsid w:val="003D2A0A"/>
    <w:rsid w:val="003D3001"/>
    <w:rsid w:val="003D305C"/>
    <w:rsid w:val="003D4033"/>
    <w:rsid w:val="003D4A66"/>
    <w:rsid w:val="003D5777"/>
    <w:rsid w:val="003D6817"/>
    <w:rsid w:val="003D719B"/>
    <w:rsid w:val="003E1952"/>
    <w:rsid w:val="003E1D26"/>
    <w:rsid w:val="003E1F42"/>
    <w:rsid w:val="003E2252"/>
    <w:rsid w:val="003E3250"/>
    <w:rsid w:val="003E4275"/>
    <w:rsid w:val="003E4701"/>
    <w:rsid w:val="003E66A2"/>
    <w:rsid w:val="003F1B05"/>
    <w:rsid w:val="003F20AE"/>
    <w:rsid w:val="003F4DAA"/>
    <w:rsid w:val="003F51CC"/>
    <w:rsid w:val="003F558F"/>
    <w:rsid w:val="003F6215"/>
    <w:rsid w:val="003F6264"/>
    <w:rsid w:val="003F698E"/>
    <w:rsid w:val="003F7648"/>
    <w:rsid w:val="00400153"/>
    <w:rsid w:val="004004CD"/>
    <w:rsid w:val="00400814"/>
    <w:rsid w:val="00402420"/>
    <w:rsid w:val="00402840"/>
    <w:rsid w:val="0040372E"/>
    <w:rsid w:val="00405A0F"/>
    <w:rsid w:val="00405EDB"/>
    <w:rsid w:val="00406A43"/>
    <w:rsid w:val="00406D7D"/>
    <w:rsid w:val="004101BF"/>
    <w:rsid w:val="00410892"/>
    <w:rsid w:val="0041205A"/>
    <w:rsid w:val="00414223"/>
    <w:rsid w:val="004165AA"/>
    <w:rsid w:val="004177CF"/>
    <w:rsid w:val="0042102C"/>
    <w:rsid w:val="00423826"/>
    <w:rsid w:val="0042388D"/>
    <w:rsid w:val="00424BFE"/>
    <w:rsid w:val="004281D8"/>
    <w:rsid w:val="00431E91"/>
    <w:rsid w:val="0043263B"/>
    <w:rsid w:val="00433DD7"/>
    <w:rsid w:val="004359E0"/>
    <w:rsid w:val="00436979"/>
    <w:rsid w:val="00436B9E"/>
    <w:rsid w:val="0044162A"/>
    <w:rsid w:val="00442A96"/>
    <w:rsid w:val="00443D1E"/>
    <w:rsid w:val="00443D47"/>
    <w:rsid w:val="00443DC1"/>
    <w:rsid w:val="00444415"/>
    <w:rsid w:val="004444E3"/>
    <w:rsid w:val="00445805"/>
    <w:rsid w:val="00445B6D"/>
    <w:rsid w:val="00446384"/>
    <w:rsid w:val="004470C2"/>
    <w:rsid w:val="0045208B"/>
    <w:rsid w:val="0045269E"/>
    <w:rsid w:val="0045492E"/>
    <w:rsid w:val="00455A1A"/>
    <w:rsid w:val="00456C5C"/>
    <w:rsid w:val="00456F6C"/>
    <w:rsid w:val="0046035A"/>
    <w:rsid w:val="004618C3"/>
    <w:rsid w:val="0046208F"/>
    <w:rsid w:val="0046365D"/>
    <w:rsid w:val="0046408D"/>
    <w:rsid w:val="004650D0"/>
    <w:rsid w:val="004651C7"/>
    <w:rsid w:val="00465648"/>
    <w:rsid w:val="00465658"/>
    <w:rsid w:val="00466F61"/>
    <w:rsid w:val="004671F0"/>
    <w:rsid w:val="0046756F"/>
    <w:rsid w:val="00467649"/>
    <w:rsid w:val="00470B5F"/>
    <w:rsid w:val="00470C35"/>
    <w:rsid w:val="00471B78"/>
    <w:rsid w:val="00474734"/>
    <w:rsid w:val="0047484E"/>
    <w:rsid w:val="00474F1C"/>
    <w:rsid w:val="00475216"/>
    <w:rsid w:val="00477EDD"/>
    <w:rsid w:val="004827AE"/>
    <w:rsid w:val="004829BA"/>
    <w:rsid w:val="00482E98"/>
    <w:rsid w:val="00483473"/>
    <w:rsid w:val="004838C6"/>
    <w:rsid w:val="00485321"/>
    <w:rsid w:val="00490A63"/>
    <w:rsid w:val="00495D81"/>
    <w:rsid w:val="004A03EA"/>
    <w:rsid w:val="004A095C"/>
    <w:rsid w:val="004A0D0D"/>
    <w:rsid w:val="004A1A5C"/>
    <w:rsid w:val="004A1BE4"/>
    <w:rsid w:val="004A3014"/>
    <w:rsid w:val="004A3270"/>
    <w:rsid w:val="004A35F3"/>
    <w:rsid w:val="004A3970"/>
    <w:rsid w:val="004A4103"/>
    <w:rsid w:val="004A53DA"/>
    <w:rsid w:val="004B1916"/>
    <w:rsid w:val="004B1E91"/>
    <w:rsid w:val="004B459C"/>
    <w:rsid w:val="004B462A"/>
    <w:rsid w:val="004B4631"/>
    <w:rsid w:val="004B65CB"/>
    <w:rsid w:val="004B6963"/>
    <w:rsid w:val="004B7785"/>
    <w:rsid w:val="004C1727"/>
    <w:rsid w:val="004C284F"/>
    <w:rsid w:val="004C3170"/>
    <w:rsid w:val="004C3D5B"/>
    <w:rsid w:val="004C47FE"/>
    <w:rsid w:val="004C6FD2"/>
    <w:rsid w:val="004D027A"/>
    <w:rsid w:val="004D03DF"/>
    <w:rsid w:val="004D05EF"/>
    <w:rsid w:val="004D2270"/>
    <w:rsid w:val="004D46DF"/>
    <w:rsid w:val="004D61B1"/>
    <w:rsid w:val="004D64AE"/>
    <w:rsid w:val="004D6635"/>
    <w:rsid w:val="004E11DB"/>
    <w:rsid w:val="004E15C4"/>
    <w:rsid w:val="004E1646"/>
    <w:rsid w:val="004E17C6"/>
    <w:rsid w:val="004E281F"/>
    <w:rsid w:val="004E6C2B"/>
    <w:rsid w:val="004E6D96"/>
    <w:rsid w:val="004E6F19"/>
    <w:rsid w:val="004E75A0"/>
    <w:rsid w:val="004E7620"/>
    <w:rsid w:val="004F0066"/>
    <w:rsid w:val="004F0479"/>
    <w:rsid w:val="004F236A"/>
    <w:rsid w:val="004F34CE"/>
    <w:rsid w:val="004F4F5C"/>
    <w:rsid w:val="004F559C"/>
    <w:rsid w:val="004F6CAB"/>
    <w:rsid w:val="004F7255"/>
    <w:rsid w:val="005016D0"/>
    <w:rsid w:val="0050195A"/>
    <w:rsid w:val="0050320F"/>
    <w:rsid w:val="00504876"/>
    <w:rsid w:val="00506434"/>
    <w:rsid w:val="005078AF"/>
    <w:rsid w:val="0051016F"/>
    <w:rsid w:val="0051229A"/>
    <w:rsid w:val="00514925"/>
    <w:rsid w:val="00516420"/>
    <w:rsid w:val="00516494"/>
    <w:rsid w:val="00517995"/>
    <w:rsid w:val="00520CD3"/>
    <w:rsid w:val="00521CBF"/>
    <w:rsid w:val="00522232"/>
    <w:rsid w:val="005223D5"/>
    <w:rsid w:val="00524CEE"/>
    <w:rsid w:val="0053157E"/>
    <w:rsid w:val="00531ECC"/>
    <w:rsid w:val="00532C93"/>
    <w:rsid w:val="005334D7"/>
    <w:rsid w:val="00536515"/>
    <w:rsid w:val="00537FBE"/>
    <w:rsid w:val="00540946"/>
    <w:rsid w:val="00541739"/>
    <w:rsid w:val="0054173B"/>
    <w:rsid w:val="00542A7C"/>
    <w:rsid w:val="00543018"/>
    <w:rsid w:val="005444AD"/>
    <w:rsid w:val="00546037"/>
    <w:rsid w:val="005503BA"/>
    <w:rsid w:val="00550B89"/>
    <w:rsid w:val="00550E14"/>
    <w:rsid w:val="00552686"/>
    <w:rsid w:val="00552A55"/>
    <w:rsid w:val="005606D4"/>
    <w:rsid w:val="005610B7"/>
    <w:rsid w:val="005619EA"/>
    <w:rsid w:val="005637AD"/>
    <w:rsid w:val="00563A0B"/>
    <w:rsid w:val="005675F0"/>
    <w:rsid w:val="005707D2"/>
    <w:rsid w:val="005709B2"/>
    <w:rsid w:val="00570AF6"/>
    <w:rsid w:val="00570FAA"/>
    <w:rsid w:val="0057113C"/>
    <w:rsid w:val="00571A0C"/>
    <w:rsid w:val="00572886"/>
    <w:rsid w:val="00572A42"/>
    <w:rsid w:val="00572D79"/>
    <w:rsid w:val="0057613E"/>
    <w:rsid w:val="00576E8B"/>
    <w:rsid w:val="0058067B"/>
    <w:rsid w:val="0058223A"/>
    <w:rsid w:val="00582C77"/>
    <w:rsid w:val="00584434"/>
    <w:rsid w:val="0058452A"/>
    <w:rsid w:val="00584DF4"/>
    <w:rsid w:val="005858FC"/>
    <w:rsid w:val="00586DE3"/>
    <w:rsid w:val="005914B3"/>
    <w:rsid w:val="0059302F"/>
    <w:rsid w:val="005949D4"/>
    <w:rsid w:val="00594F0C"/>
    <w:rsid w:val="00595342"/>
    <w:rsid w:val="00597936"/>
    <w:rsid w:val="005A0BFD"/>
    <w:rsid w:val="005A2AD7"/>
    <w:rsid w:val="005A4F07"/>
    <w:rsid w:val="005A4F09"/>
    <w:rsid w:val="005A5127"/>
    <w:rsid w:val="005A6559"/>
    <w:rsid w:val="005A6B1F"/>
    <w:rsid w:val="005B189A"/>
    <w:rsid w:val="005B2434"/>
    <w:rsid w:val="005B2F2B"/>
    <w:rsid w:val="005B3741"/>
    <w:rsid w:val="005B4BB0"/>
    <w:rsid w:val="005B51B9"/>
    <w:rsid w:val="005B595D"/>
    <w:rsid w:val="005B736E"/>
    <w:rsid w:val="005B7C1B"/>
    <w:rsid w:val="005C21D2"/>
    <w:rsid w:val="005C2AA9"/>
    <w:rsid w:val="005C2D63"/>
    <w:rsid w:val="005C435F"/>
    <w:rsid w:val="005C440B"/>
    <w:rsid w:val="005C71CD"/>
    <w:rsid w:val="005D0B91"/>
    <w:rsid w:val="005D185B"/>
    <w:rsid w:val="005D2418"/>
    <w:rsid w:val="005D294C"/>
    <w:rsid w:val="005D4F27"/>
    <w:rsid w:val="005D5BD3"/>
    <w:rsid w:val="005D7084"/>
    <w:rsid w:val="005D74AC"/>
    <w:rsid w:val="005E0B2A"/>
    <w:rsid w:val="005E0EB8"/>
    <w:rsid w:val="005E42E8"/>
    <w:rsid w:val="005E5E6E"/>
    <w:rsid w:val="005E7B88"/>
    <w:rsid w:val="005F3E35"/>
    <w:rsid w:val="005F4243"/>
    <w:rsid w:val="005F540F"/>
    <w:rsid w:val="005F5EB0"/>
    <w:rsid w:val="005F6F38"/>
    <w:rsid w:val="0060135A"/>
    <w:rsid w:val="00601615"/>
    <w:rsid w:val="006019F9"/>
    <w:rsid w:val="0060219B"/>
    <w:rsid w:val="00602B0C"/>
    <w:rsid w:val="00602EA2"/>
    <w:rsid w:val="00604A88"/>
    <w:rsid w:val="00604FA5"/>
    <w:rsid w:val="006060F2"/>
    <w:rsid w:val="00611B89"/>
    <w:rsid w:val="00612A13"/>
    <w:rsid w:val="006139B2"/>
    <w:rsid w:val="00613FE2"/>
    <w:rsid w:val="00614C49"/>
    <w:rsid w:val="00614CDD"/>
    <w:rsid w:val="00614F1B"/>
    <w:rsid w:val="00614F2B"/>
    <w:rsid w:val="00614F47"/>
    <w:rsid w:val="00615B05"/>
    <w:rsid w:val="00615B6C"/>
    <w:rsid w:val="006175C8"/>
    <w:rsid w:val="006215DC"/>
    <w:rsid w:val="00622960"/>
    <w:rsid w:val="00624C51"/>
    <w:rsid w:val="006276D1"/>
    <w:rsid w:val="00627825"/>
    <w:rsid w:val="00627AEE"/>
    <w:rsid w:val="00630251"/>
    <w:rsid w:val="0063345A"/>
    <w:rsid w:val="006338C1"/>
    <w:rsid w:val="0063424B"/>
    <w:rsid w:val="00635F52"/>
    <w:rsid w:val="00636943"/>
    <w:rsid w:val="00636E9C"/>
    <w:rsid w:val="006378AD"/>
    <w:rsid w:val="00637959"/>
    <w:rsid w:val="00637D23"/>
    <w:rsid w:val="00641ED8"/>
    <w:rsid w:val="00642085"/>
    <w:rsid w:val="00644404"/>
    <w:rsid w:val="006448C3"/>
    <w:rsid w:val="00644E19"/>
    <w:rsid w:val="00645FDA"/>
    <w:rsid w:val="0064607F"/>
    <w:rsid w:val="006461C0"/>
    <w:rsid w:val="00646744"/>
    <w:rsid w:val="0065025C"/>
    <w:rsid w:val="00651929"/>
    <w:rsid w:val="00652843"/>
    <w:rsid w:val="00653299"/>
    <w:rsid w:val="00653ED4"/>
    <w:rsid w:val="00654DA0"/>
    <w:rsid w:val="00654F3D"/>
    <w:rsid w:val="006554FC"/>
    <w:rsid w:val="00656BEC"/>
    <w:rsid w:val="006571EA"/>
    <w:rsid w:val="006576C3"/>
    <w:rsid w:val="00660600"/>
    <w:rsid w:val="00661D3B"/>
    <w:rsid w:val="00662C97"/>
    <w:rsid w:val="00662CA4"/>
    <w:rsid w:val="006637F4"/>
    <w:rsid w:val="006646FF"/>
    <w:rsid w:val="00667E42"/>
    <w:rsid w:val="00667E7C"/>
    <w:rsid w:val="00670438"/>
    <w:rsid w:val="00671CB7"/>
    <w:rsid w:val="00672EB1"/>
    <w:rsid w:val="0067523E"/>
    <w:rsid w:val="0067732E"/>
    <w:rsid w:val="00680D34"/>
    <w:rsid w:val="00683F21"/>
    <w:rsid w:val="00685E4A"/>
    <w:rsid w:val="0068659B"/>
    <w:rsid w:val="006870CC"/>
    <w:rsid w:val="00690175"/>
    <w:rsid w:val="006918AE"/>
    <w:rsid w:val="00691A26"/>
    <w:rsid w:val="00691D53"/>
    <w:rsid w:val="006925B4"/>
    <w:rsid w:val="00693BD7"/>
    <w:rsid w:val="00694659"/>
    <w:rsid w:val="006962DF"/>
    <w:rsid w:val="006974AA"/>
    <w:rsid w:val="00697519"/>
    <w:rsid w:val="006A1501"/>
    <w:rsid w:val="006A26FD"/>
    <w:rsid w:val="006A2B31"/>
    <w:rsid w:val="006A47A0"/>
    <w:rsid w:val="006A5DCC"/>
    <w:rsid w:val="006A66C3"/>
    <w:rsid w:val="006B0686"/>
    <w:rsid w:val="006B17D6"/>
    <w:rsid w:val="006B3DF8"/>
    <w:rsid w:val="006B6605"/>
    <w:rsid w:val="006B73F3"/>
    <w:rsid w:val="006B77AA"/>
    <w:rsid w:val="006C0E55"/>
    <w:rsid w:val="006C1C4E"/>
    <w:rsid w:val="006C1EFD"/>
    <w:rsid w:val="006C2FE0"/>
    <w:rsid w:val="006C30DE"/>
    <w:rsid w:val="006C44C0"/>
    <w:rsid w:val="006C7FC7"/>
    <w:rsid w:val="006D0874"/>
    <w:rsid w:val="006D3A26"/>
    <w:rsid w:val="006D3BFB"/>
    <w:rsid w:val="006D4918"/>
    <w:rsid w:val="006D76CE"/>
    <w:rsid w:val="006D7C34"/>
    <w:rsid w:val="006E065F"/>
    <w:rsid w:val="006E363E"/>
    <w:rsid w:val="006E511B"/>
    <w:rsid w:val="006E52CE"/>
    <w:rsid w:val="006E5E66"/>
    <w:rsid w:val="006E6663"/>
    <w:rsid w:val="006F1475"/>
    <w:rsid w:val="006F203C"/>
    <w:rsid w:val="006F220F"/>
    <w:rsid w:val="006F509F"/>
    <w:rsid w:val="006F6140"/>
    <w:rsid w:val="006F619F"/>
    <w:rsid w:val="006F6E84"/>
    <w:rsid w:val="00700750"/>
    <w:rsid w:val="007013EB"/>
    <w:rsid w:val="007027FA"/>
    <w:rsid w:val="00702C70"/>
    <w:rsid w:val="00704D0A"/>
    <w:rsid w:val="00706F11"/>
    <w:rsid w:val="00711CDE"/>
    <w:rsid w:val="00712125"/>
    <w:rsid w:val="007152DF"/>
    <w:rsid w:val="00715685"/>
    <w:rsid w:val="00715D83"/>
    <w:rsid w:val="007176E9"/>
    <w:rsid w:val="00717800"/>
    <w:rsid w:val="007227FB"/>
    <w:rsid w:val="0072290B"/>
    <w:rsid w:val="00722C29"/>
    <w:rsid w:val="00726350"/>
    <w:rsid w:val="00726E05"/>
    <w:rsid w:val="007270FB"/>
    <w:rsid w:val="00727595"/>
    <w:rsid w:val="007306EC"/>
    <w:rsid w:val="00730A29"/>
    <w:rsid w:val="007311A9"/>
    <w:rsid w:val="00735CEA"/>
    <w:rsid w:val="0073697F"/>
    <w:rsid w:val="0074078C"/>
    <w:rsid w:val="0074209F"/>
    <w:rsid w:val="007428E9"/>
    <w:rsid w:val="007434B6"/>
    <w:rsid w:val="00743954"/>
    <w:rsid w:val="00745624"/>
    <w:rsid w:val="007462FD"/>
    <w:rsid w:val="00746807"/>
    <w:rsid w:val="00747CEC"/>
    <w:rsid w:val="007511C5"/>
    <w:rsid w:val="00752F47"/>
    <w:rsid w:val="0075323F"/>
    <w:rsid w:val="00754097"/>
    <w:rsid w:val="00760390"/>
    <w:rsid w:val="007615BF"/>
    <w:rsid w:val="00762050"/>
    <w:rsid w:val="00763C1F"/>
    <w:rsid w:val="0076440F"/>
    <w:rsid w:val="00764D0A"/>
    <w:rsid w:val="00766A3A"/>
    <w:rsid w:val="00767EB5"/>
    <w:rsid w:val="00767FBF"/>
    <w:rsid w:val="00770873"/>
    <w:rsid w:val="00770F84"/>
    <w:rsid w:val="00772014"/>
    <w:rsid w:val="00772D0D"/>
    <w:rsid w:val="007759E2"/>
    <w:rsid w:val="0077696E"/>
    <w:rsid w:val="00777816"/>
    <w:rsid w:val="00781174"/>
    <w:rsid w:val="00781D8B"/>
    <w:rsid w:val="007826A4"/>
    <w:rsid w:val="00785CC0"/>
    <w:rsid w:val="00786106"/>
    <w:rsid w:val="00787EC1"/>
    <w:rsid w:val="007901FD"/>
    <w:rsid w:val="00790373"/>
    <w:rsid w:val="00790882"/>
    <w:rsid w:val="00790E45"/>
    <w:rsid w:val="007947FB"/>
    <w:rsid w:val="0079547A"/>
    <w:rsid w:val="007959B1"/>
    <w:rsid w:val="00796204"/>
    <w:rsid w:val="0079691C"/>
    <w:rsid w:val="007971AE"/>
    <w:rsid w:val="007A1A28"/>
    <w:rsid w:val="007A2639"/>
    <w:rsid w:val="007A3880"/>
    <w:rsid w:val="007A414A"/>
    <w:rsid w:val="007A47FC"/>
    <w:rsid w:val="007A577C"/>
    <w:rsid w:val="007A779E"/>
    <w:rsid w:val="007A7A0B"/>
    <w:rsid w:val="007B0019"/>
    <w:rsid w:val="007B013D"/>
    <w:rsid w:val="007B0CED"/>
    <w:rsid w:val="007B0D3F"/>
    <w:rsid w:val="007B0DD5"/>
    <w:rsid w:val="007B124A"/>
    <w:rsid w:val="007B274D"/>
    <w:rsid w:val="007B4A2E"/>
    <w:rsid w:val="007B75C0"/>
    <w:rsid w:val="007C1839"/>
    <w:rsid w:val="007C1BB6"/>
    <w:rsid w:val="007C3443"/>
    <w:rsid w:val="007C7813"/>
    <w:rsid w:val="007C797E"/>
    <w:rsid w:val="007D0A3E"/>
    <w:rsid w:val="007D0D31"/>
    <w:rsid w:val="007D1680"/>
    <w:rsid w:val="007D1C94"/>
    <w:rsid w:val="007D44F3"/>
    <w:rsid w:val="007D49C9"/>
    <w:rsid w:val="007D5B1E"/>
    <w:rsid w:val="007D6EF8"/>
    <w:rsid w:val="007D72F3"/>
    <w:rsid w:val="007D756B"/>
    <w:rsid w:val="007E0054"/>
    <w:rsid w:val="007E23BC"/>
    <w:rsid w:val="007E37DE"/>
    <w:rsid w:val="007E5120"/>
    <w:rsid w:val="007E55B9"/>
    <w:rsid w:val="007E6558"/>
    <w:rsid w:val="007E6DC3"/>
    <w:rsid w:val="007E72DA"/>
    <w:rsid w:val="007F04F8"/>
    <w:rsid w:val="007F0CA5"/>
    <w:rsid w:val="007F13E1"/>
    <w:rsid w:val="007F27D4"/>
    <w:rsid w:val="007F4D41"/>
    <w:rsid w:val="007F5F95"/>
    <w:rsid w:val="007F6686"/>
    <w:rsid w:val="007F713C"/>
    <w:rsid w:val="007F7815"/>
    <w:rsid w:val="007F7962"/>
    <w:rsid w:val="008011BE"/>
    <w:rsid w:val="00802CE3"/>
    <w:rsid w:val="00802F27"/>
    <w:rsid w:val="00806BE4"/>
    <w:rsid w:val="00807984"/>
    <w:rsid w:val="008111C4"/>
    <w:rsid w:val="00811715"/>
    <w:rsid w:val="008118E8"/>
    <w:rsid w:val="00813265"/>
    <w:rsid w:val="00815E7B"/>
    <w:rsid w:val="008200D3"/>
    <w:rsid w:val="00820A77"/>
    <w:rsid w:val="00820B4B"/>
    <w:rsid w:val="008232ED"/>
    <w:rsid w:val="008250AB"/>
    <w:rsid w:val="00825499"/>
    <w:rsid w:val="00825AB1"/>
    <w:rsid w:val="0082730D"/>
    <w:rsid w:val="00830B88"/>
    <w:rsid w:val="00835FC7"/>
    <w:rsid w:val="00836008"/>
    <w:rsid w:val="008365F9"/>
    <w:rsid w:val="008378DD"/>
    <w:rsid w:val="008402E7"/>
    <w:rsid w:val="00843108"/>
    <w:rsid w:val="00843AE5"/>
    <w:rsid w:val="00844BB4"/>
    <w:rsid w:val="00844BC4"/>
    <w:rsid w:val="0084591E"/>
    <w:rsid w:val="008460F5"/>
    <w:rsid w:val="008467B8"/>
    <w:rsid w:val="00847C8E"/>
    <w:rsid w:val="00847D3B"/>
    <w:rsid w:val="00847EBA"/>
    <w:rsid w:val="00851B0A"/>
    <w:rsid w:val="00853F2A"/>
    <w:rsid w:val="00856F98"/>
    <w:rsid w:val="00863C33"/>
    <w:rsid w:val="008641E0"/>
    <w:rsid w:val="0086513C"/>
    <w:rsid w:val="008651CB"/>
    <w:rsid w:val="00865460"/>
    <w:rsid w:val="00867AFB"/>
    <w:rsid w:val="00867D7A"/>
    <w:rsid w:val="00870517"/>
    <w:rsid w:val="00872624"/>
    <w:rsid w:val="00873421"/>
    <w:rsid w:val="008734E4"/>
    <w:rsid w:val="00873868"/>
    <w:rsid w:val="008749F4"/>
    <w:rsid w:val="00874BC2"/>
    <w:rsid w:val="00875D27"/>
    <w:rsid w:val="008766A2"/>
    <w:rsid w:val="008801CF"/>
    <w:rsid w:val="00880749"/>
    <w:rsid w:val="008840F1"/>
    <w:rsid w:val="00885FA1"/>
    <w:rsid w:val="00886DCD"/>
    <w:rsid w:val="00890B37"/>
    <w:rsid w:val="0089127B"/>
    <w:rsid w:val="00891DE8"/>
    <w:rsid w:val="00893AB0"/>
    <w:rsid w:val="00895815"/>
    <w:rsid w:val="00897099"/>
    <w:rsid w:val="0089712C"/>
    <w:rsid w:val="008A1482"/>
    <w:rsid w:val="008A1CC5"/>
    <w:rsid w:val="008A1D2B"/>
    <w:rsid w:val="008A296F"/>
    <w:rsid w:val="008A2E6A"/>
    <w:rsid w:val="008A7E4D"/>
    <w:rsid w:val="008B0819"/>
    <w:rsid w:val="008B62B6"/>
    <w:rsid w:val="008B6922"/>
    <w:rsid w:val="008B6CBE"/>
    <w:rsid w:val="008C0634"/>
    <w:rsid w:val="008C2CE3"/>
    <w:rsid w:val="008C2FFA"/>
    <w:rsid w:val="008C4505"/>
    <w:rsid w:val="008C5808"/>
    <w:rsid w:val="008C599D"/>
    <w:rsid w:val="008C5DC2"/>
    <w:rsid w:val="008C7190"/>
    <w:rsid w:val="008D12C4"/>
    <w:rsid w:val="008D2493"/>
    <w:rsid w:val="008D3CDA"/>
    <w:rsid w:val="008D41DD"/>
    <w:rsid w:val="008D43BA"/>
    <w:rsid w:val="008D52B9"/>
    <w:rsid w:val="008D5836"/>
    <w:rsid w:val="008D69C5"/>
    <w:rsid w:val="008E013F"/>
    <w:rsid w:val="008E26B1"/>
    <w:rsid w:val="008E2C77"/>
    <w:rsid w:val="008E2C9F"/>
    <w:rsid w:val="008E336D"/>
    <w:rsid w:val="008E3637"/>
    <w:rsid w:val="008E3996"/>
    <w:rsid w:val="008E6AE0"/>
    <w:rsid w:val="008F069E"/>
    <w:rsid w:val="008F1CD0"/>
    <w:rsid w:val="008F3416"/>
    <w:rsid w:val="008F4FC8"/>
    <w:rsid w:val="008F614C"/>
    <w:rsid w:val="00900495"/>
    <w:rsid w:val="009005B7"/>
    <w:rsid w:val="009007B3"/>
    <w:rsid w:val="00900939"/>
    <w:rsid w:val="0090138F"/>
    <w:rsid w:val="00906986"/>
    <w:rsid w:val="00906B5C"/>
    <w:rsid w:val="00906BDE"/>
    <w:rsid w:val="00906C07"/>
    <w:rsid w:val="009105FF"/>
    <w:rsid w:val="009111FB"/>
    <w:rsid w:val="00911289"/>
    <w:rsid w:val="009126A3"/>
    <w:rsid w:val="0091338E"/>
    <w:rsid w:val="00913B9E"/>
    <w:rsid w:val="009155D1"/>
    <w:rsid w:val="00915837"/>
    <w:rsid w:val="00916A46"/>
    <w:rsid w:val="00917353"/>
    <w:rsid w:val="009206C9"/>
    <w:rsid w:val="0092349A"/>
    <w:rsid w:val="0092513A"/>
    <w:rsid w:val="009251B0"/>
    <w:rsid w:val="00925530"/>
    <w:rsid w:val="009259B3"/>
    <w:rsid w:val="00925E02"/>
    <w:rsid w:val="0092640D"/>
    <w:rsid w:val="00926D5D"/>
    <w:rsid w:val="00927B10"/>
    <w:rsid w:val="009303C4"/>
    <w:rsid w:val="00930D5E"/>
    <w:rsid w:val="00931347"/>
    <w:rsid w:val="0093249A"/>
    <w:rsid w:val="00933AFD"/>
    <w:rsid w:val="00934C8B"/>
    <w:rsid w:val="00936470"/>
    <w:rsid w:val="009365D3"/>
    <w:rsid w:val="00936E51"/>
    <w:rsid w:val="00940531"/>
    <w:rsid w:val="00942429"/>
    <w:rsid w:val="00947DD0"/>
    <w:rsid w:val="00951337"/>
    <w:rsid w:val="0095137B"/>
    <w:rsid w:val="009530B5"/>
    <w:rsid w:val="00953F53"/>
    <w:rsid w:val="00953FDF"/>
    <w:rsid w:val="00961BCF"/>
    <w:rsid w:val="00962261"/>
    <w:rsid w:val="00962951"/>
    <w:rsid w:val="00962C1A"/>
    <w:rsid w:val="00966D0B"/>
    <w:rsid w:val="009676AF"/>
    <w:rsid w:val="00975C63"/>
    <w:rsid w:val="009868F6"/>
    <w:rsid w:val="009910C0"/>
    <w:rsid w:val="00992192"/>
    <w:rsid w:val="00992B7E"/>
    <w:rsid w:val="0099324F"/>
    <w:rsid w:val="00993C18"/>
    <w:rsid w:val="009944A8"/>
    <w:rsid w:val="009951EB"/>
    <w:rsid w:val="0099578F"/>
    <w:rsid w:val="009962FA"/>
    <w:rsid w:val="009A4F28"/>
    <w:rsid w:val="009A5C2E"/>
    <w:rsid w:val="009A6BB0"/>
    <w:rsid w:val="009A71F9"/>
    <w:rsid w:val="009A7FAD"/>
    <w:rsid w:val="009A7FE5"/>
    <w:rsid w:val="009B2BC6"/>
    <w:rsid w:val="009B3051"/>
    <w:rsid w:val="009B3128"/>
    <w:rsid w:val="009B3297"/>
    <w:rsid w:val="009B41F6"/>
    <w:rsid w:val="009B4F46"/>
    <w:rsid w:val="009B661F"/>
    <w:rsid w:val="009B78B1"/>
    <w:rsid w:val="009C001E"/>
    <w:rsid w:val="009C06BF"/>
    <w:rsid w:val="009C0EAC"/>
    <w:rsid w:val="009C20BE"/>
    <w:rsid w:val="009C52C4"/>
    <w:rsid w:val="009C716B"/>
    <w:rsid w:val="009C7249"/>
    <w:rsid w:val="009C75F2"/>
    <w:rsid w:val="009C79AD"/>
    <w:rsid w:val="009D04BB"/>
    <w:rsid w:val="009D0AF1"/>
    <w:rsid w:val="009D0C58"/>
    <w:rsid w:val="009D1806"/>
    <w:rsid w:val="009D327C"/>
    <w:rsid w:val="009D5123"/>
    <w:rsid w:val="009D6FCD"/>
    <w:rsid w:val="009D76DB"/>
    <w:rsid w:val="009E08F1"/>
    <w:rsid w:val="009E2979"/>
    <w:rsid w:val="009E2F5B"/>
    <w:rsid w:val="009E340B"/>
    <w:rsid w:val="009E3664"/>
    <w:rsid w:val="009E4E5F"/>
    <w:rsid w:val="009E6021"/>
    <w:rsid w:val="009E72D8"/>
    <w:rsid w:val="009F073D"/>
    <w:rsid w:val="009F1C57"/>
    <w:rsid w:val="009F2686"/>
    <w:rsid w:val="009F2EC2"/>
    <w:rsid w:val="009F3223"/>
    <w:rsid w:val="009F70F5"/>
    <w:rsid w:val="009F78DF"/>
    <w:rsid w:val="009F7DD0"/>
    <w:rsid w:val="00A0027B"/>
    <w:rsid w:val="00A0296C"/>
    <w:rsid w:val="00A02EB6"/>
    <w:rsid w:val="00A033CC"/>
    <w:rsid w:val="00A04E81"/>
    <w:rsid w:val="00A05ADB"/>
    <w:rsid w:val="00A0601A"/>
    <w:rsid w:val="00A07709"/>
    <w:rsid w:val="00A0FE1D"/>
    <w:rsid w:val="00A10ED1"/>
    <w:rsid w:val="00A135F7"/>
    <w:rsid w:val="00A1499C"/>
    <w:rsid w:val="00A14D12"/>
    <w:rsid w:val="00A15964"/>
    <w:rsid w:val="00A15B9E"/>
    <w:rsid w:val="00A16E05"/>
    <w:rsid w:val="00A1794D"/>
    <w:rsid w:val="00A20773"/>
    <w:rsid w:val="00A21952"/>
    <w:rsid w:val="00A22795"/>
    <w:rsid w:val="00A2308B"/>
    <w:rsid w:val="00A23371"/>
    <w:rsid w:val="00A23730"/>
    <w:rsid w:val="00A23DEA"/>
    <w:rsid w:val="00A248EC"/>
    <w:rsid w:val="00A26637"/>
    <w:rsid w:val="00A2674D"/>
    <w:rsid w:val="00A27C11"/>
    <w:rsid w:val="00A3024C"/>
    <w:rsid w:val="00A3128E"/>
    <w:rsid w:val="00A3339E"/>
    <w:rsid w:val="00A36C2D"/>
    <w:rsid w:val="00A36CD6"/>
    <w:rsid w:val="00A407BC"/>
    <w:rsid w:val="00A412D3"/>
    <w:rsid w:val="00A422E6"/>
    <w:rsid w:val="00A435AD"/>
    <w:rsid w:val="00A441CD"/>
    <w:rsid w:val="00A44557"/>
    <w:rsid w:val="00A4518A"/>
    <w:rsid w:val="00A476A2"/>
    <w:rsid w:val="00A51282"/>
    <w:rsid w:val="00A521F3"/>
    <w:rsid w:val="00A544DA"/>
    <w:rsid w:val="00A54A6E"/>
    <w:rsid w:val="00A55435"/>
    <w:rsid w:val="00A55AE3"/>
    <w:rsid w:val="00A56787"/>
    <w:rsid w:val="00A57502"/>
    <w:rsid w:val="00A57541"/>
    <w:rsid w:val="00A57C77"/>
    <w:rsid w:val="00A6195E"/>
    <w:rsid w:val="00A61AF2"/>
    <w:rsid w:val="00A61F05"/>
    <w:rsid w:val="00A62A3F"/>
    <w:rsid w:val="00A704DE"/>
    <w:rsid w:val="00A70FF3"/>
    <w:rsid w:val="00A7154A"/>
    <w:rsid w:val="00A72135"/>
    <w:rsid w:val="00A72F62"/>
    <w:rsid w:val="00A73377"/>
    <w:rsid w:val="00A76892"/>
    <w:rsid w:val="00A81705"/>
    <w:rsid w:val="00A81B40"/>
    <w:rsid w:val="00A83792"/>
    <w:rsid w:val="00A852D6"/>
    <w:rsid w:val="00A8606D"/>
    <w:rsid w:val="00A8714C"/>
    <w:rsid w:val="00A917AE"/>
    <w:rsid w:val="00A941E0"/>
    <w:rsid w:val="00A96562"/>
    <w:rsid w:val="00A972F9"/>
    <w:rsid w:val="00AA0EC9"/>
    <w:rsid w:val="00AA2129"/>
    <w:rsid w:val="00AA551A"/>
    <w:rsid w:val="00AA56C6"/>
    <w:rsid w:val="00AB230B"/>
    <w:rsid w:val="00AB2599"/>
    <w:rsid w:val="00AB259C"/>
    <w:rsid w:val="00AB56FF"/>
    <w:rsid w:val="00AB7C12"/>
    <w:rsid w:val="00AC083D"/>
    <w:rsid w:val="00AC0EC2"/>
    <w:rsid w:val="00AC11BC"/>
    <w:rsid w:val="00AC3BFC"/>
    <w:rsid w:val="00AC49A0"/>
    <w:rsid w:val="00AC5ADD"/>
    <w:rsid w:val="00AC6EA5"/>
    <w:rsid w:val="00AD2A34"/>
    <w:rsid w:val="00AD3C42"/>
    <w:rsid w:val="00AD3E13"/>
    <w:rsid w:val="00AD4A76"/>
    <w:rsid w:val="00AD5702"/>
    <w:rsid w:val="00AD724A"/>
    <w:rsid w:val="00AD74C7"/>
    <w:rsid w:val="00AE18AF"/>
    <w:rsid w:val="00AE4EA5"/>
    <w:rsid w:val="00AF009B"/>
    <w:rsid w:val="00AF09DE"/>
    <w:rsid w:val="00AF0C84"/>
    <w:rsid w:val="00AF27E6"/>
    <w:rsid w:val="00AF2946"/>
    <w:rsid w:val="00AF2D5E"/>
    <w:rsid w:val="00AF427F"/>
    <w:rsid w:val="00B00741"/>
    <w:rsid w:val="00B0084F"/>
    <w:rsid w:val="00B022A8"/>
    <w:rsid w:val="00B0376F"/>
    <w:rsid w:val="00B037F9"/>
    <w:rsid w:val="00B066F2"/>
    <w:rsid w:val="00B07CFA"/>
    <w:rsid w:val="00B07F62"/>
    <w:rsid w:val="00B109C3"/>
    <w:rsid w:val="00B113E8"/>
    <w:rsid w:val="00B11854"/>
    <w:rsid w:val="00B11B6A"/>
    <w:rsid w:val="00B1216D"/>
    <w:rsid w:val="00B1439D"/>
    <w:rsid w:val="00B15B5C"/>
    <w:rsid w:val="00B15EF0"/>
    <w:rsid w:val="00B173C5"/>
    <w:rsid w:val="00B17870"/>
    <w:rsid w:val="00B17D93"/>
    <w:rsid w:val="00B22CB2"/>
    <w:rsid w:val="00B22D9D"/>
    <w:rsid w:val="00B245A1"/>
    <w:rsid w:val="00B24C89"/>
    <w:rsid w:val="00B257CC"/>
    <w:rsid w:val="00B25D2D"/>
    <w:rsid w:val="00B25E4B"/>
    <w:rsid w:val="00B26109"/>
    <w:rsid w:val="00B2663D"/>
    <w:rsid w:val="00B26766"/>
    <w:rsid w:val="00B26CCA"/>
    <w:rsid w:val="00B2729D"/>
    <w:rsid w:val="00B27BB6"/>
    <w:rsid w:val="00B3156B"/>
    <w:rsid w:val="00B3181D"/>
    <w:rsid w:val="00B3362C"/>
    <w:rsid w:val="00B34007"/>
    <w:rsid w:val="00B349CC"/>
    <w:rsid w:val="00B35CB5"/>
    <w:rsid w:val="00B36EAB"/>
    <w:rsid w:val="00B3703F"/>
    <w:rsid w:val="00B37BDB"/>
    <w:rsid w:val="00B41DA2"/>
    <w:rsid w:val="00B45278"/>
    <w:rsid w:val="00B46545"/>
    <w:rsid w:val="00B47EE0"/>
    <w:rsid w:val="00B5064E"/>
    <w:rsid w:val="00B507E4"/>
    <w:rsid w:val="00B5271C"/>
    <w:rsid w:val="00B53AD9"/>
    <w:rsid w:val="00B53C7D"/>
    <w:rsid w:val="00B55663"/>
    <w:rsid w:val="00B6056F"/>
    <w:rsid w:val="00B62E95"/>
    <w:rsid w:val="00B63863"/>
    <w:rsid w:val="00B63C22"/>
    <w:rsid w:val="00B64174"/>
    <w:rsid w:val="00B64437"/>
    <w:rsid w:val="00B65DDE"/>
    <w:rsid w:val="00B663B3"/>
    <w:rsid w:val="00B70172"/>
    <w:rsid w:val="00B738F1"/>
    <w:rsid w:val="00B74638"/>
    <w:rsid w:val="00B7733E"/>
    <w:rsid w:val="00B7795A"/>
    <w:rsid w:val="00B77CE3"/>
    <w:rsid w:val="00B84C46"/>
    <w:rsid w:val="00B857CD"/>
    <w:rsid w:val="00B864DD"/>
    <w:rsid w:val="00B86D48"/>
    <w:rsid w:val="00B871E7"/>
    <w:rsid w:val="00B90E6D"/>
    <w:rsid w:val="00B92817"/>
    <w:rsid w:val="00B92C1B"/>
    <w:rsid w:val="00B92D72"/>
    <w:rsid w:val="00B960CF"/>
    <w:rsid w:val="00B96A27"/>
    <w:rsid w:val="00B97335"/>
    <w:rsid w:val="00BA13E9"/>
    <w:rsid w:val="00BA2C9F"/>
    <w:rsid w:val="00BA49DF"/>
    <w:rsid w:val="00BA4D99"/>
    <w:rsid w:val="00BA5D43"/>
    <w:rsid w:val="00BA642B"/>
    <w:rsid w:val="00BA7827"/>
    <w:rsid w:val="00BB0307"/>
    <w:rsid w:val="00BB078C"/>
    <w:rsid w:val="00BB1E2E"/>
    <w:rsid w:val="00BB21FC"/>
    <w:rsid w:val="00BB4C00"/>
    <w:rsid w:val="00BB7013"/>
    <w:rsid w:val="00BB79EF"/>
    <w:rsid w:val="00BB7F61"/>
    <w:rsid w:val="00BC075C"/>
    <w:rsid w:val="00BC666A"/>
    <w:rsid w:val="00BC70B5"/>
    <w:rsid w:val="00BC73E1"/>
    <w:rsid w:val="00BC7778"/>
    <w:rsid w:val="00BD095A"/>
    <w:rsid w:val="00BD0D81"/>
    <w:rsid w:val="00BD276F"/>
    <w:rsid w:val="00BD4E67"/>
    <w:rsid w:val="00BD536A"/>
    <w:rsid w:val="00BD577D"/>
    <w:rsid w:val="00BE1460"/>
    <w:rsid w:val="00BE25A9"/>
    <w:rsid w:val="00BE46A2"/>
    <w:rsid w:val="00BE50A9"/>
    <w:rsid w:val="00BF0037"/>
    <w:rsid w:val="00BF13C1"/>
    <w:rsid w:val="00BF1C07"/>
    <w:rsid w:val="00BF26A6"/>
    <w:rsid w:val="00BF3B0D"/>
    <w:rsid w:val="00BF3B6F"/>
    <w:rsid w:val="00BF56AB"/>
    <w:rsid w:val="00BF6307"/>
    <w:rsid w:val="00BF6504"/>
    <w:rsid w:val="00C00A0A"/>
    <w:rsid w:val="00C04F15"/>
    <w:rsid w:val="00C07B30"/>
    <w:rsid w:val="00C1023F"/>
    <w:rsid w:val="00C1140A"/>
    <w:rsid w:val="00C11614"/>
    <w:rsid w:val="00C13A06"/>
    <w:rsid w:val="00C13ACA"/>
    <w:rsid w:val="00C13BFA"/>
    <w:rsid w:val="00C146FE"/>
    <w:rsid w:val="00C14BA0"/>
    <w:rsid w:val="00C152F3"/>
    <w:rsid w:val="00C204EC"/>
    <w:rsid w:val="00C20B23"/>
    <w:rsid w:val="00C214E3"/>
    <w:rsid w:val="00C2223F"/>
    <w:rsid w:val="00C22380"/>
    <w:rsid w:val="00C234C0"/>
    <w:rsid w:val="00C23D0C"/>
    <w:rsid w:val="00C267A2"/>
    <w:rsid w:val="00C277DD"/>
    <w:rsid w:val="00C30485"/>
    <w:rsid w:val="00C315AB"/>
    <w:rsid w:val="00C34527"/>
    <w:rsid w:val="00C34636"/>
    <w:rsid w:val="00C34758"/>
    <w:rsid w:val="00C34D9B"/>
    <w:rsid w:val="00C357DA"/>
    <w:rsid w:val="00C36E76"/>
    <w:rsid w:val="00C36F03"/>
    <w:rsid w:val="00C3737E"/>
    <w:rsid w:val="00C42A31"/>
    <w:rsid w:val="00C434AF"/>
    <w:rsid w:val="00C44751"/>
    <w:rsid w:val="00C462D0"/>
    <w:rsid w:val="00C47A7A"/>
    <w:rsid w:val="00C500E3"/>
    <w:rsid w:val="00C50698"/>
    <w:rsid w:val="00C512DC"/>
    <w:rsid w:val="00C541CA"/>
    <w:rsid w:val="00C549C0"/>
    <w:rsid w:val="00C550BA"/>
    <w:rsid w:val="00C575BB"/>
    <w:rsid w:val="00C609A2"/>
    <w:rsid w:val="00C61D34"/>
    <w:rsid w:val="00C61E64"/>
    <w:rsid w:val="00C61E95"/>
    <w:rsid w:val="00C62C9A"/>
    <w:rsid w:val="00C63E7E"/>
    <w:rsid w:val="00C6481B"/>
    <w:rsid w:val="00C652DF"/>
    <w:rsid w:val="00C65511"/>
    <w:rsid w:val="00C65E3F"/>
    <w:rsid w:val="00C67CE7"/>
    <w:rsid w:val="00C70FA9"/>
    <w:rsid w:val="00C71ED0"/>
    <w:rsid w:val="00C72910"/>
    <w:rsid w:val="00C72EB1"/>
    <w:rsid w:val="00C733D1"/>
    <w:rsid w:val="00C748F5"/>
    <w:rsid w:val="00C760FC"/>
    <w:rsid w:val="00C764BC"/>
    <w:rsid w:val="00C76C37"/>
    <w:rsid w:val="00C81B6A"/>
    <w:rsid w:val="00C82A71"/>
    <w:rsid w:val="00C87E0C"/>
    <w:rsid w:val="00C91423"/>
    <w:rsid w:val="00C91A0A"/>
    <w:rsid w:val="00C91A29"/>
    <w:rsid w:val="00C91D71"/>
    <w:rsid w:val="00C9271D"/>
    <w:rsid w:val="00C934B1"/>
    <w:rsid w:val="00C9431E"/>
    <w:rsid w:val="00C95B3F"/>
    <w:rsid w:val="00C960DF"/>
    <w:rsid w:val="00C969D1"/>
    <w:rsid w:val="00C9789C"/>
    <w:rsid w:val="00CA24D1"/>
    <w:rsid w:val="00CA3DAC"/>
    <w:rsid w:val="00CA4700"/>
    <w:rsid w:val="00CB0CA8"/>
    <w:rsid w:val="00CB1C0D"/>
    <w:rsid w:val="00CB1F79"/>
    <w:rsid w:val="00CB24F5"/>
    <w:rsid w:val="00CB3266"/>
    <w:rsid w:val="00CB4795"/>
    <w:rsid w:val="00CB653E"/>
    <w:rsid w:val="00CB68E3"/>
    <w:rsid w:val="00CB6F58"/>
    <w:rsid w:val="00CC119C"/>
    <w:rsid w:val="00CC360C"/>
    <w:rsid w:val="00CC447D"/>
    <w:rsid w:val="00CC530A"/>
    <w:rsid w:val="00CC6817"/>
    <w:rsid w:val="00CC687A"/>
    <w:rsid w:val="00CC7E14"/>
    <w:rsid w:val="00CD5D7D"/>
    <w:rsid w:val="00CD7C08"/>
    <w:rsid w:val="00CE24DD"/>
    <w:rsid w:val="00CE2D3F"/>
    <w:rsid w:val="00CE38F2"/>
    <w:rsid w:val="00CE46A4"/>
    <w:rsid w:val="00CE60CC"/>
    <w:rsid w:val="00CF062C"/>
    <w:rsid w:val="00CF0EC0"/>
    <w:rsid w:val="00CF5A59"/>
    <w:rsid w:val="00CF5CD0"/>
    <w:rsid w:val="00D01503"/>
    <w:rsid w:val="00D05A9B"/>
    <w:rsid w:val="00D075CA"/>
    <w:rsid w:val="00D078ED"/>
    <w:rsid w:val="00D12CCE"/>
    <w:rsid w:val="00D136DC"/>
    <w:rsid w:val="00D17155"/>
    <w:rsid w:val="00D1773C"/>
    <w:rsid w:val="00D232B7"/>
    <w:rsid w:val="00D242CF"/>
    <w:rsid w:val="00D254BF"/>
    <w:rsid w:val="00D25CF3"/>
    <w:rsid w:val="00D2669C"/>
    <w:rsid w:val="00D2726C"/>
    <w:rsid w:val="00D305C6"/>
    <w:rsid w:val="00D3295C"/>
    <w:rsid w:val="00D33CA1"/>
    <w:rsid w:val="00D3590C"/>
    <w:rsid w:val="00D42F7C"/>
    <w:rsid w:val="00D43194"/>
    <w:rsid w:val="00D431A3"/>
    <w:rsid w:val="00D4382A"/>
    <w:rsid w:val="00D43ED0"/>
    <w:rsid w:val="00D4484A"/>
    <w:rsid w:val="00D45237"/>
    <w:rsid w:val="00D50580"/>
    <w:rsid w:val="00D51315"/>
    <w:rsid w:val="00D52692"/>
    <w:rsid w:val="00D5276C"/>
    <w:rsid w:val="00D551D8"/>
    <w:rsid w:val="00D55580"/>
    <w:rsid w:val="00D55908"/>
    <w:rsid w:val="00D56E5B"/>
    <w:rsid w:val="00D6051D"/>
    <w:rsid w:val="00D610DD"/>
    <w:rsid w:val="00D629B5"/>
    <w:rsid w:val="00D63766"/>
    <w:rsid w:val="00D64C16"/>
    <w:rsid w:val="00D66FBC"/>
    <w:rsid w:val="00D71B1C"/>
    <w:rsid w:val="00D73DF3"/>
    <w:rsid w:val="00D74462"/>
    <w:rsid w:val="00D74D9B"/>
    <w:rsid w:val="00D76933"/>
    <w:rsid w:val="00D80974"/>
    <w:rsid w:val="00D80B2D"/>
    <w:rsid w:val="00D81E10"/>
    <w:rsid w:val="00D8227F"/>
    <w:rsid w:val="00D834C2"/>
    <w:rsid w:val="00D844F8"/>
    <w:rsid w:val="00D84EDC"/>
    <w:rsid w:val="00D86313"/>
    <w:rsid w:val="00D8652A"/>
    <w:rsid w:val="00D86D38"/>
    <w:rsid w:val="00D90CB7"/>
    <w:rsid w:val="00D92945"/>
    <w:rsid w:val="00D937B7"/>
    <w:rsid w:val="00D93D57"/>
    <w:rsid w:val="00D94BE6"/>
    <w:rsid w:val="00D94F12"/>
    <w:rsid w:val="00DA2471"/>
    <w:rsid w:val="00DA2B4C"/>
    <w:rsid w:val="00DA39EA"/>
    <w:rsid w:val="00DA3DDC"/>
    <w:rsid w:val="00DA4615"/>
    <w:rsid w:val="00DA594D"/>
    <w:rsid w:val="00DB190A"/>
    <w:rsid w:val="00DB22D7"/>
    <w:rsid w:val="00DB238F"/>
    <w:rsid w:val="00DB42B6"/>
    <w:rsid w:val="00DB496E"/>
    <w:rsid w:val="00DB4C67"/>
    <w:rsid w:val="00DB779A"/>
    <w:rsid w:val="00DC0072"/>
    <w:rsid w:val="00DC0A56"/>
    <w:rsid w:val="00DC392E"/>
    <w:rsid w:val="00DC4A39"/>
    <w:rsid w:val="00DC4F39"/>
    <w:rsid w:val="00DC6FE6"/>
    <w:rsid w:val="00DD2078"/>
    <w:rsid w:val="00DD34FC"/>
    <w:rsid w:val="00DD3E19"/>
    <w:rsid w:val="00DD4A33"/>
    <w:rsid w:val="00DD5FAD"/>
    <w:rsid w:val="00DD6CE8"/>
    <w:rsid w:val="00DE3984"/>
    <w:rsid w:val="00DE552A"/>
    <w:rsid w:val="00DE588D"/>
    <w:rsid w:val="00DF2242"/>
    <w:rsid w:val="00DF3B1B"/>
    <w:rsid w:val="00DF4581"/>
    <w:rsid w:val="00DF573F"/>
    <w:rsid w:val="00DF676B"/>
    <w:rsid w:val="00E0065B"/>
    <w:rsid w:val="00E0255E"/>
    <w:rsid w:val="00E02EDF"/>
    <w:rsid w:val="00E030D6"/>
    <w:rsid w:val="00E04754"/>
    <w:rsid w:val="00E04944"/>
    <w:rsid w:val="00E123B9"/>
    <w:rsid w:val="00E12CA9"/>
    <w:rsid w:val="00E12E25"/>
    <w:rsid w:val="00E156D3"/>
    <w:rsid w:val="00E15A75"/>
    <w:rsid w:val="00E1609C"/>
    <w:rsid w:val="00E2002D"/>
    <w:rsid w:val="00E214E6"/>
    <w:rsid w:val="00E227CA"/>
    <w:rsid w:val="00E233BA"/>
    <w:rsid w:val="00E23BC5"/>
    <w:rsid w:val="00E24A59"/>
    <w:rsid w:val="00E24E2A"/>
    <w:rsid w:val="00E25534"/>
    <w:rsid w:val="00E2559F"/>
    <w:rsid w:val="00E25E37"/>
    <w:rsid w:val="00E27163"/>
    <w:rsid w:val="00E30A03"/>
    <w:rsid w:val="00E320F4"/>
    <w:rsid w:val="00E32E63"/>
    <w:rsid w:val="00E32FD4"/>
    <w:rsid w:val="00E3467F"/>
    <w:rsid w:val="00E35506"/>
    <w:rsid w:val="00E36A65"/>
    <w:rsid w:val="00E36D18"/>
    <w:rsid w:val="00E3792E"/>
    <w:rsid w:val="00E441DA"/>
    <w:rsid w:val="00E44619"/>
    <w:rsid w:val="00E46FC1"/>
    <w:rsid w:val="00E537A2"/>
    <w:rsid w:val="00E541E1"/>
    <w:rsid w:val="00E55BDD"/>
    <w:rsid w:val="00E55EBD"/>
    <w:rsid w:val="00E56CDA"/>
    <w:rsid w:val="00E60B32"/>
    <w:rsid w:val="00E62028"/>
    <w:rsid w:val="00E62717"/>
    <w:rsid w:val="00E65D6B"/>
    <w:rsid w:val="00E6629C"/>
    <w:rsid w:val="00E66313"/>
    <w:rsid w:val="00E67971"/>
    <w:rsid w:val="00E703EF"/>
    <w:rsid w:val="00E705C3"/>
    <w:rsid w:val="00E71082"/>
    <w:rsid w:val="00E71B7C"/>
    <w:rsid w:val="00E728E4"/>
    <w:rsid w:val="00E74B21"/>
    <w:rsid w:val="00E761A2"/>
    <w:rsid w:val="00E76240"/>
    <w:rsid w:val="00E76FBC"/>
    <w:rsid w:val="00E774C9"/>
    <w:rsid w:val="00E77A9C"/>
    <w:rsid w:val="00E77DD9"/>
    <w:rsid w:val="00E83800"/>
    <w:rsid w:val="00E8435D"/>
    <w:rsid w:val="00E85797"/>
    <w:rsid w:val="00E858BC"/>
    <w:rsid w:val="00E86022"/>
    <w:rsid w:val="00E86069"/>
    <w:rsid w:val="00E86AB2"/>
    <w:rsid w:val="00E87676"/>
    <w:rsid w:val="00E9009C"/>
    <w:rsid w:val="00E91D3D"/>
    <w:rsid w:val="00E92390"/>
    <w:rsid w:val="00E9295B"/>
    <w:rsid w:val="00E92DC4"/>
    <w:rsid w:val="00E954C8"/>
    <w:rsid w:val="00EA06D2"/>
    <w:rsid w:val="00EA20B3"/>
    <w:rsid w:val="00EA2272"/>
    <w:rsid w:val="00EA2A26"/>
    <w:rsid w:val="00EA3BF7"/>
    <w:rsid w:val="00EA472E"/>
    <w:rsid w:val="00EA4E8B"/>
    <w:rsid w:val="00EB04F1"/>
    <w:rsid w:val="00EB2A54"/>
    <w:rsid w:val="00EB31CD"/>
    <w:rsid w:val="00EB5D3B"/>
    <w:rsid w:val="00EB703F"/>
    <w:rsid w:val="00EB7654"/>
    <w:rsid w:val="00EC1B52"/>
    <w:rsid w:val="00EC1EDB"/>
    <w:rsid w:val="00EC212C"/>
    <w:rsid w:val="00EC2C37"/>
    <w:rsid w:val="00EC3233"/>
    <w:rsid w:val="00EC35C3"/>
    <w:rsid w:val="00EC36C3"/>
    <w:rsid w:val="00EC4ACD"/>
    <w:rsid w:val="00EC52F0"/>
    <w:rsid w:val="00EC6E03"/>
    <w:rsid w:val="00EC7EA1"/>
    <w:rsid w:val="00ED04C4"/>
    <w:rsid w:val="00ED0C45"/>
    <w:rsid w:val="00ED1BBF"/>
    <w:rsid w:val="00ED26FE"/>
    <w:rsid w:val="00ED2DFC"/>
    <w:rsid w:val="00ED3051"/>
    <w:rsid w:val="00ED56CD"/>
    <w:rsid w:val="00ED7431"/>
    <w:rsid w:val="00EE1234"/>
    <w:rsid w:val="00EE12B7"/>
    <w:rsid w:val="00EE1327"/>
    <w:rsid w:val="00EE1629"/>
    <w:rsid w:val="00EE1DC6"/>
    <w:rsid w:val="00EE3CCA"/>
    <w:rsid w:val="00EE3EF4"/>
    <w:rsid w:val="00EE449D"/>
    <w:rsid w:val="00EE5686"/>
    <w:rsid w:val="00EE5874"/>
    <w:rsid w:val="00EE6E10"/>
    <w:rsid w:val="00EE72D0"/>
    <w:rsid w:val="00EE7E8B"/>
    <w:rsid w:val="00EF0A80"/>
    <w:rsid w:val="00EF22DF"/>
    <w:rsid w:val="00EF2C55"/>
    <w:rsid w:val="00EF398D"/>
    <w:rsid w:val="00EF4355"/>
    <w:rsid w:val="00EF64FC"/>
    <w:rsid w:val="00EF73AA"/>
    <w:rsid w:val="00EF771C"/>
    <w:rsid w:val="00F00591"/>
    <w:rsid w:val="00F00FAE"/>
    <w:rsid w:val="00F02B9E"/>
    <w:rsid w:val="00F02F62"/>
    <w:rsid w:val="00F02F6A"/>
    <w:rsid w:val="00F03376"/>
    <w:rsid w:val="00F03F36"/>
    <w:rsid w:val="00F07C49"/>
    <w:rsid w:val="00F126A0"/>
    <w:rsid w:val="00F12AC9"/>
    <w:rsid w:val="00F13A06"/>
    <w:rsid w:val="00F13C21"/>
    <w:rsid w:val="00F14511"/>
    <w:rsid w:val="00F15D29"/>
    <w:rsid w:val="00F16151"/>
    <w:rsid w:val="00F17D17"/>
    <w:rsid w:val="00F213CE"/>
    <w:rsid w:val="00F21D4B"/>
    <w:rsid w:val="00F22005"/>
    <w:rsid w:val="00F226D9"/>
    <w:rsid w:val="00F22F44"/>
    <w:rsid w:val="00F24CC2"/>
    <w:rsid w:val="00F257A7"/>
    <w:rsid w:val="00F25D79"/>
    <w:rsid w:val="00F261BC"/>
    <w:rsid w:val="00F2756C"/>
    <w:rsid w:val="00F305AC"/>
    <w:rsid w:val="00F32004"/>
    <w:rsid w:val="00F323B0"/>
    <w:rsid w:val="00F32C05"/>
    <w:rsid w:val="00F32FCF"/>
    <w:rsid w:val="00F34D10"/>
    <w:rsid w:val="00F35CCB"/>
    <w:rsid w:val="00F36427"/>
    <w:rsid w:val="00F36B65"/>
    <w:rsid w:val="00F370A5"/>
    <w:rsid w:val="00F406F6"/>
    <w:rsid w:val="00F438AA"/>
    <w:rsid w:val="00F43CB9"/>
    <w:rsid w:val="00F468B9"/>
    <w:rsid w:val="00F5034E"/>
    <w:rsid w:val="00F51625"/>
    <w:rsid w:val="00F51751"/>
    <w:rsid w:val="00F51AC2"/>
    <w:rsid w:val="00F55282"/>
    <w:rsid w:val="00F56297"/>
    <w:rsid w:val="00F566FD"/>
    <w:rsid w:val="00F56C48"/>
    <w:rsid w:val="00F57F0F"/>
    <w:rsid w:val="00F60949"/>
    <w:rsid w:val="00F60C37"/>
    <w:rsid w:val="00F6229A"/>
    <w:rsid w:val="00F625D9"/>
    <w:rsid w:val="00F6527E"/>
    <w:rsid w:val="00F652E4"/>
    <w:rsid w:val="00F65D68"/>
    <w:rsid w:val="00F6650F"/>
    <w:rsid w:val="00F67680"/>
    <w:rsid w:val="00F73567"/>
    <w:rsid w:val="00F777A5"/>
    <w:rsid w:val="00F777A8"/>
    <w:rsid w:val="00F77936"/>
    <w:rsid w:val="00F80E4D"/>
    <w:rsid w:val="00F81753"/>
    <w:rsid w:val="00F81E06"/>
    <w:rsid w:val="00F82E16"/>
    <w:rsid w:val="00F84CA9"/>
    <w:rsid w:val="00F907B8"/>
    <w:rsid w:val="00F90CF8"/>
    <w:rsid w:val="00F91178"/>
    <w:rsid w:val="00F947D6"/>
    <w:rsid w:val="00F97CBC"/>
    <w:rsid w:val="00FA01C9"/>
    <w:rsid w:val="00FA02C5"/>
    <w:rsid w:val="00FA17DD"/>
    <w:rsid w:val="00FA46E1"/>
    <w:rsid w:val="00FA607E"/>
    <w:rsid w:val="00FA690D"/>
    <w:rsid w:val="00FB0F98"/>
    <w:rsid w:val="00FB19A6"/>
    <w:rsid w:val="00FB1E19"/>
    <w:rsid w:val="00FB3557"/>
    <w:rsid w:val="00FB3F5B"/>
    <w:rsid w:val="00FB46B9"/>
    <w:rsid w:val="00FB4D77"/>
    <w:rsid w:val="00FB57E8"/>
    <w:rsid w:val="00FB7243"/>
    <w:rsid w:val="00FB74F5"/>
    <w:rsid w:val="00FC1D65"/>
    <w:rsid w:val="00FC61F9"/>
    <w:rsid w:val="00FC6D89"/>
    <w:rsid w:val="00FC72C8"/>
    <w:rsid w:val="00FD0F2C"/>
    <w:rsid w:val="00FD1D25"/>
    <w:rsid w:val="00FD3AFD"/>
    <w:rsid w:val="00FD50C9"/>
    <w:rsid w:val="00FE0699"/>
    <w:rsid w:val="00FE098C"/>
    <w:rsid w:val="00FE1BCE"/>
    <w:rsid w:val="00FE1C1B"/>
    <w:rsid w:val="00FE4615"/>
    <w:rsid w:val="00FE4B15"/>
    <w:rsid w:val="00FE50C0"/>
    <w:rsid w:val="00FE5E78"/>
    <w:rsid w:val="00FE6823"/>
    <w:rsid w:val="00FF23B3"/>
    <w:rsid w:val="00FF27CA"/>
    <w:rsid w:val="00FF3A0B"/>
    <w:rsid w:val="00FF47F1"/>
    <w:rsid w:val="00FF4870"/>
    <w:rsid w:val="00FF50EF"/>
    <w:rsid w:val="00FF5F90"/>
    <w:rsid w:val="00FF6CAA"/>
    <w:rsid w:val="00FF6CD6"/>
    <w:rsid w:val="00FF6F54"/>
    <w:rsid w:val="00FF715E"/>
    <w:rsid w:val="060D646D"/>
    <w:rsid w:val="0B580BBE"/>
    <w:rsid w:val="14619BF0"/>
    <w:rsid w:val="15D3B32E"/>
    <w:rsid w:val="17264DE4"/>
    <w:rsid w:val="22C3F818"/>
    <w:rsid w:val="24B16FBD"/>
    <w:rsid w:val="2642447F"/>
    <w:rsid w:val="2E030669"/>
    <w:rsid w:val="328BEC15"/>
    <w:rsid w:val="332771A9"/>
    <w:rsid w:val="3821A05B"/>
    <w:rsid w:val="38296D91"/>
    <w:rsid w:val="3CC92C7F"/>
    <w:rsid w:val="5ACEE447"/>
    <w:rsid w:val="5B7D45BD"/>
    <w:rsid w:val="5ECB2725"/>
    <w:rsid w:val="66434647"/>
    <w:rsid w:val="69740CE0"/>
    <w:rsid w:val="7530282A"/>
    <w:rsid w:val="7637ED0C"/>
    <w:rsid w:val="76FA8131"/>
    <w:rsid w:val="785C0BFC"/>
    <w:rsid w:val="7AECBE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CA003"/>
  <w15:docId w15:val="{4742C8C7-5575-4DBE-8791-6B9D22BA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AD"/>
    <w:pPr>
      <w:spacing w:after="0" w:line="240" w:lineRule="auto"/>
      <w:contextualSpacing/>
      <w:jc w:val="both"/>
    </w:pPr>
    <w:rPr>
      <w:rFonts w:ascii="Open Sans" w:hAnsi="Open Sans"/>
      <w:sz w:val="18"/>
    </w:rPr>
  </w:style>
  <w:style w:type="paragraph" w:styleId="Heading1">
    <w:name w:val="heading 1"/>
    <w:basedOn w:val="Normal"/>
    <w:next w:val="Normal"/>
    <w:link w:val="Heading1Char"/>
    <w:uiPriority w:val="9"/>
    <w:qFormat/>
    <w:rsid w:val="00A4518A"/>
    <w:pPr>
      <w:keepNext/>
      <w:keepLines/>
      <w:numPr>
        <w:numId w:val="9"/>
      </w:numPr>
      <w:spacing w:before="240" w:after="240"/>
      <w:jc w:val="left"/>
      <w:outlineLvl w:val="0"/>
    </w:pPr>
    <w:rPr>
      <w:rFonts w:eastAsiaTheme="majorEastAsia" w:cstheme="majorBidi"/>
      <w:b/>
      <w:bCs/>
      <w:color w:val="4472C4" w:themeColor="accent1"/>
      <w:spacing w:val="20"/>
      <w:sz w:val="22"/>
      <w:szCs w:val="28"/>
    </w:rPr>
  </w:style>
  <w:style w:type="paragraph" w:styleId="Heading2">
    <w:name w:val="heading 2"/>
    <w:basedOn w:val="Normal"/>
    <w:next w:val="Normal"/>
    <w:link w:val="Heading2Char"/>
    <w:uiPriority w:val="9"/>
    <w:unhideWhenUsed/>
    <w:qFormat/>
    <w:rsid w:val="00A704DE"/>
    <w:pPr>
      <w:keepNext/>
      <w:keepLines/>
      <w:numPr>
        <w:ilvl w:val="1"/>
        <w:numId w:val="9"/>
      </w:numPr>
      <w:spacing w:before="240" w:after="240"/>
      <w:ind w:left="425"/>
      <w:jc w:val="left"/>
      <w:outlineLvl w:val="1"/>
    </w:pPr>
    <w:rPr>
      <w:rFonts w:eastAsiaTheme="majorEastAsia" w:cstheme="majorBidi"/>
      <w:b/>
      <w:bCs/>
      <w:color w:val="4472C4" w:themeColor="accent1"/>
      <w:sz w:val="22"/>
      <w:szCs w:val="26"/>
    </w:rPr>
  </w:style>
  <w:style w:type="paragraph" w:styleId="Heading3">
    <w:name w:val="heading 3"/>
    <w:basedOn w:val="Normal"/>
    <w:next w:val="Normal"/>
    <w:link w:val="Heading3Char"/>
    <w:uiPriority w:val="9"/>
    <w:unhideWhenUsed/>
    <w:qFormat/>
    <w:rsid w:val="00A4518A"/>
    <w:pPr>
      <w:keepNext/>
      <w:keepLines/>
      <w:numPr>
        <w:ilvl w:val="2"/>
        <w:numId w:val="9"/>
      </w:numPr>
      <w:spacing w:before="240" w:after="240"/>
      <w:jc w:val="left"/>
      <w:outlineLvl w:val="2"/>
    </w:pPr>
    <w:rPr>
      <w:rFonts w:eastAsiaTheme="majorEastAsia" w:cstheme="majorBidi"/>
      <w:bCs/>
      <w:color w:val="336666"/>
      <w:spacing w:val="14"/>
      <w:sz w:val="20"/>
    </w:rPr>
  </w:style>
  <w:style w:type="paragraph" w:styleId="Heading4">
    <w:name w:val="heading 4"/>
    <w:basedOn w:val="Normal"/>
    <w:next w:val="Normal"/>
    <w:link w:val="Heading4Char"/>
    <w:uiPriority w:val="9"/>
    <w:unhideWhenUsed/>
    <w:qFormat/>
    <w:rsid w:val="0099578F"/>
    <w:pPr>
      <w:keepNext/>
      <w:keepLines/>
      <w:numPr>
        <w:ilvl w:val="3"/>
        <w:numId w:val="9"/>
      </w:numPr>
      <w:spacing w:before="60" w:after="120"/>
      <w:outlineLvl w:val="3"/>
    </w:pPr>
    <w:rPr>
      <w:rFonts w:eastAsiaTheme="majorEastAsia" w:cstheme="majorBidi"/>
      <w:b/>
      <w:bCs/>
      <w:i/>
      <w:iCs/>
      <w:color w:val="4472C4" w:themeColor="accent1"/>
      <w:sz w:val="24"/>
    </w:rPr>
  </w:style>
  <w:style w:type="paragraph" w:styleId="Heading5">
    <w:name w:val="heading 5"/>
    <w:basedOn w:val="Normal"/>
    <w:next w:val="Normal"/>
    <w:link w:val="Heading5Char"/>
    <w:uiPriority w:val="9"/>
    <w:unhideWhenUsed/>
    <w:qFormat/>
    <w:rsid w:val="008378DD"/>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unhideWhenUsed/>
    <w:qFormat/>
    <w:rsid w:val="00004937"/>
    <w:pPr>
      <w:keepNext/>
      <w:keepLines/>
      <w:outlineLvl w:val="5"/>
    </w:pPr>
    <w:rPr>
      <w:rFonts w:eastAsiaTheme="majorEastAsia" w:cstheme="majorBidi"/>
      <w:iCs/>
      <w:color w:val="4472C4" w:themeColor="accent1"/>
    </w:rPr>
  </w:style>
  <w:style w:type="paragraph" w:styleId="Heading7">
    <w:name w:val="heading 7"/>
    <w:basedOn w:val="Normal"/>
    <w:next w:val="Normal"/>
    <w:link w:val="Heading7Char"/>
    <w:uiPriority w:val="9"/>
    <w:unhideWhenUsed/>
    <w:qFormat/>
    <w:rsid w:val="008378DD"/>
    <w:pPr>
      <w:keepNext/>
      <w:keepLines/>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unhideWhenUsed/>
    <w:qFormat/>
    <w:rsid w:val="008378DD"/>
    <w:pPr>
      <w:keepNext/>
      <w:keepLines/>
      <w:spacing w:before="200"/>
      <w:outlineLvl w:val="7"/>
    </w:pPr>
    <w:rPr>
      <w:rFonts w:asciiTheme="majorHAnsi" w:eastAsiaTheme="majorEastAsia" w:hAnsiTheme="majorHAnsi" w:cstheme="majorBidi"/>
      <w:color w:val="000000"/>
      <w:szCs w:val="20"/>
    </w:rPr>
  </w:style>
  <w:style w:type="paragraph" w:styleId="Heading9">
    <w:name w:val="heading 9"/>
    <w:basedOn w:val="Normal"/>
    <w:next w:val="Normal"/>
    <w:link w:val="Heading9Char"/>
    <w:uiPriority w:val="9"/>
    <w:unhideWhenUsed/>
    <w:qFormat/>
    <w:rsid w:val="008378DD"/>
    <w:pPr>
      <w:keepNext/>
      <w:keepLines/>
      <w:spacing w:before="200"/>
      <w:outlineLvl w:val="8"/>
    </w:pPr>
    <w:rPr>
      <w:rFonts w:asciiTheme="majorHAnsi" w:eastAsiaTheme="majorEastAsia" w:hAnsiTheme="majorHAnsi"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rPr>
  </w:style>
  <w:style w:type="paragraph" w:customStyle="1" w:styleId="Normal-SpaceAfter">
    <w:name w:val="Normal - Space After"/>
    <w:basedOn w:val="Normal"/>
    <w:pPr>
      <w:spacing w:after="1200"/>
    </w:pPr>
    <w:rPr>
      <w:noProof/>
    </w:rPr>
  </w:style>
  <w:style w:type="paragraph" w:customStyle="1" w:styleId="CoverLogo">
    <w:name w:val="Cover Logo"/>
    <w:basedOn w:val="Normal"/>
    <w:pPr>
      <w:pBdr>
        <w:bottom w:val="dashSmallGap" w:sz="4" w:space="15" w:color="BFBFBF" w:themeColor="background1" w:themeShade="BF"/>
      </w:pBdr>
      <w:spacing w:before="2000" w:after="1000"/>
      <w:ind w:left="864" w:right="864"/>
      <w:jc w:val="center"/>
    </w:pPr>
  </w:style>
  <w:style w:type="paragraph" w:styleId="Title">
    <w:name w:val="Title"/>
    <w:basedOn w:val="Normal"/>
    <w:next w:val="Normal"/>
    <w:link w:val="TitleChar"/>
    <w:uiPriority w:val="10"/>
    <w:qFormat/>
    <w:rsid w:val="008378DD"/>
    <w:pPr>
      <w:spacing w:after="120"/>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8378DD"/>
    <w:rPr>
      <w:rFonts w:asciiTheme="majorHAnsi" w:eastAsiaTheme="majorEastAsia" w:hAnsiTheme="majorHAnsi" w:cstheme="majorBidi"/>
      <w:color w:val="44546A" w:themeColor="text2"/>
      <w:spacing w:val="30"/>
      <w:kern w:val="28"/>
      <w:sz w:val="96"/>
      <w:szCs w:val="52"/>
    </w:rPr>
  </w:style>
  <w:style w:type="paragraph" w:styleId="Subtitle">
    <w:name w:val="Subtitle"/>
    <w:basedOn w:val="Normal"/>
    <w:next w:val="Normal"/>
    <w:link w:val="SubtitleChar"/>
    <w:uiPriority w:val="11"/>
    <w:qFormat/>
    <w:rsid w:val="008378DD"/>
    <w:pPr>
      <w:numPr>
        <w:ilvl w:val="1"/>
      </w:numPr>
    </w:pPr>
    <w:rPr>
      <w:rFonts w:eastAsiaTheme="majorEastAsia" w:cstheme="majorBidi"/>
      <w:iCs/>
      <w:color w:val="44546A" w:themeColor="text2"/>
      <w:sz w:val="40"/>
      <w:szCs w:val="24"/>
      <w:lang w:bidi="hi-IN"/>
    </w:rPr>
  </w:style>
  <w:style w:type="character" w:customStyle="1" w:styleId="SubtitleChar">
    <w:name w:val="Subtitle Char"/>
    <w:basedOn w:val="DefaultParagraphFont"/>
    <w:link w:val="Subtitle"/>
    <w:uiPriority w:val="11"/>
    <w:rsid w:val="008378DD"/>
    <w:rPr>
      <w:rFonts w:eastAsiaTheme="majorEastAsia" w:cstheme="majorBidi"/>
      <w:iCs/>
      <w:color w:val="44546A" w:themeColor="text2"/>
      <w:sz w:val="40"/>
      <w:szCs w:val="24"/>
      <w:lang w:bidi="hi-IN"/>
    </w:rPr>
  </w:style>
  <w:style w:type="paragraph" w:customStyle="1" w:styleId="CompanyInfo">
    <w:name w:val="Company Info"/>
    <w:basedOn w:val="Normal"/>
    <w:pPr>
      <w:spacing w:before="300" w:line="360" w:lineRule="auto"/>
      <w:jc w:val="center"/>
    </w:pPr>
    <w:rPr>
      <w:color w:val="7F7F7F" w:themeColor="text1" w:themeTint="80"/>
      <w:szCs w:val="18"/>
      <w14:numForm w14:val="lining"/>
    </w:rPr>
  </w:style>
  <w:style w:type="character" w:styleId="Strong">
    <w:name w:val="Strong"/>
    <w:basedOn w:val="DefaultParagraphFont"/>
    <w:uiPriority w:val="22"/>
    <w:qFormat/>
    <w:rsid w:val="008378DD"/>
    <w:rPr>
      <w:b w:val="0"/>
      <w:bCs/>
      <w:i/>
      <w:color w:val="44546A" w:themeColor="text2"/>
    </w:rPr>
  </w:style>
  <w:style w:type="table" w:styleId="TableGrid">
    <w:name w:val="Table Grid"/>
    <w:aliases w:val="VCA4D"/>
    <w:basedOn w:val="TableNormal"/>
    <w:uiPriority w:val="39"/>
    <w:rsid w:val="003E1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themeColor="background1"/>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themeColor="text1"/>
      </w:rPr>
    </w:tblStyle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595959" w:themeColor="text1" w:themeTint="A6"/>
      <w:sz w:val="18"/>
    </w:rPr>
  </w:style>
  <w:style w:type="paragraph" w:styleId="Footer">
    <w:name w:val="footer"/>
    <w:basedOn w:val="Normal"/>
    <w:link w:val="FooterChar"/>
    <w:uiPriority w:val="99"/>
    <w:unhideWhenUsed/>
    <w:pPr>
      <w:spacing w:after="60"/>
    </w:pPr>
    <w:rPr>
      <w:i/>
      <w:color w:val="A6A6A6" w:themeColor="background1" w:themeShade="A6"/>
      <w:sz w:val="16"/>
      <w:szCs w:val="16"/>
    </w:rPr>
  </w:style>
  <w:style w:type="character" w:customStyle="1" w:styleId="FooterChar">
    <w:name w:val="Footer Char"/>
    <w:basedOn w:val="DefaultParagraphFont"/>
    <w:link w:val="Footer"/>
    <w:uiPriority w:val="99"/>
    <w:rPr>
      <w:i/>
      <w:color w:val="A6A6A6" w:themeColor="background1" w:themeShade="A6"/>
      <w:sz w:val="16"/>
      <w:szCs w:val="16"/>
    </w:rPr>
  </w:style>
  <w:style w:type="character" w:styleId="PageNumber">
    <w:name w:val="page number"/>
    <w:basedOn w:val="DefaultParagraphFont"/>
    <w:uiPriority w:val="99"/>
    <w:rPr>
      <w:rFonts w:asciiTheme="majorHAnsi" w:hAnsiTheme="majorHAnsi"/>
      <w:color w:val="4472C4" w:themeColor="accent1"/>
      <w:sz w:val="20"/>
    </w:rPr>
  </w:style>
  <w:style w:type="character" w:customStyle="1" w:styleId="Heading1Char">
    <w:name w:val="Heading 1 Char"/>
    <w:basedOn w:val="DefaultParagraphFont"/>
    <w:link w:val="Heading1"/>
    <w:uiPriority w:val="9"/>
    <w:rsid w:val="00A4518A"/>
    <w:rPr>
      <w:rFonts w:ascii="Open Sans" w:eastAsiaTheme="majorEastAsia" w:hAnsi="Open Sans" w:cstheme="majorBidi"/>
      <w:b/>
      <w:bCs/>
      <w:color w:val="4472C4" w:themeColor="accent1"/>
      <w:spacing w:val="20"/>
      <w:szCs w:val="28"/>
    </w:rPr>
  </w:style>
  <w:style w:type="paragraph" w:styleId="NoSpacing">
    <w:name w:val="No Spacing"/>
    <w:link w:val="NoSpacingChar"/>
    <w:uiPriority w:val="1"/>
    <w:qFormat/>
    <w:rsid w:val="008378DD"/>
    <w:pPr>
      <w:spacing w:after="0" w:line="240" w:lineRule="auto"/>
    </w:pPr>
  </w:style>
  <w:style w:type="character" w:customStyle="1" w:styleId="Heading2Char">
    <w:name w:val="Heading 2 Char"/>
    <w:basedOn w:val="DefaultParagraphFont"/>
    <w:link w:val="Heading2"/>
    <w:uiPriority w:val="9"/>
    <w:rsid w:val="00A704DE"/>
    <w:rPr>
      <w:rFonts w:ascii="Open Sans" w:eastAsiaTheme="majorEastAsia" w:hAnsi="Open Sans" w:cstheme="majorBidi"/>
      <w:b/>
      <w:bCs/>
      <w:color w:val="4472C4" w:themeColor="accent1"/>
      <w:szCs w:val="26"/>
    </w:rPr>
  </w:style>
  <w:style w:type="character" w:customStyle="1" w:styleId="Heading5Char">
    <w:name w:val="Heading 5 Char"/>
    <w:basedOn w:val="DefaultParagraphFont"/>
    <w:link w:val="Heading5"/>
    <w:uiPriority w:val="9"/>
    <w:rsid w:val="008378DD"/>
    <w:rPr>
      <w:rFonts w:asciiTheme="majorHAnsi" w:eastAsiaTheme="majorEastAsia" w:hAnsiTheme="majorHAnsi" w:cstheme="majorBidi"/>
      <w:color w:val="000000"/>
    </w:rPr>
  </w:style>
  <w:style w:type="paragraph" w:customStyle="1" w:styleId="SidebarText">
    <w:name w:val="Sidebar Text"/>
    <w:basedOn w:val="Normal"/>
    <w:pPr>
      <w:spacing w:before="40" w:after="120"/>
      <w:ind w:left="360"/>
    </w:pPr>
    <w:rPr>
      <w:color w:val="404040" w:themeColor="text1" w:themeTint="BF"/>
      <w:sz w:val="16"/>
      <w:szCs w:val="16"/>
    </w:rPr>
  </w:style>
  <w:style w:type="paragraph" w:styleId="ListBullet">
    <w:name w:val="List Bullet"/>
    <w:basedOn w:val="Normal"/>
    <w:pPr>
      <w:numPr>
        <w:numId w:val="1"/>
      </w:numPr>
      <w:spacing w:before="100"/>
      <w:ind w:left="360" w:hanging="288"/>
    </w:pPr>
    <w:rPr>
      <w:caps/>
    </w:rPr>
  </w:style>
  <w:style w:type="paragraph" w:customStyle="1" w:styleId="ListBulletNegative">
    <w:name w:val="List Bullet Negative"/>
    <w:basedOn w:val="Normal"/>
    <w:pPr>
      <w:numPr>
        <w:numId w:val="3"/>
      </w:numPr>
      <w:spacing w:before="100"/>
      <w:ind w:left="360" w:hanging="288"/>
    </w:pPr>
    <w:rPr>
      <w:caps/>
    </w:rPr>
  </w:style>
  <w:style w:type="character" w:customStyle="1" w:styleId="Heading3Char">
    <w:name w:val="Heading 3 Char"/>
    <w:basedOn w:val="DefaultParagraphFont"/>
    <w:link w:val="Heading3"/>
    <w:uiPriority w:val="9"/>
    <w:rsid w:val="00A4518A"/>
    <w:rPr>
      <w:rFonts w:ascii="Open Sans" w:eastAsiaTheme="majorEastAsia" w:hAnsi="Open Sans" w:cstheme="majorBidi"/>
      <w:bCs/>
      <w:color w:val="336666"/>
      <w:spacing w:val="14"/>
      <w:sz w:val="20"/>
    </w:rPr>
  </w:style>
  <w:style w:type="paragraph" w:styleId="ListBullet2">
    <w:name w:val="List Bullet 2"/>
    <w:basedOn w:val="Normal"/>
    <w:uiPriority w:val="99"/>
    <w:semiHidden/>
    <w:pPr>
      <w:numPr>
        <w:numId w:val="2"/>
      </w:numPr>
    </w:pPr>
  </w:style>
  <w:style w:type="character" w:customStyle="1" w:styleId="Heading6Char">
    <w:name w:val="Heading 6 Char"/>
    <w:basedOn w:val="DefaultParagraphFont"/>
    <w:link w:val="Heading6"/>
    <w:uiPriority w:val="9"/>
    <w:rsid w:val="00004937"/>
    <w:rPr>
      <w:rFonts w:ascii="Open Sans" w:eastAsiaTheme="majorEastAsia" w:hAnsi="Open Sans" w:cstheme="majorBidi"/>
      <w:iCs/>
      <w:color w:val="4472C4" w:themeColor="accent1"/>
    </w:rPr>
  </w:style>
  <w:style w:type="paragraph" w:customStyle="1" w:styleId="TableText">
    <w:name w:val="Table Text"/>
    <w:basedOn w:val="Normal"/>
    <w:pPr>
      <w:spacing w:before="40" w:after="40"/>
    </w:pPr>
    <w:rPr>
      <w:color w:val="7F7F7F" w:themeColor="text1" w:themeTint="80"/>
      <w:sz w:val="16"/>
      <w:szCs w:val="16"/>
    </w:rPr>
  </w:style>
  <w:style w:type="paragraph" w:customStyle="1" w:styleId="TableRowHeading">
    <w:name w:val="Table Row Heading"/>
    <w:basedOn w:val="Normal"/>
    <w:pPr>
      <w:spacing w:before="40" w:after="40"/>
    </w:pPr>
    <w:rPr>
      <w:rFonts w:asciiTheme="majorHAnsi" w:hAnsiTheme="majorHAnsi"/>
      <w:caps/>
      <w:color w:val="7F7F7F" w:themeColor="text1" w:themeTint="80"/>
      <w:sz w:val="16"/>
      <w:szCs w:val="16"/>
    </w:rPr>
  </w:style>
  <w:style w:type="character" w:styleId="Hyperlink">
    <w:name w:val="Hyperlink"/>
    <w:basedOn w:val="DefaultParagraphFont"/>
    <w:uiPriority w:val="99"/>
    <w:unhideWhenUsed/>
    <w:rsid w:val="00096C8B"/>
    <w:rPr>
      <w:rFonts w:ascii="Open Sans" w:hAnsi="Open Sans"/>
      <w:i/>
      <w:color w:val="0563C1" w:themeColor="hyperlink"/>
      <w:sz w:val="20"/>
      <w:u w:val="single"/>
    </w:rPr>
  </w:style>
  <w:style w:type="paragraph" w:styleId="TOC1">
    <w:name w:val="toc 1"/>
    <w:basedOn w:val="Normal"/>
    <w:next w:val="Normal"/>
    <w:autoRedefine/>
    <w:uiPriority w:val="39"/>
    <w:unhideWhenUsed/>
    <w:qFormat/>
    <w:rsid w:val="00C81B6A"/>
    <w:pPr>
      <w:spacing w:before="120" w:after="120"/>
      <w:jc w:val="left"/>
    </w:pPr>
    <w:rPr>
      <w:rFonts w:asciiTheme="minorHAnsi" w:hAnsiTheme="minorHAnsi"/>
      <w:b/>
      <w:bCs/>
      <w:caps/>
      <w:szCs w:val="20"/>
    </w:rPr>
  </w:style>
  <w:style w:type="paragraph" w:styleId="TOC2">
    <w:name w:val="toc 2"/>
    <w:basedOn w:val="Normal"/>
    <w:next w:val="Normal"/>
    <w:autoRedefine/>
    <w:uiPriority w:val="39"/>
    <w:unhideWhenUsed/>
    <w:qFormat/>
    <w:rsid w:val="00B34007"/>
    <w:pPr>
      <w:ind w:left="220"/>
      <w:jc w:val="left"/>
    </w:pPr>
    <w:rPr>
      <w:rFonts w:asciiTheme="minorHAnsi" w:hAnsiTheme="minorHAnsi"/>
      <w:smallCaps/>
      <w:szCs w:val="20"/>
    </w:rPr>
  </w:style>
  <w:style w:type="paragraph" w:styleId="TOC3">
    <w:name w:val="toc 3"/>
    <w:basedOn w:val="Normal"/>
    <w:next w:val="Normal"/>
    <w:autoRedefine/>
    <w:uiPriority w:val="39"/>
    <w:unhideWhenUsed/>
    <w:qFormat/>
    <w:rsid w:val="003E1F42"/>
    <w:pPr>
      <w:ind w:left="440"/>
      <w:jc w:val="left"/>
    </w:pPr>
    <w:rPr>
      <w:rFonts w:asciiTheme="minorHAnsi" w:hAnsiTheme="minorHAnsi"/>
      <w:i/>
      <w:iCs/>
      <w:szCs w:val="20"/>
    </w:rPr>
  </w:style>
  <w:style w:type="paragraph" w:customStyle="1" w:styleId="ReportName">
    <w:name w:val="Report Name"/>
    <w:basedOn w:val="Normal"/>
    <w:pPr>
      <w:spacing w:after="40"/>
      <w:jc w:val="right"/>
    </w:pPr>
    <w:rPr>
      <w:rFonts w:asciiTheme="majorHAnsi" w:hAnsiTheme="majorHAnsi"/>
      <w:color w:val="404040" w:themeColor="text1" w:themeTint="BF"/>
    </w:rPr>
  </w:style>
  <w:style w:type="character" w:styleId="PlaceholderText">
    <w:name w:val="Placeholder Text"/>
    <w:basedOn w:val="DefaultParagraphFont"/>
    <w:uiPriority w:val="99"/>
    <w:semiHidden/>
    <w:rPr>
      <w:color w:val="808080"/>
    </w:rPr>
  </w:style>
  <w:style w:type="paragraph" w:styleId="TOCHeading">
    <w:name w:val="TOC Heading"/>
    <w:basedOn w:val="Heading1"/>
    <w:next w:val="Normal"/>
    <w:uiPriority w:val="39"/>
    <w:unhideWhenUsed/>
    <w:qFormat/>
    <w:rsid w:val="00863C33"/>
    <w:pPr>
      <w:spacing w:before="480" w:line="264" w:lineRule="auto"/>
      <w:outlineLvl w:val="9"/>
    </w:pPr>
  </w:style>
  <w:style w:type="character" w:customStyle="1" w:styleId="Heading4Char">
    <w:name w:val="Heading 4 Char"/>
    <w:basedOn w:val="DefaultParagraphFont"/>
    <w:link w:val="Heading4"/>
    <w:uiPriority w:val="9"/>
    <w:rsid w:val="0099578F"/>
    <w:rPr>
      <w:rFonts w:ascii="Open Sans" w:eastAsiaTheme="majorEastAsia" w:hAnsi="Open Sans" w:cstheme="majorBidi"/>
      <w:b/>
      <w:bCs/>
      <w:i/>
      <w:iCs/>
      <w:color w:val="4472C4" w:themeColor="accent1"/>
      <w:sz w:val="24"/>
    </w:rPr>
  </w:style>
  <w:style w:type="paragraph" w:customStyle="1" w:styleId="TableText-Center">
    <w:name w:val="Table Text - Center"/>
    <w:basedOn w:val="TableText"/>
    <w:pPr>
      <w:jc w:val="center"/>
    </w:pPr>
  </w:style>
  <w:style w:type="table" w:customStyle="1" w:styleId="WB2">
    <w:name w:val="WB2"/>
    <w:basedOn w:val="TableNormal"/>
    <w:uiPriority w:val="99"/>
    <w:pPr>
      <w:spacing w:after="0" w:line="240" w:lineRule="auto"/>
    </w:pPr>
    <w:tblPr>
      <w:tblStyleRowBandSize w:val="1"/>
      <w:tblBorders>
        <w:top w:val="single" w:sz="4" w:space="0" w:color="BFBFBF" w:themeColor="background1" w:themeShade="BF"/>
        <w:insideH w:val="single" w:sz="4" w:space="0" w:color="BFBFBF" w:themeColor="background1" w:themeShade="BF"/>
      </w:tblBorders>
    </w:tblPr>
    <w:tblStylePr w:type="lastRow">
      <w:tblPr/>
      <w:tcPr>
        <w:tcBorders>
          <w:bottom w:val="nil"/>
        </w:tcBorders>
      </w:tcPr>
    </w:tblStylePr>
    <w:tblStylePr w:type="band2Horz">
      <w:tblPr/>
      <w:tcPr>
        <w:shd w:val="clear" w:color="auto" w:fill="F2F2F2" w:themeFill="background1" w:themeFillShade="F2"/>
      </w:tcPr>
    </w:tblStylePr>
  </w:style>
  <w:style w:type="table" w:customStyle="1" w:styleId="WB1">
    <w:name w:val="WB1"/>
    <w:basedOn w:val="TableNormal"/>
    <w:uiPriority w:val="99"/>
    <w:pPr>
      <w:spacing w:after="0" w:line="240" w:lineRule="auto"/>
    </w:pPr>
    <w:tblPr>
      <w:tblBorders>
        <w:top w:val="single" w:sz="4" w:space="0" w:color="BFBFBF" w:themeColor="background1" w:themeShade="BF"/>
        <w:insideH w:val="single" w:sz="4" w:space="0" w:color="BFBFBF" w:themeColor="background1" w:themeShade="BF"/>
      </w:tblBorders>
      <w:tblCellMar>
        <w:left w:w="0" w:type="dxa"/>
        <w:right w:w="0" w:type="dxa"/>
      </w:tblCellMar>
    </w:tblPr>
    <w:tcPr>
      <w:vAlign w:val="center"/>
    </w:tcPr>
  </w:style>
  <w:style w:type="paragraph" w:customStyle="1" w:styleId="Notice">
    <w:name w:val="Notice"/>
    <w:basedOn w:val="Normal"/>
    <w:pPr>
      <w:spacing w:before="360"/>
    </w:pPr>
    <w:rPr>
      <w:i/>
      <w:color w:val="808080" w:themeColor="background1" w:themeShade="80"/>
      <w:sz w:val="16"/>
      <w:szCs w:val="16"/>
    </w:rPr>
  </w:style>
  <w:style w:type="character" w:customStyle="1" w:styleId="Heading7Char">
    <w:name w:val="Heading 7 Char"/>
    <w:basedOn w:val="DefaultParagraphFont"/>
    <w:link w:val="Heading7"/>
    <w:uiPriority w:val="9"/>
    <w:rsid w:val="008378DD"/>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8378D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8378DD"/>
    <w:rPr>
      <w:rFonts w:asciiTheme="majorHAnsi" w:eastAsiaTheme="majorEastAsia" w:hAnsiTheme="majorHAnsi" w:cstheme="majorBidi"/>
      <w:i/>
      <w:iCs/>
      <w:color w:val="000000"/>
      <w:sz w:val="20"/>
      <w:szCs w:val="20"/>
    </w:rPr>
  </w:style>
  <w:style w:type="paragraph" w:styleId="Caption">
    <w:name w:val="caption"/>
    <w:basedOn w:val="Normal"/>
    <w:next w:val="Normal"/>
    <w:uiPriority w:val="35"/>
    <w:unhideWhenUsed/>
    <w:qFormat/>
    <w:rsid w:val="003A4575"/>
    <w:pPr>
      <w:jc w:val="left"/>
    </w:pPr>
    <w:rPr>
      <w:rFonts w:eastAsiaTheme="minorEastAsia"/>
      <w:bCs/>
      <w:smallCaps/>
      <w:spacing w:val="6"/>
      <w:sz w:val="20"/>
      <w:szCs w:val="18"/>
      <w:lang w:bidi="hi-IN"/>
    </w:rPr>
  </w:style>
  <w:style w:type="character" w:styleId="Emphasis">
    <w:name w:val="Emphasis"/>
    <w:basedOn w:val="DefaultParagraphFont"/>
    <w:uiPriority w:val="20"/>
    <w:qFormat/>
    <w:rsid w:val="008378DD"/>
    <w:rPr>
      <w:b/>
      <w:i/>
      <w:iCs/>
    </w:rPr>
  </w:style>
  <w:style w:type="character" w:customStyle="1" w:styleId="NoSpacingChar">
    <w:name w:val="No Spacing Char"/>
    <w:basedOn w:val="DefaultParagraphFont"/>
    <w:link w:val="NoSpacing"/>
    <w:uiPriority w:val="1"/>
    <w:rsid w:val="008378DD"/>
  </w:style>
  <w:style w:type="paragraph" w:styleId="ListParagraph">
    <w:name w:val="List Paragraph"/>
    <w:aliases w:val="List Paragraph (numbered (a)),heading 6,List Paragraph1,Bullets"/>
    <w:basedOn w:val="Normal"/>
    <w:link w:val="ListParagraphChar"/>
    <w:uiPriority w:val="34"/>
    <w:qFormat/>
    <w:rsid w:val="008378DD"/>
    <w:pPr>
      <w:ind w:left="720" w:hanging="288"/>
    </w:pPr>
    <w:rPr>
      <w:color w:val="44546A" w:themeColor="text2"/>
    </w:rPr>
  </w:style>
  <w:style w:type="paragraph" w:styleId="Quote">
    <w:name w:val="Quote"/>
    <w:basedOn w:val="Normal"/>
    <w:next w:val="Normal"/>
    <w:link w:val="QuoteChar"/>
    <w:uiPriority w:val="29"/>
    <w:qFormat/>
    <w:rsid w:val="008378DD"/>
    <w:pPr>
      <w:spacing w:line="360" w:lineRule="auto"/>
      <w:jc w:val="center"/>
    </w:pPr>
    <w:rPr>
      <w:rFonts w:eastAsiaTheme="minorEastAsia"/>
      <w:b/>
      <w:i/>
      <w:iCs/>
      <w:color w:val="4472C4" w:themeColor="accent1"/>
      <w:sz w:val="26"/>
      <w:lang w:bidi="hi-IN"/>
    </w:rPr>
  </w:style>
  <w:style w:type="character" w:customStyle="1" w:styleId="QuoteChar">
    <w:name w:val="Quote Char"/>
    <w:basedOn w:val="DefaultParagraphFont"/>
    <w:link w:val="Quote"/>
    <w:uiPriority w:val="29"/>
    <w:rsid w:val="008378DD"/>
    <w:rPr>
      <w:rFonts w:eastAsiaTheme="minorEastAsia"/>
      <w:b/>
      <w:i/>
      <w:iCs/>
      <w:color w:val="4472C4" w:themeColor="accent1"/>
      <w:sz w:val="26"/>
      <w:lang w:bidi="hi-IN"/>
    </w:rPr>
  </w:style>
  <w:style w:type="paragraph" w:styleId="IntenseQuote">
    <w:name w:val="Intense Quote"/>
    <w:basedOn w:val="Normal"/>
    <w:next w:val="Normal"/>
    <w:link w:val="IntenseQuoteChar"/>
    <w:uiPriority w:val="30"/>
    <w:qFormat/>
    <w:rsid w:val="008378DD"/>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8378DD"/>
    <w:rPr>
      <w:rFonts w:asciiTheme="majorHAnsi" w:eastAsiaTheme="minorEastAsia" w:hAnsiTheme="majorHAnsi"/>
      <w:bCs/>
      <w:iCs/>
      <w:color w:val="FFFFFF" w:themeColor="background1"/>
      <w:sz w:val="28"/>
      <w:shd w:val="clear" w:color="auto" w:fill="4472C4" w:themeFill="accent1"/>
      <w:lang w:bidi="hi-IN"/>
    </w:rPr>
  </w:style>
  <w:style w:type="character" w:styleId="SubtleEmphasis">
    <w:name w:val="Subtle Emphasis"/>
    <w:basedOn w:val="DefaultParagraphFont"/>
    <w:uiPriority w:val="19"/>
    <w:qFormat/>
    <w:rsid w:val="008378DD"/>
    <w:rPr>
      <w:i/>
      <w:iCs/>
      <w:color w:val="000000"/>
    </w:rPr>
  </w:style>
  <w:style w:type="character" w:styleId="IntenseEmphasis">
    <w:name w:val="Intense Emphasis"/>
    <w:basedOn w:val="DefaultParagraphFont"/>
    <w:uiPriority w:val="21"/>
    <w:qFormat/>
    <w:rsid w:val="00253B4F"/>
    <w:rPr>
      <w:b/>
      <w:bCs/>
      <w:i w:val="0"/>
      <w:iCs/>
      <w:color w:val="4472C4" w:themeColor="accent1"/>
      <w:sz w:val="20"/>
    </w:rPr>
  </w:style>
  <w:style w:type="character" w:styleId="SubtleReference">
    <w:name w:val="Subtle Reference"/>
    <w:basedOn w:val="DefaultParagraphFont"/>
    <w:uiPriority w:val="31"/>
    <w:qFormat/>
    <w:rsid w:val="008378DD"/>
    <w:rPr>
      <w:smallCaps/>
      <w:color w:val="000000"/>
      <w:u w:val="single"/>
    </w:rPr>
  </w:style>
  <w:style w:type="character" w:styleId="IntenseReference">
    <w:name w:val="Intense Reference"/>
    <w:basedOn w:val="DefaultParagraphFont"/>
    <w:uiPriority w:val="32"/>
    <w:qFormat/>
    <w:rsid w:val="008378DD"/>
    <w:rPr>
      <w:b w:val="0"/>
      <w:bCs/>
      <w:smallCaps/>
      <w:color w:val="4472C4" w:themeColor="accent1"/>
      <w:spacing w:val="5"/>
      <w:u w:val="single"/>
    </w:rPr>
  </w:style>
  <w:style w:type="character" w:styleId="BookTitle">
    <w:name w:val="Book Title"/>
    <w:basedOn w:val="DefaultParagraphFont"/>
    <w:uiPriority w:val="33"/>
    <w:qFormat/>
    <w:rsid w:val="008378DD"/>
    <w:rPr>
      <w:b/>
      <w:bCs/>
      <w:caps/>
      <w:smallCaps w:val="0"/>
      <w:color w:val="44546A" w:themeColor="text2"/>
      <w:spacing w:val="10"/>
    </w:rPr>
  </w:style>
  <w:style w:type="paragraph" w:styleId="NormalWeb">
    <w:name w:val="Normal (Web)"/>
    <w:basedOn w:val="Normal"/>
    <w:uiPriority w:val="99"/>
    <w:unhideWhenUsed/>
    <w:rsid w:val="00522232"/>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alpubmonth1">
    <w:name w:val="calpubmonth1"/>
    <w:basedOn w:val="DefaultParagraphFont"/>
    <w:rsid w:val="00522232"/>
    <w:rPr>
      <w:b/>
      <w:bCs/>
      <w:caps/>
      <w:vanish w:val="0"/>
      <w:webHidden w:val="0"/>
      <w:color w:val="FFFFFF"/>
      <w:sz w:val="17"/>
      <w:szCs w:val="17"/>
      <w:shd w:val="clear" w:color="auto" w:fill="990000"/>
      <w:specVanish w:val="0"/>
    </w:rPr>
  </w:style>
  <w:style w:type="character" w:customStyle="1" w:styleId="calpubdate1">
    <w:name w:val="calpubdate1"/>
    <w:basedOn w:val="DefaultParagraphFont"/>
    <w:rsid w:val="00522232"/>
    <w:rPr>
      <w:vanish w:val="0"/>
      <w:webHidden w:val="0"/>
      <w:sz w:val="26"/>
      <w:szCs w:val="26"/>
      <w:specVanish w:val="0"/>
    </w:rPr>
  </w:style>
  <w:style w:type="paragraph" w:styleId="FootnoteText">
    <w:name w:val="footnote text"/>
    <w:basedOn w:val="Normal"/>
    <w:link w:val="FootnoteTextChar"/>
    <w:uiPriority w:val="99"/>
    <w:unhideWhenUsed/>
    <w:rsid w:val="00522232"/>
    <w:rPr>
      <w:rFonts w:asciiTheme="minorHAnsi" w:hAnsiTheme="minorHAnsi"/>
      <w:szCs w:val="20"/>
      <w:lang w:val="en-GB"/>
    </w:rPr>
  </w:style>
  <w:style w:type="character" w:customStyle="1" w:styleId="FootnoteTextChar">
    <w:name w:val="Footnote Text Char"/>
    <w:basedOn w:val="DefaultParagraphFont"/>
    <w:link w:val="FootnoteText"/>
    <w:uiPriority w:val="99"/>
    <w:rsid w:val="00522232"/>
    <w:rPr>
      <w:sz w:val="20"/>
      <w:szCs w:val="20"/>
      <w:lang w:val="en-GB"/>
    </w:rPr>
  </w:style>
  <w:style w:type="character" w:styleId="FootnoteReference">
    <w:name w:val="footnote reference"/>
    <w:aliases w:val="ftref,note bp,Error-Fußnotenzeichen5,Error-Fußnotenzeichen6,Error-Fußnotenzeichen3,4_G,Footnotes refss,Footnote Ref,16 Point,Superscript 6 Point,callout,Ref,de nota al pie,Footnote,Footnotes refss Char,Ref Char,FZ"/>
    <w:basedOn w:val="DefaultParagraphFont"/>
    <w:link w:val="FootnoteReferenceNumber"/>
    <w:uiPriority w:val="99"/>
    <w:unhideWhenUsed/>
    <w:qFormat/>
    <w:rsid w:val="00522232"/>
    <w:rPr>
      <w:vertAlign w:val="superscript"/>
    </w:rPr>
  </w:style>
  <w:style w:type="character" w:customStyle="1" w:styleId="Normal1">
    <w:name w:val="Normal1"/>
    <w:basedOn w:val="DefaultParagraphFont"/>
    <w:rsid w:val="00522232"/>
  </w:style>
  <w:style w:type="paragraph" w:customStyle="1" w:styleId="normal10">
    <w:name w:val="normal1"/>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styleId="BodyText">
    <w:name w:val="Body Text"/>
    <w:basedOn w:val="Normal"/>
    <w:link w:val="BodyTextChar"/>
    <w:uiPriority w:val="99"/>
    <w:rsid w:val="00522232"/>
    <w:pPr>
      <w:spacing w:after="120"/>
    </w:pPr>
    <w:rPr>
      <w:rFonts w:ascii="Times New Roman" w:eastAsia="Times New Roman" w:hAnsi="Times New Roman" w:cs="Times New Roman"/>
      <w:szCs w:val="20"/>
      <w:lang w:val="en-GB" w:eastAsia="en-GB"/>
    </w:rPr>
  </w:style>
  <w:style w:type="character" w:customStyle="1" w:styleId="BodyTextChar">
    <w:name w:val="Body Text Char"/>
    <w:basedOn w:val="DefaultParagraphFont"/>
    <w:link w:val="BodyText"/>
    <w:uiPriority w:val="99"/>
    <w:rsid w:val="00522232"/>
    <w:rPr>
      <w:rFonts w:ascii="Times New Roman" w:eastAsia="Times New Roman" w:hAnsi="Times New Roman" w:cs="Times New Roman"/>
      <w:szCs w:val="20"/>
      <w:lang w:val="en-GB" w:eastAsia="en-GB"/>
    </w:rPr>
  </w:style>
  <w:style w:type="character" w:customStyle="1" w:styleId="category">
    <w:name w:val="category"/>
    <w:basedOn w:val="DefaultParagraphFont"/>
    <w:rsid w:val="00522232"/>
  </w:style>
  <w:style w:type="paragraph" w:customStyle="1" w:styleId="Default">
    <w:name w:val="Default"/>
    <w:rsid w:val="00522232"/>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CM33">
    <w:name w:val="CM33"/>
    <w:basedOn w:val="Default"/>
    <w:next w:val="Default"/>
    <w:uiPriority w:val="99"/>
    <w:rsid w:val="00522232"/>
    <w:rPr>
      <w:color w:val="auto"/>
    </w:rPr>
  </w:style>
  <w:style w:type="paragraph" w:customStyle="1" w:styleId="CM9">
    <w:name w:val="CM9"/>
    <w:basedOn w:val="Default"/>
    <w:next w:val="Default"/>
    <w:uiPriority w:val="99"/>
    <w:rsid w:val="00522232"/>
    <w:rPr>
      <w:color w:val="auto"/>
    </w:rPr>
  </w:style>
  <w:style w:type="paragraph" w:customStyle="1" w:styleId="CM159">
    <w:name w:val="CM159"/>
    <w:basedOn w:val="Default"/>
    <w:next w:val="Default"/>
    <w:uiPriority w:val="99"/>
    <w:rsid w:val="00522232"/>
    <w:rPr>
      <w:color w:val="auto"/>
    </w:rPr>
  </w:style>
  <w:style w:type="paragraph" w:customStyle="1" w:styleId="CM8">
    <w:name w:val="CM8"/>
    <w:basedOn w:val="Default"/>
    <w:next w:val="Default"/>
    <w:uiPriority w:val="99"/>
    <w:rsid w:val="00522232"/>
    <w:pPr>
      <w:spacing w:line="240" w:lineRule="atLeast"/>
    </w:pPr>
    <w:rPr>
      <w:color w:val="auto"/>
    </w:rPr>
  </w:style>
  <w:style w:type="paragraph" w:customStyle="1" w:styleId="CM164">
    <w:name w:val="CM164"/>
    <w:basedOn w:val="Default"/>
    <w:next w:val="Default"/>
    <w:uiPriority w:val="99"/>
    <w:rsid w:val="00522232"/>
    <w:rPr>
      <w:color w:val="auto"/>
    </w:rPr>
  </w:style>
  <w:style w:type="paragraph" w:customStyle="1" w:styleId="CM11">
    <w:name w:val="CM11"/>
    <w:basedOn w:val="Default"/>
    <w:next w:val="Default"/>
    <w:uiPriority w:val="99"/>
    <w:rsid w:val="00522232"/>
    <w:rPr>
      <w:color w:val="auto"/>
    </w:rPr>
  </w:style>
  <w:style w:type="paragraph" w:customStyle="1" w:styleId="CM163">
    <w:name w:val="CM163"/>
    <w:basedOn w:val="Default"/>
    <w:next w:val="Default"/>
    <w:uiPriority w:val="99"/>
    <w:rsid w:val="00522232"/>
    <w:rPr>
      <w:color w:val="auto"/>
    </w:rPr>
  </w:style>
  <w:style w:type="paragraph" w:customStyle="1" w:styleId="CM10">
    <w:name w:val="CM10"/>
    <w:basedOn w:val="Default"/>
    <w:next w:val="Default"/>
    <w:uiPriority w:val="99"/>
    <w:rsid w:val="00522232"/>
    <w:pPr>
      <w:spacing w:line="243" w:lineRule="atLeast"/>
    </w:pPr>
    <w:rPr>
      <w:color w:val="auto"/>
    </w:rPr>
  </w:style>
  <w:style w:type="paragraph" w:customStyle="1" w:styleId="CM168">
    <w:name w:val="CM168"/>
    <w:basedOn w:val="Default"/>
    <w:next w:val="Default"/>
    <w:uiPriority w:val="99"/>
    <w:rsid w:val="00522232"/>
    <w:rPr>
      <w:color w:val="auto"/>
    </w:rPr>
  </w:style>
  <w:style w:type="paragraph" w:customStyle="1" w:styleId="CM6">
    <w:name w:val="CM6"/>
    <w:basedOn w:val="Default"/>
    <w:next w:val="Default"/>
    <w:uiPriority w:val="99"/>
    <w:rsid w:val="00522232"/>
    <w:pPr>
      <w:spacing w:line="240" w:lineRule="atLeast"/>
    </w:pPr>
    <w:rPr>
      <w:color w:val="auto"/>
    </w:rPr>
  </w:style>
  <w:style w:type="paragraph" w:customStyle="1" w:styleId="CM30">
    <w:name w:val="CM30"/>
    <w:basedOn w:val="Default"/>
    <w:next w:val="Default"/>
    <w:uiPriority w:val="99"/>
    <w:rsid w:val="00522232"/>
    <w:pPr>
      <w:spacing w:line="233" w:lineRule="atLeast"/>
    </w:pPr>
    <w:rPr>
      <w:color w:val="auto"/>
    </w:rPr>
  </w:style>
  <w:style w:type="character" w:customStyle="1" w:styleId="Mention1">
    <w:name w:val="Mention1"/>
    <w:basedOn w:val="DefaultParagraphFont"/>
    <w:uiPriority w:val="99"/>
    <w:semiHidden/>
    <w:unhideWhenUsed/>
    <w:rsid w:val="00522232"/>
    <w:rPr>
      <w:color w:val="2B579A"/>
      <w:shd w:val="clear" w:color="auto" w:fill="E6E6E6"/>
    </w:rPr>
  </w:style>
  <w:style w:type="character" w:styleId="FollowedHyperlink">
    <w:name w:val="FollowedHyperlink"/>
    <w:basedOn w:val="DefaultParagraphFont"/>
    <w:uiPriority w:val="99"/>
    <w:semiHidden/>
    <w:unhideWhenUsed/>
    <w:rsid w:val="00522232"/>
    <w:rPr>
      <w:color w:val="954F72" w:themeColor="followedHyperlink"/>
      <w:u w:val="single"/>
    </w:rPr>
  </w:style>
  <w:style w:type="character" w:styleId="CommentReference">
    <w:name w:val="annotation reference"/>
    <w:basedOn w:val="DefaultParagraphFont"/>
    <w:uiPriority w:val="99"/>
    <w:unhideWhenUsed/>
    <w:rsid w:val="00522232"/>
    <w:rPr>
      <w:sz w:val="16"/>
      <w:szCs w:val="16"/>
    </w:rPr>
  </w:style>
  <w:style w:type="paragraph" w:styleId="CommentText">
    <w:name w:val="annotation text"/>
    <w:basedOn w:val="Normal"/>
    <w:link w:val="CommentTextChar"/>
    <w:uiPriority w:val="99"/>
    <w:unhideWhenUsed/>
    <w:rsid w:val="00522232"/>
    <w:pPr>
      <w:spacing w:after="200"/>
    </w:pPr>
    <w:rPr>
      <w:rFonts w:asciiTheme="minorHAnsi" w:hAnsiTheme="minorHAnsi"/>
      <w:szCs w:val="20"/>
      <w:lang w:val="en-GB"/>
    </w:rPr>
  </w:style>
  <w:style w:type="character" w:customStyle="1" w:styleId="CommentTextChar">
    <w:name w:val="Comment Text Char"/>
    <w:basedOn w:val="DefaultParagraphFont"/>
    <w:link w:val="CommentText"/>
    <w:uiPriority w:val="99"/>
    <w:rsid w:val="00522232"/>
    <w:rPr>
      <w:sz w:val="20"/>
      <w:szCs w:val="20"/>
      <w:lang w:val="en-GB"/>
    </w:rPr>
  </w:style>
  <w:style w:type="paragraph" w:styleId="CommentSubject">
    <w:name w:val="annotation subject"/>
    <w:basedOn w:val="CommentText"/>
    <w:next w:val="CommentText"/>
    <w:link w:val="CommentSubjectChar"/>
    <w:uiPriority w:val="99"/>
    <w:semiHidden/>
    <w:unhideWhenUsed/>
    <w:rsid w:val="00522232"/>
    <w:rPr>
      <w:b/>
      <w:bCs/>
    </w:rPr>
  </w:style>
  <w:style w:type="character" w:customStyle="1" w:styleId="CommentSubjectChar">
    <w:name w:val="Comment Subject Char"/>
    <w:basedOn w:val="CommentTextChar"/>
    <w:link w:val="CommentSubject"/>
    <w:uiPriority w:val="99"/>
    <w:semiHidden/>
    <w:rsid w:val="00522232"/>
    <w:rPr>
      <w:b/>
      <w:bCs/>
      <w:sz w:val="20"/>
      <w:szCs w:val="20"/>
      <w:lang w:val="en-GB"/>
    </w:rPr>
  </w:style>
  <w:style w:type="character" w:customStyle="1" w:styleId="Mention2">
    <w:name w:val="Mention2"/>
    <w:basedOn w:val="DefaultParagraphFont"/>
    <w:uiPriority w:val="99"/>
    <w:semiHidden/>
    <w:unhideWhenUsed/>
    <w:rsid w:val="00522232"/>
    <w:rPr>
      <w:color w:val="2B579A"/>
      <w:shd w:val="clear" w:color="auto" w:fill="E6E6E6"/>
    </w:rPr>
  </w:style>
  <w:style w:type="character" w:customStyle="1" w:styleId="ListParagraphChar">
    <w:name w:val="List Paragraph Char"/>
    <w:aliases w:val="List Paragraph (numbered (a)) Char,heading 6 Char,List Paragraph1 Char,Bullets Char"/>
    <w:link w:val="ListParagraph"/>
    <w:uiPriority w:val="34"/>
    <w:rsid w:val="00522232"/>
    <w:rPr>
      <w:rFonts w:ascii="Open Sans" w:hAnsi="Open Sans"/>
      <w:color w:val="44546A" w:themeColor="text2"/>
    </w:rPr>
  </w:style>
  <w:style w:type="paragraph" w:customStyle="1" w:styleId="Figure">
    <w:name w:val="Figure"/>
    <w:basedOn w:val="Normal"/>
    <w:link w:val="FigureCar"/>
    <w:qFormat/>
    <w:rsid w:val="00522232"/>
    <w:pPr>
      <w:spacing w:before="120" w:after="120"/>
    </w:pPr>
    <w:rPr>
      <w:rFonts w:asciiTheme="minorHAnsi" w:hAnsiTheme="minorHAnsi"/>
      <w:b/>
      <w:noProof/>
      <w:lang w:val="en-GB" w:eastAsia="fr-FR"/>
    </w:rPr>
  </w:style>
  <w:style w:type="character" w:customStyle="1" w:styleId="FigureCar">
    <w:name w:val="Figure Car"/>
    <w:basedOn w:val="DefaultParagraphFont"/>
    <w:link w:val="Figure"/>
    <w:rsid w:val="00522232"/>
    <w:rPr>
      <w:b/>
      <w:noProof/>
      <w:lang w:val="en-GB" w:eastAsia="fr-FR"/>
    </w:rPr>
  </w:style>
  <w:style w:type="paragraph" w:customStyle="1" w:styleId="HHtexte">
    <w:name w:val="HH texte"/>
    <w:basedOn w:val="Normal"/>
    <w:link w:val="HHtexteCar"/>
    <w:rsid w:val="00522232"/>
    <w:rPr>
      <w:rFonts w:ascii="Garamond" w:eastAsia="Garamond" w:hAnsi="Garamond" w:cs="Times New Roman"/>
      <w:sz w:val="24"/>
      <w:lang w:val="en-GB"/>
    </w:rPr>
  </w:style>
  <w:style w:type="character" w:customStyle="1" w:styleId="HHtexteCar">
    <w:name w:val="HH texte Car"/>
    <w:basedOn w:val="DefaultParagraphFont"/>
    <w:link w:val="HHtexte"/>
    <w:rsid w:val="00522232"/>
    <w:rPr>
      <w:rFonts w:ascii="Garamond" w:eastAsia="Garamond" w:hAnsi="Garamond" w:cs="Times New Roman"/>
      <w:sz w:val="24"/>
      <w:lang w:val="en-GB"/>
    </w:rPr>
  </w:style>
  <w:style w:type="table" w:styleId="ColorfulGrid-Accent3">
    <w:name w:val="Colorful Grid Accent 3"/>
    <w:basedOn w:val="TableNormal"/>
    <w:uiPriority w:val="73"/>
    <w:rsid w:val="00522232"/>
    <w:pPr>
      <w:spacing w:after="0" w:line="240" w:lineRule="auto"/>
    </w:pPr>
    <w:rPr>
      <w:rFonts w:ascii="Garamond" w:eastAsia="Garamond" w:hAnsi="Garamond" w:cs="Times New Roman"/>
      <w:color w:val="000000"/>
      <w:sz w:val="20"/>
      <w:szCs w:val="20"/>
      <w:lang w:val="fr-FR" w:eastAsia="fr-F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styleId="TOC4">
    <w:name w:val="toc 4"/>
    <w:basedOn w:val="Normal"/>
    <w:next w:val="Normal"/>
    <w:autoRedefine/>
    <w:uiPriority w:val="39"/>
    <w:unhideWhenUsed/>
    <w:rsid w:val="00522232"/>
    <w:pPr>
      <w:ind w:left="660"/>
      <w:jc w:val="left"/>
    </w:pPr>
    <w:rPr>
      <w:rFonts w:asciiTheme="minorHAnsi" w:hAnsiTheme="minorHAnsi"/>
      <w:szCs w:val="18"/>
    </w:rPr>
  </w:style>
  <w:style w:type="paragraph" w:styleId="TOC5">
    <w:name w:val="toc 5"/>
    <w:basedOn w:val="Normal"/>
    <w:next w:val="Normal"/>
    <w:autoRedefine/>
    <w:uiPriority w:val="39"/>
    <w:unhideWhenUsed/>
    <w:rsid w:val="00522232"/>
    <w:pPr>
      <w:ind w:left="880"/>
      <w:jc w:val="left"/>
    </w:pPr>
    <w:rPr>
      <w:rFonts w:asciiTheme="minorHAnsi" w:hAnsiTheme="minorHAnsi"/>
      <w:szCs w:val="18"/>
    </w:rPr>
  </w:style>
  <w:style w:type="paragraph" w:styleId="TOC6">
    <w:name w:val="toc 6"/>
    <w:basedOn w:val="Normal"/>
    <w:next w:val="Normal"/>
    <w:autoRedefine/>
    <w:uiPriority w:val="39"/>
    <w:unhideWhenUsed/>
    <w:rsid w:val="00522232"/>
    <w:pPr>
      <w:ind w:left="1100"/>
      <w:jc w:val="left"/>
    </w:pPr>
    <w:rPr>
      <w:rFonts w:asciiTheme="minorHAnsi" w:hAnsiTheme="minorHAnsi"/>
      <w:szCs w:val="18"/>
    </w:rPr>
  </w:style>
  <w:style w:type="paragraph" w:styleId="TOC7">
    <w:name w:val="toc 7"/>
    <w:basedOn w:val="Normal"/>
    <w:next w:val="Normal"/>
    <w:autoRedefine/>
    <w:uiPriority w:val="39"/>
    <w:unhideWhenUsed/>
    <w:rsid w:val="00522232"/>
    <w:pPr>
      <w:ind w:left="1320"/>
      <w:jc w:val="left"/>
    </w:pPr>
    <w:rPr>
      <w:rFonts w:asciiTheme="minorHAnsi" w:hAnsiTheme="minorHAnsi"/>
      <w:szCs w:val="18"/>
    </w:rPr>
  </w:style>
  <w:style w:type="paragraph" w:styleId="TOC8">
    <w:name w:val="toc 8"/>
    <w:basedOn w:val="Normal"/>
    <w:next w:val="Normal"/>
    <w:autoRedefine/>
    <w:uiPriority w:val="39"/>
    <w:unhideWhenUsed/>
    <w:rsid w:val="00522232"/>
    <w:pPr>
      <w:ind w:left="1540"/>
      <w:jc w:val="left"/>
    </w:pPr>
    <w:rPr>
      <w:rFonts w:asciiTheme="minorHAnsi" w:hAnsiTheme="minorHAnsi"/>
      <w:szCs w:val="18"/>
    </w:rPr>
  </w:style>
  <w:style w:type="paragraph" w:styleId="TOC9">
    <w:name w:val="toc 9"/>
    <w:basedOn w:val="Normal"/>
    <w:next w:val="Normal"/>
    <w:autoRedefine/>
    <w:uiPriority w:val="39"/>
    <w:unhideWhenUsed/>
    <w:rsid w:val="00522232"/>
    <w:pPr>
      <w:ind w:left="1760"/>
      <w:jc w:val="left"/>
    </w:pPr>
    <w:rPr>
      <w:rFonts w:asciiTheme="minorHAnsi" w:hAnsiTheme="minorHAnsi"/>
      <w:szCs w:val="18"/>
    </w:rPr>
  </w:style>
  <w:style w:type="character" w:customStyle="1" w:styleId="CommentaireCar2">
    <w:name w:val="Commentaire Car2"/>
    <w:basedOn w:val="DefaultParagraphFont"/>
    <w:uiPriority w:val="99"/>
    <w:rsid w:val="00522232"/>
    <w:rPr>
      <w:rFonts w:ascii="Times New Roman" w:eastAsia="Times New Roman" w:hAnsi="Times New Roman" w:cs="Times New Roman"/>
      <w:color w:val="00000A"/>
      <w:sz w:val="20"/>
      <w:szCs w:val="20"/>
      <w:lang w:val="en-US" w:eastAsia="ar-SA"/>
    </w:rPr>
  </w:style>
  <w:style w:type="paragraph" w:customStyle="1" w:styleId="text">
    <w:name w:val="text"/>
    <w:basedOn w:val="Normal"/>
    <w:link w:val="textCar"/>
    <w:rsid w:val="00522232"/>
    <w:pPr>
      <w:suppressAutoHyphens/>
      <w:overflowPunct w:val="0"/>
      <w:spacing w:line="360" w:lineRule="auto"/>
      <w:textAlignment w:val="baseline"/>
    </w:pPr>
    <w:rPr>
      <w:rFonts w:ascii="Times New Roman" w:eastAsia="Times New Roman" w:hAnsi="Times New Roman" w:cs="Times New Roman"/>
      <w:szCs w:val="20"/>
      <w:lang w:eastAsia="ar-SA"/>
    </w:rPr>
  </w:style>
  <w:style w:type="character" w:customStyle="1" w:styleId="textCar">
    <w:name w:val="text Car"/>
    <w:basedOn w:val="DefaultParagraphFont"/>
    <w:link w:val="text"/>
    <w:rsid w:val="00522232"/>
    <w:rPr>
      <w:rFonts w:ascii="Times New Roman" w:eastAsia="Times New Roman" w:hAnsi="Times New Roman" w:cs="Times New Roman"/>
      <w:sz w:val="20"/>
      <w:szCs w:val="20"/>
      <w:lang w:eastAsia="ar-SA"/>
    </w:rPr>
  </w:style>
  <w:style w:type="paragraph" w:customStyle="1" w:styleId="LCAFoodHeading2">
    <w:name w:val="LCA Food Heading 2"/>
    <w:basedOn w:val="Normal"/>
    <w:rsid w:val="00522232"/>
    <w:pPr>
      <w:keepNext/>
      <w:numPr>
        <w:numId w:val="4"/>
      </w:numPr>
      <w:spacing w:before="120" w:after="60"/>
    </w:pPr>
    <w:rPr>
      <w:rFonts w:ascii="Arial" w:eastAsia="Times New Roman" w:hAnsi="Arial" w:cs="Arial"/>
      <w:sz w:val="24"/>
      <w:szCs w:val="24"/>
      <w:lang w:val="en-GB" w:eastAsia="zh-CN"/>
    </w:rPr>
  </w:style>
  <w:style w:type="table" w:customStyle="1" w:styleId="Trameclaire-Accent11">
    <w:name w:val="Trame claire - Accent 11"/>
    <w:basedOn w:val="TableNormal"/>
    <w:uiPriority w:val="60"/>
    <w:rsid w:val="00522232"/>
    <w:pPr>
      <w:spacing w:after="0" w:line="240" w:lineRule="auto"/>
    </w:pPr>
    <w:rPr>
      <w:color w:val="2F5496" w:themeColor="accent1" w:themeShade="BF"/>
      <w:lang w:val="fr-F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4">
    <w:name w:val="Light Shading Accent 4"/>
    <w:basedOn w:val="TableNormal"/>
    <w:uiPriority w:val="60"/>
    <w:rsid w:val="00522232"/>
    <w:pPr>
      <w:spacing w:after="0" w:line="240" w:lineRule="auto"/>
    </w:pPr>
    <w:rPr>
      <w:color w:val="BF8F00" w:themeColor="accent4" w:themeShade="BF"/>
      <w:lang w:val="fr-FR"/>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customStyle="1" w:styleId="apple-converted-space">
    <w:name w:val="apple-converted-space"/>
    <w:basedOn w:val="DefaultParagraphFont"/>
    <w:rsid w:val="00522232"/>
  </w:style>
  <w:style w:type="character" w:customStyle="1" w:styleId="A6">
    <w:name w:val="A6"/>
    <w:uiPriority w:val="99"/>
    <w:rsid w:val="00522232"/>
    <w:rPr>
      <w:color w:val="000000"/>
      <w:sz w:val="11"/>
      <w:szCs w:val="11"/>
    </w:rPr>
  </w:style>
  <w:style w:type="paragraph" w:customStyle="1" w:styleId="bodytext0">
    <w:name w:val="bodytext"/>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hapterhead">
    <w:name w:val="Chapter head"/>
    <w:basedOn w:val="Default"/>
    <w:next w:val="Default"/>
    <w:uiPriority w:val="99"/>
    <w:rsid w:val="00522232"/>
    <w:rPr>
      <w:rFonts w:ascii="FGLLGF+PalatinoLinotype" w:hAnsi="FGLLGF+PalatinoLinotype" w:cstheme="minorBidi"/>
      <w:color w:val="auto"/>
    </w:rPr>
  </w:style>
  <w:style w:type="paragraph" w:customStyle="1" w:styleId="Plate">
    <w:name w:val="Plate"/>
    <w:basedOn w:val="Normal"/>
    <w:link w:val="PlateCar"/>
    <w:qFormat/>
    <w:rsid w:val="00522232"/>
    <w:pPr>
      <w:spacing w:after="200"/>
    </w:pPr>
    <w:rPr>
      <w:rFonts w:asciiTheme="minorHAnsi" w:hAnsiTheme="minorHAnsi" w:cs="Arial"/>
      <w:lang w:val="en-GB"/>
    </w:rPr>
  </w:style>
  <w:style w:type="paragraph" w:customStyle="1" w:styleId="Table">
    <w:name w:val="Table"/>
    <w:basedOn w:val="Normal"/>
    <w:link w:val="TableCar"/>
    <w:qFormat/>
    <w:rsid w:val="00522232"/>
    <w:pPr>
      <w:autoSpaceDE w:val="0"/>
      <w:autoSpaceDN w:val="0"/>
      <w:adjustRightInd w:val="0"/>
      <w:spacing w:before="120" w:after="120"/>
    </w:pPr>
    <w:rPr>
      <w:rFonts w:asciiTheme="minorHAnsi" w:hAnsiTheme="minorHAnsi" w:cs="Arial"/>
      <w:b/>
      <w:bCs/>
      <w:lang w:val="en-GB"/>
    </w:rPr>
  </w:style>
  <w:style w:type="character" w:customStyle="1" w:styleId="PlateCar">
    <w:name w:val="Plate Car"/>
    <w:basedOn w:val="DefaultParagraphFont"/>
    <w:link w:val="Plate"/>
    <w:rsid w:val="00522232"/>
    <w:rPr>
      <w:rFonts w:cs="Arial"/>
      <w:lang w:val="en-GB"/>
    </w:rPr>
  </w:style>
  <w:style w:type="paragraph" w:customStyle="1" w:styleId="DecimalAligned">
    <w:name w:val="Decimal Aligned"/>
    <w:basedOn w:val="Normal"/>
    <w:uiPriority w:val="40"/>
    <w:qFormat/>
    <w:rsid w:val="00522232"/>
    <w:pPr>
      <w:tabs>
        <w:tab w:val="decimal" w:pos="360"/>
      </w:tabs>
      <w:spacing w:after="200"/>
    </w:pPr>
    <w:rPr>
      <w:rFonts w:asciiTheme="minorHAnsi" w:hAnsiTheme="minorHAnsi"/>
      <w:lang w:val="en-GB" w:eastAsia="fr-FR"/>
    </w:rPr>
  </w:style>
  <w:style w:type="character" w:customStyle="1" w:styleId="TableCar">
    <w:name w:val="Table Car"/>
    <w:basedOn w:val="DefaultParagraphFont"/>
    <w:link w:val="Table"/>
    <w:rsid w:val="00522232"/>
    <w:rPr>
      <w:rFonts w:cs="Arial"/>
      <w:b/>
      <w:bCs/>
      <w:lang w:val="en-GB"/>
    </w:rPr>
  </w:style>
  <w:style w:type="paragraph" w:styleId="TableofFigures">
    <w:name w:val="table of figures"/>
    <w:basedOn w:val="Normal"/>
    <w:next w:val="Normal"/>
    <w:uiPriority w:val="99"/>
    <w:unhideWhenUsed/>
    <w:rsid w:val="00436979"/>
    <w:rPr>
      <w:lang w:val="en-GB"/>
    </w:rPr>
  </w:style>
  <w:style w:type="numbering" w:customStyle="1" w:styleId="Style1">
    <w:name w:val="Style1"/>
    <w:uiPriority w:val="99"/>
    <w:rsid w:val="00522232"/>
    <w:pPr>
      <w:numPr>
        <w:numId w:val="5"/>
      </w:numPr>
    </w:pPr>
  </w:style>
  <w:style w:type="numbering" w:customStyle="1" w:styleId="Style2">
    <w:name w:val="Style2"/>
    <w:uiPriority w:val="99"/>
    <w:rsid w:val="00522232"/>
    <w:pPr>
      <w:numPr>
        <w:numId w:val="6"/>
      </w:numPr>
    </w:pPr>
  </w:style>
  <w:style w:type="numbering" w:customStyle="1" w:styleId="Style3">
    <w:name w:val="Style3"/>
    <w:uiPriority w:val="99"/>
    <w:rsid w:val="00522232"/>
    <w:pPr>
      <w:numPr>
        <w:numId w:val="7"/>
      </w:numPr>
    </w:pPr>
  </w:style>
  <w:style w:type="numbering" w:customStyle="1" w:styleId="Style4">
    <w:name w:val="Style4"/>
    <w:uiPriority w:val="99"/>
    <w:rsid w:val="00522232"/>
    <w:pPr>
      <w:numPr>
        <w:numId w:val="8"/>
      </w:numPr>
    </w:pPr>
  </w:style>
  <w:style w:type="paragraph" w:customStyle="1" w:styleId="Pa4">
    <w:name w:val="Pa4"/>
    <w:basedOn w:val="Default"/>
    <w:next w:val="Default"/>
    <w:uiPriority w:val="99"/>
    <w:rsid w:val="00243AE8"/>
    <w:pPr>
      <w:widowControl w:val="0"/>
      <w:spacing w:line="181" w:lineRule="atLeast"/>
    </w:pPr>
    <w:rPr>
      <w:rFonts w:ascii="Frutiger LT Std 45 Light" w:eastAsiaTheme="minorEastAsia" w:hAnsi="Frutiger LT Std 45 Light"/>
      <w:color w:val="auto"/>
      <w:lang w:val="en-US"/>
    </w:rPr>
  </w:style>
  <w:style w:type="character" w:customStyle="1" w:styleId="UnresolvedMention1">
    <w:name w:val="Unresolved Mention1"/>
    <w:basedOn w:val="DefaultParagraphFont"/>
    <w:uiPriority w:val="99"/>
    <w:semiHidden/>
    <w:unhideWhenUsed/>
    <w:rsid w:val="00243AE8"/>
    <w:rPr>
      <w:color w:val="808080"/>
      <w:shd w:val="clear" w:color="auto" w:fill="E6E6E6"/>
    </w:rPr>
  </w:style>
  <w:style w:type="paragraph" w:customStyle="1" w:styleId="gmail-default">
    <w:name w:val="gmail-default"/>
    <w:basedOn w:val="Normal"/>
    <w:rsid w:val="00243AE8"/>
    <w:pPr>
      <w:spacing w:before="100" w:beforeAutospacing="1" w:after="100" w:afterAutospacing="1"/>
      <w:contextualSpacing w:val="0"/>
      <w:jc w:val="left"/>
    </w:pPr>
    <w:rPr>
      <w:rFonts w:ascii="Times" w:hAnsi="Times"/>
      <w:szCs w:val="20"/>
      <w:lang w:val="pt-PT"/>
    </w:rPr>
  </w:style>
  <w:style w:type="paragraph" w:styleId="Revision">
    <w:name w:val="Revision"/>
    <w:hidden/>
    <w:uiPriority w:val="99"/>
    <w:semiHidden/>
    <w:rsid w:val="00243AE8"/>
    <w:pPr>
      <w:spacing w:after="0" w:line="240" w:lineRule="auto"/>
    </w:pPr>
    <w:rPr>
      <w:lang w:val="en-GB"/>
    </w:rPr>
  </w:style>
  <w:style w:type="paragraph" w:styleId="BodyText2">
    <w:name w:val="Body Text 2"/>
    <w:basedOn w:val="Normal"/>
    <w:link w:val="BodyText2Char"/>
    <w:uiPriority w:val="99"/>
    <w:semiHidden/>
    <w:unhideWhenUsed/>
    <w:rsid w:val="00243AE8"/>
    <w:pPr>
      <w:spacing w:after="120" w:line="480" w:lineRule="auto"/>
      <w:contextualSpacing w:val="0"/>
      <w:jc w:val="left"/>
    </w:pPr>
    <w:rPr>
      <w:rFonts w:asciiTheme="minorHAnsi" w:hAnsiTheme="minorHAnsi"/>
      <w:lang w:val="en-GB"/>
    </w:rPr>
  </w:style>
  <w:style w:type="character" w:customStyle="1" w:styleId="BodyText2Char">
    <w:name w:val="Body Text 2 Char"/>
    <w:basedOn w:val="DefaultParagraphFont"/>
    <w:link w:val="BodyText2"/>
    <w:uiPriority w:val="99"/>
    <w:semiHidden/>
    <w:rsid w:val="00243AE8"/>
    <w:rPr>
      <w:lang w:val="en-GB"/>
    </w:rPr>
  </w:style>
  <w:style w:type="character" w:customStyle="1" w:styleId="UnresolvedMention2">
    <w:name w:val="Unresolved Mention2"/>
    <w:basedOn w:val="DefaultParagraphFont"/>
    <w:uiPriority w:val="99"/>
    <w:semiHidden/>
    <w:unhideWhenUsed/>
    <w:rsid w:val="00243AE8"/>
    <w:rPr>
      <w:color w:val="808080"/>
      <w:shd w:val="clear" w:color="auto" w:fill="E6E6E6"/>
    </w:rPr>
  </w:style>
  <w:style w:type="table" w:customStyle="1" w:styleId="TableGrid1">
    <w:name w:val="Table Grid1"/>
    <w:basedOn w:val="TableNormal"/>
    <w:next w:val="TableGrid"/>
    <w:uiPriority w:val="59"/>
    <w:rsid w:val="00243AE8"/>
    <w:pPr>
      <w:spacing w:after="0"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43AE8"/>
    <w:rPr>
      <w:color w:val="808080"/>
      <w:shd w:val="clear" w:color="auto" w:fill="E6E6E6"/>
    </w:rPr>
  </w:style>
  <w:style w:type="numbering" w:customStyle="1" w:styleId="NoList1">
    <w:name w:val="No List1"/>
    <w:next w:val="NoList"/>
    <w:uiPriority w:val="99"/>
    <w:semiHidden/>
    <w:unhideWhenUsed/>
    <w:rsid w:val="00243AE8"/>
  </w:style>
  <w:style w:type="table" w:customStyle="1" w:styleId="TableGrid2">
    <w:name w:val="Table Grid2"/>
    <w:basedOn w:val="TableNormal"/>
    <w:next w:val="TableGrid"/>
    <w:uiPriority w:val="59"/>
    <w:rsid w:val="00243AE8"/>
    <w:pPr>
      <w:spacing w:after="0" w:line="240" w:lineRule="auto"/>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43AE8"/>
    <w:pPr>
      <w:spacing w:after="0"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442A96"/>
    <w:rPr>
      <w:color w:val="605E5C"/>
      <w:shd w:val="clear" w:color="auto" w:fill="E1DFDD"/>
    </w:rPr>
  </w:style>
  <w:style w:type="paragraph" w:customStyle="1" w:styleId="BasicParagraph">
    <w:name w:val="[Basic Paragraph]"/>
    <w:basedOn w:val="Normal"/>
    <w:uiPriority w:val="99"/>
    <w:rsid w:val="009A6BB0"/>
    <w:pPr>
      <w:autoSpaceDE w:val="0"/>
      <w:autoSpaceDN w:val="0"/>
      <w:adjustRightInd w:val="0"/>
      <w:spacing w:line="288" w:lineRule="auto"/>
      <w:contextualSpacing w:val="0"/>
      <w:jc w:val="left"/>
      <w:textAlignment w:val="center"/>
    </w:pPr>
    <w:rPr>
      <w:rFonts w:ascii="MinionPro-Regular" w:hAnsi="MinionPro-Regular" w:cs="MinionPro-Regular"/>
      <w:color w:val="000000"/>
      <w:sz w:val="24"/>
      <w:szCs w:val="24"/>
    </w:rPr>
  </w:style>
  <w:style w:type="numbering" w:customStyle="1" w:styleId="Test">
    <w:name w:val="Test"/>
    <w:uiPriority w:val="99"/>
    <w:rsid w:val="00BC075C"/>
    <w:pPr>
      <w:numPr>
        <w:numId w:val="10"/>
      </w:numPr>
    </w:pPr>
  </w:style>
  <w:style w:type="paragraph" w:customStyle="1" w:styleId="Non-numberedheading">
    <w:name w:val="Non-numbered heading"/>
    <w:basedOn w:val="Heading1"/>
    <w:link w:val="Non-numberedheadingChar"/>
    <w:qFormat/>
    <w:rsid w:val="00A4518A"/>
    <w:pPr>
      <w:numPr>
        <w:numId w:val="0"/>
      </w:numPr>
    </w:pPr>
    <w:rPr>
      <w:sz w:val="24"/>
      <w:lang w:bidi="hi-IN"/>
    </w:rPr>
  </w:style>
  <w:style w:type="character" w:styleId="UnresolvedMention">
    <w:name w:val="Unresolved Mention"/>
    <w:basedOn w:val="DefaultParagraphFont"/>
    <w:uiPriority w:val="99"/>
    <w:semiHidden/>
    <w:unhideWhenUsed/>
    <w:rsid w:val="00C04F15"/>
    <w:rPr>
      <w:color w:val="808080"/>
      <w:shd w:val="clear" w:color="auto" w:fill="E6E6E6"/>
    </w:rPr>
  </w:style>
  <w:style w:type="character" w:customStyle="1" w:styleId="Non-numberedheadingChar">
    <w:name w:val="Non-numbered heading Char"/>
    <w:basedOn w:val="Heading1Char"/>
    <w:link w:val="Non-numberedheading"/>
    <w:rsid w:val="00A4518A"/>
    <w:rPr>
      <w:rFonts w:ascii="Open Sans" w:eastAsiaTheme="majorEastAsia" w:hAnsi="Open Sans" w:cstheme="majorBidi"/>
      <w:b/>
      <w:bCs/>
      <w:color w:val="4472C4" w:themeColor="accent1"/>
      <w:spacing w:val="20"/>
      <w:sz w:val="24"/>
      <w:szCs w:val="28"/>
      <w:lang w:bidi="hi-IN"/>
    </w:rPr>
  </w:style>
  <w:style w:type="paragraph" w:customStyle="1" w:styleId="Style5">
    <w:name w:val="Style5"/>
    <w:basedOn w:val="Normal"/>
    <w:link w:val="Style5Char"/>
    <w:qFormat/>
    <w:rsid w:val="00324E31"/>
    <w:pPr>
      <w:spacing w:before="240" w:after="240"/>
    </w:pPr>
  </w:style>
  <w:style w:type="character" w:customStyle="1" w:styleId="Style5Char">
    <w:name w:val="Style5 Char"/>
    <w:basedOn w:val="DefaultParagraphFont"/>
    <w:link w:val="Style5"/>
    <w:rsid w:val="00324E31"/>
    <w:rPr>
      <w:rFonts w:ascii="Open Sans" w:hAnsi="Open Sans"/>
    </w:rPr>
  </w:style>
  <w:style w:type="paragraph" w:customStyle="1" w:styleId="Source">
    <w:name w:val="Source"/>
    <w:basedOn w:val="Pa4"/>
    <w:link w:val="SourceChar"/>
    <w:qFormat/>
    <w:rsid w:val="009944A8"/>
    <w:rPr>
      <w:rFonts w:ascii="Open Sans" w:hAnsi="Open Sans"/>
      <w:sz w:val="17"/>
      <w:szCs w:val="18"/>
      <w:lang w:bidi="hi-IN"/>
    </w:rPr>
  </w:style>
  <w:style w:type="character" w:customStyle="1" w:styleId="SourceChar">
    <w:name w:val="Source Char"/>
    <w:basedOn w:val="DefaultParagraphFont"/>
    <w:link w:val="Source"/>
    <w:rsid w:val="009944A8"/>
    <w:rPr>
      <w:rFonts w:ascii="Open Sans" w:eastAsiaTheme="minorEastAsia" w:hAnsi="Open Sans" w:cs="Times New Roman"/>
      <w:sz w:val="17"/>
      <w:szCs w:val="18"/>
      <w:lang w:bidi="hi-IN"/>
    </w:rPr>
  </w:style>
  <w:style w:type="table" w:styleId="ListTable3-Accent1">
    <w:name w:val="List Table 3 Accent 1"/>
    <w:basedOn w:val="TableNormal"/>
    <w:uiPriority w:val="48"/>
    <w:rsid w:val="00BD4E67"/>
    <w:pPr>
      <w:spacing w:after="0" w:line="240" w:lineRule="auto"/>
    </w:pPr>
    <w:rPr>
      <w:szCs w:val="28"/>
      <w:lang w:bidi="bn-BD"/>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element">
    <w:name w:val="element"/>
    <w:basedOn w:val="Normal"/>
    <w:rsid w:val="00BD4E67"/>
    <w:pPr>
      <w:spacing w:after="150"/>
      <w:contextualSpacing w:val="0"/>
    </w:pPr>
    <w:rPr>
      <w:rFonts w:ascii="Times New Roman" w:eastAsia="Times New Roman" w:hAnsi="Times New Roman" w:cs="Times New Roman"/>
      <w:sz w:val="24"/>
      <w:szCs w:val="24"/>
      <w:lang w:val="en-GB" w:eastAsia="en-GB"/>
    </w:rPr>
  </w:style>
  <w:style w:type="character" w:customStyle="1" w:styleId="tlid-translation">
    <w:name w:val="tlid-translation"/>
    <w:basedOn w:val="DefaultParagraphFont"/>
    <w:rsid w:val="00BD4E67"/>
  </w:style>
  <w:style w:type="character" w:customStyle="1" w:styleId="ad-caption2">
    <w:name w:val="ad-caption2"/>
    <w:basedOn w:val="DefaultParagraphFont"/>
    <w:rsid w:val="00BD4E67"/>
    <w:rPr>
      <w:sz w:val="18"/>
      <w:szCs w:val="18"/>
    </w:rPr>
  </w:style>
  <w:style w:type="character" w:customStyle="1" w:styleId="st1">
    <w:name w:val="st1"/>
    <w:basedOn w:val="DefaultParagraphFont"/>
    <w:rsid w:val="00BD4E67"/>
  </w:style>
  <w:style w:type="paragraph" w:styleId="PlainText">
    <w:name w:val="Plain Text"/>
    <w:basedOn w:val="Normal"/>
    <w:link w:val="PlainTextChar"/>
    <w:uiPriority w:val="99"/>
    <w:semiHidden/>
    <w:unhideWhenUsed/>
    <w:rsid w:val="00BD4E67"/>
    <w:pPr>
      <w:contextualSpacing w:val="0"/>
    </w:pPr>
    <w:rPr>
      <w:rFonts w:ascii="Calibri" w:hAnsi="Calibri" w:cs="Consolas"/>
      <w:sz w:val="22"/>
      <w:szCs w:val="21"/>
      <w:lang w:val="en-GB"/>
    </w:rPr>
  </w:style>
  <w:style w:type="character" w:customStyle="1" w:styleId="PlainTextChar">
    <w:name w:val="Plain Text Char"/>
    <w:basedOn w:val="DefaultParagraphFont"/>
    <w:link w:val="PlainText"/>
    <w:uiPriority w:val="99"/>
    <w:semiHidden/>
    <w:rsid w:val="00BD4E67"/>
    <w:rPr>
      <w:rFonts w:ascii="Calibri" w:hAnsi="Calibri" w:cs="Consolas"/>
      <w:szCs w:val="21"/>
      <w:lang w:val="en-GB"/>
    </w:rPr>
  </w:style>
  <w:style w:type="paragraph" w:styleId="EndnoteText">
    <w:name w:val="endnote text"/>
    <w:basedOn w:val="Normal"/>
    <w:link w:val="EndnoteTextChar"/>
    <w:uiPriority w:val="99"/>
    <w:semiHidden/>
    <w:unhideWhenUsed/>
    <w:rsid w:val="00BD4E67"/>
    <w:pPr>
      <w:contextualSpacing w:val="0"/>
    </w:pPr>
    <w:rPr>
      <w:rFonts w:asciiTheme="minorHAnsi" w:hAnsiTheme="minorHAnsi"/>
      <w:sz w:val="20"/>
      <w:szCs w:val="20"/>
      <w:lang w:val="en-GB"/>
    </w:rPr>
  </w:style>
  <w:style w:type="character" w:customStyle="1" w:styleId="EndnoteTextChar">
    <w:name w:val="Endnote Text Char"/>
    <w:basedOn w:val="DefaultParagraphFont"/>
    <w:link w:val="EndnoteText"/>
    <w:uiPriority w:val="99"/>
    <w:semiHidden/>
    <w:rsid w:val="00BD4E67"/>
    <w:rPr>
      <w:sz w:val="20"/>
      <w:szCs w:val="20"/>
      <w:lang w:val="en-GB"/>
    </w:rPr>
  </w:style>
  <w:style w:type="character" w:styleId="EndnoteReference">
    <w:name w:val="endnote reference"/>
    <w:basedOn w:val="DefaultParagraphFont"/>
    <w:uiPriority w:val="99"/>
    <w:semiHidden/>
    <w:unhideWhenUsed/>
    <w:rsid w:val="00BD4E67"/>
    <w:rPr>
      <w:vertAlign w:val="superscript"/>
    </w:rPr>
  </w:style>
  <w:style w:type="character" w:customStyle="1" w:styleId="element-citation">
    <w:name w:val="element-citation"/>
    <w:basedOn w:val="DefaultParagraphFont"/>
    <w:rsid w:val="00BD4E67"/>
  </w:style>
  <w:style w:type="character" w:customStyle="1" w:styleId="gmail-nowrap">
    <w:name w:val="gmail-nowrap"/>
    <w:basedOn w:val="DefaultParagraphFont"/>
    <w:rsid w:val="00BD4E67"/>
  </w:style>
  <w:style w:type="table" w:customStyle="1" w:styleId="PNGVanilla">
    <w:name w:val="PNG Vanilla"/>
    <w:basedOn w:val="TableNormal"/>
    <w:uiPriority w:val="99"/>
    <w:rsid w:val="00BD4E67"/>
    <w:pPr>
      <w:spacing w:after="0" w:line="240" w:lineRule="auto"/>
    </w:pPr>
    <w:rPr>
      <w:sz w:val="18"/>
      <w:lang w:val="en-GB"/>
    </w:rPr>
    <w:tblPr>
      <w:tblStyleRowBandSize w:val="1"/>
      <w:tblBorders>
        <w:top w:val="single" w:sz="4" w:space="0" w:color="auto"/>
        <w:bottom w:val="single" w:sz="4" w:space="0" w:color="auto"/>
      </w:tblBorders>
    </w:tblPr>
    <w:tblStylePr w:type="firstRow">
      <w:rPr>
        <w:rFonts w:asciiTheme="minorHAnsi" w:hAnsiTheme="minorHAnsi"/>
        <w:b/>
        <w:sz w:val="18"/>
      </w:rPr>
      <w:tblPr/>
      <w:tcPr>
        <w:tcBorders>
          <w:bottom w:val="single" w:sz="4" w:space="0" w:color="auto"/>
        </w:tcBorders>
      </w:tcPr>
    </w:tblStylePr>
    <w:tblStylePr w:type="lastRow">
      <w:tblPr/>
      <w:tcPr>
        <w:tcBorders>
          <w:bottom w:val="single" w:sz="4" w:space="0" w:color="auto"/>
        </w:tcBorders>
      </w:tcPr>
    </w:tblStylePr>
    <w:tblStylePr w:type="band1Horz">
      <w:rPr>
        <w:rFonts w:asciiTheme="minorHAnsi" w:hAnsiTheme="minorHAnsi"/>
        <w:sz w:val="18"/>
      </w:rPr>
      <w:tblPr/>
      <w:tcPr>
        <w:tcBorders>
          <w:top w:val="single" w:sz="4" w:space="0" w:color="A6A6A6" w:themeColor="background1" w:themeShade="A6"/>
          <w:left w:val="nil"/>
          <w:bottom w:val="single" w:sz="4" w:space="0" w:color="A6A6A6" w:themeColor="background1" w:themeShade="A6"/>
          <w:right w:val="nil"/>
          <w:insideH w:val="nil"/>
          <w:insideV w:val="nil"/>
          <w:tl2br w:val="nil"/>
          <w:tr2bl w:val="nil"/>
        </w:tcBorders>
      </w:tcPr>
    </w:tblStylePr>
  </w:style>
  <w:style w:type="table" w:styleId="TableGridLight">
    <w:name w:val="Grid Table Light"/>
    <w:basedOn w:val="TableNormal"/>
    <w:uiPriority w:val="40"/>
    <w:rsid w:val="00BD4E67"/>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24kjd">
    <w:name w:val="e24kjd"/>
    <w:basedOn w:val="DefaultParagraphFont"/>
    <w:rsid w:val="00BD4E67"/>
  </w:style>
  <w:style w:type="character" w:customStyle="1" w:styleId="st">
    <w:name w:val="st"/>
    <w:basedOn w:val="DefaultParagraphFont"/>
    <w:rsid w:val="00BD4E67"/>
  </w:style>
  <w:style w:type="character" w:customStyle="1" w:styleId="UnresolvedMention5">
    <w:name w:val="Unresolved Mention5"/>
    <w:basedOn w:val="DefaultParagraphFont"/>
    <w:uiPriority w:val="99"/>
    <w:semiHidden/>
    <w:unhideWhenUsed/>
    <w:rsid w:val="00BD4E67"/>
    <w:rPr>
      <w:color w:val="605E5C"/>
      <w:shd w:val="clear" w:color="auto" w:fill="E1DFDD"/>
    </w:rPr>
  </w:style>
  <w:style w:type="table" w:customStyle="1" w:styleId="TableGrid3">
    <w:name w:val="Table Grid3"/>
    <w:basedOn w:val="TableNormal"/>
    <w:next w:val="TableGrid"/>
    <w:uiPriority w:val="39"/>
    <w:rsid w:val="0024072A"/>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72A"/>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31">
    <w:name w:val="List Table 1 Light - Accent 31"/>
    <w:basedOn w:val="TableNormal"/>
    <w:next w:val="ListTable1Light-Accent3"/>
    <w:uiPriority w:val="46"/>
    <w:rsid w:val="00A0601A"/>
    <w:pPr>
      <w:spacing w:after="0" w:line="240" w:lineRule="auto"/>
    </w:pPr>
    <w:rPr>
      <w:lang w:val="en-GB"/>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3">
    <w:name w:val="List Table 1 Light Accent 3"/>
    <w:basedOn w:val="TableNormal"/>
    <w:uiPriority w:val="46"/>
    <w:rsid w:val="00A0601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elative">
    <w:name w:val="relative"/>
    <w:basedOn w:val="DefaultParagraphFont"/>
    <w:rsid w:val="00614F1B"/>
  </w:style>
  <w:style w:type="numbering" w:customStyle="1" w:styleId="Test1">
    <w:name w:val="Test1"/>
    <w:uiPriority w:val="99"/>
    <w:rsid w:val="00614F1B"/>
  </w:style>
  <w:style w:type="table" w:customStyle="1" w:styleId="VCA4D1">
    <w:name w:val="VCA4D1"/>
    <w:basedOn w:val="TableNormal"/>
    <w:next w:val="TableGrid"/>
    <w:uiPriority w:val="39"/>
    <w:rsid w:val="00614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table" w:customStyle="1" w:styleId="VCA4D11">
    <w:name w:val="VCA4D11"/>
    <w:basedOn w:val="TableNormal"/>
    <w:next w:val="TableGrid"/>
    <w:uiPriority w:val="39"/>
    <w:rsid w:val="00614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paragraph" w:customStyle="1" w:styleId="FirstParagraph">
    <w:name w:val="First Paragraph"/>
    <w:basedOn w:val="BodyText"/>
    <w:next w:val="BodyText"/>
    <w:qFormat/>
    <w:rsid w:val="005F5EB0"/>
    <w:pPr>
      <w:spacing w:before="180" w:after="180"/>
      <w:contextualSpacing w:val="0"/>
      <w:jc w:val="left"/>
    </w:pPr>
    <w:rPr>
      <w:rFonts w:asciiTheme="minorHAnsi" w:eastAsiaTheme="minorHAnsi" w:hAnsiTheme="minorHAnsi" w:cstheme="minorBidi"/>
      <w:sz w:val="24"/>
      <w:szCs w:val="24"/>
      <w:lang w:val="en" w:eastAsia="en-US"/>
    </w:rPr>
  </w:style>
  <w:style w:type="paragraph" w:customStyle="1" w:styleId="Compact">
    <w:name w:val="Compact"/>
    <w:basedOn w:val="BodyText"/>
    <w:qFormat/>
    <w:rsid w:val="005F5EB0"/>
    <w:pPr>
      <w:spacing w:before="36" w:after="36"/>
      <w:contextualSpacing w:val="0"/>
      <w:jc w:val="left"/>
    </w:pPr>
    <w:rPr>
      <w:rFonts w:asciiTheme="minorHAnsi" w:eastAsiaTheme="minorHAnsi" w:hAnsiTheme="minorHAnsi" w:cstheme="minorBidi"/>
      <w:sz w:val="24"/>
      <w:szCs w:val="24"/>
      <w:lang w:val="en" w:eastAsia="en-US"/>
    </w:rPr>
  </w:style>
  <w:style w:type="table" w:styleId="GridTable4-Accent1">
    <w:name w:val="Grid Table 4 Accent 1"/>
    <w:basedOn w:val="TableNormal"/>
    <w:uiPriority w:val="49"/>
    <w:rsid w:val="00C91A0A"/>
    <w:pPr>
      <w:spacing w:after="0" w:line="240" w:lineRule="auto"/>
    </w:pPr>
    <w:rPr>
      <w:kern w:val="2"/>
      <w:lang w:val="en-GB"/>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
    <w:name w:val="List Table 3"/>
    <w:basedOn w:val="TableNormal"/>
    <w:uiPriority w:val="48"/>
    <w:rsid w:val="009F78D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f01">
    <w:name w:val="cf01"/>
    <w:basedOn w:val="DefaultParagraphFont"/>
    <w:rsid w:val="00A81B40"/>
    <w:rPr>
      <w:rFonts w:ascii="Segoe UI" w:hAnsi="Segoe UI" w:cs="Segoe UI" w:hint="default"/>
      <w:sz w:val="18"/>
      <w:szCs w:val="18"/>
    </w:rPr>
  </w:style>
  <w:style w:type="paragraph" w:customStyle="1" w:styleId="FootnoteReferenceNumber">
    <w:name w:val="Footnote Reference Number"/>
    <w:aliases w:val="Footnote Reference1, BVI fnr Car Car1 Car Car Char Car Char Car Char Char,BVI fnr Car Car1 Car Car Char Car Char Car Char Char"/>
    <w:basedOn w:val="Normal"/>
    <w:link w:val="FootnoteReference"/>
    <w:uiPriority w:val="99"/>
    <w:rsid w:val="00A81B40"/>
    <w:pPr>
      <w:spacing w:after="160" w:line="240" w:lineRule="exact"/>
      <w:contextualSpacing w:val="0"/>
      <w:jc w:val="left"/>
    </w:pPr>
    <w:rPr>
      <w:rFonts w:asciiTheme="minorHAnsi" w:hAnsiTheme="minorHAnsi"/>
      <w:sz w:val="22"/>
      <w:vertAlign w:val="superscript"/>
    </w:rPr>
  </w:style>
  <w:style w:type="character" w:customStyle="1" w:styleId="cf11">
    <w:name w:val="cf11"/>
    <w:basedOn w:val="DefaultParagraphFont"/>
    <w:rsid w:val="00A81B4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805">
      <w:bodyDiv w:val="1"/>
      <w:marLeft w:val="0"/>
      <w:marRight w:val="0"/>
      <w:marTop w:val="0"/>
      <w:marBottom w:val="0"/>
      <w:divBdr>
        <w:top w:val="none" w:sz="0" w:space="0" w:color="auto"/>
        <w:left w:val="none" w:sz="0" w:space="0" w:color="auto"/>
        <w:bottom w:val="none" w:sz="0" w:space="0" w:color="auto"/>
        <w:right w:val="none" w:sz="0" w:space="0" w:color="auto"/>
      </w:divBdr>
    </w:div>
    <w:div w:id="96755555">
      <w:bodyDiv w:val="1"/>
      <w:marLeft w:val="0"/>
      <w:marRight w:val="0"/>
      <w:marTop w:val="0"/>
      <w:marBottom w:val="0"/>
      <w:divBdr>
        <w:top w:val="none" w:sz="0" w:space="0" w:color="auto"/>
        <w:left w:val="none" w:sz="0" w:space="0" w:color="auto"/>
        <w:bottom w:val="none" w:sz="0" w:space="0" w:color="auto"/>
        <w:right w:val="none" w:sz="0" w:space="0" w:color="auto"/>
      </w:divBdr>
    </w:div>
    <w:div w:id="138765934">
      <w:bodyDiv w:val="1"/>
      <w:marLeft w:val="0"/>
      <w:marRight w:val="0"/>
      <w:marTop w:val="0"/>
      <w:marBottom w:val="0"/>
      <w:divBdr>
        <w:top w:val="none" w:sz="0" w:space="0" w:color="auto"/>
        <w:left w:val="none" w:sz="0" w:space="0" w:color="auto"/>
        <w:bottom w:val="none" w:sz="0" w:space="0" w:color="auto"/>
        <w:right w:val="none" w:sz="0" w:space="0" w:color="auto"/>
      </w:divBdr>
    </w:div>
    <w:div w:id="379020731">
      <w:bodyDiv w:val="1"/>
      <w:marLeft w:val="0"/>
      <w:marRight w:val="0"/>
      <w:marTop w:val="0"/>
      <w:marBottom w:val="0"/>
      <w:divBdr>
        <w:top w:val="none" w:sz="0" w:space="0" w:color="auto"/>
        <w:left w:val="none" w:sz="0" w:space="0" w:color="auto"/>
        <w:bottom w:val="none" w:sz="0" w:space="0" w:color="auto"/>
        <w:right w:val="none" w:sz="0" w:space="0" w:color="auto"/>
      </w:divBdr>
      <w:divsChild>
        <w:div w:id="602684377">
          <w:marLeft w:val="0"/>
          <w:marRight w:val="0"/>
          <w:marTop w:val="0"/>
          <w:marBottom w:val="0"/>
          <w:divBdr>
            <w:top w:val="none" w:sz="0" w:space="0" w:color="auto"/>
            <w:left w:val="none" w:sz="0" w:space="0" w:color="auto"/>
            <w:bottom w:val="none" w:sz="0" w:space="0" w:color="auto"/>
            <w:right w:val="none" w:sz="0" w:space="0" w:color="auto"/>
          </w:divBdr>
        </w:div>
      </w:divsChild>
    </w:div>
    <w:div w:id="784690899">
      <w:bodyDiv w:val="1"/>
      <w:marLeft w:val="0"/>
      <w:marRight w:val="0"/>
      <w:marTop w:val="0"/>
      <w:marBottom w:val="0"/>
      <w:divBdr>
        <w:top w:val="none" w:sz="0" w:space="0" w:color="auto"/>
        <w:left w:val="none" w:sz="0" w:space="0" w:color="auto"/>
        <w:bottom w:val="none" w:sz="0" w:space="0" w:color="auto"/>
        <w:right w:val="none" w:sz="0" w:space="0" w:color="auto"/>
      </w:divBdr>
    </w:div>
    <w:div w:id="930118587">
      <w:bodyDiv w:val="1"/>
      <w:marLeft w:val="0"/>
      <w:marRight w:val="0"/>
      <w:marTop w:val="0"/>
      <w:marBottom w:val="0"/>
      <w:divBdr>
        <w:top w:val="none" w:sz="0" w:space="0" w:color="auto"/>
        <w:left w:val="none" w:sz="0" w:space="0" w:color="auto"/>
        <w:bottom w:val="none" w:sz="0" w:space="0" w:color="auto"/>
        <w:right w:val="none" w:sz="0" w:space="0" w:color="auto"/>
      </w:divBdr>
    </w:div>
    <w:div w:id="1042485444">
      <w:bodyDiv w:val="1"/>
      <w:marLeft w:val="0"/>
      <w:marRight w:val="0"/>
      <w:marTop w:val="0"/>
      <w:marBottom w:val="0"/>
      <w:divBdr>
        <w:top w:val="none" w:sz="0" w:space="0" w:color="auto"/>
        <w:left w:val="none" w:sz="0" w:space="0" w:color="auto"/>
        <w:bottom w:val="none" w:sz="0" w:space="0" w:color="auto"/>
        <w:right w:val="none" w:sz="0" w:space="0" w:color="auto"/>
      </w:divBdr>
    </w:div>
    <w:div w:id="1488085952">
      <w:bodyDiv w:val="1"/>
      <w:marLeft w:val="0"/>
      <w:marRight w:val="0"/>
      <w:marTop w:val="0"/>
      <w:marBottom w:val="0"/>
      <w:divBdr>
        <w:top w:val="none" w:sz="0" w:space="0" w:color="auto"/>
        <w:left w:val="none" w:sz="0" w:space="0" w:color="auto"/>
        <w:bottom w:val="none" w:sz="0" w:space="0" w:color="auto"/>
        <w:right w:val="none" w:sz="0" w:space="0" w:color="auto"/>
      </w:divBdr>
    </w:div>
    <w:div w:id="1516842427">
      <w:bodyDiv w:val="1"/>
      <w:marLeft w:val="0"/>
      <w:marRight w:val="0"/>
      <w:marTop w:val="0"/>
      <w:marBottom w:val="0"/>
      <w:divBdr>
        <w:top w:val="none" w:sz="0" w:space="0" w:color="auto"/>
        <w:left w:val="none" w:sz="0" w:space="0" w:color="auto"/>
        <w:bottom w:val="none" w:sz="0" w:space="0" w:color="auto"/>
        <w:right w:val="none" w:sz="0" w:space="0" w:color="auto"/>
      </w:divBdr>
    </w:div>
    <w:div w:id="1791514583">
      <w:bodyDiv w:val="1"/>
      <w:marLeft w:val="0"/>
      <w:marRight w:val="0"/>
      <w:marTop w:val="0"/>
      <w:marBottom w:val="0"/>
      <w:divBdr>
        <w:top w:val="none" w:sz="0" w:space="0" w:color="auto"/>
        <w:left w:val="none" w:sz="0" w:space="0" w:color="auto"/>
        <w:bottom w:val="none" w:sz="0" w:space="0" w:color="auto"/>
        <w:right w:val="none" w:sz="0" w:space="0" w:color="auto"/>
      </w:divBdr>
    </w:div>
    <w:div w:id="211034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opa.eu/capacity4dev/value-chain-analysis-for-development-vca4d-" TargetMode="External"/><Relationship Id="rId18" Type="http://schemas.openxmlformats.org/officeDocument/2006/relationships/hyperlink" Target="https://www.fao.org/faostat/en/" TargetMode="External"/><Relationship Id="rId26" Type="http://schemas.openxmlformats.org/officeDocument/2006/relationships/image" Target="media/image10.png"/><Relationship Id="rId39" Type="http://schemas.openxmlformats.org/officeDocument/2006/relationships/chart" Target="charts/chart3.xml"/><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hyperlink" Target="https://doi.org/10.1088/1748-9326/add606" TargetMode="External"/><Relationship Id="rId47" Type="http://schemas.openxmlformats.org/officeDocument/2006/relationships/image" Target="media/image19.pn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orldmrio.com" TargetMode="Externa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hyperlink" Target="https://sierraleone.un.org/sites/default/files/2024-05/UNCT%20CCA%202023.pdf"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footer" Target="footer5.xml"/><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hyperlink" Target="https://www.sdg16.plus/policies/sierra-leone-enacts-land-laws-that-allow-communities-to-protect-their-lands-and-empower-wome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HTTPS://WWW.FAO.ORG/FAOSTAT/EN/" TargetMode="External"/><Relationship Id="rId27" Type="http://schemas.openxmlformats.org/officeDocument/2006/relationships/footer" Target="footer4.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18.png"/><Relationship Id="rId48" Type="http://schemas.openxmlformats.org/officeDocument/2006/relationships/image" Target="media/image20.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agrinatura-eu.eu"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chart" Target="charts/chart2.xml"/><Relationship Id="rId46" Type="http://schemas.openxmlformats.org/officeDocument/2006/relationships/hyperlink" Target="https://www.wfp.org/countries/sierra-leone" TargetMode="External"/><Relationship Id="rId20" Type="http://schemas.openxmlformats.org/officeDocument/2006/relationships/hyperlink" Target="https://www.fao.org/faostat/en/" TargetMode="External"/><Relationship Id="rId41" Type="http://schemas.openxmlformats.org/officeDocument/2006/relationships/hyperlink" Target="https://www.science.org/doi/10.1126/science.124469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moice.gov.sl/sierra-leones-labour-minister-announces-new-minimum-wage-and-social-protection-scheme-for-the-informal-sector/?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My%20Tresors\4.%20Communication%20and%20visibility\8.%20Report%20template\VCA4D%20report%20template%202018%2009%2013.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zan\Downloads\sierra_leone_cocoa_food_security_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zan\Downloads\sierra_leone_cocoa_food_security_chart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Kenema</c:v>
          </c:tx>
          <c:invertIfNegative val="1"/>
          <c:cat>
            <c:strLit>
              <c:ptCount val="3"/>
              <c:pt idx="0">
                <c:v>Poor FCS</c:v>
              </c:pt>
              <c:pt idx="1">
                <c:v>Borderline FCS</c:v>
              </c:pt>
              <c:pt idx="2">
                <c:v>Acceptable FCS</c:v>
              </c:pt>
            </c:strLit>
          </c:cat>
          <c:val>
            <c:numLit>
              <c:formatCode>General</c:formatCode>
              <c:ptCount val="3"/>
              <c:pt idx="0">
                <c:v>29</c:v>
              </c:pt>
              <c:pt idx="1">
                <c:v>63</c:v>
              </c:pt>
              <c:pt idx="2">
                <c:v>7</c:v>
              </c:pt>
            </c:numLit>
          </c:val>
          <c:extLst>
            <c:ext xmlns:c16="http://schemas.microsoft.com/office/drawing/2014/chart" uri="{C3380CC4-5D6E-409C-BE32-E72D297353CC}">
              <c16:uniqueId val="{00000000-FBF8-4CBC-A509-A82CC733FF54}"/>
            </c:ext>
          </c:extLst>
        </c:ser>
        <c:ser>
          <c:idx val="1"/>
          <c:order val="1"/>
          <c:tx>
            <c:v>Kailahun</c:v>
          </c:tx>
          <c:invertIfNegative val="1"/>
          <c:cat>
            <c:strLit>
              <c:ptCount val="3"/>
              <c:pt idx="0">
                <c:v>Poor FCS</c:v>
              </c:pt>
              <c:pt idx="1">
                <c:v>Borderline FCS</c:v>
              </c:pt>
              <c:pt idx="2">
                <c:v>Acceptable FCS</c:v>
              </c:pt>
            </c:strLit>
          </c:cat>
          <c:val>
            <c:numLit>
              <c:formatCode>General</c:formatCode>
              <c:ptCount val="3"/>
              <c:pt idx="0">
                <c:v>3</c:v>
              </c:pt>
              <c:pt idx="1">
                <c:v>54</c:v>
              </c:pt>
              <c:pt idx="2">
                <c:v>43</c:v>
              </c:pt>
            </c:numLit>
          </c:val>
          <c:extLst>
            <c:ext xmlns:c16="http://schemas.microsoft.com/office/drawing/2014/chart" uri="{C3380CC4-5D6E-409C-BE32-E72D297353CC}">
              <c16:uniqueId val="{00000001-FBF8-4CBC-A509-A82CC733FF54}"/>
            </c:ext>
          </c:extLst>
        </c:ser>
        <c:ser>
          <c:idx val="2"/>
          <c:order val="2"/>
          <c:tx>
            <c:v>Kono</c:v>
          </c:tx>
          <c:invertIfNegative val="1"/>
          <c:cat>
            <c:strLit>
              <c:ptCount val="3"/>
              <c:pt idx="0">
                <c:v>Poor FCS</c:v>
              </c:pt>
              <c:pt idx="1">
                <c:v>Borderline FCS</c:v>
              </c:pt>
              <c:pt idx="2">
                <c:v>Acceptable FCS</c:v>
              </c:pt>
            </c:strLit>
          </c:cat>
          <c:val>
            <c:numLit>
              <c:formatCode>General</c:formatCode>
              <c:ptCount val="3"/>
              <c:pt idx="0">
                <c:v>14</c:v>
              </c:pt>
              <c:pt idx="1">
                <c:v>67</c:v>
              </c:pt>
              <c:pt idx="2">
                <c:v>19</c:v>
              </c:pt>
            </c:numLit>
          </c:val>
          <c:extLst>
            <c:ext xmlns:c16="http://schemas.microsoft.com/office/drawing/2014/chart" uri="{C3380CC4-5D6E-409C-BE32-E72D297353CC}">
              <c16:uniqueId val="{00000002-FBF8-4CBC-A509-A82CC733FF54}"/>
            </c:ext>
          </c:extLst>
        </c:ser>
        <c:ser>
          <c:idx val="3"/>
          <c:order val="3"/>
          <c:tx>
            <c:v>Rest of country</c:v>
          </c:tx>
          <c:invertIfNegative val="1"/>
          <c:cat>
            <c:strLit>
              <c:ptCount val="3"/>
              <c:pt idx="0">
                <c:v>Poor FCS</c:v>
              </c:pt>
              <c:pt idx="1">
                <c:v>Borderline FCS</c:v>
              </c:pt>
              <c:pt idx="2">
                <c:v>Acceptable FCS</c:v>
              </c:pt>
            </c:strLit>
          </c:cat>
          <c:val>
            <c:numLit>
              <c:formatCode>General</c:formatCode>
              <c:ptCount val="3"/>
              <c:pt idx="0">
                <c:v>13.1</c:v>
              </c:pt>
              <c:pt idx="1">
                <c:v>63.1</c:v>
              </c:pt>
              <c:pt idx="2">
                <c:v>23.7</c:v>
              </c:pt>
            </c:numLit>
          </c:val>
          <c:extLst>
            <c:ext xmlns:c16="http://schemas.microsoft.com/office/drawing/2014/chart" uri="{C3380CC4-5D6E-409C-BE32-E72D297353CC}">
              <c16:uniqueId val="{00000003-FBF8-4CBC-A509-A82CC733FF54}"/>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numFmt formatCode="General" sourceLinked="1"/>
        <c:majorTickMark val="out"/>
        <c:minorTickMark val="none"/>
        <c:tickLblPos val="nextTo"/>
        <c:crossAx val="48672768"/>
        <c:crosses val="autoZero"/>
        <c:auto val="1"/>
        <c:lblAlgn val="ctr"/>
        <c:lblOffset val="100"/>
        <c:noMultiLvlLbl val="0"/>
      </c:catAx>
      <c:valAx>
        <c:axId val="48672768"/>
        <c:scaling>
          <c:orientation val="minMax"/>
        </c:scaling>
        <c:delete val="0"/>
        <c:axPos val="l"/>
        <c:title>
          <c:tx>
            <c:rich>
              <a:bodyPr/>
              <a:lstStyle/>
              <a:p>
                <a:pPr>
                  <a:defRPr/>
                </a:pPr>
                <a:r>
                  <a:rPr lang="cs-CZ"/>
                  <a:t>%</a:t>
                </a:r>
              </a:p>
            </c:rich>
          </c:tx>
          <c:overlay val="0"/>
        </c:title>
        <c:numFmt formatCode="General" sourceLinked="1"/>
        <c:majorTickMark val="out"/>
        <c:minorTickMark val="none"/>
        <c:tickLblPos val="nextTo"/>
        <c:crossAx val="48650112"/>
        <c:crosses val="autoZero"/>
        <c:crossBetween val="between"/>
      </c:valAx>
    </c:plotArea>
    <c:legend>
      <c:legendPos val="b"/>
      <c:overlay val="0"/>
    </c:legend>
    <c:plotVisOnly val="1"/>
    <c:dispBlanksAs val="zero"/>
    <c:showDLblsOverMax val="1"/>
  </c:chart>
  <c:spPr>
    <a:ln w="9525">
      <a:no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rCSI</c:v>
          </c:tx>
          <c:invertIfNegative val="1"/>
          <c:cat>
            <c:strLit>
              <c:ptCount val="5"/>
              <c:pt idx="0">
                <c:v>Kenema</c:v>
              </c:pt>
              <c:pt idx="1">
                <c:v>Kailahun</c:v>
              </c:pt>
              <c:pt idx="2">
                <c:v>Kono</c:v>
              </c:pt>
              <c:pt idx="3">
                <c:v>Cocoa average</c:v>
              </c:pt>
              <c:pt idx="4">
                <c:v>Rest of country</c:v>
              </c:pt>
            </c:strLit>
          </c:cat>
          <c:val>
            <c:numLit>
              <c:formatCode>General</c:formatCode>
              <c:ptCount val="5"/>
              <c:pt idx="0">
                <c:v>5.9</c:v>
              </c:pt>
              <c:pt idx="1">
                <c:v>8.9</c:v>
              </c:pt>
              <c:pt idx="2">
                <c:v>5.4</c:v>
              </c:pt>
              <c:pt idx="3">
                <c:v>6.7</c:v>
              </c:pt>
              <c:pt idx="4">
                <c:v>10</c:v>
              </c:pt>
            </c:numLit>
          </c:val>
          <c:extLst>
            <c:ext xmlns:c16="http://schemas.microsoft.com/office/drawing/2014/chart" uri="{C3380CC4-5D6E-409C-BE32-E72D297353CC}">
              <c16:uniqueId val="{00000000-B733-4C9A-8D70-12CBA0198D0B}"/>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max val="10"/>
        </c:scaling>
        <c:delete val="0"/>
        <c:axPos val="l"/>
        <c:numFmt formatCode="General" sourceLinked="1"/>
        <c:majorTickMark val="none"/>
        <c:minorTickMark val="none"/>
        <c:tickLblPos val="nextTo"/>
        <c:crossAx val="48650112"/>
        <c:crosses val="autoZero"/>
        <c:crossBetween val="between"/>
      </c:valAx>
    </c:plotArea>
    <c:plotVisOnly val="1"/>
    <c:dispBlanksAs val="zero"/>
    <c:showDLblsOverMax val="1"/>
  </c:chart>
  <c:spPr>
    <a:ln w="9525">
      <a:no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Gross Forest Area</a:t>
            </a:r>
            <a:r>
              <a:rPr lang="en-GB" b="1" baseline="0"/>
              <a:t> Loss By Canopy Cover Treshold</a:t>
            </a:r>
            <a:endParaRPr lang="en-GB"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Sheet1!$B$2</c:f>
              <c:strCache>
                <c:ptCount val="1"/>
                <c:pt idx="0">
                  <c:v>0</c:v>
                </c:pt>
              </c:strCache>
            </c:strRef>
          </c:tx>
          <c:spPr>
            <a:ln w="28575" cap="rnd">
              <a:solidFill>
                <a:schemeClr val="accent6"/>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Sheet1!$F$2:$AD$2</c:f>
              <c:numCache>
                <c:formatCode>#,##0</c:formatCode>
                <c:ptCount val="25"/>
                <c:pt idx="0">
                  <c:v>19099</c:v>
                </c:pt>
                <c:pt idx="1">
                  <c:v>15684</c:v>
                </c:pt>
                <c:pt idx="2">
                  <c:v>9407</c:v>
                </c:pt>
                <c:pt idx="3">
                  <c:v>4109</c:v>
                </c:pt>
                <c:pt idx="4">
                  <c:v>7214</c:v>
                </c:pt>
                <c:pt idx="5">
                  <c:v>29365</c:v>
                </c:pt>
                <c:pt idx="6">
                  <c:v>22116</c:v>
                </c:pt>
                <c:pt idx="7">
                  <c:v>21161</c:v>
                </c:pt>
                <c:pt idx="8">
                  <c:v>31057</c:v>
                </c:pt>
                <c:pt idx="9">
                  <c:v>8928</c:v>
                </c:pt>
                <c:pt idx="10">
                  <c:v>35011</c:v>
                </c:pt>
                <c:pt idx="11">
                  <c:v>16861</c:v>
                </c:pt>
                <c:pt idx="12">
                  <c:v>175449</c:v>
                </c:pt>
                <c:pt idx="13">
                  <c:v>167005</c:v>
                </c:pt>
                <c:pt idx="14">
                  <c:v>238707</c:v>
                </c:pt>
                <c:pt idx="15">
                  <c:v>181909</c:v>
                </c:pt>
                <c:pt idx="16">
                  <c:v>237383</c:v>
                </c:pt>
                <c:pt idx="17">
                  <c:v>194641</c:v>
                </c:pt>
                <c:pt idx="18">
                  <c:v>181263</c:v>
                </c:pt>
                <c:pt idx="19">
                  <c:v>159962</c:v>
                </c:pt>
                <c:pt idx="20">
                  <c:v>117266</c:v>
                </c:pt>
                <c:pt idx="21">
                  <c:v>123788</c:v>
                </c:pt>
                <c:pt idx="22">
                  <c:v>103699</c:v>
                </c:pt>
                <c:pt idx="23">
                  <c:v>137876</c:v>
                </c:pt>
                <c:pt idx="24">
                  <c:v>111063</c:v>
                </c:pt>
              </c:numCache>
            </c:numRef>
          </c:val>
          <c:smooth val="0"/>
          <c:extLst>
            <c:ext xmlns:c16="http://schemas.microsoft.com/office/drawing/2014/chart" uri="{C3380CC4-5D6E-409C-BE32-E72D297353CC}">
              <c16:uniqueId val="{00000000-E0E3-415B-8FAF-E754C2C50403}"/>
            </c:ext>
          </c:extLst>
        </c:ser>
        <c:ser>
          <c:idx val="1"/>
          <c:order val="1"/>
          <c:tx>
            <c:strRef>
              <c:f>Sheet1!$B$3</c:f>
              <c:strCache>
                <c:ptCount val="1"/>
                <c:pt idx="0">
                  <c:v>&gt;=10%</c:v>
                </c:pt>
              </c:strCache>
            </c:strRef>
          </c:tx>
          <c:spPr>
            <a:ln w="28575" cap="rnd">
              <a:solidFill>
                <a:schemeClr val="accent5"/>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Sheet1!$F$3:$AD$3</c:f>
              <c:numCache>
                <c:formatCode>#,##0</c:formatCode>
                <c:ptCount val="25"/>
                <c:pt idx="0">
                  <c:v>19098</c:v>
                </c:pt>
                <c:pt idx="1">
                  <c:v>15680</c:v>
                </c:pt>
                <c:pt idx="2">
                  <c:v>9406</c:v>
                </c:pt>
                <c:pt idx="3">
                  <c:v>4108</c:v>
                </c:pt>
                <c:pt idx="4">
                  <c:v>7212</c:v>
                </c:pt>
                <c:pt idx="5">
                  <c:v>29363</c:v>
                </c:pt>
                <c:pt idx="6">
                  <c:v>22116</c:v>
                </c:pt>
                <c:pt idx="7">
                  <c:v>21160</c:v>
                </c:pt>
                <c:pt idx="8">
                  <c:v>31055</c:v>
                </c:pt>
                <c:pt idx="9">
                  <c:v>8926</c:v>
                </c:pt>
                <c:pt idx="10">
                  <c:v>35007</c:v>
                </c:pt>
                <c:pt idx="11">
                  <c:v>16855</c:v>
                </c:pt>
                <c:pt idx="12">
                  <c:v>175371</c:v>
                </c:pt>
                <c:pt idx="13">
                  <c:v>166940</c:v>
                </c:pt>
                <c:pt idx="14">
                  <c:v>238620</c:v>
                </c:pt>
                <c:pt idx="15">
                  <c:v>181859</c:v>
                </c:pt>
                <c:pt idx="16">
                  <c:v>237315</c:v>
                </c:pt>
                <c:pt idx="17">
                  <c:v>194565</c:v>
                </c:pt>
                <c:pt idx="18">
                  <c:v>181192</c:v>
                </c:pt>
                <c:pt idx="19">
                  <c:v>159901</c:v>
                </c:pt>
                <c:pt idx="20">
                  <c:v>117219</c:v>
                </c:pt>
                <c:pt idx="21">
                  <c:v>123734</c:v>
                </c:pt>
                <c:pt idx="22">
                  <c:v>103639</c:v>
                </c:pt>
                <c:pt idx="23">
                  <c:v>137798</c:v>
                </c:pt>
                <c:pt idx="24">
                  <c:v>110991</c:v>
                </c:pt>
              </c:numCache>
            </c:numRef>
          </c:val>
          <c:smooth val="0"/>
          <c:extLst>
            <c:ext xmlns:c16="http://schemas.microsoft.com/office/drawing/2014/chart" uri="{C3380CC4-5D6E-409C-BE32-E72D297353CC}">
              <c16:uniqueId val="{00000001-E0E3-415B-8FAF-E754C2C50403}"/>
            </c:ext>
          </c:extLst>
        </c:ser>
        <c:ser>
          <c:idx val="2"/>
          <c:order val="2"/>
          <c:tx>
            <c:strRef>
              <c:f>Sheet1!$B$4</c:f>
              <c:strCache>
                <c:ptCount val="1"/>
                <c:pt idx="0">
                  <c:v>&gt;=15%</c:v>
                </c:pt>
              </c:strCache>
            </c:strRef>
          </c:tx>
          <c:spPr>
            <a:ln w="28575" cap="rnd">
              <a:solidFill>
                <a:schemeClr val="accent4"/>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Sheet1!$F$4:$AD$4</c:f>
              <c:numCache>
                <c:formatCode>#,##0</c:formatCode>
                <c:ptCount val="25"/>
                <c:pt idx="0">
                  <c:v>19087</c:v>
                </c:pt>
                <c:pt idx="1">
                  <c:v>15658</c:v>
                </c:pt>
                <c:pt idx="2">
                  <c:v>9389</c:v>
                </c:pt>
                <c:pt idx="3">
                  <c:v>4104</c:v>
                </c:pt>
                <c:pt idx="4">
                  <c:v>7201</c:v>
                </c:pt>
                <c:pt idx="5">
                  <c:v>29327</c:v>
                </c:pt>
                <c:pt idx="6">
                  <c:v>22108</c:v>
                </c:pt>
                <c:pt idx="7">
                  <c:v>21150</c:v>
                </c:pt>
                <c:pt idx="8">
                  <c:v>31023</c:v>
                </c:pt>
                <c:pt idx="9">
                  <c:v>8915</c:v>
                </c:pt>
                <c:pt idx="10">
                  <c:v>34979</c:v>
                </c:pt>
                <c:pt idx="11">
                  <c:v>16839</c:v>
                </c:pt>
                <c:pt idx="12">
                  <c:v>175236</c:v>
                </c:pt>
                <c:pt idx="13">
                  <c:v>166834</c:v>
                </c:pt>
                <c:pt idx="14">
                  <c:v>238531</c:v>
                </c:pt>
                <c:pt idx="15">
                  <c:v>181798</c:v>
                </c:pt>
                <c:pt idx="16">
                  <c:v>237241</c:v>
                </c:pt>
                <c:pt idx="17">
                  <c:v>194442</c:v>
                </c:pt>
                <c:pt idx="18">
                  <c:v>181053</c:v>
                </c:pt>
                <c:pt idx="19">
                  <c:v>159801</c:v>
                </c:pt>
                <c:pt idx="20">
                  <c:v>117131</c:v>
                </c:pt>
                <c:pt idx="21">
                  <c:v>123655</c:v>
                </c:pt>
                <c:pt idx="22">
                  <c:v>103537</c:v>
                </c:pt>
                <c:pt idx="23">
                  <c:v>137622</c:v>
                </c:pt>
                <c:pt idx="24">
                  <c:v>110786</c:v>
                </c:pt>
              </c:numCache>
            </c:numRef>
          </c:val>
          <c:smooth val="0"/>
          <c:extLst>
            <c:ext xmlns:c16="http://schemas.microsoft.com/office/drawing/2014/chart" uri="{C3380CC4-5D6E-409C-BE32-E72D297353CC}">
              <c16:uniqueId val="{00000002-E0E3-415B-8FAF-E754C2C50403}"/>
            </c:ext>
          </c:extLst>
        </c:ser>
        <c:ser>
          <c:idx val="3"/>
          <c:order val="3"/>
          <c:tx>
            <c:strRef>
              <c:f>Sheet1!$B$5</c:f>
              <c:strCache>
                <c:ptCount val="1"/>
                <c:pt idx="0">
                  <c:v>&gt;=20%</c:v>
                </c:pt>
              </c:strCache>
            </c:strRef>
          </c:tx>
          <c:spPr>
            <a:ln w="28575" cap="rnd">
              <a:solidFill>
                <a:schemeClr val="accent6">
                  <a:lumMod val="60000"/>
                </a:schemeClr>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Sheet1!$F$5:$AD$5</c:f>
              <c:numCache>
                <c:formatCode>#,##0</c:formatCode>
                <c:ptCount val="25"/>
                <c:pt idx="0">
                  <c:v>18928</c:v>
                </c:pt>
                <c:pt idx="1">
                  <c:v>15515</c:v>
                </c:pt>
                <c:pt idx="2">
                  <c:v>9289</c:v>
                </c:pt>
                <c:pt idx="3">
                  <c:v>4078</c:v>
                </c:pt>
                <c:pt idx="4">
                  <c:v>7080</c:v>
                </c:pt>
                <c:pt idx="5">
                  <c:v>29015</c:v>
                </c:pt>
                <c:pt idx="6">
                  <c:v>22039</c:v>
                </c:pt>
                <c:pt idx="7">
                  <c:v>21078</c:v>
                </c:pt>
                <c:pt idx="8">
                  <c:v>30851</c:v>
                </c:pt>
                <c:pt idx="9">
                  <c:v>8863</c:v>
                </c:pt>
                <c:pt idx="10">
                  <c:v>34568</c:v>
                </c:pt>
                <c:pt idx="11">
                  <c:v>16683</c:v>
                </c:pt>
                <c:pt idx="12">
                  <c:v>173507</c:v>
                </c:pt>
                <c:pt idx="13">
                  <c:v>164885</c:v>
                </c:pt>
                <c:pt idx="14">
                  <c:v>237153</c:v>
                </c:pt>
                <c:pt idx="15">
                  <c:v>180799</c:v>
                </c:pt>
                <c:pt idx="16">
                  <c:v>236132</c:v>
                </c:pt>
                <c:pt idx="17">
                  <c:v>192105</c:v>
                </c:pt>
                <c:pt idx="18">
                  <c:v>178936</c:v>
                </c:pt>
                <c:pt idx="19">
                  <c:v>157880</c:v>
                </c:pt>
                <c:pt idx="20">
                  <c:v>115356</c:v>
                </c:pt>
                <c:pt idx="21">
                  <c:v>122233</c:v>
                </c:pt>
                <c:pt idx="22">
                  <c:v>101928</c:v>
                </c:pt>
                <c:pt idx="23">
                  <c:v>134169</c:v>
                </c:pt>
                <c:pt idx="24">
                  <c:v>107859</c:v>
                </c:pt>
              </c:numCache>
            </c:numRef>
          </c:val>
          <c:smooth val="0"/>
          <c:extLst>
            <c:ext xmlns:c16="http://schemas.microsoft.com/office/drawing/2014/chart" uri="{C3380CC4-5D6E-409C-BE32-E72D297353CC}">
              <c16:uniqueId val="{00000003-E0E3-415B-8FAF-E754C2C50403}"/>
            </c:ext>
          </c:extLst>
        </c:ser>
        <c:ser>
          <c:idx val="4"/>
          <c:order val="4"/>
          <c:tx>
            <c:strRef>
              <c:f>Sheet1!$B$6</c:f>
              <c:strCache>
                <c:ptCount val="1"/>
                <c:pt idx="0">
                  <c:v>&gt;=25%</c:v>
                </c:pt>
              </c:strCache>
            </c:strRef>
          </c:tx>
          <c:spPr>
            <a:ln w="28575" cap="rnd">
              <a:solidFill>
                <a:schemeClr val="accent5">
                  <a:lumMod val="60000"/>
                </a:schemeClr>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Sheet1!$F$6:$AD$6</c:f>
              <c:numCache>
                <c:formatCode>#,##0</c:formatCode>
                <c:ptCount val="25"/>
                <c:pt idx="0">
                  <c:v>18876</c:v>
                </c:pt>
                <c:pt idx="1">
                  <c:v>15481</c:v>
                </c:pt>
                <c:pt idx="2">
                  <c:v>9255</c:v>
                </c:pt>
                <c:pt idx="3">
                  <c:v>4068</c:v>
                </c:pt>
                <c:pt idx="4">
                  <c:v>7044</c:v>
                </c:pt>
                <c:pt idx="5">
                  <c:v>28926</c:v>
                </c:pt>
                <c:pt idx="6">
                  <c:v>22014</c:v>
                </c:pt>
                <c:pt idx="7">
                  <c:v>21052</c:v>
                </c:pt>
                <c:pt idx="8">
                  <c:v>30799</c:v>
                </c:pt>
                <c:pt idx="9">
                  <c:v>8850</c:v>
                </c:pt>
                <c:pt idx="10">
                  <c:v>34457</c:v>
                </c:pt>
                <c:pt idx="11">
                  <c:v>16643</c:v>
                </c:pt>
                <c:pt idx="12">
                  <c:v>173059</c:v>
                </c:pt>
                <c:pt idx="13">
                  <c:v>164449</c:v>
                </c:pt>
                <c:pt idx="14">
                  <c:v>236635</c:v>
                </c:pt>
                <c:pt idx="15">
                  <c:v>180437</c:v>
                </c:pt>
                <c:pt idx="16">
                  <c:v>235749</c:v>
                </c:pt>
                <c:pt idx="17">
                  <c:v>191559</c:v>
                </c:pt>
                <c:pt idx="18">
                  <c:v>178437</c:v>
                </c:pt>
                <c:pt idx="19">
                  <c:v>157432</c:v>
                </c:pt>
                <c:pt idx="20">
                  <c:v>115021</c:v>
                </c:pt>
                <c:pt idx="21">
                  <c:v>121924</c:v>
                </c:pt>
                <c:pt idx="22">
                  <c:v>101604</c:v>
                </c:pt>
                <c:pt idx="23">
                  <c:v>133609</c:v>
                </c:pt>
                <c:pt idx="24">
                  <c:v>107386</c:v>
                </c:pt>
              </c:numCache>
            </c:numRef>
          </c:val>
          <c:smooth val="0"/>
          <c:extLst>
            <c:ext xmlns:c16="http://schemas.microsoft.com/office/drawing/2014/chart" uri="{C3380CC4-5D6E-409C-BE32-E72D297353CC}">
              <c16:uniqueId val="{00000004-E0E3-415B-8FAF-E754C2C50403}"/>
            </c:ext>
          </c:extLst>
        </c:ser>
        <c:ser>
          <c:idx val="5"/>
          <c:order val="5"/>
          <c:tx>
            <c:strRef>
              <c:f>Sheet1!$B$7</c:f>
              <c:strCache>
                <c:ptCount val="1"/>
                <c:pt idx="0">
                  <c:v>&gt;=30%</c:v>
                </c:pt>
              </c:strCache>
            </c:strRef>
          </c:tx>
          <c:spPr>
            <a:ln w="28575" cap="rnd">
              <a:solidFill>
                <a:schemeClr val="accent4">
                  <a:lumMod val="60000"/>
                </a:schemeClr>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Sheet1!$F$7:$AD$7</c:f>
              <c:numCache>
                <c:formatCode>#,##0</c:formatCode>
                <c:ptCount val="25"/>
                <c:pt idx="0">
                  <c:v>18596</c:v>
                </c:pt>
                <c:pt idx="1">
                  <c:v>15310</c:v>
                </c:pt>
                <c:pt idx="2">
                  <c:v>9099</c:v>
                </c:pt>
                <c:pt idx="3">
                  <c:v>4020</c:v>
                </c:pt>
                <c:pt idx="4">
                  <c:v>6872</c:v>
                </c:pt>
                <c:pt idx="5">
                  <c:v>28526</c:v>
                </c:pt>
                <c:pt idx="6">
                  <c:v>21878</c:v>
                </c:pt>
                <c:pt idx="7">
                  <c:v>20925</c:v>
                </c:pt>
                <c:pt idx="8">
                  <c:v>30546</c:v>
                </c:pt>
                <c:pt idx="9">
                  <c:v>8782</c:v>
                </c:pt>
                <c:pt idx="10">
                  <c:v>33929</c:v>
                </c:pt>
                <c:pt idx="11">
                  <c:v>16356</c:v>
                </c:pt>
                <c:pt idx="12">
                  <c:v>170277</c:v>
                </c:pt>
                <c:pt idx="13">
                  <c:v>161513</c:v>
                </c:pt>
                <c:pt idx="14">
                  <c:v>232762</c:v>
                </c:pt>
                <c:pt idx="15">
                  <c:v>177687</c:v>
                </c:pt>
                <c:pt idx="16">
                  <c:v>232753</c:v>
                </c:pt>
                <c:pt idx="17">
                  <c:v>188218</c:v>
                </c:pt>
                <c:pt idx="18">
                  <c:v>175467</c:v>
                </c:pt>
                <c:pt idx="19">
                  <c:v>154641</c:v>
                </c:pt>
                <c:pt idx="20">
                  <c:v>113033</c:v>
                </c:pt>
                <c:pt idx="21">
                  <c:v>119929</c:v>
                </c:pt>
                <c:pt idx="22">
                  <c:v>99682</c:v>
                </c:pt>
                <c:pt idx="23">
                  <c:v>130669</c:v>
                </c:pt>
                <c:pt idx="24">
                  <c:v>104934</c:v>
                </c:pt>
              </c:numCache>
            </c:numRef>
          </c:val>
          <c:smooth val="0"/>
          <c:extLst>
            <c:ext xmlns:c16="http://schemas.microsoft.com/office/drawing/2014/chart" uri="{C3380CC4-5D6E-409C-BE32-E72D297353CC}">
              <c16:uniqueId val="{00000005-E0E3-415B-8FAF-E754C2C50403}"/>
            </c:ext>
          </c:extLst>
        </c:ser>
        <c:ser>
          <c:idx val="6"/>
          <c:order val="6"/>
          <c:tx>
            <c:strRef>
              <c:f>Sheet1!$B$8</c:f>
              <c:strCache>
                <c:ptCount val="1"/>
                <c:pt idx="0">
                  <c:v>&gt;=50%</c:v>
                </c:pt>
              </c:strCache>
            </c:strRef>
          </c:tx>
          <c:spPr>
            <a:ln w="28575" cap="rnd">
              <a:solidFill>
                <a:schemeClr val="accent6">
                  <a:lumMod val="80000"/>
                  <a:lumOff val="20000"/>
                </a:schemeClr>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Sheet1!$F$8:$AD$8</c:f>
              <c:numCache>
                <c:formatCode>#,##0</c:formatCode>
                <c:ptCount val="25"/>
                <c:pt idx="0">
                  <c:v>16583</c:v>
                </c:pt>
                <c:pt idx="1">
                  <c:v>13728</c:v>
                </c:pt>
                <c:pt idx="2">
                  <c:v>8022</c:v>
                </c:pt>
                <c:pt idx="3">
                  <c:v>3491</c:v>
                </c:pt>
                <c:pt idx="4">
                  <c:v>5812</c:v>
                </c:pt>
                <c:pt idx="5">
                  <c:v>24614</c:v>
                </c:pt>
                <c:pt idx="6">
                  <c:v>19766</c:v>
                </c:pt>
                <c:pt idx="7">
                  <c:v>19232</c:v>
                </c:pt>
                <c:pt idx="8">
                  <c:v>27669</c:v>
                </c:pt>
                <c:pt idx="9">
                  <c:v>7992</c:v>
                </c:pt>
                <c:pt idx="10">
                  <c:v>28830</c:v>
                </c:pt>
                <c:pt idx="11">
                  <c:v>13464</c:v>
                </c:pt>
                <c:pt idx="12">
                  <c:v>131503</c:v>
                </c:pt>
                <c:pt idx="13">
                  <c:v>117931</c:v>
                </c:pt>
                <c:pt idx="14">
                  <c:v>170307</c:v>
                </c:pt>
                <c:pt idx="15">
                  <c:v>130287</c:v>
                </c:pt>
                <c:pt idx="16">
                  <c:v>177136</c:v>
                </c:pt>
                <c:pt idx="17">
                  <c:v>140291</c:v>
                </c:pt>
                <c:pt idx="18">
                  <c:v>131366</c:v>
                </c:pt>
                <c:pt idx="19">
                  <c:v>114907</c:v>
                </c:pt>
                <c:pt idx="20">
                  <c:v>85505</c:v>
                </c:pt>
                <c:pt idx="21">
                  <c:v>91014</c:v>
                </c:pt>
                <c:pt idx="22">
                  <c:v>74865</c:v>
                </c:pt>
                <c:pt idx="23">
                  <c:v>95628</c:v>
                </c:pt>
                <c:pt idx="24">
                  <c:v>77928</c:v>
                </c:pt>
              </c:numCache>
            </c:numRef>
          </c:val>
          <c:smooth val="0"/>
          <c:extLst>
            <c:ext xmlns:c16="http://schemas.microsoft.com/office/drawing/2014/chart" uri="{C3380CC4-5D6E-409C-BE32-E72D297353CC}">
              <c16:uniqueId val="{00000006-E0E3-415B-8FAF-E754C2C50403}"/>
            </c:ext>
          </c:extLst>
        </c:ser>
        <c:ser>
          <c:idx val="7"/>
          <c:order val="7"/>
          <c:tx>
            <c:strRef>
              <c:f>Sheet1!$B$9</c:f>
              <c:strCache>
                <c:ptCount val="1"/>
                <c:pt idx="0">
                  <c:v>&gt;=75%</c:v>
                </c:pt>
              </c:strCache>
            </c:strRef>
          </c:tx>
          <c:spPr>
            <a:ln w="28575" cap="rnd">
              <a:solidFill>
                <a:schemeClr val="accent5">
                  <a:lumMod val="80000"/>
                  <a:lumOff val="20000"/>
                </a:schemeClr>
              </a:solidFill>
              <a:round/>
            </a:ln>
            <a:effectLst/>
          </c:spPr>
          <c:marker>
            <c:symbol val="none"/>
          </c:marker>
          <c:cat>
            <c:numRef>
              <c:f>Sheet1!$F$10:$AD$10</c:f>
              <c:numCache>
                <c:formatCode>General</c:formatCode>
                <c:ptCount val="2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Sheet1!$F$9:$AD$9</c:f>
              <c:numCache>
                <c:formatCode>#,##0</c:formatCode>
                <c:ptCount val="25"/>
                <c:pt idx="0">
                  <c:v>5753</c:v>
                </c:pt>
                <c:pt idx="1">
                  <c:v>2844</c:v>
                </c:pt>
                <c:pt idx="2">
                  <c:v>2384</c:v>
                </c:pt>
                <c:pt idx="3">
                  <c:v>909</c:v>
                </c:pt>
                <c:pt idx="4">
                  <c:v>1508</c:v>
                </c:pt>
                <c:pt idx="5">
                  <c:v>6861</c:v>
                </c:pt>
                <c:pt idx="6">
                  <c:v>5548</c:v>
                </c:pt>
                <c:pt idx="7">
                  <c:v>5823</c:v>
                </c:pt>
                <c:pt idx="8">
                  <c:v>6643</c:v>
                </c:pt>
                <c:pt idx="9">
                  <c:v>1900</c:v>
                </c:pt>
                <c:pt idx="10">
                  <c:v>6796</c:v>
                </c:pt>
                <c:pt idx="11">
                  <c:v>906</c:v>
                </c:pt>
                <c:pt idx="12">
                  <c:v>3019</c:v>
                </c:pt>
                <c:pt idx="13">
                  <c:v>1678</c:v>
                </c:pt>
                <c:pt idx="14">
                  <c:v>2894</c:v>
                </c:pt>
                <c:pt idx="15">
                  <c:v>2644</c:v>
                </c:pt>
                <c:pt idx="16">
                  <c:v>4008</c:v>
                </c:pt>
                <c:pt idx="17">
                  <c:v>2829</c:v>
                </c:pt>
                <c:pt idx="18">
                  <c:v>3033</c:v>
                </c:pt>
                <c:pt idx="19">
                  <c:v>2549</c:v>
                </c:pt>
                <c:pt idx="20">
                  <c:v>2744</c:v>
                </c:pt>
                <c:pt idx="21">
                  <c:v>2876</c:v>
                </c:pt>
                <c:pt idx="22">
                  <c:v>2660</c:v>
                </c:pt>
                <c:pt idx="23">
                  <c:v>2906</c:v>
                </c:pt>
                <c:pt idx="24">
                  <c:v>2536</c:v>
                </c:pt>
              </c:numCache>
            </c:numRef>
          </c:val>
          <c:smooth val="0"/>
          <c:extLst>
            <c:ext xmlns:c16="http://schemas.microsoft.com/office/drawing/2014/chart" uri="{C3380CC4-5D6E-409C-BE32-E72D297353CC}">
              <c16:uniqueId val="{00000007-E0E3-415B-8FAF-E754C2C50403}"/>
            </c:ext>
          </c:extLst>
        </c:ser>
        <c:dLbls>
          <c:showLegendKey val="0"/>
          <c:showVal val="0"/>
          <c:showCatName val="0"/>
          <c:showSerName val="0"/>
          <c:showPercent val="0"/>
          <c:showBubbleSize val="0"/>
        </c:dLbls>
        <c:smooth val="0"/>
        <c:axId val="2008829231"/>
        <c:axId val="2008826351"/>
      </c:lineChart>
      <c:catAx>
        <c:axId val="20088292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08826351"/>
        <c:crosses val="autoZero"/>
        <c:auto val="1"/>
        <c:lblAlgn val="ctr"/>
        <c:lblOffset val="100"/>
        <c:noMultiLvlLbl val="0"/>
      </c:catAx>
      <c:valAx>
        <c:axId val="2008826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loss in hectares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088292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Primary Forest Loss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Sheet2!$C$13</c:f>
              <c:strCache>
                <c:ptCount val="1"/>
                <c:pt idx="0">
                  <c:v>Annual Loss (ha)</c:v>
                </c:pt>
              </c:strCache>
            </c:strRef>
          </c:tx>
          <c:spPr>
            <a:solidFill>
              <a:schemeClr val="accent2"/>
            </a:solidFill>
            <a:ln>
              <a:noFill/>
            </a:ln>
            <a:effectLst/>
          </c:spPr>
          <c:invertIfNegative val="0"/>
          <c:cat>
            <c:numRef>
              <c:f>Sheet2!$D$11:$AB$11</c:f>
              <c:numCache>
                <c:formatCode>General</c:formatCode>
                <c:ptCount val="2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Sheet2!$D$13:$AA$13</c:f>
              <c:numCache>
                <c:formatCode>General</c:formatCode>
                <c:ptCount val="24"/>
                <c:pt idx="0">
                  <c:v>250</c:v>
                </c:pt>
                <c:pt idx="1">
                  <c:v>176</c:v>
                </c:pt>
                <c:pt idx="2">
                  <c:v>235</c:v>
                </c:pt>
                <c:pt idx="3">
                  <c:v>167</c:v>
                </c:pt>
                <c:pt idx="4">
                  <c:v>787</c:v>
                </c:pt>
                <c:pt idx="5">
                  <c:v>476</c:v>
                </c:pt>
                <c:pt idx="6">
                  <c:v>463</c:v>
                </c:pt>
                <c:pt idx="7">
                  <c:v>961</c:v>
                </c:pt>
                <c:pt idx="8">
                  <c:v>301</c:v>
                </c:pt>
                <c:pt idx="9">
                  <c:v>601</c:v>
                </c:pt>
                <c:pt idx="10">
                  <c:v>613</c:v>
                </c:pt>
                <c:pt idx="11">
                  <c:v>2463</c:v>
                </c:pt>
                <c:pt idx="12">
                  <c:v>1762</c:v>
                </c:pt>
                <c:pt idx="13">
                  <c:v>3170</c:v>
                </c:pt>
                <c:pt idx="14">
                  <c:v>2963</c:v>
                </c:pt>
                <c:pt idx="15">
                  <c:v>4181</c:v>
                </c:pt>
                <c:pt idx="16">
                  <c:v>3401</c:v>
                </c:pt>
                <c:pt idx="17">
                  <c:v>3543</c:v>
                </c:pt>
                <c:pt idx="18">
                  <c:v>2957</c:v>
                </c:pt>
                <c:pt idx="19">
                  <c:v>3272</c:v>
                </c:pt>
                <c:pt idx="20">
                  <c:v>3204</c:v>
                </c:pt>
                <c:pt idx="21">
                  <c:v>3365</c:v>
                </c:pt>
                <c:pt idx="22">
                  <c:v>3827</c:v>
                </c:pt>
                <c:pt idx="23">
                  <c:v>3549</c:v>
                </c:pt>
              </c:numCache>
            </c:numRef>
          </c:val>
          <c:extLst>
            <c:ext xmlns:c16="http://schemas.microsoft.com/office/drawing/2014/chart" uri="{C3380CC4-5D6E-409C-BE32-E72D297353CC}">
              <c16:uniqueId val="{00000000-7FA5-494F-987F-F9D1B574041C}"/>
            </c:ext>
          </c:extLst>
        </c:ser>
        <c:dLbls>
          <c:showLegendKey val="0"/>
          <c:showVal val="0"/>
          <c:showCatName val="0"/>
          <c:showSerName val="0"/>
          <c:showPercent val="0"/>
          <c:showBubbleSize val="0"/>
        </c:dLbls>
        <c:gapWidth val="150"/>
        <c:axId val="2094088463"/>
        <c:axId val="24566527"/>
      </c:barChart>
      <c:lineChart>
        <c:grouping val="standard"/>
        <c:varyColors val="0"/>
        <c:ser>
          <c:idx val="0"/>
          <c:order val="0"/>
          <c:tx>
            <c:strRef>
              <c:f>Sheet2!$C$12</c:f>
              <c:strCache>
                <c:ptCount val="1"/>
                <c:pt idx="0">
                  <c:v>Remaining Primary (%)</c:v>
                </c:pt>
              </c:strCache>
            </c:strRef>
          </c:tx>
          <c:spPr>
            <a:ln w="28575" cap="rnd">
              <a:solidFill>
                <a:schemeClr val="accent1"/>
              </a:solidFill>
              <a:round/>
            </a:ln>
            <a:effectLst/>
          </c:spPr>
          <c:marker>
            <c:symbol val="none"/>
          </c:marker>
          <c:cat>
            <c:numRef>
              <c:f>Sheet2!$D$11:$AA$11</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Sheet2!$D$12:$AA$12</c:f>
              <c:numCache>
                <c:formatCode>0%</c:formatCode>
                <c:ptCount val="24"/>
                <c:pt idx="0">
                  <c:v>0.99909641602451971</c:v>
                </c:pt>
                <c:pt idx="1">
                  <c:v>0.99846029290578153</c:v>
                </c:pt>
                <c:pt idx="2">
                  <c:v>0.99761092396883</c:v>
                </c:pt>
                <c:pt idx="3">
                  <c:v>0.99700732987320906</c:v>
                </c:pt>
                <c:pt idx="4">
                  <c:v>0.99416284751839701</c:v>
                </c:pt>
                <c:pt idx="5">
                  <c:v>0.99244242362908242</c:v>
                </c:pt>
                <c:pt idx="6">
                  <c:v>0.99076898610649278</c:v>
                </c:pt>
                <c:pt idx="7">
                  <c:v>0.98729560930474636</c:v>
                </c:pt>
                <c:pt idx="8">
                  <c:v>0.98620769419826804</c:v>
                </c:pt>
                <c:pt idx="9">
                  <c:v>0.9840354783212133</c:v>
                </c:pt>
                <c:pt idx="10">
                  <c:v>0.98181989041333551</c:v>
                </c:pt>
                <c:pt idx="11">
                  <c:v>0.97291778108690308</c:v>
                </c:pt>
                <c:pt idx="12">
                  <c:v>0.96654932122771764</c:v>
                </c:pt>
                <c:pt idx="13">
                  <c:v>0.95509187641862681</c:v>
                </c:pt>
                <c:pt idx="14">
                  <c:v>0.94438259914123379</c:v>
                </c:pt>
                <c:pt idx="15">
                  <c:v>0.92927106073530052</c:v>
                </c:pt>
                <c:pt idx="16">
                  <c:v>0.91697870433286588</c:v>
                </c:pt>
                <c:pt idx="17">
                  <c:v>0.90417311223235841</c:v>
                </c:pt>
                <c:pt idx="18">
                  <c:v>0.89348552097037692</c:v>
                </c:pt>
                <c:pt idx="19">
                  <c:v>0.88165941389929015</c:v>
                </c:pt>
                <c:pt idx="20">
                  <c:v>0.87007908166953407</c:v>
                </c:pt>
                <c:pt idx="21">
                  <c:v>0.85791684135956858</c:v>
                </c:pt>
                <c:pt idx="22">
                  <c:v>0.84408477786291547</c:v>
                </c:pt>
                <c:pt idx="23">
                  <c:v>0.83125749974699648</c:v>
                </c:pt>
              </c:numCache>
            </c:numRef>
          </c:val>
          <c:smooth val="0"/>
          <c:extLst>
            <c:ext xmlns:c16="http://schemas.microsoft.com/office/drawing/2014/chart" uri="{C3380CC4-5D6E-409C-BE32-E72D297353CC}">
              <c16:uniqueId val="{00000001-7FA5-494F-987F-F9D1B574041C}"/>
            </c:ext>
          </c:extLst>
        </c:ser>
        <c:dLbls>
          <c:showLegendKey val="0"/>
          <c:showVal val="0"/>
          <c:showCatName val="0"/>
          <c:showSerName val="0"/>
          <c:showPercent val="0"/>
          <c:showBubbleSize val="0"/>
        </c:dLbls>
        <c:marker val="1"/>
        <c:smooth val="0"/>
        <c:axId val="2094089423"/>
        <c:axId val="2094090863"/>
      </c:lineChart>
      <c:catAx>
        <c:axId val="20940884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66527"/>
        <c:crosses val="autoZero"/>
        <c:auto val="1"/>
        <c:lblAlgn val="ctr"/>
        <c:lblOffset val="100"/>
        <c:noMultiLvlLbl val="0"/>
      </c:catAx>
      <c:valAx>
        <c:axId val="245665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Annual Loss</a:t>
                </a:r>
                <a:r>
                  <a:rPr lang="en-GB"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4088463"/>
        <c:crosses val="autoZero"/>
        <c:crossBetween val="between"/>
      </c:valAx>
      <c:valAx>
        <c:axId val="2094090863"/>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Remaining Primary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4089423"/>
        <c:crosses val="max"/>
        <c:crossBetween val="between"/>
      </c:valAx>
      <c:catAx>
        <c:axId val="2094089423"/>
        <c:scaling>
          <c:orientation val="minMax"/>
        </c:scaling>
        <c:delete val="1"/>
        <c:axPos val="b"/>
        <c:numFmt formatCode="General" sourceLinked="1"/>
        <c:majorTickMark val="out"/>
        <c:minorTickMark val="none"/>
        <c:tickLblPos val="nextTo"/>
        <c:crossAx val="209409086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15B62A0-865C-49D5-B3C0-5B198B441305}">
  <ds:schemaRefs>
    <ds:schemaRef ds:uri="http://schemas.openxmlformats.org/officeDocument/2006/bibliography"/>
  </ds:schemaRefs>
</ds:datastoreItem>
</file>

<file path=customXml/itemProps2.xml><?xml version="1.0" encoding="utf-8"?>
<ds:datastoreItem xmlns:ds="http://schemas.openxmlformats.org/officeDocument/2006/customXml" ds:itemID="{83431297-332F-4F46-92B9-CDD159069695}">
  <ds:schemaRefs>
    <ds:schemaRef ds:uri="http://schemas.microsoft.com/sharepoint/v3/contenttype/forms"/>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VCA4D report template 2018 09 13.dotx</Template>
  <TotalTime>64</TotalTime>
  <Pages>126</Pages>
  <Words>55065</Words>
  <Characters>313875</Characters>
  <Application>Microsoft Office Word</Application>
  <DocSecurity>0</DocSecurity>
  <Lines>2615</Lines>
  <Paragraphs>736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dc:creator>
  <dc:description>Green Beans Value Chain in Kenya</dc:description>
  <cp:lastModifiedBy>Heval Yildirim</cp:lastModifiedBy>
  <cp:revision>6</cp:revision>
  <cp:lastPrinted>2018-11-09T09:04:00Z</cp:lastPrinted>
  <dcterms:created xsi:type="dcterms:W3CDTF">2026-06-30T09:55:00Z</dcterms:created>
  <dcterms:modified xsi:type="dcterms:W3CDTF">2026-06-30T14:39:00Z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TC026803929991</vt:lpwstr>
  </property>
  <property fmtid="{D5CDD505-2E9C-101B-9397-08002B2CF9AE}" pid="3" name="GrammarlyDocumentId">
    <vt:lpwstr>d9e8c712-e64e-4b24-a69d-c4301026817f</vt:lpwstr>
  </property>
  <property fmtid="{D5CDD505-2E9C-101B-9397-08002B2CF9AE}" pid="4" name="MSIP_Label_6bd9ddd1-4d20-43f6-abfa-fc3c07406f94_Enabled">
    <vt:lpwstr>true</vt:lpwstr>
  </property>
  <property fmtid="{D5CDD505-2E9C-101B-9397-08002B2CF9AE}" pid="5" name="MSIP_Label_6bd9ddd1-4d20-43f6-abfa-fc3c07406f94_SetDate">
    <vt:lpwstr>2026-06-27T13:01:44Z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f7ce70b1-2abf-4939-8b7f-054361f300ea</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