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5A3" w:rsidRDefault="008D55A3" w:rsidP="007B70FF">
      <w:pPr>
        <w:jc w:val="center"/>
        <w:rPr>
          <w:b/>
          <w:color w:val="A6A6A6" w:themeColor="background1" w:themeShade="A6"/>
          <w:sz w:val="32"/>
          <w:szCs w:val="32"/>
        </w:rPr>
      </w:pPr>
      <w:bookmarkStart w:id="0" w:name="_GoBack"/>
      <w:bookmarkEnd w:id="0"/>
    </w:p>
    <w:p w:rsidR="00F85FD2" w:rsidRPr="00E87A49" w:rsidRDefault="00E87A49" w:rsidP="00E87A49">
      <w:pPr>
        <w:jc w:val="right"/>
        <w:rPr>
          <w:b/>
          <w:color w:val="A6A6A6" w:themeColor="background1" w:themeShade="A6"/>
          <w:sz w:val="32"/>
          <w:szCs w:val="32"/>
        </w:rPr>
      </w:pPr>
      <w:r w:rsidRPr="00E87A49">
        <w:rPr>
          <w:b/>
          <w:color w:val="A6A6A6" w:themeColor="background1" w:themeShade="A6"/>
          <w:sz w:val="32"/>
          <w:szCs w:val="32"/>
        </w:rPr>
        <w:t xml:space="preserve"> </w:t>
      </w:r>
      <w:r w:rsidR="00A55AEA">
        <w:rPr>
          <w:b/>
          <w:color w:val="A6A6A6" w:themeColor="background1" w:themeShade="A6"/>
          <w:sz w:val="32"/>
          <w:szCs w:val="32"/>
        </w:rPr>
        <w:t>03</w:t>
      </w:r>
      <w:r w:rsidR="003A1247">
        <w:rPr>
          <w:b/>
          <w:color w:val="A6A6A6" w:themeColor="background1" w:themeShade="A6"/>
          <w:sz w:val="32"/>
          <w:szCs w:val="32"/>
        </w:rPr>
        <w:t>.0</w:t>
      </w:r>
      <w:r w:rsidR="00A55AEA">
        <w:rPr>
          <w:b/>
          <w:color w:val="A6A6A6" w:themeColor="background1" w:themeShade="A6"/>
          <w:sz w:val="32"/>
          <w:szCs w:val="32"/>
        </w:rPr>
        <w:t>2</w:t>
      </w:r>
      <w:r w:rsidR="003A1247">
        <w:rPr>
          <w:b/>
          <w:color w:val="A6A6A6" w:themeColor="background1" w:themeShade="A6"/>
          <w:sz w:val="32"/>
          <w:szCs w:val="32"/>
        </w:rPr>
        <w:t>.2016</w:t>
      </w:r>
    </w:p>
    <w:p w:rsidR="00F85FD2" w:rsidRDefault="00F85FD2">
      <w:pPr>
        <w:rPr>
          <w:color w:val="0070C0"/>
          <w:sz w:val="32"/>
          <w:szCs w:val="32"/>
        </w:rPr>
      </w:pPr>
    </w:p>
    <w:p w:rsidR="003945C8" w:rsidRDefault="003945C8">
      <w:pPr>
        <w:rPr>
          <w:color w:val="0070C0"/>
          <w:sz w:val="32"/>
          <w:szCs w:val="32"/>
        </w:rPr>
      </w:pPr>
    </w:p>
    <w:p w:rsidR="003945C8" w:rsidRDefault="003945C8">
      <w:pPr>
        <w:rPr>
          <w:color w:val="0070C0"/>
          <w:sz w:val="32"/>
          <w:szCs w:val="32"/>
        </w:rPr>
      </w:pPr>
    </w:p>
    <w:p w:rsidR="003945C8" w:rsidRDefault="003945C8">
      <w:pPr>
        <w:rPr>
          <w:color w:val="0070C0"/>
          <w:sz w:val="32"/>
          <w:szCs w:val="32"/>
        </w:rPr>
      </w:pPr>
    </w:p>
    <w:p w:rsidR="003945C8" w:rsidRDefault="003945C8">
      <w:pPr>
        <w:rPr>
          <w:color w:val="0070C0"/>
          <w:sz w:val="32"/>
          <w:szCs w:val="32"/>
        </w:rPr>
      </w:pPr>
    </w:p>
    <w:p w:rsidR="003945C8" w:rsidRDefault="003945C8">
      <w:pPr>
        <w:rPr>
          <w:color w:val="0070C0"/>
          <w:sz w:val="32"/>
          <w:szCs w:val="32"/>
        </w:rPr>
      </w:pPr>
    </w:p>
    <w:p w:rsidR="00F85FD2" w:rsidRPr="00E87A49" w:rsidRDefault="00F85FD2" w:rsidP="00F85FD2">
      <w:pPr>
        <w:pStyle w:val="ECDPMreporttitle"/>
        <w:spacing w:after="240"/>
        <w:jc w:val="both"/>
        <w:rPr>
          <w:b/>
          <w:sz w:val="40"/>
          <w:szCs w:val="40"/>
        </w:rPr>
      </w:pPr>
      <w:r>
        <w:rPr>
          <w:sz w:val="40"/>
          <w:szCs w:val="40"/>
        </w:rPr>
        <w:t xml:space="preserve">            </w:t>
      </w:r>
      <w:r w:rsidRPr="00E87A49">
        <w:rPr>
          <w:b/>
          <w:sz w:val="40"/>
          <w:szCs w:val="40"/>
        </w:rPr>
        <w:t xml:space="preserve">Providing EU Budget Support </w:t>
      </w:r>
    </w:p>
    <w:p w:rsidR="00F85FD2" w:rsidRPr="00E87A49" w:rsidRDefault="00F85FD2" w:rsidP="00F85FD2">
      <w:pPr>
        <w:pStyle w:val="ECDPMreporttitle"/>
        <w:ind w:firstLine="720"/>
        <w:jc w:val="both"/>
        <w:rPr>
          <w:b/>
          <w:sz w:val="40"/>
          <w:szCs w:val="40"/>
        </w:rPr>
      </w:pPr>
      <w:r w:rsidRPr="00E87A49">
        <w:rPr>
          <w:b/>
          <w:sz w:val="40"/>
          <w:szCs w:val="40"/>
        </w:rPr>
        <w:t xml:space="preserve">         In Decentrali</w:t>
      </w:r>
      <w:r w:rsidR="00B3152D">
        <w:rPr>
          <w:b/>
          <w:sz w:val="40"/>
          <w:szCs w:val="40"/>
        </w:rPr>
        <w:t xml:space="preserve">zed Contexts </w:t>
      </w:r>
      <w:r w:rsidRPr="00E87A49">
        <w:rPr>
          <w:b/>
          <w:sz w:val="40"/>
          <w:szCs w:val="40"/>
        </w:rPr>
        <w:t xml:space="preserve"> </w:t>
      </w:r>
    </w:p>
    <w:p w:rsidR="00032F6E" w:rsidRPr="003075E6" w:rsidRDefault="00F21622" w:rsidP="006B1CD5">
      <w:pPr>
        <w:pStyle w:val="NoSpacing"/>
        <w:jc w:val="center"/>
        <w:rPr>
          <w:i/>
          <w:color w:val="4F81BD" w:themeColor="accent1"/>
          <w:sz w:val="28"/>
          <w:szCs w:val="28"/>
        </w:rPr>
      </w:pPr>
      <w:r w:rsidRPr="003075E6">
        <w:rPr>
          <w:i/>
          <w:color w:val="4F81BD" w:themeColor="accent1"/>
          <w:sz w:val="28"/>
          <w:szCs w:val="28"/>
        </w:rPr>
        <w:t>A</w:t>
      </w:r>
      <w:r w:rsidR="00B3152D">
        <w:rPr>
          <w:i/>
          <w:color w:val="4F81BD" w:themeColor="accent1"/>
          <w:sz w:val="28"/>
          <w:szCs w:val="28"/>
        </w:rPr>
        <w:t xml:space="preserve"> methodological </w:t>
      </w:r>
      <w:r w:rsidRPr="003075E6">
        <w:rPr>
          <w:i/>
          <w:color w:val="4F81BD" w:themeColor="accent1"/>
          <w:sz w:val="28"/>
          <w:szCs w:val="28"/>
        </w:rPr>
        <w:t xml:space="preserve">Note </w:t>
      </w:r>
    </w:p>
    <w:p w:rsidR="0026497E" w:rsidRDefault="0026497E" w:rsidP="008C637D">
      <w:pPr>
        <w:spacing w:after="120" w:line="240" w:lineRule="auto"/>
        <w:jc w:val="both"/>
        <w:rPr>
          <w:i/>
          <w:color w:val="4F81BD" w:themeColor="accent1"/>
          <w:sz w:val="28"/>
          <w:szCs w:val="28"/>
        </w:rPr>
      </w:pPr>
    </w:p>
    <w:p w:rsidR="008D55A3" w:rsidRDefault="003945C8">
      <w:pPr>
        <w:rPr>
          <w:b/>
          <w:color w:val="0070C0"/>
          <w:sz w:val="18"/>
          <w:szCs w:val="18"/>
        </w:rPr>
      </w:pPr>
      <w:r>
        <w:rPr>
          <w:b/>
          <w:color w:val="0070C0"/>
          <w:sz w:val="18"/>
          <w:szCs w:val="18"/>
        </w:rPr>
        <w:br w:type="page"/>
      </w:r>
    </w:p>
    <w:p w:rsidR="009A4000" w:rsidRDefault="009A4000" w:rsidP="008C637D">
      <w:pPr>
        <w:spacing w:after="120" w:line="240" w:lineRule="auto"/>
        <w:jc w:val="both"/>
        <w:rPr>
          <w:b/>
          <w:color w:val="0070C0"/>
          <w:sz w:val="18"/>
          <w:szCs w:val="18"/>
        </w:rPr>
      </w:pPr>
    </w:p>
    <w:p w:rsidR="00A55AEA" w:rsidRDefault="00A55AEA" w:rsidP="008C637D">
      <w:pPr>
        <w:spacing w:after="120" w:line="240" w:lineRule="auto"/>
        <w:jc w:val="both"/>
        <w:rPr>
          <w:b/>
          <w:color w:val="0070C0"/>
          <w:sz w:val="18"/>
          <w:szCs w:val="18"/>
        </w:rPr>
      </w:pPr>
    </w:p>
    <w:p w:rsidR="00AF46D6" w:rsidRPr="004158A6" w:rsidRDefault="008C637D" w:rsidP="008C637D">
      <w:pPr>
        <w:spacing w:after="120" w:line="240" w:lineRule="auto"/>
        <w:jc w:val="both"/>
        <w:rPr>
          <w:b/>
          <w:color w:val="0070C0"/>
          <w:sz w:val="32"/>
          <w:szCs w:val="32"/>
        </w:rPr>
      </w:pPr>
      <w:r>
        <w:t xml:space="preserve">              </w:t>
      </w:r>
      <w:r w:rsidR="005F2392" w:rsidRPr="004158A6">
        <w:rPr>
          <w:b/>
          <w:color w:val="0070C0"/>
          <w:sz w:val="32"/>
          <w:szCs w:val="32"/>
        </w:rPr>
        <w:t>Introduction</w:t>
      </w:r>
    </w:p>
    <w:p w:rsidR="003945C8" w:rsidRDefault="003945C8" w:rsidP="00092C99">
      <w:pPr>
        <w:pStyle w:val="NoSpacing"/>
        <w:jc w:val="both"/>
      </w:pPr>
    </w:p>
    <w:p w:rsidR="00092C99" w:rsidRPr="007B70FF" w:rsidRDefault="00092C99" w:rsidP="00092C99">
      <w:pPr>
        <w:pStyle w:val="NoSpacing"/>
        <w:jc w:val="both"/>
        <w:rPr>
          <w:color w:val="002060"/>
        </w:rPr>
      </w:pPr>
      <w:r w:rsidRPr="007B70FF">
        <w:rPr>
          <w:color w:val="002060"/>
        </w:rPr>
        <w:t>The purpose of this note is to provide complementary analytical guidance for the design of EU Budget Support (BS) operations in decentralized</w:t>
      </w:r>
      <w:r w:rsidR="00E5649F" w:rsidRPr="007B70FF">
        <w:rPr>
          <w:rStyle w:val="FootnoteReference"/>
          <w:color w:val="002060"/>
        </w:rPr>
        <w:footnoteReference w:id="1"/>
      </w:r>
      <w:r w:rsidRPr="007B70FF">
        <w:rPr>
          <w:color w:val="002060"/>
        </w:rPr>
        <w:t xml:space="preserve"> partner countries. It is based on the principles developed in the Commission's Budget Support Guidelines of September 2012 and the new Guidelines on "Supporting decentralization reforms, local governance and local development in partner countries" (forthcoming in 2015). The current note complements these guidelines with additional specific technical input. </w:t>
      </w:r>
    </w:p>
    <w:p w:rsidR="00092C99" w:rsidRPr="007B70FF" w:rsidRDefault="00092C99" w:rsidP="00092C99">
      <w:pPr>
        <w:spacing w:after="0" w:line="240" w:lineRule="auto"/>
        <w:jc w:val="both"/>
        <w:rPr>
          <w:color w:val="002060"/>
        </w:rPr>
      </w:pPr>
    </w:p>
    <w:p w:rsidR="00092C99" w:rsidRDefault="00092C99" w:rsidP="00092C99">
      <w:pPr>
        <w:spacing w:after="0" w:line="240" w:lineRule="auto"/>
        <w:jc w:val="both"/>
        <w:rPr>
          <w:color w:val="002060"/>
        </w:rPr>
      </w:pPr>
      <w:r w:rsidRPr="007B70FF">
        <w:rPr>
          <w:color w:val="002060"/>
        </w:rPr>
        <w:t xml:space="preserve">The present methodological note is </w:t>
      </w:r>
      <w:r w:rsidRPr="007B70FF">
        <w:rPr>
          <w:color w:val="002060"/>
          <w:u w:val="single"/>
        </w:rPr>
        <w:t>not</w:t>
      </w:r>
      <w:r w:rsidRPr="007B70FF">
        <w:rPr>
          <w:color w:val="002060"/>
        </w:rPr>
        <w:t xml:space="preserve"> meant to help design decentralization reforms as such. It is focused on better taking into account the </w:t>
      </w:r>
      <w:r w:rsidRPr="007B70FF">
        <w:rPr>
          <w:color w:val="002060"/>
          <w:u w:val="single"/>
        </w:rPr>
        <w:t>existing</w:t>
      </w:r>
      <w:r w:rsidRPr="007B70FF">
        <w:rPr>
          <w:color w:val="002060"/>
        </w:rPr>
        <w:t xml:space="preserve"> decentralized context when analyzing eligibility for budget support and designing a budget support operation. Support to encompassing reform of intergovernmental relations, including best practices on decentralization policies, will be addressed in the context of the above mentioned Guidelines on EU support to decentralization.</w:t>
      </w:r>
    </w:p>
    <w:p w:rsidR="009C3FB9" w:rsidRDefault="009C3FB9" w:rsidP="00092C99">
      <w:pPr>
        <w:spacing w:after="0" w:line="240" w:lineRule="auto"/>
        <w:jc w:val="both"/>
        <w:rPr>
          <w:color w:val="002060"/>
        </w:rPr>
      </w:pPr>
    </w:p>
    <w:p w:rsidR="009C3FB9" w:rsidRDefault="009C3FB9" w:rsidP="009C3FB9">
      <w:pPr>
        <w:spacing w:after="0" w:line="240" w:lineRule="auto"/>
        <w:jc w:val="both"/>
        <w:rPr>
          <w:color w:val="002060"/>
        </w:rPr>
      </w:pPr>
      <w:r w:rsidRPr="009C3FB9">
        <w:rPr>
          <w:color w:val="002060"/>
        </w:rPr>
        <w:t xml:space="preserve">Decentralized contexts in partner countries constitute complex environments for budget support. Each country context is different and depends on the constitutional realities, traditions, and the local political economy. </w:t>
      </w:r>
      <w:r>
        <w:rPr>
          <w:color w:val="002060"/>
        </w:rPr>
        <w:t xml:space="preserve"> When assessing budget support in a decentralized context particular attention should be paid to the</w:t>
      </w:r>
      <w:r w:rsidRPr="009C3FB9">
        <w:rPr>
          <w:color w:val="002060"/>
        </w:rPr>
        <w:t xml:space="preserve"> legal framework, mandates, institutional capacities at local level and </w:t>
      </w:r>
      <w:r>
        <w:rPr>
          <w:color w:val="002060"/>
        </w:rPr>
        <w:t>the</w:t>
      </w:r>
      <w:r w:rsidRPr="009C3FB9">
        <w:rPr>
          <w:color w:val="002060"/>
        </w:rPr>
        <w:t xml:space="preserve"> articulation between </w:t>
      </w:r>
      <w:r>
        <w:rPr>
          <w:color w:val="002060"/>
        </w:rPr>
        <w:t xml:space="preserve">central and local governments </w:t>
      </w:r>
      <w:r w:rsidRPr="009C3FB9">
        <w:rPr>
          <w:color w:val="002060"/>
        </w:rPr>
        <w:t>responsibilities</w:t>
      </w:r>
      <w:r>
        <w:rPr>
          <w:color w:val="002060"/>
        </w:rPr>
        <w:t xml:space="preserve"> and resources. T</w:t>
      </w:r>
      <w:r w:rsidRPr="009C3FB9">
        <w:rPr>
          <w:color w:val="002060"/>
        </w:rPr>
        <w:t>hese are just some of the</w:t>
      </w:r>
      <w:r>
        <w:rPr>
          <w:color w:val="002060"/>
        </w:rPr>
        <w:t xml:space="preserve"> </w:t>
      </w:r>
      <w:r w:rsidRPr="009C3FB9">
        <w:rPr>
          <w:color w:val="002060"/>
        </w:rPr>
        <w:t xml:space="preserve">frequently observed </w:t>
      </w:r>
      <w:r>
        <w:rPr>
          <w:color w:val="002060"/>
        </w:rPr>
        <w:t>key challenges</w:t>
      </w:r>
      <w:r w:rsidRPr="009C3FB9">
        <w:rPr>
          <w:color w:val="002060"/>
        </w:rPr>
        <w:t xml:space="preserve"> that the implementation of policies and the sound management of funds have to face. </w:t>
      </w:r>
    </w:p>
    <w:p w:rsidR="009C3FB9" w:rsidRPr="009C3FB9" w:rsidRDefault="009C3FB9" w:rsidP="009C3FB9">
      <w:pPr>
        <w:spacing w:after="0" w:line="240" w:lineRule="auto"/>
        <w:jc w:val="both"/>
        <w:rPr>
          <w:color w:val="002060"/>
        </w:rPr>
      </w:pPr>
    </w:p>
    <w:p w:rsidR="009C3FB9" w:rsidRPr="009C3FB9" w:rsidRDefault="009C3FB9" w:rsidP="009C3FB9">
      <w:pPr>
        <w:spacing w:after="0" w:line="240" w:lineRule="auto"/>
        <w:jc w:val="both"/>
        <w:rPr>
          <w:color w:val="002060"/>
        </w:rPr>
      </w:pPr>
      <w:r w:rsidRPr="009C3FB9">
        <w:rPr>
          <w:color w:val="002060"/>
        </w:rPr>
        <w:t>This note aims at providing guidance on aspects to be taken into consideration with regard to three types of operation:</w:t>
      </w:r>
    </w:p>
    <w:p w:rsidR="009C3FB9" w:rsidRPr="009C3FB9" w:rsidRDefault="009C3FB9" w:rsidP="009C3FB9">
      <w:pPr>
        <w:numPr>
          <w:ilvl w:val="0"/>
          <w:numId w:val="81"/>
        </w:numPr>
        <w:spacing w:after="0" w:line="240" w:lineRule="auto"/>
        <w:jc w:val="both"/>
        <w:rPr>
          <w:color w:val="002060"/>
        </w:rPr>
      </w:pPr>
      <w:r w:rsidRPr="009C3FB9">
        <w:rPr>
          <w:color w:val="002060"/>
        </w:rPr>
        <w:t xml:space="preserve">Budget support to decentralized public service delivery (type 1 operation). This corresponds to a 'standard' BS operation to implement a central government sector policy at the local level and within a given decentralization arrangement; </w:t>
      </w:r>
    </w:p>
    <w:p w:rsidR="009C3FB9" w:rsidRPr="009C3FB9" w:rsidRDefault="009C3FB9" w:rsidP="009C3FB9">
      <w:pPr>
        <w:numPr>
          <w:ilvl w:val="0"/>
          <w:numId w:val="81"/>
        </w:numPr>
        <w:spacing w:after="0" w:line="240" w:lineRule="auto"/>
        <w:jc w:val="both"/>
        <w:rPr>
          <w:color w:val="002060"/>
        </w:rPr>
      </w:pPr>
      <w:r w:rsidRPr="009C3FB9">
        <w:rPr>
          <w:color w:val="002060"/>
        </w:rPr>
        <w:t>Budget support to decentralization reforms and local authorities' systems development (type 2 operation). This corresponds to a BS operation that would be focused on deepening the decentralization arrangement; and</w:t>
      </w:r>
    </w:p>
    <w:p w:rsidR="009C3FB9" w:rsidRPr="009C3FB9" w:rsidRDefault="009C3FB9" w:rsidP="009C3FB9">
      <w:pPr>
        <w:numPr>
          <w:ilvl w:val="0"/>
          <w:numId w:val="81"/>
        </w:numPr>
        <w:spacing w:after="0" w:line="240" w:lineRule="auto"/>
        <w:jc w:val="both"/>
        <w:rPr>
          <w:color w:val="002060"/>
        </w:rPr>
      </w:pPr>
      <w:r w:rsidRPr="009C3FB9">
        <w:rPr>
          <w:color w:val="002060"/>
        </w:rPr>
        <w:t xml:space="preserve">Budget support to local authorities’ territorial development policies (type 3 operation). It targets the implementation of local authorities' own place-based development policies in situations where a subnational authority enjoys extensive political, administrative and fiscal powers, such as in a federal system. This type implies particular risks and preconditions and experience so far is very limited. </w:t>
      </w:r>
    </w:p>
    <w:p w:rsidR="009C3FB9" w:rsidRPr="009C3FB9" w:rsidRDefault="009C3FB9" w:rsidP="009C3FB9">
      <w:pPr>
        <w:spacing w:after="0" w:line="240" w:lineRule="auto"/>
        <w:jc w:val="both"/>
        <w:rPr>
          <w:color w:val="002060"/>
        </w:rPr>
      </w:pPr>
    </w:p>
    <w:p w:rsidR="009C3FB9" w:rsidRPr="009C3FB9" w:rsidRDefault="009C3FB9" w:rsidP="009C3FB9">
      <w:pPr>
        <w:spacing w:after="0" w:line="240" w:lineRule="auto"/>
        <w:jc w:val="both"/>
        <w:rPr>
          <w:color w:val="002060"/>
        </w:rPr>
      </w:pPr>
      <w:r w:rsidRPr="009C3FB9">
        <w:rPr>
          <w:color w:val="002060"/>
        </w:rPr>
        <w:t xml:space="preserve">Budget support in decentralized contexts should be decided on a case-by-case basis. Before embarking on budget support, in particular support to local authorities' own development policies, Delegations have to </w:t>
      </w:r>
      <w:proofErr w:type="gramStart"/>
      <w:r w:rsidRPr="009C3FB9">
        <w:rPr>
          <w:color w:val="002060"/>
        </w:rPr>
        <w:t>carefully</w:t>
      </w:r>
      <w:proofErr w:type="gramEnd"/>
      <w:r w:rsidRPr="009C3FB9">
        <w:rPr>
          <w:color w:val="002060"/>
        </w:rPr>
        <w:t xml:space="preserve"> examine opportunities and risks involved including of possible default of subnational governments. They should also examine the implications of an intervention at the decentralized level on policy dialogue with the central government and on </w:t>
      </w:r>
      <w:r w:rsidR="007B4E10">
        <w:rPr>
          <w:color w:val="002060"/>
        </w:rPr>
        <w:t xml:space="preserve">the </w:t>
      </w:r>
      <w:r w:rsidRPr="009C3FB9">
        <w:rPr>
          <w:color w:val="002060"/>
        </w:rPr>
        <w:t xml:space="preserve">human resource capacities in the Delegation.  Type 3 operations should be undertaken only in exceptional cases. They should be submitted to the Budget Support Steering Committee for guidance. </w:t>
      </w:r>
    </w:p>
    <w:p w:rsidR="009C3FB9" w:rsidRPr="007B70FF" w:rsidRDefault="009C3FB9" w:rsidP="00092C99">
      <w:pPr>
        <w:spacing w:after="0" w:line="240" w:lineRule="auto"/>
        <w:jc w:val="both"/>
        <w:rPr>
          <w:color w:val="002060"/>
        </w:rPr>
      </w:pPr>
    </w:p>
    <w:p w:rsidR="00092C99" w:rsidRPr="007B70FF" w:rsidRDefault="00092C99" w:rsidP="00092C99">
      <w:pPr>
        <w:spacing w:after="0" w:line="240" w:lineRule="auto"/>
        <w:jc w:val="both"/>
        <w:rPr>
          <w:color w:val="002060"/>
        </w:rPr>
      </w:pPr>
    </w:p>
    <w:p w:rsidR="00222A92" w:rsidRPr="007B70FF" w:rsidRDefault="00092C99" w:rsidP="00092C99">
      <w:pPr>
        <w:spacing w:after="0" w:line="240" w:lineRule="auto"/>
        <w:jc w:val="both"/>
        <w:rPr>
          <w:color w:val="002060"/>
        </w:rPr>
      </w:pPr>
      <w:r w:rsidRPr="007B70FF">
        <w:rPr>
          <w:color w:val="002060"/>
        </w:rPr>
        <w:t xml:space="preserve">The present note aims at assisting staff to better integrate the decentralization realities of the country when designing a BS operation so as to improve the expected output delivery of the BS operation. </w:t>
      </w:r>
      <w:r w:rsidR="00222A92" w:rsidRPr="007B70FF">
        <w:rPr>
          <w:color w:val="002060"/>
        </w:rPr>
        <w:t xml:space="preserve">It focusses on opportunities and caveats of multi-level government delivery channels for </w:t>
      </w:r>
      <w:r w:rsidR="00013DF4" w:rsidRPr="007B70FF">
        <w:rPr>
          <w:color w:val="002060"/>
        </w:rPr>
        <w:t xml:space="preserve">budget support eligibility and </w:t>
      </w:r>
      <w:r w:rsidR="00222A92" w:rsidRPr="007B70FF">
        <w:rPr>
          <w:color w:val="002060"/>
        </w:rPr>
        <w:t>more</w:t>
      </w:r>
      <w:r w:rsidR="005770E9" w:rsidRPr="007B70FF">
        <w:rPr>
          <w:color w:val="002060"/>
        </w:rPr>
        <w:t xml:space="preserve"> specifically</w:t>
      </w:r>
      <w:r w:rsidR="005027B7" w:rsidRPr="007B70FF">
        <w:rPr>
          <w:color w:val="002060"/>
        </w:rPr>
        <w:t xml:space="preserve">, </w:t>
      </w:r>
      <w:r w:rsidR="007B4E10">
        <w:rPr>
          <w:color w:val="002060"/>
        </w:rPr>
        <w:t xml:space="preserve">the reinforcement of the central-local government "contract", </w:t>
      </w:r>
      <w:r w:rsidR="005027B7" w:rsidRPr="007B70FF">
        <w:rPr>
          <w:color w:val="002060"/>
        </w:rPr>
        <w:t>the</w:t>
      </w:r>
      <w:r w:rsidR="005770E9" w:rsidRPr="007B70FF">
        <w:rPr>
          <w:color w:val="002060"/>
        </w:rPr>
        <w:t xml:space="preserve"> role that local authorities might be able to play, as key components of the local public sector, in </w:t>
      </w:r>
      <w:r w:rsidR="00222A92" w:rsidRPr="007B70FF">
        <w:rPr>
          <w:color w:val="002060"/>
        </w:rPr>
        <w:t xml:space="preserve">budget support </w:t>
      </w:r>
      <w:r w:rsidR="0099793B" w:rsidRPr="007B70FF">
        <w:rPr>
          <w:color w:val="002060"/>
        </w:rPr>
        <w:t>formulation and implementation.</w:t>
      </w:r>
    </w:p>
    <w:p w:rsidR="00092C99" w:rsidRPr="007B70FF" w:rsidRDefault="00092C99" w:rsidP="00040BEF">
      <w:pPr>
        <w:pStyle w:val="NoSpacing"/>
        <w:jc w:val="both"/>
        <w:rPr>
          <w:color w:val="002060"/>
        </w:rPr>
      </w:pPr>
    </w:p>
    <w:p w:rsidR="00092C99" w:rsidRPr="007B70FF" w:rsidRDefault="00092C99" w:rsidP="00092C99">
      <w:pPr>
        <w:spacing w:after="0" w:line="240" w:lineRule="auto"/>
        <w:jc w:val="both"/>
        <w:rPr>
          <w:color w:val="002060"/>
        </w:rPr>
      </w:pPr>
      <w:r w:rsidRPr="007B70FF">
        <w:rPr>
          <w:color w:val="002060"/>
        </w:rPr>
        <w:t xml:space="preserve">The note is directed primarily </w:t>
      </w:r>
      <w:r w:rsidR="00222A92" w:rsidRPr="007B70FF">
        <w:rPr>
          <w:color w:val="002060"/>
        </w:rPr>
        <w:t>a</w:t>
      </w:r>
      <w:r w:rsidRPr="007B70FF">
        <w:rPr>
          <w:color w:val="002060"/>
        </w:rPr>
        <w:t xml:space="preserve">t staff in the EU Delegations and at Headquarters, who are concerned with the design, negotiation, implementation and evaluation of Budget Support operations in partner countries. Budget support must be understood as a tool whose scope includes not only financial transfers to the budget of the partner country, but also dialogue on policies, performance evaluation and capacity development, based on mutual accountability and partnership. The present note encompasses these dimensions. </w:t>
      </w:r>
      <w:r w:rsidR="00013DF4" w:rsidRPr="007B70FF">
        <w:rPr>
          <w:color w:val="002060"/>
        </w:rPr>
        <w:t>The note contains four chapters:</w:t>
      </w:r>
    </w:p>
    <w:p w:rsidR="00092C99" w:rsidRPr="007B70FF" w:rsidRDefault="00092C99" w:rsidP="00040BEF">
      <w:pPr>
        <w:pStyle w:val="NoSpacing"/>
        <w:jc w:val="both"/>
        <w:rPr>
          <w:color w:val="002060"/>
        </w:rPr>
      </w:pPr>
    </w:p>
    <w:p w:rsidR="00E81D88" w:rsidRPr="007B70FF" w:rsidRDefault="00E81D88" w:rsidP="007B70FF">
      <w:pPr>
        <w:pStyle w:val="NoSpacing"/>
        <w:numPr>
          <w:ilvl w:val="0"/>
          <w:numId w:val="25"/>
        </w:numPr>
        <w:jc w:val="both"/>
        <w:rPr>
          <w:color w:val="002060"/>
        </w:rPr>
      </w:pPr>
      <w:r w:rsidRPr="007B70FF">
        <w:rPr>
          <w:i/>
          <w:color w:val="002060"/>
          <w:u w:val="single"/>
        </w:rPr>
        <w:t>Chapter 1</w:t>
      </w:r>
      <w:r w:rsidRPr="007B70FF">
        <w:rPr>
          <w:color w:val="002060"/>
        </w:rPr>
        <w:t xml:space="preserve"> </w:t>
      </w:r>
      <w:r w:rsidR="008540B0" w:rsidRPr="007B70FF">
        <w:rPr>
          <w:rFonts w:ascii="Calibri" w:hAnsi="Calibri" w:cs="Calibri"/>
          <w:color w:val="002060"/>
        </w:rPr>
        <w:t xml:space="preserve">discusses </w:t>
      </w:r>
      <w:r w:rsidR="008D5461" w:rsidRPr="007B70FF">
        <w:rPr>
          <w:rFonts w:ascii="Calibri" w:hAnsi="Calibri" w:cs="Calibri"/>
          <w:color w:val="002060"/>
        </w:rPr>
        <w:t>why Budget</w:t>
      </w:r>
      <w:r w:rsidR="0099427C" w:rsidRPr="007B70FF">
        <w:rPr>
          <w:rFonts w:ascii="Calibri" w:hAnsi="Calibri" w:cs="Calibri"/>
          <w:color w:val="002060"/>
        </w:rPr>
        <w:t xml:space="preserve"> Support </w:t>
      </w:r>
      <w:r w:rsidR="004717DD" w:rsidRPr="007B70FF">
        <w:rPr>
          <w:rFonts w:ascii="Calibri" w:hAnsi="Calibri" w:cs="Calibri"/>
          <w:color w:val="002060"/>
        </w:rPr>
        <w:t xml:space="preserve">(BS) </w:t>
      </w:r>
      <w:r w:rsidR="0099427C" w:rsidRPr="007B70FF">
        <w:rPr>
          <w:rFonts w:ascii="Calibri" w:hAnsi="Calibri" w:cs="Calibri"/>
          <w:color w:val="002060"/>
        </w:rPr>
        <w:t xml:space="preserve">operations </w:t>
      </w:r>
      <w:r w:rsidR="00FA7A20" w:rsidRPr="007B70FF">
        <w:rPr>
          <w:rFonts w:ascii="Calibri" w:hAnsi="Calibri" w:cs="Calibri"/>
          <w:color w:val="002060"/>
        </w:rPr>
        <w:t xml:space="preserve">should </w:t>
      </w:r>
      <w:r w:rsidR="009E3B24" w:rsidRPr="007B70FF">
        <w:rPr>
          <w:rFonts w:ascii="Calibri" w:hAnsi="Calibri" w:cs="Calibri"/>
          <w:color w:val="002060"/>
        </w:rPr>
        <w:t xml:space="preserve">help </w:t>
      </w:r>
      <w:r w:rsidR="008D5461" w:rsidRPr="007B70FF">
        <w:rPr>
          <w:rFonts w:ascii="Calibri" w:hAnsi="Calibri" w:cs="Calibri"/>
          <w:color w:val="002060"/>
        </w:rPr>
        <w:t xml:space="preserve">support </w:t>
      </w:r>
      <w:r w:rsidR="001A6973" w:rsidRPr="007B70FF">
        <w:rPr>
          <w:rFonts w:ascii="Calibri" w:hAnsi="Calibri" w:cs="Calibri"/>
          <w:color w:val="002060"/>
        </w:rPr>
        <w:t>partner countries’ decentralization</w:t>
      </w:r>
      <w:r w:rsidR="008D5461" w:rsidRPr="007B70FF">
        <w:rPr>
          <w:rFonts w:ascii="Calibri" w:hAnsi="Calibri" w:cs="Calibri"/>
          <w:color w:val="002060"/>
        </w:rPr>
        <w:t xml:space="preserve"> reforms and effective l</w:t>
      </w:r>
      <w:r w:rsidR="009E3B24" w:rsidRPr="007B70FF">
        <w:rPr>
          <w:rFonts w:ascii="Calibri" w:hAnsi="Calibri" w:cs="Calibri"/>
          <w:color w:val="002060"/>
        </w:rPr>
        <w:t xml:space="preserve">ocal authorities systems </w:t>
      </w:r>
      <w:r w:rsidR="00013DF4" w:rsidRPr="007B70FF">
        <w:rPr>
          <w:rFonts w:ascii="Calibri" w:hAnsi="Calibri" w:cs="Calibri"/>
          <w:color w:val="002060"/>
        </w:rPr>
        <w:t xml:space="preserve">and sets out the EU policy context; </w:t>
      </w:r>
    </w:p>
    <w:p w:rsidR="00E81D88" w:rsidRPr="007B70FF" w:rsidRDefault="00E81D88" w:rsidP="007B70FF">
      <w:pPr>
        <w:pStyle w:val="NoSpacing"/>
        <w:numPr>
          <w:ilvl w:val="0"/>
          <w:numId w:val="25"/>
        </w:numPr>
        <w:jc w:val="both"/>
        <w:rPr>
          <w:color w:val="002060"/>
        </w:rPr>
      </w:pPr>
      <w:r w:rsidRPr="007B70FF">
        <w:rPr>
          <w:i/>
          <w:color w:val="002060"/>
          <w:u w:val="single"/>
        </w:rPr>
        <w:t>Chapter</w:t>
      </w:r>
      <w:r w:rsidR="00A34C67" w:rsidRPr="007B70FF">
        <w:rPr>
          <w:i/>
          <w:color w:val="002060"/>
          <w:u w:val="single"/>
        </w:rPr>
        <w:t xml:space="preserve"> </w:t>
      </w:r>
      <w:r w:rsidRPr="007B70FF">
        <w:rPr>
          <w:i/>
          <w:color w:val="002060"/>
          <w:u w:val="single"/>
        </w:rPr>
        <w:t>2</w:t>
      </w:r>
      <w:r w:rsidRPr="007B70FF">
        <w:rPr>
          <w:color w:val="002060"/>
        </w:rPr>
        <w:t xml:space="preserve"> </w:t>
      </w:r>
      <w:r w:rsidR="005F7F93" w:rsidRPr="007B70FF">
        <w:rPr>
          <w:color w:val="002060"/>
        </w:rPr>
        <w:t xml:space="preserve"> </w:t>
      </w:r>
      <w:r w:rsidRPr="007B70FF">
        <w:rPr>
          <w:color w:val="002060"/>
        </w:rPr>
        <w:t>outlines</w:t>
      </w:r>
      <w:r w:rsidRPr="007B70FF">
        <w:rPr>
          <w:i/>
          <w:color w:val="002060"/>
        </w:rPr>
        <w:t xml:space="preserve"> </w:t>
      </w:r>
      <w:r w:rsidRPr="007B70FF">
        <w:rPr>
          <w:color w:val="002060"/>
        </w:rPr>
        <w:t xml:space="preserve">three </w:t>
      </w:r>
      <w:r w:rsidR="00013DF4" w:rsidRPr="007B70FF">
        <w:rPr>
          <w:color w:val="002060"/>
        </w:rPr>
        <w:t xml:space="preserve">typical approaches </w:t>
      </w:r>
      <w:r w:rsidR="008540B0" w:rsidRPr="007B70FF">
        <w:rPr>
          <w:color w:val="002060"/>
        </w:rPr>
        <w:t xml:space="preserve">of </w:t>
      </w:r>
      <w:r w:rsidRPr="007B70FF">
        <w:rPr>
          <w:color w:val="002060"/>
        </w:rPr>
        <w:t xml:space="preserve"> </w:t>
      </w:r>
      <w:r w:rsidR="00DB04A1" w:rsidRPr="007B70FF">
        <w:rPr>
          <w:color w:val="002060"/>
        </w:rPr>
        <w:t>BS</w:t>
      </w:r>
      <w:r w:rsidR="008631F8" w:rsidRPr="007B70FF">
        <w:rPr>
          <w:color w:val="002060"/>
        </w:rPr>
        <w:t xml:space="preserve"> </w:t>
      </w:r>
      <w:r w:rsidRPr="007B70FF">
        <w:rPr>
          <w:color w:val="002060"/>
        </w:rPr>
        <w:t xml:space="preserve"> </w:t>
      </w:r>
      <w:r w:rsidR="00013DF4" w:rsidRPr="007B70FF">
        <w:rPr>
          <w:color w:val="002060"/>
        </w:rPr>
        <w:t>in decentralized contexts</w:t>
      </w:r>
      <w:r w:rsidR="008631F8" w:rsidRPr="007B70FF">
        <w:rPr>
          <w:color w:val="002060"/>
        </w:rPr>
        <w:t xml:space="preserve">, </w:t>
      </w:r>
      <w:r w:rsidR="00D01686" w:rsidRPr="007B70FF">
        <w:rPr>
          <w:color w:val="002060"/>
        </w:rPr>
        <w:t xml:space="preserve"> </w:t>
      </w:r>
      <w:r w:rsidR="005F7F93" w:rsidRPr="007B70FF">
        <w:rPr>
          <w:color w:val="002060"/>
        </w:rPr>
        <w:t xml:space="preserve">based on a review and elaboration </w:t>
      </w:r>
      <w:r w:rsidR="008631F8" w:rsidRPr="007B70FF">
        <w:rPr>
          <w:color w:val="002060"/>
        </w:rPr>
        <w:t xml:space="preserve"> </w:t>
      </w:r>
      <w:r w:rsidR="005F7F93" w:rsidRPr="007B70FF">
        <w:rPr>
          <w:color w:val="002060"/>
        </w:rPr>
        <w:t xml:space="preserve">of </w:t>
      </w:r>
      <w:r w:rsidR="008631F8" w:rsidRPr="007B70FF">
        <w:rPr>
          <w:color w:val="002060"/>
        </w:rPr>
        <w:t>the typ</w:t>
      </w:r>
      <w:r w:rsidR="009E3B24" w:rsidRPr="007B70FF">
        <w:rPr>
          <w:color w:val="002060"/>
        </w:rPr>
        <w:t>ology</w:t>
      </w:r>
      <w:r w:rsidR="008631F8" w:rsidRPr="007B70FF">
        <w:rPr>
          <w:color w:val="002060"/>
        </w:rPr>
        <w:t xml:space="preserve"> suggested by the </w:t>
      </w:r>
      <w:r w:rsidR="008631F8" w:rsidRPr="007B70FF">
        <w:rPr>
          <w:i/>
          <w:color w:val="002060"/>
        </w:rPr>
        <w:t>BS Guidelines</w:t>
      </w:r>
    </w:p>
    <w:p w:rsidR="00E81D88" w:rsidRPr="007B70FF" w:rsidRDefault="00E81D88" w:rsidP="007B70FF">
      <w:pPr>
        <w:pStyle w:val="NoSpacing"/>
        <w:numPr>
          <w:ilvl w:val="0"/>
          <w:numId w:val="25"/>
        </w:numPr>
        <w:jc w:val="both"/>
        <w:rPr>
          <w:rFonts w:ascii="Calibri" w:hAnsi="Calibri" w:cs="Calibri"/>
          <w:i/>
          <w:color w:val="002060"/>
        </w:rPr>
      </w:pPr>
      <w:r w:rsidRPr="007B70FF">
        <w:rPr>
          <w:i/>
          <w:color w:val="002060"/>
          <w:u w:val="single"/>
        </w:rPr>
        <w:t>Chapter 3</w:t>
      </w:r>
      <w:r w:rsidRPr="007B70FF">
        <w:rPr>
          <w:i/>
          <w:color w:val="002060"/>
        </w:rPr>
        <w:t xml:space="preserve"> </w:t>
      </w:r>
      <w:r w:rsidR="00C62868" w:rsidRPr="007B70FF">
        <w:rPr>
          <w:rFonts w:ascii="Calibri" w:hAnsi="Calibri" w:cs="Calibri"/>
          <w:color w:val="002060"/>
        </w:rPr>
        <w:t>highlights the</w:t>
      </w:r>
      <w:r w:rsidR="00DB04A1" w:rsidRPr="007B70FF">
        <w:rPr>
          <w:rFonts w:ascii="Calibri" w:hAnsi="Calibri" w:cs="Calibri"/>
          <w:color w:val="002060"/>
        </w:rPr>
        <w:t xml:space="preserve"> specific </w:t>
      </w:r>
      <w:r w:rsidR="00885C48" w:rsidRPr="007B70FF">
        <w:rPr>
          <w:rFonts w:ascii="Calibri" w:hAnsi="Calibri" w:cs="Calibri"/>
          <w:color w:val="002060"/>
        </w:rPr>
        <w:t xml:space="preserve">issues </w:t>
      </w:r>
      <w:r w:rsidR="00DB04A1" w:rsidRPr="007B70FF">
        <w:rPr>
          <w:rFonts w:ascii="Calibri" w:hAnsi="Calibri" w:cs="Calibri"/>
          <w:color w:val="002060"/>
        </w:rPr>
        <w:t xml:space="preserve">on which </w:t>
      </w:r>
      <w:r w:rsidR="00885C48" w:rsidRPr="007B70FF">
        <w:rPr>
          <w:rFonts w:ascii="Calibri" w:hAnsi="Calibri" w:cs="Calibri"/>
          <w:color w:val="002060"/>
        </w:rPr>
        <w:t xml:space="preserve">to </w:t>
      </w:r>
      <w:r w:rsidR="00DB04A1" w:rsidRPr="007B70FF">
        <w:rPr>
          <w:rFonts w:ascii="Calibri" w:hAnsi="Calibri" w:cs="Calibri"/>
          <w:color w:val="002060"/>
        </w:rPr>
        <w:t xml:space="preserve">focus when conducting an </w:t>
      </w:r>
      <w:r w:rsidR="004717DD" w:rsidRPr="007B70FF">
        <w:rPr>
          <w:rFonts w:ascii="Calibri" w:hAnsi="Calibri" w:cs="Calibri"/>
          <w:color w:val="002060"/>
        </w:rPr>
        <w:t>assess</w:t>
      </w:r>
      <w:r w:rsidR="00DB04A1" w:rsidRPr="007B70FF">
        <w:rPr>
          <w:rFonts w:ascii="Calibri" w:hAnsi="Calibri" w:cs="Calibri"/>
          <w:color w:val="002060"/>
        </w:rPr>
        <w:t xml:space="preserve">ment of </w:t>
      </w:r>
      <w:r w:rsidR="0050247C" w:rsidRPr="007B70FF">
        <w:rPr>
          <w:rFonts w:ascii="Calibri" w:hAnsi="Calibri" w:cs="Calibri"/>
          <w:color w:val="002060"/>
        </w:rPr>
        <w:t xml:space="preserve"> the eligibility </w:t>
      </w:r>
      <w:r w:rsidR="00DB04A1" w:rsidRPr="007B70FF">
        <w:rPr>
          <w:rFonts w:ascii="Calibri" w:hAnsi="Calibri" w:cs="Calibri"/>
          <w:color w:val="002060"/>
        </w:rPr>
        <w:t xml:space="preserve">of </w:t>
      </w:r>
      <w:r w:rsidR="0050247C" w:rsidRPr="007B70FF">
        <w:rPr>
          <w:rFonts w:ascii="Calibri" w:hAnsi="Calibri" w:cs="Calibri"/>
          <w:color w:val="002060"/>
        </w:rPr>
        <w:t>B</w:t>
      </w:r>
      <w:r w:rsidR="004717DD" w:rsidRPr="007B70FF">
        <w:rPr>
          <w:rFonts w:ascii="Calibri" w:hAnsi="Calibri" w:cs="Calibri"/>
          <w:color w:val="002060"/>
        </w:rPr>
        <w:t>S</w:t>
      </w:r>
      <w:r w:rsidR="0050247C" w:rsidRPr="007B70FF">
        <w:rPr>
          <w:rFonts w:ascii="Calibri" w:hAnsi="Calibri" w:cs="Calibri"/>
          <w:color w:val="002060"/>
        </w:rPr>
        <w:t xml:space="preserve"> </w:t>
      </w:r>
      <w:r w:rsidR="001A6973" w:rsidRPr="007B70FF">
        <w:rPr>
          <w:rFonts w:ascii="Calibri" w:hAnsi="Calibri" w:cs="Calibri"/>
          <w:color w:val="002060"/>
        </w:rPr>
        <w:t>operations</w:t>
      </w:r>
      <w:r w:rsidR="00DB04A1" w:rsidRPr="007B70FF">
        <w:rPr>
          <w:rFonts w:ascii="Calibri" w:hAnsi="Calibri" w:cs="Calibri"/>
          <w:color w:val="002060"/>
        </w:rPr>
        <w:t xml:space="preserve"> </w:t>
      </w:r>
      <w:r w:rsidR="00013DF4" w:rsidRPr="007B70FF">
        <w:rPr>
          <w:rFonts w:ascii="Calibri" w:hAnsi="Calibri" w:cs="Calibri"/>
          <w:color w:val="002060"/>
        </w:rPr>
        <w:t xml:space="preserve">in decentralized contexts; </w:t>
      </w:r>
    </w:p>
    <w:p w:rsidR="00AC69B4" w:rsidRPr="007B70FF" w:rsidRDefault="00E81D88" w:rsidP="007B70FF">
      <w:pPr>
        <w:pStyle w:val="NoSpacing"/>
        <w:numPr>
          <w:ilvl w:val="0"/>
          <w:numId w:val="25"/>
        </w:numPr>
        <w:jc w:val="both"/>
        <w:rPr>
          <w:color w:val="002060"/>
        </w:rPr>
      </w:pPr>
      <w:r w:rsidRPr="007B70FF">
        <w:rPr>
          <w:rFonts w:ascii="Calibri" w:hAnsi="Calibri" w:cs="Calibri"/>
          <w:i/>
          <w:color w:val="002060"/>
          <w:u w:val="single"/>
        </w:rPr>
        <w:t>Chapter 4</w:t>
      </w:r>
      <w:r w:rsidRPr="007B70FF">
        <w:rPr>
          <w:rFonts w:ascii="Calibri" w:hAnsi="Calibri" w:cs="Calibri"/>
          <w:i/>
          <w:color w:val="002060"/>
        </w:rPr>
        <w:t xml:space="preserve"> </w:t>
      </w:r>
      <w:r w:rsidR="005F7F93" w:rsidRPr="007B70FF">
        <w:rPr>
          <w:rFonts w:ascii="Calibri" w:hAnsi="Calibri" w:cs="Calibri"/>
          <w:color w:val="002060"/>
        </w:rPr>
        <w:t xml:space="preserve">highlights the </w:t>
      </w:r>
      <w:r w:rsidR="00A36719" w:rsidRPr="007B70FF">
        <w:rPr>
          <w:rFonts w:ascii="Calibri" w:hAnsi="Calibri" w:cs="Calibri"/>
          <w:color w:val="002060"/>
        </w:rPr>
        <w:t xml:space="preserve">issues that arise </w:t>
      </w:r>
      <w:r w:rsidR="005F7F93" w:rsidRPr="007B70FF">
        <w:rPr>
          <w:rFonts w:ascii="Calibri" w:hAnsi="Calibri" w:cs="Calibri"/>
          <w:color w:val="002060"/>
        </w:rPr>
        <w:t>when</w:t>
      </w:r>
      <w:r w:rsidR="00A36719" w:rsidRPr="007B70FF">
        <w:rPr>
          <w:rFonts w:ascii="Calibri" w:hAnsi="Calibri" w:cs="Calibri"/>
          <w:color w:val="002060"/>
        </w:rPr>
        <w:t xml:space="preserve"> formulating BS operations </w:t>
      </w:r>
      <w:r w:rsidR="00013DF4" w:rsidRPr="007B70FF">
        <w:rPr>
          <w:rFonts w:ascii="Calibri" w:hAnsi="Calibri" w:cs="Calibri"/>
          <w:color w:val="002060"/>
        </w:rPr>
        <w:t>in decentralized contexts</w:t>
      </w:r>
      <w:r w:rsidR="006A5F85" w:rsidRPr="007B70FF">
        <w:rPr>
          <w:rFonts w:ascii="Calibri" w:hAnsi="Calibri" w:cs="Calibri"/>
          <w:color w:val="002060"/>
        </w:rPr>
        <w:t>, including</w:t>
      </w:r>
      <w:r w:rsidR="00A36719" w:rsidRPr="007B70FF">
        <w:rPr>
          <w:rFonts w:ascii="Calibri" w:hAnsi="Calibri" w:cs="Calibri"/>
          <w:color w:val="002060"/>
        </w:rPr>
        <w:t xml:space="preserve"> policy dialogue, mobilization of domestic resources, capacity </w:t>
      </w:r>
      <w:r w:rsidR="00B43BB2" w:rsidRPr="007B70FF">
        <w:rPr>
          <w:rFonts w:ascii="Calibri" w:hAnsi="Calibri" w:cs="Calibri"/>
          <w:color w:val="002060"/>
        </w:rPr>
        <w:t>building,</w:t>
      </w:r>
      <w:r w:rsidR="00A36719" w:rsidRPr="007B70FF">
        <w:rPr>
          <w:rFonts w:ascii="Calibri" w:hAnsi="Calibri" w:cs="Calibri"/>
          <w:color w:val="002060"/>
        </w:rPr>
        <w:t xml:space="preserve"> </w:t>
      </w:r>
      <w:r w:rsidR="006A5F85" w:rsidRPr="007B70FF">
        <w:rPr>
          <w:rFonts w:ascii="Calibri" w:hAnsi="Calibri" w:cs="Calibri"/>
          <w:color w:val="002060"/>
        </w:rPr>
        <w:t>performance assessment frameworks, risk</w:t>
      </w:r>
      <w:r w:rsidR="009325D7" w:rsidRPr="007B70FF">
        <w:rPr>
          <w:rFonts w:ascii="Calibri" w:hAnsi="Calibri" w:cs="Calibri"/>
          <w:color w:val="002060"/>
        </w:rPr>
        <w:t xml:space="preserve"> management </w:t>
      </w:r>
      <w:r w:rsidR="00B43BB2" w:rsidRPr="007B70FF">
        <w:rPr>
          <w:rFonts w:ascii="Calibri" w:hAnsi="Calibri" w:cs="Calibri"/>
          <w:color w:val="002060"/>
        </w:rPr>
        <w:t xml:space="preserve">and </w:t>
      </w:r>
      <w:r w:rsidR="006A5F85" w:rsidRPr="007B70FF">
        <w:rPr>
          <w:rFonts w:ascii="Calibri" w:hAnsi="Calibri" w:cs="Calibri"/>
          <w:color w:val="002060"/>
        </w:rPr>
        <w:t xml:space="preserve">accountability </w:t>
      </w:r>
      <w:r w:rsidR="00B43BB2" w:rsidRPr="007B70FF">
        <w:rPr>
          <w:rFonts w:ascii="Calibri" w:hAnsi="Calibri" w:cs="Calibri"/>
          <w:color w:val="002060"/>
        </w:rPr>
        <w:t>mechanisms.</w:t>
      </w:r>
      <w:r w:rsidR="006A5F85" w:rsidRPr="007B70FF">
        <w:rPr>
          <w:rFonts w:ascii="Calibri" w:hAnsi="Calibri" w:cs="Calibri"/>
          <w:color w:val="002060"/>
        </w:rPr>
        <w:t xml:space="preserve"> </w:t>
      </w:r>
    </w:p>
    <w:p w:rsidR="006A5F85" w:rsidRPr="007B70FF" w:rsidRDefault="006A5F85" w:rsidP="005F7F93">
      <w:pPr>
        <w:pStyle w:val="NoSpacing"/>
        <w:rPr>
          <w:color w:val="002060"/>
        </w:rPr>
      </w:pPr>
    </w:p>
    <w:p w:rsidR="003945C8" w:rsidRDefault="003945C8">
      <w:pPr>
        <w:rPr>
          <w:b/>
          <w:color w:val="0070C0"/>
          <w:sz w:val="32"/>
        </w:rPr>
      </w:pPr>
      <w:r>
        <w:rPr>
          <w:b/>
          <w:color w:val="0070C0"/>
          <w:sz w:val="32"/>
        </w:rPr>
        <w:br w:type="page"/>
      </w:r>
    </w:p>
    <w:p w:rsidR="005F2392" w:rsidRPr="00F85FD2" w:rsidRDefault="00756A60" w:rsidP="005F2392">
      <w:pPr>
        <w:rPr>
          <w:b/>
          <w:color w:val="0070C0"/>
          <w:sz w:val="32"/>
        </w:rPr>
      </w:pPr>
      <w:r>
        <w:rPr>
          <w:b/>
          <w:color w:val="0070C0"/>
          <w:sz w:val="32"/>
        </w:rPr>
        <w:lastRenderedPageBreak/>
        <w:t xml:space="preserve">Chapter </w:t>
      </w:r>
      <w:r w:rsidR="005F2392" w:rsidRPr="00F85FD2">
        <w:rPr>
          <w:b/>
          <w:color w:val="0070C0"/>
          <w:sz w:val="32"/>
        </w:rPr>
        <w:t>1</w:t>
      </w:r>
      <w:r w:rsidR="0050073B" w:rsidRPr="00F85FD2">
        <w:rPr>
          <w:b/>
          <w:color w:val="0070C0"/>
          <w:sz w:val="32"/>
        </w:rPr>
        <w:t>:</w:t>
      </w:r>
      <w:r>
        <w:rPr>
          <w:b/>
          <w:color w:val="0070C0"/>
          <w:sz w:val="32"/>
        </w:rPr>
        <w:t xml:space="preserve"> </w:t>
      </w:r>
      <w:r w:rsidR="0050073B" w:rsidRPr="00F85FD2">
        <w:rPr>
          <w:b/>
          <w:color w:val="0070C0"/>
          <w:sz w:val="32"/>
        </w:rPr>
        <w:t xml:space="preserve">Why </w:t>
      </w:r>
      <w:r w:rsidR="00DB04A1">
        <w:rPr>
          <w:b/>
          <w:color w:val="0070C0"/>
          <w:sz w:val="32"/>
        </w:rPr>
        <w:t>BS</w:t>
      </w:r>
      <w:r w:rsidR="00DB04A1" w:rsidRPr="00F85FD2">
        <w:rPr>
          <w:b/>
          <w:color w:val="0070C0"/>
          <w:sz w:val="32"/>
        </w:rPr>
        <w:t xml:space="preserve"> operations</w:t>
      </w:r>
      <w:r w:rsidR="001A6973">
        <w:rPr>
          <w:b/>
          <w:color w:val="0070C0"/>
          <w:sz w:val="32"/>
        </w:rPr>
        <w:t xml:space="preserve"> should</w:t>
      </w:r>
      <w:r w:rsidR="00DB04A1">
        <w:rPr>
          <w:b/>
          <w:color w:val="0070C0"/>
          <w:sz w:val="32"/>
        </w:rPr>
        <w:t xml:space="preserve"> </w:t>
      </w:r>
      <w:r w:rsidR="004158A6">
        <w:rPr>
          <w:b/>
          <w:color w:val="0070C0"/>
          <w:sz w:val="32"/>
        </w:rPr>
        <w:t>include</w:t>
      </w:r>
      <w:r w:rsidR="0050073B" w:rsidRPr="00F85FD2">
        <w:rPr>
          <w:b/>
          <w:color w:val="0070C0"/>
          <w:sz w:val="32"/>
        </w:rPr>
        <w:t xml:space="preserve"> Local </w:t>
      </w:r>
      <w:r w:rsidR="001A6973" w:rsidRPr="00F85FD2">
        <w:rPr>
          <w:b/>
          <w:color w:val="0070C0"/>
          <w:sz w:val="32"/>
        </w:rPr>
        <w:t>Authorities</w:t>
      </w:r>
      <w:r w:rsidR="001A6973">
        <w:rPr>
          <w:b/>
          <w:color w:val="0070C0"/>
          <w:sz w:val="32"/>
        </w:rPr>
        <w:t>?</w:t>
      </w:r>
    </w:p>
    <w:p w:rsidR="00885C48" w:rsidRPr="00002EF8" w:rsidRDefault="00885C48" w:rsidP="00885C48">
      <w:pPr>
        <w:rPr>
          <w:b/>
          <w:color w:val="0070C0"/>
          <w:sz w:val="28"/>
        </w:rPr>
      </w:pPr>
      <w:r w:rsidRPr="00002EF8">
        <w:rPr>
          <w:b/>
          <w:color w:val="0070C0"/>
          <w:sz w:val="28"/>
        </w:rPr>
        <w:t>Re-thinking decentralization and the developmental role of local authorities</w:t>
      </w:r>
    </w:p>
    <w:p w:rsidR="00885C48" w:rsidRPr="003917F0" w:rsidRDefault="00885C48" w:rsidP="00F72E88">
      <w:pPr>
        <w:pStyle w:val="NoSpacing"/>
        <w:jc w:val="both"/>
        <w:rPr>
          <w:rFonts w:eastAsia="Times New Roman"/>
          <w:color w:val="002060"/>
          <w:lang w:eastAsia="en-GB"/>
        </w:rPr>
      </w:pPr>
      <w:r w:rsidRPr="003917F0">
        <w:rPr>
          <w:rFonts w:eastAsia="Times New Roman"/>
          <w:color w:val="002060"/>
        </w:rPr>
        <w:t xml:space="preserve">Decentralization </w:t>
      </w:r>
      <w:r w:rsidRPr="003917F0">
        <w:rPr>
          <w:color w:val="002060"/>
        </w:rPr>
        <w:t xml:space="preserve">is </w:t>
      </w:r>
      <w:r w:rsidR="00690CC7">
        <w:rPr>
          <w:color w:val="002060"/>
        </w:rPr>
        <w:t xml:space="preserve">generally understood as </w:t>
      </w:r>
      <w:r w:rsidRPr="003917F0">
        <w:rPr>
          <w:color w:val="002060"/>
        </w:rPr>
        <w:t xml:space="preserve">a </w:t>
      </w:r>
      <w:r w:rsidRPr="003917F0">
        <w:rPr>
          <w:i/>
          <w:color w:val="002060"/>
        </w:rPr>
        <w:t>public sector reform</w:t>
      </w:r>
      <w:r w:rsidRPr="003917F0">
        <w:rPr>
          <w:color w:val="002060"/>
        </w:rPr>
        <w:t xml:space="preserve"> process intended to transfer responsibilities, resources and general authority from higher levels to newly empowered lower levels of government. </w:t>
      </w:r>
      <w:r w:rsidR="005F7F93" w:rsidRPr="003917F0">
        <w:rPr>
          <w:rFonts w:eastAsia="Times New Roman"/>
          <w:color w:val="002060"/>
          <w:lang w:eastAsia="en-GB"/>
        </w:rPr>
        <w:t xml:space="preserve">There </w:t>
      </w:r>
      <w:r w:rsidR="001A6973" w:rsidRPr="003917F0">
        <w:rPr>
          <w:rFonts w:eastAsia="Times New Roman"/>
          <w:color w:val="002060"/>
          <w:lang w:eastAsia="en-GB"/>
        </w:rPr>
        <w:t xml:space="preserve">are </w:t>
      </w:r>
      <w:r w:rsidR="001A6973" w:rsidRPr="003917F0">
        <w:rPr>
          <w:rFonts w:eastAsia="Times New Roman"/>
          <w:i/>
          <w:color w:val="002060"/>
          <w:lang w:eastAsia="en-GB"/>
        </w:rPr>
        <w:t>three</w:t>
      </w:r>
      <w:r w:rsidRPr="003917F0">
        <w:rPr>
          <w:rFonts w:eastAsia="Times New Roman"/>
          <w:i/>
          <w:color w:val="002060"/>
          <w:lang w:eastAsia="en-GB"/>
        </w:rPr>
        <w:t xml:space="preserve"> basic dimensions</w:t>
      </w:r>
      <w:r w:rsidRPr="003917F0">
        <w:rPr>
          <w:rFonts w:eastAsia="Times New Roman"/>
          <w:color w:val="002060"/>
          <w:lang w:eastAsia="en-GB"/>
        </w:rPr>
        <w:t xml:space="preserve"> of decentralization:</w:t>
      </w:r>
    </w:p>
    <w:p w:rsidR="00885C48" w:rsidRPr="003917F0" w:rsidRDefault="00885C48" w:rsidP="007B70FF">
      <w:pPr>
        <w:pStyle w:val="NoSpacing"/>
        <w:numPr>
          <w:ilvl w:val="0"/>
          <w:numId w:val="23"/>
        </w:numPr>
        <w:jc w:val="both"/>
        <w:rPr>
          <w:rFonts w:eastAsia="Times New Roman"/>
          <w:color w:val="002060"/>
          <w:lang w:eastAsia="en-GB"/>
        </w:rPr>
      </w:pPr>
      <w:r w:rsidRPr="003917F0">
        <w:rPr>
          <w:rFonts w:eastAsia="Times New Roman"/>
          <w:i/>
          <w:color w:val="002060"/>
          <w:lang w:eastAsia="en-GB"/>
        </w:rPr>
        <w:t>Administrative decentralization</w:t>
      </w:r>
      <w:r w:rsidRPr="003917F0">
        <w:rPr>
          <w:rFonts w:eastAsia="Times New Roman"/>
          <w:color w:val="002060"/>
          <w:lang w:eastAsia="en-GB"/>
        </w:rPr>
        <w:t xml:space="preserve"> comprises the systems, processes and policies that transfer administration of public functions to subnational governments. This need not involve autonomous authority over revenues and expenditures or formal mechanisms of accountability to local citizens.</w:t>
      </w:r>
    </w:p>
    <w:p w:rsidR="00885C48" w:rsidRPr="003917F0" w:rsidRDefault="00885C48" w:rsidP="007B70FF">
      <w:pPr>
        <w:pStyle w:val="NoSpacing"/>
        <w:numPr>
          <w:ilvl w:val="0"/>
          <w:numId w:val="23"/>
        </w:numPr>
        <w:jc w:val="both"/>
        <w:rPr>
          <w:rFonts w:eastAsia="Times New Roman"/>
          <w:color w:val="002060"/>
          <w:lang w:eastAsia="en-GB"/>
        </w:rPr>
      </w:pPr>
      <w:r w:rsidRPr="003917F0">
        <w:rPr>
          <w:rFonts w:eastAsia="Times New Roman"/>
          <w:i/>
          <w:color w:val="002060"/>
          <w:lang w:eastAsia="en-GB"/>
        </w:rPr>
        <w:t>Fiscal decentralization</w:t>
      </w:r>
      <w:r w:rsidRPr="003917F0">
        <w:rPr>
          <w:rFonts w:eastAsia="Times New Roman"/>
          <w:color w:val="002060"/>
          <w:lang w:eastAsia="en-GB"/>
        </w:rPr>
        <w:t xml:space="preserve"> refers to the formal assignment of expenditure functions and revenues (intergovernmental transfers and own tax and non-tax sources) to LGs. It need not involve formal mechanisms of accountability to local citizens. </w:t>
      </w:r>
    </w:p>
    <w:p w:rsidR="00885C48" w:rsidRPr="003917F0" w:rsidRDefault="00885C48" w:rsidP="007B70FF">
      <w:pPr>
        <w:pStyle w:val="NoSpacing"/>
        <w:numPr>
          <w:ilvl w:val="0"/>
          <w:numId w:val="23"/>
        </w:numPr>
        <w:jc w:val="both"/>
        <w:rPr>
          <w:rFonts w:eastAsia="Times New Roman"/>
          <w:i/>
          <w:color w:val="002060"/>
          <w:lang w:eastAsia="en-GB"/>
        </w:rPr>
      </w:pPr>
      <w:r w:rsidRPr="003917F0">
        <w:rPr>
          <w:rFonts w:eastAsia="Times New Roman"/>
          <w:i/>
          <w:color w:val="002060"/>
          <w:lang w:eastAsia="en-GB"/>
        </w:rPr>
        <w:t>Political decentralization</w:t>
      </w:r>
      <w:r w:rsidRPr="003917F0">
        <w:rPr>
          <w:rFonts w:eastAsia="Times New Roman"/>
          <w:color w:val="002060"/>
          <w:lang w:eastAsia="en-GB"/>
        </w:rPr>
        <w:t xml:space="preserve"> is the set of provisions designed to devolve political authority to LGs and enhance their accountability to the residents of their jurisdictions. Examples include the popular election of mayors and councils who previously may have been appointed or did not exist. </w:t>
      </w:r>
      <w:r w:rsidRPr="003917F0">
        <w:rPr>
          <w:rFonts w:eastAsia="Times New Roman"/>
          <w:i/>
          <w:color w:val="002060"/>
          <w:lang w:eastAsia="en-GB"/>
        </w:rPr>
        <w:t>In effect, political decentralization adds democratization to the more technical mechanisms of administrative and fiscal decentralization.</w:t>
      </w:r>
    </w:p>
    <w:p w:rsidR="00F72E88" w:rsidRPr="003917F0" w:rsidRDefault="00F72E88" w:rsidP="00885C48">
      <w:pPr>
        <w:pStyle w:val="NoSpacing"/>
        <w:jc w:val="both"/>
        <w:rPr>
          <w:color w:val="002060"/>
        </w:rPr>
      </w:pPr>
    </w:p>
    <w:p w:rsidR="00885C48" w:rsidRPr="003917F0" w:rsidRDefault="00885C48" w:rsidP="00885C48">
      <w:pPr>
        <w:pStyle w:val="NoSpacing"/>
        <w:jc w:val="both"/>
        <w:rPr>
          <w:rFonts w:cs="TimesNewRoman"/>
          <w:color w:val="002060"/>
        </w:rPr>
      </w:pPr>
      <w:r w:rsidRPr="003917F0">
        <w:rPr>
          <w:color w:val="002060"/>
        </w:rPr>
        <w:t xml:space="preserve">Over the last two decades a double shift of emphasis in the understanding of decentralization has occurred, opening the way to a </w:t>
      </w:r>
      <w:r w:rsidR="00236551" w:rsidRPr="003917F0">
        <w:rPr>
          <w:color w:val="002060"/>
        </w:rPr>
        <w:t>greater developmental</w:t>
      </w:r>
      <w:r w:rsidRPr="003917F0">
        <w:rPr>
          <w:color w:val="002060"/>
        </w:rPr>
        <w:t xml:space="preserve"> role for Local Authorities. First, </w:t>
      </w:r>
      <w:r w:rsidR="003917F0" w:rsidRPr="003917F0">
        <w:rPr>
          <w:color w:val="002060"/>
        </w:rPr>
        <w:t xml:space="preserve">the discussion on </w:t>
      </w:r>
      <w:r w:rsidR="00236551" w:rsidRPr="003917F0">
        <w:rPr>
          <w:color w:val="002060"/>
        </w:rPr>
        <w:t>technical</w:t>
      </w:r>
      <w:r w:rsidRPr="003917F0">
        <w:rPr>
          <w:color w:val="002060"/>
        </w:rPr>
        <w:t xml:space="preserve"> </w:t>
      </w:r>
      <w:r w:rsidR="003917F0" w:rsidRPr="003917F0">
        <w:rPr>
          <w:color w:val="002060"/>
        </w:rPr>
        <w:t>aspects of functional</w:t>
      </w:r>
      <w:r w:rsidRPr="003917F0">
        <w:rPr>
          <w:color w:val="002060"/>
        </w:rPr>
        <w:t xml:space="preserve"> and fiscal reassignments within a country’s public administration ha</w:t>
      </w:r>
      <w:r w:rsidR="003917F0" w:rsidRPr="003917F0">
        <w:rPr>
          <w:color w:val="002060"/>
        </w:rPr>
        <w:t>s</w:t>
      </w:r>
      <w:r w:rsidRPr="003917F0">
        <w:rPr>
          <w:color w:val="002060"/>
        </w:rPr>
        <w:t xml:space="preserve"> been </w:t>
      </w:r>
      <w:r w:rsidR="00690CC7">
        <w:rPr>
          <w:color w:val="002060"/>
        </w:rPr>
        <w:t xml:space="preserve">brought under the </w:t>
      </w:r>
      <w:r w:rsidR="003917F0" w:rsidRPr="003917F0">
        <w:rPr>
          <w:color w:val="002060"/>
        </w:rPr>
        <w:t xml:space="preserve">frame </w:t>
      </w:r>
      <w:r w:rsidR="00690CC7">
        <w:rPr>
          <w:color w:val="002060"/>
        </w:rPr>
        <w:t>of</w:t>
      </w:r>
      <w:r w:rsidR="003917F0" w:rsidRPr="003917F0">
        <w:rPr>
          <w:color w:val="002060"/>
        </w:rPr>
        <w:t xml:space="preserve"> </w:t>
      </w:r>
      <w:r w:rsidRPr="003917F0">
        <w:rPr>
          <w:color w:val="002060"/>
        </w:rPr>
        <w:t xml:space="preserve">a broader </w:t>
      </w:r>
      <w:r w:rsidR="003917F0" w:rsidRPr="003917F0">
        <w:rPr>
          <w:color w:val="002060"/>
        </w:rPr>
        <w:t>analysis o</w:t>
      </w:r>
      <w:r w:rsidR="00690CC7">
        <w:rPr>
          <w:color w:val="002060"/>
        </w:rPr>
        <w:t>f</w:t>
      </w:r>
      <w:r w:rsidR="003917F0" w:rsidRPr="003917F0">
        <w:rPr>
          <w:color w:val="002060"/>
        </w:rPr>
        <w:t xml:space="preserve"> the political economy of the reforms </w:t>
      </w:r>
      <w:r w:rsidR="00690CC7">
        <w:rPr>
          <w:color w:val="002060"/>
        </w:rPr>
        <w:t xml:space="preserve">giving way to </w:t>
      </w:r>
      <w:r w:rsidR="003917F0" w:rsidRPr="003917F0">
        <w:rPr>
          <w:color w:val="002060"/>
        </w:rPr>
        <w:t xml:space="preserve">a </w:t>
      </w:r>
      <w:r w:rsidR="00690CC7">
        <w:rPr>
          <w:color w:val="002060"/>
        </w:rPr>
        <w:t xml:space="preserve">more </w:t>
      </w:r>
      <w:r w:rsidRPr="003917F0">
        <w:rPr>
          <w:color w:val="002060"/>
        </w:rPr>
        <w:t xml:space="preserve">political </w:t>
      </w:r>
      <w:r w:rsidR="00236551" w:rsidRPr="003917F0">
        <w:rPr>
          <w:color w:val="002060"/>
        </w:rPr>
        <w:t>understanding</w:t>
      </w:r>
      <w:r w:rsidRPr="003917F0">
        <w:rPr>
          <w:color w:val="002060"/>
        </w:rPr>
        <w:t xml:space="preserve"> of decentralization as “</w:t>
      </w:r>
      <w:r w:rsidRPr="003917F0">
        <w:rPr>
          <w:i/>
          <w:color w:val="002060"/>
        </w:rPr>
        <w:t>empowerment of people through the empowerment of their local governments</w:t>
      </w:r>
      <w:r w:rsidRPr="003917F0">
        <w:rPr>
          <w:color w:val="002060"/>
        </w:rPr>
        <w:t xml:space="preserve">”. Second, concerns with exclusive allocation of entire functions across levels of government have given way to a search for </w:t>
      </w:r>
      <w:r w:rsidRPr="003917F0">
        <w:rPr>
          <w:rFonts w:cs="TimesNewRoman"/>
          <w:color w:val="002060"/>
        </w:rPr>
        <w:t>“</w:t>
      </w:r>
      <w:r w:rsidRPr="003917F0">
        <w:rPr>
          <w:rFonts w:cs="TimesNewRoman"/>
          <w:i/>
          <w:color w:val="002060"/>
        </w:rPr>
        <w:t>multi-level governance</w:t>
      </w:r>
      <w:r w:rsidRPr="003917F0">
        <w:rPr>
          <w:rFonts w:cs="TimesNewRoman"/>
          <w:color w:val="002060"/>
        </w:rPr>
        <w:t>” arrangements under which several levels of government could share responsibility for a public good or service, and perform a certain number of tasks</w:t>
      </w:r>
      <w:r w:rsidRPr="003917F0">
        <w:rPr>
          <w:rFonts w:cs="TimesNewRoman,Italic"/>
          <w:i/>
          <w:iCs/>
          <w:color w:val="002060"/>
        </w:rPr>
        <w:t xml:space="preserve"> </w:t>
      </w:r>
      <w:r w:rsidRPr="003917F0">
        <w:rPr>
          <w:rFonts w:cs="TimesNewRoman"/>
          <w:color w:val="002060"/>
        </w:rPr>
        <w:t xml:space="preserve">in the provision of services of all kinds, calling then for new and more intense forms of </w:t>
      </w:r>
      <w:r w:rsidRPr="003917F0">
        <w:rPr>
          <w:rFonts w:cs="TimesNewRoman"/>
          <w:i/>
          <w:color w:val="002060"/>
        </w:rPr>
        <w:t>inter-governmental cooperation</w:t>
      </w:r>
      <w:r w:rsidRPr="003917F0">
        <w:rPr>
          <w:rFonts w:cs="TimesNewRoman"/>
          <w:color w:val="002060"/>
        </w:rPr>
        <w:t xml:space="preserve">. </w:t>
      </w:r>
    </w:p>
    <w:p w:rsidR="00885C48" w:rsidRPr="003917F0" w:rsidRDefault="00885C48" w:rsidP="00885C48">
      <w:pPr>
        <w:pStyle w:val="NoSpacing"/>
        <w:jc w:val="both"/>
        <w:rPr>
          <w:color w:val="002060"/>
        </w:rPr>
      </w:pPr>
      <w:r w:rsidRPr="003917F0">
        <w:rPr>
          <w:rFonts w:cs="TimesNewRoman"/>
          <w:color w:val="002060"/>
        </w:rPr>
        <w:t xml:space="preserve"> </w:t>
      </w:r>
    </w:p>
    <w:p w:rsidR="00885C48" w:rsidRPr="003917F0" w:rsidRDefault="00885C48" w:rsidP="00885C48">
      <w:pPr>
        <w:pStyle w:val="NoSpacing"/>
        <w:jc w:val="both"/>
        <w:rPr>
          <w:color w:val="002060"/>
        </w:rPr>
      </w:pPr>
      <w:r w:rsidRPr="003917F0">
        <w:rPr>
          <w:color w:val="002060"/>
        </w:rPr>
        <w:t xml:space="preserve">This has </w:t>
      </w:r>
      <w:r w:rsidR="003917F0" w:rsidRPr="003917F0">
        <w:rPr>
          <w:color w:val="002060"/>
        </w:rPr>
        <w:t xml:space="preserve">in turn </w:t>
      </w:r>
      <w:r w:rsidRPr="003917F0">
        <w:rPr>
          <w:color w:val="002060"/>
        </w:rPr>
        <w:t xml:space="preserve">shaped a new understanding of Local Authorities as developmental actors. As hinted by the above quote from the Busan Outcome Document, Local Authorities are no longer characterized as only </w:t>
      </w:r>
      <w:r w:rsidRPr="003917F0">
        <w:rPr>
          <w:i/>
          <w:color w:val="002060"/>
        </w:rPr>
        <w:t>managerial entities</w:t>
      </w:r>
      <w:r w:rsidRPr="003917F0">
        <w:rPr>
          <w:color w:val="002060"/>
        </w:rPr>
        <w:t xml:space="preserve"> to deliver a set of specific services, but are increasingly recognized as </w:t>
      </w:r>
      <w:r w:rsidRPr="003917F0">
        <w:rPr>
          <w:i/>
          <w:color w:val="002060"/>
        </w:rPr>
        <w:t>political bodies</w:t>
      </w:r>
      <w:r w:rsidRPr="003917F0">
        <w:rPr>
          <w:color w:val="002060"/>
        </w:rPr>
        <w:t xml:space="preserve"> through which local communities exercise their right to local self-government and which are mandated to both help implement national policies in the localities and develop and implement their own local policies, programs and projects. As a consequence Local Authorities are increasingly seen as critically important </w:t>
      </w:r>
      <w:r w:rsidRPr="003917F0">
        <w:rPr>
          <w:i/>
          <w:color w:val="002060"/>
        </w:rPr>
        <w:t>partners</w:t>
      </w:r>
      <w:r w:rsidRPr="003917F0">
        <w:rPr>
          <w:color w:val="002060"/>
        </w:rPr>
        <w:t xml:space="preserve"> of central governments, who could both implement and supplement national development efforts.</w:t>
      </w:r>
    </w:p>
    <w:p w:rsidR="00885C48" w:rsidRDefault="00885C48" w:rsidP="00885C48">
      <w:pPr>
        <w:pStyle w:val="NoSpacing"/>
        <w:jc w:val="both"/>
      </w:pPr>
    </w:p>
    <w:p w:rsidR="0050073B" w:rsidRPr="00A25D7F" w:rsidRDefault="00EF2CCC" w:rsidP="0039199D">
      <w:pPr>
        <w:rPr>
          <w:b/>
          <w:color w:val="0070C0"/>
          <w:sz w:val="28"/>
        </w:rPr>
      </w:pPr>
      <w:r w:rsidRPr="00A25D7F">
        <w:rPr>
          <w:b/>
          <w:color w:val="0070C0"/>
          <w:sz w:val="28"/>
        </w:rPr>
        <w:t>Giving e</w:t>
      </w:r>
      <w:r w:rsidR="00647CB4" w:rsidRPr="00A25D7F">
        <w:rPr>
          <w:b/>
          <w:color w:val="0070C0"/>
          <w:sz w:val="28"/>
        </w:rPr>
        <w:t>qual attention to policies and institutions</w:t>
      </w:r>
    </w:p>
    <w:p w:rsidR="009D0ADF" w:rsidRPr="00F36E1C" w:rsidRDefault="00E81D88" w:rsidP="0013061B">
      <w:pPr>
        <w:pStyle w:val="NoSpacing"/>
        <w:jc w:val="both"/>
        <w:rPr>
          <w:color w:val="002060"/>
        </w:rPr>
      </w:pPr>
      <w:r w:rsidRPr="00F36E1C">
        <w:rPr>
          <w:color w:val="002060"/>
        </w:rPr>
        <w:t>BS</w:t>
      </w:r>
      <w:r w:rsidR="0050073B" w:rsidRPr="00F36E1C">
        <w:rPr>
          <w:color w:val="002060"/>
        </w:rPr>
        <w:t xml:space="preserve"> operations are meant to help partner countries design and implement their own effective development policies. </w:t>
      </w:r>
      <w:r w:rsidR="00967DDD" w:rsidRPr="00F36E1C">
        <w:rPr>
          <w:color w:val="002060"/>
        </w:rPr>
        <w:t>Dialogue to a</w:t>
      </w:r>
      <w:r w:rsidR="0050073B" w:rsidRPr="00F36E1C">
        <w:rPr>
          <w:color w:val="002060"/>
        </w:rPr>
        <w:t xml:space="preserve">ssess </w:t>
      </w:r>
      <w:r w:rsidR="00967DDD" w:rsidRPr="00F36E1C">
        <w:rPr>
          <w:color w:val="002060"/>
        </w:rPr>
        <w:t xml:space="preserve">and help shape </w:t>
      </w:r>
      <w:r w:rsidR="0050073B" w:rsidRPr="00F36E1C">
        <w:rPr>
          <w:color w:val="002060"/>
        </w:rPr>
        <w:t xml:space="preserve">the content of these </w:t>
      </w:r>
      <w:r w:rsidR="0050073B" w:rsidRPr="00F36E1C">
        <w:rPr>
          <w:i/>
          <w:color w:val="002060"/>
        </w:rPr>
        <w:t xml:space="preserve">policies </w:t>
      </w:r>
      <w:r w:rsidR="0050073B" w:rsidRPr="00F36E1C">
        <w:rPr>
          <w:color w:val="002060"/>
        </w:rPr>
        <w:t xml:space="preserve">(their objectives, targets and indicators) is therefore </w:t>
      </w:r>
      <w:r w:rsidR="00967DDD" w:rsidRPr="00F36E1C">
        <w:rPr>
          <w:color w:val="002060"/>
        </w:rPr>
        <w:t xml:space="preserve">at the core of the formulation </w:t>
      </w:r>
      <w:r w:rsidR="0050073B" w:rsidRPr="00F36E1C">
        <w:rPr>
          <w:color w:val="002060"/>
        </w:rPr>
        <w:t xml:space="preserve">of </w:t>
      </w:r>
      <w:r w:rsidRPr="00F36E1C">
        <w:rPr>
          <w:color w:val="002060"/>
        </w:rPr>
        <w:t>BS</w:t>
      </w:r>
      <w:r w:rsidR="0050073B" w:rsidRPr="00F36E1C">
        <w:rPr>
          <w:color w:val="002060"/>
        </w:rPr>
        <w:t xml:space="preserve"> operations.</w:t>
      </w:r>
      <w:r w:rsidR="00596DF4" w:rsidRPr="00F36E1C">
        <w:rPr>
          <w:color w:val="002060"/>
        </w:rPr>
        <w:t xml:space="preserve"> </w:t>
      </w:r>
      <w:r w:rsidR="0050073B" w:rsidRPr="00F36E1C">
        <w:rPr>
          <w:color w:val="002060"/>
        </w:rPr>
        <w:t xml:space="preserve">Yet, </w:t>
      </w:r>
      <w:r w:rsidRPr="00F36E1C">
        <w:rPr>
          <w:color w:val="002060"/>
        </w:rPr>
        <w:t xml:space="preserve">their </w:t>
      </w:r>
      <w:r w:rsidR="0050073B" w:rsidRPr="00F36E1C">
        <w:rPr>
          <w:color w:val="002060"/>
        </w:rPr>
        <w:t xml:space="preserve">actual development </w:t>
      </w:r>
      <w:r w:rsidR="001E6EF4" w:rsidRPr="00F36E1C">
        <w:rPr>
          <w:color w:val="002060"/>
        </w:rPr>
        <w:t xml:space="preserve">impact </w:t>
      </w:r>
      <w:r w:rsidR="0050073B" w:rsidRPr="00F36E1C">
        <w:rPr>
          <w:color w:val="002060"/>
        </w:rPr>
        <w:t xml:space="preserve">critically </w:t>
      </w:r>
      <w:r w:rsidR="00967DDD" w:rsidRPr="00F36E1C">
        <w:rPr>
          <w:color w:val="002060"/>
        </w:rPr>
        <w:t>depend</w:t>
      </w:r>
      <w:r w:rsidR="001E6EF4" w:rsidRPr="00F36E1C">
        <w:rPr>
          <w:color w:val="002060"/>
        </w:rPr>
        <w:t>s</w:t>
      </w:r>
      <w:r w:rsidR="00967DDD" w:rsidRPr="00F36E1C">
        <w:rPr>
          <w:color w:val="002060"/>
        </w:rPr>
        <w:t xml:space="preserve"> </w:t>
      </w:r>
      <w:r w:rsidR="001E6EF4" w:rsidRPr="00F36E1C">
        <w:rPr>
          <w:color w:val="002060"/>
        </w:rPr>
        <w:t xml:space="preserve">also </w:t>
      </w:r>
      <w:r w:rsidR="0050073B" w:rsidRPr="00F36E1C">
        <w:rPr>
          <w:color w:val="002060"/>
        </w:rPr>
        <w:t>on</w:t>
      </w:r>
      <w:r w:rsidR="001E435F" w:rsidRPr="00F36E1C">
        <w:rPr>
          <w:color w:val="002060"/>
        </w:rPr>
        <w:t xml:space="preserve"> </w:t>
      </w:r>
      <w:r w:rsidR="001E435F" w:rsidRPr="00F36E1C">
        <w:rPr>
          <w:i/>
          <w:color w:val="002060"/>
        </w:rPr>
        <w:t>delivery systems</w:t>
      </w:r>
      <w:r w:rsidR="001E435F" w:rsidRPr="00F36E1C">
        <w:rPr>
          <w:color w:val="002060"/>
        </w:rPr>
        <w:t>.</w:t>
      </w:r>
      <w:r w:rsidR="001E6EF4" w:rsidRPr="00F36E1C">
        <w:rPr>
          <w:color w:val="002060"/>
        </w:rPr>
        <w:t xml:space="preserve"> </w:t>
      </w:r>
      <w:r w:rsidR="001E435F" w:rsidRPr="00F36E1C">
        <w:rPr>
          <w:color w:val="002060"/>
        </w:rPr>
        <w:t>E</w:t>
      </w:r>
      <w:r w:rsidR="0050073B" w:rsidRPr="00F36E1C">
        <w:rPr>
          <w:color w:val="002060"/>
        </w:rPr>
        <w:t xml:space="preserve">qual attention </w:t>
      </w:r>
      <w:r w:rsidRPr="00F36E1C">
        <w:rPr>
          <w:color w:val="002060"/>
        </w:rPr>
        <w:t xml:space="preserve">must </w:t>
      </w:r>
      <w:r w:rsidR="001E6EF4" w:rsidRPr="00F36E1C">
        <w:rPr>
          <w:color w:val="002060"/>
        </w:rPr>
        <w:t>then b</w:t>
      </w:r>
      <w:r w:rsidRPr="00F36E1C">
        <w:rPr>
          <w:color w:val="002060"/>
        </w:rPr>
        <w:t xml:space="preserve">e </w:t>
      </w:r>
      <w:r w:rsidR="00322136" w:rsidRPr="00F36E1C">
        <w:rPr>
          <w:color w:val="002060"/>
        </w:rPr>
        <w:t>given</w:t>
      </w:r>
      <w:r w:rsidRPr="00F36E1C">
        <w:rPr>
          <w:color w:val="002060"/>
        </w:rPr>
        <w:t xml:space="preserve"> </w:t>
      </w:r>
      <w:r w:rsidR="0050073B" w:rsidRPr="00F36E1C">
        <w:rPr>
          <w:color w:val="002060"/>
        </w:rPr>
        <w:t xml:space="preserve">to </w:t>
      </w:r>
      <w:r w:rsidR="00A62859" w:rsidRPr="00F36E1C">
        <w:rPr>
          <w:color w:val="002060"/>
        </w:rPr>
        <w:t xml:space="preserve">both </w:t>
      </w:r>
      <w:r w:rsidR="001E435F" w:rsidRPr="00F36E1C">
        <w:rPr>
          <w:color w:val="002060"/>
        </w:rPr>
        <w:t xml:space="preserve">the content of a </w:t>
      </w:r>
      <w:r w:rsidR="0050073B" w:rsidRPr="00F36E1C">
        <w:rPr>
          <w:i/>
          <w:color w:val="002060"/>
        </w:rPr>
        <w:t>policy</w:t>
      </w:r>
      <w:r w:rsidR="0050073B" w:rsidRPr="00F36E1C">
        <w:rPr>
          <w:color w:val="002060"/>
        </w:rPr>
        <w:t xml:space="preserve"> </w:t>
      </w:r>
      <w:r w:rsidR="00322136" w:rsidRPr="00F36E1C">
        <w:rPr>
          <w:color w:val="002060"/>
        </w:rPr>
        <w:t xml:space="preserve">and </w:t>
      </w:r>
      <w:r w:rsidR="001E6EF4" w:rsidRPr="00F36E1C">
        <w:rPr>
          <w:color w:val="002060"/>
        </w:rPr>
        <w:t xml:space="preserve">the multi-level </w:t>
      </w:r>
      <w:r w:rsidR="001E6EF4" w:rsidRPr="00F36E1C">
        <w:rPr>
          <w:i/>
          <w:color w:val="002060"/>
        </w:rPr>
        <w:t>institutions</w:t>
      </w:r>
      <w:r w:rsidR="001E6EF4" w:rsidRPr="00F36E1C">
        <w:rPr>
          <w:color w:val="002060"/>
        </w:rPr>
        <w:t xml:space="preserve"> through which </w:t>
      </w:r>
      <w:r w:rsidR="001E435F" w:rsidRPr="00F36E1C">
        <w:rPr>
          <w:color w:val="002060"/>
        </w:rPr>
        <w:t xml:space="preserve">it is </w:t>
      </w:r>
      <w:r w:rsidR="001E6EF4" w:rsidRPr="00F36E1C">
        <w:rPr>
          <w:color w:val="002060"/>
        </w:rPr>
        <w:t>designed and delivered.</w:t>
      </w:r>
      <w:r w:rsidR="00A62859" w:rsidRPr="00F36E1C">
        <w:rPr>
          <w:color w:val="002060"/>
        </w:rPr>
        <w:t xml:space="preserve"> </w:t>
      </w:r>
      <w:r w:rsidR="00322136" w:rsidRPr="00F36E1C">
        <w:rPr>
          <w:color w:val="002060"/>
        </w:rPr>
        <w:t>Indeed, the latter</w:t>
      </w:r>
      <w:r w:rsidR="00A62859" w:rsidRPr="00F36E1C">
        <w:rPr>
          <w:color w:val="002060"/>
        </w:rPr>
        <w:t xml:space="preserve"> </w:t>
      </w:r>
      <w:r w:rsidR="00322136" w:rsidRPr="00F36E1C">
        <w:rPr>
          <w:color w:val="002060"/>
        </w:rPr>
        <w:t xml:space="preserve">make a critical difference with respect </w:t>
      </w:r>
      <w:r w:rsidR="001E6EF4" w:rsidRPr="00F36E1C">
        <w:rPr>
          <w:color w:val="002060"/>
        </w:rPr>
        <w:t>to responsiveness</w:t>
      </w:r>
      <w:r w:rsidR="009D0ADF" w:rsidRPr="00F36E1C">
        <w:rPr>
          <w:color w:val="002060"/>
        </w:rPr>
        <w:t xml:space="preserve"> to </w:t>
      </w:r>
      <w:r w:rsidR="006F1EFD" w:rsidRPr="00F36E1C">
        <w:rPr>
          <w:color w:val="002060"/>
        </w:rPr>
        <w:t>citizens’</w:t>
      </w:r>
      <w:r w:rsidR="009D0ADF" w:rsidRPr="00F36E1C">
        <w:rPr>
          <w:color w:val="002060"/>
        </w:rPr>
        <w:t xml:space="preserve"> demands, efficiency in use of national resources, mobilization of additional local resources </w:t>
      </w:r>
      <w:r w:rsidR="001E6EF4" w:rsidRPr="00F36E1C">
        <w:rPr>
          <w:color w:val="002060"/>
        </w:rPr>
        <w:t>and accountability</w:t>
      </w:r>
      <w:r w:rsidR="009D0ADF" w:rsidRPr="00F36E1C">
        <w:rPr>
          <w:color w:val="002060"/>
        </w:rPr>
        <w:t xml:space="preserve"> for results. </w:t>
      </w:r>
    </w:p>
    <w:p w:rsidR="00647CB4" w:rsidRPr="00F36E1C" w:rsidRDefault="00647CB4" w:rsidP="0013061B">
      <w:pPr>
        <w:pStyle w:val="NoSpacing"/>
        <w:jc w:val="both"/>
        <w:rPr>
          <w:color w:val="002060"/>
        </w:rPr>
      </w:pPr>
    </w:p>
    <w:p w:rsidR="0025704E" w:rsidRPr="00F36E1C" w:rsidRDefault="00EC2815" w:rsidP="00AB1A21">
      <w:pPr>
        <w:pStyle w:val="NoSpacing"/>
        <w:jc w:val="both"/>
        <w:rPr>
          <w:color w:val="002060"/>
        </w:rPr>
      </w:pPr>
      <w:r w:rsidRPr="00F36E1C">
        <w:rPr>
          <w:color w:val="002060"/>
        </w:rPr>
        <w:lastRenderedPageBreak/>
        <w:t>P</w:t>
      </w:r>
      <w:r w:rsidR="0025704E" w:rsidRPr="00F36E1C">
        <w:rPr>
          <w:color w:val="002060"/>
        </w:rPr>
        <w:t xml:space="preserve">ast evaluations of </w:t>
      </w:r>
      <w:r w:rsidR="001E435F" w:rsidRPr="00F36E1C">
        <w:rPr>
          <w:color w:val="002060"/>
        </w:rPr>
        <w:t>BS</w:t>
      </w:r>
      <w:r w:rsidR="0025704E" w:rsidRPr="00F36E1C">
        <w:rPr>
          <w:color w:val="002060"/>
        </w:rPr>
        <w:t xml:space="preserve"> operations,</w:t>
      </w:r>
      <w:r w:rsidR="00F64716" w:rsidRPr="00F36E1C">
        <w:rPr>
          <w:color w:val="002060"/>
        </w:rPr>
        <w:t xml:space="preserve"> have </w:t>
      </w:r>
      <w:r w:rsidR="001E435F" w:rsidRPr="00F36E1C">
        <w:rPr>
          <w:color w:val="002060"/>
        </w:rPr>
        <w:t>pointed at the often</w:t>
      </w:r>
      <w:r w:rsidR="00FE3286" w:rsidRPr="00F36E1C">
        <w:rPr>
          <w:color w:val="002060"/>
        </w:rPr>
        <w:t xml:space="preserve"> ‘</w:t>
      </w:r>
      <w:r w:rsidR="00FE3286" w:rsidRPr="00F36E1C">
        <w:rPr>
          <w:i/>
          <w:color w:val="002060"/>
        </w:rPr>
        <w:t>missing</w:t>
      </w:r>
      <w:r w:rsidR="0025704E" w:rsidRPr="00F36E1C">
        <w:rPr>
          <w:i/>
          <w:color w:val="002060"/>
        </w:rPr>
        <w:t xml:space="preserve"> middle’</w:t>
      </w:r>
      <w:r w:rsidR="0025704E" w:rsidRPr="00F36E1C">
        <w:rPr>
          <w:color w:val="002060"/>
        </w:rPr>
        <w:t xml:space="preserve"> </w:t>
      </w:r>
      <w:r w:rsidR="001E435F" w:rsidRPr="00F36E1C">
        <w:rPr>
          <w:color w:val="002060"/>
        </w:rPr>
        <w:t xml:space="preserve">in the </w:t>
      </w:r>
      <w:r w:rsidR="0025704E" w:rsidRPr="00F36E1C">
        <w:rPr>
          <w:color w:val="002060"/>
        </w:rPr>
        <w:t>service delivery</w:t>
      </w:r>
      <w:r w:rsidR="001E435F" w:rsidRPr="00F36E1C">
        <w:rPr>
          <w:color w:val="002060"/>
        </w:rPr>
        <w:t xml:space="preserve"> system</w:t>
      </w:r>
      <w:r w:rsidR="00C65D3F" w:rsidRPr="00F36E1C">
        <w:rPr>
          <w:rStyle w:val="FootnoteReference"/>
          <w:color w:val="002060"/>
        </w:rPr>
        <w:footnoteReference w:id="2"/>
      </w:r>
      <w:r w:rsidR="001E435F" w:rsidRPr="00F36E1C">
        <w:rPr>
          <w:color w:val="002060"/>
        </w:rPr>
        <w:t xml:space="preserve"> and </w:t>
      </w:r>
      <w:r w:rsidR="001F041F" w:rsidRPr="00F36E1C">
        <w:rPr>
          <w:color w:val="002060"/>
        </w:rPr>
        <w:t>called for (</w:t>
      </w:r>
      <w:proofErr w:type="spellStart"/>
      <w:r w:rsidR="001F041F" w:rsidRPr="00F36E1C">
        <w:rPr>
          <w:color w:val="002060"/>
        </w:rPr>
        <w:t>i</w:t>
      </w:r>
      <w:proofErr w:type="spellEnd"/>
      <w:r w:rsidR="001F041F" w:rsidRPr="00F36E1C">
        <w:rPr>
          <w:color w:val="002060"/>
        </w:rPr>
        <w:t>)</w:t>
      </w:r>
      <w:r w:rsidR="00A34C67" w:rsidRPr="00F36E1C">
        <w:rPr>
          <w:color w:val="002060"/>
        </w:rPr>
        <w:t xml:space="preserve"> </w:t>
      </w:r>
      <w:r w:rsidR="001F041F" w:rsidRPr="00F36E1C">
        <w:rPr>
          <w:color w:val="002060"/>
        </w:rPr>
        <w:t xml:space="preserve">a better </w:t>
      </w:r>
      <w:r w:rsidRPr="00F36E1C">
        <w:rPr>
          <w:color w:val="002060"/>
        </w:rPr>
        <w:t>understand</w:t>
      </w:r>
      <w:r w:rsidR="001F041F" w:rsidRPr="00F36E1C">
        <w:rPr>
          <w:color w:val="002060"/>
        </w:rPr>
        <w:t xml:space="preserve">ing of </w:t>
      </w:r>
      <w:r w:rsidR="00FE3286" w:rsidRPr="00F36E1C">
        <w:rPr>
          <w:color w:val="002060"/>
        </w:rPr>
        <w:t>downstream</w:t>
      </w:r>
      <w:r w:rsidR="0025704E" w:rsidRPr="00F36E1C">
        <w:rPr>
          <w:color w:val="002060"/>
        </w:rPr>
        <w:t xml:space="preserve"> </w:t>
      </w:r>
      <w:r w:rsidR="004B15F2" w:rsidRPr="00F36E1C">
        <w:rPr>
          <w:color w:val="002060"/>
        </w:rPr>
        <w:t xml:space="preserve">institutional </w:t>
      </w:r>
      <w:r w:rsidR="00F64716" w:rsidRPr="00F36E1C">
        <w:rPr>
          <w:color w:val="002060"/>
        </w:rPr>
        <w:t xml:space="preserve">constraints </w:t>
      </w:r>
      <w:r w:rsidRPr="00F36E1C">
        <w:rPr>
          <w:color w:val="002060"/>
        </w:rPr>
        <w:t>to</w:t>
      </w:r>
      <w:r w:rsidR="00F64716" w:rsidRPr="00F36E1C">
        <w:rPr>
          <w:color w:val="002060"/>
        </w:rPr>
        <w:t xml:space="preserve"> effective</w:t>
      </w:r>
      <w:r w:rsidR="0025704E" w:rsidRPr="00F36E1C">
        <w:rPr>
          <w:color w:val="002060"/>
        </w:rPr>
        <w:t xml:space="preserve"> service delivery</w:t>
      </w:r>
      <w:r w:rsidRPr="00F36E1C">
        <w:rPr>
          <w:color w:val="002060"/>
        </w:rPr>
        <w:t xml:space="preserve"> and </w:t>
      </w:r>
      <w:r w:rsidR="00D8058C" w:rsidRPr="00F36E1C">
        <w:rPr>
          <w:color w:val="002060"/>
        </w:rPr>
        <w:t xml:space="preserve">(ii) </w:t>
      </w:r>
      <w:r w:rsidRPr="00F36E1C">
        <w:rPr>
          <w:color w:val="002060"/>
        </w:rPr>
        <w:t>strengthen</w:t>
      </w:r>
      <w:r w:rsidR="00A34C67" w:rsidRPr="00F36E1C">
        <w:rPr>
          <w:color w:val="002060"/>
        </w:rPr>
        <w:t xml:space="preserve">ing </w:t>
      </w:r>
      <w:r w:rsidR="0025704E" w:rsidRPr="00F36E1C">
        <w:rPr>
          <w:color w:val="002060"/>
        </w:rPr>
        <w:t xml:space="preserve">front-line </w:t>
      </w:r>
      <w:r w:rsidR="00FE3286" w:rsidRPr="00F36E1C">
        <w:rPr>
          <w:color w:val="002060"/>
        </w:rPr>
        <w:t>agents</w:t>
      </w:r>
      <w:r w:rsidR="00A34C67" w:rsidRPr="00F36E1C">
        <w:rPr>
          <w:color w:val="002060"/>
        </w:rPr>
        <w:t xml:space="preserve">’ capacity and (iii) </w:t>
      </w:r>
      <w:r w:rsidR="00FE3286" w:rsidRPr="00F36E1C">
        <w:rPr>
          <w:color w:val="002060"/>
        </w:rPr>
        <w:t>improv</w:t>
      </w:r>
      <w:r w:rsidR="00A34C67" w:rsidRPr="00F36E1C">
        <w:rPr>
          <w:color w:val="002060"/>
        </w:rPr>
        <w:t>ing</w:t>
      </w:r>
      <w:r w:rsidR="00FE3286" w:rsidRPr="00F36E1C">
        <w:rPr>
          <w:color w:val="002060"/>
        </w:rPr>
        <w:t xml:space="preserve"> accountability</w:t>
      </w:r>
      <w:r w:rsidR="0025704E" w:rsidRPr="00F36E1C">
        <w:rPr>
          <w:color w:val="002060"/>
        </w:rPr>
        <w:t xml:space="preserve"> to service users.</w:t>
      </w:r>
      <w:r w:rsidR="00FE3286" w:rsidRPr="00F36E1C">
        <w:rPr>
          <w:color w:val="002060"/>
        </w:rPr>
        <w:t xml:space="preserve"> In </w:t>
      </w:r>
      <w:r w:rsidR="004B15F2" w:rsidRPr="00F36E1C">
        <w:rPr>
          <w:color w:val="002060"/>
        </w:rPr>
        <w:t>decentralizing contexts</w:t>
      </w:r>
      <w:r w:rsidR="00FE3286" w:rsidRPr="00F36E1C">
        <w:rPr>
          <w:color w:val="002060"/>
        </w:rPr>
        <w:t xml:space="preserve">, this </w:t>
      </w:r>
      <w:r w:rsidR="001E435F" w:rsidRPr="00F36E1C">
        <w:rPr>
          <w:color w:val="002060"/>
        </w:rPr>
        <w:t xml:space="preserve">also </w:t>
      </w:r>
      <w:r w:rsidRPr="00F36E1C">
        <w:rPr>
          <w:color w:val="002060"/>
        </w:rPr>
        <w:t xml:space="preserve">means performing a </w:t>
      </w:r>
      <w:r w:rsidR="004B15F2" w:rsidRPr="00F36E1C">
        <w:rPr>
          <w:color w:val="002060"/>
        </w:rPr>
        <w:t xml:space="preserve">dynamic assessment of how local authorities could </w:t>
      </w:r>
      <w:r w:rsidRPr="00F36E1C">
        <w:rPr>
          <w:color w:val="002060"/>
        </w:rPr>
        <w:t>b</w:t>
      </w:r>
      <w:r w:rsidR="001E435F" w:rsidRPr="00F36E1C">
        <w:rPr>
          <w:color w:val="002060"/>
        </w:rPr>
        <w:t>e</w:t>
      </w:r>
      <w:r w:rsidR="00A34C67" w:rsidRPr="00F36E1C">
        <w:rPr>
          <w:color w:val="002060"/>
        </w:rPr>
        <w:t>come</w:t>
      </w:r>
      <w:r w:rsidR="001E435F" w:rsidRPr="00F36E1C">
        <w:rPr>
          <w:color w:val="002060"/>
        </w:rPr>
        <w:t xml:space="preserve"> </w:t>
      </w:r>
      <w:r w:rsidR="00B82D5D" w:rsidRPr="00F36E1C">
        <w:rPr>
          <w:color w:val="002060"/>
        </w:rPr>
        <w:t xml:space="preserve">an </w:t>
      </w:r>
      <w:r w:rsidR="00B82D5D" w:rsidRPr="00F36E1C">
        <w:rPr>
          <w:i/>
          <w:color w:val="002060"/>
        </w:rPr>
        <w:t>e</w:t>
      </w:r>
      <w:r w:rsidRPr="00F36E1C">
        <w:rPr>
          <w:i/>
          <w:color w:val="002060"/>
        </w:rPr>
        <w:t xml:space="preserve">ffective </w:t>
      </w:r>
      <w:r w:rsidR="00B82D5D" w:rsidRPr="00F36E1C">
        <w:rPr>
          <w:i/>
          <w:color w:val="002060"/>
        </w:rPr>
        <w:t>component</w:t>
      </w:r>
      <w:r w:rsidR="004B15F2" w:rsidRPr="00F36E1C">
        <w:rPr>
          <w:i/>
          <w:color w:val="002060"/>
        </w:rPr>
        <w:t xml:space="preserve"> of </w:t>
      </w:r>
      <w:r w:rsidR="001E435F" w:rsidRPr="00F36E1C">
        <w:rPr>
          <w:i/>
          <w:color w:val="002060"/>
        </w:rPr>
        <w:t xml:space="preserve">a multi-actor, </w:t>
      </w:r>
      <w:r w:rsidR="001D5CE6" w:rsidRPr="00F36E1C">
        <w:rPr>
          <w:i/>
          <w:color w:val="002060"/>
        </w:rPr>
        <w:t xml:space="preserve">local public </w:t>
      </w:r>
      <w:r w:rsidR="001F041F" w:rsidRPr="00F36E1C">
        <w:rPr>
          <w:i/>
          <w:color w:val="002060"/>
        </w:rPr>
        <w:t>sector system</w:t>
      </w:r>
      <w:r w:rsidR="001F041F" w:rsidRPr="00F36E1C">
        <w:rPr>
          <w:color w:val="002060"/>
        </w:rPr>
        <w:t xml:space="preserve"> </w:t>
      </w:r>
      <w:r w:rsidR="00A34C67" w:rsidRPr="00F36E1C">
        <w:rPr>
          <w:color w:val="002060"/>
        </w:rPr>
        <w:t xml:space="preserve">and contribute to better </w:t>
      </w:r>
      <w:r w:rsidR="001F041F" w:rsidRPr="00F36E1C">
        <w:rPr>
          <w:color w:val="002060"/>
        </w:rPr>
        <w:t xml:space="preserve">and </w:t>
      </w:r>
      <w:r w:rsidR="00A34C67" w:rsidRPr="00F36E1C">
        <w:rPr>
          <w:color w:val="002060"/>
        </w:rPr>
        <w:t xml:space="preserve">more </w:t>
      </w:r>
      <w:r w:rsidR="001F041F" w:rsidRPr="00F36E1C">
        <w:rPr>
          <w:color w:val="002060"/>
        </w:rPr>
        <w:t>accountable delivery of services</w:t>
      </w:r>
      <w:r w:rsidR="004B15F2" w:rsidRPr="00F36E1C">
        <w:rPr>
          <w:color w:val="002060"/>
        </w:rPr>
        <w:t>.</w:t>
      </w:r>
      <w:r w:rsidR="00FE3286" w:rsidRPr="00F36E1C">
        <w:rPr>
          <w:color w:val="002060"/>
        </w:rPr>
        <w:t xml:space="preserve">   </w:t>
      </w:r>
      <w:r w:rsidR="0025704E" w:rsidRPr="00F36E1C">
        <w:rPr>
          <w:color w:val="002060"/>
        </w:rPr>
        <w:t xml:space="preserve"> </w:t>
      </w:r>
    </w:p>
    <w:p w:rsidR="0025704E" w:rsidRPr="005E17F8" w:rsidRDefault="0025704E" w:rsidP="0025704E">
      <w:pPr>
        <w:autoSpaceDE w:val="0"/>
        <w:autoSpaceDN w:val="0"/>
        <w:adjustRightInd w:val="0"/>
        <w:spacing w:after="0" w:line="240" w:lineRule="auto"/>
        <w:rPr>
          <w:rFonts w:cs="TT15Ct00"/>
        </w:rPr>
      </w:pPr>
    </w:p>
    <w:p w:rsidR="00736B69" w:rsidRPr="00F36E1C" w:rsidRDefault="00591A1D" w:rsidP="0013061B">
      <w:pPr>
        <w:pStyle w:val="NoSpacing"/>
        <w:jc w:val="both"/>
        <w:rPr>
          <w:rFonts w:cs="Calibri"/>
          <w:color w:val="002060"/>
        </w:rPr>
      </w:pPr>
      <w:r w:rsidRPr="00F36E1C">
        <w:rPr>
          <w:color w:val="002060"/>
        </w:rPr>
        <w:t>O</w:t>
      </w:r>
      <w:r w:rsidR="0050073B" w:rsidRPr="00F36E1C">
        <w:rPr>
          <w:color w:val="002060"/>
        </w:rPr>
        <w:t>rganizations and procedures to plan, implement and evaluate public sector policies</w:t>
      </w:r>
      <w:r w:rsidR="006F1EFD" w:rsidRPr="00F36E1C">
        <w:rPr>
          <w:color w:val="002060"/>
        </w:rPr>
        <w:t xml:space="preserve"> are significantly influenced</w:t>
      </w:r>
      <w:r w:rsidR="00AB6A69" w:rsidRPr="00F36E1C">
        <w:rPr>
          <w:color w:val="002060"/>
        </w:rPr>
        <w:t xml:space="preserve"> by (</w:t>
      </w:r>
      <w:proofErr w:type="spellStart"/>
      <w:r w:rsidR="00AB6A69" w:rsidRPr="00F36E1C">
        <w:rPr>
          <w:color w:val="002060"/>
        </w:rPr>
        <w:t>i</w:t>
      </w:r>
      <w:proofErr w:type="spellEnd"/>
      <w:r w:rsidR="00AB6A69" w:rsidRPr="00F36E1C">
        <w:rPr>
          <w:color w:val="002060"/>
        </w:rPr>
        <w:t xml:space="preserve">) </w:t>
      </w:r>
      <w:r w:rsidR="0050073B" w:rsidRPr="00F36E1C">
        <w:rPr>
          <w:color w:val="002060"/>
        </w:rPr>
        <w:t xml:space="preserve">the country’s system of </w:t>
      </w:r>
      <w:r w:rsidR="003609DC" w:rsidRPr="00F36E1C">
        <w:rPr>
          <w:color w:val="002060"/>
        </w:rPr>
        <w:t xml:space="preserve">national and </w:t>
      </w:r>
      <w:r w:rsidR="006F1EFD" w:rsidRPr="00F36E1C">
        <w:rPr>
          <w:color w:val="002060"/>
        </w:rPr>
        <w:t xml:space="preserve">sub-national </w:t>
      </w:r>
      <w:r w:rsidR="0050073B" w:rsidRPr="00F36E1C">
        <w:rPr>
          <w:color w:val="002060"/>
        </w:rPr>
        <w:t xml:space="preserve">governance and public administration and </w:t>
      </w:r>
      <w:r w:rsidR="00A62859" w:rsidRPr="00F36E1C">
        <w:rPr>
          <w:color w:val="002060"/>
        </w:rPr>
        <w:t xml:space="preserve">by </w:t>
      </w:r>
      <w:r w:rsidR="00AB6A69" w:rsidRPr="00F36E1C">
        <w:rPr>
          <w:color w:val="002060"/>
        </w:rPr>
        <w:t xml:space="preserve">(ii) </w:t>
      </w:r>
      <w:r w:rsidR="0050073B" w:rsidRPr="00F36E1C">
        <w:rPr>
          <w:color w:val="002060"/>
        </w:rPr>
        <w:t xml:space="preserve">the role that </w:t>
      </w:r>
      <w:r w:rsidR="0039199D" w:rsidRPr="00F36E1C">
        <w:rPr>
          <w:color w:val="002060"/>
        </w:rPr>
        <w:t xml:space="preserve">the local public sector </w:t>
      </w:r>
      <w:r w:rsidR="00647CB4" w:rsidRPr="00F36E1C">
        <w:rPr>
          <w:color w:val="002060"/>
        </w:rPr>
        <w:t xml:space="preserve">in general, </w:t>
      </w:r>
      <w:r w:rsidR="0039199D" w:rsidRPr="00F36E1C">
        <w:rPr>
          <w:color w:val="002060"/>
        </w:rPr>
        <w:t xml:space="preserve">and </w:t>
      </w:r>
      <w:r w:rsidR="00647CB4" w:rsidRPr="00F36E1C">
        <w:rPr>
          <w:color w:val="002060"/>
        </w:rPr>
        <w:t xml:space="preserve">elected local governments in particular, </w:t>
      </w:r>
      <w:r w:rsidR="00D320F2" w:rsidRPr="00F36E1C">
        <w:rPr>
          <w:color w:val="002060"/>
        </w:rPr>
        <w:t>may</w:t>
      </w:r>
      <w:r w:rsidR="00A62859" w:rsidRPr="00F36E1C">
        <w:rPr>
          <w:color w:val="002060"/>
        </w:rPr>
        <w:t xml:space="preserve"> </w:t>
      </w:r>
      <w:r w:rsidR="0050073B" w:rsidRPr="00F36E1C">
        <w:rPr>
          <w:color w:val="002060"/>
        </w:rPr>
        <w:t xml:space="preserve">play in development management. Both depend </w:t>
      </w:r>
      <w:r w:rsidR="00AB6A69" w:rsidRPr="00F36E1C">
        <w:rPr>
          <w:color w:val="002060"/>
        </w:rPr>
        <w:t xml:space="preserve">primarily </w:t>
      </w:r>
      <w:r w:rsidR="0050073B" w:rsidRPr="00F36E1C">
        <w:rPr>
          <w:color w:val="002060"/>
        </w:rPr>
        <w:t>on the scope and depth of</w:t>
      </w:r>
      <w:r w:rsidR="00AB6A69" w:rsidRPr="00F36E1C">
        <w:rPr>
          <w:color w:val="002060"/>
        </w:rPr>
        <w:t xml:space="preserve"> the country’s</w:t>
      </w:r>
      <w:r w:rsidR="0050073B" w:rsidRPr="00F36E1C">
        <w:rPr>
          <w:color w:val="002060"/>
        </w:rPr>
        <w:t xml:space="preserve"> </w:t>
      </w:r>
      <w:r w:rsidR="0050073B" w:rsidRPr="00F36E1C">
        <w:rPr>
          <w:i/>
          <w:color w:val="002060"/>
        </w:rPr>
        <w:t>decentralization reform</w:t>
      </w:r>
      <w:r w:rsidR="00AB6A69" w:rsidRPr="00F36E1C">
        <w:rPr>
          <w:i/>
          <w:color w:val="002060"/>
        </w:rPr>
        <w:t xml:space="preserve"> </w:t>
      </w:r>
      <w:r w:rsidR="00AB6A69" w:rsidRPr="00F36E1C">
        <w:rPr>
          <w:color w:val="002060"/>
        </w:rPr>
        <w:t>process.</w:t>
      </w:r>
      <w:r w:rsidR="0050073B" w:rsidRPr="00F36E1C">
        <w:rPr>
          <w:color w:val="002060"/>
        </w:rPr>
        <w:t xml:space="preserve"> </w:t>
      </w:r>
      <w:r w:rsidR="00BD502F" w:rsidRPr="00F36E1C">
        <w:rPr>
          <w:color w:val="002060"/>
        </w:rPr>
        <w:t xml:space="preserve"> </w:t>
      </w:r>
      <w:r w:rsidR="00736B69" w:rsidRPr="00F36E1C">
        <w:rPr>
          <w:rFonts w:cs="Calibri"/>
          <w:color w:val="002060"/>
        </w:rPr>
        <w:t xml:space="preserve">In fact, decentralization reforms turn a country’s governance and public administration into a </w:t>
      </w:r>
      <w:r w:rsidR="00736B69" w:rsidRPr="00F36E1C">
        <w:rPr>
          <w:rFonts w:cs="Calibri"/>
          <w:i/>
          <w:iCs/>
          <w:color w:val="002060"/>
        </w:rPr>
        <w:t>multi‐level system</w:t>
      </w:r>
      <w:r w:rsidR="00736B69" w:rsidRPr="00F36E1C">
        <w:rPr>
          <w:rFonts w:cs="Calibri"/>
          <w:color w:val="002060"/>
        </w:rPr>
        <w:t xml:space="preserve"> in which responsibilities for development planning, financing and implementation are meant to be </w:t>
      </w:r>
      <w:r w:rsidR="00736B69" w:rsidRPr="00F36E1C">
        <w:rPr>
          <w:rFonts w:cs="Calibri"/>
          <w:i/>
          <w:color w:val="002060"/>
        </w:rPr>
        <w:t>shared</w:t>
      </w:r>
      <w:r w:rsidR="00736B69" w:rsidRPr="00F36E1C">
        <w:rPr>
          <w:rFonts w:cs="Calibri"/>
          <w:color w:val="002060"/>
        </w:rPr>
        <w:t xml:space="preserve"> between national and </w:t>
      </w:r>
      <w:r w:rsidR="00A34C67" w:rsidRPr="00F36E1C">
        <w:rPr>
          <w:rFonts w:cs="Calibri"/>
          <w:color w:val="002060"/>
        </w:rPr>
        <w:t>local</w:t>
      </w:r>
      <w:r w:rsidR="00736B69" w:rsidRPr="00F36E1C">
        <w:rPr>
          <w:rFonts w:cs="Calibri"/>
          <w:color w:val="002060"/>
        </w:rPr>
        <w:t xml:space="preserve"> authorities. </w:t>
      </w:r>
    </w:p>
    <w:p w:rsidR="00736B69" w:rsidRPr="00F36E1C" w:rsidRDefault="00736B69" w:rsidP="0013061B">
      <w:pPr>
        <w:pStyle w:val="NoSpacing"/>
        <w:jc w:val="both"/>
        <w:rPr>
          <w:color w:val="002060"/>
        </w:rPr>
      </w:pPr>
    </w:p>
    <w:p w:rsidR="00910E7C" w:rsidRPr="00F36E1C" w:rsidRDefault="006F1EFD" w:rsidP="00910E7C">
      <w:pPr>
        <w:pStyle w:val="NoSpacing"/>
        <w:jc w:val="both"/>
        <w:rPr>
          <w:color w:val="002060"/>
        </w:rPr>
      </w:pPr>
      <w:r w:rsidRPr="00F36E1C">
        <w:rPr>
          <w:color w:val="002060"/>
        </w:rPr>
        <w:t xml:space="preserve">A well designed Budget Support operation must recognize this reality and assess </w:t>
      </w:r>
      <w:r w:rsidR="00D81938" w:rsidRPr="00F36E1C">
        <w:rPr>
          <w:color w:val="002060"/>
        </w:rPr>
        <w:t>both the opportunities</w:t>
      </w:r>
      <w:r w:rsidRPr="00F36E1C">
        <w:rPr>
          <w:color w:val="002060"/>
        </w:rPr>
        <w:t xml:space="preserve"> and the challenges that </w:t>
      </w:r>
      <w:r w:rsidR="00D81938" w:rsidRPr="00F36E1C">
        <w:rPr>
          <w:color w:val="002060"/>
        </w:rPr>
        <w:t xml:space="preserve">decentralization </w:t>
      </w:r>
      <w:r w:rsidR="00D8058C" w:rsidRPr="00F36E1C">
        <w:rPr>
          <w:color w:val="002060"/>
        </w:rPr>
        <w:t>brings about</w:t>
      </w:r>
      <w:r w:rsidR="00603FEB">
        <w:rPr>
          <w:color w:val="002060"/>
        </w:rPr>
        <w:t xml:space="preserve"> in order to</w:t>
      </w:r>
      <w:r w:rsidR="00603FEB" w:rsidRPr="00603FEB">
        <w:t xml:space="preserve"> </w:t>
      </w:r>
      <w:r w:rsidR="00603FEB">
        <w:t xml:space="preserve">achieve </w:t>
      </w:r>
      <w:r w:rsidR="00603FEB" w:rsidRPr="00603FEB">
        <w:rPr>
          <w:color w:val="002060"/>
        </w:rPr>
        <w:t xml:space="preserve">poverty alleviation, </w:t>
      </w:r>
      <w:r w:rsidR="001540A7">
        <w:rPr>
          <w:color w:val="002060"/>
        </w:rPr>
        <w:t xml:space="preserve">sustainable and inclusive </w:t>
      </w:r>
      <w:r w:rsidR="00603FEB" w:rsidRPr="00603FEB">
        <w:rPr>
          <w:color w:val="002060"/>
        </w:rPr>
        <w:t xml:space="preserve">economic growth and </w:t>
      </w:r>
      <w:r w:rsidR="001540A7">
        <w:rPr>
          <w:color w:val="002060"/>
        </w:rPr>
        <w:t xml:space="preserve">consolidation of </w:t>
      </w:r>
      <w:r w:rsidR="00603FEB" w:rsidRPr="00603FEB">
        <w:rPr>
          <w:color w:val="002060"/>
        </w:rPr>
        <w:t>democrac</w:t>
      </w:r>
      <w:r w:rsidR="001540A7">
        <w:rPr>
          <w:color w:val="002060"/>
        </w:rPr>
        <w:t>ies</w:t>
      </w:r>
      <w:r w:rsidR="00D8058C" w:rsidRPr="00F36E1C">
        <w:rPr>
          <w:color w:val="002060"/>
        </w:rPr>
        <w:t xml:space="preserve">. </w:t>
      </w:r>
      <w:r w:rsidR="00591A1D" w:rsidRPr="00F36E1C">
        <w:rPr>
          <w:color w:val="002060"/>
        </w:rPr>
        <w:t>This may</w:t>
      </w:r>
      <w:r w:rsidR="00D8058C" w:rsidRPr="00F36E1C">
        <w:rPr>
          <w:color w:val="002060"/>
        </w:rPr>
        <w:t xml:space="preserve"> </w:t>
      </w:r>
      <w:r w:rsidR="00591A1D" w:rsidRPr="00F36E1C">
        <w:rPr>
          <w:color w:val="002060"/>
        </w:rPr>
        <w:t xml:space="preserve">then </w:t>
      </w:r>
      <w:r w:rsidR="00D8058C" w:rsidRPr="00F36E1C">
        <w:rPr>
          <w:color w:val="002060"/>
        </w:rPr>
        <w:t xml:space="preserve">lead to </w:t>
      </w:r>
      <w:r w:rsidR="00591A1D" w:rsidRPr="00F36E1C">
        <w:rPr>
          <w:color w:val="002060"/>
        </w:rPr>
        <w:t xml:space="preserve">an effective involvement of </w:t>
      </w:r>
      <w:r w:rsidR="00C91BD6" w:rsidRPr="00F36E1C">
        <w:rPr>
          <w:color w:val="002060"/>
        </w:rPr>
        <w:t>sub-national authorities</w:t>
      </w:r>
      <w:r w:rsidR="00D81938" w:rsidRPr="00F36E1C">
        <w:rPr>
          <w:color w:val="002060"/>
        </w:rPr>
        <w:t xml:space="preserve"> and their associations </w:t>
      </w:r>
      <w:r w:rsidR="00C91BD6" w:rsidRPr="00F36E1C">
        <w:rPr>
          <w:color w:val="002060"/>
        </w:rPr>
        <w:t xml:space="preserve">in </w:t>
      </w:r>
      <w:r w:rsidR="00AE2F00" w:rsidRPr="00F36E1C">
        <w:rPr>
          <w:color w:val="002060"/>
        </w:rPr>
        <w:t xml:space="preserve">both </w:t>
      </w:r>
      <w:r w:rsidR="00C91BD6" w:rsidRPr="00F36E1C">
        <w:rPr>
          <w:color w:val="002060"/>
        </w:rPr>
        <w:t xml:space="preserve">the planning and implementation of the </w:t>
      </w:r>
      <w:r w:rsidR="005E17F8" w:rsidRPr="00F36E1C">
        <w:rPr>
          <w:color w:val="002060"/>
        </w:rPr>
        <w:t xml:space="preserve">national and </w:t>
      </w:r>
      <w:proofErr w:type="spellStart"/>
      <w:r w:rsidR="005E17F8" w:rsidRPr="00F36E1C">
        <w:rPr>
          <w:color w:val="002060"/>
        </w:rPr>
        <w:t>sectoral</w:t>
      </w:r>
      <w:proofErr w:type="spellEnd"/>
      <w:r w:rsidR="00C91BD6" w:rsidRPr="00F36E1C">
        <w:rPr>
          <w:color w:val="002060"/>
        </w:rPr>
        <w:t xml:space="preserve"> policies to </w:t>
      </w:r>
      <w:r w:rsidR="00591A1D" w:rsidRPr="00F36E1C">
        <w:rPr>
          <w:color w:val="002060"/>
        </w:rPr>
        <w:t>which Budget</w:t>
      </w:r>
      <w:r w:rsidR="00C91BD6" w:rsidRPr="00F36E1C">
        <w:rPr>
          <w:color w:val="002060"/>
        </w:rPr>
        <w:t xml:space="preserve"> </w:t>
      </w:r>
      <w:r w:rsidR="00D8058C" w:rsidRPr="00F36E1C">
        <w:rPr>
          <w:color w:val="002060"/>
        </w:rPr>
        <w:t>S</w:t>
      </w:r>
      <w:r w:rsidR="00C91BD6" w:rsidRPr="00F36E1C">
        <w:rPr>
          <w:color w:val="002060"/>
        </w:rPr>
        <w:t xml:space="preserve">upport </w:t>
      </w:r>
      <w:r w:rsidR="00967DDD" w:rsidRPr="00F36E1C">
        <w:rPr>
          <w:color w:val="002060"/>
        </w:rPr>
        <w:t>is provided</w:t>
      </w:r>
      <w:r w:rsidR="00C91BD6" w:rsidRPr="00F36E1C">
        <w:rPr>
          <w:color w:val="002060"/>
        </w:rPr>
        <w:t>.</w:t>
      </w:r>
      <w:r w:rsidR="00910E7C" w:rsidRPr="00F36E1C">
        <w:rPr>
          <w:color w:val="002060"/>
        </w:rPr>
        <w:t xml:space="preserve"> By contrast, a neglect of local authorities may not only lead to lower quality and impact of the policies supported, but</w:t>
      </w:r>
      <w:r w:rsidR="00ED3650">
        <w:rPr>
          <w:color w:val="002060"/>
        </w:rPr>
        <w:t xml:space="preserve"> may</w:t>
      </w:r>
      <w:r w:rsidR="00910E7C" w:rsidRPr="00F36E1C">
        <w:rPr>
          <w:color w:val="002060"/>
        </w:rPr>
        <w:t xml:space="preserve"> </w:t>
      </w:r>
      <w:r w:rsidR="00910E7C" w:rsidRPr="00F36E1C">
        <w:rPr>
          <w:i/>
          <w:color w:val="002060"/>
        </w:rPr>
        <w:t>also harm the decentralization process itself</w:t>
      </w:r>
      <w:r w:rsidR="00ED3650">
        <w:rPr>
          <w:i/>
          <w:color w:val="002060"/>
        </w:rPr>
        <w:t xml:space="preserve"> and reinforce centralist tendencies</w:t>
      </w:r>
      <w:r w:rsidR="00910E7C" w:rsidRPr="00F36E1C">
        <w:rPr>
          <w:color w:val="002060"/>
        </w:rPr>
        <w:t xml:space="preserve">. </w:t>
      </w:r>
    </w:p>
    <w:p w:rsidR="0050073B" w:rsidRDefault="0050073B" w:rsidP="0013061B">
      <w:pPr>
        <w:pStyle w:val="NoSpacing"/>
        <w:jc w:val="both"/>
      </w:pPr>
    </w:p>
    <w:p w:rsidR="0039199D" w:rsidRPr="00002EF8" w:rsidRDefault="00F72E88" w:rsidP="0039199D">
      <w:pPr>
        <w:pStyle w:val="NoSpacing"/>
        <w:jc w:val="both"/>
        <w:rPr>
          <w:b/>
          <w:color w:val="0070C0"/>
          <w:sz w:val="28"/>
        </w:rPr>
      </w:pPr>
      <w:r>
        <w:rPr>
          <w:b/>
          <w:color w:val="0070C0"/>
          <w:sz w:val="28"/>
        </w:rPr>
        <w:t>E</w:t>
      </w:r>
      <w:r w:rsidR="00967DDD" w:rsidRPr="00002EF8">
        <w:rPr>
          <w:b/>
          <w:color w:val="0070C0"/>
          <w:sz w:val="28"/>
        </w:rPr>
        <w:t>nsuring EU policy coherence</w:t>
      </w:r>
      <w:r w:rsidR="0039199D" w:rsidRPr="00002EF8">
        <w:rPr>
          <w:b/>
          <w:color w:val="0070C0"/>
          <w:sz w:val="28"/>
        </w:rPr>
        <w:t xml:space="preserve"> </w:t>
      </w:r>
    </w:p>
    <w:p w:rsidR="0039199D" w:rsidRDefault="0039199D" w:rsidP="0050073B">
      <w:pPr>
        <w:pStyle w:val="NoSpacing"/>
        <w:ind w:left="720"/>
        <w:jc w:val="both"/>
      </w:pPr>
    </w:p>
    <w:p w:rsidR="00910E7C" w:rsidRPr="00F36E1C" w:rsidRDefault="00910E7C" w:rsidP="00910E7C">
      <w:pPr>
        <w:pStyle w:val="NoSpacing"/>
        <w:jc w:val="both"/>
        <w:rPr>
          <w:color w:val="002060"/>
        </w:rPr>
      </w:pPr>
      <w:r w:rsidRPr="00F36E1C">
        <w:rPr>
          <w:color w:val="002060"/>
        </w:rPr>
        <w:t>Budget Support operations in decentralizing contexts also raise</w:t>
      </w:r>
      <w:r w:rsidR="007171E8" w:rsidRPr="00F36E1C">
        <w:rPr>
          <w:color w:val="002060"/>
        </w:rPr>
        <w:t xml:space="preserve"> </w:t>
      </w:r>
      <w:r w:rsidR="00710329" w:rsidRPr="00F36E1C">
        <w:rPr>
          <w:i/>
          <w:color w:val="002060"/>
        </w:rPr>
        <w:t>issues of policy coherence</w:t>
      </w:r>
      <w:r w:rsidR="00710329" w:rsidRPr="00F36E1C">
        <w:rPr>
          <w:color w:val="002060"/>
        </w:rPr>
        <w:t xml:space="preserve"> </w:t>
      </w:r>
      <w:r w:rsidR="00A724C7" w:rsidRPr="00F36E1C">
        <w:rPr>
          <w:color w:val="002060"/>
        </w:rPr>
        <w:t xml:space="preserve">for </w:t>
      </w:r>
      <w:r w:rsidR="00BD7705" w:rsidRPr="00F36E1C">
        <w:rPr>
          <w:color w:val="002060"/>
        </w:rPr>
        <w:t xml:space="preserve">both </w:t>
      </w:r>
      <w:r w:rsidR="00A724C7" w:rsidRPr="00F36E1C">
        <w:rPr>
          <w:color w:val="002060"/>
        </w:rPr>
        <w:t>the EU and the international community at large.</w:t>
      </w:r>
      <w:r w:rsidR="00BD502F" w:rsidRPr="00F36E1C">
        <w:rPr>
          <w:color w:val="002060"/>
        </w:rPr>
        <w:t xml:space="preserve"> </w:t>
      </w:r>
      <w:r w:rsidRPr="00F36E1C">
        <w:rPr>
          <w:color w:val="002060"/>
        </w:rPr>
        <w:t>Relevant EU policy documents emphasize the importance of empowerment of local authorities. The Commission Communication "The future approach to EU Budget Support to Third Countries"</w:t>
      </w:r>
      <w:r w:rsidRPr="00F36E1C">
        <w:rPr>
          <w:rStyle w:val="FootnoteReference"/>
          <w:color w:val="002060"/>
        </w:rPr>
        <w:footnoteReference w:id="3"/>
      </w:r>
      <w:r w:rsidRPr="00F36E1C">
        <w:rPr>
          <w:color w:val="002060"/>
        </w:rPr>
        <w:t xml:space="preserve"> of 2011 highlights the need </w:t>
      </w:r>
      <w:r w:rsidR="008D45CD" w:rsidRPr="00F36E1C">
        <w:rPr>
          <w:color w:val="002060"/>
        </w:rPr>
        <w:t xml:space="preserve">to strengthen the capacity of local authorities to act as an essential component of the </w:t>
      </w:r>
      <w:r w:rsidR="0012205F" w:rsidRPr="00F36E1C">
        <w:rPr>
          <w:color w:val="002060"/>
        </w:rPr>
        <w:t xml:space="preserve">State </w:t>
      </w:r>
      <w:r w:rsidR="008D45CD" w:rsidRPr="00F36E1C">
        <w:rPr>
          <w:color w:val="002060"/>
        </w:rPr>
        <w:t>domestic accountability system</w:t>
      </w:r>
      <w:r w:rsidR="0012205F" w:rsidRPr="00F36E1C">
        <w:rPr>
          <w:color w:val="002060"/>
        </w:rPr>
        <w:t>, thus contributing t</w:t>
      </w:r>
      <w:r w:rsidR="008D45CD" w:rsidRPr="00F36E1C">
        <w:rPr>
          <w:color w:val="002060"/>
        </w:rPr>
        <w:t xml:space="preserve">o </w:t>
      </w:r>
      <w:r w:rsidRPr="00F36E1C">
        <w:rPr>
          <w:color w:val="002060"/>
        </w:rPr>
        <w:t>enhance government's capacity to deliver services to final beneficiaries.</w:t>
      </w:r>
      <w:r w:rsidR="008D45CD" w:rsidRPr="00F36E1C">
        <w:rPr>
          <w:color w:val="002060"/>
        </w:rPr>
        <w:t xml:space="preserve"> </w:t>
      </w:r>
      <w:r w:rsidR="00F36E1C" w:rsidRPr="00F36E1C">
        <w:rPr>
          <w:color w:val="002060"/>
        </w:rPr>
        <w:t>B</w:t>
      </w:r>
      <w:r w:rsidR="00BD069E" w:rsidRPr="00F36E1C">
        <w:rPr>
          <w:color w:val="002060"/>
        </w:rPr>
        <w:t xml:space="preserve">eyond </w:t>
      </w:r>
      <w:r w:rsidR="00F075A9" w:rsidRPr="00F36E1C">
        <w:rPr>
          <w:color w:val="002060"/>
        </w:rPr>
        <w:t>th</w:t>
      </w:r>
      <w:r w:rsidR="00F36E1C" w:rsidRPr="00F36E1C">
        <w:rPr>
          <w:color w:val="002060"/>
        </w:rPr>
        <w:t>at</w:t>
      </w:r>
      <w:r w:rsidR="00BD069E" w:rsidRPr="00F36E1C">
        <w:rPr>
          <w:color w:val="002060"/>
        </w:rPr>
        <w:t>, t</w:t>
      </w:r>
      <w:r w:rsidRPr="00F36E1C">
        <w:rPr>
          <w:color w:val="002060"/>
        </w:rPr>
        <w:t xml:space="preserve">he EU </w:t>
      </w:r>
      <w:r w:rsidR="00BD069E" w:rsidRPr="00F36E1C">
        <w:rPr>
          <w:color w:val="002060"/>
        </w:rPr>
        <w:t>has</w:t>
      </w:r>
      <w:r w:rsidR="00F075A9" w:rsidRPr="00F36E1C">
        <w:rPr>
          <w:color w:val="002060"/>
        </w:rPr>
        <w:t xml:space="preserve"> also</w:t>
      </w:r>
      <w:r w:rsidR="00BD069E" w:rsidRPr="00F36E1C">
        <w:rPr>
          <w:color w:val="002060"/>
        </w:rPr>
        <w:t xml:space="preserve"> </w:t>
      </w:r>
      <w:r w:rsidR="008D45CD" w:rsidRPr="00F36E1C">
        <w:rPr>
          <w:color w:val="002060"/>
        </w:rPr>
        <w:t xml:space="preserve">made a broader commitment </w:t>
      </w:r>
      <w:r w:rsidRPr="00F36E1C">
        <w:rPr>
          <w:color w:val="002060"/>
        </w:rPr>
        <w:t xml:space="preserve">to </w:t>
      </w:r>
      <w:r w:rsidR="0012205F" w:rsidRPr="00F36E1C">
        <w:rPr>
          <w:color w:val="002060"/>
        </w:rPr>
        <w:t>help developmental</w:t>
      </w:r>
      <w:r w:rsidRPr="00F36E1C">
        <w:rPr>
          <w:color w:val="002060"/>
        </w:rPr>
        <w:t xml:space="preserve"> Local Authorities</w:t>
      </w:r>
      <w:r w:rsidR="0012205F" w:rsidRPr="00F36E1C">
        <w:rPr>
          <w:color w:val="002060"/>
        </w:rPr>
        <w:t>. T</w:t>
      </w:r>
      <w:r w:rsidRPr="00F36E1C">
        <w:rPr>
          <w:color w:val="002060"/>
        </w:rPr>
        <w:t>he Commission Communication “</w:t>
      </w:r>
      <w:r w:rsidRPr="00F36E1C">
        <w:rPr>
          <w:i/>
          <w:color w:val="002060"/>
        </w:rPr>
        <w:t>Empowering Local Authorities in partner countries for enhanced growth and more effective development outcomes</w:t>
      </w:r>
      <w:r w:rsidRPr="00F36E1C">
        <w:rPr>
          <w:color w:val="002060"/>
        </w:rPr>
        <w:t>”</w:t>
      </w:r>
      <w:r w:rsidRPr="00F36E1C">
        <w:rPr>
          <w:rStyle w:val="FootnoteReference"/>
          <w:color w:val="002060"/>
        </w:rPr>
        <w:footnoteReference w:id="4"/>
      </w:r>
      <w:r w:rsidRPr="00F36E1C">
        <w:rPr>
          <w:color w:val="002060"/>
        </w:rPr>
        <w:t xml:space="preserve"> </w:t>
      </w:r>
      <w:r w:rsidR="008D45CD" w:rsidRPr="00F36E1C">
        <w:rPr>
          <w:color w:val="002060"/>
        </w:rPr>
        <w:t xml:space="preserve">, </w:t>
      </w:r>
      <w:r w:rsidRPr="00F36E1C">
        <w:rPr>
          <w:color w:val="002060"/>
        </w:rPr>
        <w:t xml:space="preserve">calls for enhanced political, administrative and fiscal autonomy of local authorities. </w:t>
      </w:r>
      <w:r w:rsidR="008D45CD" w:rsidRPr="00F36E1C">
        <w:rPr>
          <w:color w:val="002060"/>
        </w:rPr>
        <w:t>Decentralization</w:t>
      </w:r>
      <w:r w:rsidRPr="00F36E1C">
        <w:rPr>
          <w:color w:val="002060"/>
        </w:rPr>
        <w:t xml:space="preserve"> is seen as an instrument (rather than an end in itself) to unlock the potential </w:t>
      </w:r>
      <w:r w:rsidR="0012205F" w:rsidRPr="00F36E1C">
        <w:rPr>
          <w:color w:val="002060"/>
        </w:rPr>
        <w:t xml:space="preserve">of Local Authorities </w:t>
      </w:r>
      <w:r w:rsidRPr="00F36E1C">
        <w:rPr>
          <w:color w:val="002060"/>
        </w:rPr>
        <w:t xml:space="preserve">as catalyst of local development. </w:t>
      </w:r>
    </w:p>
    <w:p w:rsidR="00910E7C" w:rsidRPr="00F36E1C" w:rsidRDefault="00910E7C">
      <w:pPr>
        <w:pStyle w:val="FootnoteText"/>
      </w:pPr>
    </w:p>
    <w:p w:rsidR="00F36E1C" w:rsidRDefault="00F075A9" w:rsidP="00603FEB">
      <w:pPr>
        <w:jc w:val="both"/>
        <w:rPr>
          <w:rFonts w:eastAsia="Times New Roman" w:cs="Times New Roman"/>
          <w:b/>
          <w:bCs/>
          <w:color w:val="0070C0"/>
          <w:sz w:val="32"/>
          <w:szCs w:val="32"/>
          <w:lang w:val="en-GB" w:eastAsia="ja-JP"/>
        </w:rPr>
      </w:pPr>
      <w:r w:rsidRPr="00F36E1C">
        <w:rPr>
          <w:color w:val="002060"/>
        </w:rPr>
        <w:t>Importantly, s</w:t>
      </w:r>
      <w:r w:rsidR="007909B9" w:rsidRPr="00F36E1C">
        <w:rPr>
          <w:color w:val="002060"/>
        </w:rPr>
        <w:t xml:space="preserve">uch commitment has </w:t>
      </w:r>
      <w:r w:rsidR="008B45DF" w:rsidRPr="00F36E1C">
        <w:rPr>
          <w:color w:val="002060"/>
        </w:rPr>
        <w:t xml:space="preserve">also </w:t>
      </w:r>
      <w:r w:rsidR="007909B9" w:rsidRPr="00F36E1C">
        <w:rPr>
          <w:color w:val="002060"/>
        </w:rPr>
        <w:t xml:space="preserve">been made by the </w:t>
      </w:r>
      <w:r w:rsidR="009A698F" w:rsidRPr="00F36E1C">
        <w:rPr>
          <w:color w:val="002060"/>
        </w:rPr>
        <w:t>internat</w:t>
      </w:r>
      <w:r w:rsidR="00653617" w:rsidRPr="00F36E1C">
        <w:rPr>
          <w:color w:val="002060"/>
        </w:rPr>
        <w:t>i</w:t>
      </w:r>
      <w:r w:rsidR="001F78F1" w:rsidRPr="00F36E1C">
        <w:rPr>
          <w:color w:val="002060"/>
        </w:rPr>
        <w:t xml:space="preserve">onal </w:t>
      </w:r>
      <w:r w:rsidR="007909B9" w:rsidRPr="00F36E1C">
        <w:rPr>
          <w:color w:val="002060"/>
        </w:rPr>
        <w:t>community</w:t>
      </w:r>
      <w:r w:rsidR="00D320F2" w:rsidRPr="00F36E1C">
        <w:rPr>
          <w:color w:val="002060"/>
        </w:rPr>
        <w:t xml:space="preserve"> at large</w:t>
      </w:r>
      <w:r w:rsidR="00785541" w:rsidRPr="00F36E1C">
        <w:rPr>
          <w:color w:val="002060"/>
        </w:rPr>
        <w:t>. The</w:t>
      </w:r>
      <w:r w:rsidR="00785541" w:rsidRPr="00F36E1C">
        <w:rPr>
          <w:i/>
          <w:color w:val="002060"/>
        </w:rPr>
        <w:t xml:space="preserve"> </w:t>
      </w:r>
      <w:r w:rsidR="00785541" w:rsidRPr="00F36E1C">
        <w:rPr>
          <w:color w:val="002060"/>
        </w:rPr>
        <w:t>Busan</w:t>
      </w:r>
      <w:r w:rsidR="00785541" w:rsidRPr="00F36E1C">
        <w:rPr>
          <w:rFonts w:cs="Arial"/>
          <w:color w:val="002060"/>
        </w:rPr>
        <w:t xml:space="preserve"> Outcome Document (2011)</w:t>
      </w:r>
      <w:r w:rsidR="00785541" w:rsidRPr="00F36E1C">
        <w:rPr>
          <w:color w:val="002060"/>
        </w:rPr>
        <w:t xml:space="preserve"> pledges</w:t>
      </w:r>
      <w:r w:rsidR="007909B9" w:rsidRPr="00F36E1C">
        <w:rPr>
          <w:color w:val="002060"/>
        </w:rPr>
        <w:t xml:space="preserve"> to </w:t>
      </w:r>
      <w:r w:rsidR="009F05B9" w:rsidRPr="00F36E1C">
        <w:rPr>
          <w:rFonts w:cs="Arial"/>
          <w:color w:val="002060"/>
        </w:rPr>
        <w:t>“</w:t>
      </w:r>
      <w:r w:rsidR="009F05B9" w:rsidRPr="00F36E1C">
        <w:rPr>
          <w:i/>
          <w:color w:val="002060"/>
        </w:rPr>
        <w:t>Further support local governments to enable them to assume more fully their roles above and beyond service delivery</w:t>
      </w:r>
      <w:r w:rsidR="009F05B9" w:rsidRPr="00F36E1C">
        <w:rPr>
          <w:color w:val="002060"/>
        </w:rPr>
        <w:t>”</w:t>
      </w:r>
      <w:r w:rsidR="00785541" w:rsidRPr="00F36E1C">
        <w:rPr>
          <w:color w:val="002060"/>
        </w:rPr>
        <w:t>. And t</w:t>
      </w:r>
      <w:r w:rsidR="00E47E5F" w:rsidRPr="00F36E1C">
        <w:rPr>
          <w:color w:val="002060"/>
        </w:rPr>
        <w:t xml:space="preserve">he  </w:t>
      </w:r>
      <w:r w:rsidR="009F05B9" w:rsidRPr="00F36E1C">
        <w:rPr>
          <w:rFonts w:cs="Times New Roman"/>
          <w:bCs/>
          <w:iCs/>
          <w:color w:val="002060"/>
        </w:rPr>
        <w:t>r</w:t>
      </w:r>
      <w:r w:rsidR="00E47E5F" w:rsidRPr="00F36E1C">
        <w:rPr>
          <w:rFonts w:cs="Times New Roman"/>
          <w:bCs/>
          <w:iCs/>
          <w:color w:val="002060"/>
        </w:rPr>
        <w:t xml:space="preserve">eport of the UN Secretary-General </w:t>
      </w:r>
      <w:r w:rsidR="000F5B02" w:rsidRPr="00F36E1C">
        <w:rPr>
          <w:rFonts w:cs="Times New Roman"/>
          <w:bCs/>
          <w:iCs/>
          <w:color w:val="002060"/>
        </w:rPr>
        <w:t>o</w:t>
      </w:r>
      <w:r w:rsidR="00E47E5F" w:rsidRPr="00F36E1C">
        <w:rPr>
          <w:rFonts w:cs="Times New Roman"/>
          <w:bCs/>
          <w:iCs/>
          <w:color w:val="002060"/>
        </w:rPr>
        <w:t>n the Post-2015 Agenda</w:t>
      </w:r>
      <w:r w:rsidR="009F05B9" w:rsidRPr="00F36E1C">
        <w:rPr>
          <w:rFonts w:cs="Times New Roman"/>
          <w:bCs/>
          <w:iCs/>
          <w:color w:val="002060"/>
        </w:rPr>
        <w:t xml:space="preserve"> (Dec. 2014)</w:t>
      </w:r>
      <w:r w:rsidR="00E47E5F" w:rsidRPr="00F36E1C">
        <w:rPr>
          <w:rFonts w:cs="Times New Roman"/>
          <w:bCs/>
          <w:iCs/>
          <w:color w:val="002060"/>
        </w:rPr>
        <w:t xml:space="preserve">, </w:t>
      </w:r>
      <w:r w:rsidR="00785541" w:rsidRPr="00F36E1C">
        <w:rPr>
          <w:rFonts w:cs="Times New Roman"/>
          <w:bCs/>
          <w:iCs/>
          <w:color w:val="002060"/>
        </w:rPr>
        <w:t>calls</w:t>
      </w:r>
      <w:r w:rsidR="00E47E5F" w:rsidRPr="00F36E1C">
        <w:rPr>
          <w:rFonts w:cs="Times New Roman"/>
          <w:bCs/>
          <w:iCs/>
          <w:color w:val="002060"/>
        </w:rPr>
        <w:t xml:space="preserve"> for “</w:t>
      </w:r>
      <w:r w:rsidR="00E47E5F" w:rsidRPr="00F36E1C">
        <w:rPr>
          <w:rFonts w:cs="Times New Roman"/>
          <w:color w:val="002060"/>
        </w:rPr>
        <w:t>new and innovative partnerships [of national governments] with […] effective local authorities” and reminds that “</w:t>
      </w:r>
      <w:r w:rsidR="009F05B9" w:rsidRPr="00F36E1C">
        <w:rPr>
          <w:rFonts w:cs="Times New Roman"/>
          <w:i/>
          <w:color w:val="002060"/>
        </w:rPr>
        <w:t>national strategies will also have to be reviewed, and implemented at the local level, with the full engagement of local authorities</w:t>
      </w:r>
      <w:r w:rsidR="009F05B9" w:rsidRPr="00F36E1C">
        <w:rPr>
          <w:rFonts w:cs="Times New Roman"/>
          <w:color w:val="002060"/>
        </w:rPr>
        <w:t>” because “</w:t>
      </w:r>
      <w:r w:rsidR="009F05B9" w:rsidRPr="00F36E1C">
        <w:rPr>
          <w:rFonts w:cs="Times New Roman"/>
          <w:i/>
          <w:color w:val="002060"/>
        </w:rPr>
        <w:t xml:space="preserve">many of the investments to achieve the SDGs will </w:t>
      </w:r>
      <w:r w:rsidR="009F05B9" w:rsidRPr="00F36E1C">
        <w:rPr>
          <w:rFonts w:cs="Times New Roman"/>
          <w:i/>
          <w:color w:val="002060"/>
        </w:rPr>
        <w:lastRenderedPageBreak/>
        <w:t xml:space="preserve">take place at the sub-national level and </w:t>
      </w:r>
      <w:r w:rsidR="007909B9" w:rsidRPr="00F36E1C">
        <w:rPr>
          <w:rFonts w:cs="Times New Roman"/>
          <w:i/>
          <w:color w:val="002060"/>
        </w:rPr>
        <w:t xml:space="preserve">will be </w:t>
      </w:r>
      <w:r w:rsidR="009F05B9" w:rsidRPr="00F36E1C">
        <w:rPr>
          <w:rFonts w:cs="Times New Roman"/>
          <w:i/>
          <w:color w:val="002060"/>
        </w:rPr>
        <w:t>led by local authorities [which] in many instances are already leading the charge for sustainable development</w:t>
      </w:r>
      <w:r w:rsidR="009F05B9" w:rsidRPr="00F36E1C">
        <w:rPr>
          <w:rFonts w:cs="Times New Roman"/>
          <w:color w:val="002060"/>
        </w:rPr>
        <w:t>.</w:t>
      </w:r>
      <w:r w:rsidR="000F5B02" w:rsidRPr="00F36E1C">
        <w:rPr>
          <w:rFonts w:cs="Times New Roman"/>
          <w:color w:val="002060"/>
        </w:rPr>
        <w:t>”</w:t>
      </w:r>
      <w:r w:rsidR="009F05B9" w:rsidRPr="00F36E1C">
        <w:rPr>
          <w:color w:val="002060"/>
        </w:rPr>
        <w:t xml:space="preserve"> </w:t>
      </w:r>
      <w:bookmarkStart w:id="1" w:name="_Toc279220870"/>
    </w:p>
    <w:p w:rsidR="00C86868" w:rsidRDefault="00C86868" w:rsidP="00D44170">
      <w:pPr>
        <w:pStyle w:val="Heading1"/>
        <w:rPr>
          <w:rFonts w:asciiTheme="minorHAnsi" w:hAnsiTheme="minorHAnsi"/>
          <w:b/>
          <w:color w:val="0070C0"/>
        </w:rPr>
      </w:pPr>
    </w:p>
    <w:p w:rsidR="00D44170" w:rsidRPr="00F85FD2" w:rsidRDefault="002120DC" w:rsidP="00D44170">
      <w:pPr>
        <w:pStyle w:val="Heading1"/>
        <w:rPr>
          <w:rFonts w:asciiTheme="minorHAnsi" w:hAnsiTheme="minorHAnsi"/>
          <w:b/>
          <w:color w:val="0070C0"/>
        </w:rPr>
      </w:pPr>
      <w:r>
        <w:rPr>
          <w:rFonts w:asciiTheme="minorHAnsi" w:hAnsiTheme="minorHAnsi"/>
          <w:b/>
          <w:color w:val="0070C0"/>
        </w:rPr>
        <w:t>Chapter</w:t>
      </w:r>
      <w:r w:rsidR="00D44170" w:rsidRPr="00F85FD2">
        <w:rPr>
          <w:rFonts w:asciiTheme="minorHAnsi" w:hAnsiTheme="minorHAnsi"/>
          <w:b/>
          <w:color w:val="0070C0"/>
        </w:rPr>
        <w:t xml:space="preserve"> 2: </w:t>
      </w:r>
      <w:r w:rsidR="00FE02F6">
        <w:rPr>
          <w:rFonts w:asciiTheme="minorHAnsi" w:hAnsiTheme="minorHAnsi"/>
          <w:b/>
          <w:color w:val="0070C0"/>
        </w:rPr>
        <w:t>Approaches to</w:t>
      </w:r>
      <w:r w:rsidR="00ED3650">
        <w:rPr>
          <w:rFonts w:asciiTheme="minorHAnsi" w:hAnsiTheme="minorHAnsi"/>
          <w:b/>
          <w:color w:val="0070C0"/>
        </w:rPr>
        <w:t xml:space="preserve"> Budget Support in decentralized contexts </w:t>
      </w:r>
      <w:bookmarkEnd w:id="1"/>
    </w:p>
    <w:p w:rsidR="006D5E18" w:rsidRPr="008311B7" w:rsidRDefault="009F5042" w:rsidP="005F2392">
      <w:pPr>
        <w:rPr>
          <w:b/>
          <w:color w:val="0070C0"/>
          <w:sz w:val="28"/>
        </w:rPr>
      </w:pPr>
      <w:r w:rsidRPr="008311B7">
        <w:rPr>
          <w:b/>
          <w:color w:val="0070C0"/>
          <w:sz w:val="28"/>
        </w:rPr>
        <w:t xml:space="preserve">Options </w:t>
      </w:r>
      <w:r w:rsidR="00E3659E" w:rsidRPr="008311B7">
        <w:rPr>
          <w:b/>
          <w:color w:val="0070C0"/>
          <w:sz w:val="28"/>
        </w:rPr>
        <w:t>for programming</w:t>
      </w:r>
    </w:p>
    <w:p w:rsidR="00035D8E" w:rsidRPr="00F36E1C" w:rsidRDefault="00FE02F6" w:rsidP="0012205F">
      <w:pPr>
        <w:pStyle w:val="NoSpacing"/>
        <w:ind w:firstLine="18"/>
        <w:jc w:val="both"/>
        <w:rPr>
          <w:color w:val="002060"/>
        </w:rPr>
      </w:pPr>
      <w:r>
        <w:rPr>
          <w:color w:val="002060"/>
        </w:rPr>
        <w:t xml:space="preserve">Based </w:t>
      </w:r>
      <w:r w:rsidR="00B0749F" w:rsidRPr="00F36E1C">
        <w:rPr>
          <w:color w:val="002060"/>
        </w:rPr>
        <w:t>on</w:t>
      </w:r>
      <w:r w:rsidR="00362BDF" w:rsidRPr="00F36E1C">
        <w:rPr>
          <w:color w:val="002060"/>
        </w:rPr>
        <w:t xml:space="preserve"> </w:t>
      </w:r>
      <w:r w:rsidR="00B0749F" w:rsidRPr="00F36E1C">
        <w:rPr>
          <w:color w:val="002060"/>
        </w:rPr>
        <w:t>the typo</w:t>
      </w:r>
      <w:r w:rsidR="00362BDF" w:rsidRPr="00F36E1C">
        <w:rPr>
          <w:color w:val="002060"/>
        </w:rPr>
        <w:t xml:space="preserve">logy </w:t>
      </w:r>
      <w:r w:rsidR="00F36E1C" w:rsidRPr="00F36E1C">
        <w:rPr>
          <w:color w:val="002060"/>
        </w:rPr>
        <w:t xml:space="preserve">of interventions </w:t>
      </w:r>
      <w:r w:rsidR="00362BDF" w:rsidRPr="00F36E1C">
        <w:rPr>
          <w:color w:val="002060"/>
        </w:rPr>
        <w:t xml:space="preserve">presented in Section 2.3.2 </w:t>
      </w:r>
      <w:r>
        <w:rPr>
          <w:color w:val="002060"/>
        </w:rPr>
        <w:t xml:space="preserve">of the EU </w:t>
      </w:r>
      <w:r w:rsidR="0005664A" w:rsidRPr="00F36E1C">
        <w:rPr>
          <w:color w:val="002060"/>
        </w:rPr>
        <w:t>Budget</w:t>
      </w:r>
      <w:r w:rsidR="00123669" w:rsidRPr="00F36E1C">
        <w:rPr>
          <w:i/>
          <w:color w:val="002060"/>
        </w:rPr>
        <w:t xml:space="preserve"> Support Guidelines</w:t>
      </w:r>
      <w:r w:rsidR="00123669" w:rsidRPr="00F36E1C">
        <w:rPr>
          <w:color w:val="002060"/>
        </w:rPr>
        <w:t xml:space="preserve"> </w:t>
      </w:r>
      <w:r w:rsidR="00035D8E" w:rsidRPr="00F36E1C">
        <w:rPr>
          <w:color w:val="002060"/>
        </w:rPr>
        <w:t>three types</w:t>
      </w:r>
      <w:r w:rsidR="00CB54B5" w:rsidRPr="00F36E1C">
        <w:rPr>
          <w:color w:val="002060"/>
        </w:rPr>
        <w:t xml:space="preserve"> of</w:t>
      </w:r>
      <w:r w:rsidR="00E761E6" w:rsidRPr="00F36E1C">
        <w:rPr>
          <w:color w:val="002060"/>
        </w:rPr>
        <w:t xml:space="preserve"> Budget Support operations </w:t>
      </w:r>
      <w:r>
        <w:rPr>
          <w:color w:val="002060"/>
        </w:rPr>
        <w:t>in decentralized contexts can be</w:t>
      </w:r>
      <w:r w:rsidR="00202462" w:rsidRPr="00F36E1C">
        <w:rPr>
          <w:color w:val="002060"/>
        </w:rPr>
        <w:t xml:space="preserve"> identified</w:t>
      </w:r>
      <w:r w:rsidR="008D6B48">
        <w:rPr>
          <w:color w:val="002060"/>
        </w:rPr>
        <w:t xml:space="preserve"> (see synthesis table in annex 1)</w:t>
      </w:r>
      <w:r>
        <w:rPr>
          <w:color w:val="002060"/>
        </w:rPr>
        <w:t>:</w:t>
      </w:r>
      <w:r w:rsidR="00123669" w:rsidRPr="00F36E1C">
        <w:rPr>
          <w:color w:val="002060"/>
        </w:rPr>
        <w:t xml:space="preserve"> </w:t>
      </w:r>
    </w:p>
    <w:p w:rsidR="00035D8E" w:rsidRPr="00F36E1C" w:rsidRDefault="00035D8E" w:rsidP="0012205F">
      <w:pPr>
        <w:pStyle w:val="NoSpacing"/>
        <w:ind w:firstLine="18"/>
        <w:jc w:val="both"/>
        <w:rPr>
          <w:color w:val="002060"/>
        </w:rPr>
      </w:pPr>
    </w:p>
    <w:p w:rsidR="00D72F02" w:rsidRPr="00F36E1C" w:rsidRDefault="00D72F02" w:rsidP="007B70FF">
      <w:pPr>
        <w:pStyle w:val="NoSpacing"/>
        <w:numPr>
          <w:ilvl w:val="0"/>
          <w:numId w:val="1"/>
        </w:numPr>
        <w:jc w:val="both"/>
        <w:rPr>
          <w:color w:val="002060"/>
        </w:rPr>
      </w:pPr>
      <w:r w:rsidRPr="00F36E1C">
        <w:rPr>
          <w:color w:val="002060"/>
        </w:rPr>
        <w:t xml:space="preserve">Budget support to decentralized </w:t>
      </w:r>
      <w:r w:rsidR="00FE02F6">
        <w:rPr>
          <w:color w:val="002060"/>
        </w:rPr>
        <w:t xml:space="preserve">public </w:t>
      </w:r>
      <w:r w:rsidRPr="00F36E1C">
        <w:rPr>
          <w:color w:val="002060"/>
        </w:rPr>
        <w:t xml:space="preserve">service delivery </w:t>
      </w:r>
      <w:r w:rsidR="00571B85">
        <w:rPr>
          <w:color w:val="002060"/>
        </w:rPr>
        <w:t>(type 1 operation)</w:t>
      </w:r>
    </w:p>
    <w:p w:rsidR="00E761E6" w:rsidRPr="00F36E1C" w:rsidRDefault="00E761E6" w:rsidP="007B70FF">
      <w:pPr>
        <w:pStyle w:val="NoSpacing"/>
        <w:numPr>
          <w:ilvl w:val="0"/>
          <w:numId w:val="1"/>
        </w:numPr>
        <w:jc w:val="both"/>
        <w:rPr>
          <w:color w:val="002060"/>
        </w:rPr>
      </w:pPr>
      <w:r w:rsidRPr="00F36E1C">
        <w:rPr>
          <w:color w:val="002060"/>
        </w:rPr>
        <w:t xml:space="preserve">Budget support to </w:t>
      </w:r>
      <w:r w:rsidR="00A351AF" w:rsidRPr="00F36E1C">
        <w:rPr>
          <w:color w:val="002060"/>
        </w:rPr>
        <w:t xml:space="preserve"> </w:t>
      </w:r>
      <w:r w:rsidRPr="00F36E1C">
        <w:rPr>
          <w:color w:val="002060"/>
        </w:rPr>
        <w:t xml:space="preserve">decentralization </w:t>
      </w:r>
      <w:r w:rsidR="00A351AF" w:rsidRPr="00F36E1C">
        <w:rPr>
          <w:color w:val="002060"/>
        </w:rPr>
        <w:t xml:space="preserve">reforms </w:t>
      </w:r>
      <w:r w:rsidRPr="00F36E1C">
        <w:rPr>
          <w:color w:val="002060"/>
        </w:rPr>
        <w:t xml:space="preserve">and local authorities systems </w:t>
      </w:r>
      <w:r w:rsidR="00F35AFB" w:rsidRPr="00F36E1C">
        <w:rPr>
          <w:color w:val="002060"/>
        </w:rPr>
        <w:t xml:space="preserve">development </w:t>
      </w:r>
      <w:r w:rsidR="00571B85">
        <w:rPr>
          <w:color w:val="002060"/>
        </w:rPr>
        <w:t>(type 2 operation)</w:t>
      </w:r>
    </w:p>
    <w:p w:rsidR="00727F53" w:rsidRPr="00F36E1C" w:rsidRDefault="00E761E6" w:rsidP="007B70FF">
      <w:pPr>
        <w:pStyle w:val="NoSpacing"/>
        <w:numPr>
          <w:ilvl w:val="0"/>
          <w:numId w:val="1"/>
        </w:numPr>
        <w:jc w:val="both"/>
        <w:rPr>
          <w:color w:val="002060"/>
        </w:rPr>
      </w:pPr>
      <w:r w:rsidRPr="00F36E1C">
        <w:rPr>
          <w:color w:val="002060"/>
        </w:rPr>
        <w:t xml:space="preserve">Budget support to local authorities’ territorial </w:t>
      </w:r>
      <w:r w:rsidR="00F36E1C" w:rsidRPr="00F36E1C">
        <w:rPr>
          <w:color w:val="002060"/>
        </w:rPr>
        <w:t xml:space="preserve">development </w:t>
      </w:r>
      <w:r w:rsidRPr="00F36E1C">
        <w:rPr>
          <w:color w:val="002060"/>
        </w:rPr>
        <w:t xml:space="preserve">policies </w:t>
      </w:r>
      <w:r w:rsidR="00571B85">
        <w:rPr>
          <w:color w:val="002060"/>
        </w:rPr>
        <w:t>(type 3 operation)</w:t>
      </w:r>
    </w:p>
    <w:p w:rsidR="00A351AF" w:rsidRPr="00F36E1C" w:rsidRDefault="00A351AF" w:rsidP="0012205F">
      <w:pPr>
        <w:pStyle w:val="NoSpacing"/>
        <w:jc w:val="both"/>
        <w:rPr>
          <w:color w:val="002060"/>
        </w:rPr>
      </w:pPr>
    </w:p>
    <w:p w:rsidR="00606329" w:rsidRPr="00F36E1C" w:rsidRDefault="0075115F" w:rsidP="0012205F">
      <w:pPr>
        <w:pStyle w:val="NoSpacing"/>
        <w:jc w:val="both"/>
        <w:rPr>
          <w:color w:val="002060"/>
        </w:rPr>
      </w:pPr>
      <w:r w:rsidRPr="00F36E1C">
        <w:rPr>
          <w:color w:val="002060"/>
        </w:rPr>
        <w:t>The purpose of a</w:t>
      </w:r>
      <w:r w:rsidR="00041413" w:rsidRPr="00F36E1C">
        <w:rPr>
          <w:color w:val="002060"/>
        </w:rPr>
        <w:t>ll th</w:t>
      </w:r>
      <w:r w:rsidRPr="00F36E1C">
        <w:rPr>
          <w:color w:val="002060"/>
        </w:rPr>
        <w:t xml:space="preserve">ree types of </w:t>
      </w:r>
      <w:r w:rsidR="00041413" w:rsidRPr="00F36E1C">
        <w:rPr>
          <w:color w:val="002060"/>
        </w:rPr>
        <w:t>operations</w:t>
      </w:r>
      <w:r w:rsidRPr="00F36E1C">
        <w:rPr>
          <w:color w:val="002060"/>
        </w:rPr>
        <w:t xml:space="preserve">, is </w:t>
      </w:r>
      <w:r w:rsidRPr="00F36E1C">
        <w:rPr>
          <w:i/>
          <w:color w:val="002060"/>
        </w:rPr>
        <w:t>not</w:t>
      </w:r>
      <w:r w:rsidRPr="00F36E1C">
        <w:rPr>
          <w:color w:val="002060"/>
        </w:rPr>
        <w:t xml:space="preserve"> to induce the adoption of any particular policy, but to help</w:t>
      </w:r>
      <w:r w:rsidR="00041413" w:rsidRPr="00F36E1C">
        <w:rPr>
          <w:color w:val="002060"/>
        </w:rPr>
        <w:t xml:space="preserve"> partner countr</w:t>
      </w:r>
      <w:r w:rsidRPr="00F36E1C">
        <w:rPr>
          <w:color w:val="002060"/>
        </w:rPr>
        <w:t>ies</w:t>
      </w:r>
      <w:r w:rsidR="00041413" w:rsidRPr="00F36E1C">
        <w:rPr>
          <w:color w:val="002060"/>
        </w:rPr>
        <w:t xml:space="preserve"> </w:t>
      </w:r>
      <w:r w:rsidRPr="00F36E1C">
        <w:rPr>
          <w:color w:val="002060"/>
        </w:rPr>
        <w:t>operationalize and</w:t>
      </w:r>
      <w:r w:rsidR="00041413" w:rsidRPr="00F36E1C">
        <w:rPr>
          <w:color w:val="002060"/>
        </w:rPr>
        <w:t xml:space="preserve"> implement the </w:t>
      </w:r>
      <w:r w:rsidR="00041413" w:rsidRPr="00F36E1C">
        <w:rPr>
          <w:i/>
          <w:color w:val="002060"/>
        </w:rPr>
        <w:t xml:space="preserve">basic policy choices they have </w:t>
      </w:r>
      <w:r w:rsidRPr="00F36E1C">
        <w:rPr>
          <w:i/>
          <w:color w:val="002060"/>
        </w:rPr>
        <w:t xml:space="preserve">already </w:t>
      </w:r>
      <w:r w:rsidR="00041413" w:rsidRPr="00F36E1C">
        <w:rPr>
          <w:i/>
          <w:color w:val="002060"/>
        </w:rPr>
        <w:t>made</w:t>
      </w:r>
      <w:r w:rsidR="00041413" w:rsidRPr="00F36E1C">
        <w:rPr>
          <w:color w:val="002060"/>
        </w:rPr>
        <w:t xml:space="preserve"> with respect to the political </w:t>
      </w:r>
      <w:r w:rsidRPr="00F36E1C">
        <w:rPr>
          <w:color w:val="002060"/>
        </w:rPr>
        <w:t xml:space="preserve">opportunity, </w:t>
      </w:r>
      <w:r w:rsidR="00041413" w:rsidRPr="00F36E1C">
        <w:rPr>
          <w:color w:val="002060"/>
        </w:rPr>
        <w:t xml:space="preserve">and </w:t>
      </w:r>
      <w:r w:rsidRPr="00F36E1C">
        <w:rPr>
          <w:color w:val="002060"/>
        </w:rPr>
        <w:t xml:space="preserve">relative </w:t>
      </w:r>
      <w:r w:rsidR="00041413" w:rsidRPr="00F36E1C">
        <w:rPr>
          <w:color w:val="002060"/>
        </w:rPr>
        <w:t xml:space="preserve">developmental </w:t>
      </w:r>
      <w:r w:rsidRPr="00F36E1C">
        <w:rPr>
          <w:color w:val="002060"/>
        </w:rPr>
        <w:t xml:space="preserve">importance, </w:t>
      </w:r>
      <w:r w:rsidR="00F36E1C" w:rsidRPr="00F36E1C">
        <w:rPr>
          <w:color w:val="002060"/>
        </w:rPr>
        <w:t xml:space="preserve">of </w:t>
      </w:r>
      <w:r w:rsidR="00041413" w:rsidRPr="00F36E1C">
        <w:rPr>
          <w:color w:val="002060"/>
        </w:rPr>
        <w:t>decentraliz</w:t>
      </w:r>
      <w:r w:rsidR="00F36E1C" w:rsidRPr="00F36E1C">
        <w:rPr>
          <w:color w:val="002060"/>
        </w:rPr>
        <w:t>ing</w:t>
      </w:r>
      <w:r w:rsidR="00041413" w:rsidRPr="00F36E1C">
        <w:rPr>
          <w:color w:val="002060"/>
        </w:rPr>
        <w:t xml:space="preserve"> governance and public administration</w:t>
      </w:r>
      <w:r w:rsidR="00F36E1C" w:rsidRPr="00F36E1C">
        <w:rPr>
          <w:color w:val="002060"/>
        </w:rPr>
        <w:t>,</w:t>
      </w:r>
      <w:r w:rsidR="00041413" w:rsidRPr="00F36E1C">
        <w:rPr>
          <w:color w:val="002060"/>
        </w:rPr>
        <w:t xml:space="preserve">  improv</w:t>
      </w:r>
      <w:r w:rsidR="00F36E1C" w:rsidRPr="00F36E1C">
        <w:rPr>
          <w:color w:val="002060"/>
        </w:rPr>
        <w:t>ing</w:t>
      </w:r>
      <w:r w:rsidR="00041413" w:rsidRPr="00F36E1C">
        <w:rPr>
          <w:color w:val="002060"/>
        </w:rPr>
        <w:t xml:space="preserve"> local governance institutions and promot</w:t>
      </w:r>
      <w:r w:rsidR="00F36E1C" w:rsidRPr="00F36E1C">
        <w:rPr>
          <w:color w:val="002060"/>
        </w:rPr>
        <w:t xml:space="preserve">ing territorial </w:t>
      </w:r>
      <w:r w:rsidR="00041413" w:rsidRPr="00F36E1C">
        <w:rPr>
          <w:color w:val="002060"/>
        </w:rPr>
        <w:t xml:space="preserve">development. </w:t>
      </w:r>
    </w:p>
    <w:p w:rsidR="00041413" w:rsidRPr="00F36E1C" w:rsidRDefault="00041413" w:rsidP="0012205F">
      <w:pPr>
        <w:pStyle w:val="NoSpacing"/>
        <w:jc w:val="both"/>
        <w:rPr>
          <w:color w:val="002060"/>
        </w:rPr>
      </w:pPr>
    </w:p>
    <w:p w:rsidR="00727F53" w:rsidRPr="00F36E1C" w:rsidRDefault="00035D8E" w:rsidP="0012205F">
      <w:pPr>
        <w:pStyle w:val="NoSpacing"/>
        <w:jc w:val="both"/>
        <w:rPr>
          <w:i/>
          <w:color w:val="002060"/>
        </w:rPr>
      </w:pPr>
      <w:r w:rsidRPr="00F36E1C">
        <w:rPr>
          <w:color w:val="002060"/>
        </w:rPr>
        <w:t xml:space="preserve">Real world programs may contain selected elements of any of these types, and also combine them with elements of the other two. </w:t>
      </w:r>
      <w:r w:rsidR="001A2E0D" w:rsidRPr="00F36E1C">
        <w:rPr>
          <w:color w:val="002060"/>
        </w:rPr>
        <w:t>All three types of BS operations may also need to be complemented by projects supporting analytical work, technical assistance and policy experimentation.</w:t>
      </w:r>
      <w:r w:rsidR="00606329" w:rsidRPr="00F36E1C">
        <w:rPr>
          <w:color w:val="002060"/>
        </w:rPr>
        <w:t xml:space="preserve"> </w:t>
      </w:r>
      <w:r w:rsidR="00727F53" w:rsidRPr="00F36E1C">
        <w:rPr>
          <w:i/>
          <w:color w:val="002060"/>
        </w:rPr>
        <w:t xml:space="preserve"> </w:t>
      </w:r>
    </w:p>
    <w:p w:rsidR="00AB1A21" w:rsidRDefault="00AB1A21" w:rsidP="00E761E6">
      <w:pPr>
        <w:pStyle w:val="NoSpacing"/>
      </w:pPr>
    </w:p>
    <w:p w:rsidR="00D72F02" w:rsidRPr="00F075A9" w:rsidRDefault="00D72F02" w:rsidP="00D72F02">
      <w:pPr>
        <w:rPr>
          <w:b/>
          <w:color w:val="0070C0"/>
          <w:sz w:val="28"/>
        </w:rPr>
      </w:pPr>
      <w:r w:rsidRPr="00F075A9">
        <w:rPr>
          <w:b/>
          <w:color w:val="0070C0"/>
          <w:sz w:val="28"/>
        </w:rPr>
        <w:t xml:space="preserve">Budget Support to decentralized Services Delivery </w:t>
      </w:r>
      <w:r w:rsidR="00571B85">
        <w:rPr>
          <w:b/>
          <w:color w:val="0070C0"/>
          <w:sz w:val="28"/>
        </w:rPr>
        <w:t>(Type 1)</w:t>
      </w:r>
    </w:p>
    <w:p w:rsidR="00D72F02" w:rsidRPr="00D72F02" w:rsidRDefault="00D72F02" w:rsidP="00D72F02">
      <w:pPr>
        <w:pStyle w:val="NoSpacing"/>
        <w:jc w:val="both"/>
        <w:rPr>
          <w:color w:val="002060"/>
        </w:rPr>
      </w:pPr>
      <w:r w:rsidRPr="00D72F02">
        <w:rPr>
          <w:color w:val="002060"/>
        </w:rPr>
        <w:t xml:space="preserve">Under this option, Budget Support would be provided </w:t>
      </w:r>
      <w:r w:rsidR="00FE02F6">
        <w:rPr>
          <w:color w:val="002060"/>
        </w:rPr>
        <w:t xml:space="preserve">within a given decentralization framework </w:t>
      </w:r>
      <w:r w:rsidRPr="00D72F02">
        <w:rPr>
          <w:color w:val="002060"/>
        </w:rPr>
        <w:t xml:space="preserve">to help partner countries design and implement </w:t>
      </w:r>
      <w:r w:rsidRPr="00D72F02">
        <w:rPr>
          <w:i/>
          <w:color w:val="002060"/>
        </w:rPr>
        <w:t>sector</w:t>
      </w:r>
      <w:r w:rsidRPr="00D72F02">
        <w:rPr>
          <w:color w:val="002060"/>
        </w:rPr>
        <w:t xml:space="preserve"> policies and programs that </w:t>
      </w:r>
      <w:r w:rsidRPr="00D72F02">
        <w:rPr>
          <w:i/>
          <w:color w:val="002060"/>
        </w:rPr>
        <w:t>rely on decentralized, multi-level, delivery systems</w:t>
      </w:r>
      <w:r w:rsidRPr="00D72F02">
        <w:rPr>
          <w:color w:val="002060"/>
        </w:rPr>
        <w:t xml:space="preserve"> and dynamically invest in building such systems. </w:t>
      </w:r>
    </w:p>
    <w:p w:rsidR="00D72F02" w:rsidRPr="00D72F02" w:rsidRDefault="00D72F02" w:rsidP="00D72F02">
      <w:pPr>
        <w:pStyle w:val="NoSpacing"/>
        <w:jc w:val="both"/>
        <w:rPr>
          <w:color w:val="002060"/>
        </w:rPr>
      </w:pPr>
      <w:r w:rsidRPr="00D72F02">
        <w:rPr>
          <w:color w:val="002060"/>
        </w:rPr>
        <w:t>These programs seek to develop front-line services delivery capacities across the whole spectrum of the sub-national public sector, and would</w:t>
      </w:r>
      <w:r w:rsidR="00865E72">
        <w:rPr>
          <w:color w:val="002060"/>
        </w:rPr>
        <w:t>, where feasible,</w:t>
      </w:r>
      <w:r w:rsidRPr="00D72F02">
        <w:rPr>
          <w:color w:val="002060"/>
        </w:rPr>
        <w:t xml:space="preserve"> combine (</w:t>
      </w:r>
      <w:proofErr w:type="spellStart"/>
      <w:r w:rsidRPr="00D72F02">
        <w:rPr>
          <w:color w:val="002060"/>
        </w:rPr>
        <w:t>i</w:t>
      </w:r>
      <w:proofErr w:type="spellEnd"/>
      <w:r w:rsidRPr="00D72F02">
        <w:rPr>
          <w:color w:val="002060"/>
        </w:rPr>
        <w:t xml:space="preserve">) the </w:t>
      </w:r>
      <w:r w:rsidRPr="00D72F02">
        <w:rPr>
          <w:i/>
          <w:color w:val="002060"/>
        </w:rPr>
        <w:t>de-concentration</w:t>
      </w:r>
      <w:r w:rsidRPr="00D72F02">
        <w:rPr>
          <w:color w:val="002060"/>
        </w:rPr>
        <w:t xml:space="preserve"> of program management responsibilities to sub-national branches of central agencies, with (ii) effective forms of “contractual” </w:t>
      </w:r>
      <w:r w:rsidRPr="00D72F02">
        <w:rPr>
          <w:i/>
          <w:color w:val="002060"/>
        </w:rPr>
        <w:t>delegation</w:t>
      </w:r>
      <w:r w:rsidRPr="00D72F02">
        <w:rPr>
          <w:color w:val="002060"/>
        </w:rPr>
        <w:t xml:space="preserve"> of key planning and implementation tasks to local authorities, thus operationalizing the concept of multi-level governance and bringing local authorities to put their comparative advantages ( understanding local priorities and  mobilizing local resources) to bear on the achievement of national  goals. Delegation arrangements might also be a</w:t>
      </w:r>
      <w:r w:rsidR="002C793D">
        <w:rPr>
          <w:color w:val="002060"/>
        </w:rPr>
        <w:t>n</w:t>
      </w:r>
      <w:r w:rsidRPr="00D72F02">
        <w:rPr>
          <w:color w:val="002060"/>
        </w:rPr>
        <w:t xml:space="preserve"> effective way to build local capacities ahead of full </w:t>
      </w:r>
      <w:r w:rsidRPr="00D72F02">
        <w:rPr>
          <w:i/>
          <w:color w:val="002060"/>
        </w:rPr>
        <w:t>devolution</w:t>
      </w:r>
      <w:r w:rsidRPr="00D72F02">
        <w:rPr>
          <w:color w:val="002060"/>
        </w:rPr>
        <w:t xml:space="preserve"> of specific functions and tasks.  </w:t>
      </w:r>
    </w:p>
    <w:p w:rsidR="00D72F02" w:rsidRPr="00D72F02" w:rsidRDefault="00D72F02" w:rsidP="00D72F02">
      <w:pPr>
        <w:pStyle w:val="NoSpacing"/>
        <w:jc w:val="both"/>
        <w:rPr>
          <w:color w:val="002060"/>
        </w:rPr>
      </w:pPr>
    </w:p>
    <w:p w:rsidR="00D72F02" w:rsidRPr="00D72F02" w:rsidRDefault="00D72F02" w:rsidP="00D72F02">
      <w:pPr>
        <w:pStyle w:val="NoSpacing"/>
        <w:jc w:val="both"/>
        <w:rPr>
          <w:color w:val="002060"/>
        </w:rPr>
      </w:pPr>
      <w:r w:rsidRPr="00D72F02">
        <w:rPr>
          <w:color w:val="002060"/>
        </w:rPr>
        <w:t>Considerable investment in capacity building will be needed to overcome operational difficulties in implementing a national political and policy commitment to decentralized services delivery. This in fact requires central agencies to selectively shift from a direct implementation role to one of planning, financing, and monitoring the programs’ administration and delivery by their de-concentrated agents and local authorities respectively. It also requires local authorities to act as both partners and “agents” of the State and embrace a broader developmental role beyond their more traditional and limited responsibilities, as advocated by the Busan Outcome Document quoted above.</w:t>
      </w:r>
    </w:p>
    <w:p w:rsidR="00D72F02" w:rsidRPr="00D72F02" w:rsidRDefault="00D72F02" w:rsidP="00D72F02">
      <w:pPr>
        <w:pStyle w:val="NoSpacing"/>
        <w:rPr>
          <w:color w:val="002060"/>
        </w:rPr>
      </w:pPr>
    </w:p>
    <w:p w:rsidR="002A7499" w:rsidRPr="00F36E1C" w:rsidRDefault="002A7499" w:rsidP="002A7499">
      <w:pPr>
        <w:rPr>
          <w:b/>
          <w:color w:val="0070C0"/>
          <w:sz w:val="28"/>
        </w:rPr>
      </w:pPr>
      <w:r w:rsidRPr="00F36E1C">
        <w:rPr>
          <w:b/>
          <w:color w:val="0070C0"/>
          <w:sz w:val="28"/>
        </w:rPr>
        <w:lastRenderedPageBreak/>
        <w:t xml:space="preserve">Budget Support to </w:t>
      </w:r>
      <w:r w:rsidR="00F075A9" w:rsidRPr="00F36E1C">
        <w:rPr>
          <w:b/>
          <w:color w:val="0070C0"/>
          <w:sz w:val="28"/>
        </w:rPr>
        <w:t>D</w:t>
      </w:r>
      <w:r w:rsidRPr="00F36E1C">
        <w:rPr>
          <w:b/>
          <w:color w:val="0070C0"/>
          <w:sz w:val="28"/>
        </w:rPr>
        <w:t xml:space="preserve">ecentralization </w:t>
      </w:r>
      <w:r w:rsidR="00F075A9" w:rsidRPr="00F36E1C">
        <w:rPr>
          <w:b/>
          <w:color w:val="0070C0"/>
          <w:sz w:val="28"/>
        </w:rPr>
        <w:t xml:space="preserve">Reforms </w:t>
      </w:r>
      <w:r w:rsidRPr="00F36E1C">
        <w:rPr>
          <w:b/>
          <w:color w:val="0070C0"/>
          <w:sz w:val="28"/>
        </w:rPr>
        <w:t xml:space="preserve">and LA systems Development </w:t>
      </w:r>
      <w:r w:rsidR="00571B85">
        <w:rPr>
          <w:b/>
          <w:color w:val="0070C0"/>
          <w:sz w:val="28"/>
        </w:rPr>
        <w:t>(Type 2)</w:t>
      </w:r>
    </w:p>
    <w:p w:rsidR="00BC47A4" w:rsidRDefault="00500256" w:rsidP="0012205F">
      <w:pPr>
        <w:pStyle w:val="NoSpacing"/>
        <w:jc w:val="both"/>
        <w:rPr>
          <w:color w:val="002060"/>
        </w:rPr>
      </w:pPr>
      <w:r w:rsidRPr="00D72F02">
        <w:rPr>
          <w:color w:val="002060"/>
        </w:rPr>
        <w:t xml:space="preserve">Under this option, Budget </w:t>
      </w:r>
      <w:r w:rsidR="00DA45F6" w:rsidRPr="00D72F02">
        <w:rPr>
          <w:color w:val="002060"/>
        </w:rPr>
        <w:t>S</w:t>
      </w:r>
      <w:r w:rsidRPr="00D72F02">
        <w:rPr>
          <w:color w:val="002060"/>
        </w:rPr>
        <w:t xml:space="preserve">upport would be provided to </w:t>
      </w:r>
      <w:r w:rsidR="00795A4A" w:rsidRPr="00D72F02">
        <w:rPr>
          <w:color w:val="002060"/>
        </w:rPr>
        <w:t xml:space="preserve">help </w:t>
      </w:r>
      <w:r w:rsidR="00DA45F6" w:rsidRPr="00D72F02">
        <w:rPr>
          <w:color w:val="002060"/>
        </w:rPr>
        <w:t xml:space="preserve">decentralizing </w:t>
      </w:r>
      <w:r w:rsidRPr="00D72F02">
        <w:rPr>
          <w:color w:val="002060"/>
        </w:rPr>
        <w:t xml:space="preserve">partner countries </w:t>
      </w:r>
      <w:r w:rsidR="00F36E1C" w:rsidRPr="00D72F02">
        <w:rPr>
          <w:color w:val="002060"/>
        </w:rPr>
        <w:t>implement</w:t>
      </w:r>
      <w:r w:rsidR="00795A4A" w:rsidRPr="00D72F02">
        <w:rPr>
          <w:color w:val="002060"/>
        </w:rPr>
        <w:t xml:space="preserve"> </w:t>
      </w:r>
      <w:r w:rsidR="00795A4A" w:rsidRPr="00D72F02">
        <w:rPr>
          <w:i/>
          <w:color w:val="002060"/>
        </w:rPr>
        <w:t>decentralization reforms</w:t>
      </w:r>
      <w:r w:rsidR="00795A4A" w:rsidRPr="00D72F02">
        <w:rPr>
          <w:color w:val="002060"/>
        </w:rPr>
        <w:t xml:space="preserve"> and</w:t>
      </w:r>
      <w:r w:rsidR="00DA45F6" w:rsidRPr="00D72F02">
        <w:rPr>
          <w:color w:val="002060"/>
        </w:rPr>
        <w:t xml:space="preserve"> strengthen</w:t>
      </w:r>
      <w:r w:rsidRPr="00D72F02">
        <w:rPr>
          <w:color w:val="002060"/>
        </w:rPr>
        <w:t xml:space="preserve"> </w:t>
      </w:r>
      <w:r w:rsidR="00DA45F6" w:rsidRPr="00D72F02">
        <w:rPr>
          <w:color w:val="002060"/>
        </w:rPr>
        <w:t xml:space="preserve">developmental </w:t>
      </w:r>
      <w:r w:rsidRPr="00D72F02">
        <w:rPr>
          <w:i/>
          <w:color w:val="002060"/>
        </w:rPr>
        <w:t>local authorities</w:t>
      </w:r>
      <w:r w:rsidR="00795A4A" w:rsidRPr="00D72F02">
        <w:rPr>
          <w:i/>
          <w:color w:val="002060"/>
        </w:rPr>
        <w:t xml:space="preserve"> system</w:t>
      </w:r>
      <w:r w:rsidR="00F36E1C" w:rsidRPr="00D72F02">
        <w:rPr>
          <w:i/>
          <w:color w:val="002060"/>
        </w:rPr>
        <w:t>s</w:t>
      </w:r>
      <w:r w:rsidR="00DA45F6" w:rsidRPr="00D72F02">
        <w:rPr>
          <w:color w:val="002060"/>
        </w:rPr>
        <w:t xml:space="preserve">. </w:t>
      </w:r>
    </w:p>
    <w:p w:rsidR="00E5649F" w:rsidRPr="00D72F02" w:rsidRDefault="00E5649F" w:rsidP="0012205F">
      <w:pPr>
        <w:pStyle w:val="NoSpacing"/>
        <w:jc w:val="both"/>
        <w:rPr>
          <w:color w:val="002060"/>
        </w:rPr>
      </w:pPr>
    </w:p>
    <w:p w:rsidR="00A056D0" w:rsidRPr="00D72F02" w:rsidRDefault="00DA45F6" w:rsidP="0012205F">
      <w:pPr>
        <w:pStyle w:val="NoSpacing"/>
        <w:jc w:val="both"/>
        <w:rPr>
          <w:color w:val="002060"/>
        </w:rPr>
      </w:pPr>
      <w:r w:rsidRPr="00D72F02">
        <w:rPr>
          <w:color w:val="002060"/>
        </w:rPr>
        <w:t>The</w:t>
      </w:r>
      <w:r w:rsidR="00795A4A" w:rsidRPr="00D72F02">
        <w:rPr>
          <w:color w:val="002060"/>
        </w:rPr>
        <w:t xml:space="preserve"> scope of these programs </w:t>
      </w:r>
      <w:r w:rsidR="00196259" w:rsidRPr="00D72F02">
        <w:rPr>
          <w:color w:val="002060"/>
        </w:rPr>
        <w:t xml:space="preserve">is potentially the broadest, but </w:t>
      </w:r>
      <w:r w:rsidR="00A056D0" w:rsidRPr="00D72F02">
        <w:rPr>
          <w:color w:val="002060"/>
        </w:rPr>
        <w:t>in practice it</w:t>
      </w:r>
      <w:r w:rsidR="00196259" w:rsidRPr="00D72F02">
        <w:rPr>
          <w:color w:val="002060"/>
        </w:rPr>
        <w:t xml:space="preserve"> </w:t>
      </w:r>
      <w:r w:rsidR="00BC47A4" w:rsidRPr="00D72F02">
        <w:rPr>
          <w:color w:val="002060"/>
        </w:rPr>
        <w:t>may vary greatly, depending on the</w:t>
      </w:r>
      <w:r w:rsidR="00795A4A" w:rsidRPr="00D72F02">
        <w:rPr>
          <w:color w:val="002060"/>
        </w:rPr>
        <w:t xml:space="preserve"> </w:t>
      </w:r>
      <w:r w:rsidR="00D07F25" w:rsidRPr="00D72F02">
        <w:rPr>
          <w:color w:val="002060"/>
        </w:rPr>
        <w:t xml:space="preserve">political rationale behind the decentralization reforms, on the </w:t>
      </w:r>
      <w:r w:rsidR="00A056D0" w:rsidRPr="00D72F02">
        <w:rPr>
          <w:color w:val="002060"/>
        </w:rPr>
        <w:t>partner</w:t>
      </w:r>
      <w:r w:rsidR="00D07F25" w:rsidRPr="00D72F02">
        <w:rPr>
          <w:color w:val="002060"/>
        </w:rPr>
        <w:t xml:space="preserve"> government</w:t>
      </w:r>
      <w:r w:rsidR="00A056D0" w:rsidRPr="00D72F02">
        <w:rPr>
          <w:color w:val="002060"/>
        </w:rPr>
        <w:t>’s</w:t>
      </w:r>
      <w:r w:rsidR="00D07F25" w:rsidRPr="00D72F02">
        <w:rPr>
          <w:color w:val="002060"/>
        </w:rPr>
        <w:t xml:space="preserve"> understanding of, and </w:t>
      </w:r>
      <w:r w:rsidR="008053C3" w:rsidRPr="00D72F02">
        <w:rPr>
          <w:color w:val="002060"/>
        </w:rPr>
        <w:t>commitment to</w:t>
      </w:r>
      <w:r w:rsidR="00D07F25" w:rsidRPr="00D72F02">
        <w:rPr>
          <w:color w:val="002060"/>
        </w:rPr>
        <w:t>,</w:t>
      </w:r>
      <w:r w:rsidR="001F40DD" w:rsidRPr="00D72F02">
        <w:rPr>
          <w:color w:val="002060"/>
        </w:rPr>
        <w:t xml:space="preserve"> genuine</w:t>
      </w:r>
      <w:r w:rsidR="008053C3" w:rsidRPr="00D72F02">
        <w:rPr>
          <w:color w:val="002060"/>
        </w:rPr>
        <w:t xml:space="preserve"> </w:t>
      </w:r>
      <w:r w:rsidR="008053C3" w:rsidRPr="00D72F02">
        <w:rPr>
          <w:i/>
          <w:color w:val="002060"/>
        </w:rPr>
        <w:t xml:space="preserve">local </w:t>
      </w:r>
      <w:r w:rsidR="00F039A7" w:rsidRPr="00D72F02">
        <w:rPr>
          <w:i/>
          <w:color w:val="002060"/>
        </w:rPr>
        <w:t>development</w:t>
      </w:r>
      <w:r w:rsidR="00F039A7" w:rsidRPr="00D72F02">
        <w:rPr>
          <w:color w:val="002060"/>
        </w:rPr>
        <w:t>,</w:t>
      </w:r>
      <w:r w:rsidR="00BC0EF7" w:rsidRPr="00D72F02">
        <w:rPr>
          <w:rStyle w:val="FootnoteReference"/>
          <w:color w:val="002060"/>
        </w:rPr>
        <w:footnoteReference w:id="5"/>
      </w:r>
      <w:r w:rsidR="00F039A7" w:rsidRPr="00D72F02">
        <w:rPr>
          <w:color w:val="002060"/>
        </w:rPr>
        <w:t xml:space="preserve"> </w:t>
      </w:r>
      <w:r w:rsidR="008053C3" w:rsidRPr="00D72F02">
        <w:rPr>
          <w:color w:val="002060"/>
        </w:rPr>
        <w:t xml:space="preserve">and </w:t>
      </w:r>
      <w:r w:rsidR="00D07F25" w:rsidRPr="00D72F02">
        <w:rPr>
          <w:color w:val="002060"/>
        </w:rPr>
        <w:t xml:space="preserve">on </w:t>
      </w:r>
      <w:r w:rsidR="008053C3" w:rsidRPr="00D72F02">
        <w:rPr>
          <w:color w:val="002060"/>
        </w:rPr>
        <w:t xml:space="preserve">the </w:t>
      </w:r>
      <w:r w:rsidR="00F039A7" w:rsidRPr="00D72F02">
        <w:rPr>
          <w:color w:val="002060"/>
        </w:rPr>
        <w:t>d</w:t>
      </w:r>
      <w:r w:rsidRPr="00D72F02">
        <w:rPr>
          <w:color w:val="002060"/>
        </w:rPr>
        <w:t xml:space="preserve">esired </w:t>
      </w:r>
      <w:r w:rsidR="008053C3" w:rsidRPr="00D72F02">
        <w:rPr>
          <w:color w:val="002060"/>
        </w:rPr>
        <w:t xml:space="preserve">features of the </w:t>
      </w:r>
      <w:r w:rsidRPr="00D72F02">
        <w:rPr>
          <w:color w:val="002060"/>
        </w:rPr>
        <w:t xml:space="preserve">inter-governmental </w:t>
      </w:r>
      <w:r w:rsidR="00F039A7" w:rsidRPr="00D72F02">
        <w:rPr>
          <w:color w:val="002060"/>
        </w:rPr>
        <w:t>system</w:t>
      </w:r>
      <w:r w:rsidR="00BC47A4" w:rsidRPr="00D72F02">
        <w:rPr>
          <w:color w:val="002060"/>
        </w:rPr>
        <w:t>.</w:t>
      </w:r>
      <w:r w:rsidR="001F40DD" w:rsidRPr="00D72F02">
        <w:rPr>
          <w:color w:val="002060"/>
        </w:rPr>
        <w:t xml:space="preserve"> Program objectives may </w:t>
      </w:r>
      <w:r w:rsidR="00D07F25" w:rsidRPr="00D72F02">
        <w:rPr>
          <w:color w:val="002060"/>
        </w:rPr>
        <w:t xml:space="preserve">therefore </w:t>
      </w:r>
      <w:r w:rsidR="001F40DD" w:rsidRPr="00D72F02">
        <w:rPr>
          <w:color w:val="002060"/>
        </w:rPr>
        <w:t xml:space="preserve">be limited to the development and adoption of national decentralization strategies and related legislation. </w:t>
      </w:r>
      <w:r w:rsidR="00D07F25" w:rsidRPr="00D72F02">
        <w:rPr>
          <w:color w:val="002060"/>
        </w:rPr>
        <w:t xml:space="preserve">Or they </w:t>
      </w:r>
      <w:r w:rsidR="001F40DD" w:rsidRPr="00D72F02">
        <w:rPr>
          <w:color w:val="002060"/>
        </w:rPr>
        <w:t xml:space="preserve">may </w:t>
      </w:r>
      <w:r w:rsidR="00D07F25" w:rsidRPr="00D72F02">
        <w:rPr>
          <w:color w:val="002060"/>
        </w:rPr>
        <w:t>include changes of variable scope and depth with respect to (a) the architecture of the sub-national system of governance and public administration and related accountability relations (b) function</w:t>
      </w:r>
      <w:r w:rsidR="00196259" w:rsidRPr="00D72F02">
        <w:rPr>
          <w:color w:val="002060"/>
        </w:rPr>
        <w:t>al assignments and (c) resources assignments across levels of government, as well as (d) human resources management systems and responsibilities.</w:t>
      </w:r>
      <w:r w:rsidR="00A056D0" w:rsidRPr="00D72F02">
        <w:rPr>
          <w:color w:val="002060"/>
        </w:rPr>
        <w:t xml:space="preserve"> Importantly, they may also include financial support to performance-based, inter-governmental grant mechanisms that enable local authorities to undertake meaningful local development planning and budgeting exercises and build related institutional capacities.</w:t>
      </w:r>
    </w:p>
    <w:p w:rsidR="00D64D2C" w:rsidRDefault="00D64D2C" w:rsidP="00D64D2C">
      <w:pPr>
        <w:pStyle w:val="NoSpacing"/>
        <w:ind w:left="360"/>
        <w:rPr>
          <w:b/>
          <w:i/>
          <w:u w:val="single"/>
        </w:rPr>
      </w:pPr>
    </w:p>
    <w:p w:rsidR="00571C12" w:rsidRPr="00F075A9" w:rsidRDefault="002A7499" w:rsidP="00F075A9">
      <w:pPr>
        <w:rPr>
          <w:b/>
          <w:color w:val="0070C0"/>
          <w:sz w:val="28"/>
        </w:rPr>
      </w:pPr>
      <w:r w:rsidRPr="00F075A9">
        <w:rPr>
          <w:b/>
          <w:color w:val="0070C0"/>
          <w:sz w:val="28"/>
        </w:rPr>
        <w:t xml:space="preserve">Budget Support to LA’s Territorial Policies </w:t>
      </w:r>
      <w:r w:rsidR="00571B85">
        <w:rPr>
          <w:b/>
          <w:color w:val="0070C0"/>
          <w:sz w:val="28"/>
        </w:rPr>
        <w:t>(Type 3)</w:t>
      </w:r>
    </w:p>
    <w:p w:rsidR="006D01CB" w:rsidRPr="005E68B7" w:rsidRDefault="00C94CB5" w:rsidP="00F075A9">
      <w:pPr>
        <w:pStyle w:val="NoSpacing"/>
        <w:jc w:val="both"/>
        <w:rPr>
          <w:color w:val="002060"/>
        </w:rPr>
      </w:pPr>
      <w:r w:rsidRPr="005E68B7">
        <w:rPr>
          <w:color w:val="002060"/>
        </w:rPr>
        <w:t xml:space="preserve">Under this option, Budget Support </w:t>
      </w:r>
      <w:r w:rsidR="006D01CB" w:rsidRPr="005E68B7">
        <w:rPr>
          <w:color w:val="002060"/>
        </w:rPr>
        <w:t xml:space="preserve">operations </w:t>
      </w:r>
      <w:r w:rsidRPr="005E68B7">
        <w:rPr>
          <w:color w:val="002060"/>
        </w:rPr>
        <w:t>would help design and implement</w:t>
      </w:r>
      <w:r w:rsidR="00BD7FE3">
        <w:rPr>
          <w:color w:val="002060"/>
        </w:rPr>
        <w:t xml:space="preserve"> </w:t>
      </w:r>
      <w:r w:rsidR="00BD7FE3" w:rsidRPr="00BD7FE3">
        <w:rPr>
          <w:i/>
          <w:color w:val="002060"/>
        </w:rPr>
        <w:t>place-based policies</w:t>
      </w:r>
      <w:r w:rsidR="00BD7FE3">
        <w:rPr>
          <w:color w:val="002060"/>
        </w:rPr>
        <w:t xml:space="preserve"> to promote </w:t>
      </w:r>
      <w:r w:rsidRPr="00BD7FE3">
        <w:rPr>
          <w:color w:val="002060"/>
        </w:rPr>
        <w:t>local/territorial development</w:t>
      </w:r>
      <w:r w:rsidR="00BD7FE3">
        <w:rPr>
          <w:rStyle w:val="FootnoteReference"/>
          <w:color w:val="002060"/>
        </w:rPr>
        <w:footnoteReference w:id="6"/>
      </w:r>
      <w:r w:rsidRPr="005E68B7">
        <w:rPr>
          <w:color w:val="002060"/>
        </w:rPr>
        <w:t xml:space="preserve">. </w:t>
      </w:r>
      <w:r w:rsidR="00474402" w:rsidRPr="005E68B7">
        <w:rPr>
          <w:color w:val="002060"/>
        </w:rPr>
        <w:t xml:space="preserve">They would support </w:t>
      </w:r>
      <w:r w:rsidRPr="005E68B7">
        <w:rPr>
          <w:color w:val="002060"/>
        </w:rPr>
        <w:t>sub-national actors to enable them to plan, finance and implement their own strategic and integrated territorial development plans</w:t>
      </w:r>
      <w:r w:rsidR="00CF03D3">
        <w:rPr>
          <w:color w:val="002060"/>
        </w:rPr>
        <w:t xml:space="preserve"> in situations where a subnational authority enjoys extensive political, administrative and fiscal powers, such as in a federal system</w:t>
      </w:r>
      <w:r w:rsidRPr="005E68B7">
        <w:rPr>
          <w:color w:val="002060"/>
        </w:rPr>
        <w:t>.</w:t>
      </w:r>
      <w:r w:rsidR="0033284B" w:rsidRPr="005E68B7">
        <w:rPr>
          <w:color w:val="002060"/>
        </w:rPr>
        <w:t xml:space="preserve"> In the design of the</w:t>
      </w:r>
      <w:r w:rsidR="006D01CB" w:rsidRPr="005E68B7">
        <w:rPr>
          <w:color w:val="002060"/>
        </w:rPr>
        <w:t>se</w:t>
      </w:r>
      <w:r w:rsidR="0033284B" w:rsidRPr="005E68B7">
        <w:rPr>
          <w:color w:val="002060"/>
        </w:rPr>
        <w:t xml:space="preserve"> Budget Support operation</w:t>
      </w:r>
      <w:r w:rsidR="006D01CB" w:rsidRPr="005E68B7">
        <w:rPr>
          <w:color w:val="002060"/>
        </w:rPr>
        <w:t>s</w:t>
      </w:r>
      <w:r w:rsidR="0033284B" w:rsidRPr="005E68B7">
        <w:rPr>
          <w:color w:val="002060"/>
        </w:rPr>
        <w:t xml:space="preserve">, dialogue on </w:t>
      </w:r>
      <w:r w:rsidR="00A056D0" w:rsidRPr="005E68B7">
        <w:rPr>
          <w:color w:val="002060"/>
        </w:rPr>
        <w:t>(</w:t>
      </w:r>
      <w:proofErr w:type="spellStart"/>
      <w:r w:rsidR="00A056D0" w:rsidRPr="005E68B7">
        <w:rPr>
          <w:color w:val="002060"/>
        </w:rPr>
        <w:t>i</w:t>
      </w:r>
      <w:proofErr w:type="spellEnd"/>
      <w:r w:rsidR="00A056D0" w:rsidRPr="005E68B7">
        <w:rPr>
          <w:color w:val="002060"/>
        </w:rPr>
        <w:t xml:space="preserve">) </w:t>
      </w:r>
      <w:r w:rsidR="0033284B" w:rsidRPr="005E68B7">
        <w:rPr>
          <w:color w:val="002060"/>
        </w:rPr>
        <w:t xml:space="preserve">the policies to be supported, </w:t>
      </w:r>
      <w:r w:rsidR="00A056D0" w:rsidRPr="005E68B7">
        <w:rPr>
          <w:color w:val="002060"/>
        </w:rPr>
        <w:t xml:space="preserve">(ii) </w:t>
      </w:r>
      <w:r w:rsidR="0033284B" w:rsidRPr="005E68B7">
        <w:rPr>
          <w:color w:val="002060"/>
        </w:rPr>
        <w:t xml:space="preserve">the necessary capacity building support and </w:t>
      </w:r>
      <w:r w:rsidR="00A056D0" w:rsidRPr="005E68B7">
        <w:rPr>
          <w:color w:val="002060"/>
        </w:rPr>
        <w:t xml:space="preserve">(iii) </w:t>
      </w:r>
      <w:r w:rsidR="0033284B" w:rsidRPr="005E68B7">
        <w:rPr>
          <w:color w:val="002060"/>
        </w:rPr>
        <w:t xml:space="preserve">the appropriate performance assessment </w:t>
      </w:r>
      <w:r w:rsidR="006D01CB" w:rsidRPr="005E68B7">
        <w:rPr>
          <w:color w:val="002060"/>
        </w:rPr>
        <w:t>framework</w:t>
      </w:r>
      <w:r w:rsidR="0033284B" w:rsidRPr="005E68B7">
        <w:rPr>
          <w:color w:val="002060"/>
        </w:rPr>
        <w:t xml:space="preserve"> will be </w:t>
      </w:r>
      <w:r w:rsidR="006D01CB" w:rsidRPr="005E68B7">
        <w:rPr>
          <w:color w:val="002060"/>
        </w:rPr>
        <w:t>carried</w:t>
      </w:r>
      <w:r w:rsidR="0033284B" w:rsidRPr="005E68B7">
        <w:rPr>
          <w:color w:val="002060"/>
        </w:rPr>
        <w:t xml:space="preserve"> out </w:t>
      </w:r>
      <w:r w:rsidR="006D01CB" w:rsidRPr="005E68B7">
        <w:rPr>
          <w:color w:val="002060"/>
        </w:rPr>
        <w:t xml:space="preserve">jointly </w:t>
      </w:r>
      <w:r w:rsidR="0033284B" w:rsidRPr="005E68B7">
        <w:rPr>
          <w:color w:val="002060"/>
        </w:rPr>
        <w:t xml:space="preserve">with the directly concerned sub-national authorities and the Ministry of Finance and other </w:t>
      </w:r>
      <w:r w:rsidR="00D72F02" w:rsidRPr="005E68B7">
        <w:rPr>
          <w:color w:val="002060"/>
        </w:rPr>
        <w:t xml:space="preserve">relevant </w:t>
      </w:r>
      <w:r w:rsidR="0033284B" w:rsidRPr="005E68B7">
        <w:rPr>
          <w:color w:val="002060"/>
        </w:rPr>
        <w:t xml:space="preserve">agencies in representation of the central government. </w:t>
      </w:r>
      <w:r w:rsidR="00F33940">
        <w:rPr>
          <w:color w:val="002060"/>
        </w:rPr>
        <w:t xml:space="preserve">Partner government financing and transfer mechanisms should </w:t>
      </w:r>
      <w:r w:rsidR="006D01CB" w:rsidRPr="00F33940">
        <w:rPr>
          <w:color w:val="002060"/>
        </w:rPr>
        <w:t xml:space="preserve">ensure that resources </w:t>
      </w:r>
      <w:r w:rsidR="00540FCB" w:rsidRPr="00F33940">
        <w:rPr>
          <w:color w:val="002060"/>
        </w:rPr>
        <w:t xml:space="preserve">are </w:t>
      </w:r>
      <w:r w:rsidR="00EF399D">
        <w:rPr>
          <w:color w:val="002060"/>
        </w:rPr>
        <w:t xml:space="preserve">fully </w:t>
      </w:r>
      <w:r w:rsidR="00540FCB" w:rsidRPr="00F33940">
        <w:rPr>
          <w:color w:val="002060"/>
        </w:rPr>
        <w:t>programmable locally</w:t>
      </w:r>
      <w:r w:rsidR="00540FCB" w:rsidRPr="005E68B7">
        <w:rPr>
          <w:color w:val="002060"/>
        </w:rPr>
        <w:t xml:space="preserve">. </w:t>
      </w:r>
    </w:p>
    <w:p w:rsidR="00EF399D" w:rsidRDefault="00EF399D" w:rsidP="00F075A9">
      <w:pPr>
        <w:pStyle w:val="NoSpacing"/>
        <w:jc w:val="both"/>
        <w:rPr>
          <w:color w:val="002060"/>
        </w:rPr>
      </w:pPr>
    </w:p>
    <w:p w:rsidR="00ED70C7" w:rsidRDefault="009246D4" w:rsidP="00F075A9">
      <w:pPr>
        <w:pStyle w:val="NoSpacing"/>
        <w:jc w:val="both"/>
        <w:rPr>
          <w:color w:val="002060"/>
        </w:rPr>
      </w:pPr>
      <w:r w:rsidRPr="005E68B7">
        <w:rPr>
          <w:color w:val="002060"/>
        </w:rPr>
        <w:t>T</w:t>
      </w:r>
      <w:r w:rsidR="00193B5E" w:rsidRPr="005E68B7">
        <w:rPr>
          <w:color w:val="002060"/>
        </w:rPr>
        <w:t xml:space="preserve">his option </w:t>
      </w:r>
      <w:r w:rsidRPr="005E68B7">
        <w:rPr>
          <w:color w:val="002060"/>
        </w:rPr>
        <w:t>would</w:t>
      </w:r>
      <w:r w:rsidR="00193B5E" w:rsidRPr="005E68B7">
        <w:rPr>
          <w:color w:val="002060"/>
        </w:rPr>
        <w:t xml:space="preserve"> </w:t>
      </w:r>
      <w:r w:rsidR="005E68B7" w:rsidRPr="005E68B7">
        <w:rPr>
          <w:color w:val="002060"/>
        </w:rPr>
        <w:t xml:space="preserve">“localize” Budget Support and promote central-local “contracts” for the development and implementation of </w:t>
      </w:r>
      <w:r w:rsidR="00193B5E" w:rsidRPr="005E68B7">
        <w:rPr>
          <w:i/>
          <w:color w:val="002060"/>
        </w:rPr>
        <w:t>place-based development</w:t>
      </w:r>
      <w:r w:rsidR="00193B5E" w:rsidRPr="005E68B7">
        <w:rPr>
          <w:color w:val="002060"/>
        </w:rPr>
        <w:t xml:space="preserve"> </w:t>
      </w:r>
      <w:r w:rsidR="005E68B7" w:rsidRPr="005E68B7">
        <w:rPr>
          <w:color w:val="002060"/>
        </w:rPr>
        <w:t xml:space="preserve">strategies. It </w:t>
      </w:r>
      <w:r w:rsidR="00ED70C7">
        <w:rPr>
          <w:color w:val="002060"/>
        </w:rPr>
        <w:t>c</w:t>
      </w:r>
      <w:r w:rsidR="005E68B7" w:rsidRPr="005E68B7">
        <w:rPr>
          <w:color w:val="002060"/>
        </w:rPr>
        <w:t xml:space="preserve">ould </w:t>
      </w:r>
      <w:r w:rsidR="00ED70C7">
        <w:rPr>
          <w:color w:val="002060"/>
        </w:rPr>
        <w:t xml:space="preserve">help </w:t>
      </w:r>
      <w:r w:rsidR="00193B5E" w:rsidRPr="005E68B7">
        <w:rPr>
          <w:color w:val="002060"/>
        </w:rPr>
        <w:t>partner countries</w:t>
      </w:r>
      <w:r w:rsidR="002E3C97" w:rsidRPr="005E68B7">
        <w:rPr>
          <w:color w:val="002060"/>
        </w:rPr>
        <w:t xml:space="preserve"> </w:t>
      </w:r>
      <w:r w:rsidR="00ED70C7">
        <w:rPr>
          <w:color w:val="002060"/>
        </w:rPr>
        <w:t xml:space="preserve">tackle </w:t>
      </w:r>
      <w:r w:rsidRPr="005E68B7">
        <w:rPr>
          <w:color w:val="002060"/>
        </w:rPr>
        <w:t xml:space="preserve">increasing </w:t>
      </w:r>
      <w:r w:rsidR="002E3C97" w:rsidRPr="005E68B7">
        <w:rPr>
          <w:color w:val="002060"/>
        </w:rPr>
        <w:t xml:space="preserve">spatial and social inequalities </w:t>
      </w:r>
      <w:r w:rsidR="00ED70C7">
        <w:rPr>
          <w:color w:val="002060"/>
        </w:rPr>
        <w:t xml:space="preserve">and enhance </w:t>
      </w:r>
      <w:r w:rsidRPr="005E68B7">
        <w:rPr>
          <w:color w:val="002060"/>
        </w:rPr>
        <w:t>social cohesion and political stability</w:t>
      </w:r>
      <w:r w:rsidR="002E3C97" w:rsidRPr="005E68B7">
        <w:rPr>
          <w:color w:val="002060"/>
        </w:rPr>
        <w:t>.</w:t>
      </w:r>
      <w:r w:rsidRPr="005E68B7">
        <w:rPr>
          <w:color w:val="002060"/>
        </w:rPr>
        <w:t xml:space="preserve"> </w:t>
      </w:r>
    </w:p>
    <w:p w:rsidR="00ED70C7" w:rsidRDefault="00ED70C7" w:rsidP="00F075A9">
      <w:pPr>
        <w:pStyle w:val="NoSpacing"/>
        <w:jc w:val="both"/>
        <w:rPr>
          <w:color w:val="002060"/>
        </w:rPr>
      </w:pPr>
    </w:p>
    <w:p w:rsidR="00756370" w:rsidRDefault="00ED70C7" w:rsidP="00F075A9">
      <w:pPr>
        <w:pStyle w:val="NoSpacing"/>
        <w:jc w:val="both"/>
        <w:rPr>
          <w:color w:val="002060"/>
        </w:rPr>
      </w:pPr>
      <w:r>
        <w:rPr>
          <w:color w:val="002060"/>
        </w:rPr>
        <w:t xml:space="preserve">However, this option </w:t>
      </w:r>
      <w:r w:rsidR="009246D4" w:rsidRPr="005E68B7">
        <w:rPr>
          <w:color w:val="002060"/>
        </w:rPr>
        <w:t>require</w:t>
      </w:r>
      <w:r>
        <w:rPr>
          <w:color w:val="002060"/>
        </w:rPr>
        <w:t>s</w:t>
      </w:r>
      <w:r w:rsidR="009246D4" w:rsidRPr="005E68B7">
        <w:rPr>
          <w:color w:val="002060"/>
        </w:rPr>
        <w:t xml:space="preserve"> </w:t>
      </w:r>
      <w:r>
        <w:rPr>
          <w:color w:val="002060"/>
        </w:rPr>
        <w:t xml:space="preserve">important conditions </w:t>
      </w:r>
      <w:r w:rsidR="00B22215">
        <w:rPr>
          <w:color w:val="002060"/>
        </w:rPr>
        <w:t xml:space="preserve">in order </w:t>
      </w:r>
      <w:r>
        <w:rPr>
          <w:color w:val="002060"/>
        </w:rPr>
        <w:t>to manage fiduciary and other risks</w:t>
      </w:r>
      <w:r w:rsidR="00496CC2">
        <w:rPr>
          <w:color w:val="002060"/>
        </w:rPr>
        <w:t xml:space="preserve"> </w:t>
      </w:r>
      <w:r w:rsidR="00B22215">
        <w:rPr>
          <w:color w:val="002060"/>
        </w:rPr>
        <w:t>that accompany the</w:t>
      </w:r>
      <w:r w:rsidR="00496CC2">
        <w:rPr>
          <w:color w:val="002060"/>
        </w:rPr>
        <w:t xml:space="preserve"> advanced level of decentralized responsibility</w:t>
      </w:r>
      <w:r>
        <w:rPr>
          <w:color w:val="002060"/>
        </w:rPr>
        <w:t xml:space="preserve">. </w:t>
      </w:r>
      <w:r w:rsidR="00496CC2">
        <w:rPr>
          <w:color w:val="002060"/>
        </w:rPr>
        <w:t xml:space="preserve">It would require not only a </w:t>
      </w:r>
      <w:r w:rsidR="009246D4" w:rsidRPr="005E68B7">
        <w:rPr>
          <w:color w:val="002060"/>
        </w:rPr>
        <w:t xml:space="preserve">strong </w:t>
      </w:r>
      <w:r w:rsidR="009246D4" w:rsidRPr="005E68B7">
        <w:rPr>
          <w:i/>
          <w:color w:val="002060"/>
        </w:rPr>
        <w:t>national</w:t>
      </w:r>
      <w:r w:rsidR="009246D4" w:rsidRPr="005E68B7">
        <w:rPr>
          <w:color w:val="002060"/>
        </w:rPr>
        <w:t xml:space="preserve"> policy commitment to </w:t>
      </w:r>
      <w:r w:rsidR="009246D4" w:rsidRPr="005E68B7">
        <w:rPr>
          <w:i/>
          <w:color w:val="002060"/>
        </w:rPr>
        <w:t>local</w:t>
      </w:r>
      <w:r w:rsidR="009246D4" w:rsidRPr="005E68B7">
        <w:rPr>
          <w:color w:val="002060"/>
        </w:rPr>
        <w:t xml:space="preserve"> development</w:t>
      </w:r>
      <w:r w:rsidR="000D505F">
        <w:rPr>
          <w:color w:val="002060"/>
        </w:rPr>
        <w:t xml:space="preserve"> and a</w:t>
      </w:r>
      <w:r w:rsidR="00A55AEA">
        <w:rPr>
          <w:color w:val="002060"/>
        </w:rPr>
        <w:t>n</w:t>
      </w:r>
      <w:r w:rsidR="000D505F">
        <w:rPr>
          <w:color w:val="002060"/>
        </w:rPr>
        <w:t xml:space="preserve"> </w:t>
      </w:r>
      <w:r w:rsidR="00A55AEA">
        <w:rPr>
          <w:color w:val="002060"/>
        </w:rPr>
        <w:t>extensive</w:t>
      </w:r>
      <w:r w:rsidR="000D505F">
        <w:rPr>
          <w:color w:val="002060"/>
        </w:rPr>
        <w:t xml:space="preserve"> degree of political decentralization</w:t>
      </w:r>
      <w:r w:rsidR="00EE420D" w:rsidRPr="005E68B7">
        <w:rPr>
          <w:color w:val="002060"/>
        </w:rPr>
        <w:t xml:space="preserve">, </w:t>
      </w:r>
      <w:r w:rsidR="00496CC2">
        <w:rPr>
          <w:color w:val="002060"/>
        </w:rPr>
        <w:t xml:space="preserve">but also a well-established subnational government system with </w:t>
      </w:r>
      <w:r w:rsidR="00D72F02" w:rsidRPr="005E68B7">
        <w:rPr>
          <w:color w:val="002060"/>
        </w:rPr>
        <w:t>a relatively h</w:t>
      </w:r>
      <w:r w:rsidR="009246D4" w:rsidRPr="005E68B7">
        <w:rPr>
          <w:color w:val="002060"/>
        </w:rPr>
        <w:t xml:space="preserve">igh degree of local </w:t>
      </w:r>
      <w:r w:rsidR="009246D4" w:rsidRPr="005E68B7">
        <w:rPr>
          <w:i/>
          <w:color w:val="002060"/>
        </w:rPr>
        <w:t>autonomy</w:t>
      </w:r>
      <w:r w:rsidR="00EF399D">
        <w:rPr>
          <w:color w:val="002060"/>
        </w:rPr>
        <w:t xml:space="preserve">, </w:t>
      </w:r>
      <w:r w:rsidR="00496CC2" w:rsidRPr="00EF399D">
        <w:rPr>
          <w:i/>
          <w:color w:val="002060"/>
        </w:rPr>
        <w:t>capacity</w:t>
      </w:r>
      <w:r w:rsidR="00496CC2">
        <w:rPr>
          <w:color w:val="002060"/>
        </w:rPr>
        <w:t xml:space="preserve"> </w:t>
      </w:r>
      <w:r w:rsidR="002C4BC1">
        <w:rPr>
          <w:color w:val="002060"/>
        </w:rPr>
        <w:t>and e</w:t>
      </w:r>
      <w:r w:rsidR="009157FA" w:rsidRPr="005E68B7">
        <w:rPr>
          <w:color w:val="002060"/>
        </w:rPr>
        <w:t xml:space="preserve">ffective </w:t>
      </w:r>
      <w:r w:rsidR="005E68B7" w:rsidRPr="005E68B7">
        <w:rPr>
          <w:color w:val="002060"/>
        </w:rPr>
        <w:t xml:space="preserve">mechanisms of </w:t>
      </w:r>
      <w:r w:rsidR="009157FA" w:rsidRPr="005E68B7">
        <w:rPr>
          <w:color w:val="002060"/>
        </w:rPr>
        <w:t>local</w:t>
      </w:r>
      <w:r w:rsidR="009246D4" w:rsidRPr="005E68B7">
        <w:rPr>
          <w:color w:val="002060"/>
        </w:rPr>
        <w:t xml:space="preserve"> </w:t>
      </w:r>
      <w:r w:rsidR="009157FA" w:rsidRPr="005E68B7">
        <w:rPr>
          <w:color w:val="002060"/>
        </w:rPr>
        <w:t xml:space="preserve">authorities’ </w:t>
      </w:r>
      <w:r w:rsidR="009157FA" w:rsidRPr="005E68B7">
        <w:rPr>
          <w:i/>
          <w:color w:val="002060"/>
        </w:rPr>
        <w:t>accountability</w:t>
      </w:r>
      <w:r w:rsidR="00194283" w:rsidRPr="005E68B7">
        <w:rPr>
          <w:i/>
          <w:color w:val="002060"/>
        </w:rPr>
        <w:t xml:space="preserve">, </w:t>
      </w:r>
      <w:r w:rsidR="00194283" w:rsidRPr="005E68B7">
        <w:rPr>
          <w:color w:val="002060"/>
        </w:rPr>
        <w:t>including well developed</w:t>
      </w:r>
      <w:r w:rsidR="00944DDA" w:rsidRPr="005E68B7">
        <w:rPr>
          <w:color w:val="002060"/>
        </w:rPr>
        <w:t xml:space="preserve"> </w:t>
      </w:r>
      <w:r w:rsidR="00194283" w:rsidRPr="005E68B7">
        <w:rPr>
          <w:color w:val="002060"/>
        </w:rPr>
        <w:t>institutions for financial compliance and effective control</w:t>
      </w:r>
      <w:r w:rsidR="005E68B7" w:rsidRPr="005E68B7">
        <w:rPr>
          <w:color w:val="002060"/>
        </w:rPr>
        <w:t>s</w:t>
      </w:r>
      <w:r w:rsidR="00EF399D">
        <w:rPr>
          <w:color w:val="002060"/>
        </w:rPr>
        <w:t xml:space="preserve">. </w:t>
      </w:r>
      <w:r w:rsidR="00944DDA" w:rsidRPr="005E68B7">
        <w:rPr>
          <w:color w:val="002060"/>
        </w:rPr>
        <w:t xml:space="preserve">It </w:t>
      </w:r>
      <w:r w:rsidR="00B22215">
        <w:rPr>
          <w:color w:val="002060"/>
        </w:rPr>
        <w:t xml:space="preserve">would </w:t>
      </w:r>
      <w:r w:rsidR="005E68B7" w:rsidRPr="005E68B7">
        <w:rPr>
          <w:color w:val="002060"/>
        </w:rPr>
        <w:t xml:space="preserve">therefore be </w:t>
      </w:r>
      <w:r w:rsidR="00B22215">
        <w:rPr>
          <w:color w:val="002060"/>
        </w:rPr>
        <w:t xml:space="preserve">feasible only </w:t>
      </w:r>
      <w:r w:rsidR="005E68B7" w:rsidRPr="005E68B7">
        <w:rPr>
          <w:color w:val="002060"/>
        </w:rPr>
        <w:t xml:space="preserve">in relatively more advanced contexts and </w:t>
      </w:r>
      <w:r w:rsidR="005E68B7" w:rsidRPr="005E68B7">
        <w:rPr>
          <w:color w:val="002060"/>
        </w:rPr>
        <w:lastRenderedPageBreak/>
        <w:t xml:space="preserve">to benefit </w:t>
      </w:r>
      <w:r w:rsidR="00944DDA" w:rsidRPr="005E68B7">
        <w:rPr>
          <w:color w:val="002060"/>
        </w:rPr>
        <w:t>larger</w:t>
      </w:r>
      <w:r w:rsidR="009F401B" w:rsidRPr="005E68B7">
        <w:rPr>
          <w:color w:val="002060"/>
        </w:rPr>
        <w:t>, more capable,</w:t>
      </w:r>
      <w:r w:rsidR="00944DDA" w:rsidRPr="005E68B7">
        <w:rPr>
          <w:color w:val="002060"/>
        </w:rPr>
        <w:t xml:space="preserve"> local authorities</w:t>
      </w:r>
      <w:r w:rsidR="005E68B7" w:rsidRPr="005E68B7">
        <w:rPr>
          <w:color w:val="002060"/>
        </w:rPr>
        <w:t>.</w:t>
      </w:r>
      <w:r w:rsidR="00B22215">
        <w:rPr>
          <w:color w:val="002060"/>
        </w:rPr>
        <w:t xml:space="preserve"> Particular attention needs to be paid to rigorous eligibility analysis. </w:t>
      </w:r>
    </w:p>
    <w:p w:rsidR="005E5944" w:rsidRDefault="005E5944" w:rsidP="00F075A9">
      <w:pPr>
        <w:pStyle w:val="NoSpacing"/>
        <w:jc w:val="both"/>
        <w:rPr>
          <w:color w:val="002060"/>
        </w:rPr>
      </w:pPr>
    </w:p>
    <w:p w:rsidR="005E5944" w:rsidRPr="005E68B7" w:rsidRDefault="005E5944" w:rsidP="00F075A9">
      <w:pPr>
        <w:pStyle w:val="NoSpacing"/>
        <w:jc w:val="both"/>
        <w:rPr>
          <w:color w:val="002060"/>
        </w:rPr>
      </w:pPr>
      <w:r>
        <w:rPr>
          <w:color w:val="002060"/>
        </w:rPr>
        <w:t>Attention should be p</w:t>
      </w:r>
      <w:r w:rsidR="00FE7C8B">
        <w:rPr>
          <w:color w:val="002060"/>
        </w:rPr>
        <w:t xml:space="preserve">aid to </w:t>
      </w:r>
      <w:r>
        <w:rPr>
          <w:color w:val="002060"/>
        </w:rPr>
        <w:t xml:space="preserve">a clear definition of roles and responsibilities for central and subnational governments in type 3 budget support </w:t>
      </w:r>
      <w:proofErr w:type="spellStart"/>
      <w:r>
        <w:rPr>
          <w:color w:val="002060"/>
        </w:rPr>
        <w:t>programmes</w:t>
      </w:r>
      <w:proofErr w:type="spellEnd"/>
      <w:r>
        <w:rPr>
          <w:color w:val="002060"/>
        </w:rPr>
        <w:t xml:space="preserve">. As a </w:t>
      </w:r>
      <w:r w:rsidR="00FE7C8B">
        <w:rPr>
          <w:color w:val="002060"/>
        </w:rPr>
        <w:t>principle,</w:t>
      </w:r>
      <w:r>
        <w:rPr>
          <w:color w:val="002060"/>
        </w:rPr>
        <w:t xml:space="preserve"> the financing agreement </w:t>
      </w:r>
      <w:r w:rsidR="00D07377">
        <w:rPr>
          <w:color w:val="002060"/>
        </w:rPr>
        <w:t>sh</w:t>
      </w:r>
      <w:r>
        <w:rPr>
          <w:color w:val="002060"/>
        </w:rPr>
        <w:t xml:space="preserve">ould be signed with the central government (e.g. Ministry of Finance) and BS tranche payments would be </w:t>
      </w:r>
      <w:r w:rsidR="00FE7C8B">
        <w:rPr>
          <w:color w:val="002060"/>
        </w:rPr>
        <w:t xml:space="preserve">transferred via the Central Bank to the central government treasury account. </w:t>
      </w:r>
      <w:r w:rsidR="00D07377">
        <w:rPr>
          <w:color w:val="002060"/>
        </w:rPr>
        <w:t xml:space="preserve">Funds </w:t>
      </w:r>
      <w:r w:rsidR="00FE7C8B">
        <w:rPr>
          <w:color w:val="002060"/>
        </w:rPr>
        <w:t xml:space="preserve">would then be transferred within the existing budgetary </w:t>
      </w:r>
      <w:r w:rsidR="00D07377">
        <w:rPr>
          <w:color w:val="002060"/>
        </w:rPr>
        <w:t xml:space="preserve">circuits </w:t>
      </w:r>
      <w:r w:rsidR="00FE7C8B">
        <w:rPr>
          <w:color w:val="002060"/>
        </w:rPr>
        <w:t xml:space="preserve">of the partner country and registered in the budget of the subnational entity. </w:t>
      </w:r>
    </w:p>
    <w:p w:rsidR="005E68B7" w:rsidRDefault="005E68B7" w:rsidP="005E68B7">
      <w:pPr>
        <w:pStyle w:val="NoSpacing"/>
      </w:pPr>
    </w:p>
    <w:p w:rsidR="000A3E15" w:rsidRDefault="000A3E15" w:rsidP="005E68B7">
      <w:pPr>
        <w:pStyle w:val="NoSpacing"/>
      </w:pPr>
      <w:r>
        <w:rPr>
          <w:noProof/>
          <w:lang w:val="en-GB" w:eastAsia="en-GB"/>
        </w:rPr>
        <mc:AlternateContent>
          <mc:Choice Requires="wps">
            <w:drawing>
              <wp:anchor distT="0" distB="0" distL="114300" distR="114300" simplePos="0" relativeHeight="251661312" behindDoc="0" locked="0" layoutInCell="1" allowOverlap="1" wp14:anchorId="7A767732" wp14:editId="2DC7A164">
                <wp:simplePos x="0" y="0"/>
                <wp:positionH relativeFrom="column">
                  <wp:align>center</wp:align>
                </wp:positionH>
                <wp:positionV relativeFrom="paragraph">
                  <wp:posOffset>0</wp:posOffset>
                </wp:positionV>
                <wp:extent cx="3535680" cy="1836420"/>
                <wp:effectExtent l="0" t="0" r="2667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1836420"/>
                        </a:xfrm>
                        <a:prstGeom prst="rect">
                          <a:avLst/>
                        </a:prstGeom>
                        <a:solidFill>
                          <a:srgbClr val="FFFFFF"/>
                        </a:solidFill>
                        <a:ln w="9525">
                          <a:solidFill>
                            <a:srgbClr val="000000"/>
                          </a:solidFill>
                          <a:miter lim="800000"/>
                          <a:headEnd/>
                          <a:tailEnd/>
                        </a:ln>
                      </wps:spPr>
                      <wps:txbx>
                        <w:txbxContent>
                          <w:p w:rsidR="009C3FB9" w:rsidRDefault="009C3FB9">
                            <w:r w:rsidRPr="000A3E15">
                              <w:rPr>
                                <w:noProof/>
                                <w:lang w:val="en-GB" w:eastAsia="en-GB"/>
                              </w:rPr>
                              <w:drawing>
                                <wp:inline distT="0" distB="0" distL="0" distR="0" wp14:anchorId="0C4CC7F6" wp14:editId="789FD984">
                                  <wp:extent cx="3343910" cy="16773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3910" cy="16773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78.4pt;height:144.6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">
                <v:textbox>
                  <w:txbxContent>
                    <w:p w:rsidR="009C3FB9" w:rsidRDefault="009C3FB9">
                      <w:r w:rsidRPr="000A3E15">
                        <w:rPr>
                          <w:noProof/>
                          <w:lang w:val="en-GB" w:eastAsia="en-GB"/>
                        </w:rPr>
                        <w:drawing>
                          <wp:inline distT="0" distB="0" distL="0" distR="0" wp14:anchorId="0C4CC7F6" wp14:editId="789FD984">
                            <wp:extent cx="3343910" cy="16773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3910" cy="1677383"/>
                                    </a:xfrm>
                                    <a:prstGeom prst="rect">
                                      <a:avLst/>
                                    </a:prstGeom>
                                    <a:noFill/>
                                    <a:ln>
                                      <a:noFill/>
                                    </a:ln>
                                  </pic:spPr>
                                </pic:pic>
                              </a:graphicData>
                            </a:graphic>
                          </wp:inline>
                        </w:drawing>
                      </w:r>
                    </w:p>
                  </w:txbxContent>
                </v:textbox>
              </v:shape>
            </w:pict>
          </mc:Fallback>
        </mc:AlternateContent>
      </w:r>
    </w:p>
    <w:p w:rsidR="000A3E15" w:rsidRDefault="000A3E15" w:rsidP="005E68B7">
      <w:pPr>
        <w:pStyle w:val="NoSpacing"/>
      </w:pPr>
    </w:p>
    <w:p w:rsidR="000A3E15" w:rsidRDefault="000A3E15" w:rsidP="005E68B7">
      <w:pPr>
        <w:pStyle w:val="NoSpacing"/>
      </w:pPr>
    </w:p>
    <w:p w:rsidR="000A3E15" w:rsidRDefault="000A3E15" w:rsidP="005E68B7">
      <w:pPr>
        <w:pStyle w:val="NoSpacing"/>
      </w:pPr>
    </w:p>
    <w:p w:rsidR="000A3E15" w:rsidRDefault="000A3E15" w:rsidP="005E68B7">
      <w:pPr>
        <w:pStyle w:val="NoSpacing"/>
      </w:pPr>
    </w:p>
    <w:p w:rsidR="000A3E15" w:rsidRDefault="000A3E15" w:rsidP="005E68B7">
      <w:pPr>
        <w:pStyle w:val="NoSpacing"/>
      </w:pPr>
    </w:p>
    <w:p w:rsidR="000A3E15" w:rsidRDefault="000A3E15" w:rsidP="005E68B7">
      <w:pPr>
        <w:pStyle w:val="NoSpacing"/>
      </w:pPr>
    </w:p>
    <w:p w:rsidR="000A3E15" w:rsidRDefault="000A3E15" w:rsidP="005E68B7">
      <w:pPr>
        <w:pStyle w:val="NoSpacing"/>
      </w:pPr>
    </w:p>
    <w:p w:rsidR="000A3E15" w:rsidRDefault="000A3E15" w:rsidP="005E68B7">
      <w:pPr>
        <w:pStyle w:val="NoSpacing"/>
      </w:pPr>
    </w:p>
    <w:p w:rsidR="000A3E15" w:rsidRDefault="000A3E15" w:rsidP="005E68B7">
      <w:pPr>
        <w:pStyle w:val="NoSpacing"/>
      </w:pPr>
    </w:p>
    <w:p w:rsidR="000A3E15" w:rsidRDefault="000A3E15" w:rsidP="005E68B7">
      <w:pPr>
        <w:pStyle w:val="NoSpacing"/>
      </w:pPr>
    </w:p>
    <w:p w:rsidR="000A3E15" w:rsidRDefault="000A3E15" w:rsidP="005E68B7">
      <w:pPr>
        <w:pStyle w:val="NoSpacing"/>
      </w:pPr>
    </w:p>
    <w:p w:rsidR="00254F4A" w:rsidRPr="009157FA" w:rsidRDefault="00254F4A" w:rsidP="00254F4A">
      <w:pPr>
        <w:rPr>
          <w:b/>
          <w:color w:val="0070C0"/>
          <w:sz w:val="28"/>
        </w:rPr>
      </w:pPr>
      <w:r w:rsidRPr="009157FA">
        <w:rPr>
          <w:b/>
          <w:color w:val="0070C0"/>
          <w:sz w:val="28"/>
        </w:rPr>
        <w:t>Selectivity and flexibility in designing B</w:t>
      </w:r>
      <w:r w:rsidR="007E0D38" w:rsidRPr="009157FA">
        <w:rPr>
          <w:b/>
          <w:color w:val="0070C0"/>
          <w:sz w:val="28"/>
        </w:rPr>
        <w:t xml:space="preserve">udget </w:t>
      </w:r>
      <w:r w:rsidR="009157FA" w:rsidRPr="009157FA">
        <w:rPr>
          <w:b/>
          <w:color w:val="0070C0"/>
          <w:sz w:val="28"/>
        </w:rPr>
        <w:t xml:space="preserve">Support </w:t>
      </w:r>
    </w:p>
    <w:p w:rsidR="00D25F5B" w:rsidRPr="005E68B7" w:rsidRDefault="00550807" w:rsidP="00AB1A21">
      <w:pPr>
        <w:pStyle w:val="NoSpacing"/>
        <w:jc w:val="both"/>
        <w:rPr>
          <w:color w:val="002060"/>
        </w:rPr>
      </w:pPr>
      <w:r w:rsidRPr="005E68B7">
        <w:rPr>
          <w:color w:val="002060"/>
        </w:rPr>
        <w:t>The three options outlined above are not mutually exclusive. Their selection and/or combination as well as their s</w:t>
      </w:r>
      <w:r w:rsidR="00D25F5B" w:rsidRPr="005E68B7">
        <w:rPr>
          <w:color w:val="002060"/>
        </w:rPr>
        <w:t>pecific</w:t>
      </w:r>
      <w:r w:rsidRPr="005E68B7">
        <w:rPr>
          <w:color w:val="002060"/>
        </w:rPr>
        <w:t xml:space="preserve"> scope </w:t>
      </w:r>
      <w:r w:rsidR="00D25F5B" w:rsidRPr="005E68B7">
        <w:rPr>
          <w:color w:val="002060"/>
        </w:rPr>
        <w:t>may</w:t>
      </w:r>
      <w:r w:rsidRPr="005E68B7">
        <w:rPr>
          <w:color w:val="002060"/>
        </w:rPr>
        <w:t xml:space="preserve"> vary greatly depending on </w:t>
      </w:r>
      <w:r w:rsidR="00D25F5B" w:rsidRPr="005E68B7">
        <w:rPr>
          <w:color w:val="002060"/>
        </w:rPr>
        <w:t>the depth and extent of national political and policy commitment to local/territorial development and on the opportunities and priorities for external support revealed by a political economy analysis of decentralization reforms. Selectivity and flexibility will therefore remain key operational principles in designing any of the above forms of Budget Support in decentralized contexts.</w:t>
      </w:r>
    </w:p>
    <w:p w:rsidR="009334FD" w:rsidRDefault="009334FD" w:rsidP="00AB1A21">
      <w:pPr>
        <w:pStyle w:val="NoSpacing"/>
        <w:jc w:val="both"/>
      </w:pPr>
    </w:p>
    <w:p w:rsidR="00C94CB5" w:rsidRDefault="00CF2162" w:rsidP="00AB1A21">
      <w:pPr>
        <w:pStyle w:val="NoSpacing"/>
        <w:jc w:val="both"/>
      </w:pPr>
      <w:r w:rsidRPr="005E68B7">
        <w:rPr>
          <w:color w:val="002060"/>
        </w:rPr>
        <w:t>Given likely variations in national political and policy commitment to local/territorial development</w:t>
      </w:r>
      <w:r w:rsidR="00DC7464" w:rsidRPr="005E68B7">
        <w:rPr>
          <w:color w:val="002060"/>
        </w:rPr>
        <w:t>, it</w:t>
      </w:r>
      <w:r w:rsidRPr="005E68B7">
        <w:rPr>
          <w:color w:val="002060"/>
        </w:rPr>
        <w:t xml:space="preserve"> may also be necessary to complement the adoption of any of the above forms of Budget support in decentralized contexts with specific </w:t>
      </w:r>
      <w:r w:rsidR="009334FD" w:rsidRPr="005E68B7">
        <w:rPr>
          <w:color w:val="002060"/>
        </w:rPr>
        <w:t>p</w:t>
      </w:r>
      <w:r w:rsidRPr="005E68B7">
        <w:rPr>
          <w:color w:val="002060"/>
        </w:rPr>
        <w:t xml:space="preserve">rojects to support the “policy experimentation” that may be necessary before innovative national policies of support to local/territorial development may be </w:t>
      </w:r>
      <w:r w:rsidR="005E68B7">
        <w:rPr>
          <w:color w:val="002060"/>
        </w:rPr>
        <w:t>designed</w:t>
      </w:r>
      <w:r w:rsidRPr="005E68B7">
        <w:rPr>
          <w:color w:val="002060"/>
        </w:rPr>
        <w:t xml:space="preserve"> and supported.   </w:t>
      </w:r>
      <w:r w:rsidR="00756370" w:rsidRPr="005E68B7">
        <w:rPr>
          <w:color w:val="002060"/>
        </w:rPr>
        <w:t xml:space="preserve"> </w:t>
      </w:r>
      <w:r w:rsidR="00756370" w:rsidRPr="00AB1A21">
        <w:t xml:space="preserve">   </w:t>
      </w:r>
      <w:r w:rsidR="009246D4" w:rsidRPr="00AB1A21">
        <w:t xml:space="preserve"> </w:t>
      </w:r>
    </w:p>
    <w:p w:rsidR="00AB1A21" w:rsidRPr="00AB1A21" w:rsidRDefault="00AB1A21" w:rsidP="00AB1A21">
      <w:pPr>
        <w:pStyle w:val="NoSpacing"/>
        <w:jc w:val="both"/>
      </w:pPr>
    </w:p>
    <w:p w:rsidR="00315CF4" w:rsidRPr="009157FA" w:rsidRDefault="00315CF4" w:rsidP="00161880">
      <w:pPr>
        <w:rPr>
          <w:b/>
          <w:sz w:val="24"/>
        </w:rPr>
      </w:pPr>
      <w:r w:rsidRPr="00603FEB">
        <w:rPr>
          <w:b/>
          <w:color w:val="0070C0"/>
          <w:sz w:val="28"/>
        </w:rPr>
        <w:t xml:space="preserve">Relevance </w:t>
      </w:r>
      <w:r w:rsidR="00277BE8" w:rsidRPr="00603FEB">
        <w:rPr>
          <w:b/>
          <w:color w:val="0070C0"/>
          <w:sz w:val="28"/>
        </w:rPr>
        <w:t xml:space="preserve">and suitability </w:t>
      </w:r>
      <w:r w:rsidRPr="00603FEB">
        <w:rPr>
          <w:b/>
          <w:color w:val="0070C0"/>
          <w:sz w:val="28"/>
        </w:rPr>
        <w:t xml:space="preserve">of </w:t>
      </w:r>
      <w:r w:rsidR="009157FA" w:rsidRPr="00603FEB">
        <w:rPr>
          <w:b/>
          <w:color w:val="0070C0"/>
          <w:sz w:val="28"/>
        </w:rPr>
        <w:t>different types of Budget</w:t>
      </w:r>
      <w:r w:rsidRPr="00603FEB">
        <w:rPr>
          <w:b/>
          <w:color w:val="0070C0"/>
          <w:sz w:val="28"/>
        </w:rPr>
        <w:t xml:space="preserve"> Support</w:t>
      </w:r>
      <w:r w:rsidR="009157FA" w:rsidRPr="00603FEB">
        <w:rPr>
          <w:b/>
          <w:color w:val="0070C0"/>
          <w:sz w:val="28"/>
        </w:rPr>
        <w:t xml:space="preserve"> Contracts</w:t>
      </w:r>
      <w:r w:rsidRPr="009157FA">
        <w:rPr>
          <w:b/>
          <w:color w:val="0070C0"/>
          <w:sz w:val="28"/>
        </w:rPr>
        <w:t xml:space="preserve"> </w:t>
      </w:r>
    </w:p>
    <w:p w:rsidR="00763FE7" w:rsidRPr="005E68B7" w:rsidRDefault="009157FA" w:rsidP="0013061B">
      <w:pPr>
        <w:tabs>
          <w:tab w:val="left" w:pos="720"/>
          <w:tab w:val="right" w:leader="dot" w:pos="9016"/>
        </w:tabs>
        <w:suppressAutoHyphens/>
        <w:spacing w:after="0" w:line="240" w:lineRule="auto"/>
        <w:jc w:val="both"/>
        <w:rPr>
          <w:rFonts w:ascii="Times New Roman" w:eastAsia="Times New Roman" w:hAnsi="Times New Roman"/>
          <w:color w:val="002060"/>
          <w:sz w:val="24"/>
          <w:szCs w:val="24"/>
          <w:lang w:eastAsia="en-GB"/>
        </w:rPr>
      </w:pPr>
      <w:r w:rsidRPr="005E68B7">
        <w:rPr>
          <w:rFonts w:eastAsia="Times New Roman"/>
          <w:bCs/>
          <w:iCs/>
          <w:color w:val="002060"/>
          <w:lang w:eastAsia="en-GB"/>
        </w:rPr>
        <w:t xml:space="preserve">Different types of contracts may have distinct comparative advantages for </w:t>
      </w:r>
      <w:r w:rsidRPr="005E68B7">
        <w:rPr>
          <w:color w:val="002060"/>
        </w:rPr>
        <w:t xml:space="preserve">the provision of Budget Support in decentralizing contexts.  </w:t>
      </w:r>
    </w:p>
    <w:p w:rsidR="009157FA" w:rsidRPr="005E68B7" w:rsidRDefault="009157FA" w:rsidP="00A37DFB">
      <w:pPr>
        <w:spacing w:after="0" w:line="240" w:lineRule="auto"/>
        <w:ind w:left="42"/>
        <w:jc w:val="both"/>
        <w:rPr>
          <w:color w:val="002060"/>
        </w:rPr>
      </w:pPr>
    </w:p>
    <w:p w:rsidR="00CC12FC" w:rsidRPr="005E68B7" w:rsidRDefault="009157FA" w:rsidP="007B70FF">
      <w:pPr>
        <w:pStyle w:val="ListParagraph"/>
        <w:numPr>
          <w:ilvl w:val="0"/>
          <w:numId w:val="24"/>
        </w:numPr>
        <w:spacing w:after="0" w:line="240" w:lineRule="auto"/>
        <w:jc w:val="both"/>
        <w:rPr>
          <w:color w:val="002060"/>
        </w:rPr>
      </w:pPr>
      <w:r w:rsidRPr="005E68B7">
        <w:rPr>
          <w:i/>
          <w:color w:val="002060"/>
        </w:rPr>
        <w:t>Sector Reform Contracts (SRC</w:t>
      </w:r>
      <w:r w:rsidR="005E68B7" w:rsidRPr="005E68B7">
        <w:rPr>
          <w:i/>
          <w:color w:val="002060"/>
        </w:rPr>
        <w:t>)</w:t>
      </w:r>
      <w:r w:rsidR="005E68B7" w:rsidRPr="005E68B7">
        <w:rPr>
          <w:color w:val="002060"/>
        </w:rPr>
        <w:t xml:space="preserve"> </w:t>
      </w:r>
      <w:proofErr w:type="gramStart"/>
      <w:r w:rsidR="005E68B7" w:rsidRPr="005E68B7">
        <w:rPr>
          <w:color w:val="002060"/>
        </w:rPr>
        <w:t>are</w:t>
      </w:r>
      <w:proofErr w:type="gramEnd"/>
      <w:r w:rsidRPr="005E68B7">
        <w:rPr>
          <w:color w:val="002060"/>
        </w:rPr>
        <w:t xml:space="preserve"> broadly applicable to all three of the support options mentioned above. </w:t>
      </w:r>
      <w:r w:rsidR="00A92517" w:rsidRPr="005E68B7">
        <w:rPr>
          <w:color w:val="002060"/>
        </w:rPr>
        <w:t xml:space="preserve">They are likely to be the contracts of choice in most circumstances. In the formulation of SRC, policy dialogue </w:t>
      </w:r>
      <w:r w:rsidR="00DA7D4F">
        <w:rPr>
          <w:color w:val="002060"/>
        </w:rPr>
        <w:t>has to take into account both, central and subnational government levels, depending on the type of BS operation. M</w:t>
      </w:r>
      <w:r w:rsidR="00A92517" w:rsidRPr="005E68B7">
        <w:rPr>
          <w:color w:val="002060"/>
        </w:rPr>
        <w:t>eaningful participation of sub-national authorities</w:t>
      </w:r>
      <w:r w:rsidR="007E5753" w:rsidRPr="005E68B7">
        <w:rPr>
          <w:color w:val="002060"/>
        </w:rPr>
        <w:t xml:space="preserve"> would typically be operationalized by involving </w:t>
      </w:r>
      <w:r w:rsidR="00A92517" w:rsidRPr="005E68B7">
        <w:rPr>
          <w:color w:val="002060"/>
        </w:rPr>
        <w:t>the national associations</w:t>
      </w:r>
      <w:r w:rsidR="007E5753" w:rsidRPr="005E68B7">
        <w:rPr>
          <w:color w:val="002060"/>
        </w:rPr>
        <w:t xml:space="preserve"> of local authorities in the policy dialogue on BS operations. Scope and modalities of such involvement may differ depending </w:t>
      </w:r>
      <w:r w:rsidR="00A92517" w:rsidRPr="005E68B7">
        <w:rPr>
          <w:color w:val="002060"/>
        </w:rPr>
        <w:t xml:space="preserve">on the extent to which </w:t>
      </w:r>
      <w:r w:rsidR="007E5753" w:rsidRPr="005E68B7">
        <w:rPr>
          <w:color w:val="002060"/>
        </w:rPr>
        <w:t xml:space="preserve">local authorities are recognized as </w:t>
      </w:r>
      <w:r w:rsidR="00A92517" w:rsidRPr="005E68B7">
        <w:rPr>
          <w:i/>
          <w:color w:val="002060"/>
        </w:rPr>
        <w:t>autonomous</w:t>
      </w:r>
      <w:r w:rsidR="00A92517" w:rsidRPr="005E68B7">
        <w:rPr>
          <w:color w:val="002060"/>
        </w:rPr>
        <w:t xml:space="preserve"> partners of </w:t>
      </w:r>
      <w:r w:rsidR="007E5753" w:rsidRPr="005E68B7">
        <w:rPr>
          <w:color w:val="002060"/>
        </w:rPr>
        <w:t>state</w:t>
      </w:r>
      <w:r w:rsidR="00A92517" w:rsidRPr="005E68B7">
        <w:rPr>
          <w:color w:val="002060"/>
        </w:rPr>
        <w:t xml:space="preserve"> government</w:t>
      </w:r>
      <w:r w:rsidR="007E5753" w:rsidRPr="005E68B7">
        <w:rPr>
          <w:color w:val="002060"/>
        </w:rPr>
        <w:t>s</w:t>
      </w:r>
      <w:r w:rsidR="00A92517" w:rsidRPr="005E68B7">
        <w:rPr>
          <w:color w:val="002060"/>
        </w:rPr>
        <w:t>.</w:t>
      </w:r>
    </w:p>
    <w:p w:rsidR="009157FA" w:rsidRPr="005E68B7" w:rsidRDefault="009157FA" w:rsidP="007B70FF">
      <w:pPr>
        <w:spacing w:after="0" w:line="240" w:lineRule="auto"/>
        <w:ind w:left="42"/>
        <w:jc w:val="both"/>
        <w:rPr>
          <w:color w:val="002060"/>
        </w:rPr>
      </w:pPr>
    </w:p>
    <w:p w:rsidR="007E5753" w:rsidRDefault="007E5753" w:rsidP="00B3236C">
      <w:pPr>
        <w:pStyle w:val="NoSpacing"/>
        <w:ind w:left="360"/>
        <w:jc w:val="both"/>
        <w:rPr>
          <w:color w:val="002060"/>
        </w:rPr>
      </w:pPr>
      <w:r w:rsidRPr="005E68B7">
        <w:rPr>
          <w:color w:val="002060"/>
        </w:rPr>
        <w:lastRenderedPageBreak/>
        <w:t>Sector Reform Contracts (SRC) may help specific sectors in partner countries (with varying degrees of decentralization)</w:t>
      </w:r>
      <w:proofErr w:type="gramStart"/>
      <w:r w:rsidRPr="005E68B7">
        <w:rPr>
          <w:color w:val="002060"/>
        </w:rPr>
        <w:t>,</w:t>
      </w:r>
      <w:proofErr w:type="gramEnd"/>
      <w:r w:rsidRPr="005E68B7">
        <w:rPr>
          <w:color w:val="002060"/>
        </w:rPr>
        <w:t xml:space="preserve"> develop a more effective system of front-line service delivery, through a mix of de-concentration, delegation and devolution arrangements.</w:t>
      </w:r>
      <w:r w:rsidR="00435237">
        <w:rPr>
          <w:color w:val="002060"/>
        </w:rPr>
        <w:t xml:space="preserve"> </w:t>
      </w:r>
      <w:r w:rsidRPr="005E68B7">
        <w:rPr>
          <w:color w:val="002060"/>
        </w:rPr>
        <w:t xml:space="preserve">Also, </w:t>
      </w:r>
      <w:r w:rsidR="00A92517" w:rsidRPr="005E68B7">
        <w:rPr>
          <w:color w:val="002060"/>
        </w:rPr>
        <w:t xml:space="preserve">SRC may assist partner countries in developing their sub-national authorities system. They would fit the many cases where a LA system is already in place and is de facto assimilated to a “sector” of the national administration. The SRC allow for </w:t>
      </w:r>
      <w:r w:rsidR="000E6529" w:rsidRPr="005E68B7">
        <w:rPr>
          <w:color w:val="002060"/>
        </w:rPr>
        <w:t>a greater</w:t>
      </w:r>
      <w:r w:rsidR="00A92517" w:rsidRPr="005E68B7">
        <w:rPr>
          <w:color w:val="002060"/>
        </w:rPr>
        <w:t xml:space="preserve"> EU involvement in the operationalization of the relevant national policy and </w:t>
      </w:r>
      <w:r w:rsidR="000E6529" w:rsidRPr="005E68B7">
        <w:rPr>
          <w:color w:val="002060"/>
        </w:rPr>
        <w:t>a deeper policy dialogue</w:t>
      </w:r>
      <w:r w:rsidR="00A92517" w:rsidRPr="005E68B7">
        <w:rPr>
          <w:color w:val="002060"/>
        </w:rPr>
        <w:t xml:space="preserve">.  </w:t>
      </w:r>
      <w:r w:rsidRPr="005E68B7">
        <w:rPr>
          <w:color w:val="002060"/>
        </w:rPr>
        <w:t xml:space="preserve">Finally, SRC might also be used to support the implementation of territorial development policies of selected local authorities. </w:t>
      </w:r>
      <w:r w:rsidR="00435237">
        <w:rPr>
          <w:color w:val="002060"/>
        </w:rPr>
        <w:t xml:space="preserve">Policy dialogue on </w:t>
      </w:r>
      <w:r w:rsidRPr="005E68B7">
        <w:rPr>
          <w:color w:val="002060"/>
        </w:rPr>
        <w:t xml:space="preserve">territorial development policies as well as scope and modalities for financial transfers, performance assessment and capacity </w:t>
      </w:r>
      <w:proofErr w:type="gramStart"/>
      <w:r w:rsidRPr="005E68B7">
        <w:rPr>
          <w:color w:val="002060"/>
        </w:rPr>
        <w:t>development,</w:t>
      </w:r>
      <w:proofErr w:type="gramEnd"/>
      <w:r w:rsidRPr="005E68B7">
        <w:rPr>
          <w:color w:val="002060"/>
        </w:rPr>
        <w:t xml:space="preserve"> will need to be discussed and agreed primarily with the beneficiary local authorities, </w:t>
      </w:r>
      <w:r w:rsidR="00435237">
        <w:rPr>
          <w:color w:val="002060"/>
        </w:rPr>
        <w:t xml:space="preserve">jointly with </w:t>
      </w:r>
      <w:r w:rsidRPr="005E68B7">
        <w:rPr>
          <w:color w:val="002060"/>
        </w:rPr>
        <w:t xml:space="preserve">core ministries/agencies </w:t>
      </w:r>
      <w:r w:rsidR="00435237">
        <w:rPr>
          <w:color w:val="002060"/>
        </w:rPr>
        <w:t xml:space="preserve">of central government. </w:t>
      </w:r>
    </w:p>
    <w:p w:rsidR="00083ED5" w:rsidRDefault="00083ED5" w:rsidP="00B3236C">
      <w:pPr>
        <w:pStyle w:val="NoSpacing"/>
        <w:ind w:left="360"/>
        <w:jc w:val="both"/>
        <w:rPr>
          <w:color w:val="002060"/>
        </w:rPr>
      </w:pPr>
    </w:p>
    <w:p w:rsidR="00083ED5" w:rsidRPr="005E68B7" w:rsidRDefault="00083ED5" w:rsidP="00083ED5">
      <w:pPr>
        <w:pStyle w:val="NoSpacing"/>
        <w:ind w:left="360"/>
        <w:jc w:val="both"/>
        <w:rPr>
          <w:color w:val="002060"/>
        </w:rPr>
      </w:pPr>
      <w:r w:rsidRPr="00083ED5">
        <w:rPr>
          <w:color w:val="002060"/>
        </w:rPr>
        <w:t>When providing</w:t>
      </w:r>
      <w:r>
        <w:rPr>
          <w:color w:val="002060"/>
        </w:rPr>
        <w:t xml:space="preserve"> </w:t>
      </w:r>
      <w:r w:rsidRPr="00083ED5">
        <w:rPr>
          <w:color w:val="002060"/>
        </w:rPr>
        <w:t>SRC, emphasis should be on the equitable access to and quality of public service delivery, particularl</w:t>
      </w:r>
      <w:r w:rsidR="00EE26AE">
        <w:rPr>
          <w:color w:val="002060"/>
        </w:rPr>
        <w:t>y for</w:t>
      </w:r>
      <w:r w:rsidRPr="00083ED5">
        <w:rPr>
          <w:color w:val="002060"/>
        </w:rPr>
        <w:t xml:space="preserve"> the </w:t>
      </w:r>
      <w:r w:rsidR="00926D59">
        <w:rPr>
          <w:color w:val="002060"/>
        </w:rPr>
        <w:t xml:space="preserve">poor, promotion of gender equality and rights of children and of </w:t>
      </w:r>
      <w:r w:rsidR="00424FBF">
        <w:rPr>
          <w:color w:val="002060"/>
        </w:rPr>
        <w:t>the</w:t>
      </w:r>
      <w:r w:rsidR="00EB437C">
        <w:rPr>
          <w:color w:val="002060"/>
        </w:rPr>
        <w:t xml:space="preserve"> </w:t>
      </w:r>
      <w:proofErr w:type="gramStart"/>
      <w:r w:rsidR="00EE26AE">
        <w:rPr>
          <w:color w:val="002060"/>
        </w:rPr>
        <w:t xml:space="preserve">marginalized </w:t>
      </w:r>
      <w:r w:rsidR="00926D59">
        <w:rPr>
          <w:color w:val="002060"/>
        </w:rPr>
        <w:t xml:space="preserve"> </w:t>
      </w:r>
      <w:r w:rsidRPr="00083ED5">
        <w:rPr>
          <w:color w:val="002060"/>
        </w:rPr>
        <w:t>and</w:t>
      </w:r>
      <w:proofErr w:type="gramEnd"/>
      <w:r w:rsidRPr="00083ED5">
        <w:rPr>
          <w:color w:val="002060"/>
        </w:rPr>
        <w:t xml:space="preserve"> </w:t>
      </w:r>
      <w:r w:rsidR="00424FBF">
        <w:rPr>
          <w:color w:val="002060"/>
        </w:rPr>
        <w:t xml:space="preserve">on </w:t>
      </w:r>
      <w:r w:rsidRPr="00083ED5">
        <w:rPr>
          <w:color w:val="002060"/>
        </w:rPr>
        <w:t>creating conditions at sector level for inclusive and sustainable growth.</w:t>
      </w:r>
    </w:p>
    <w:p w:rsidR="00B3236C" w:rsidRPr="005E68B7" w:rsidRDefault="00B3236C" w:rsidP="009157FA">
      <w:pPr>
        <w:spacing w:after="0" w:line="240" w:lineRule="auto"/>
        <w:ind w:left="42"/>
        <w:jc w:val="both"/>
        <w:rPr>
          <w:b/>
          <w:color w:val="002060"/>
          <w:szCs w:val="20"/>
        </w:rPr>
      </w:pPr>
    </w:p>
    <w:p w:rsidR="009157FA" w:rsidRPr="005E68B7" w:rsidRDefault="009157FA" w:rsidP="007B70FF">
      <w:pPr>
        <w:pStyle w:val="ListParagraph"/>
        <w:numPr>
          <w:ilvl w:val="0"/>
          <w:numId w:val="24"/>
        </w:numPr>
        <w:spacing w:after="0" w:line="240" w:lineRule="auto"/>
        <w:jc w:val="both"/>
        <w:rPr>
          <w:color w:val="002060"/>
        </w:rPr>
      </w:pPr>
      <w:r w:rsidRPr="005E68B7">
        <w:rPr>
          <w:i/>
          <w:color w:val="002060"/>
        </w:rPr>
        <w:t>Good Governance and Development Contracts (GGDC)</w:t>
      </w:r>
      <w:r w:rsidRPr="005E68B7">
        <w:rPr>
          <w:color w:val="002060"/>
        </w:rPr>
        <w:t xml:space="preserve"> particularly fit situations where partner countries need help to embark in a process of substantial changes in their sub-national governance and public administration system. GGDC can help designing decentralization reforms and establishing the policy, legal and regulatory framework within which local authorities operate. It supports improvements in sub-national Public Finance Management (PFM) and oversight as well as appropriate mechanisms for State support and supervision to Local Authorities. To the extent that it also seeks to empower sub-national administrations with financial resources it supports unconditional transfers and other LA fiscal empowerment measures to finance their “general mandate” for the welfare of their communities, rather than specific services delivery responsibilities. </w:t>
      </w:r>
    </w:p>
    <w:p w:rsidR="0080712F" w:rsidRDefault="007B3DDF" w:rsidP="00C152B5">
      <w:pPr>
        <w:spacing w:after="0" w:line="240" w:lineRule="auto"/>
        <w:ind w:left="360"/>
        <w:jc w:val="both"/>
        <w:rPr>
          <w:i/>
          <w:color w:val="002060"/>
        </w:rPr>
      </w:pPr>
      <w:r>
        <w:rPr>
          <w:color w:val="002060"/>
        </w:rPr>
        <w:t>T</w:t>
      </w:r>
      <w:r w:rsidR="009157FA" w:rsidRPr="005E68B7">
        <w:rPr>
          <w:color w:val="002060"/>
        </w:rPr>
        <w:t>he objective of GGDCs being to strengthen core government systems and supporting broader reforms, they typically cover several policy areas. For more in-depth policy dialogue and conditionality on local authorities reform or specific sector service delivery a GGDC may usefully be complemented by a specific SRC operation.</w:t>
      </w:r>
    </w:p>
    <w:p w:rsidR="0080712F" w:rsidRDefault="0080712F" w:rsidP="00C152B5">
      <w:pPr>
        <w:spacing w:after="0" w:line="240" w:lineRule="auto"/>
        <w:ind w:left="360"/>
        <w:jc w:val="both"/>
        <w:rPr>
          <w:i/>
          <w:color w:val="002060"/>
        </w:rPr>
      </w:pPr>
    </w:p>
    <w:p w:rsidR="009157FA" w:rsidRPr="0080712F" w:rsidRDefault="009157FA" w:rsidP="007B70FF">
      <w:pPr>
        <w:numPr>
          <w:ilvl w:val="0"/>
          <w:numId w:val="24"/>
        </w:numPr>
        <w:spacing w:after="0" w:line="240" w:lineRule="auto"/>
        <w:ind w:left="0"/>
        <w:jc w:val="both"/>
        <w:rPr>
          <w:color w:val="002060"/>
        </w:rPr>
      </w:pPr>
      <w:r w:rsidRPr="0080712F">
        <w:rPr>
          <w:i/>
          <w:color w:val="002060"/>
        </w:rPr>
        <w:t>State Building Contracts (SBC)</w:t>
      </w:r>
      <w:r w:rsidRPr="0080712F">
        <w:rPr>
          <w:color w:val="002060"/>
        </w:rPr>
        <w:t xml:space="preserve"> </w:t>
      </w:r>
      <w:proofErr w:type="gramStart"/>
      <w:r w:rsidRPr="0080712F">
        <w:rPr>
          <w:color w:val="002060"/>
        </w:rPr>
        <w:t>are</w:t>
      </w:r>
      <w:proofErr w:type="gramEnd"/>
      <w:r w:rsidRPr="0080712F">
        <w:rPr>
          <w:color w:val="002060"/>
        </w:rPr>
        <w:t xml:space="preserve"> primarily </w:t>
      </w:r>
      <w:r w:rsidR="005D4B38" w:rsidRPr="0080712F">
        <w:rPr>
          <w:color w:val="002060"/>
        </w:rPr>
        <w:t xml:space="preserve">relevant </w:t>
      </w:r>
      <w:r w:rsidRPr="0080712F">
        <w:rPr>
          <w:color w:val="002060"/>
        </w:rPr>
        <w:t>to ensure continued public service delivery to final beneficiaries in a post-conflict</w:t>
      </w:r>
      <w:r w:rsidR="00A6211D">
        <w:rPr>
          <w:color w:val="002060"/>
        </w:rPr>
        <w:t>, fragile</w:t>
      </w:r>
      <w:r w:rsidRPr="0080712F">
        <w:rPr>
          <w:color w:val="002060"/>
        </w:rPr>
        <w:t xml:space="preserve"> or transition situation and to stabilize the regional security environment. </w:t>
      </w:r>
      <w:r w:rsidR="00B3236C" w:rsidRPr="0080712F">
        <w:rPr>
          <w:color w:val="002060"/>
        </w:rPr>
        <w:t xml:space="preserve"> </w:t>
      </w:r>
      <w:r w:rsidR="005D4B38" w:rsidRPr="0080712F">
        <w:rPr>
          <w:color w:val="002060"/>
        </w:rPr>
        <w:t xml:space="preserve">SBC have a short term perspective of </w:t>
      </w:r>
      <w:r w:rsidR="00F33940" w:rsidRPr="0080712F">
        <w:rPr>
          <w:color w:val="002060"/>
        </w:rPr>
        <w:t xml:space="preserve">usually </w:t>
      </w:r>
      <w:r w:rsidR="005D4B38" w:rsidRPr="0080712F">
        <w:rPr>
          <w:color w:val="002060"/>
        </w:rPr>
        <w:t>1-2 years duration</w:t>
      </w:r>
      <w:r w:rsidR="00F33940" w:rsidRPr="0080712F">
        <w:rPr>
          <w:color w:val="002060"/>
        </w:rPr>
        <w:t xml:space="preserve">. </w:t>
      </w:r>
      <w:r w:rsidR="00C66A8D" w:rsidRPr="0080712F">
        <w:rPr>
          <w:color w:val="002060"/>
        </w:rPr>
        <w:t>Caution, however, needs to be appli</w:t>
      </w:r>
      <w:r w:rsidR="00C66A8D" w:rsidRPr="00E5649F">
        <w:rPr>
          <w:color w:val="002060"/>
        </w:rPr>
        <w:t xml:space="preserve">ed with respect to the extent and depth of decentralization reforms that SBC could support, because the political and administrative complexity of the reforms may overstretch the capacities and limited timeframe of governments in fragile and transition situations. </w:t>
      </w:r>
      <w:r w:rsidR="00B3236C" w:rsidRPr="0080712F">
        <w:rPr>
          <w:color w:val="002060"/>
        </w:rPr>
        <w:t xml:space="preserve">However </w:t>
      </w:r>
      <w:r w:rsidR="00C66A8D" w:rsidRPr="0080712F">
        <w:rPr>
          <w:color w:val="002060"/>
        </w:rPr>
        <w:t xml:space="preserve">in some cases of structural fragility </w:t>
      </w:r>
      <w:r w:rsidR="00E1301D">
        <w:t xml:space="preserve">and </w:t>
      </w:r>
      <w:r w:rsidR="00E1301D" w:rsidRPr="00946F27">
        <w:t xml:space="preserve">a </w:t>
      </w:r>
      <w:r w:rsidR="00E1301D">
        <w:t xml:space="preserve">pre-existing institutional basis at subnational level </w:t>
      </w:r>
      <w:r w:rsidR="00B3236C" w:rsidRPr="0080712F">
        <w:rPr>
          <w:color w:val="002060"/>
        </w:rPr>
        <w:t xml:space="preserve">they could also support improved local governance and local development, </w:t>
      </w:r>
      <w:r w:rsidR="0013404E" w:rsidRPr="0080712F">
        <w:rPr>
          <w:color w:val="002060"/>
        </w:rPr>
        <w:t xml:space="preserve">where </w:t>
      </w:r>
      <w:r w:rsidR="00B3236C" w:rsidRPr="0080712F">
        <w:rPr>
          <w:color w:val="002060"/>
        </w:rPr>
        <w:t xml:space="preserve">the empowerment of sub-national authorities may actually </w:t>
      </w:r>
      <w:r w:rsidR="0013404E" w:rsidRPr="0080712F">
        <w:rPr>
          <w:color w:val="002060"/>
        </w:rPr>
        <w:t xml:space="preserve">contribute </w:t>
      </w:r>
      <w:r w:rsidR="00B3236C" w:rsidRPr="0080712F">
        <w:rPr>
          <w:color w:val="002060"/>
        </w:rPr>
        <w:t>to extend</w:t>
      </w:r>
      <w:r w:rsidR="0013404E" w:rsidRPr="0080712F">
        <w:rPr>
          <w:color w:val="002060"/>
        </w:rPr>
        <w:t>ing</w:t>
      </w:r>
      <w:r w:rsidR="00B3236C" w:rsidRPr="0080712F">
        <w:rPr>
          <w:color w:val="002060"/>
        </w:rPr>
        <w:t xml:space="preserve"> the presence of the State</w:t>
      </w:r>
      <w:r w:rsidR="0013404E" w:rsidRPr="0080712F">
        <w:rPr>
          <w:color w:val="002060"/>
        </w:rPr>
        <w:t xml:space="preserve"> in the regions</w:t>
      </w:r>
      <w:r w:rsidR="00B3236C" w:rsidRPr="0080712F">
        <w:rPr>
          <w:color w:val="002060"/>
        </w:rPr>
        <w:t xml:space="preserve"> and help building the State “from below”. </w:t>
      </w:r>
    </w:p>
    <w:p w:rsidR="009157FA" w:rsidRDefault="009157FA" w:rsidP="00E5649F"/>
    <w:p w:rsidR="001662BD" w:rsidRDefault="00D153CD" w:rsidP="00E5649F">
      <w:r w:rsidRPr="00DB549F">
        <w:rPr>
          <w:noProof/>
          <w:lang w:val="en-GB" w:eastAsia="en-GB"/>
        </w:rPr>
        <mc:AlternateContent>
          <mc:Choice Requires="wps">
            <w:drawing>
              <wp:anchor distT="0" distB="0" distL="114300" distR="114300" simplePos="0" relativeHeight="251659264" behindDoc="0" locked="0" layoutInCell="1" allowOverlap="1" wp14:anchorId="7B6D2CA3" wp14:editId="26566393">
                <wp:simplePos x="0" y="0"/>
                <wp:positionH relativeFrom="column">
                  <wp:posOffset>7620</wp:posOffset>
                </wp:positionH>
                <wp:positionV relativeFrom="paragraph">
                  <wp:posOffset>-196215</wp:posOffset>
                </wp:positionV>
                <wp:extent cx="6309360" cy="3284220"/>
                <wp:effectExtent l="0" t="0" r="1524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3284220"/>
                        </a:xfrm>
                        <a:prstGeom prst="rect">
                          <a:avLst/>
                        </a:prstGeom>
                        <a:solidFill>
                          <a:srgbClr val="FFFFFF"/>
                        </a:solidFill>
                        <a:ln w="9525">
                          <a:solidFill>
                            <a:srgbClr val="000000"/>
                          </a:solidFill>
                          <a:miter lim="800000"/>
                          <a:headEnd/>
                          <a:tailEnd/>
                        </a:ln>
                      </wps:spPr>
                      <wps:txbx>
                        <w:txbxContent>
                          <w:p w:rsidR="009C3FB9" w:rsidRPr="007B70FF" w:rsidRDefault="009C3FB9" w:rsidP="007B70FF">
                            <w:pPr>
                              <w:shd w:val="clear" w:color="auto" w:fill="EEECE1" w:themeFill="background2"/>
                              <w:rPr>
                                <w:rFonts w:eastAsia="Times New Roman" w:cs="Times New Roman"/>
                                <w:b/>
                                <w:color w:val="002060"/>
                                <w:lang w:val="en-GB" w:eastAsia="en-GB"/>
                              </w:rPr>
                            </w:pPr>
                            <w:r w:rsidRPr="007B70FF">
                              <w:rPr>
                                <w:rFonts w:eastAsia="Times New Roman" w:cs="Times New Roman"/>
                                <w:b/>
                                <w:color w:val="002060"/>
                                <w:lang w:val="en-GB" w:eastAsia="en-GB"/>
                              </w:rPr>
                              <w:t>Box 1: Mali: State building in a decentralized context</w:t>
                            </w:r>
                          </w:p>
                          <w:p w:rsidR="009C3FB9" w:rsidRPr="007B70FF" w:rsidRDefault="009C3FB9" w:rsidP="007B70FF">
                            <w:pPr>
                              <w:shd w:val="clear" w:color="auto" w:fill="EEECE1" w:themeFill="background2"/>
                              <w:spacing w:after="0" w:line="240" w:lineRule="auto"/>
                              <w:jc w:val="both"/>
                              <w:rPr>
                                <w:rFonts w:eastAsia="Times New Roman" w:cs="Times New Roman"/>
                                <w:color w:val="002060"/>
                                <w:lang w:val="en-GB" w:eastAsia="en-GB"/>
                              </w:rPr>
                            </w:pPr>
                            <w:r w:rsidRPr="007B70FF">
                              <w:rPr>
                                <w:rFonts w:eastAsia="Times New Roman" w:cs="Times New Roman"/>
                                <w:color w:val="002060"/>
                                <w:lang w:val="en-GB" w:eastAsia="en-GB"/>
                              </w:rPr>
                              <w:t xml:space="preserve">Following the end of the 2012 political crisis in Mali the EU financed from early 2013 a state building contract (SBC) of €225 million in order to support the implementation of the Transition roadmap, to strengthen good governance and to ensure the provision of essential public services. The programme could build on </w:t>
                            </w:r>
                            <w:r w:rsidRPr="007B70FF">
                              <w:rPr>
                                <w:rFonts w:eastAsia="Times New Roman"/>
                                <w:color w:val="002060"/>
                              </w:rPr>
                              <w:t>earlier</w:t>
                            </w:r>
                            <w:r w:rsidRPr="007B70FF">
                              <w:rPr>
                                <w:rFonts w:eastAsia="Times New Roman" w:cs="Times New Roman"/>
                                <w:color w:val="002060"/>
                                <w:lang w:val="en-GB" w:eastAsia="en-GB"/>
                              </w:rPr>
                              <w:t xml:space="preserve"> decentralisation reforms carried out in the years before the crisis that had put in place a legal and institutional framework and had transferred certain competences to local government institutions (regions and municipalities). </w:t>
                            </w:r>
                          </w:p>
                          <w:p w:rsidR="009C3FB9" w:rsidRPr="007B70FF" w:rsidRDefault="009C3FB9" w:rsidP="007B70FF">
                            <w:pPr>
                              <w:shd w:val="clear" w:color="auto" w:fill="EEECE1" w:themeFill="background2"/>
                              <w:spacing w:after="0" w:line="240" w:lineRule="auto"/>
                              <w:jc w:val="both"/>
                              <w:rPr>
                                <w:rFonts w:eastAsia="Times New Roman" w:cs="Times New Roman"/>
                                <w:color w:val="002060"/>
                                <w:lang w:val="en-GB" w:eastAsia="en-GB"/>
                              </w:rPr>
                            </w:pPr>
                          </w:p>
                          <w:p w:rsidR="009C3FB9" w:rsidRPr="007B70FF" w:rsidRDefault="009C3FB9" w:rsidP="007B70FF">
                            <w:pPr>
                              <w:shd w:val="clear" w:color="auto" w:fill="EEECE1" w:themeFill="background2"/>
                              <w:spacing w:after="0" w:line="240" w:lineRule="auto"/>
                              <w:jc w:val="both"/>
                              <w:rPr>
                                <w:rFonts w:eastAsia="Times New Roman"/>
                                <w:color w:val="002060"/>
                              </w:rPr>
                            </w:pPr>
                            <w:r w:rsidRPr="007B70FF">
                              <w:rPr>
                                <w:rFonts w:eastAsia="Times New Roman" w:cs="Times New Roman"/>
                                <w:color w:val="002060"/>
                                <w:lang w:val="en-GB" w:eastAsia="en-GB"/>
                              </w:rPr>
                              <w:t>The redeployment of local administration in the previously occupied territories of the North constituted a short term priority in order to stabilize the region and allow for a return of displaced populations. The SBC made it possible for the government to allocate substantial additional resources to the National Support Fund for Local Government (FNACT)</w:t>
                            </w:r>
                            <w:r w:rsidRPr="007B70FF">
                              <w:rPr>
                                <w:rFonts w:eastAsia="Times New Roman"/>
                                <w:color w:val="002060"/>
                              </w:rPr>
                              <w:t xml:space="preserve"> which increased</w:t>
                            </w:r>
                            <w:r w:rsidRPr="007B70FF">
                              <w:rPr>
                                <w:rFonts w:eastAsia="Times New Roman" w:cs="Times New Roman"/>
                                <w:color w:val="002060"/>
                                <w:lang w:val="en-GB" w:eastAsia="en-GB"/>
                              </w:rPr>
                              <w:t xml:space="preserve"> from initially FCFA 2.5 billion to 10 billion (2013) and 14 billion (2014). The funds from FNACT allowed local governments to resume their activities and restart essential service provision to the local population. In parallel, the SBC supported the redeployment of </w:t>
                            </w:r>
                            <w:proofErr w:type="spellStart"/>
                            <w:r w:rsidRPr="007B70FF">
                              <w:rPr>
                                <w:rFonts w:eastAsia="Times New Roman" w:cs="Times New Roman"/>
                                <w:color w:val="002060"/>
                                <w:lang w:val="en-GB" w:eastAsia="en-GB"/>
                              </w:rPr>
                              <w:t>deconcentrated</w:t>
                            </w:r>
                            <w:proofErr w:type="spellEnd"/>
                            <w:r w:rsidRPr="007B70FF">
                              <w:rPr>
                                <w:rFonts w:eastAsia="Times New Roman" w:cs="Times New Roman"/>
                                <w:color w:val="002060"/>
                                <w:lang w:val="en-GB" w:eastAsia="en-GB"/>
                              </w:rPr>
                              <w:t xml:space="preserve"> central government services in the Northern regions in particular in the areas of justice administration, water supply, </w:t>
                            </w:r>
                            <w:proofErr w:type="gramStart"/>
                            <w:r w:rsidRPr="007B70FF">
                              <w:rPr>
                                <w:rFonts w:eastAsia="Times New Roman" w:cs="Times New Roman"/>
                                <w:color w:val="002060"/>
                                <w:lang w:val="en-GB" w:eastAsia="en-GB"/>
                              </w:rPr>
                              <w:t>health</w:t>
                            </w:r>
                            <w:proofErr w:type="gramEnd"/>
                            <w:r w:rsidRPr="007B70FF">
                              <w:rPr>
                                <w:rFonts w:eastAsia="Times New Roman" w:cs="Times New Roman"/>
                                <w:color w:val="002060"/>
                                <w:lang w:val="en-GB" w:eastAsia="en-GB"/>
                              </w:rPr>
                              <w:t xml:space="preserve"> and food security. In addition, local private SMEs were involved in a road maintenance programme that allowed for the creation of around 6.000 temporary employment opportunities for the population in the North.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pt;margin-top:-15.45pt;width:496.8pt;height:25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">
                <v:textbox>
                  <w:txbxContent>
                    <w:p w:rsidR="009C3FB9" w:rsidRPr="007B70FF" w:rsidRDefault="009C3FB9" w:rsidP="007B70FF">
                      <w:pPr>
                        <w:shd w:val="clear" w:color="auto" w:fill="EEECE1" w:themeFill="background2"/>
                        <w:rPr>
                          <w:rFonts w:eastAsia="Times New Roman" w:cs="Times New Roman"/>
                          <w:b/>
                          <w:color w:val="002060"/>
                          <w:lang w:val="en-GB" w:eastAsia="en-GB"/>
                        </w:rPr>
                      </w:pPr>
                      <w:r w:rsidRPr="007B70FF">
                        <w:rPr>
                          <w:rFonts w:eastAsia="Times New Roman" w:cs="Times New Roman"/>
                          <w:b/>
                          <w:color w:val="002060"/>
                          <w:lang w:val="en-GB" w:eastAsia="en-GB"/>
                        </w:rPr>
                        <w:t>Box 1: Mali: State building in a decentralized context</w:t>
                      </w:r>
                    </w:p>
                    <w:p w:rsidR="009C3FB9" w:rsidRPr="007B70FF" w:rsidRDefault="009C3FB9" w:rsidP="007B70FF">
                      <w:pPr>
                        <w:shd w:val="clear" w:color="auto" w:fill="EEECE1" w:themeFill="background2"/>
                        <w:spacing w:after="0" w:line="240" w:lineRule="auto"/>
                        <w:jc w:val="both"/>
                        <w:rPr>
                          <w:rFonts w:eastAsia="Times New Roman" w:cs="Times New Roman"/>
                          <w:color w:val="002060"/>
                          <w:lang w:val="en-GB" w:eastAsia="en-GB"/>
                        </w:rPr>
                      </w:pPr>
                      <w:r w:rsidRPr="007B70FF">
                        <w:rPr>
                          <w:rFonts w:eastAsia="Times New Roman" w:cs="Times New Roman"/>
                          <w:color w:val="002060"/>
                          <w:lang w:val="en-GB" w:eastAsia="en-GB"/>
                        </w:rPr>
                        <w:t xml:space="preserve">Following the end of the 2012 political crisis in Mali the EU financed from early 2013 a state building contract (SBC) of €225 million in order to support the implementation of the Transition roadmap, to strengthen good governance and to ensure the provision of essential public services. The programme could build on </w:t>
                      </w:r>
                      <w:r w:rsidRPr="007B70FF">
                        <w:rPr>
                          <w:rFonts w:eastAsia="Times New Roman"/>
                          <w:color w:val="002060"/>
                        </w:rPr>
                        <w:t>earlier</w:t>
                      </w:r>
                      <w:r w:rsidRPr="007B70FF">
                        <w:rPr>
                          <w:rFonts w:eastAsia="Times New Roman" w:cs="Times New Roman"/>
                          <w:color w:val="002060"/>
                          <w:lang w:val="en-GB" w:eastAsia="en-GB"/>
                        </w:rPr>
                        <w:t xml:space="preserve"> decentralisation reforms carried out in the years before the crisis that had put in place a legal and institutional framework and had transferred certain competences to local government institutions (regions and municipalities). </w:t>
                      </w:r>
                    </w:p>
                    <w:p w:rsidR="009C3FB9" w:rsidRPr="007B70FF" w:rsidRDefault="009C3FB9" w:rsidP="007B70FF">
                      <w:pPr>
                        <w:shd w:val="clear" w:color="auto" w:fill="EEECE1" w:themeFill="background2"/>
                        <w:spacing w:after="0" w:line="240" w:lineRule="auto"/>
                        <w:jc w:val="both"/>
                        <w:rPr>
                          <w:rFonts w:eastAsia="Times New Roman" w:cs="Times New Roman"/>
                          <w:color w:val="002060"/>
                          <w:lang w:val="en-GB" w:eastAsia="en-GB"/>
                        </w:rPr>
                      </w:pPr>
                    </w:p>
                    <w:p w:rsidR="009C3FB9" w:rsidRPr="007B70FF" w:rsidRDefault="009C3FB9" w:rsidP="007B70FF">
                      <w:pPr>
                        <w:shd w:val="clear" w:color="auto" w:fill="EEECE1" w:themeFill="background2"/>
                        <w:spacing w:after="0" w:line="240" w:lineRule="auto"/>
                        <w:jc w:val="both"/>
                        <w:rPr>
                          <w:rFonts w:eastAsia="Times New Roman"/>
                          <w:color w:val="002060"/>
                        </w:rPr>
                      </w:pPr>
                      <w:r w:rsidRPr="007B70FF">
                        <w:rPr>
                          <w:rFonts w:eastAsia="Times New Roman" w:cs="Times New Roman"/>
                          <w:color w:val="002060"/>
                          <w:lang w:val="en-GB" w:eastAsia="en-GB"/>
                        </w:rPr>
                        <w:t>The redeployment of local administration in the previously occupied territories of the North constituted a short term priority in order to stabilize the region and allow for a return of displaced populations. The SBC made it possible for the government to allocate substantial additional resources to the National Support Fund for Local Government (FNACT)</w:t>
                      </w:r>
                      <w:r w:rsidRPr="007B70FF">
                        <w:rPr>
                          <w:rFonts w:eastAsia="Times New Roman"/>
                          <w:color w:val="002060"/>
                        </w:rPr>
                        <w:t xml:space="preserve"> which increased</w:t>
                      </w:r>
                      <w:r w:rsidRPr="007B70FF">
                        <w:rPr>
                          <w:rFonts w:eastAsia="Times New Roman" w:cs="Times New Roman"/>
                          <w:color w:val="002060"/>
                          <w:lang w:val="en-GB" w:eastAsia="en-GB"/>
                        </w:rPr>
                        <w:t xml:space="preserve"> from initially FCFA 2.5 billion to 10 billion (2013) and 14 billion (2014). The funds from FNACT allowed local governments to resume their activities and restart essential service provision to the local population. In parallel, the SBC supported the redeployment of deconcentrated central government services in the Northern regions in particular in the areas of justice administration, water supply, health and food security. In addition, local private SMEs were involved in a road maintenance programme that allowed for the creation of around 6.000 temporary employment opportunities for the population in the North. </w:t>
                      </w:r>
                    </w:p>
                  </w:txbxContent>
                </v:textbox>
              </v:shape>
            </w:pict>
          </mc:Fallback>
        </mc:AlternateContent>
      </w:r>
    </w:p>
    <w:p w:rsidR="001662BD" w:rsidRDefault="001662BD" w:rsidP="00E5649F"/>
    <w:p w:rsidR="001662BD" w:rsidRDefault="001662BD" w:rsidP="00E5649F"/>
    <w:p w:rsidR="001662BD" w:rsidRDefault="001662BD" w:rsidP="00E5649F"/>
    <w:p w:rsidR="001662BD" w:rsidRDefault="001662BD" w:rsidP="00E5649F"/>
    <w:p w:rsidR="001662BD" w:rsidRDefault="001662BD" w:rsidP="00E5649F"/>
    <w:p w:rsidR="001662BD" w:rsidRDefault="001662BD" w:rsidP="00E5649F"/>
    <w:p w:rsidR="0060024D" w:rsidRPr="00F85FD2" w:rsidRDefault="0060024D" w:rsidP="0060024D">
      <w:pPr>
        <w:pStyle w:val="Heading1"/>
        <w:rPr>
          <w:rFonts w:asciiTheme="minorHAnsi" w:hAnsiTheme="minorHAnsi"/>
          <w:b/>
          <w:color w:val="0070C0"/>
        </w:rPr>
      </w:pPr>
      <w:r>
        <w:rPr>
          <w:rFonts w:asciiTheme="minorHAnsi" w:hAnsiTheme="minorHAnsi"/>
          <w:b/>
          <w:color w:val="0070C0"/>
        </w:rPr>
        <w:t>Chapter</w:t>
      </w:r>
      <w:r w:rsidRPr="00F85FD2">
        <w:rPr>
          <w:rFonts w:asciiTheme="minorHAnsi" w:hAnsiTheme="minorHAnsi"/>
          <w:b/>
          <w:color w:val="0070C0"/>
        </w:rPr>
        <w:t xml:space="preserve"> </w:t>
      </w:r>
      <w:r>
        <w:rPr>
          <w:rFonts w:asciiTheme="minorHAnsi" w:hAnsiTheme="minorHAnsi"/>
          <w:b/>
          <w:color w:val="0070C0"/>
        </w:rPr>
        <w:t>3</w:t>
      </w:r>
      <w:r w:rsidRPr="00F85FD2">
        <w:rPr>
          <w:rFonts w:asciiTheme="minorHAnsi" w:hAnsiTheme="minorHAnsi"/>
          <w:b/>
          <w:color w:val="0070C0"/>
        </w:rPr>
        <w:t xml:space="preserve">: </w:t>
      </w:r>
      <w:r w:rsidR="00B73520">
        <w:rPr>
          <w:rFonts w:asciiTheme="minorHAnsi" w:hAnsiTheme="minorHAnsi"/>
          <w:b/>
          <w:color w:val="0070C0"/>
        </w:rPr>
        <w:t xml:space="preserve">Subnational </w:t>
      </w:r>
      <w:r w:rsidR="00495B3B">
        <w:rPr>
          <w:rFonts w:asciiTheme="minorHAnsi" w:hAnsiTheme="minorHAnsi"/>
          <w:b/>
          <w:color w:val="0070C0"/>
        </w:rPr>
        <w:t>aspects</w:t>
      </w:r>
      <w:r w:rsidR="00B73520">
        <w:rPr>
          <w:rFonts w:asciiTheme="minorHAnsi" w:hAnsiTheme="minorHAnsi"/>
          <w:b/>
          <w:color w:val="0070C0"/>
        </w:rPr>
        <w:t xml:space="preserve"> of </w:t>
      </w:r>
      <w:r>
        <w:rPr>
          <w:rFonts w:asciiTheme="minorHAnsi" w:hAnsiTheme="minorHAnsi"/>
          <w:b/>
          <w:color w:val="0070C0"/>
        </w:rPr>
        <w:t xml:space="preserve">eligibility </w:t>
      </w:r>
      <w:r w:rsidR="004E3901">
        <w:rPr>
          <w:rFonts w:asciiTheme="minorHAnsi" w:hAnsiTheme="minorHAnsi"/>
          <w:b/>
          <w:color w:val="0070C0"/>
        </w:rPr>
        <w:t xml:space="preserve">criteria </w:t>
      </w:r>
    </w:p>
    <w:p w:rsidR="0060024D" w:rsidRPr="0075115F" w:rsidRDefault="0060024D" w:rsidP="0060024D">
      <w:pPr>
        <w:rPr>
          <w:b/>
          <w:color w:val="0070C0"/>
          <w:sz w:val="28"/>
        </w:rPr>
      </w:pPr>
      <w:r w:rsidRPr="0075115F">
        <w:rPr>
          <w:b/>
          <w:color w:val="0070C0"/>
          <w:sz w:val="28"/>
        </w:rPr>
        <w:t>Eligibility Criteria</w:t>
      </w:r>
    </w:p>
    <w:p w:rsidR="0060024D" w:rsidRPr="005E68B7" w:rsidRDefault="0060024D" w:rsidP="0060024D">
      <w:pPr>
        <w:pStyle w:val="NoSpacing"/>
        <w:jc w:val="both"/>
        <w:rPr>
          <w:color w:val="002060"/>
        </w:rPr>
      </w:pPr>
      <w:r w:rsidRPr="005E68B7">
        <w:rPr>
          <w:color w:val="002060"/>
        </w:rPr>
        <w:t xml:space="preserve">According to the 2012 BS Guidelines, the approval of all Budget Support programs is subject to meeting a set of </w:t>
      </w:r>
      <w:r w:rsidRPr="005E68B7">
        <w:rPr>
          <w:i/>
          <w:color w:val="002060"/>
        </w:rPr>
        <w:t>Eligibility Criteria</w:t>
      </w:r>
      <w:r w:rsidRPr="005E68B7">
        <w:rPr>
          <w:color w:val="002060"/>
        </w:rPr>
        <w:t xml:space="preserve"> which are defined as the </w:t>
      </w:r>
      <w:r w:rsidRPr="005E68B7">
        <w:rPr>
          <w:i/>
          <w:color w:val="002060"/>
        </w:rPr>
        <w:t>relevance</w:t>
      </w:r>
      <w:r w:rsidRPr="005E68B7">
        <w:rPr>
          <w:color w:val="002060"/>
        </w:rPr>
        <w:t xml:space="preserve"> and </w:t>
      </w:r>
      <w:r w:rsidRPr="005E68B7">
        <w:rPr>
          <w:i/>
          <w:color w:val="002060"/>
        </w:rPr>
        <w:t>credibility</w:t>
      </w:r>
      <w:r w:rsidRPr="005E68B7">
        <w:rPr>
          <w:color w:val="002060"/>
        </w:rPr>
        <w:t xml:space="preserve"> of:</w:t>
      </w:r>
    </w:p>
    <w:p w:rsidR="0060024D" w:rsidRPr="005E68B7" w:rsidRDefault="0060024D" w:rsidP="0060024D">
      <w:pPr>
        <w:pStyle w:val="NoSpacing"/>
        <w:jc w:val="both"/>
        <w:rPr>
          <w:color w:val="002060"/>
        </w:rPr>
      </w:pPr>
    </w:p>
    <w:p w:rsidR="0060024D" w:rsidRPr="005E68B7" w:rsidRDefault="0060024D" w:rsidP="007B70FF">
      <w:pPr>
        <w:pStyle w:val="NoSpacing"/>
        <w:numPr>
          <w:ilvl w:val="0"/>
          <w:numId w:val="11"/>
        </w:numPr>
        <w:jc w:val="both"/>
        <w:rPr>
          <w:color w:val="002060"/>
        </w:rPr>
      </w:pPr>
      <w:r w:rsidRPr="005E68B7">
        <w:rPr>
          <w:color w:val="002060"/>
        </w:rPr>
        <w:t xml:space="preserve">the specific national/sector “public policies” that the programs are meant to support, </w:t>
      </w:r>
    </w:p>
    <w:p w:rsidR="0060024D" w:rsidRPr="005E68B7" w:rsidRDefault="0060024D" w:rsidP="007B70FF">
      <w:pPr>
        <w:pStyle w:val="NoSpacing"/>
        <w:numPr>
          <w:ilvl w:val="0"/>
          <w:numId w:val="11"/>
        </w:numPr>
        <w:jc w:val="both"/>
        <w:rPr>
          <w:color w:val="002060"/>
        </w:rPr>
      </w:pPr>
      <w:r w:rsidRPr="005E68B7">
        <w:rPr>
          <w:color w:val="002060"/>
        </w:rPr>
        <w:t xml:space="preserve">The  macro-economic policy framework, </w:t>
      </w:r>
    </w:p>
    <w:p w:rsidR="0060024D" w:rsidRPr="005E68B7" w:rsidRDefault="0060024D" w:rsidP="007B70FF">
      <w:pPr>
        <w:pStyle w:val="NoSpacing"/>
        <w:numPr>
          <w:ilvl w:val="0"/>
          <w:numId w:val="11"/>
        </w:numPr>
        <w:jc w:val="both"/>
        <w:rPr>
          <w:color w:val="002060"/>
        </w:rPr>
      </w:pPr>
      <w:r w:rsidRPr="005E68B7">
        <w:rPr>
          <w:rFonts w:cs="PF Square Sans Pro"/>
          <w:color w:val="002060"/>
        </w:rPr>
        <w:t xml:space="preserve">The PFM reform program </w:t>
      </w:r>
      <w:r w:rsidRPr="005E68B7">
        <w:rPr>
          <w:color w:val="002060"/>
        </w:rPr>
        <w:t xml:space="preserve"> </w:t>
      </w:r>
    </w:p>
    <w:p w:rsidR="0060024D" w:rsidRPr="005E68B7" w:rsidRDefault="0060024D" w:rsidP="007B70FF">
      <w:pPr>
        <w:pStyle w:val="NoSpacing"/>
        <w:numPr>
          <w:ilvl w:val="0"/>
          <w:numId w:val="11"/>
        </w:numPr>
        <w:jc w:val="both"/>
        <w:rPr>
          <w:color w:val="002060"/>
        </w:rPr>
      </w:pPr>
      <w:r w:rsidRPr="005E68B7">
        <w:rPr>
          <w:color w:val="002060"/>
        </w:rPr>
        <w:t xml:space="preserve">The budget transparency and oversight institutions </w:t>
      </w:r>
    </w:p>
    <w:p w:rsidR="0060024D" w:rsidRPr="005E68B7" w:rsidRDefault="0060024D" w:rsidP="0060024D">
      <w:pPr>
        <w:pStyle w:val="NoSpacing"/>
        <w:jc w:val="both"/>
        <w:rPr>
          <w:color w:val="002060"/>
        </w:rPr>
      </w:pPr>
    </w:p>
    <w:p w:rsidR="0060024D" w:rsidRPr="005E68B7" w:rsidRDefault="00BE3197" w:rsidP="0060024D">
      <w:pPr>
        <w:pStyle w:val="NoSpacing"/>
        <w:jc w:val="both"/>
        <w:rPr>
          <w:color w:val="002060"/>
        </w:rPr>
      </w:pPr>
      <w:r>
        <w:rPr>
          <w:color w:val="002060"/>
        </w:rPr>
        <w:t>D</w:t>
      </w:r>
      <w:r w:rsidR="0060024D" w:rsidRPr="005E68B7">
        <w:rPr>
          <w:color w:val="002060"/>
        </w:rPr>
        <w:t>uring implementation, and prior to each budget support dis</w:t>
      </w:r>
      <w:r w:rsidR="0060024D" w:rsidRPr="005E68B7">
        <w:rPr>
          <w:color w:val="002060"/>
        </w:rPr>
        <w:softHyphen/>
        <w:t xml:space="preserve">bursement, an assessment </w:t>
      </w:r>
      <w:r>
        <w:rPr>
          <w:color w:val="002060"/>
        </w:rPr>
        <w:t xml:space="preserve">has to </w:t>
      </w:r>
      <w:r w:rsidR="0060024D" w:rsidRPr="005E68B7">
        <w:rPr>
          <w:color w:val="002060"/>
        </w:rPr>
        <w:t xml:space="preserve">be made of </w:t>
      </w:r>
      <w:r w:rsidR="0060024D" w:rsidRPr="005E68B7">
        <w:rPr>
          <w:i/>
          <w:color w:val="002060"/>
        </w:rPr>
        <w:t>satisfactory progress</w:t>
      </w:r>
      <w:r w:rsidR="0060024D" w:rsidRPr="005E68B7">
        <w:rPr>
          <w:color w:val="002060"/>
        </w:rPr>
        <w:t xml:space="preserve"> in each of the four above areas of policy/institutions. Relevance, credibility and satisfactory progress are defined as follows: </w:t>
      </w:r>
    </w:p>
    <w:p w:rsidR="0060024D" w:rsidRPr="005E68B7" w:rsidRDefault="0060024D" w:rsidP="0060024D">
      <w:pPr>
        <w:pStyle w:val="NoSpacing"/>
        <w:jc w:val="both"/>
        <w:rPr>
          <w:color w:val="002060"/>
        </w:rPr>
      </w:pPr>
    </w:p>
    <w:p w:rsidR="0060024D" w:rsidRPr="005E68B7" w:rsidRDefault="0060024D" w:rsidP="007B70FF">
      <w:pPr>
        <w:pStyle w:val="NoSpacing"/>
        <w:numPr>
          <w:ilvl w:val="0"/>
          <w:numId w:val="10"/>
        </w:numPr>
        <w:jc w:val="both"/>
        <w:rPr>
          <w:i/>
          <w:color w:val="002060"/>
        </w:rPr>
      </w:pPr>
      <w:r w:rsidRPr="005E68B7">
        <w:rPr>
          <w:i/>
          <w:color w:val="002060"/>
        </w:rPr>
        <w:t>Relevance</w:t>
      </w:r>
      <w:r w:rsidRPr="005E68B7">
        <w:rPr>
          <w:color w:val="002060"/>
        </w:rPr>
        <w:t xml:space="preserve"> refers to extent to which key constraints and weaknesses are being addressed by the government's strategy to reach the objectives of the policy.</w:t>
      </w:r>
    </w:p>
    <w:p w:rsidR="0060024D" w:rsidRPr="005E68B7" w:rsidRDefault="0060024D" w:rsidP="007B70FF">
      <w:pPr>
        <w:pStyle w:val="NoSpacing"/>
        <w:numPr>
          <w:ilvl w:val="0"/>
          <w:numId w:val="10"/>
        </w:numPr>
        <w:jc w:val="both"/>
        <w:rPr>
          <w:i/>
          <w:color w:val="002060"/>
        </w:rPr>
      </w:pPr>
      <w:r w:rsidRPr="005E68B7">
        <w:rPr>
          <w:i/>
          <w:color w:val="002060"/>
        </w:rPr>
        <w:t>Credibility</w:t>
      </w:r>
      <w:r w:rsidRPr="005E68B7">
        <w:rPr>
          <w:color w:val="002060"/>
        </w:rPr>
        <w:t xml:space="preserve"> refers to the quality of the reform process regarding its realism, institutional arrangements, track record and political commitment to the reforms. </w:t>
      </w:r>
      <w:r w:rsidRPr="005E68B7">
        <w:rPr>
          <w:i/>
          <w:color w:val="002060"/>
        </w:rPr>
        <w:t xml:space="preserve">  </w:t>
      </w:r>
    </w:p>
    <w:p w:rsidR="0060024D" w:rsidRPr="005E68B7" w:rsidRDefault="0060024D" w:rsidP="007B70FF">
      <w:pPr>
        <w:numPr>
          <w:ilvl w:val="0"/>
          <w:numId w:val="10"/>
        </w:numPr>
        <w:jc w:val="both"/>
        <w:rPr>
          <w:color w:val="002060"/>
        </w:rPr>
      </w:pPr>
      <w:r w:rsidRPr="005E68B7">
        <w:rPr>
          <w:i/>
          <w:color w:val="002060"/>
        </w:rPr>
        <w:t>Satisfactory progress</w:t>
      </w:r>
      <w:r w:rsidRPr="005E68B7">
        <w:rPr>
          <w:color w:val="002060"/>
        </w:rPr>
        <w:t xml:space="preserve"> should be assessed through a </w:t>
      </w:r>
      <w:r w:rsidRPr="005E68B7">
        <w:rPr>
          <w:i/>
          <w:color w:val="002060"/>
        </w:rPr>
        <w:t>dynamic approach</w:t>
      </w:r>
      <w:r w:rsidRPr="005E68B7">
        <w:rPr>
          <w:color w:val="002060"/>
        </w:rPr>
        <w:t xml:space="preserve">, looking at past and recent policy performance benchmarked against reform commitments, but allowing for shocks and corrective measures and refining the objectives and targets if necessary. </w:t>
      </w:r>
    </w:p>
    <w:p w:rsidR="0060024D" w:rsidRPr="005E68B7" w:rsidRDefault="0060024D" w:rsidP="0060024D">
      <w:pPr>
        <w:pStyle w:val="NoSpacing"/>
        <w:jc w:val="both"/>
        <w:rPr>
          <w:rFonts w:eastAsia="MS Mincho"/>
          <w:color w:val="002060"/>
          <w:lang w:eastAsia="ja-JP"/>
        </w:rPr>
      </w:pPr>
      <w:r w:rsidRPr="005E68B7">
        <w:rPr>
          <w:rFonts w:eastAsia="MS Mincho"/>
          <w:color w:val="002060"/>
          <w:lang w:eastAsia="ja-JP"/>
        </w:rPr>
        <w:t xml:space="preserve">The </w:t>
      </w:r>
      <w:r w:rsidR="00091047">
        <w:rPr>
          <w:rFonts w:eastAsia="MS Mincho"/>
          <w:color w:val="002060"/>
          <w:lang w:eastAsia="ja-JP"/>
        </w:rPr>
        <w:t xml:space="preserve">BS </w:t>
      </w:r>
      <w:r w:rsidRPr="005E68B7">
        <w:rPr>
          <w:rFonts w:eastAsia="MS Mincho"/>
          <w:color w:val="002060"/>
          <w:lang w:eastAsia="ja-JP"/>
        </w:rPr>
        <w:t xml:space="preserve">Guidelines stress that the assessment of eligibility criteria, is mandatory for all </w:t>
      </w:r>
      <w:r w:rsidR="00A351AF" w:rsidRPr="005E68B7">
        <w:rPr>
          <w:rFonts w:eastAsia="MS Mincho"/>
          <w:color w:val="002060"/>
          <w:lang w:eastAsia="ja-JP"/>
        </w:rPr>
        <w:t>B</w:t>
      </w:r>
      <w:r w:rsidRPr="005E68B7">
        <w:rPr>
          <w:rFonts w:eastAsia="MS Mincho"/>
          <w:color w:val="002060"/>
          <w:lang w:eastAsia="ja-JP"/>
        </w:rPr>
        <w:t xml:space="preserve">udget </w:t>
      </w:r>
      <w:r w:rsidR="00A351AF" w:rsidRPr="005E68B7">
        <w:rPr>
          <w:rFonts w:eastAsia="MS Mincho"/>
          <w:color w:val="002060"/>
          <w:lang w:eastAsia="ja-JP"/>
        </w:rPr>
        <w:t>S</w:t>
      </w:r>
      <w:r w:rsidRPr="005E68B7">
        <w:rPr>
          <w:rFonts w:eastAsia="MS Mincho"/>
          <w:color w:val="002060"/>
          <w:lang w:eastAsia="ja-JP"/>
        </w:rPr>
        <w:t xml:space="preserve">upport </w:t>
      </w:r>
      <w:r w:rsidR="00A351AF" w:rsidRPr="005E68B7">
        <w:rPr>
          <w:rFonts w:eastAsia="MS Mincho"/>
          <w:color w:val="002060"/>
          <w:lang w:eastAsia="ja-JP"/>
        </w:rPr>
        <w:t>operations but t</w:t>
      </w:r>
      <w:r w:rsidRPr="005E68B7">
        <w:rPr>
          <w:rFonts w:eastAsia="MS Mincho"/>
          <w:color w:val="002060"/>
          <w:lang w:eastAsia="ja-JP"/>
        </w:rPr>
        <w:t>hat “</w:t>
      </w:r>
      <w:r w:rsidRPr="005E68B7">
        <w:rPr>
          <w:rFonts w:eastAsia="MS Mincho"/>
          <w:i/>
          <w:color w:val="002060"/>
          <w:lang w:eastAsia="ja-JP"/>
        </w:rPr>
        <w:t>the focus may vary according to the specific objectives of the program”</w:t>
      </w:r>
      <w:r w:rsidRPr="005E68B7">
        <w:rPr>
          <w:rFonts w:eastAsia="MS Mincho"/>
          <w:color w:val="002060"/>
          <w:lang w:eastAsia="ja-JP"/>
        </w:rPr>
        <w:t xml:space="preserve">. </w:t>
      </w:r>
      <w:r w:rsidR="00A351AF" w:rsidRPr="005E68B7">
        <w:rPr>
          <w:rFonts w:eastAsia="MS Mincho"/>
          <w:color w:val="002060"/>
          <w:lang w:eastAsia="ja-JP"/>
        </w:rPr>
        <w:t xml:space="preserve"> </w:t>
      </w:r>
      <w:r w:rsidRPr="005E68B7">
        <w:rPr>
          <w:rFonts w:eastAsia="MS Mincho"/>
          <w:color w:val="002060"/>
          <w:lang w:eastAsia="ja-JP"/>
        </w:rPr>
        <w:t xml:space="preserve">Accordingly, this chapter </w:t>
      </w:r>
      <w:r w:rsidR="009B5009" w:rsidRPr="005E68B7">
        <w:rPr>
          <w:rFonts w:eastAsia="MS Mincho"/>
          <w:color w:val="002060"/>
          <w:lang w:eastAsia="ja-JP"/>
        </w:rPr>
        <w:t xml:space="preserve">seeks to complement </w:t>
      </w:r>
      <w:r w:rsidR="00A351AF" w:rsidRPr="005E68B7">
        <w:rPr>
          <w:rFonts w:eastAsia="MS Mincho"/>
          <w:color w:val="002060"/>
          <w:lang w:eastAsia="ja-JP"/>
        </w:rPr>
        <w:t>the</w:t>
      </w:r>
      <w:r w:rsidR="009B5009" w:rsidRPr="005E68B7">
        <w:rPr>
          <w:rFonts w:eastAsia="MS Mincho"/>
          <w:color w:val="002060"/>
          <w:lang w:eastAsia="ja-JP"/>
        </w:rPr>
        <w:t xml:space="preserve"> </w:t>
      </w:r>
      <w:r w:rsidR="00091047">
        <w:rPr>
          <w:rFonts w:eastAsia="MS Mincho"/>
          <w:color w:val="002060"/>
          <w:lang w:eastAsia="ja-JP"/>
        </w:rPr>
        <w:t xml:space="preserve">BS </w:t>
      </w:r>
      <w:r w:rsidR="009B5009" w:rsidRPr="005E68B7">
        <w:rPr>
          <w:rFonts w:eastAsia="MS Mincho"/>
          <w:color w:val="002060"/>
          <w:lang w:eastAsia="ja-JP"/>
        </w:rPr>
        <w:t>Guidelines by highlighting</w:t>
      </w:r>
      <w:r w:rsidRPr="005E68B7">
        <w:rPr>
          <w:rFonts w:eastAsia="MS Mincho"/>
          <w:color w:val="002060"/>
          <w:lang w:eastAsia="ja-JP"/>
        </w:rPr>
        <w:t xml:space="preserve"> the </w:t>
      </w:r>
      <w:r w:rsidRPr="005E68B7">
        <w:rPr>
          <w:rFonts w:eastAsia="MS Mincho"/>
          <w:b/>
          <w:i/>
          <w:color w:val="002060"/>
          <w:lang w:eastAsia="ja-JP"/>
        </w:rPr>
        <w:t>specific</w:t>
      </w:r>
      <w:r w:rsidRPr="005E68B7">
        <w:rPr>
          <w:rFonts w:eastAsia="MS Mincho"/>
          <w:b/>
          <w:color w:val="002060"/>
          <w:lang w:eastAsia="ja-JP"/>
        </w:rPr>
        <w:t xml:space="preserve"> </w:t>
      </w:r>
      <w:r w:rsidR="00091047">
        <w:rPr>
          <w:rFonts w:eastAsia="MS Mincho"/>
          <w:b/>
          <w:color w:val="002060"/>
          <w:lang w:eastAsia="ja-JP"/>
        </w:rPr>
        <w:t xml:space="preserve">subnational </w:t>
      </w:r>
      <w:r w:rsidRPr="005E68B7">
        <w:rPr>
          <w:rFonts w:eastAsia="MS Mincho"/>
          <w:b/>
          <w:i/>
          <w:color w:val="002060"/>
          <w:lang w:eastAsia="ja-JP"/>
        </w:rPr>
        <w:t xml:space="preserve">issues </w:t>
      </w:r>
      <w:r w:rsidR="002A7499" w:rsidRPr="005E68B7">
        <w:rPr>
          <w:rFonts w:eastAsia="MS Mincho"/>
          <w:b/>
          <w:i/>
          <w:color w:val="002060"/>
          <w:lang w:eastAsia="ja-JP"/>
        </w:rPr>
        <w:t>to focus on,</w:t>
      </w:r>
      <w:r w:rsidRPr="005E68B7">
        <w:rPr>
          <w:rFonts w:eastAsia="MS Mincho"/>
          <w:color w:val="002060"/>
          <w:lang w:eastAsia="ja-JP"/>
        </w:rPr>
        <w:t xml:space="preserve"> when assessing</w:t>
      </w:r>
      <w:r w:rsidR="00202462" w:rsidRPr="005E68B7">
        <w:rPr>
          <w:rFonts w:eastAsia="MS Mincho"/>
          <w:color w:val="002060"/>
          <w:lang w:eastAsia="ja-JP"/>
        </w:rPr>
        <w:t xml:space="preserve"> </w:t>
      </w:r>
      <w:r w:rsidR="00A351AF" w:rsidRPr="005E68B7">
        <w:rPr>
          <w:rFonts w:eastAsia="MS Mincho"/>
          <w:color w:val="002060"/>
          <w:lang w:eastAsia="ja-JP"/>
        </w:rPr>
        <w:t xml:space="preserve">the eligibility </w:t>
      </w:r>
      <w:r w:rsidR="00091047">
        <w:rPr>
          <w:rFonts w:eastAsia="MS Mincho"/>
          <w:color w:val="002060"/>
          <w:lang w:eastAsia="ja-JP"/>
        </w:rPr>
        <w:t xml:space="preserve">for </w:t>
      </w:r>
      <w:r w:rsidR="00A351AF" w:rsidRPr="005E68B7">
        <w:rPr>
          <w:rFonts w:eastAsia="MS Mincho"/>
          <w:color w:val="002060"/>
          <w:lang w:eastAsia="ja-JP"/>
        </w:rPr>
        <w:t xml:space="preserve">BS </w:t>
      </w:r>
      <w:r w:rsidR="00091047">
        <w:rPr>
          <w:rFonts w:eastAsia="MS Mincho"/>
          <w:color w:val="002060"/>
          <w:lang w:eastAsia="ja-JP"/>
        </w:rPr>
        <w:t xml:space="preserve">in decentralized contexts. </w:t>
      </w:r>
    </w:p>
    <w:p w:rsidR="00091047" w:rsidRDefault="00091047" w:rsidP="00A812AE">
      <w:pPr>
        <w:pStyle w:val="NoSpacing"/>
      </w:pPr>
    </w:p>
    <w:p w:rsidR="000A7176" w:rsidRPr="007B70FF" w:rsidRDefault="00315903" w:rsidP="007B70FF">
      <w:pPr>
        <w:pStyle w:val="NoSpacing"/>
        <w:jc w:val="both"/>
        <w:rPr>
          <w:color w:val="002060"/>
        </w:rPr>
      </w:pPr>
      <w:r w:rsidRPr="007B70FF">
        <w:rPr>
          <w:color w:val="002060"/>
        </w:rPr>
        <w:t xml:space="preserve">While the eligibility assessment </w:t>
      </w:r>
      <w:r w:rsidR="000D2A09" w:rsidRPr="007B70FF">
        <w:rPr>
          <w:color w:val="002060"/>
        </w:rPr>
        <w:t xml:space="preserve">generally </w:t>
      </w:r>
      <w:r w:rsidRPr="007B70FF">
        <w:rPr>
          <w:color w:val="002060"/>
        </w:rPr>
        <w:t xml:space="preserve">has to take into account both, the central and subnational government levels, </w:t>
      </w:r>
      <w:r w:rsidR="00DD65A1" w:rsidRPr="007B70FF">
        <w:rPr>
          <w:color w:val="002060"/>
        </w:rPr>
        <w:t xml:space="preserve">but </w:t>
      </w:r>
      <w:r w:rsidR="0089470E" w:rsidRPr="007B70FF">
        <w:rPr>
          <w:color w:val="002060"/>
        </w:rPr>
        <w:t xml:space="preserve">the depth of assessment of subnational </w:t>
      </w:r>
      <w:r w:rsidR="00F470BD" w:rsidRPr="007B70FF">
        <w:rPr>
          <w:color w:val="002060"/>
        </w:rPr>
        <w:t xml:space="preserve">aspects may vary depending on </w:t>
      </w:r>
      <w:r w:rsidR="0089470E" w:rsidRPr="007B70FF">
        <w:rPr>
          <w:color w:val="002060"/>
        </w:rPr>
        <w:t xml:space="preserve">the </w:t>
      </w:r>
      <w:r w:rsidR="006962A5" w:rsidRPr="007B70FF">
        <w:rPr>
          <w:color w:val="002060"/>
        </w:rPr>
        <w:t xml:space="preserve">eligibility criteria and the </w:t>
      </w:r>
      <w:r w:rsidR="0089470E" w:rsidRPr="007B70FF">
        <w:rPr>
          <w:color w:val="002060"/>
        </w:rPr>
        <w:t xml:space="preserve">type of </w:t>
      </w:r>
      <w:r w:rsidR="006962A5" w:rsidRPr="007B70FF">
        <w:rPr>
          <w:color w:val="002060"/>
        </w:rPr>
        <w:t xml:space="preserve">BS </w:t>
      </w:r>
      <w:r w:rsidR="0089470E" w:rsidRPr="007B70FF">
        <w:rPr>
          <w:color w:val="002060"/>
        </w:rPr>
        <w:t xml:space="preserve">operation envisaged. </w:t>
      </w:r>
      <w:r w:rsidR="005D46B0" w:rsidRPr="007B70FF">
        <w:rPr>
          <w:color w:val="002060"/>
        </w:rPr>
        <w:t>The macroeconomic eligibility criterion always has to be analyzed from a central perspective since macroeconomic stability is the ultimate responsibility of the central government. Some subnational parameters may impact on macroeconomic stability at central level</w:t>
      </w:r>
      <w:r w:rsidR="00CD38B4" w:rsidRPr="007B70FF">
        <w:rPr>
          <w:color w:val="002060"/>
        </w:rPr>
        <w:t xml:space="preserve"> and need to be incorporated</w:t>
      </w:r>
      <w:r w:rsidR="005D46B0" w:rsidRPr="007B70FF">
        <w:rPr>
          <w:color w:val="002060"/>
        </w:rPr>
        <w:t xml:space="preserve">, as explained below. For the other eligibility criteria – public policy, PFM/corruption and budget transparency – analysis of subnational dimensions depends on the type of operation. </w:t>
      </w:r>
      <w:r w:rsidR="0089470E" w:rsidRPr="007B70FF">
        <w:rPr>
          <w:color w:val="002060"/>
        </w:rPr>
        <w:t>For type 1 operations</w:t>
      </w:r>
      <w:r w:rsidR="00F470BD" w:rsidRPr="007B70FF">
        <w:rPr>
          <w:color w:val="002060"/>
        </w:rPr>
        <w:t xml:space="preserve">, in particular where the subnational level has limited fiscal autonomy or where service delivery relies mainly on </w:t>
      </w:r>
      <w:proofErr w:type="spellStart"/>
      <w:r w:rsidR="00F470BD" w:rsidRPr="007B70FF">
        <w:rPr>
          <w:color w:val="002060"/>
        </w:rPr>
        <w:t>deconcentrated</w:t>
      </w:r>
      <w:proofErr w:type="spellEnd"/>
      <w:r w:rsidR="00F470BD" w:rsidRPr="007B70FF">
        <w:rPr>
          <w:color w:val="002060"/>
        </w:rPr>
        <w:t xml:space="preserve"> branches of the central government,</w:t>
      </w:r>
      <w:r w:rsidR="0089470E" w:rsidRPr="007B70FF">
        <w:rPr>
          <w:color w:val="002060"/>
        </w:rPr>
        <w:t xml:space="preserve"> </w:t>
      </w:r>
      <w:r w:rsidRPr="007B70FF">
        <w:rPr>
          <w:color w:val="002060"/>
        </w:rPr>
        <w:t>s</w:t>
      </w:r>
      <w:r w:rsidR="003F7A5E" w:rsidRPr="007B70FF">
        <w:rPr>
          <w:color w:val="002060"/>
        </w:rPr>
        <w:t xml:space="preserve">ubnational aspects </w:t>
      </w:r>
      <w:r w:rsidR="0089470E" w:rsidRPr="007B70FF">
        <w:rPr>
          <w:color w:val="002060"/>
        </w:rPr>
        <w:t xml:space="preserve">may </w:t>
      </w:r>
      <w:r w:rsidRPr="007B70FF">
        <w:rPr>
          <w:color w:val="002060"/>
        </w:rPr>
        <w:t xml:space="preserve">primarily </w:t>
      </w:r>
      <w:r w:rsidR="0089470E" w:rsidRPr="007B70FF">
        <w:rPr>
          <w:color w:val="002060"/>
        </w:rPr>
        <w:t xml:space="preserve">focus on public policy </w:t>
      </w:r>
      <w:r w:rsidR="00FE0613" w:rsidRPr="007B70FF">
        <w:rPr>
          <w:color w:val="002060"/>
        </w:rPr>
        <w:t xml:space="preserve">eligibility. </w:t>
      </w:r>
      <w:r w:rsidR="000A7176" w:rsidRPr="007B70FF">
        <w:rPr>
          <w:color w:val="002060"/>
        </w:rPr>
        <w:t xml:space="preserve">The </w:t>
      </w:r>
      <w:r w:rsidR="004B1257" w:rsidRPr="007B70FF">
        <w:rPr>
          <w:color w:val="002060"/>
        </w:rPr>
        <w:t xml:space="preserve">requirements for </w:t>
      </w:r>
      <w:r w:rsidR="000A7176" w:rsidRPr="007B70FF">
        <w:rPr>
          <w:color w:val="002060"/>
        </w:rPr>
        <w:t>efficient and effective service delivery to the population have to be clearly identified</w:t>
      </w:r>
      <w:r w:rsidR="00F470BD" w:rsidRPr="007B70FF">
        <w:rPr>
          <w:color w:val="002060"/>
        </w:rPr>
        <w:t xml:space="preserve"> and the role and potential of subnational authorities to contribute to service delivery should be analyzed</w:t>
      </w:r>
      <w:r w:rsidR="004B1257" w:rsidRPr="007B70FF">
        <w:rPr>
          <w:color w:val="002060"/>
        </w:rPr>
        <w:t>.</w:t>
      </w:r>
      <w:r w:rsidR="000A7176" w:rsidRPr="007B70FF">
        <w:rPr>
          <w:color w:val="002060"/>
        </w:rPr>
        <w:t xml:space="preserve"> Specific </w:t>
      </w:r>
      <w:r w:rsidR="000A7176" w:rsidRPr="007B70FF">
        <w:rPr>
          <w:color w:val="002060"/>
        </w:rPr>
        <w:lastRenderedPageBreak/>
        <w:t xml:space="preserve">attention </w:t>
      </w:r>
      <w:r w:rsidR="00DD65A1" w:rsidRPr="007B70FF">
        <w:rPr>
          <w:color w:val="002060"/>
        </w:rPr>
        <w:t xml:space="preserve">has to </w:t>
      </w:r>
      <w:r w:rsidR="000A7176" w:rsidRPr="007B70FF">
        <w:rPr>
          <w:color w:val="002060"/>
        </w:rPr>
        <w:t xml:space="preserve">be paid to inequalities </w:t>
      </w:r>
      <w:r w:rsidR="00DD65A1" w:rsidRPr="007B70FF">
        <w:rPr>
          <w:color w:val="002060"/>
        </w:rPr>
        <w:t xml:space="preserve">in access to and quality of public services </w:t>
      </w:r>
      <w:r w:rsidR="004B1257" w:rsidRPr="007B70FF">
        <w:rPr>
          <w:color w:val="002060"/>
        </w:rPr>
        <w:t xml:space="preserve">- </w:t>
      </w:r>
      <w:r w:rsidR="000A7176" w:rsidRPr="00603FEB">
        <w:rPr>
          <w:color w:val="002060"/>
        </w:rPr>
        <w:t>between regions, gender and for vulnerable groups</w:t>
      </w:r>
      <w:r w:rsidR="004B1257" w:rsidRPr="00603FEB">
        <w:rPr>
          <w:color w:val="002060"/>
        </w:rPr>
        <w:t xml:space="preserve"> -</w:t>
      </w:r>
      <w:r w:rsidR="000A7176" w:rsidRPr="00603FEB">
        <w:rPr>
          <w:color w:val="002060"/>
        </w:rPr>
        <w:t xml:space="preserve"> and </w:t>
      </w:r>
      <w:r w:rsidR="00DD65A1" w:rsidRPr="00603FEB">
        <w:rPr>
          <w:color w:val="002060"/>
        </w:rPr>
        <w:t xml:space="preserve">how the </w:t>
      </w:r>
      <w:r w:rsidR="003912C3" w:rsidRPr="00603FEB">
        <w:rPr>
          <w:color w:val="002060"/>
        </w:rPr>
        <w:t xml:space="preserve">policy addresses </w:t>
      </w:r>
      <w:r w:rsidR="000A7176" w:rsidRPr="00826A1E">
        <w:rPr>
          <w:color w:val="002060"/>
        </w:rPr>
        <w:t>them.</w:t>
      </w:r>
      <w:r w:rsidR="000A7176" w:rsidRPr="007B70FF">
        <w:rPr>
          <w:color w:val="002060"/>
        </w:rPr>
        <w:t xml:space="preserve"> </w:t>
      </w:r>
    </w:p>
    <w:p w:rsidR="004B1257" w:rsidRPr="007B70FF" w:rsidRDefault="004B1257" w:rsidP="007B70FF">
      <w:pPr>
        <w:pStyle w:val="NoSpacing"/>
        <w:jc w:val="both"/>
        <w:rPr>
          <w:color w:val="002060"/>
        </w:rPr>
      </w:pPr>
    </w:p>
    <w:p w:rsidR="003F7A5E" w:rsidRPr="00603FEB" w:rsidRDefault="000A7176" w:rsidP="007B70FF">
      <w:pPr>
        <w:pStyle w:val="NoSpacing"/>
        <w:jc w:val="both"/>
        <w:rPr>
          <w:color w:val="002060"/>
        </w:rPr>
      </w:pPr>
      <w:r w:rsidRPr="00603FEB">
        <w:rPr>
          <w:color w:val="002060"/>
        </w:rPr>
        <w:t xml:space="preserve">Type 2 operations of support to decentralization reforms </w:t>
      </w:r>
      <w:r w:rsidR="00DD65A1" w:rsidRPr="00603FEB">
        <w:rPr>
          <w:color w:val="002060"/>
        </w:rPr>
        <w:t xml:space="preserve">require a full assessment at central level as well as of the subnational dimensions of the </w:t>
      </w:r>
      <w:r w:rsidR="00CD38B4" w:rsidRPr="00603FEB">
        <w:rPr>
          <w:color w:val="002060"/>
        </w:rPr>
        <w:t xml:space="preserve">eligibility criteria </w:t>
      </w:r>
      <w:r w:rsidR="00DD65A1" w:rsidRPr="00603FEB">
        <w:rPr>
          <w:color w:val="002060"/>
        </w:rPr>
        <w:t xml:space="preserve">as detailed below. </w:t>
      </w:r>
      <w:r w:rsidR="00CD38B4" w:rsidRPr="00603FEB">
        <w:rPr>
          <w:color w:val="002060"/>
        </w:rPr>
        <w:t>T</w:t>
      </w:r>
      <w:r w:rsidR="003F7A5E" w:rsidRPr="00603FEB">
        <w:rPr>
          <w:color w:val="002060"/>
        </w:rPr>
        <w:t xml:space="preserve">he depth of </w:t>
      </w:r>
      <w:r w:rsidR="00CD38B4" w:rsidRPr="00603FEB">
        <w:rPr>
          <w:color w:val="002060"/>
        </w:rPr>
        <w:t xml:space="preserve">the assessment of the subnational level </w:t>
      </w:r>
      <w:r w:rsidR="003F7A5E" w:rsidRPr="00603FEB">
        <w:rPr>
          <w:color w:val="002060"/>
        </w:rPr>
        <w:t>depend</w:t>
      </w:r>
      <w:r w:rsidR="00CD38B4" w:rsidRPr="00603FEB">
        <w:rPr>
          <w:color w:val="002060"/>
        </w:rPr>
        <w:t>s</w:t>
      </w:r>
      <w:r w:rsidR="003F7A5E" w:rsidRPr="00603FEB">
        <w:rPr>
          <w:color w:val="002060"/>
        </w:rPr>
        <w:t xml:space="preserve"> on the degree of implementation of the decentralization arrangement. </w:t>
      </w:r>
      <w:r w:rsidR="002D3E04" w:rsidRPr="00603FEB">
        <w:rPr>
          <w:color w:val="002060"/>
        </w:rPr>
        <w:t xml:space="preserve">In the initial stages of decentralization reforms the assessment would be mainly forward looking and examine the </w:t>
      </w:r>
      <w:r w:rsidR="00C24E54" w:rsidRPr="00603FEB">
        <w:rPr>
          <w:color w:val="002060"/>
        </w:rPr>
        <w:t xml:space="preserve">relevance, credibility and </w:t>
      </w:r>
      <w:r w:rsidR="002D3E04" w:rsidRPr="00603FEB">
        <w:rPr>
          <w:color w:val="002060"/>
        </w:rPr>
        <w:t xml:space="preserve">consistency of </w:t>
      </w:r>
      <w:r w:rsidR="00CD38B4" w:rsidRPr="00603FEB">
        <w:rPr>
          <w:color w:val="002060"/>
        </w:rPr>
        <w:t>the</w:t>
      </w:r>
      <w:r w:rsidR="002D3E04" w:rsidRPr="00603FEB">
        <w:rPr>
          <w:color w:val="002060"/>
        </w:rPr>
        <w:t xml:space="preserve"> decentralization arrangement</w:t>
      </w:r>
      <w:r w:rsidR="00C24E54" w:rsidRPr="00603FEB">
        <w:rPr>
          <w:color w:val="002060"/>
        </w:rPr>
        <w:t xml:space="preserve"> with regard to the eligibility criteria</w:t>
      </w:r>
      <w:r w:rsidR="002D3E04" w:rsidRPr="00603FEB">
        <w:rPr>
          <w:color w:val="002060"/>
        </w:rPr>
        <w:t xml:space="preserve">. </w:t>
      </w:r>
    </w:p>
    <w:p w:rsidR="004B1257" w:rsidRPr="00603FEB" w:rsidRDefault="004B1257" w:rsidP="007B70FF">
      <w:pPr>
        <w:pStyle w:val="NoSpacing"/>
        <w:jc w:val="both"/>
        <w:rPr>
          <w:color w:val="002060"/>
        </w:rPr>
      </w:pPr>
    </w:p>
    <w:p w:rsidR="003F7A5E" w:rsidRPr="00603FEB" w:rsidRDefault="00A100B5" w:rsidP="007B70FF">
      <w:pPr>
        <w:pStyle w:val="NoSpacing"/>
        <w:jc w:val="both"/>
        <w:rPr>
          <w:color w:val="002060"/>
        </w:rPr>
      </w:pPr>
      <w:r w:rsidRPr="00603FEB">
        <w:rPr>
          <w:color w:val="002060"/>
        </w:rPr>
        <w:t>Type 3 operations of support to LA's territorial policies w</w:t>
      </w:r>
      <w:r w:rsidR="00C24E54" w:rsidRPr="00603FEB">
        <w:rPr>
          <w:color w:val="002060"/>
        </w:rPr>
        <w:t xml:space="preserve">ould primarily focus on </w:t>
      </w:r>
      <w:r w:rsidRPr="00603FEB">
        <w:rPr>
          <w:color w:val="002060"/>
        </w:rPr>
        <w:t xml:space="preserve">the subnational level </w:t>
      </w:r>
      <w:r w:rsidR="00C24E54" w:rsidRPr="00603FEB">
        <w:rPr>
          <w:color w:val="002060"/>
        </w:rPr>
        <w:t>for public policy, PFM and budget transparency. S</w:t>
      </w:r>
      <w:r w:rsidR="002D3E04" w:rsidRPr="00603FEB">
        <w:rPr>
          <w:color w:val="002060"/>
        </w:rPr>
        <w:t xml:space="preserve">ome </w:t>
      </w:r>
      <w:r w:rsidR="00C24E54" w:rsidRPr="00603FEB">
        <w:rPr>
          <w:color w:val="002060"/>
        </w:rPr>
        <w:t xml:space="preserve">central </w:t>
      </w:r>
      <w:r w:rsidR="002D3E04" w:rsidRPr="00603FEB">
        <w:rPr>
          <w:color w:val="002060"/>
        </w:rPr>
        <w:t xml:space="preserve">aspects </w:t>
      </w:r>
      <w:r w:rsidR="00C24E54" w:rsidRPr="00603FEB">
        <w:rPr>
          <w:color w:val="002060"/>
        </w:rPr>
        <w:t xml:space="preserve">may, however, also be of importance and the </w:t>
      </w:r>
      <w:r w:rsidR="000D2A09" w:rsidRPr="00603FEB">
        <w:rPr>
          <w:color w:val="002060"/>
        </w:rPr>
        <w:t xml:space="preserve">analysis has to take </w:t>
      </w:r>
      <w:r w:rsidR="00C24E54" w:rsidRPr="00603FEB">
        <w:rPr>
          <w:color w:val="002060"/>
        </w:rPr>
        <w:t xml:space="preserve">account of the </w:t>
      </w:r>
      <w:r w:rsidR="000D2A09" w:rsidRPr="00603FEB">
        <w:rPr>
          <w:color w:val="002060"/>
        </w:rPr>
        <w:t xml:space="preserve">division of </w:t>
      </w:r>
      <w:r w:rsidR="00C24E54" w:rsidRPr="00603FEB">
        <w:rPr>
          <w:color w:val="002060"/>
        </w:rPr>
        <w:t>roles and responsibilities between central and subnational level</w:t>
      </w:r>
      <w:r w:rsidR="000D2A09" w:rsidRPr="00603FEB">
        <w:rPr>
          <w:color w:val="002060"/>
        </w:rPr>
        <w:t>s and their articulation in practice</w:t>
      </w:r>
      <w:r w:rsidR="00C24E54" w:rsidRPr="00603FEB">
        <w:rPr>
          <w:color w:val="002060"/>
        </w:rPr>
        <w:t xml:space="preserve">. </w:t>
      </w:r>
    </w:p>
    <w:p w:rsidR="0089470E" w:rsidRPr="007B70FF" w:rsidRDefault="0089470E" w:rsidP="00A812AE">
      <w:pPr>
        <w:pStyle w:val="NoSpacing"/>
        <w:rPr>
          <w:color w:val="002060"/>
        </w:rPr>
      </w:pPr>
    </w:p>
    <w:p w:rsidR="00A812AE" w:rsidRPr="007B70FF" w:rsidRDefault="00651DAF" w:rsidP="00BB1D6E">
      <w:pPr>
        <w:pStyle w:val="NoSpacing"/>
        <w:jc w:val="both"/>
        <w:rPr>
          <w:color w:val="002060"/>
        </w:rPr>
      </w:pPr>
      <w:r w:rsidRPr="007B70FF">
        <w:rPr>
          <w:color w:val="002060"/>
        </w:rPr>
        <w:t xml:space="preserve">Assessments should be reasonably short and analytical avoiding lengthy descriptions of policies. They should provide a clearly argued and justified recommendation regarding eligibility </w:t>
      </w:r>
      <w:r w:rsidR="00091047" w:rsidRPr="007B70FF">
        <w:rPr>
          <w:color w:val="002060"/>
        </w:rPr>
        <w:t xml:space="preserve">with a view to supporting implementation through a budget support </w:t>
      </w:r>
      <w:proofErr w:type="spellStart"/>
      <w:r w:rsidR="00091047" w:rsidRPr="007B70FF">
        <w:rPr>
          <w:color w:val="002060"/>
        </w:rPr>
        <w:t>programme</w:t>
      </w:r>
      <w:proofErr w:type="spellEnd"/>
      <w:r w:rsidR="00091047" w:rsidRPr="007B70FF">
        <w:rPr>
          <w:color w:val="002060"/>
        </w:rPr>
        <w:t xml:space="preserve"> or, if </w:t>
      </w:r>
      <w:r w:rsidRPr="007B70FF">
        <w:rPr>
          <w:color w:val="002060"/>
        </w:rPr>
        <w:t>eligibility is not confirmed</w:t>
      </w:r>
      <w:r w:rsidR="00091047" w:rsidRPr="007B70FF">
        <w:rPr>
          <w:color w:val="002060"/>
        </w:rPr>
        <w:t xml:space="preserve">, to help identify elements, conditions and time frames so as to arrive at a credible and relevant policy, the type of dialogue </w:t>
      </w:r>
      <w:r w:rsidRPr="007B70FF">
        <w:rPr>
          <w:color w:val="002060"/>
        </w:rPr>
        <w:t>to</w:t>
      </w:r>
      <w:r w:rsidR="00091047" w:rsidRPr="007B70FF">
        <w:rPr>
          <w:color w:val="002060"/>
        </w:rPr>
        <w:t xml:space="preserve"> be considered, anticipated progress and </w:t>
      </w:r>
      <w:r w:rsidRPr="007B70FF">
        <w:rPr>
          <w:color w:val="002060"/>
        </w:rPr>
        <w:t xml:space="preserve">modalities </w:t>
      </w:r>
      <w:r w:rsidR="00091047" w:rsidRPr="007B70FF">
        <w:rPr>
          <w:color w:val="002060"/>
        </w:rPr>
        <w:t xml:space="preserve">to help meet this objective.  </w:t>
      </w:r>
    </w:p>
    <w:p w:rsidR="00091047" w:rsidRPr="005E68B7" w:rsidRDefault="00091047" w:rsidP="00A812AE">
      <w:pPr>
        <w:pStyle w:val="NoSpacing"/>
        <w:rPr>
          <w:rFonts w:eastAsia="MS Mincho"/>
          <w:color w:val="002060"/>
          <w:lang w:eastAsia="ja-JP"/>
        </w:rPr>
      </w:pPr>
    </w:p>
    <w:p w:rsidR="0060024D" w:rsidRPr="0075115F" w:rsidRDefault="0060024D" w:rsidP="0060024D">
      <w:pPr>
        <w:pStyle w:val="Heading1"/>
        <w:rPr>
          <w:rStyle w:val="A19"/>
          <w:rFonts w:asciiTheme="minorHAnsi" w:hAnsiTheme="minorHAnsi"/>
          <w:b/>
          <w:color w:val="0070C0"/>
          <w:sz w:val="28"/>
          <w:szCs w:val="28"/>
        </w:rPr>
      </w:pPr>
      <w:r w:rsidRPr="0075115F">
        <w:rPr>
          <w:rStyle w:val="A19"/>
          <w:rFonts w:asciiTheme="minorHAnsi" w:hAnsiTheme="minorHAnsi"/>
          <w:b/>
          <w:color w:val="0070C0"/>
          <w:sz w:val="28"/>
          <w:szCs w:val="28"/>
        </w:rPr>
        <w:t>Assessing Eligibility against the Public Policy Criterion</w:t>
      </w:r>
    </w:p>
    <w:p w:rsidR="00755D6B" w:rsidRPr="005E68B7" w:rsidRDefault="000C5967" w:rsidP="005C0004">
      <w:pPr>
        <w:pStyle w:val="NoSpacing"/>
        <w:jc w:val="both"/>
        <w:rPr>
          <w:color w:val="002060"/>
          <w:lang w:val="en-GB" w:eastAsia="ja-JP"/>
        </w:rPr>
      </w:pPr>
      <w:r w:rsidRPr="005E68B7">
        <w:rPr>
          <w:color w:val="002060"/>
        </w:rPr>
        <w:t>The 2012 BS Guidelines indicate that a</w:t>
      </w:r>
      <w:r w:rsidR="00B62E3A" w:rsidRPr="005E68B7">
        <w:rPr>
          <w:color w:val="002060"/>
        </w:rPr>
        <w:t xml:space="preserve">ll </w:t>
      </w:r>
      <w:r w:rsidRPr="005E68B7">
        <w:rPr>
          <w:color w:val="002060"/>
        </w:rPr>
        <w:t>“</w:t>
      </w:r>
      <w:r w:rsidR="00B62E3A" w:rsidRPr="005E68B7">
        <w:rPr>
          <w:color w:val="002060"/>
        </w:rPr>
        <w:t xml:space="preserve">national, </w:t>
      </w:r>
      <w:proofErr w:type="spellStart"/>
      <w:r w:rsidR="00B62E3A" w:rsidRPr="005E68B7">
        <w:rPr>
          <w:color w:val="002060"/>
        </w:rPr>
        <w:t>sectoral</w:t>
      </w:r>
      <w:proofErr w:type="spellEnd"/>
      <w:r w:rsidR="00B62E3A" w:rsidRPr="005E68B7">
        <w:rPr>
          <w:color w:val="002060"/>
        </w:rPr>
        <w:t xml:space="preserve"> or transversal</w:t>
      </w:r>
      <w:r w:rsidR="00B62E3A" w:rsidRPr="005E68B7">
        <w:rPr>
          <w:rStyle w:val="FootnoteReference"/>
          <w:i/>
          <w:color w:val="002060"/>
        </w:rPr>
        <w:footnoteReference w:id="7"/>
      </w:r>
      <w:r w:rsidRPr="005E68B7">
        <w:rPr>
          <w:color w:val="002060"/>
        </w:rPr>
        <w:t>, policies”,</w:t>
      </w:r>
      <w:r w:rsidR="00B62E3A" w:rsidRPr="005E68B7">
        <w:rPr>
          <w:color w:val="002060"/>
        </w:rPr>
        <w:t xml:space="preserve"> </w:t>
      </w:r>
      <w:r w:rsidRPr="005E68B7">
        <w:rPr>
          <w:color w:val="002060"/>
        </w:rPr>
        <w:t xml:space="preserve">that are the </w:t>
      </w:r>
      <w:r w:rsidR="001D3055">
        <w:rPr>
          <w:color w:val="002060"/>
        </w:rPr>
        <w:t>su</w:t>
      </w:r>
      <w:r w:rsidRPr="005E68B7">
        <w:rPr>
          <w:color w:val="002060"/>
        </w:rPr>
        <w:t xml:space="preserve">bject of a </w:t>
      </w:r>
      <w:r w:rsidR="00B62E3A" w:rsidRPr="005E68B7">
        <w:rPr>
          <w:color w:val="002060"/>
        </w:rPr>
        <w:t>Budget Support operation</w:t>
      </w:r>
      <w:r w:rsidRPr="005E68B7">
        <w:rPr>
          <w:color w:val="002060"/>
        </w:rPr>
        <w:t>,</w:t>
      </w:r>
      <w:r w:rsidR="00B62E3A" w:rsidRPr="005E68B7">
        <w:rPr>
          <w:color w:val="002060"/>
        </w:rPr>
        <w:t xml:space="preserve"> </w:t>
      </w:r>
      <w:r w:rsidRPr="005E68B7">
        <w:rPr>
          <w:color w:val="002060"/>
        </w:rPr>
        <w:t xml:space="preserve">must </w:t>
      </w:r>
      <w:r w:rsidR="00306237" w:rsidRPr="005E68B7">
        <w:rPr>
          <w:color w:val="002060"/>
        </w:rPr>
        <w:t>help</w:t>
      </w:r>
      <w:r w:rsidR="00755D6B" w:rsidRPr="005E68B7">
        <w:rPr>
          <w:color w:val="002060"/>
        </w:rPr>
        <w:t xml:space="preserve"> achiev</w:t>
      </w:r>
      <w:r w:rsidR="00306237" w:rsidRPr="005E68B7">
        <w:rPr>
          <w:color w:val="002060"/>
        </w:rPr>
        <w:t>e</w:t>
      </w:r>
      <w:r w:rsidR="00755D6B" w:rsidRPr="005E68B7">
        <w:rPr>
          <w:color w:val="002060"/>
        </w:rPr>
        <w:t xml:space="preserve"> the general objective</w:t>
      </w:r>
      <w:r w:rsidR="00306237" w:rsidRPr="005E68B7">
        <w:rPr>
          <w:color w:val="002060"/>
        </w:rPr>
        <w:t>s</w:t>
      </w:r>
      <w:r w:rsidR="00755D6B" w:rsidRPr="005E68B7">
        <w:rPr>
          <w:color w:val="002060"/>
        </w:rPr>
        <w:t xml:space="preserve"> of </w:t>
      </w:r>
      <w:r w:rsidR="008833BE" w:rsidRPr="005E68B7">
        <w:rPr>
          <w:color w:val="002060"/>
        </w:rPr>
        <w:t>“</w:t>
      </w:r>
      <w:r w:rsidR="00755D6B" w:rsidRPr="005E68B7">
        <w:rPr>
          <w:i/>
          <w:color w:val="002060"/>
        </w:rPr>
        <w:t>poverty eradication, sustainable and inclusive economic growth, and consolidation of democracies</w:t>
      </w:r>
      <w:r w:rsidR="00755D6B" w:rsidRPr="005E68B7">
        <w:rPr>
          <w:color w:val="002060"/>
        </w:rPr>
        <w:t>”.</w:t>
      </w:r>
      <w:r w:rsidR="00B62E3A" w:rsidRPr="005E68B7">
        <w:rPr>
          <w:color w:val="002060"/>
        </w:rPr>
        <w:t xml:space="preserve"> </w:t>
      </w:r>
      <w:r w:rsidRPr="005E68B7">
        <w:rPr>
          <w:color w:val="002060"/>
        </w:rPr>
        <w:t>And that “</w:t>
      </w:r>
      <w:r w:rsidRPr="005E68B7">
        <w:rPr>
          <w:i/>
          <w:color w:val="002060"/>
        </w:rPr>
        <w:t>The effectiveness of a budget support operation is therefore dependent on the relevance and credibility of the policy it supports</w:t>
      </w:r>
      <w:r w:rsidRPr="005E68B7">
        <w:rPr>
          <w:color w:val="002060"/>
        </w:rPr>
        <w:t xml:space="preserve">”.  </w:t>
      </w:r>
      <w:r w:rsidR="00D33A08" w:rsidRPr="005E68B7">
        <w:rPr>
          <w:color w:val="002060"/>
        </w:rPr>
        <w:t xml:space="preserve">It follows that the relevance and credibility of </w:t>
      </w:r>
      <w:r w:rsidR="001D3055">
        <w:rPr>
          <w:color w:val="002060"/>
        </w:rPr>
        <w:t xml:space="preserve">the public policy to be supported </w:t>
      </w:r>
      <w:r w:rsidR="008833BE" w:rsidRPr="00BB1D6E">
        <w:rPr>
          <w:color w:val="002060"/>
        </w:rPr>
        <w:t>as instrument</w:t>
      </w:r>
      <w:r w:rsidR="00B62E3A" w:rsidRPr="00BB1D6E">
        <w:rPr>
          <w:color w:val="002060"/>
        </w:rPr>
        <w:t xml:space="preserve"> to achieve the</w:t>
      </w:r>
      <w:r w:rsidR="00D33A08" w:rsidRPr="00BB1D6E">
        <w:rPr>
          <w:color w:val="002060"/>
        </w:rPr>
        <w:t xml:space="preserve"> above general objectives</w:t>
      </w:r>
      <w:r w:rsidR="00D33A08" w:rsidRPr="005E68B7">
        <w:rPr>
          <w:color w:val="002060"/>
        </w:rPr>
        <w:t>,</w:t>
      </w:r>
      <w:r w:rsidR="00B62E3A" w:rsidRPr="005E68B7">
        <w:rPr>
          <w:color w:val="002060"/>
        </w:rPr>
        <w:t xml:space="preserve"> is the first criterion for eligibility </w:t>
      </w:r>
      <w:r w:rsidRPr="005E68B7">
        <w:rPr>
          <w:color w:val="002060"/>
        </w:rPr>
        <w:t xml:space="preserve">that </w:t>
      </w:r>
      <w:r w:rsidR="00D33A08" w:rsidRPr="005E68B7">
        <w:rPr>
          <w:color w:val="002060"/>
        </w:rPr>
        <w:t xml:space="preserve">a </w:t>
      </w:r>
      <w:r w:rsidR="00B62E3A" w:rsidRPr="005E68B7">
        <w:rPr>
          <w:color w:val="002060"/>
        </w:rPr>
        <w:t>related B</w:t>
      </w:r>
      <w:r w:rsidR="00D33A08" w:rsidRPr="005E68B7">
        <w:rPr>
          <w:color w:val="002060"/>
        </w:rPr>
        <w:t>udget Support</w:t>
      </w:r>
      <w:r w:rsidR="00B62E3A" w:rsidRPr="005E68B7">
        <w:rPr>
          <w:color w:val="002060"/>
        </w:rPr>
        <w:t xml:space="preserve"> operation</w:t>
      </w:r>
      <w:r w:rsidR="00306237" w:rsidRPr="005E68B7">
        <w:rPr>
          <w:color w:val="002060"/>
        </w:rPr>
        <w:t>s</w:t>
      </w:r>
      <w:r w:rsidRPr="005E68B7">
        <w:rPr>
          <w:color w:val="002060"/>
        </w:rPr>
        <w:t xml:space="preserve"> </w:t>
      </w:r>
      <w:r w:rsidR="004345F0" w:rsidRPr="005E68B7">
        <w:rPr>
          <w:color w:val="002060"/>
        </w:rPr>
        <w:t>should</w:t>
      </w:r>
      <w:r w:rsidRPr="005E68B7">
        <w:rPr>
          <w:color w:val="002060"/>
        </w:rPr>
        <w:t xml:space="preserve"> satisfy.</w:t>
      </w:r>
      <w:r w:rsidR="00755D6B" w:rsidRPr="005E68B7">
        <w:rPr>
          <w:color w:val="002060"/>
        </w:rPr>
        <w:t xml:space="preserve"> </w:t>
      </w:r>
    </w:p>
    <w:p w:rsidR="005C0004" w:rsidRDefault="005C0004" w:rsidP="005C0004">
      <w:pPr>
        <w:pStyle w:val="NoSpacing"/>
        <w:jc w:val="both"/>
      </w:pPr>
    </w:p>
    <w:p w:rsidR="009B63C2" w:rsidRPr="005E68B7" w:rsidRDefault="005C0004" w:rsidP="005C0004">
      <w:pPr>
        <w:pStyle w:val="NoSpacing"/>
        <w:jc w:val="both"/>
        <w:rPr>
          <w:color w:val="002060"/>
        </w:rPr>
      </w:pPr>
      <w:r w:rsidRPr="005E68B7">
        <w:rPr>
          <w:color w:val="002060"/>
        </w:rPr>
        <w:t xml:space="preserve">Understanding </w:t>
      </w:r>
      <w:r w:rsidR="00E70CE9" w:rsidRPr="005E68B7">
        <w:rPr>
          <w:color w:val="002060"/>
        </w:rPr>
        <w:t xml:space="preserve">the </w:t>
      </w:r>
      <w:r w:rsidRPr="005E68B7">
        <w:rPr>
          <w:color w:val="002060"/>
        </w:rPr>
        <w:t>role</w:t>
      </w:r>
      <w:r w:rsidR="00D33A08" w:rsidRPr="005E68B7">
        <w:rPr>
          <w:color w:val="002060"/>
        </w:rPr>
        <w:t xml:space="preserve"> </w:t>
      </w:r>
      <w:r w:rsidRPr="005E68B7">
        <w:rPr>
          <w:color w:val="002060"/>
        </w:rPr>
        <w:t xml:space="preserve">that </w:t>
      </w:r>
      <w:r w:rsidR="00BA1BEF" w:rsidRPr="005E68B7">
        <w:rPr>
          <w:color w:val="002060"/>
        </w:rPr>
        <w:t xml:space="preserve">decentralization </w:t>
      </w:r>
      <w:r w:rsidRPr="005E68B7">
        <w:rPr>
          <w:color w:val="002060"/>
        </w:rPr>
        <w:t xml:space="preserve">may play </w:t>
      </w:r>
      <w:r w:rsidR="00BA1BEF" w:rsidRPr="005E68B7">
        <w:rPr>
          <w:color w:val="002060"/>
        </w:rPr>
        <w:t>for</w:t>
      </w:r>
      <w:r w:rsidR="00D33A08" w:rsidRPr="005E68B7">
        <w:rPr>
          <w:color w:val="002060"/>
        </w:rPr>
        <w:t xml:space="preserve"> poverty alleviation, </w:t>
      </w:r>
      <w:r w:rsidR="00424FBF">
        <w:rPr>
          <w:color w:val="002060"/>
        </w:rPr>
        <w:t xml:space="preserve">sustainable and inclusive </w:t>
      </w:r>
      <w:r w:rsidR="00D33A08" w:rsidRPr="005E68B7">
        <w:rPr>
          <w:color w:val="002060"/>
        </w:rPr>
        <w:t xml:space="preserve">economic growth and democracy consolidation is indeed a </w:t>
      </w:r>
      <w:r w:rsidR="00E70CE9" w:rsidRPr="005E68B7">
        <w:rPr>
          <w:color w:val="002060"/>
        </w:rPr>
        <w:t>complex task. Country contexts matter and generalization</w:t>
      </w:r>
      <w:r w:rsidR="000A571C">
        <w:rPr>
          <w:color w:val="002060"/>
        </w:rPr>
        <w:t>s</w:t>
      </w:r>
      <w:r w:rsidR="00E70CE9" w:rsidRPr="005E68B7">
        <w:rPr>
          <w:color w:val="002060"/>
        </w:rPr>
        <w:t xml:space="preserve"> are neither warranted nor useful. </w:t>
      </w:r>
      <w:r w:rsidR="00D33A08" w:rsidRPr="005E68B7">
        <w:rPr>
          <w:color w:val="002060"/>
        </w:rPr>
        <w:t xml:space="preserve"> </w:t>
      </w:r>
      <w:r w:rsidR="00E70CE9" w:rsidRPr="005E68B7">
        <w:rPr>
          <w:color w:val="002060"/>
        </w:rPr>
        <w:t xml:space="preserve">The </w:t>
      </w:r>
      <w:r w:rsidR="00BA1BEF" w:rsidRPr="005E68B7">
        <w:rPr>
          <w:color w:val="002060"/>
        </w:rPr>
        <w:t xml:space="preserve">conceptual framework to </w:t>
      </w:r>
      <w:r w:rsidR="002F23BC" w:rsidRPr="005E68B7">
        <w:rPr>
          <w:color w:val="002060"/>
        </w:rPr>
        <w:t>guide</w:t>
      </w:r>
      <w:r w:rsidRPr="005E68B7">
        <w:rPr>
          <w:color w:val="002060"/>
        </w:rPr>
        <w:t xml:space="preserve"> such understanding </w:t>
      </w:r>
      <w:r w:rsidR="00E70CE9" w:rsidRPr="005E68B7">
        <w:rPr>
          <w:color w:val="002060"/>
        </w:rPr>
        <w:t xml:space="preserve">is </w:t>
      </w:r>
      <w:r w:rsidR="00BA1BEF" w:rsidRPr="005E68B7">
        <w:rPr>
          <w:color w:val="002060"/>
        </w:rPr>
        <w:t xml:space="preserve">elaborated in some </w:t>
      </w:r>
      <w:r w:rsidR="00E70CE9" w:rsidRPr="005E68B7">
        <w:rPr>
          <w:color w:val="002060"/>
        </w:rPr>
        <w:t xml:space="preserve">detail in </w:t>
      </w:r>
      <w:r w:rsidR="00BA1BEF" w:rsidRPr="005E68B7">
        <w:rPr>
          <w:color w:val="002060"/>
        </w:rPr>
        <w:t xml:space="preserve">a separate guidance </w:t>
      </w:r>
      <w:r w:rsidR="00360D92" w:rsidRPr="005E68B7">
        <w:rPr>
          <w:color w:val="002060"/>
        </w:rPr>
        <w:t>document</w:t>
      </w:r>
      <w:r w:rsidR="00BA1BEF" w:rsidRPr="005E68B7">
        <w:rPr>
          <w:rStyle w:val="FootnoteReference"/>
          <w:color w:val="002060"/>
        </w:rPr>
        <w:footnoteReference w:id="8"/>
      </w:r>
      <w:r w:rsidR="00BA1BEF" w:rsidRPr="005E68B7">
        <w:rPr>
          <w:color w:val="002060"/>
        </w:rPr>
        <w:t xml:space="preserve">.  In summary it states </w:t>
      </w:r>
      <w:r w:rsidR="009B63C2" w:rsidRPr="005E68B7">
        <w:rPr>
          <w:color w:val="002060"/>
        </w:rPr>
        <w:t>that decentralization</w:t>
      </w:r>
      <w:r w:rsidR="00360D92" w:rsidRPr="005E68B7">
        <w:rPr>
          <w:iCs/>
          <w:color w:val="002060"/>
        </w:rPr>
        <w:t xml:space="preserve"> </w:t>
      </w:r>
      <w:r w:rsidR="00360D92" w:rsidRPr="005E68B7">
        <w:rPr>
          <w:color w:val="002060"/>
        </w:rPr>
        <w:t xml:space="preserve">reforms (and related changes in </w:t>
      </w:r>
      <w:r w:rsidR="00360D92" w:rsidRPr="005E68B7">
        <w:rPr>
          <w:iCs/>
          <w:color w:val="002060"/>
        </w:rPr>
        <w:t xml:space="preserve">local governance </w:t>
      </w:r>
      <w:r w:rsidR="00360D92" w:rsidRPr="005E68B7">
        <w:rPr>
          <w:color w:val="002060"/>
        </w:rPr>
        <w:t xml:space="preserve">systems) in any given country, </w:t>
      </w:r>
      <w:r w:rsidR="000A571C">
        <w:rPr>
          <w:color w:val="002060"/>
        </w:rPr>
        <w:t xml:space="preserve">include both, </w:t>
      </w:r>
      <w:r w:rsidR="00360D92" w:rsidRPr="005E68B7">
        <w:rPr>
          <w:i/>
          <w:iCs/>
          <w:color w:val="002060"/>
        </w:rPr>
        <w:t>political</w:t>
      </w:r>
      <w:r w:rsidR="00360D92" w:rsidRPr="005E68B7">
        <w:rPr>
          <w:iCs/>
          <w:color w:val="002060"/>
        </w:rPr>
        <w:t xml:space="preserve"> </w:t>
      </w:r>
      <w:r w:rsidR="00360D92" w:rsidRPr="005E68B7">
        <w:rPr>
          <w:color w:val="002060"/>
        </w:rPr>
        <w:t xml:space="preserve">and </w:t>
      </w:r>
      <w:r w:rsidR="00360D92" w:rsidRPr="005E68B7">
        <w:rPr>
          <w:i/>
          <w:iCs/>
          <w:color w:val="002060"/>
        </w:rPr>
        <w:t>developmental</w:t>
      </w:r>
      <w:r w:rsidR="00360D92" w:rsidRPr="005E68B7">
        <w:rPr>
          <w:iCs/>
          <w:color w:val="002060"/>
        </w:rPr>
        <w:t xml:space="preserve"> </w:t>
      </w:r>
      <w:r w:rsidR="000A571C">
        <w:rPr>
          <w:iCs/>
          <w:color w:val="002060"/>
        </w:rPr>
        <w:t>considerations</w:t>
      </w:r>
      <w:r w:rsidR="00360D92" w:rsidRPr="005E68B7">
        <w:rPr>
          <w:color w:val="002060"/>
        </w:rPr>
        <w:t xml:space="preserve">. </w:t>
      </w:r>
      <w:r w:rsidR="009B63C2" w:rsidRPr="005E68B7">
        <w:rPr>
          <w:color w:val="002060"/>
        </w:rPr>
        <w:t xml:space="preserve">The immediate objective of the former is </w:t>
      </w:r>
      <w:r w:rsidR="009B63C2" w:rsidRPr="005E68B7">
        <w:rPr>
          <w:iCs/>
          <w:color w:val="002060"/>
        </w:rPr>
        <w:t>political stability</w:t>
      </w:r>
      <w:r w:rsidR="009B63C2" w:rsidRPr="005E68B7">
        <w:rPr>
          <w:color w:val="002060"/>
        </w:rPr>
        <w:t xml:space="preserve">, (with or without a consolidation of local democracy), while that of the latter is </w:t>
      </w:r>
      <w:r w:rsidR="009B63C2" w:rsidRPr="005E68B7">
        <w:rPr>
          <w:iCs/>
          <w:color w:val="002060"/>
        </w:rPr>
        <w:t>local development</w:t>
      </w:r>
      <w:r w:rsidR="009B63C2" w:rsidRPr="005E68B7">
        <w:rPr>
          <w:color w:val="002060"/>
        </w:rPr>
        <w:t xml:space="preserve">. </w:t>
      </w:r>
      <w:r w:rsidR="000A571C">
        <w:rPr>
          <w:color w:val="002060"/>
        </w:rPr>
        <w:t>The analysis should recognize both dimensions and focus on strengthening possible synergies between the two</w:t>
      </w:r>
      <w:r w:rsidR="00360D92" w:rsidRPr="005E68B7">
        <w:rPr>
          <w:color w:val="002060"/>
        </w:rPr>
        <w:t xml:space="preserve">, depending on </w:t>
      </w:r>
      <w:r w:rsidR="000A571C">
        <w:rPr>
          <w:color w:val="002060"/>
        </w:rPr>
        <w:t xml:space="preserve">the specific country </w:t>
      </w:r>
      <w:r w:rsidR="00360D92" w:rsidRPr="005E68B7">
        <w:rPr>
          <w:color w:val="002060"/>
        </w:rPr>
        <w:t>context.</w:t>
      </w:r>
    </w:p>
    <w:p w:rsidR="00DF21EB" w:rsidRDefault="00DF21EB" w:rsidP="005C0004">
      <w:pPr>
        <w:pStyle w:val="NoSpacing"/>
        <w:jc w:val="both"/>
      </w:pPr>
    </w:p>
    <w:p w:rsidR="005C0004" w:rsidRPr="005E68B7" w:rsidRDefault="009B63C2" w:rsidP="005C0004">
      <w:pPr>
        <w:pStyle w:val="NoSpacing"/>
        <w:jc w:val="both"/>
        <w:rPr>
          <w:rFonts w:eastAsia="MS Mincho"/>
          <w:color w:val="002060"/>
          <w:lang w:eastAsia="ja-JP"/>
        </w:rPr>
      </w:pPr>
      <w:r w:rsidRPr="005E68B7">
        <w:rPr>
          <w:color w:val="002060"/>
        </w:rPr>
        <w:t xml:space="preserve">In practice the assessment of the relevance </w:t>
      </w:r>
      <w:r w:rsidR="005C0004" w:rsidRPr="005E68B7">
        <w:rPr>
          <w:color w:val="002060"/>
        </w:rPr>
        <w:t xml:space="preserve">and credibility </w:t>
      </w:r>
      <w:r w:rsidRPr="005E68B7">
        <w:rPr>
          <w:color w:val="002060"/>
        </w:rPr>
        <w:t>of a policy, and related BS operation, for poverty reduction, economic growth and democracy consolidation</w:t>
      </w:r>
      <w:r w:rsidR="00E67FBE" w:rsidRPr="005E68B7">
        <w:rPr>
          <w:color w:val="002060"/>
        </w:rPr>
        <w:t>,</w:t>
      </w:r>
      <w:r w:rsidRPr="005E68B7">
        <w:rPr>
          <w:color w:val="002060"/>
        </w:rPr>
        <w:t xml:space="preserve"> will </w:t>
      </w:r>
      <w:r w:rsidR="00047A6B" w:rsidRPr="005E68B7">
        <w:rPr>
          <w:color w:val="002060"/>
        </w:rPr>
        <w:t xml:space="preserve">need to </w:t>
      </w:r>
      <w:r w:rsidR="00086C65" w:rsidRPr="005E68B7">
        <w:rPr>
          <w:color w:val="002060"/>
        </w:rPr>
        <w:t>address</w:t>
      </w:r>
      <w:r w:rsidRPr="005E68B7">
        <w:rPr>
          <w:color w:val="002060"/>
        </w:rPr>
        <w:t xml:space="preserve"> a </w:t>
      </w:r>
      <w:r w:rsidR="00047A6B" w:rsidRPr="005E68B7">
        <w:rPr>
          <w:color w:val="002060"/>
        </w:rPr>
        <w:t>number of</w:t>
      </w:r>
      <w:r w:rsidR="00B0749F" w:rsidRPr="005E68B7">
        <w:rPr>
          <w:color w:val="002060"/>
        </w:rPr>
        <w:t xml:space="preserve"> </w:t>
      </w:r>
      <w:r w:rsidR="00047A6B" w:rsidRPr="005E68B7">
        <w:rPr>
          <w:color w:val="002060"/>
        </w:rPr>
        <w:t>program-</w:t>
      </w:r>
      <w:r w:rsidR="00B0749F" w:rsidRPr="005E68B7">
        <w:rPr>
          <w:color w:val="002060"/>
        </w:rPr>
        <w:t xml:space="preserve">specific </w:t>
      </w:r>
      <w:r w:rsidR="00086C65" w:rsidRPr="005E68B7">
        <w:rPr>
          <w:color w:val="002060"/>
        </w:rPr>
        <w:t>issues</w:t>
      </w:r>
      <w:r w:rsidR="00047A6B" w:rsidRPr="005E68B7">
        <w:rPr>
          <w:color w:val="002060"/>
        </w:rPr>
        <w:t>, which may</w:t>
      </w:r>
      <w:r w:rsidR="007B052E" w:rsidRPr="005E68B7">
        <w:rPr>
          <w:color w:val="002060"/>
        </w:rPr>
        <w:t xml:space="preserve"> have different relevance, depending on the type of operation being considered</w:t>
      </w:r>
      <w:r w:rsidR="00047A6B" w:rsidRPr="005E68B7">
        <w:rPr>
          <w:color w:val="002060"/>
        </w:rPr>
        <w:t xml:space="preserve">. </w:t>
      </w:r>
      <w:r w:rsidR="00556C47">
        <w:rPr>
          <w:color w:val="002060"/>
        </w:rPr>
        <w:t xml:space="preserve">While the </w:t>
      </w:r>
      <w:r w:rsidR="006B7422">
        <w:rPr>
          <w:color w:val="002060"/>
        </w:rPr>
        <w:t xml:space="preserve">specific </w:t>
      </w:r>
      <w:r w:rsidR="00556C47">
        <w:rPr>
          <w:color w:val="002060"/>
        </w:rPr>
        <w:t xml:space="preserve">policy focus may be different (government sector policies or overall decentralization policy depending </w:t>
      </w:r>
      <w:r w:rsidR="00556C47">
        <w:rPr>
          <w:color w:val="002060"/>
        </w:rPr>
        <w:lastRenderedPageBreak/>
        <w:t xml:space="preserve">on the type of operation) </w:t>
      </w:r>
      <w:r w:rsidR="006B7422">
        <w:rPr>
          <w:color w:val="002060"/>
        </w:rPr>
        <w:t>some overall s</w:t>
      </w:r>
      <w:r w:rsidR="00556C47">
        <w:rPr>
          <w:color w:val="002060"/>
        </w:rPr>
        <w:t xml:space="preserve">ubnational </w:t>
      </w:r>
      <w:r w:rsidR="006B7422">
        <w:rPr>
          <w:color w:val="002060"/>
        </w:rPr>
        <w:t xml:space="preserve">determinants of policy relevance and credibility in a decentralized context can be identified. </w:t>
      </w:r>
      <w:r w:rsidR="00047A6B" w:rsidRPr="005E68B7">
        <w:rPr>
          <w:color w:val="002060"/>
        </w:rPr>
        <w:t>Generally there should be an assessment of:</w:t>
      </w:r>
    </w:p>
    <w:p w:rsidR="00512963" w:rsidRDefault="00512963" w:rsidP="005C0004">
      <w:pPr>
        <w:pStyle w:val="NoSpacing"/>
        <w:jc w:val="both"/>
        <w:rPr>
          <w:rFonts w:eastAsia="MS Mincho"/>
          <w:color w:val="002060"/>
          <w:lang w:eastAsia="ja-JP"/>
        </w:rPr>
      </w:pPr>
    </w:p>
    <w:p w:rsidR="00664FD4" w:rsidRDefault="00664FD4" w:rsidP="005C0004">
      <w:pPr>
        <w:pStyle w:val="NoSpacing"/>
        <w:jc w:val="both"/>
        <w:rPr>
          <w:rFonts w:eastAsia="MS Mincho"/>
          <w:color w:val="002060"/>
          <w:lang w:eastAsia="ja-JP"/>
        </w:rPr>
      </w:pPr>
      <w:r>
        <w:rPr>
          <w:rFonts w:eastAsia="MS Mincho"/>
          <w:color w:val="002060"/>
          <w:lang w:eastAsia="ja-JP"/>
        </w:rPr>
        <w:t>POLICY FRAMEWORK</w:t>
      </w:r>
    </w:p>
    <w:p w:rsidR="00664FD4" w:rsidRDefault="00664FD4" w:rsidP="005C0004">
      <w:pPr>
        <w:pStyle w:val="NoSpacing"/>
        <w:jc w:val="both"/>
        <w:rPr>
          <w:rFonts w:eastAsia="MS Mincho"/>
          <w:color w:val="002060"/>
          <w:lang w:eastAsia="ja-JP"/>
        </w:rPr>
      </w:pPr>
    </w:p>
    <w:p w:rsidR="0096137E" w:rsidRDefault="00664FD4" w:rsidP="007B70FF">
      <w:pPr>
        <w:numPr>
          <w:ilvl w:val="0"/>
          <w:numId w:val="26"/>
        </w:numPr>
        <w:spacing w:after="0" w:line="240" w:lineRule="auto"/>
        <w:jc w:val="both"/>
        <w:rPr>
          <w:color w:val="002060"/>
        </w:rPr>
      </w:pPr>
      <w:r w:rsidRPr="007B70FF">
        <w:rPr>
          <w:color w:val="002060"/>
        </w:rPr>
        <w:t xml:space="preserve">Does the subnational authority have its own sector or overall development policy or is its mandate limited to implementing the central policies at local level? </w:t>
      </w:r>
      <w:r w:rsidR="0096137E" w:rsidRPr="007B70FF">
        <w:rPr>
          <w:color w:val="002060"/>
        </w:rPr>
        <w:t>What is the legal basis?</w:t>
      </w:r>
    </w:p>
    <w:p w:rsidR="005D1B32" w:rsidRPr="007B70FF" w:rsidRDefault="005D1B32" w:rsidP="007B70FF">
      <w:pPr>
        <w:numPr>
          <w:ilvl w:val="0"/>
          <w:numId w:val="26"/>
        </w:numPr>
        <w:spacing w:after="0" w:line="240" w:lineRule="auto"/>
        <w:jc w:val="both"/>
        <w:rPr>
          <w:color w:val="002060"/>
        </w:rPr>
      </w:pPr>
      <w:r>
        <w:rPr>
          <w:color w:val="002060"/>
        </w:rPr>
        <w:t xml:space="preserve">Does the subnational authority have an overall gender </w:t>
      </w:r>
      <w:r w:rsidR="001A7F45">
        <w:rPr>
          <w:color w:val="002060"/>
        </w:rPr>
        <w:t xml:space="preserve">equality </w:t>
      </w:r>
      <w:r>
        <w:rPr>
          <w:color w:val="002060"/>
        </w:rPr>
        <w:t xml:space="preserve">policy? </w:t>
      </w:r>
    </w:p>
    <w:p w:rsidR="003A1FC4" w:rsidRPr="007B70FF" w:rsidRDefault="003A1FC4" w:rsidP="007B70FF">
      <w:pPr>
        <w:pStyle w:val="ListParagraph"/>
        <w:numPr>
          <w:ilvl w:val="0"/>
          <w:numId w:val="26"/>
        </w:numPr>
        <w:spacing w:after="0" w:line="240" w:lineRule="auto"/>
        <w:rPr>
          <w:color w:val="002060"/>
        </w:rPr>
      </w:pPr>
      <w:r w:rsidRPr="007B70FF">
        <w:rPr>
          <w:color w:val="002060"/>
        </w:rPr>
        <w:t>What is the level of subnational ownership of the policy framework? Has the policy been consolidated through consultations with a wide range of stakeholders at subnational level, such as civil society</w:t>
      </w:r>
      <w:r w:rsidR="005D1B32">
        <w:rPr>
          <w:color w:val="002060"/>
        </w:rPr>
        <w:t xml:space="preserve"> (including women's and child's rights organizations)</w:t>
      </w:r>
      <w:r w:rsidRPr="007B70FF">
        <w:rPr>
          <w:color w:val="002060"/>
        </w:rPr>
        <w:t xml:space="preserve">, private sector, possibly development partners? </w:t>
      </w:r>
    </w:p>
    <w:p w:rsidR="003A1FC4" w:rsidRPr="007B70FF" w:rsidRDefault="00664FD4" w:rsidP="007B70FF">
      <w:pPr>
        <w:numPr>
          <w:ilvl w:val="0"/>
          <w:numId w:val="26"/>
        </w:numPr>
        <w:spacing w:after="0" w:line="240" w:lineRule="auto"/>
        <w:jc w:val="both"/>
        <w:rPr>
          <w:color w:val="002060"/>
        </w:rPr>
      </w:pPr>
      <w:r w:rsidRPr="007B70FF">
        <w:rPr>
          <w:color w:val="002060"/>
        </w:rPr>
        <w:t xml:space="preserve">Are the objectives of policies at central and sub-national level compatible with each other? </w:t>
      </w:r>
    </w:p>
    <w:p w:rsidR="004770A6" w:rsidRPr="007B70FF" w:rsidRDefault="003A1FC4" w:rsidP="007B70FF">
      <w:pPr>
        <w:numPr>
          <w:ilvl w:val="0"/>
          <w:numId w:val="26"/>
        </w:numPr>
        <w:spacing w:after="0" w:line="240" w:lineRule="auto"/>
        <w:jc w:val="both"/>
        <w:rPr>
          <w:color w:val="002060"/>
        </w:rPr>
      </w:pPr>
      <w:r w:rsidRPr="007B70FF">
        <w:rPr>
          <w:color w:val="002060"/>
        </w:rPr>
        <w:t xml:space="preserve">For sector </w:t>
      </w:r>
      <w:proofErr w:type="spellStart"/>
      <w:r w:rsidRPr="007B70FF">
        <w:rPr>
          <w:color w:val="002060"/>
        </w:rPr>
        <w:t>programmes</w:t>
      </w:r>
      <w:proofErr w:type="spellEnd"/>
      <w:r w:rsidRPr="007B70FF">
        <w:rPr>
          <w:color w:val="002060"/>
        </w:rPr>
        <w:t xml:space="preserve">: </w:t>
      </w:r>
      <w:r w:rsidR="0096137E" w:rsidRPr="007B70FF">
        <w:rPr>
          <w:color w:val="002060"/>
        </w:rPr>
        <w:t xml:space="preserve">Is the intended role of subnational government institutions in the delivery of services and implementation of </w:t>
      </w:r>
      <w:r w:rsidRPr="007B70FF">
        <w:rPr>
          <w:color w:val="002060"/>
        </w:rPr>
        <w:t xml:space="preserve">the </w:t>
      </w:r>
      <w:r w:rsidR="0096137E" w:rsidRPr="007B70FF">
        <w:rPr>
          <w:color w:val="002060"/>
        </w:rPr>
        <w:t>sector polic</w:t>
      </w:r>
      <w:r w:rsidRPr="007B70FF">
        <w:rPr>
          <w:color w:val="002060"/>
        </w:rPr>
        <w:t>y</w:t>
      </w:r>
      <w:r w:rsidR="0096137E" w:rsidRPr="007B70FF">
        <w:rPr>
          <w:color w:val="002060"/>
        </w:rPr>
        <w:t xml:space="preserve"> compatible with the overall decentralization arrangement of the country?</w:t>
      </w:r>
      <w:r w:rsidR="00664FD4" w:rsidRPr="007B70FF">
        <w:rPr>
          <w:color w:val="002060"/>
        </w:rPr>
        <w:t xml:space="preserve"> </w:t>
      </w:r>
    </w:p>
    <w:p w:rsidR="0096137E" w:rsidRPr="007B70FF" w:rsidRDefault="0096137E" w:rsidP="007B70FF">
      <w:pPr>
        <w:pStyle w:val="ListParagraph"/>
        <w:numPr>
          <w:ilvl w:val="0"/>
          <w:numId w:val="26"/>
        </w:numPr>
        <w:spacing w:after="0" w:line="240" w:lineRule="auto"/>
        <w:rPr>
          <w:color w:val="002060"/>
        </w:rPr>
      </w:pPr>
      <w:r w:rsidRPr="007B70FF">
        <w:rPr>
          <w:color w:val="002060"/>
        </w:rPr>
        <w:t xml:space="preserve">Are the risks of implementation and other constraints </w:t>
      </w:r>
      <w:r w:rsidR="003A1FC4" w:rsidRPr="007B70FF">
        <w:rPr>
          <w:color w:val="002060"/>
        </w:rPr>
        <w:t xml:space="preserve">at subnational level </w:t>
      </w:r>
      <w:r w:rsidRPr="007B70FF">
        <w:rPr>
          <w:color w:val="002060"/>
        </w:rPr>
        <w:t>properly addressed?</w:t>
      </w:r>
    </w:p>
    <w:p w:rsidR="0096137E" w:rsidRPr="007B70FF" w:rsidRDefault="003A1FC4" w:rsidP="007B70FF">
      <w:pPr>
        <w:pStyle w:val="ListParagraph"/>
        <w:numPr>
          <w:ilvl w:val="0"/>
          <w:numId w:val="26"/>
        </w:numPr>
        <w:spacing w:after="0" w:line="240" w:lineRule="auto"/>
        <w:rPr>
          <w:color w:val="002060"/>
        </w:rPr>
      </w:pPr>
      <w:r w:rsidRPr="007B70FF">
        <w:rPr>
          <w:color w:val="002060"/>
        </w:rPr>
        <w:t>Does the policy framework include implementation review processes owned by or including subnational/ local actors?</w:t>
      </w:r>
      <w:r w:rsidR="00826A1E">
        <w:rPr>
          <w:color w:val="002060"/>
        </w:rPr>
        <w:t xml:space="preserve"> </w:t>
      </w:r>
    </w:p>
    <w:p w:rsidR="00664FD4" w:rsidRPr="007B70FF" w:rsidRDefault="00664FD4" w:rsidP="007B70FF">
      <w:pPr>
        <w:numPr>
          <w:ilvl w:val="0"/>
          <w:numId w:val="26"/>
        </w:numPr>
        <w:spacing w:after="0" w:line="240" w:lineRule="auto"/>
        <w:jc w:val="both"/>
        <w:rPr>
          <w:color w:val="002060"/>
        </w:rPr>
      </w:pPr>
      <w:r w:rsidRPr="007B70FF">
        <w:rPr>
          <w:color w:val="002060"/>
        </w:rPr>
        <w:t>Are institutional and human resource capacities at local level suffic</w:t>
      </w:r>
      <w:r w:rsidR="003A1FC4" w:rsidRPr="007B70FF">
        <w:rPr>
          <w:color w:val="002060"/>
        </w:rPr>
        <w:t>ient to implement the policy</w:t>
      </w:r>
      <w:r w:rsidRPr="007B70FF">
        <w:rPr>
          <w:color w:val="002060"/>
        </w:rPr>
        <w:t>?</w:t>
      </w:r>
      <w:r w:rsidR="003A1FC4" w:rsidRPr="007B70FF">
        <w:rPr>
          <w:color w:val="002060"/>
        </w:rPr>
        <w:t xml:space="preserve"> Which are the mechanisms and stakeholders for policy implementation at subnational level?</w:t>
      </w:r>
    </w:p>
    <w:p w:rsidR="00512963" w:rsidRDefault="00512963" w:rsidP="005C0004">
      <w:pPr>
        <w:pStyle w:val="NoSpacing"/>
        <w:jc w:val="both"/>
        <w:rPr>
          <w:rFonts w:eastAsia="MS Mincho"/>
          <w:color w:val="002060"/>
          <w:lang w:eastAsia="ja-JP"/>
        </w:rPr>
      </w:pPr>
    </w:p>
    <w:p w:rsidR="00664FD4" w:rsidRPr="005E68B7" w:rsidRDefault="00664FD4" w:rsidP="005C0004">
      <w:pPr>
        <w:pStyle w:val="NoSpacing"/>
        <w:jc w:val="both"/>
        <w:rPr>
          <w:rFonts w:eastAsia="MS Mincho"/>
          <w:color w:val="002060"/>
          <w:lang w:eastAsia="ja-JP"/>
        </w:rPr>
      </w:pPr>
    </w:p>
    <w:p w:rsidR="005C0004" w:rsidRPr="005E68B7" w:rsidRDefault="005C0004" w:rsidP="005C0004">
      <w:pPr>
        <w:pStyle w:val="NoSpacing"/>
        <w:jc w:val="both"/>
        <w:rPr>
          <w:i/>
          <w:color w:val="002060"/>
        </w:rPr>
      </w:pPr>
      <w:r w:rsidRPr="005E68B7">
        <w:rPr>
          <w:i/>
          <w:color w:val="002060"/>
        </w:rPr>
        <w:t>POLICY RELEVANCE</w:t>
      </w:r>
    </w:p>
    <w:p w:rsidR="005C0004" w:rsidRPr="005E68B7" w:rsidRDefault="005C0004" w:rsidP="000343B0">
      <w:pPr>
        <w:pStyle w:val="NoSpacing"/>
        <w:jc w:val="both"/>
        <w:rPr>
          <w:rFonts w:eastAsia="MS Mincho"/>
          <w:color w:val="002060"/>
          <w:lang w:eastAsia="ja-JP"/>
        </w:rPr>
      </w:pPr>
    </w:p>
    <w:p w:rsidR="00E349F5" w:rsidRDefault="00047A6B" w:rsidP="007B70FF">
      <w:pPr>
        <w:pStyle w:val="NoSpacing"/>
        <w:numPr>
          <w:ilvl w:val="0"/>
          <w:numId w:val="5"/>
        </w:numPr>
        <w:jc w:val="both"/>
        <w:rPr>
          <w:rFonts w:eastAsia="MS Mincho"/>
          <w:color w:val="002060"/>
          <w:lang w:eastAsia="ja-JP"/>
        </w:rPr>
      </w:pPr>
      <w:r w:rsidRPr="005E68B7">
        <w:rPr>
          <w:rFonts w:eastAsia="MS Mincho"/>
          <w:color w:val="002060"/>
          <w:lang w:eastAsia="ja-JP"/>
        </w:rPr>
        <w:t>Whether t</w:t>
      </w:r>
      <w:r w:rsidR="005D757A" w:rsidRPr="005E68B7">
        <w:rPr>
          <w:rFonts w:eastAsia="MS Mincho"/>
          <w:color w:val="002060"/>
          <w:lang w:eastAsia="ja-JP"/>
        </w:rPr>
        <w:t>he political drivers of decentralization reforms</w:t>
      </w:r>
      <w:r w:rsidRPr="005E68B7">
        <w:rPr>
          <w:rFonts w:eastAsia="MS Mincho"/>
          <w:color w:val="002060"/>
          <w:lang w:eastAsia="ja-JP"/>
        </w:rPr>
        <w:t xml:space="preserve"> are compatible </w:t>
      </w:r>
      <w:r w:rsidR="00685CC8" w:rsidRPr="005E68B7">
        <w:rPr>
          <w:rFonts w:eastAsia="MS Mincho"/>
          <w:color w:val="002060"/>
          <w:lang w:eastAsia="ja-JP"/>
        </w:rPr>
        <w:t>with</w:t>
      </w:r>
      <w:r w:rsidR="00B50B01" w:rsidRPr="005E68B7">
        <w:rPr>
          <w:rFonts w:eastAsia="MS Mincho"/>
          <w:color w:val="002060"/>
          <w:lang w:eastAsia="ja-JP"/>
        </w:rPr>
        <w:t xml:space="preserve"> and/or</w:t>
      </w:r>
      <w:r w:rsidRPr="005E68B7">
        <w:rPr>
          <w:rFonts w:eastAsia="MS Mincho"/>
          <w:color w:val="002060"/>
          <w:lang w:eastAsia="ja-JP"/>
        </w:rPr>
        <w:t xml:space="preserve"> supportive of </w:t>
      </w:r>
      <w:r w:rsidR="00C25691" w:rsidRPr="005E68B7">
        <w:rPr>
          <w:rFonts w:eastAsia="MS Mincho"/>
          <w:color w:val="002060"/>
          <w:lang w:eastAsia="ja-JP"/>
        </w:rPr>
        <w:t>the</w:t>
      </w:r>
      <w:r w:rsidR="00685CC8" w:rsidRPr="005E68B7">
        <w:rPr>
          <w:rFonts w:eastAsia="MS Mincho"/>
          <w:color w:val="002060"/>
          <w:lang w:eastAsia="ja-JP"/>
        </w:rPr>
        <w:t xml:space="preserve"> consolidation of local democracy</w:t>
      </w:r>
      <w:r w:rsidR="00E349F5">
        <w:rPr>
          <w:rFonts w:eastAsia="MS Mincho"/>
          <w:color w:val="002060"/>
          <w:lang w:eastAsia="ja-JP"/>
        </w:rPr>
        <w:t xml:space="preserve">. </w:t>
      </w:r>
    </w:p>
    <w:p w:rsidR="004809AC" w:rsidRDefault="00047A6B" w:rsidP="007B70FF">
      <w:pPr>
        <w:pStyle w:val="NoSpacing"/>
        <w:numPr>
          <w:ilvl w:val="0"/>
          <w:numId w:val="5"/>
        </w:numPr>
        <w:jc w:val="both"/>
        <w:rPr>
          <w:rFonts w:eastAsia="MS Mincho"/>
          <w:color w:val="002060"/>
          <w:lang w:eastAsia="ja-JP"/>
        </w:rPr>
      </w:pPr>
      <w:r w:rsidRPr="00E349F5">
        <w:rPr>
          <w:rFonts w:eastAsia="MS Mincho"/>
          <w:color w:val="002060"/>
          <w:lang w:eastAsia="ja-JP"/>
        </w:rPr>
        <w:t>Whether the</w:t>
      </w:r>
      <w:r w:rsidR="00C25691" w:rsidRPr="00E349F5">
        <w:rPr>
          <w:rFonts w:eastAsia="MS Mincho"/>
          <w:color w:val="002060"/>
          <w:lang w:eastAsia="ja-JP"/>
        </w:rPr>
        <w:t xml:space="preserve"> </w:t>
      </w:r>
      <w:r w:rsidR="004809AC" w:rsidRPr="00E349F5">
        <w:rPr>
          <w:rFonts w:eastAsia="MS Mincho"/>
          <w:color w:val="002060"/>
          <w:lang w:eastAsia="ja-JP"/>
        </w:rPr>
        <w:t>proposed policy</w:t>
      </w:r>
      <w:r w:rsidR="00C25691" w:rsidRPr="00E349F5">
        <w:rPr>
          <w:rFonts w:eastAsia="MS Mincho"/>
          <w:color w:val="002060"/>
          <w:lang w:eastAsia="ja-JP"/>
        </w:rPr>
        <w:t xml:space="preserve"> </w:t>
      </w:r>
      <w:r w:rsidRPr="00E349F5">
        <w:rPr>
          <w:rFonts w:eastAsia="MS Mincho"/>
          <w:color w:val="002060"/>
          <w:lang w:eastAsia="ja-JP"/>
        </w:rPr>
        <w:t xml:space="preserve">is </w:t>
      </w:r>
      <w:r w:rsidR="00216D6E" w:rsidRPr="00E349F5">
        <w:rPr>
          <w:rFonts w:eastAsia="MS Mincho"/>
          <w:color w:val="002060"/>
          <w:lang w:eastAsia="ja-JP"/>
        </w:rPr>
        <w:t>likely to lead to more inclusive and better informed local political deliberations and more</w:t>
      </w:r>
      <w:r w:rsidR="00685CC8" w:rsidRPr="00E349F5">
        <w:rPr>
          <w:rFonts w:eastAsia="MS Mincho"/>
          <w:color w:val="002060"/>
          <w:lang w:eastAsia="ja-JP"/>
        </w:rPr>
        <w:t xml:space="preserve"> </w:t>
      </w:r>
      <w:r w:rsidR="00216D6E" w:rsidRPr="00E349F5">
        <w:rPr>
          <w:rFonts w:eastAsia="MS Mincho"/>
          <w:color w:val="002060"/>
          <w:lang w:eastAsia="ja-JP"/>
        </w:rPr>
        <w:t>participatory</w:t>
      </w:r>
      <w:r w:rsidR="00685CC8" w:rsidRPr="00E349F5">
        <w:rPr>
          <w:rFonts w:eastAsia="MS Mincho"/>
          <w:color w:val="002060"/>
          <w:lang w:eastAsia="ja-JP"/>
        </w:rPr>
        <w:t xml:space="preserve"> </w:t>
      </w:r>
      <w:r w:rsidR="00216D6E" w:rsidRPr="00E349F5">
        <w:rPr>
          <w:rFonts w:eastAsia="MS Mincho"/>
          <w:color w:val="002060"/>
          <w:lang w:eastAsia="ja-JP"/>
        </w:rPr>
        <w:t>policy-making and implementation</w:t>
      </w:r>
      <w:r w:rsidRPr="00E349F5">
        <w:rPr>
          <w:rFonts w:eastAsia="MS Mincho"/>
          <w:color w:val="002060"/>
          <w:lang w:eastAsia="ja-JP"/>
        </w:rPr>
        <w:t>. And h</w:t>
      </w:r>
      <w:r w:rsidR="004809AC" w:rsidRPr="00E349F5">
        <w:rPr>
          <w:rFonts w:eastAsia="MS Mincho"/>
          <w:color w:val="002060"/>
          <w:lang w:eastAsia="ja-JP"/>
        </w:rPr>
        <w:t xml:space="preserve">ow </w:t>
      </w:r>
      <w:r w:rsidRPr="00E349F5">
        <w:rPr>
          <w:rFonts w:eastAsia="MS Mincho"/>
          <w:color w:val="002060"/>
          <w:lang w:eastAsia="ja-JP"/>
        </w:rPr>
        <w:t>the policy</w:t>
      </w:r>
      <w:r w:rsidR="004809AC" w:rsidRPr="00E349F5">
        <w:rPr>
          <w:rFonts w:eastAsia="MS Mincho"/>
          <w:color w:val="002060"/>
          <w:lang w:eastAsia="ja-JP"/>
        </w:rPr>
        <w:t xml:space="preserve"> address</w:t>
      </w:r>
      <w:r w:rsidRPr="00E349F5">
        <w:rPr>
          <w:rFonts w:eastAsia="MS Mincho"/>
          <w:color w:val="002060"/>
          <w:lang w:eastAsia="ja-JP"/>
        </w:rPr>
        <w:t>es</w:t>
      </w:r>
      <w:r w:rsidR="00685CC8" w:rsidRPr="00E349F5">
        <w:rPr>
          <w:rFonts w:eastAsia="MS Mincho"/>
          <w:color w:val="002060"/>
          <w:lang w:eastAsia="ja-JP"/>
        </w:rPr>
        <w:t xml:space="preserve"> the risk of </w:t>
      </w:r>
      <w:r w:rsidR="004809AC" w:rsidRPr="00E349F5">
        <w:rPr>
          <w:rFonts w:eastAsia="MS Mincho"/>
          <w:color w:val="002060"/>
          <w:lang w:eastAsia="ja-JP"/>
        </w:rPr>
        <w:t>capture of the benefits of decentralization</w:t>
      </w:r>
      <w:r w:rsidR="001C277D" w:rsidRPr="00E349F5">
        <w:rPr>
          <w:rFonts w:eastAsia="MS Mincho"/>
          <w:color w:val="002060"/>
          <w:lang w:eastAsia="ja-JP"/>
        </w:rPr>
        <w:t xml:space="preserve"> by local/regional elites</w:t>
      </w:r>
      <w:r w:rsidRPr="00E349F5">
        <w:rPr>
          <w:rFonts w:eastAsia="MS Mincho"/>
          <w:color w:val="002060"/>
          <w:lang w:eastAsia="ja-JP"/>
        </w:rPr>
        <w:t>.</w:t>
      </w:r>
    </w:p>
    <w:p w:rsidR="00E349F5" w:rsidRPr="00E349F5" w:rsidRDefault="00E349F5" w:rsidP="00E349F5">
      <w:pPr>
        <w:pStyle w:val="ListParagraph"/>
        <w:numPr>
          <w:ilvl w:val="0"/>
          <w:numId w:val="5"/>
        </w:numPr>
        <w:rPr>
          <w:rFonts w:eastAsia="MS Mincho"/>
          <w:color w:val="002060"/>
          <w:lang w:eastAsia="ja-JP"/>
        </w:rPr>
      </w:pPr>
      <w:r w:rsidRPr="00E349F5">
        <w:rPr>
          <w:rFonts w:eastAsia="MS Mincho"/>
          <w:color w:val="002060"/>
          <w:lang w:eastAsia="ja-JP"/>
        </w:rPr>
        <w:t>Whether planning and budgeting process</w:t>
      </w:r>
      <w:r w:rsidR="00936487">
        <w:rPr>
          <w:rFonts w:eastAsia="MS Mincho"/>
          <w:color w:val="002060"/>
          <w:lang w:eastAsia="ja-JP"/>
        </w:rPr>
        <w:t>es</w:t>
      </w:r>
      <w:r w:rsidRPr="00E349F5">
        <w:rPr>
          <w:rFonts w:eastAsia="MS Mincho"/>
          <w:color w:val="002060"/>
          <w:lang w:eastAsia="ja-JP"/>
        </w:rPr>
        <w:t xml:space="preserve"> are inclusive of gender </w:t>
      </w:r>
      <w:r>
        <w:rPr>
          <w:rFonts w:eastAsia="MS Mincho"/>
          <w:color w:val="002060"/>
          <w:lang w:eastAsia="ja-JP"/>
        </w:rPr>
        <w:t xml:space="preserve">equality and </w:t>
      </w:r>
      <w:r w:rsidR="0071789A">
        <w:rPr>
          <w:rFonts w:eastAsia="MS Mincho"/>
          <w:color w:val="002060"/>
          <w:lang w:eastAsia="ja-JP"/>
        </w:rPr>
        <w:t xml:space="preserve">of </w:t>
      </w:r>
      <w:r w:rsidR="00FD29B3">
        <w:rPr>
          <w:rFonts w:eastAsia="MS Mincho"/>
          <w:color w:val="002060"/>
          <w:lang w:eastAsia="ja-JP"/>
        </w:rPr>
        <w:t>the most vulnerable</w:t>
      </w:r>
      <w:r w:rsidRPr="00E349F5">
        <w:rPr>
          <w:rFonts w:eastAsia="MS Mincho"/>
          <w:color w:val="002060"/>
          <w:lang w:eastAsia="ja-JP"/>
        </w:rPr>
        <w:t xml:space="preserve"> and facilitate the participation of </w:t>
      </w:r>
      <w:r w:rsidR="0071789A">
        <w:rPr>
          <w:rFonts w:eastAsia="MS Mincho"/>
          <w:color w:val="002060"/>
          <w:lang w:eastAsia="ja-JP"/>
        </w:rPr>
        <w:t>all stakeholders</w:t>
      </w:r>
      <w:r w:rsidRPr="00E349F5">
        <w:rPr>
          <w:rFonts w:eastAsia="MS Mincho"/>
          <w:color w:val="002060"/>
          <w:lang w:eastAsia="ja-JP"/>
        </w:rPr>
        <w:t>.</w:t>
      </w:r>
    </w:p>
    <w:p w:rsidR="00FD7717" w:rsidRPr="005E68B7" w:rsidRDefault="00047A6B" w:rsidP="007B70FF">
      <w:pPr>
        <w:pStyle w:val="NoSpacing"/>
        <w:numPr>
          <w:ilvl w:val="0"/>
          <w:numId w:val="5"/>
        </w:numPr>
        <w:jc w:val="both"/>
        <w:rPr>
          <w:rFonts w:eastAsia="MS Mincho"/>
          <w:color w:val="002060"/>
          <w:lang w:eastAsia="ja-JP"/>
        </w:rPr>
      </w:pPr>
      <w:r w:rsidRPr="005E68B7">
        <w:rPr>
          <w:rFonts w:eastAsia="MS Mincho"/>
          <w:color w:val="002060"/>
          <w:lang w:eastAsia="ja-JP"/>
        </w:rPr>
        <w:t>Whether</w:t>
      </w:r>
      <w:r w:rsidR="00685CC8" w:rsidRPr="005E68B7">
        <w:rPr>
          <w:rFonts w:eastAsia="MS Mincho"/>
          <w:color w:val="002060"/>
          <w:lang w:eastAsia="ja-JP"/>
        </w:rPr>
        <w:t xml:space="preserve"> the </w:t>
      </w:r>
      <w:r w:rsidR="00C25691" w:rsidRPr="005E68B7">
        <w:rPr>
          <w:rFonts w:eastAsia="MS Mincho"/>
          <w:color w:val="002060"/>
          <w:lang w:eastAsia="ja-JP"/>
        </w:rPr>
        <w:t xml:space="preserve">electoral </w:t>
      </w:r>
      <w:r w:rsidR="00685CC8" w:rsidRPr="005E68B7">
        <w:rPr>
          <w:rFonts w:eastAsia="MS Mincho"/>
          <w:color w:val="002060"/>
          <w:lang w:eastAsia="ja-JP"/>
        </w:rPr>
        <w:t xml:space="preserve">system </w:t>
      </w:r>
      <w:r w:rsidRPr="005E68B7">
        <w:rPr>
          <w:rFonts w:eastAsia="MS Mincho"/>
          <w:color w:val="002060"/>
          <w:lang w:eastAsia="ja-JP"/>
        </w:rPr>
        <w:t xml:space="preserve">is </w:t>
      </w:r>
      <w:r w:rsidR="00216D6E" w:rsidRPr="005E68B7">
        <w:rPr>
          <w:rFonts w:eastAsia="MS Mincho"/>
          <w:color w:val="002060"/>
          <w:lang w:eastAsia="ja-JP"/>
        </w:rPr>
        <w:t xml:space="preserve">likely to </w:t>
      </w:r>
      <w:r w:rsidR="00C25691" w:rsidRPr="005E68B7">
        <w:rPr>
          <w:rFonts w:eastAsia="MS Mincho"/>
          <w:color w:val="002060"/>
          <w:lang w:eastAsia="ja-JP"/>
        </w:rPr>
        <w:t>favor, or constrain,</w:t>
      </w:r>
      <w:r w:rsidR="00685CC8" w:rsidRPr="005E68B7">
        <w:rPr>
          <w:rFonts w:eastAsia="MS Mincho"/>
          <w:color w:val="002060"/>
          <w:lang w:eastAsia="ja-JP"/>
        </w:rPr>
        <w:t xml:space="preserve"> the emergence of </w:t>
      </w:r>
      <w:r w:rsidR="001C277D" w:rsidRPr="005E68B7">
        <w:rPr>
          <w:rFonts w:eastAsia="MS Mincho"/>
          <w:color w:val="002060"/>
          <w:lang w:eastAsia="ja-JP"/>
        </w:rPr>
        <w:t>better local political representatives and innovative</w:t>
      </w:r>
      <w:r w:rsidR="00685CC8" w:rsidRPr="005E68B7">
        <w:rPr>
          <w:rFonts w:eastAsia="MS Mincho"/>
          <w:color w:val="002060"/>
          <w:lang w:eastAsia="ja-JP"/>
        </w:rPr>
        <w:t xml:space="preserve"> local development leaders</w:t>
      </w:r>
      <w:r w:rsidRPr="005E68B7">
        <w:rPr>
          <w:rFonts w:eastAsia="MS Mincho"/>
          <w:color w:val="002060"/>
          <w:lang w:eastAsia="ja-JP"/>
        </w:rPr>
        <w:t>.</w:t>
      </w:r>
      <w:r w:rsidR="00D06E64" w:rsidRPr="005E68B7">
        <w:rPr>
          <w:rFonts w:eastAsia="MS Mincho"/>
          <w:color w:val="002060"/>
          <w:lang w:eastAsia="ja-JP"/>
        </w:rPr>
        <w:t xml:space="preserve"> </w:t>
      </w:r>
    </w:p>
    <w:p w:rsidR="001C277D" w:rsidRPr="005E68B7" w:rsidRDefault="0073137E" w:rsidP="007B70FF">
      <w:pPr>
        <w:pStyle w:val="NoSpacing"/>
        <w:numPr>
          <w:ilvl w:val="0"/>
          <w:numId w:val="5"/>
        </w:numPr>
        <w:jc w:val="both"/>
        <w:rPr>
          <w:rFonts w:eastAsia="MS Mincho"/>
          <w:color w:val="002060"/>
          <w:lang w:eastAsia="ja-JP"/>
        </w:rPr>
      </w:pPr>
      <w:r w:rsidRPr="005E68B7">
        <w:rPr>
          <w:rFonts w:eastAsia="MS Mincho"/>
          <w:color w:val="002060"/>
          <w:lang w:eastAsia="ja-JP"/>
        </w:rPr>
        <w:t>W</w:t>
      </w:r>
      <w:r w:rsidR="006B7422">
        <w:rPr>
          <w:rFonts w:eastAsia="MS Mincho"/>
          <w:color w:val="002060"/>
          <w:lang w:eastAsia="ja-JP"/>
        </w:rPr>
        <w:t>h</w:t>
      </w:r>
      <w:r w:rsidR="00047A6B" w:rsidRPr="005E68B7">
        <w:rPr>
          <w:rFonts w:eastAsia="MS Mincho"/>
          <w:color w:val="002060"/>
          <w:lang w:eastAsia="ja-JP"/>
        </w:rPr>
        <w:t>ether</w:t>
      </w:r>
      <w:r w:rsidR="001C277D" w:rsidRPr="005E68B7">
        <w:rPr>
          <w:rFonts w:eastAsia="MS Mincho"/>
          <w:color w:val="002060"/>
          <w:lang w:eastAsia="ja-JP"/>
        </w:rPr>
        <w:t xml:space="preserve"> the proposed policy </w:t>
      </w:r>
      <w:r w:rsidR="00047A6B" w:rsidRPr="005E68B7">
        <w:rPr>
          <w:rFonts w:eastAsia="MS Mincho"/>
          <w:color w:val="002060"/>
          <w:lang w:eastAsia="ja-JP"/>
        </w:rPr>
        <w:t>is likely</w:t>
      </w:r>
      <w:r w:rsidR="001C277D" w:rsidRPr="005E68B7">
        <w:rPr>
          <w:rFonts w:eastAsia="MS Mincho"/>
          <w:color w:val="002060"/>
          <w:lang w:eastAsia="ja-JP"/>
        </w:rPr>
        <w:t xml:space="preserve"> to </w:t>
      </w:r>
      <w:r w:rsidR="00047A6B" w:rsidRPr="005E68B7">
        <w:rPr>
          <w:rFonts w:eastAsia="MS Mincho"/>
          <w:color w:val="002060"/>
          <w:lang w:eastAsia="ja-JP"/>
        </w:rPr>
        <w:t>reduce</w:t>
      </w:r>
      <w:r w:rsidR="001C277D" w:rsidRPr="005E68B7">
        <w:rPr>
          <w:rFonts w:eastAsia="MS Mincho"/>
          <w:color w:val="002060"/>
          <w:lang w:eastAsia="ja-JP"/>
        </w:rPr>
        <w:t xml:space="preserve"> or </w:t>
      </w:r>
      <w:r w:rsidRPr="005E68B7">
        <w:rPr>
          <w:rFonts w:eastAsia="MS Mincho"/>
          <w:color w:val="002060"/>
          <w:lang w:eastAsia="ja-JP"/>
        </w:rPr>
        <w:t>increase</w:t>
      </w:r>
      <w:r w:rsidR="001C277D" w:rsidRPr="005E68B7">
        <w:rPr>
          <w:rFonts w:eastAsia="MS Mincho"/>
          <w:color w:val="002060"/>
          <w:lang w:eastAsia="ja-JP"/>
        </w:rPr>
        <w:t xml:space="preserve"> territorial imbalances in economic development and social cohesion</w:t>
      </w:r>
    </w:p>
    <w:p w:rsidR="004809AC" w:rsidRPr="005E68B7" w:rsidRDefault="0073137E" w:rsidP="007B70FF">
      <w:pPr>
        <w:pStyle w:val="NoSpacing"/>
        <w:numPr>
          <w:ilvl w:val="0"/>
          <w:numId w:val="5"/>
        </w:numPr>
        <w:jc w:val="both"/>
        <w:rPr>
          <w:rFonts w:eastAsia="MS Mincho"/>
          <w:color w:val="002060"/>
          <w:lang w:eastAsia="ja-JP"/>
        </w:rPr>
      </w:pPr>
      <w:r w:rsidRPr="005E68B7">
        <w:rPr>
          <w:rFonts w:eastAsia="MS Mincho"/>
          <w:color w:val="002060"/>
          <w:lang w:eastAsia="ja-JP"/>
        </w:rPr>
        <w:t>Whether</w:t>
      </w:r>
      <w:r w:rsidR="001C277D" w:rsidRPr="005E68B7">
        <w:rPr>
          <w:rFonts w:eastAsia="MS Mincho"/>
          <w:color w:val="002060"/>
          <w:lang w:eastAsia="ja-JP"/>
        </w:rPr>
        <w:t xml:space="preserve"> the</w:t>
      </w:r>
      <w:r w:rsidRPr="005E68B7">
        <w:rPr>
          <w:rFonts w:eastAsia="MS Mincho"/>
          <w:color w:val="002060"/>
          <w:lang w:eastAsia="ja-JP"/>
        </w:rPr>
        <w:t>re is or not a</w:t>
      </w:r>
      <w:r w:rsidR="00FD7717" w:rsidRPr="005E68B7">
        <w:rPr>
          <w:rFonts w:eastAsia="MS Mincho"/>
          <w:color w:val="002060"/>
          <w:lang w:eastAsia="ja-JP"/>
        </w:rPr>
        <w:t xml:space="preserve"> national policy commitment to the local development as a</w:t>
      </w:r>
      <w:r w:rsidR="00794E19" w:rsidRPr="005E68B7">
        <w:rPr>
          <w:rFonts w:eastAsia="MS Mincho"/>
          <w:color w:val="002060"/>
          <w:lang w:eastAsia="ja-JP"/>
        </w:rPr>
        <w:t>n important complement of national /sector de</w:t>
      </w:r>
      <w:r w:rsidR="00FD7717" w:rsidRPr="005E68B7">
        <w:rPr>
          <w:rFonts w:eastAsia="MS Mincho"/>
          <w:color w:val="002060"/>
          <w:lang w:eastAsia="ja-JP"/>
        </w:rPr>
        <w:t>velopment policy</w:t>
      </w:r>
      <w:r w:rsidRPr="005E68B7">
        <w:rPr>
          <w:rFonts w:eastAsia="MS Mincho"/>
          <w:color w:val="002060"/>
          <w:lang w:eastAsia="ja-JP"/>
        </w:rPr>
        <w:t>. And whether the</w:t>
      </w:r>
      <w:r w:rsidR="004809AC" w:rsidRPr="005E68B7">
        <w:rPr>
          <w:rFonts w:eastAsia="MS Mincho"/>
          <w:color w:val="002060"/>
          <w:lang w:eastAsia="ja-JP"/>
        </w:rPr>
        <w:t xml:space="preserve"> policy </w:t>
      </w:r>
      <w:r w:rsidRPr="005E68B7">
        <w:rPr>
          <w:rFonts w:eastAsia="MS Mincho"/>
          <w:color w:val="002060"/>
          <w:lang w:eastAsia="ja-JP"/>
        </w:rPr>
        <w:t>does or does not create</w:t>
      </w:r>
      <w:r w:rsidR="00C25691" w:rsidRPr="005E68B7">
        <w:rPr>
          <w:rFonts w:eastAsia="MS Mincho"/>
          <w:color w:val="002060"/>
          <w:lang w:eastAsia="ja-JP"/>
        </w:rPr>
        <w:t xml:space="preserve"> </w:t>
      </w:r>
      <w:r w:rsidR="005D757A" w:rsidRPr="005E68B7">
        <w:rPr>
          <w:rFonts w:eastAsia="MS Mincho"/>
          <w:color w:val="002060"/>
          <w:lang w:eastAsia="ja-JP"/>
        </w:rPr>
        <w:t xml:space="preserve">space for autonomous and accountable local authorities </w:t>
      </w:r>
      <w:r w:rsidR="00C25691" w:rsidRPr="005E68B7">
        <w:rPr>
          <w:rFonts w:eastAsia="MS Mincho"/>
          <w:color w:val="002060"/>
          <w:lang w:eastAsia="ja-JP"/>
        </w:rPr>
        <w:t xml:space="preserve">to </w:t>
      </w:r>
      <w:r w:rsidR="005D757A" w:rsidRPr="005E68B7">
        <w:rPr>
          <w:rFonts w:eastAsia="MS Mincho"/>
          <w:color w:val="002060"/>
          <w:lang w:eastAsia="ja-JP"/>
        </w:rPr>
        <w:t>promot</w:t>
      </w:r>
      <w:r w:rsidR="00C25691" w:rsidRPr="005E68B7">
        <w:rPr>
          <w:rFonts w:eastAsia="MS Mincho"/>
          <w:color w:val="002060"/>
          <w:lang w:eastAsia="ja-JP"/>
        </w:rPr>
        <w:t>e</w:t>
      </w:r>
      <w:r w:rsidR="005D757A" w:rsidRPr="005E68B7">
        <w:rPr>
          <w:rFonts w:eastAsia="MS Mincho"/>
          <w:color w:val="002060"/>
          <w:lang w:eastAsia="ja-JP"/>
        </w:rPr>
        <w:t xml:space="preserve"> local development</w:t>
      </w:r>
      <w:r w:rsidRPr="005E68B7">
        <w:rPr>
          <w:rFonts w:eastAsia="MS Mincho"/>
          <w:color w:val="002060"/>
          <w:lang w:eastAsia="ja-JP"/>
        </w:rPr>
        <w:t>.</w:t>
      </w:r>
      <w:r w:rsidR="005D757A" w:rsidRPr="005E68B7">
        <w:rPr>
          <w:rFonts w:eastAsia="MS Mincho"/>
          <w:color w:val="002060"/>
          <w:lang w:eastAsia="ja-JP"/>
        </w:rPr>
        <w:t xml:space="preserve">  </w:t>
      </w:r>
    </w:p>
    <w:p w:rsidR="00794E19" w:rsidRPr="005E68B7" w:rsidRDefault="0073137E" w:rsidP="007B70FF">
      <w:pPr>
        <w:pStyle w:val="NoSpacing"/>
        <w:numPr>
          <w:ilvl w:val="0"/>
          <w:numId w:val="5"/>
        </w:numPr>
        <w:jc w:val="both"/>
        <w:rPr>
          <w:rFonts w:eastAsia="MS Mincho"/>
          <w:color w:val="002060"/>
          <w:lang w:eastAsia="ja-JP"/>
        </w:rPr>
      </w:pPr>
      <w:r w:rsidRPr="005E68B7">
        <w:rPr>
          <w:rFonts w:eastAsia="MS Mincho"/>
          <w:color w:val="002060"/>
          <w:lang w:eastAsia="ja-JP"/>
        </w:rPr>
        <w:t xml:space="preserve">Whether </w:t>
      </w:r>
      <w:r w:rsidR="00794E19" w:rsidRPr="005E68B7">
        <w:rPr>
          <w:rFonts w:eastAsia="MS Mincho"/>
          <w:color w:val="002060"/>
          <w:lang w:eastAsia="ja-JP"/>
        </w:rPr>
        <w:t>the policy support</w:t>
      </w:r>
      <w:r w:rsidRPr="005E68B7">
        <w:rPr>
          <w:rFonts w:eastAsia="MS Mincho"/>
          <w:color w:val="002060"/>
          <w:lang w:eastAsia="ja-JP"/>
        </w:rPr>
        <w:t>s</w:t>
      </w:r>
      <w:r w:rsidR="00794E19" w:rsidRPr="005E68B7">
        <w:rPr>
          <w:rFonts w:eastAsia="MS Mincho"/>
          <w:color w:val="002060"/>
          <w:lang w:eastAsia="ja-JP"/>
        </w:rPr>
        <w:t xml:space="preserve"> the “localization” of national/sector development goals, policies and </w:t>
      </w:r>
      <w:r w:rsidR="005C0004" w:rsidRPr="005E68B7">
        <w:rPr>
          <w:rFonts w:eastAsia="MS Mincho"/>
          <w:color w:val="002060"/>
          <w:lang w:eastAsia="ja-JP"/>
        </w:rPr>
        <w:t>programs</w:t>
      </w:r>
      <w:r w:rsidRPr="005E68B7">
        <w:rPr>
          <w:rFonts w:eastAsia="MS Mincho"/>
          <w:color w:val="002060"/>
          <w:lang w:eastAsia="ja-JP"/>
        </w:rPr>
        <w:t xml:space="preserve">. And how </w:t>
      </w:r>
      <w:r w:rsidR="005C0004" w:rsidRPr="005E68B7">
        <w:rPr>
          <w:rFonts w:eastAsia="MS Mincho"/>
          <w:color w:val="002060"/>
          <w:lang w:eastAsia="ja-JP"/>
        </w:rPr>
        <w:t xml:space="preserve">it </w:t>
      </w:r>
      <w:r w:rsidRPr="005E68B7">
        <w:rPr>
          <w:rFonts w:eastAsia="MS Mincho"/>
          <w:color w:val="002060"/>
          <w:lang w:eastAsia="ja-JP"/>
        </w:rPr>
        <w:t>creates the</w:t>
      </w:r>
      <w:r w:rsidR="005C0004" w:rsidRPr="005E68B7">
        <w:rPr>
          <w:rFonts w:eastAsia="MS Mincho"/>
          <w:color w:val="002060"/>
          <w:lang w:eastAsia="ja-JP"/>
        </w:rPr>
        <w:t xml:space="preserve"> incentives and capacit</w:t>
      </w:r>
      <w:r w:rsidRPr="005E68B7">
        <w:rPr>
          <w:rFonts w:eastAsia="MS Mincho"/>
          <w:color w:val="002060"/>
          <w:lang w:eastAsia="ja-JP"/>
        </w:rPr>
        <w:t>ies necessary for state</w:t>
      </w:r>
      <w:r w:rsidR="005C0004" w:rsidRPr="005E68B7">
        <w:rPr>
          <w:rFonts w:eastAsia="MS Mincho"/>
          <w:color w:val="002060"/>
          <w:lang w:eastAsia="ja-JP"/>
        </w:rPr>
        <w:t xml:space="preserve"> agencies to </w:t>
      </w:r>
      <w:r w:rsidR="007B052E" w:rsidRPr="005E68B7">
        <w:rPr>
          <w:rFonts w:eastAsia="MS Mincho"/>
          <w:color w:val="002060"/>
          <w:lang w:eastAsia="ja-JP"/>
        </w:rPr>
        <w:t xml:space="preserve">devolve, </w:t>
      </w:r>
      <w:r w:rsidR="005C0004" w:rsidRPr="005E68B7">
        <w:rPr>
          <w:rFonts w:eastAsia="MS Mincho"/>
          <w:color w:val="002060"/>
          <w:lang w:eastAsia="ja-JP"/>
        </w:rPr>
        <w:t>delegate</w:t>
      </w:r>
      <w:r w:rsidR="007B052E" w:rsidRPr="005E68B7">
        <w:rPr>
          <w:rFonts w:eastAsia="MS Mincho"/>
          <w:color w:val="002060"/>
          <w:lang w:eastAsia="ja-JP"/>
        </w:rPr>
        <w:t xml:space="preserve"> and monitor </w:t>
      </w:r>
      <w:r w:rsidRPr="005E68B7">
        <w:rPr>
          <w:rFonts w:eastAsia="MS Mincho"/>
          <w:color w:val="002060"/>
          <w:lang w:eastAsia="ja-JP"/>
        </w:rPr>
        <w:t xml:space="preserve">the </w:t>
      </w:r>
      <w:r w:rsidR="007B052E" w:rsidRPr="005E68B7">
        <w:rPr>
          <w:rFonts w:eastAsia="MS Mincho"/>
          <w:color w:val="002060"/>
          <w:lang w:eastAsia="ja-JP"/>
        </w:rPr>
        <w:t>implementation of national/sector policies and programs</w:t>
      </w:r>
      <w:r w:rsidRPr="005E68B7">
        <w:rPr>
          <w:rFonts w:eastAsia="MS Mincho"/>
          <w:color w:val="002060"/>
          <w:lang w:eastAsia="ja-JP"/>
        </w:rPr>
        <w:t>, by local authorities.</w:t>
      </w:r>
      <w:r w:rsidR="007B052E" w:rsidRPr="005E68B7">
        <w:rPr>
          <w:rFonts w:eastAsia="MS Mincho"/>
          <w:color w:val="002060"/>
          <w:lang w:eastAsia="ja-JP"/>
        </w:rPr>
        <w:t xml:space="preserve"> </w:t>
      </w:r>
      <w:r w:rsidR="005C0004" w:rsidRPr="005E68B7">
        <w:rPr>
          <w:rFonts w:eastAsia="MS Mincho"/>
          <w:color w:val="002060"/>
          <w:lang w:eastAsia="ja-JP"/>
        </w:rPr>
        <w:t xml:space="preserve">  </w:t>
      </w:r>
    </w:p>
    <w:p w:rsidR="00FD7717" w:rsidRPr="005E68B7" w:rsidRDefault="0073137E" w:rsidP="007B70FF">
      <w:pPr>
        <w:pStyle w:val="NoSpacing"/>
        <w:numPr>
          <w:ilvl w:val="0"/>
          <w:numId w:val="5"/>
        </w:numPr>
        <w:jc w:val="both"/>
        <w:rPr>
          <w:rFonts w:eastAsia="MS Mincho"/>
          <w:color w:val="002060"/>
          <w:lang w:eastAsia="ja-JP"/>
        </w:rPr>
      </w:pPr>
      <w:r w:rsidRPr="005E68B7">
        <w:rPr>
          <w:rFonts w:eastAsia="MS Mincho"/>
          <w:color w:val="002060"/>
          <w:lang w:eastAsia="ja-JP"/>
        </w:rPr>
        <w:t xml:space="preserve">To which extent </w:t>
      </w:r>
      <w:r w:rsidR="000D2751" w:rsidRPr="005E68B7">
        <w:rPr>
          <w:rFonts w:eastAsia="MS Mincho"/>
          <w:color w:val="002060"/>
          <w:lang w:eastAsia="ja-JP"/>
        </w:rPr>
        <w:t xml:space="preserve"> the policy</w:t>
      </w:r>
      <w:r w:rsidR="00C25691" w:rsidRPr="005E68B7">
        <w:rPr>
          <w:rFonts w:eastAsia="MS Mincho"/>
          <w:color w:val="002060"/>
          <w:lang w:eastAsia="ja-JP"/>
        </w:rPr>
        <w:t xml:space="preserve"> support</w:t>
      </w:r>
      <w:r w:rsidRPr="005E68B7">
        <w:rPr>
          <w:rFonts w:eastAsia="MS Mincho"/>
          <w:color w:val="002060"/>
          <w:lang w:eastAsia="ja-JP"/>
        </w:rPr>
        <w:t>s</w:t>
      </w:r>
      <w:r w:rsidR="00C25691" w:rsidRPr="005E68B7">
        <w:rPr>
          <w:rFonts w:eastAsia="MS Mincho"/>
          <w:color w:val="002060"/>
          <w:lang w:eastAsia="ja-JP"/>
        </w:rPr>
        <w:t xml:space="preserve"> a more integrated and effective performance of the</w:t>
      </w:r>
      <w:r w:rsidR="00D06E64" w:rsidRPr="005E68B7">
        <w:rPr>
          <w:rFonts w:eastAsia="MS Mincho"/>
          <w:color w:val="002060"/>
          <w:lang w:eastAsia="ja-JP"/>
        </w:rPr>
        <w:t xml:space="preserve"> whole </w:t>
      </w:r>
      <w:r w:rsidR="000D2751" w:rsidRPr="005E68B7">
        <w:rPr>
          <w:rFonts w:eastAsia="MS Mincho"/>
          <w:color w:val="002060"/>
          <w:lang w:eastAsia="ja-JP"/>
        </w:rPr>
        <w:t xml:space="preserve">local </w:t>
      </w:r>
      <w:r w:rsidR="00C25691" w:rsidRPr="005E68B7">
        <w:rPr>
          <w:rFonts w:eastAsia="MS Mincho"/>
          <w:color w:val="002060"/>
          <w:lang w:eastAsia="ja-JP"/>
        </w:rPr>
        <w:t>public sector</w:t>
      </w:r>
      <w:r w:rsidRPr="005E68B7">
        <w:rPr>
          <w:rFonts w:eastAsia="MS Mincho"/>
          <w:color w:val="002060"/>
          <w:lang w:eastAsia="ja-JP"/>
        </w:rPr>
        <w:t xml:space="preserve">, as well as the </w:t>
      </w:r>
      <w:r w:rsidR="00127374" w:rsidRPr="005E68B7">
        <w:rPr>
          <w:rFonts w:eastAsia="MS Mincho"/>
          <w:color w:val="002060"/>
          <w:lang w:eastAsia="ja-JP"/>
        </w:rPr>
        <w:t xml:space="preserve">intergovernmental </w:t>
      </w:r>
      <w:r w:rsidRPr="005E68B7">
        <w:rPr>
          <w:rFonts w:eastAsia="MS Mincho"/>
          <w:color w:val="002060"/>
          <w:lang w:eastAsia="ja-JP"/>
        </w:rPr>
        <w:t xml:space="preserve">cooperation </w:t>
      </w:r>
      <w:r w:rsidR="00127374" w:rsidRPr="005E68B7">
        <w:rPr>
          <w:rFonts w:eastAsia="MS Mincho"/>
          <w:color w:val="002060"/>
          <w:lang w:eastAsia="ja-JP"/>
        </w:rPr>
        <w:t>mechanisms</w:t>
      </w:r>
      <w:r w:rsidR="000D2751" w:rsidRPr="005E68B7">
        <w:rPr>
          <w:rFonts w:eastAsia="MS Mincho"/>
          <w:color w:val="002060"/>
          <w:lang w:eastAsia="ja-JP"/>
        </w:rPr>
        <w:t xml:space="preserve"> </w:t>
      </w:r>
      <w:r w:rsidR="00D06E64" w:rsidRPr="005E68B7">
        <w:rPr>
          <w:rFonts w:eastAsia="MS Mincho"/>
          <w:color w:val="002060"/>
          <w:lang w:eastAsia="ja-JP"/>
        </w:rPr>
        <w:t>necessary</w:t>
      </w:r>
      <w:r w:rsidR="000D2751" w:rsidRPr="005E68B7">
        <w:rPr>
          <w:rFonts w:eastAsia="MS Mincho"/>
          <w:color w:val="002060"/>
          <w:lang w:eastAsia="ja-JP"/>
        </w:rPr>
        <w:t xml:space="preserve"> for effective services delivery in a multi-level governance setting  </w:t>
      </w:r>
    </w:p>
    <w:p w:rsidR="00273EB4" w:rsidRPr="005E68B7" w:rsidRDefault="00B50B01" w:rsidP="007B70FF">
      <w:pPr>
        <w:pStyle w:val="NoSpacing"/>
        <w:numPr>
          <w:ilvl w:val="0"/>
          <w:numId w:val="5"/>
        </w:numPr>
        <w:jc w:val="both"/>
        <w:rPr>
          <w:color w:val="002060"/>
        </w:rPr>
      </w:pPr>
      <w:r w:rsidRPr="005E68B7">
        <w:rPr>
          <w:color w:val="002060"/>
        </w:rPr>
        <w:t>How the functions and resources</w:t>
      </w:r>
      <w:r w:rsidR="00273EB4" w:rsidRPr="005E68B7">
        <w:rPr>
          <w:color w:val="002060"/>
        </w:rPr>
        <w:t xml:space="preserve"> </w:t>
      </w:r>
      <w:r w:rsidRPr="005E68B7">
        <w:rPr>
          <w:color w:val="002060"/>
        </w:rPr>
        <w:t>re</w:t>
      </w:r>
      <w:r w:rsidR="00273EB4" w:rsidRPr="005E68B7">
        <w:rPr>
          <w:color w:val="002060"/>
        </w:rPr>
        <w:t xml:space="preserve">assignments supported by the proposed policy </w:t>
      </w:r>
      <w:r w:rsidRPr="005E68B7">
        <w:rPr>
          <w:color w:val="002060"/>
        </w:rPr>
        <w:t xml:space="preserve">may </w:t>
      </w:r>
      <w:r w:rsidR="00273EB4" w:rsidRPr="005E68B7">
        <w:rPr>
          <w:color w:val="002060"/>
        </w:rPr>
        <w:t xml:space="preserve">deliver </w:t>
      </w:r>
      <w:r w:rsidRPr="005E68B7">
        <w:rPr>
          <w:color w:val="002060"/>
        </w:rPr>
        <w:t xml:space="preserve">greater </w:t>
      </w:r>
      <w:r w:rsidR="00273EB4" w:rsidRPr="005E68B7">
        <w:rPr>
          <w:color w:val="002060"/>
        </w:rPr>
        <w:t>value for money in the public services delivery process</w:t>
      </w:r>
      <w:r w:rsidRPr="005E68B7">
        <w:rPr>
          <w:color w:val="002060"/>
        </w:rPr>
        <w:t>.</w:t>
      </w:r>
      <w:r w:rsidR="00273EB4" w:rsidRPr="005E68B7">
        <w:rPr>
          <w:color w:val="002060"/>
        </w:rPr>
        <w:t xml:space="preserve">   </w:t>
      </w:r>
    </w:p>
    <w:p w:rsidR="004345F0" w:rsidRPr="005E68B7" w:rsidRDefault="00B50B01" w:rsidP="007B70FF">
      <w:pPr>
        <w:pStyle w:val="NoSpacing"/>
        <w:numPr>
          <w:ilvl w:val="0"/>
          <w:numId w:val="5"/>
        </w:numPr>
        <w:jc w:val="both"/>
        <w:rPr>
          <w:rFonts w:eastAsia="MS Mincho"/>
          <w:color w:val="002060"/>
          <w:lang w:eastAsia="ja-JP"/>
        </w:rPr>
      </w:pPr>
      <w:r w:rsidRPr="005E68B7">
        <w:rPr>
          <w:rFonts w:eastAsia="MS Mincho"/>
          <w:color w:val="002060"/>
          <w:lang w:eastAsia="ja-JP"/>
        </w:rPr>
        <w:lastRenderedPageBreak/>
        <w:t xml:space="preserve">To which extent </w:t>
      </w:r>
      <w:r w:rsidR="007B052E" w:rsidRPr="005E68B7">
        <w:rPr>
          <w:rFonts w:eastAsia="MS Mincho"/>
          <w:color w:val="002060"/>
          <w:lang w:eastAsia="ja-JP"/>
        </w:rPr>
        <w:t xml:space="preserve">the </w:t>
      </w:r>
      <w:r w:rsidRPr="005E68B7">
        <w:rPr>
          <w:rFonts w:eastAsia="MS Mincho"/>
          <w:color w:val="002060"/>
          <w:lang w:eastAsia="ja-JP"/>
        </w:rPr>
        <w:t xml:space="preserve">proposed </w:t>
      </w:r>
      <w:r w:rsidR="007B052E" w:rsidRPr="005E68B7">
        <w:rPr>
          <w:rFonts w:eastAsia="MS Mincho"/>
          <w:color w:val="002060"/>
          <w:lang w:eastAsia="ja-JP"/>
        </w:rPr>
        <w:t>policy support</w:t>
      </w:r>
      <w:r w:rsidRPr="005E68B7">
        <w:rPr>
          <w:rFonts w:eastAsia="MS Mincho"/>
          <w:color w:val="002060"/>
          <w:lang w:eastAsia="ja-JP"/>
        </w:rPr>
        <w:t>s</w:t>
      </w:r>
      <w:r w:rsidR="007B052E" w:rsidRPr="005E68B7">
        <w:rPr>
          <w:rFonts w:eastAsia="MS Mincho"/>
          <w:color w:val="002060"/>
          <w:lang w:eastAsia="ja-JP"/>
        </w:rPr>
        <w:t xml:space="preserve"> the establishment of robust mechanisms </w:t>
      </w:r>
      <w:r w:rsidRPr="005E68B7">
        <w:rPr>
          <w:rFonts w:eastAsia="MS Mincho"/>
          <w:color w:val="002060"/>
          <w:lang w:eastAsia="ja-JP"/>
        </w:rPr>
        <w:t>of</w:t>
      </w:r>
      <w:r w:rsidR="007B052E" w:rsidRPr="005E68B7">
        <w:rPr>
          <w:rFonts w:eastAsia="MS Mincho"/>
          <w:color w:val="002060"/>
          <w:lang w:eastAsia="ja-JP"/>
        </w:rPr>
        <w:t xml:space="preserve"> local authorities’ accountability to both the State and the people in their </w:t>
      </w:r>
      <w:r w:rsidR="00273EB4" w:rsidRPr="005E68B7">
        <w:rPr>
          <w:rFonts w:eastAsia="MS Mincho"/>
          <w:color w:val="002060"/>
          <w:lang w:eastAsia="ja-JP"/>
        </w:rPr>
        <w:t>constituencies</w:t>
      </w:r>
      <w:r w:rsidRPr="005E68B7">
        <w:rPr>
          <w:rFonts w:eastAsia="MS Mincho"/>
          <w:color w:val="002060"/>
          <w:lang w:eastAsia="ja-JP"/>
        </w:rPr>
        <w:t>.</w:t>
      </w:r>
      <w:r w:rsidR="005D757A" w:rsidRPr="005E68B7">
        <w:rPr>
          <w:rFonts w:eastAsia="MS Mincho"/>
          <w:color w:val="002060"/>
          <w:lang w:eastAsia="ja-JP"/>
        </w:rPr>
        <w:t xml:space="preserve">    </w:t>
      </w:r>
    </w:p>
    <w:p w:rsidR="004345F0" w:rsidRPr="005E68B7" w:rsidRDefault="004345F0" w:rsidP="00A45694">
      <w:pPr>
        <w:pStyle w:val="NoSpacing"/>
        <w:rPr>
          <w:rFonts w:eastAsia="MS Mincho"/>
          <w:color w:val="002060"/>
          <w:lang w:eastAsia="ja-JP"/>
        </w:rPr>
      </w:pPr>
    </w:p>
    <w:p w:rsidR="00794E19" w:rsidRPr="005E68B7" w:rsidRDefault="0060024D" w:rsidP="005C0004">
      <w:pPr>
        <w:pStyle w:val="NoSpacing"/>
        <w:rPr>
          <w:i/>
          <w:color w:val="002060"/>
        </w:rPr>
      </w:pPr>
      <w:r w:rsidRPr="005E68B7">
        <w:rPr>
          <w:i/>
          <w:color w:val="002060"/>
        </w:rPr>
        <w:t xml:space="preserve">POLICY CREDIBILITY </w:t>
      </w:r>
    </w:p>
    <w:p w:rsidR="00794E19" w:rsidRPr="005E68B7" w:rsidRDefault="00794E19" w:rsidP="00794E19">
      <w:pPr>
        <w:pStyle w:val="NoSpacing"/>
        <w:rPr>
          <w:color w:val="002060"/>
        </w:rPr>
      </w:pPr>
    </w:p>
    <w:p w:rsidR="00275A37" w:rsidRPr="005E68B7" w:rsidRDefault="00B50B01" w:rsidP="007B70FF">
      <w:pPr>
        <w:pStyle w:val="NoSpacing"/>
        <w:numPr>
          <w:ilvl w:val="0"/>
          <w:numId w:val="2"/>
        </w:numPr>
        <w:ind w:left="378" w:hanging="378"/>
        <w:jc w:val="both"/>
        <w:rPr>
          <w:color w:val="002060"/>
        </w:rPr>
      </w:pPr>
      <w:r w:rsidRPr="005E68B7">
        <w:rPr>
          <w:color w:val="002060"/>
        </w:rPr>
        <w:t>T</w:t>
      </w:r>
      <w:r w:rsidR="00275A37" w:rsidRPr="005E68B7">
        <w:rPr>
          <w:color w:val="002060"/>
        </w:rPr>
        <w:t>he country’s track record in implementation of decentralization reforms, local authorities’ systems development and local development promotion, prior to the design of the proposed policy/program</w:t>
      </w:r>
      <w:r w:rsidRPr="005E68B7">
        <w:rPr>
          <w:color w:val="002060"/>
        </w:rPr>
        <w:t>.</w:t>
      </w:r>
    </w:p>
    <w:p w:rsidR="00794E19" w:rsidRPr="005E68B7" w:rsidRDefault="00B50B01" w:rsidP="007B70FF">
      <w:pPr>
        <w:pStyle w:val="NoSpacing"/>
        <w:numPr>
          <w:ilvl w:val="0"/>
          <w:numId w:val="2"/>
        </w:numPr>
        <w:ind w:left="378" w:hanging="378"/>
        <w:jc w:val="both"/>
        <w:rPr>
          <w:color w:val="002060"/>
        </w:rPr>
      </w:pPr>
      <w:r w:rsidRPr="005E68B7">
        <w:rPr>
          <w:color w:val="002060"/>
        </w:rPr>
        <w:t xml:space="preserve">Whether </w:t>
      </w:r>
      <w:r w:rsidR="00794E19" w:rsidRPr="005E68B7">
        <w:rPr>
          <w:color w:val="002060"/>
        </w:rPr>
        <w:t>the policy follow</w:t>
      </w:r>
      <w:r w:rsidRPr="005E68B7">
        <w:rPr>
          <w:color w:val="002060"/>
        </w:rPr>
        <w:t>s</w:t>
      </w:r>
      <w:r w:rsidR="00794E19" w:rsidRPr="005E68B7">
        <w:rPr>
          <w:color w:val="002060"/>
        </w:rPr>
        <w:t xml:space="preserve"> a “whole-of-government” or a “</w:t>
      </w:r>
      <w:proofErr w:type="spellStart"/>
      <w:r w:rsidR="00794E19" w:rsidRPr="005E68B7">
        <w:rPr>
          <w:color w:val="002060"/>
        </w:rPr>
        <w:t>sectoral</w:t>
      </w:r>
      <w:proofErr w:type="spellEnd"/>
      <w:r w:rsidR="00794E19" w:rsidRPr="005E68B7">
        <w:rPr>
          <w:color w:val="002060"/>
        </w:rPr>
        <w:t>” approach to the implementation of decentralization reforms</w:t>
      </w:r>
      <w:r w:rsidRPr="005E68B7">
        <w:rPr>
          <w:color w:val="002060"/>
        </w:rPr>
        <w:t xml:space="preserve">. And to which extent </w:t>
      </w:r>
      <w:r w:rsidR="00275A37" w:rsidRPr="005E68B7">
        <w:rPr>
          <w:color w:val="002060"/>
        </w:rPr>
        <w:t>its</w:t>
      </w:r>
      <w:r w:rsidR="00794E19" w:rsidRPr="005E68B7">
        <w:rPr>
          <w:color w:val="002060"/>
        </w:rPr>
        <w:t xml:space="preserve"> management arrangements offer a credible approach to resolving inter-ministerial differences and bureaucratic resistances to implementation</w:t>
      </w:r>
      <w:r w:rsidRPr="005E68B7">
        <w:rPr>
          <w:color w:val="002060"/>
        </w:rPr>
        <w:t>.</w:t>
      </w:r>
    </w:p>
    <w:p w:rsidR="00794E19" w:rsidRPr="005E68B7" w:rsidRDefault="00B50B01" w:rsidP="007B70FF">
      <w:pPr>
        <w:pStyle w:val="NoSpacing"/>
        <w:numPr>
          <w:ilvl w:val="0"/>
          <w:numId w:val="2"/>
        </w:numPr>
        <w:ind w:left="378" w:hanging="378"/>
        <w:jc w:val="both"/>
        <w:rPr>
          <w:color w:val="002060"/>
        </w:rPr>
      </w:pPr>
      <w:r w:rsidRPr="005E68B7">
        <w:rPr>
          <w:color w:val="002060"/>
        </w:rPr>
        <w:t>The extent</w:t>
      </w:r>
      <w:r w:rsidR="00794E19" w:rsidRPr="005E68B7">
        <w:rPr>
          <w:color w:val="002060"/>
        </w:rPr>
        <w:t xml:space="preserve"> </w:t>
      </w:r>
      <w:r w:rsidRPr="005E68B7">
        <w:rPr>
          <w:color w:val="002060"/>
        </w:rPr>
        <w:t xml:space="preserve">to which </w:t>
      </w:r>
      <w:r w:rsidR="00794E19" w:rsidRPr="005E68B7">
        <w:rPr>
          <w:color w:val="002060"/>
        </w:rPr>
        <w:t xml:space="preserve">the </w:t>
      </w:r>
      <w:r w:rsidRPr="005E68B7">
        <w:rPr>
          <w:color w:val="002060"/>
        </w:rPr>
        <w:t xml:space="preserve">proposed </w:t>
      </w:r>
      <w:r w:rsidR="00275A37" w:rsidRPr="005E68B7">
        <w:rPr>
          <w:color w:val="002060"/>
        </w:rPr>
        <w:t>policy</w:t>
      </w:r>
      <w:r w:rsidRPr="005E68B7">
        <w:rPr>
          <w:color w:val="002060"/>
        </w:rPr>
        <w:t xml:space="preserve"> is </w:t>
      </w:r>
      <w:r w:rsidR="00180F99" w:rsidRPr="005E68B7">
        <w:rPr>
          <w:color w:val="002060"/>
        </w:rPr>
        <w:t>compatible with</w:t>
      </w:r>
      <w:r w:rsidR="00275A37" w:rsidRPr="005E68B7">
        <w:rPr>
          <w:color w:val="002060"/>
        </w:rPr>
        <w:t xml:space="preserve"> other national commitments, including both macro and sector policy agreements with the IMF and other international development partners</w:t>
      </w:r>
      <w:r w:rsidRPr="005E68B7">
        <w:rPr>
          <w:color w:val="002060"/>
        </w:rPr>
        <w:t>.</w:t>
      </w:r>
      <w:r w:rsidR="00275A37" w:rsidRPr="005E68B7">
        <w:rPr>
          <w:color w:val="002060"/>
        </w:rPr>
        <w:t xml:space="preserve"> </w:t>
      </w:r>
      <w:r w:rsidR="00794E19" w:rsidRPr="005E68B7">
        <w:rPr>
          <w:color w:val="002060"/>
        </w:rPr>
        <w:t xml:space="preserve">   </w:t>
      </w:r>
    </w:p>
    <w:p w:rsidR="009D09C0" w:rsidRPr="005E68B7" w:rsidRDefault="00B50B01" w:rsidP="007B70FF">
      <w:pPr>
        <w:pStyle w:val="NoSpacing"/>
        <w:numPr>
          <w:ilvl w:val="0"/>
          <w:numId w:val="2"/>
        </w:numPr>
        <w:ind w:left="378" w:hanging="378"/>
        <w:jc w:val="both"/>
        <w:rPr>
          <w:color w:val="002060"/>
        </w:rPr>
      </w:pPr>
      <w:r w:rsidRPr="005E68B7">
        <w:rPr>
          <w:color w:val="002060"/>
        </w:rPr>
        <w:t>Whether the</w:t>
      </w:r>
      <w:r w:rsidR="00A812AE" w:rsidRPr="005E68B7">
        <w:rPr>
          <w:color w:val="002060"/>
        </w:rPr>
        <w:t xml:space="preserve"> policy financing strategy </w:t>
      </w:r>
      <w:r w:rsidRPr="005E68B7">
        <w:rPr>
          <w:color w:val="002060"/>
        </w:rPr>
        <w:t xml:space="preserve">is </w:t>
      </w:r>
      <w:r w:rsidR="00A812AE" w:rsidRPr="005E68B7">
        <w:rPr>
          <w:color w:val="002060"/>
        </w:rPr>
        <w:t xml:space="preserve">consistent with the country’s budgetary </w:t>
      </w:r>
      <w:r w:rsidR="00B01B2A" w:rsidRPr="005E68B7">
        <w:rPr>
          <w:color w:val="002060"/>
        </w:rPr>
        <w:t>framework</w:t>
      </w:r>
      <w:r w:rsidR="009D09C0" w:rsidRPr="005E68B7">
        <w:rPr>
          <w:color w:val="002060"/>
        </w:rPr>
        <w:t xml:space="preserve"> and the extent to which the</w:t>
      </w:r>
      <w:r w:rsidR="00273EB4" w:rsidRPr="005E68B7">
        <w:rPr>
          <w:color w:val="002060"/>
        </w:rPr>
        <w:t xml:space="preserve"> fiscal decentralization measures it supports</w:t>
      </w:r>
      <w:r w:rsidR="009D09C0" w:rsidRPr="005E68B7">
        <w:rPr>
          <w:color w:val="002060"/>
        </w:rPr>
        <w:t xml:space="preserve"> are</w:t>
      </w:r>
      <w:r w:rsidR="00273EB4" w:rsidRPr="005E68B7">
        <w:rPr>
          <w:color w:val="002060"/>
        </w:rPr>
        <w:t xml:space="preserve"> </w:t>
      </w:r>
      <w:r w:rsidR="009D09C0" w:rsidRPr="005E68B7">
        <w:rPr>
          <w:color w:val="002060"/>
        </w:rPr>
        <w:t xml:space="preserve">realistic and </w:t>
      </w:r>
      <w:r w:rsidR="00273EB4" w:rsidRPr="005E68B7">
        <w:rPr>
          <w:color w:val="002060"/>
        </w:rPr>
        <w:t>sustainable</w:t>
      </w:r>
      <w:r w:rsidR="009D09C0" w:rsidRPr="005E68B7">
        <w:rPr>
          <w:color w:val="002060"/>
        </w:rPr>
        <w:t>.</w:t>
      </w:r>
    </w:p>
    <w:p w:rsidR="0060024D" w:rsidRDefault="009D09C0" w:rsidP="007B70FF">
      <w:pPr>
        <w:pStyle w:val="NoSpacing"/>
        <w:numPr>
          <w:ilvl w:val="0"/>
          <w:numId w:val="2"/>
        </w:numPr>
        <w:ind w:left="378" w:hanging="378"/>
        <w:jc w:val="both"/>
        <w:rPr>
          <w:color w:val="002060"/>
        </w:rPr>
      </w:pPr>
      <w:r w:rsidRPr="005E68B7">
        <w:rPr>
          <w:color w:val="002060"/>
        </w:rPr>
        <w:t xml:space="preserve">The extent to which </w:t>
      </w:r>
      <w:r w:rsidR="00180F99" w:rsidRPr="005E68B7">
        <w:rPr>
          <w:color w:val="002060"/>
        </w:rPr>
        <w:t xml:space="preserve">the policy </w:t>
      </w:r>
      <w:r w:rsidR="00B01B2A" w:rsidRPr="005E68B7">
        <w:rPr>
          <w:color w:val="002060"/>
        </w:rPr>
        <w:t>address</w:t>
      </w:r>
      <w:r w:rsidRPr="005E68B7">
        <w:rPr>
          <w:color w:val="002060"/>
        </w:rPr>
        <w:t>es</w:t>
      </w:r>
      <w:r w:rsidR="00B01B2A" w:rsidRPr="005E68B7">
        <w:rPr>
          <w:color w:val="002060"/>
        </w:rPr>
        <w:t xml:space="preserve"> weaknesses in statistical systems and</w:t>
      </w:r>
      <w:r w:rsidR="00180F99" w:rsidRPr="005E68B7">
        <w:rPr>
          <w:color w:val="002060"/>
        </w:rPr>
        <w:t xml:space="preserve"> </w:t>
      </w:r>
      <w:r w:rsidR="00273EB4" w:rsidRPr="005E68B7">
        <w:rPr>
          <w:color w:val="002060"/>
        </w:rPr>
        <w:t>generate</w:t>
      </w:r>
      <w:r w:rsidRPr="005E68B7">
        <w:rPr>
          <w:color w:val="002060"/>
        </w:rPr>
        <w:t>s</w:t>
      </w:r>
      <w:r w:rsidR="00273EB4" w:rsidRPr="005E68B7">
        <w:rPr>
          <w:color w:val="002060"/>
        </w:rPr>
        <w:t xml:space="preserve"> quality</w:t>
      </w:r>
      <w:r w:rsidR="00180F99" w:rsidRPr="005E68B7">
        <w:rPr>
          <w:color w:val="002060"/>
        </w:rPr>
        <w:t xml:space="preserve"> data</w:t>
      </w:r>
      <w:r w:rsidR="00B01B2A" w:rsidRPr="005E68B7">
        <w:rPr>
          <w:color w:val="002060"/>
        </w:rPr>
        <w:t xml:space="preserve">, </w:t>
      </w:r>
      <w:r w:rsidR="00180F99" w:rsidRPr="005E68B7">
        <w:rPr>
          <w:color w:val="002060"/>
        </w:rPr>
        <w:t>disaggregated at sub-national level</w:t>
      </w:r>
      <w:r w:rsidR="00A2602B">
        <w:rPr>
          <w:color w:val="002060"/>
        </w:rPr>
        <w:t xml:space="preserve"> and, </w:t>
      </w:r>
      <w:r w:rsidR="002A0CA2">
        <w:rPr>
          <w:color w:val="002060"/>
        </w:rPr>
        <w:t>where feasible</w:t>
      </w:r>
      <w:r w:rsidR="00A2602B">
        <w:rPr>
          <w:color w:val="002060"/>
        </w:rPr>
        <w:t xml:space="preserve">, </w:t>
      </w:r>
      <w:r w:rsidR="00936487">
        <w:rPr>
          <w:color w:val="002060"/>
        </w:rPr>
        <w:t xml:space="preserve">for </w:t>
      </w:r>
      <w:r w:rsidR="00A2602B">
        <w:rPr>
          <w:color w:val="002060"/>
        </w:rPr>
        <w:t>gender and age</w:t>
      </w:r>
      <w:r w:rsidR="00180F99" w:rsidRPr="005E68B7">
        <w:rPr>
          <w:color w:val="002060"/>
        </w:rPr>
        <w:t xml:space="preserve">, to </w:t>
      </w:r>
      <w:r w:rsidR="00A812AE" w:rsidRPr="005E68B7">
        <w:rPr>
          <w:color w:val="002060"/>
        </w:rPr>
        <w:t xml:space="preserve">support </w:t>
      </w:r>
      <w:r w:rsidR="00273EB4" w:rsidRPr="005E68B7">
        <w:rPr>
          <w:color w:val="002060"/>
        </w:rPr>
        <w:t>effective management</w:t>
      </w:r>
      <w:r w:rsidR="00180F99" w:rsidRPr="005E68B7">
        <w:rPr>
          <w:color w:val="002060"/>
        </w:rPr>
        <w:t xml:space="preserve"> and evaluation</w:t>
      </w:r>
      <w:r w:rsidR="00B01B2A" w:rsidRPr="005E68B7">
        <w:rPr>
          <w:color w:val="002060"/>
        </w:rPr>
        <w:t xml:space="preserve"> of decentralized development planning and financing systems</w:t>
      </w:r>
      <w:r w:rsidRPr="005E68B7">
        <w:rPr>
          <w:color w:val="002060"/>
        </w:rPr>
        <w:t>.</w:t>
      </w:r>
      <w:r w:rsidR="00180F99" w:rsidRPr="005E68B7">
        <w:rPr>
          <w:color w:val="002060"/>
        </w:rPr>
        <w:t xml:space="preserve"> </w:t>
      </w:r>
      <w:r w:rsidR="0060024D" w:rsidRPr="005E68B7">
        <w:rPr>
          <w:color w:val="002060"/>
        </w:rPr>
        <w:t xml:space="preserve"> </w:t>
      </w:r>
    </w:p>
    <w:p w:rsidR="00B01B2A" w:rsidRPr="005E68B7" w:rsidRDefault="00B01B2A" w:rsidP="00B01B2A">
      <w:pPr>
        <w:pStyle w:val="NoSpacing"/>
        <w:ind w:left="360"/>
        <w:rPr>
          <w:color w:val="002060"/>
          <w:lang w:val="en-GB" w:eastAsia="ja-JP"/>
        </w:rPr>
      </w:pPr>
    </w:p>
    <w:p w:rsidR="00306237" w:rsidRPr="005E68B7" w:rsidRDefault="00B01B2A" w:rsidP="00B01B2A">
      <w:pPr>
        <w:pStyle w:val="NoSpacing"/>
        <w:rPr>
          <w:i/>
          <w:color w:val="002060"/>
        </w:rPr>
      </w:pPr>
      <w:r w:rsidRPr="005E68B7">
        <w:rPr>
          <w:i/>
          <w:color w:val="002060"/>
        </w:rPr>
        <w:t>POLICY MONITORING</w:t>
      </w:r>
      <w:r w:rsidR="00180F99" w:rsidRPr="005E68B7">
        <w:rPr>
          <w:i/>
          <w:color w:val="002060"/>
        </w:rPr>
        <w:t xml:space="preserve"> AND EVALUATION </w:t>
      </w:r>
      <w:r w:rsidR="00306237" w:rsidRPr="005E68B7">
        <w:rPr>
          <w:i/>
          <w:color w:val="002060"/>
        </w:rPr>
        <w:t xml:space="preserve">FRAMEWORK </w:t>
      </w:r>
    </w:p>
    <w:p w:rsidR="00306237" w:rsidRPr="005E68B7" w:rsidRDefault="00306237" w:rsidP="00306237">
      <w:pPr>
        <w:pStyle w:val="NoSpacing"/>
        <w:ind w:left="360"/>
        <w:rPr>
          <w:color w:val="002060"/>
        </w:rPr>
      </w:pPr>
    </w:p>
    <w:p w:rsidR="009D09C0" w:rsidRPr="005E68B7" w:rsidRDefault="009D09C0" w:rsidP="007B70FF">
      <w:pPr>
        <w:pStyle w:val="NoSpacing"/>
        <w:numPr>
          <w:ilvl w:val="0"/>
          <w:numId w:val="6"/>
        </w:numPr>
        <w:jc w:val="both"/>
        <w:rPr>
          <w:color w:val="002060"/>
        </w:rPr>
      </w:pPr>
      <w:r w:rsidRPr="005E68B7">
        <w:rPr>
          <w:color w:val="002060"/>
        </w:rPr>
        <w:t xml:space="preserve">Whether </w:t>
      </w:r>
      <w:r w:rsidR="000343B0" w:rsidRPr="005E68B7">
        <w:rPr>
          <w:color w:val="002060"/>
        </w:rPr>
        <w:t xml:space="preserve">the Performance Assessment Framework (PAF) and its review documents, issued by the responsible authority, </w:t>
      </w:r>
      <w:r w:rsidRPr="005E68B7">
        <w:rPr>
          <w:color w:val="002060"/>
        </w:rPr>
        <w:t xml:space="preserve">is likely to </w:t>
      </w:r>
      <w:r w:rsidR="000343B0" w:rsidRPr="005E68B7">
        <w:rPr>
          <w:color w:val="002060"/>
        </w:rPr>
        <w:t>provid</w:t>
      </w:r>
      <w:r w:rsidRPr="005E68B7">
        <w:rPr>
          <w:color w:val="002060"/>
        </w:rPr>
        <w:t>e</w:t>
      </w:r>
      <w:r w:rsidR="000343B0" w:rsidRPr="005E68B7">
        <w:rPr>
          <w:color w:val="002060"/>
        </w:rPr>
        <w:t xml:space="preserve"> </w:t>
      </w:r>
      <w:r w:rsidRPr="005E68B7">
        <w:rPr>
          <w:color w:val="002060"/>
        </w:rPr>
        <w:t xml:space="preserve">a sufficient </w:t>
      </w:r>
      <w:r w:rsidR="000343B0" w:rsidRPr="005E68B7">
        <w:rPr>
          <w:color w:val="002060"/>
        </w:rPr>
        <w:t xml:space="preserve">basis for monitoring </w:t>
      </w:r>
      <w:r w:rsidR="00773394">
        <w:rPr>
          <w:color w:val="002060"/>
        </w:rPr>
        <w:t xml:space="preserve">progress in </w:t>
      </w:r>
      <w:r w:rsidR="000343B0" w:rsidRPr="005E68B7">
        <w:rPr>
          <w:color w:val="002060"/>
        </w:rPr>
        <w:t>policy implementation</w:t>
      </w:r>
      <w:r w:rsidRPr="005E68B7">
        <w:rPr>
          <w:color w:val="002060"/>
        </w:rPr>
        <w:t xml:space="preserve">. </w:t>
      </w:r>
      <w:r w:rsidR="00082EF3">
        <w:rPr>
          <w:color w:val="002060"/>
        </w:rPr>
        <w:t xml:space="preserve">Depending on the type of operation </w:t>
      </w:r>
      <w:r w:rsidRPr="005E68B7">
        <w:rPr>
          <w:color w:val="002060"/>
        </w:rPr>
        <w:t xml:space="preserve">the PAF </w:t>
      </w:r>
      <w:r w:rsidR="00082EF3">
        <w:rPr>
          <w:color w:val="002060"/>
        </w:rPr>
        <w:t xml:space="preserve">could </w:t>
      </w:r>
      <w:r w:rsidR="000343B0" w:rsidRPr="005E68B7">
        <w:rPr>
          <w:color w:val="002060"/>
        </w:rPr>
        <w:t xml:space="preserve">cover three categories of results: (a) policy and legal framework development outputs  (b) national and sub-national institutional development outputs and  (c) sector/services delivery outputs </w:t>
      </w:r>
    </w:p>
    <w:p w:rsidR="00EA308E" w:rsidRDefault="009D09C0" w:rsidP="007B70FF">
      <w:pPr>
        <w:pStyle w:val="NoSpacing"/>
        <w:numPr>
          <w:ilvl w:val="0"/>
          <w:numId w:val="6"/>
        </w:numPr>
        <w:jc w:val="both"/>
        <w:rPr>
          <w:color w:val="002060"/>
        </w:rPr>
      </w:pPr>
      <w:r w:rsidRPr="005E68B7">
        <w:rPr>
          <w:color w:val="002060"/>
        </w:rPr>
        <w:t>The analytical products that the program is expected to deliver and the necessary addi</w:t>
      </w:r>
      <w:r w:rsidR="000343B0" w:rsidRPr="005E68B7">
        <w:rPr>
          <w:color w:val="002060"/>
        </w:rPr>
        <w:t xml:space="preserve">tional </w:t>
      </w:r>
      <w:r w:rsidRPr="005E68B7">
        <w:rPr>
          <w:color w:val="002060"/>
        </w:rPr>
        <w:t>studies</w:t>
      </w:r>
      <w:r w:rsidR="000343B0" w:rsidRPr="005E68B7">
        <w:rPr>
          <w:color w:val="002060"/>
        </w:rPr>
        <w:t xml:space="preserve"> </w:t>
      </w:r>
    </w:p>
    <w:p w:rsidR="00EA308E" w:rsidRPr="00EA308E" w:rsidRDefault="00EA308E" w:rsidP="00EA308E">
      <w:pPr>
        <w:pStyle w:val="NoSpacing"/>
        <w:numPr>
          <w:ilvl w:val="0"/>
          <w:numId w:val="6"/>
        </w:numPr>
        <w:jc w:val="both"/>
        <w:rPr>
          <w:color w:val="002060"/>
        </w:rPr>
      </w:pPr>
      <w:r>
        <w:rPr>
          <w:color w:val="002060"/>
        </w:rPr>
        <w:t xml:space="preserve">The measures to </w:t>
      </w:r>
      <w:proofErr w:type="spellStart"/>
      <w:r>
        <w:rPr>
          <w:color w:val="002060"/>
        </w:rPr>
        <w:t>analys</w:t>
      </w:r>
      <w:r w:rsidR="00ED7B98">
        <w:rPr>
          <w:color w:val="002060"/>
        </w:rPr>
        <w:t>e</w:t>
      </w:r>
      <w:proofErr w:type="spellEnd"/>
      <w:r>
        <w:rPr>
          <w:color w:val="002060"/>
        </w:rPr>
        <w:t xml:space="preserve"> the impact of the allocations</w:t>
      </w:r>
      <w:r w:rsidR="002A0CA2">
        <w:rPr>
          <w:color w:val="002060"/>
        </w:rPr>
        <w:t xml:space="preserve"> on gender as well as on inequalities (spatial, rural/urban, income or between specific groups of populations</w:t>
      </w:r>
      <w:proofErr w:type="gramStart"/>
      <w:r w:rsidR="002A0CA2">
        <w:rPr>
          <w:color w:val="002060"/>
        </w:rPr>
        <w:t xml:space="preserve">) </w:t>
      </w:r>
      <w:r>
        <w:rPr>
          <w:color w:val="002060"/>
        </w:rPr>
        <w:t>.</w:t>
      </w:r>
      <w:proofErr w:type="gramEnd"/>
      <w:r>
        <w:rPr>
          <w:color w:val="002060"/>
        </w:rPr>
        <w:t xml:space="preserve"> </w:t>
      </w:r>
    </w:p>
    <w:p w:rsidR="00306237" w:rsidRPr="005E68B7" w:rsidRDefault="009D09C0" w:rsidP="007B70FF">
      <w:pPr>
        <w:pStyle w:val="NoSpacing"/>
        <w:numPr>
          <w:ilvl w:val="0"/>
          <w:numId w:val="6"/>
        </w:numPr>
        <w:jc w:val="both"/>
        <w:rPr>
          <w:color w:val="002060"/>
        </w:rPr>
      </w:pPr>
      <w:r w:rsidRPr="005E68B7">
        <w:rPr>
          <w:color w:val="002060"/>
        </w:rPr>
        <w:t xml:space="preserve">The modalities through which the </w:t>
      </w:r>
      <w:r w:rsidR="000343B0" w:rsidRPr="005E68B7">
        <w:rPr>
          <w:color w:val="002060"/>
        </w:rPr>
        <w:t xml:space="preserve">policy </w:t>
      </w:r>
      <w:r w:rsidRPr="005E68B7">
        <w:rPr>
          <w:color w:val="002060"/>
        </w:rPr>
        <w:t xml:space="preserve">PAF </w:t>
      </w:r>
      <w:r w:rsidR="000D58F3" w:rsidRPr="005E68B7">
        <w:rPr>
          <w:color w:val="002060"/>
        </w:rPr>
        <w:t xml:space="preserve">is going to be managed and the extent to which this may </w:t>
      </w:r>
      <w:r w:rsidR="000343B0" w:rsidRPr="005E68B7">
        <w:rPr>
          <w:color w:val="002060"/>
        </w:rPr>
        <w:t xml:space="preserve"> effectively support </w:t>
      </w:r>
      <w:r w:rsidR="00306237" w:rsidRPr="005E68B7">
        <w:rPr>
          <w:color w:val="002060"/>
        </w:rPr>
        <w:t xml:space="preserve"> policy dialogue and </w:t>
      </w:r>
      <w:r w:rsidR="000343B0" w:rsidRPr="005E68B7">
        <w:rPr>
          <w:color w:val="002060"/>
        </w:rPr>
        <w:t xml:space="preserve">the assessment of </w:t>
      </w:r>
      <w:r w:rsidR="00306237" w:rsidRPr="005E68B7">
        <w:rPr>
          <w:color w:val="002060"/>
        </w:rPr>
        <w:t xml:space="preserve">budget support </w:t>
      </w:r>
      <w:r w:rsidR="000D58F3" w:rsidRPr="005E68B7">
        <w:rPr>
          <w:color w:val="002060"/>
        </w:rPr>
        <w:t xml:space="preserve">disbursement </w:t>
      </w:r>
      <w:r w:rsidR="00306237" w:rsidRPr="005E68B7">
        <w:rPr>
          <w:color w:val="002060"/>
        </w:rPr>
        <w:t>conditions</w:t>
      </w:r>
    </w:p>
    <w:p w:rsidR="00A77721" w:rsidRPr="00A77721" w:rsidRDefault="00A77721" w:rsidP="00A77721">
      <w:pPr>
        <w:pStyle w:val="NoSpacing"/>
        <w:rPr>
          <w:rStyle w:val="A19"/>
          <w:color w:val="auto"/>
        </w:rPr>
      </w:pPr>
    </w:p>
    <w:p w:rsidR="0060024D" w:rsidRPr="000D58F3" w:rsidRDefault="0060024D" w:rsidP="0060024D">
      <w:pPr>
        <w:pStyle w:val="Heading1"/>
        <w:rPr>
          <w:rStyle w:val="A19"/>
          <w:rFonts w:asciiTheme="minorHAnsi" w:hAnsiTheme="minorHAnsi"/>
          <w:b/>
          <w:color w:val="0070C0"/>
          <w:sz w:val="28"/>
          <w:szCs w:val="28"/>
        </w:rPr>
      </w:pPr>
      <w:r w:rsidRPr="000D58F3">
        <w:rPr>
          <w:rStyle w:val="A19"/>
          <w:rFonts w:asciiTheme="minorHAnsi" w:hAnsiTheme="minorHAnsi"/>
          <w:b/>
          <w:color w:val="0070C0"/>
          <w:sz w:val="28"/>
          <w:szCs w:val="28"/>
        </w:rPr>
        <w:t xml:space="preserve">Assessing Eligibility against the Macroeconomic </w:t>
      </w:r>
      <w:r w:rsidR="00745FA5">
        <w:rPr>
          <w:rStyle w:val="A19"/>
          <w:rFonts w:asciiTheme="minorHAnsi" w:hAnsiTheme="minorHAnsi"/>
          <w:b/>
          <w:color w:val="0070C0"/>
          <w:sz w:val="28"/>
          <w:szCs w:val="28"/>
        </w:rPr>
        <w:t xml:space="preserve">Stability </w:t>
      </w:r>
      <w:r w:rsidRPr="000D58F3">
        <w:rPr>
          <w:rStyle w:val="A19"/>
          <w:rFonts w:asciiTheme="minorHAnsi" w:hAnsiTheme="minorHAnsi"/>
          <w:b/>
          <w:color w:val="0070C0"/>
          <w:sz w:val="28"/>
          <w:szCs w:val="28"/>
        </w:rPr>
        <w:t>Criterion</w:t>
      </w:r>
    </w:p>
    <w:p w:rsidR="0060024D" w:rsidRPr="007B70FF" w:rsidRDefault="00A16F45" w:rsidP="005B483A">
      <w:pPr>
        <w:pStyle w:val="NoSpacing"/>
        <w:jc w:val="both"/>
        <w:rPr>
          <w:color w:val="002060"/>
          <w:lang w:val="en-GB" w:eastAsia="ja-JP"/>
        </w:rPr>
      </w:pPr>
      <w:r w:rsidRPr="007B70FF">
        <w:rPr>
          <w:color w:val="002060"/>
        </w:rPr>
        <w:t>Macroeconomic stability has to be assessed at the national level and is under the overall responsibility of the central government. Yet, s</w:t>
      </w:r>
      <w:proofErr w:type="spellStart"/>
      <w:r w:rsidR="00104CDC" w:rsidRPr="007B70FF">
        <w:rPr>
          <w:color w:val="002060"/>
          <w:lang w:val="en-GB" w:eastAsia="ja-JP"/>
        </w:rPr>
        <w:t>ub</w:t>
      </w:r>
      <w:proofErr w:type="spellEnd"/>
      <w:r w:rsidR="00104CDC" w:rsidRPr="007B70FF">
        <w:rPr>
          <w:color w:val="002060"/>
          <w:lang w:val="en-GB" w:eastAsia="ja-JP"/>
        </w:rPr>
        <w:t>-national governments have few incentives, if any, to analyse the impact of their policies on macroeconomic stability</w:t>
      </w:r>
      <w:r w:rsidR="00EC2D99" w:rsidRPr="007B70FF">
        <w:rPr>
          <w:color w:val="002060"/>
          <w:lang w:val="en-GB" w:eastAsia="ja-JP"/>
        </w:rPr>
        <w:t>. While</w:t>
      </w:r>
      <w:r w:rsidR="00104CDC" w:rsidRPr="007B70FF">
        <w:rPr>
          <w:color w:val="002060"/>
          <w:lang w:val="en-GB" w:eastAsia="ja-JP"/>
        </w:rPr>
        <w:t xml:space="preserve"> </w:t>
      </w:r>
      <w:r w:rsidR="00EC2D99" w:rsidRPr="007B70FF">
        <w:rPr>
          <w:color w:val="002060"/>
          <w:lang w:val="en-GB" w:eastAsia="ja-JP"/>
        </w:rPr>
        <w:t>r</w:t>
      </w:r>
      <w:r w:rsidR="00104CDC" w:rsidRPr="007B70FF">
        <w:rPr>
          <w:color w:val="002060"/>
          <w:lang w:val="en-GB" w:eastAsia="ja-JP"/>
        </w:rPr>
        <w:t xml:space="preserve">esponsibility for stability </w:t>
      </w:r>
      <w:r w:rsidR="00EC2D99" w:rsidRPr="007B70FF">
        <w:rPr>
          <w:color w:val="002060"/>
          <w:lang w:val="en-GB" w:eastAsia="ja-JP"/>
        </w:rPr>
        <w:t>essentially belongs</w:t>
      </w:r>
      <w:r w:rsidR="00104CDC" w:rsidRPr="007B70FF">
        <w:rPr>
          <w:color w:val="002060"/>
          <w:lang w:val="en-GB" w:eastAsia="ja-JP"/>
        </w:rPr>
        <w:t xml:space="preserve"> to the central government</w:t>
      </w:r>
      <w:r w:rsidR="00EC2D99" w:rsidRPr="007B70FF">
        <w:rPr>
          <w:color w:val="002060"/>
          <w:lang w:val="en-GB" w:eastAsia="ja-JP"/>
        </w:rPr>
        <w:t xml:space="preserve"> (through monetary and fiscal policy), poorly designed sub-national policies constitute a risk factor that could have macroeconomic impl</w:t>
      </w:r>
      <w:r w:rsidR="0012030C" w:rsidRPr="007B70FF">
        <w:rPr>
          <w:color w:val="002060"/>
          <w:lang w:val="en-GB" w:eastAsia="ja-JP"/>
        </w:rPr>
        <w:t>ications</w:t>
      </w:r>
      <w:r w:rsidR="00104CDC" w:rsidRPr="007B70FF">
        <w:rPr>
          <w:color w:val="002060"/>
          <w:lang w:val="en-GB" w:eastAsia="ja-JP"/>
        </w:rPr>
        <w:t xml:space="preserve">. </w:t>
      </w:r>
      <w:r w:rsidR="0060024D" w:rsidRPr="007B70FF">
        <w:rPr>
          <w:color w:val="002060"/>
          <w:lang w:val="en-GB" w:eastAsia="ja-JP"/>
        </w:rPr>
        <w:t xml:space="preserve">With respect to the Macroeconomic eligibility criterion, the specific question posed by a program </w:t>
      </w:r>
      <w:r w:rsidR="0012030C" w:rsidRPr="007B70FF">
        <w:rPr>
          <w:color w:val="002060"/>
          <w:lang w:val="en-GB" w:eastAsia="ja-JP"/>
        </w:rPr>
        <w:t xml:space="preserve">that either substantially relies  on decentralized services or </w:t>
      </w:r>
      <w:r w:rsidR="0060024D" w:rsidRPr="007B70FF">
        <w:rPr>
          <w:color w:val="002060"/>
          <w:lang w:val="en-GB" w:eastAsia="ja-JP"/>
        </w:rPr>
        <w:t>support</w:t>
      </w:r>
      <w:r w:rsidR="0012030C" w:rsidRPr="007B70FF">
        <w:rPr>
          <w:color w:val="002060"/>
          <w:lang w:val="en-GB" w:eastAsia="ja-JP"/>
        </w:rPr>
        <w:t>s</w:t>
      </w:r>
      <w:r w:rsidR="0060024D" w:rsidRPr="007B70FF">
        <w:rPr>
          <w:color w:val="002060"/>
          <w:lang w:val="en-GB" w:eastAsia="ja-JP"/>
        </w:rPr>
        <w:t xml:space="preserve"> decentralization and local development is whether, and to which extent, it may affect the country’s macroeconomic framework. Research shows that no generalization is warranted and that the impact of decentralized systems on macroeconomic stability depends on context and particular features of the proposed policies and programs. </w:t>
      </w:r>
    </w:p>
    <w:p w:rsidR="005B483A" w:rsidRDefault="005B483A" w:rsidP="005B483A">
      <w:pPr>
        <w:pStyle w:val="NoSpacing"/>
        <w:jc w:val="both"/>
        <w:rPr>
          <w:lang w:val="en-GB" w:eastAsia="ja-JP"/>
        </w:rPr>
      </w:pPr>
    </w:p>
    <w:p w:rsidR="0060024D" w:rsidRPr="00893E04" w:rsidRDefault="0060024D" w:rsidP="0060024D">
      <w:pPr>
        <w:autoSpaceDE w:val="0"/>
        <w:autoSpaceDN w:val="0"/>
        <w:adjustRightInd w:val="0"/>
        <w:spacing w:after="0" w:line="240" w:lineRule="auto"/>
        <w:rPr>
          <w:rFonts w:cs="PF Square Sans Pro Medium"/>
          <w:i/>
          <w:color w:val="002060"/>
        </w:rPr>
      </w:pPr>
      <w:r w:rsidRPr="00893E04">
        <w:rPr>
          <w:rFonts w:cs="PF Square Sans Pro Medium"/>
          <w:i/>
          <w:color w:val="002060"/>
        </w:rPr>
        <w:t xml:space="preserve">POTENTIAL SOURCES OF MACROECONOMIC INSTABILITY </w:t>
      </w:r>
    </w:p>
    <w:p w:rsidR="0060024D" w:rsidRPr="00893E04" w:rsidRDefault="0060024D" w:rsidP="0060024D">
      <w:pPr>
        <w:pStyle w:val="NoSpacing"/>
        <w:rPr>
          <w:color w:val="002060"/>
          <w:lang w:val="en-GB" w:eastAsia="ja-JP"/>
        </w:rPr>
      </w:pPr>
    </w:p>
    <w:p w:rsidR="007769B0" w:rsidRDefault="0060024D" w:rsidP="00BB1D6E">
      <w:pPr>
        <w:spacing w:line="240" w:lineRule="auto"/>
        <w:jc w:val="both"/>
        <w:rPr>
          <w:color w:val="002060"/>
          <w:lang w:val="en-GB" w:eastAsia="ja-JP"/>
        </w:rPr>
      </w:pPr>
      <w:r w:rsidRPr="00893E04">
        <w:rPr>
          <w:color w:val="002060"/>
          <w:lang w:val="en-GB" w:eastAsia="ja-JP"/>
        </w:rPr>
        <w:lastRenderedPageBreak/>
        <w:t xml:space="preserve">A program </w:t>
      </w:r>
      <w:r w:rsidR="0012030C">
        <w:rPr>
          <w:color w:val="002060"/>
          <w:lang w:val="en-GB" w:eastAsia="ja-JP"/>
        </w:rPr>
        <w:t xml:space="preserve">relying on a decentralized arrangement for the delivery of services or </w:t>
      </w:r>
      <w:r w:rsidRPr="00893E04">
        <w:rPr>
          <w:color w:val="002060"/>
          <w:lang w:val="en-GB" w:eastAsia="ja-JP"/>
        </w:rPr>
        <w:t xml:space="preserve">supporting decentralization reforms and local development may affect macroeconomic </w:t>
      </w:r>
      <w:r w:rsidR="009D5E28">
        <w:rPr>
          <w:color w:val="002060"/>
          <w:lang w:val="en-GB" w:eastAsia="ja-JP"/>
        </w:rPr>
        <w:t>conditions</w:t>
      </w:r>
      <w:r w:rsidRPr="00893E04">
        <w:rPr>
          <w:color w:val="002060"/>
          <w:lang w:val="en-GB" w:eastAsia="ja-JP"/>
        </w:rPr>
        <w:t xml:space="preserve"> in multiple ways. Issues </w:t>
      </w:r>
      <w:r w:rsidR="007769B0">
        <w:rPr>
          <w:color w:val="002060"/>
          <w:lang w:val="en-GB" w:eastAsia="ja-JP"/>
        </w:rPr>
        <w:t>often</w:t>
      </w:r>
      <w:r w:rsidRPr="009D5E28">
        <w:rPr>
          <w:color w:val="002060"/>
          <w:lang w:val="en-GB" w:eastAsia="ja-JP"/>
        </w:rPr>
        <w:t xml:space="preserve"> arise </w:t>
      </w:r>
      <w:r w:rsidR="009D5E28" w:rsidRPr="009D5E28">
        <w:rPr>
          <w:color w:val="002060"/>
          <w:lang w:val="en-GB" w:eastAsia="ja-JP"/>
        </w:rPr>
        <w:t xml:space="preserve">because the </w:t>
      </w:r>
      <w:r w:rsidR="00D323F9">
        <w:rPr>
          <w:color w:val="002060"/>
          <w:lang w:val="en-GB" w:eastAsia="ja-JP"/>
        </w:rPr>
        <w:t xml:space="preserve">central government policy may </w:t>
      </w:r>
      <w:r w:rsidR="009D5E28" w:rsidRPr="009D5E28">
        <w:rPr>
          <w:color w:val="002060"/>
          <w:lang w:val="en-GB" w:eastAsia="ja-JP"/>
        </w:rPr>
        <w:t>g</w:t>
      </w:r>
      <w:r w:rsidR="0012030C" w:rsidRPr="00BB1D6E">
        <w:rPr>
          <w:color w:val="002060"/>
          <w:lang w:val="en-GB" w:eastAsia="ja-JP"/>
        </w:rPr>
        <w:t xml:space="preserve">enerate </w:t>
      </w:r>
      <w:r w:rsidR="009D5E28" w:rsidRPr="00BB1D6E">
        <w:rPr>
          <w:color w:val="002060"/>
          <w:lang w:val="en-GB" w:eastAsia="ja-JP"/>
        </w:rPr>
        <w:t xml:space="preserve">or aggravate </w:t>
      </w:r>
      <w:r w:rsidR="0012030C" w:rsidRPr="00BB1D6E">
        <w:rPr>
          <w:color w:val="002060"/>
          <w:lang w:val="en-GB" w:eastAsia="ja-JP"/>
        </w:rPr>
        <w:t>a</w:t>
      </w:r>
      <w:r w:rsidRPr="00BB1D6E">
        <w:rPr>
          <w:color w:val="002060"/>
          <w:lang w:val="en-GB" w:eastAsia="ja-JP"/>
        </w:rPr>
        <w:t xml:space="preserve"> mismatch between responsibilities and resources across levels of government</w:t>
      </w:r>
      <w:r w:rsidR="009D5E28" w:rsidRPr="00BB1D6E">
        <w:rPr>
          <w:color w:val="002060"/>
          <w:lang w:val="en-GB" w:eastAsia="ja-JP"/>
        </w:rPr>
        <w:t xml:space="preserve">. </w:t>
      </w:r>
    </w:p>
    <w:p w:rsidR="009D5E28" w:rsidRPr="009D5E28" w:rsidRDefault="000602AB" w:rsidP="00BB1D6E">
      <w:pPr>
        <w:spacing w:line="240" w:lineRule="auto"/>
        <w:jc w:val="both"/>
        <w:rPr>
          <w:color w:val="002060"/>
          <w:lang w:val="en-GB" w:eastAsia="ja-JP"/>
        </w:rPr>
      </w:pPr>
      <w:r>
        <w:rPr>
          <w:color w:val="002060"/>
          <w:lang w:val="en-GB" w:eastAsia="ja-JP"/>
        </w:rPr>
        <w:t>Relevant questions to be examined include</w:t>
      </w:r>
      <w:r w:rsidR="009D5E28" w:rsidRPr="00BB1D6E">
        <w:rPr>
          <w:color w:val="002060"/>
          <w:lang w:val="en-GB" w:eastAsia="ja-JP"/>
        </w:rPr>
        <w:t>:</w:t>
      </w:r>
    </w:p>
    <w:p w:rsidR="0060024D" w:rsidRPr="00DB549F" w:rsidRDefault="007769B0" w:rsidP="007B70FF">
      <w:pPr>
        <w:pStyle w:val="ListParagraph"/>
        <w:numPr>
          <w:ilvl w:val="0"/>
          <w:numId w:val="32"/>
        </w:numPr>
        <w:spacing w:line="240" w:lineRule="auto"/>
        <w:ind w:left="426"/>
        <w:jc w:val="both"/>
        <w:rPr>
          <w:color w:val="002060"/>
          <w:lang w:val="en-GB" w:eastAsia="ja-JP"/>
        </w:rPr>
      </w:pPr>
      <w:r w:rsidRPr="00DB549F">
        <w:rPr>
          <w:b/>
          <w:color w:val="002060"/>
        </w:rPr>
        <w:t>Is t</w:t>
      </w:r>
      <w:r w:rsidR="009D5E28" w:rsidRPr="00DB549F">
        <w:rPr>
          <w:b/>
          <w:color w:val="002060"/>
        </w:rPr>
        <w:t>he</w:t>
      </w:r>
      <w:r w:rsidR="0060024D" w:rsidRPr="00DB549F">
        <w:rPr>
          <w:b/>
          <w:color w:val="002060"/>
        </w:rPr>
        <w:t xml:space="preserve"> decentralization of expenditures </w:t>
      </w:r>
      <w:r w:rsidRPr="00DB549F">
        <w:rPr>
          <w:b/>
          <w:color w:val="002060"/>
        </w:rPr>
        <w:t>matched by adequate resources?</w:t>
      </w:r>
      <w:r w:rsidRPr="00DB549F">
        <w:rPr>
          <w:color w:val="002060"/>
        </w:rPr>
        <w:t xml:space="preserve"> In certain cases the center cannot provide </w:t>
      </w:r>
      <w:r w:rsidR="009D5E28" w:rsidRPr="00DB549F">
        <w:rPr>
          <w:color w:val="002060"/>
        </w:rPr>
        <w:t xml:space="preserve">additional </w:t>
      </w:r>
      <w:r w:rsidR="0060024D" w:rsidRPr="00DB549F">
        <w:rPr>
          <w:color w:val="002060"/>
        </w:rPr>
        <w:t xml:space="preserve">revenues (often </w:t>
      </w:r>
      <w:r w:rsidR="009D5E28" w:rsidRPr="00DB549F">
        <w:rPr>
          <w:color w:val="002060"/>
        </w:rPr>
        <w:t>because it is itself facing</w:t>
      </w:r>
      <w:r w:rsidR="0060024D" w:rsidRPr="00DB549F">
        <w:rPr>
          <w:color w:val="002060"/>
        </w:rPr>
        <w:t xml:space="preserve"> fiscal imbalances), </w:t>
      </w:r>
      <w:r w:rsidR="00BC0C2D" w:rsidRPr="00DB549F">
        <w:rPr>
          <w:color w:val="002060"/>
        </w:rPr>
        <w:t xml:space="preserve">limiting the ability of the </w:t>
      </w:r>
      <w:r w:rsidR="0060024D" w:rsidRPr="00DB549F">
        <w:rPr>
          <w:color w:val="002060"/>
        </w:rPr>
        <w:t xml:space="preserve">local authorities to </w:t>
      </w:r>
      <w:r w:rsidR="009D5E28" w:rsidRPr="00DB549F">
        <w:rPr>
          <w:color w:val="002060"/>
        </w:rPr>
        <w:t>meet the</w:t>
      </w:r>
      <w:r w:rsidR="00BC0C2D" w:rsidRPr="00DB549F">
        <w:rPr>
          <w:color w:val="002060"/>
        </w:rPr>
        <w:t>ir</w:t>
      </w:r>
      <w:r w:rsidR="009D5E28" w:rsidRPr="00DB549F">
        <w:rPr>
          <w:color w:val="002060"/>
        </w:rPr>
        <w:t xml:space="preserve"> new obligations</w:t>
      </w:r>
      <w:r w:rsidR="00BC0C2D" w:rsidRPr="00DB549F">
        <w:rPr>
          <w:color w:val="002060"/>
        </w:rPr>
        <w:t xml:space="preserve">. This </w:t>
      </w:r>
      <w:r w:rsidR="00EA0470" w:rsidRPr="00DB549F">
        <w:rPr>
          <w:color w:val="002060"/>
        </w:rPr>
        <w:t xml:space="preserve">may </w:t>
      </w:r>
      <w:r w:rsidR="00BC0C2D" w:rsidRPr="00DB549F">
        <w:rPr>
          <w:color w:val="002060"/>
        </w:rPr>
        <w:t xml:space="preserve">certainly </w:t>
      </w:r>
      <w:r w:rsidR="00EA0470" w:rsidRPr="00DB549F">
        <w:rPr>
          <w:color w:val="002060"/>
        </w:rPr>
        <w:t xml:space="preserve">apply </w:t>
      </w:r>
      <w:r w:rsidR="00BC0C2D" w:rsidRPr="00DB549F">
        <w:rPr>
          <w:color w:val="002060"/>
        </w:rPr>
        <w:t xml:space="preserve">in the case of a program supporting a decentralization process, as this would necessarily require a re-assessment of the resources available to subnational entities. But the same consideration </w:t>
      </w:r>
      <w:r w:rsidR="0091740C" w:rsidRPr="00DB549F">
        <w:rPr>
          <w:color w:val="002060"/>
        </w:rPr>
        <w:t xml:space="preserve">may </w:t>
      </w:r>
      <w:r w:rsidR="00BC0C2D" w:rsidRPr="00DB549F">
        <w:rPr>
          <w:color w:val="002060"/>
        </w:rPr>
        <w:t xml:space="preserve">also </w:t>
      </w:r>
      <w:r w:rsidR="00EA0470" w:rsidRPr="00DB549F">
        <w:rPr>
          <w:color w:val="002060"/>
        </w:rPr>
        <w:t xml:space="preserve">be relevant </w:t>
      </w:r>
      <w:r w:rsidR="0091740C" w:rsidRPr="00DB549F">
        <w:rPr>
          <w:color w:val="002060"/>
        </w:rPr>
        <w:t xml:space="preserve">for </w:t>
      </w:r>
      <w:r w:rsidR="00BC0C2D" w:rsidRPr="00DB549F">
        <w:rPr>
          <w:color w:val="002060"/>
        </w:rPr>
        <w:t xml:space="preserve">a program relying on an existing decentralized arrangement. Indeed, in both cases, sub-national governments </w:t>
      </w:r>
      <w:r w:rsidR="00872359" w:rsidRPr="00DB549F">
        <w:rPr>
          <w:color w:val="002060"/>
        </w:rPr>
        <w:t>may face serious difficulties</w:t>
      </w:r>
      <w:r w:rsidR="0060024D" w:rsidRPr="00DB549F">
        <w:rPr>
          <w:color w:val="002060"/>
        </w:rPr>
        <w:t>.</w:t>
      </w:r>
    </w:p>
    <w:p w:rsidR="0060024D" w:rsidRPr="007B70FF" w:rsidRDefault="007769B0" w:rsidP="00CC624A">
      <w:pPr>
        <w:pStyle w:val="NoSpacing"/>
        <w:numPr>
          <w:ilvl w:val="0"/>
          <w:numId w:val="3"/>
        </w:numPr>
        <w:spacing w:before="100" w:beforeAutospacing="1" w:after="100" w:afterAutospacing="1"/>
        <w:jc w:val="both"/>
        <w:rPr>
          <w:color w:val="002060"/>
          <w:lang w:val="en-GB" w:eastAsia="ja-JP"/>
        </w:rPr>
      </w:pPr>
      <w:r w:rsidRPr="007B70FF">
        <w:rPr>
          <w:b/>
          <w:i/>
          <w:color w:val="002060"/>
        </w:rPr>
        <w:t>Are there fiscal rules or spending limits in place to ensure subnational fiscal stability</w:t>
      </w:r>
      <w:r w:rsidRPr="007B70FF">
        <w:rPr>
          <w:color w:val="002060"/>
        </w:rPr>
        <w:t>?</w:t>
      </w:r>
      <w:r w:rsidRPr="007B70FF">
        <w:rPr>
          <w:i/>
          <w:color w:val="002060"/>
          <w:lang w:val="en-GB" w:eastAsia="ja-JP"/>
        </w:rPr>
        <w:t xml:space="preserve"> In case of </w:t>
      </w:r>
      <w:r w:rsidR="00872359" w:rsidRPr="007B70FF">
        <w:rPr>
          <w:i/>
          <w:color w:val="002060"/>
          <w:lang w:val="en-GB" w:eastAsia="ja-JP"/>
        </w:rPr>
        <w:t xml:space="preserve">absence of </w:t>
      </w:r>
      <w:r w:rsidR="00333B15" w:rsidRPr="007B70FF">
        <w:rPr>
          <w:i/>
          <w:color w:val="002060"/>
          <w:lang w:val="en-GB" w:eastAsia="ja-JP"/>
        </w:rPr>
        <w:t xml:space="preserve">clear </w:t>
      </w:r>
      <w:r w:rsidR="00872359" w:rsidRPr="007B70FF">
        <w:rPr>
          <w:i/>
          <w:color w:val="002060"/>
          <w:lang w:val="en-GB" w:eastAsia="ja-JP"/>
        </w:rPr>
        <w:t>fiscal rules (e.g. a balanced budget rule or borrowing and spending limits)</w:t>
      </w:r>
      <w:r w:rsidR="00333B15" w:rsidRPr="007B70FF">
        <w:rPr>
          <w:i/>
          <w:color w:val="002060"/>
          <w:lang w:val="en-GB" w:eastAsia="ja-JP"/>
        </w:rPr>
        <w:t xml:space="preserve"> from the </w:t>
      </w:r>
      <w:proofErr w:type="spellStart"/>
      <w:r w:rsidR="00333B15" w:rsidRPr="007B70FF">
        <w:rPr>
          <w:i/>
          <w:color w:val="002060"/>
          <w:lang w:val="en-GB" w:eastAsia="ja-JP"/>
        </w:rPr>
        <w:t>center</w:t>
      </w:r>
      <w:proofErr w:type="spellEnd"/>
      <w:r w:rsidR="00333B15" w:rsidRPr="007B70FF">
        <w:rPr>
          <w:i/>
          <w:color w:val="002060"/>
          <w:lang w:val="en-GB" w:eastAsia="ja-JP"/>
        </w:rPr>
        <w:t>,</w:t>
      </w:r>
      <w:r w:rsidR="00872359" w:rsidRPr="007B70FF">
        <w:rPr>
          <w:i/>
          <w:color w:val="002060"/>
          <w:lang w:val="en-GB" w:eastAsia="ja-JP"/>
        </w:rPr>
        <w:t xml:space="preserve"> or a lack of enforceable penaltie</w:t>
      </w:r>
      <w:r w:rsidR="00333B15" w:rsidRPr="007B70FF">
        <w:rPr>
          <w:i/>
          <w:color w:val="002060"/>
          <w:lang w:val="en-GB" w:eastAsia="ja-JP"/>
        </w:rPr>
        <w:t>s and/or performance incentives</w:t>
      </w:r>
      <w:r w:rsidR="00872359" w:rsidRPr="007B70FF">
        <w:rPr>
          <w:color w:val="002060"/>
          <w:lang w:val="en-GB" w:eastAsia="ja-JP"/>
        </w:rPr>
        <w:t xml:space="preserve"> sub-national governments may</w:t>
      </w:r>
      <w:r w:rsidR="00333B15" w:rsidRPr="007B70FF">
        <w:rPr>
          <w:color w:val="002060"/>
          <w:lang w:val="en-GB" w:eastAsia="ja-JP"/>
        </w:rPr>
        <w:t xml:space="preserve"> </w:t>
      </w:r>
      <w:r w:rsidR="00872359" w:rsidRPr="007B70FF">
        <w:rPr>
          <w:color w:val="002060"/>
          <w:lang w:val="en-GB" w:eastAsia="ja-JP"/>
        </w:rPr>
        <w:t>a</w:t>
      </w:r>
      <w:r w:rsidR="00BC0C2D" w:rsidRPr="007B70FF">
        <w:rPr>
          <w:color w:val="002060"/>
          <w:lang w:val="en-GB" w:eastAsia="ja-JP"/>
        </w:rPr>
        <w:t>dopt a</w:t>
      </w:r>
      <w:r w:rsidR="0060024D" w:rsidRPr="007B70FF">
        <w:rPr>
          <w:color w:val="002060"/>
          <w:lang w:val="en-GB" w:eastAsia="ja-JP"/>
        </w:rPr>
        <w:t xml:space="preserve"> soft budget constraint</w:t>
      </w:r>
      <w:r w:rsidR="00333B15" w:rsidRPr="007B70FF">
        <w:rPr>
          <w:color w:val="002060"/>
          <w:lang w:val="en-GB" w:eastAsia="ja-JP"/>
        </w:rPr>
        <w:t xml:space="preserve">, with the result that </w:t>
      </w:r>
      <w:r w:rsidR="00872359" w:rsidRPr="007B70FF">
        <w:rPr>
          <w:color w:val="002060"/>
          <w:lang w:val="en-GB" w:eastAsia="ja-JP"/>
        </w:rPr>
        <w:t>upward pressures on</w:t>
      </w:r>
      <w:r w:rsidR="0060024D" w:rsidRPr="007B70FF">
        <w:rPr>
          <w:color w:val="002060"/>
          <w:lang w:val="en-GB" w:eastAsia="ja-JP"/>
        </w:rPr>
        <w:t xml:space="preserve"> sub-national public spending </w:t>
      </w:r>
      <w:r w:rsidR="00333B15" w:rsidRPr="007B70FF">
        <w:rPr>
          <w:color w:val="002060"/>
          <w:lang w:val="en-GB" w:eastAsia="ja-JP"/>
        </w:rPr>
        <w:t>translates</w:t>
      </w:r>
      <w:r w:rsidR="00872359" w:rsidRPr="007B70FF">
        <w:rPr>
          <w:color w:val="002060"/>
          <w:lang w:val="en-GB" w:eastAsia="ja-JP"/>
        </w:rPr>
        <w:t xml:space="preserve"> </w:t>
      </w:r>
      <w:r w:rsidR="00333B15" w:rsidRPr="007B70FF">
        <w:rPr>
          <w:color w:val="002060"/>
          <w:lang w:val="en-GB" w:eastAsia="ja-JP"/>
        </w:rPr>
        <w:t>in</w:t>
      </w:r>
      <w:r w:rsidR="00872359" w:rsidRPr="007B70FF">
        <w:rPr>
          <w:color w:val="002060"/>
          <w:lang w:val="en-GB" w:eastAsia="ja-JP"/>
        </w:rPr>
        <w:t xml:space="preserve">to </w:t>
      </w:r>
      <w:r w:rsidR="0060024D" w:rsidRPr="007B70FF">
        <w:rPr>
          <w:color w:val="002060"/>
          <w:lang w:val="en-GB" w:eastAsia="ja-JP"/>
        </w:rPr>
        <w:t>unsustainable deficits in the expectation of central government’s bailouts.</w:t>
      </w:r>
      <w:r w:rsidR="00333B15" w:rsidRPr="007B70FF">
        <w:rPr>
          <w:rFonts w:cs="PF Square Sans Pro Medium"/>
          <w:color w:val="002060"/>
        </w:rPr>
        <w:t xml:space="preserve"> A key question is then whether the reassignment of fiscal powers that the </w:t>
      </w:r>
      <w:r w:rsidR="0091740C" w:rsidRPr="007B70FF">
        <w:rPr>
          <w:rFonts w:cs="PF Square Sans Pro Medium"/>
          <w:color w:val="002060"/>
        </w:rPr>
        <w:t>policy</w:t>
      </w:r>
      <w:r w:rsidR="00333B15" w:rsidRPr="007B70FF">
        <w:rPr>
          <w:rFonts w:cs="PF Square Sans Pro Medium"/>
          <w:color w:val="002060"/>
        </w:rPr>
        <w:t xml:space="preserve"> supports is large enough to have a potentially significant </w:t>
      </w:r>
      <w:r w:rsidR="00333B15" w:rsidRPr="007B70FF">
        <w:rPr>
          <w:rFonts w:cs="PF Square Sans Pro Medium"/>
          <w:i/>
          <w:color w:val="002060"/>
        </w:rPr>
        <w:t>impact on the country fiscal balance</w:t>
      </w:r>
      <w:r w:rsidR="00333B15" w:rsidRPr="007B70FF">
        <w:rPr>
          <w:rFonts w:cs="PF Square Sans Pro Medium"/>
          <w:color w:val="002060"/>
        </w:rPr>
        <w:t xml:space="preserve"> and whether or not effective mechanisms to coordinate central and local fiscal policy (e.g. internal stability pacts) are in place</w:t>
      </w:r>
      <w:r w:rsidR="00CC624A">
        <w:rPr>
          <w:rFonts w:cs="PF Square Sans Pro Medium"/>
          <w:color w:val="002060"/>
        </w:rPr>
        <w:t xml:space="preserve"> </w:t>
      </w:r>
    </w:p>
    <w:p w:rsidR="0060024D" w:rsidRPr="00893E04" w:rsidRDefault="00EA0470" w:rsidP="007B70FF">
      <w:pPr>
        <w:pStyle w:val="NoSpacing"/>
        <w:numPr>
          <w:ilvl w:val="0"/>
          <w:numId w:val="3"/>
        </w:numPr>
        <w:spacing w:before="100" w:beforeAutospacing="1" w:after="100" w:afterAutospacing="1"/>
        <w:jc w:val="both"/>
        <w:rPr>
          <w:color w:val="002060"/>
          <w:lang w:val="en-GB" w:eastAsia="ja-JP"/>
        </w:rPr>
      </w:pPr>
      <w:r w:rsidRPr="00BB1D6E">
        <w:rPr>
          <w:b/>
          <w:i/>
          <w:color w:val="002060"/>
          <w:lang w:val="en-GB" w:eastAsia="ja-JP"/>
        </w:rPr>
        <w:t>Is there central government</w:t>
      </w:r>
      <w:r w:rsidR="0060024D" w:rsidRPr="00BB1D6E">
        <w:rPr>
          <w:b/>
          <w:i/>
          <w:color w:val="002060"/>
          <w:lang w:val="en-GB" w:eastAsia="ja-JP"/>
        </w:rPr>
        <w:t xml:space="preserve"> support for </w:t>
      </w:r>
      <w:r w:rsidRPr="00BB1D6E">
        <w:rPr>
          <w:b/>
          <w:i/>
          <w:color w:val="002060"/>
          <w:lang w:val="en-GB" w:eastAsia="ja-JP"/>
        </w:rPr>
        <w:t xml:space="preserve">local </w:t>
      </w:r>
      <w:r w:rsidR="0060024D" w:rsidRPr="00BB1D6E">
        <w:rPr>
          <w:b/>
          <w:i/>
          <w:color w:val="002060"/>
          <w:lang w:val="en-GB" w:eastAsia="ja-JP"/>
        </w:rPr>
        <w:t>revenue autonomy</w:t>
      </w:r>
      <w:r w:rsidR="00333B15">
        <w:rPr>
          <w:color w:val="002060"/>
          <w:lang w:val="en-GB" w:eastAsia="ja-JP"/>
        </w:rPr>
        <w:t>:</w:t>
      </w:r>
      <w:r w:rsidR="0060024D" w:rsidRPr="00893E04">
        <w:rPr>
          <w:color w:val="002060"/>
          <w:lang w:val="en-GB" w:eastAsia="ja-JP"/>
        </w:rPr>
        <w:t xml:space="preserve"> </w:t>
      </w:r>
      <w:r>
        <w:rPr>
          <w:color w:val="002060"/>
          <w:lang w:val="en-GB" w:eastAsia="ja-JP"/>
        </w:rPr>
        <w:t xml:space="preserve">lack of support </w:t>
      </w:r>
      <w:r w:rsidR="00333B15">
        <w:rPr>
          <w:color w:val="002060"/>
          <w:lang w:val="en-GB" w:eastAsia="ja-JP"/>
        </w:rPr>
        <w:t xml:space="preserve">would </w:t>
      </w:r>
      <w:r w:rsidR="0060024D" w:rsidRPr="00893E04">
        <w:rPr>
          <w:color w:val="002060"/>
          <w:lang w:val="en-GB" w:eastAsia="ja-JP"/>
        </w:rPr>
        <w:t xml:space="preserve">limit </w:t>
      </w:r>
      <w:r w:rsidR="00333B15">
        <w:rPr>
          <w:color w:val="002060"/>
          <w:lang w:val="en-GB" w:eastAsia="ja-JP"/>
        </w:rPr>
        <w:t xml:space="preserve">the </w:t>
      </w:r>
      <w:r w:rsidR="0060024D" w:rsidRPr="00893E04">
        <w:rPr>
          <w:color w:val="002060"/>
          <w:lang w:val="en-GB" w:eastAsia="ja-JP"/>
        </w:rPr>
        <w:t>a</w:t>
      </w:r>
      <w:r w:rsidR="00333B15">
        <w:rPr>
          <w:color w:val="002060"/>
          <w:lang w:val="en-GB" w:eastAsia="ja-JP"/>
        </w:rPr>
        <w:t>bility</w:t>
      </w:r>
      <w:r w:rsidR="0060024D" w:rsidRPr="00893E04">
        <w:rPr>
          <w:color w:val="002060"/>
          <w:lang w:val="en-GB" w:eastAsia="ja-JP"/>
        </w:rPr>
        <w:t xml:space="preserve"> of local authorities to </w:t>
      </w:r>
      <w:r w:rsidR="00333B15">
        <w:rPr>
          <w:color w:val="002060"/>
          <w:lang w:val="en-GB" w:eastAsia="ja-JP"/>
        </w:rPr>
        <w:t xml:space="preserve">increase their </w:t>
      </w:r>
      <w:r w:rsidR="0060024D" w:rsidRPr="00893E04">
        <w:rPr>
          <w:color w:val="002060"/>
          <w:lang w:val="en-GB" w:eastAsia="ja-JP"/>
        </w:rPr>
        <w:t>own sources of revenue (both</w:t>
      </w:r>
      <w:r w:rsidR="0060024D" w:rsidRPr="00893E04">
        <w:rPr>
          <w:rFonts w:cs="Times New Roman"/>
          <w:color w:val="002060"/>
        </w:rPr>
        <w:t xml:space="preserve"> tax and non-tax), and </w:t>
      </w:r>
      <w:r w:rsidR="00883DAB">
        <w:rPr>
          <w:rFonts w:cs="Times New Roman"/>
          <w:color w:val="002060"/>
        </w:rPr>
        <w:t xml:space="preserve">create </w:t>
      </w:r>
      <w:r w:rsidR="0060024D" w:rsidRPr="00893E04">
        <w:rPr>
          <w:rFonts w:cs="Times New Roman"/>
          <w:color w:val="002060"/>
        </w:rPr>
        <w:t>an overreliance on transfers</w:t>
      </w:r>
      <w:r w:rsidR="00333B15">
        <w:rPr>
          <w:color w:val="002060"/>
          <w:lang w:eastAsia="ja-JP"/>
        </w:rPr>
        <w:t xml:space="preserve">. This would in turn </w:t>
      </w:r>
      <w:r w:rsidR="0060024D" w:rsidRPr="00893E04">
        <w:rPr>
          <w:color w:val="002060"/>
          <w:lang w:val="en-GB" w:eastAsia="ja-JP"/>
        </w:rPr>
        <w:t>reduce the incentives to internalize the cost of expenditures and adopt responsible fiscal practices and budget discipline.</w:t>
      </w:r>
      <w:r w:rsidR="00333B15">
        <w:rPr>
          <w:color w:val="002060"/>
          <w:lang w:val="en-GB" w:eastAsia="ja-JP"/>
        </w:rPr>
        <w:t xml:space="preserve"> A key question is then </w:t>
      </w:r>
      <w:r w:rsidR="00333B15">
        <w:rPr>
          <w:rFonts w:cs="PF Square Sans Pro Medium"/>
          <w:color w:val="002060"/>
        </w:rPr>
        <w:t>w</w:t>
      </w:r>
      <w:r w:rsidR="00333B15" w:rsidRPr="00893E04">
        <w:rPr>
          <w:rFonts w:cs="PF Square Sans Pro Medium"/>
          <w:color w:val="002060"/>
        </w:rPr>
        <w:t xml:space="preserve">hether the reassignment of fiscal powers supported by the </w:t>
      </w:r>
      <w:r w:rsidR="0091740C">
        <w:rPr>
          <w:rFonts w:cs="PF Square Sans Pro Medium"/>
          <w:color w:val="002060"/>
        </w:rPr>
        <w:t>policy</w:t>
      </w:r>
      <w:r w:rsidR="00333B15" w:rsidRPr="00893E04">
        <w:rPr>
          <w:rFonts w:cs="PF Square Sans Pro Medium"/>
          <w:color w:val="002060"/>
        </w:rPr>
        <w:t xml:space="preserve"> is matched by local </w:t>
      </w:r>
      <w:r w:rsidR="00333B15" w:rsidRPr="00893E04">
        <w:rPr>
          <w:rFonts w:cs="PF Square Sans Pro Medium"/>
          <w:i/>
          <w:color w:val="002060"/>
        </w:rPr>
        <w:t>political incentives and administrative capacities</w:t>
      </w:r>
      <w:r w:rsidR="00333B15" w:rsidRPr="00893E04">
        <w:rPr>
          <w:rFonts w:cs="PF Square Sans Pro Medium"/>
          <w:color w:val="002060"/>
        </w:rPr>
        <w:t xml:space="preserve"> to effectively and efficiently assess and collect local tax revenue, and whether efforts to build such incentives and capacities are included in the </w:t>
      </w:r>
      <w:r w:rsidR="0091740C">
        <w:rPr>
          <w:rFonts w:cs="PF Square Sans Pro Medium"/>
          <w:color w:val="002060"/>
        </w:rPr>
        <w:t>policy</w:t>
      </w:r>
      <w:r w:rsidR="00333B15" w:rsidRPr="00893E04">
        <w:rPr>
          <w:rFonts w:cs="PF Square Sans Pro Medium"/>
          <w:color w:val="002060"/>
        </w:rPr>
        <w:t>.</w:t>
      </w:r>
    </w:p>
    <w:p w:rsidR="0060024D" w:rsidRPr="00BB1D6E" w:rsidRDefault="00EA0470" w:rsidP="007B70FF">
      <w:pPr>
        <w:pStyle w:val="NoSpacing"/>
        <w:numPr>
          <w:ilvl w:val="0"/>
          <w:numId w:val="3"/>
        </w:numPr>
        <w:spacing w:before="100" w:beforeAutospacing="1" w:after="100" w:afterAutospacing="1"/>
        <w:jc w:val="both"/>
        <w:rPr>
          <w:color w:val="002060"/>
          <w:lang w:val="en-GB" w:eastAsia="ja-JP"/>
        </w:rPr>
      </w:pPr>
      <w:r w:rsidRPr="00BB1D6E">
        <w:rPr>
          <w:rFonts w:cs="Times New Roman"/>
          <w:b/>
          <w:i/>
          <w:color w:val="002060"/>
        </w:rPr>
        <w:t>Is the</w:t>
      </w:r>
      <w:r w:rsidR="0060024D" w:rsidRPr="00BB1D6E">
        <w:rPr>
          <w:rFonts w:cs="Times New Roman"/>
          <w:b/>
          <w:i/>
          <w:color w:val="002060"/>
        </w:rPr>
        <w:t xml:space="preserve"> design of </w:t>
      </w:r>
      <w:r w:rsidR="00433413" w:rsidRPr="00BB1D6E">
        <w:rPr>
          <w:rFonts w:cs="Times New Roman"/>
          <w:b/>
          <w:i/>
          <w:color w:val="002060"/>
        </w:rPr>
        <w:t xml:space="preserve">the equalization </w:t>
      </w:r>
      <w:r w:rsidR="0060024D" w:rsidRPr="00BB1D6E">
        <w:rPr>
          <w:rFonts w:cs="Times New Roman"/>
          <w:b/>
          <w:i/>
          <w:color w:val="002060"/>
        </w:rPr>
        <w:t>grant</w:t>
      </w:r>
      <w:r w:rsidR="00433413" w:rsidRPr="00BB1D6E">
        <w:rPr>
          <w:rFonts w:cs="Times New Roman"/>
          <w:b/>
          <w:i/>
          <w:color w:val="002060"/>
        </w:rPr>
        <w:t>s</w:t>
      </w:r>
      <w:r w:rsidR="0060024D" w:rsidRPr="00BB1D6E">
        <w:rPr>
          <w:rFonts w:cs="Times New Roman"/>
          <w:b/>
          <w:i/>
          <w:color w:val="002060"/>
        </w:rPr>
        <w:t xml:space="preserve"> mechanism</w:t>
      </w:r>
      <w:r w:rsidRPr="00BB1D6E">
        <w:rPr>
          <w:rFonts w:cs="Times New Roman"/>
          <w:b/>
          <w:i/>
          <w:color w:val="002060"/>
        </w:rPr>
        <w:t xml:space="preserve"> adequate?</w:t>
      </w:r>
      <w:r w:rsidR="0060024D" w:rsidRPr="00893E04">
        <w:rPr>
          <w:rFonts w:cs="Times New Roman"/>
          <w:color w:val="002060"/>
        </w:rPr>
        <w:t xml:space="preserve"> </w:t>
      </w:r>
      <w:r>
        <w:rPr>
          <w:rFonts w:cs="Times New Roman"/>
          <w:color w:val="002060"/>
        </w:rPr>
        <w:t xml:space="preserve">Inadequate provisions, </w:t>
      </w:r>
      <w:r w:rsidR="0060024D" w:rsidRPr="00893E04">
        <w:rPr>
          <w:rFonts w:cs="Times New Roman"/>
          <w:color w:val="002060"/>
        </w:rPr>
        <w:t xml:space="preserve">including </w:t>
      </w:r>
      <w:r w:rsidR="0060024D" w:rsidRPr="00893E04">
        <w:rPr>
          <w:color w:val="002060"/>
        </w:rPr>
        <w:t xml:space="preserve">ex-post gap filling that incentivize local overspending and the dependence of the grant pool from single, or few, sources highly dependent on the economic cycle, may then lead to sub-national pro-cyclical spending. </w:t>
      </w:r>
      <w:r w:rsidR="00333B15" w:rsidRPr="00893E04">
        <w:rPr>
          <w:rFonts w:cs="PF Square Sans Pro Medium"/>
          <w:color w:val="002060"/>
        </w:rPr>
        <w:t xml:space="preserve">More generally, </w:t>
      </w:r>
      <w:r w:rsidR="00333B15">
        <w:rPr>
          <w:rFonts w:cs="PF Square Sans Pro Medium"/>
          <w:color w:val="002060"/>
        </w:rPr>
        <w:t xml:space="preserve">the key question is </w:t>
      </w:r>
      <w:r w:rsidR="00333B15" w:rsidRPr="00893E04">
        <w:rPr>
          <w:rFonts w:cs="PF Square Sans Pro Medium"/>
          <w:color w:val="002060"/>
        </w:rPr>
        <w:t>whether the political system, and the national policy commitment, provides the necessary autonomy and incentives for local authorities to promot</w:t>
      </w:r>
      <w:r w:rsidR="00433413">
        <w:rPr>
          <w:rFonts w:cs="PF Square Sans Pro Medium"/>
          <w:color w:val="002060"/>
        </w:rPr>
        <w:t>e</w:t>
      </w:r>
      <w:r w:rsidR="00333B15" w:rsidRPr="00893E04">
        <w:rPr>
          <w:rFonts w:cs="PF Square Sans Pro Medium"/>
          <w:color w:val="002060"/>
        </w:rPr>
        <w:t xml:space="preserve"> active citizenship and involv</w:t>
      </w:r>
      <w:r w:rsidR="00433413">
        <w:rPr>
          <w:rFonts w:cs="PF Square Sans Pro Medium"/>
          <w:color w:val="002060"/>
        </w:rPr>
        <w:t>e</w:t>
      </w:r>
      <w:r w:rsidR="00333B15" w:rsidRPr="00893E04">
        <w:rPr>
          <w:rFonts w:cs="PF Square Sans Pro Medium"/>
          <w:color w:val="002060"/>
        </w:rPr>
        <w:t xml:space="preserve"> civil society and private sector in local development planning and financing.</w:t>
      </w:r>
    </w:p>
    <w:p w:rsidR="00234A68" w:rsidRPr="007B70FF" w:rsidRDefault="00234A68" w:rsidP="007B70FF">
      <w:pPr>
        <w:pStyle w:val="NoSpacing"/>
        <w:numPr>
          <w:ilvl w:val="0"/>
          <w:numId w:val="3"/>
        </w:numPr>
        <w:spacing w:before="100" w:beforeAutospacing="1" w:after="100" w:afterAutospacing="1"/>
        <w:jc w:val="both"/>
        <w:rPr>
          <w:color w:val="002060"/>
          <w:lang w:val="en-GB" w:eastAsia="ja-JP"/>
        </w:rPr>
      </w:pPr>
      <w:r w:rsidRPr="007B70FF">
        <w:rPr>
          <w:rFonts w:cs="Times New Roman"/>
          <w:b/>
          <w:i/>
          <w:color w:val="002060"/>
        </w:rPr>
        <w:t>Do the subnational authorities have authority to borrow and contract debt?</w:t>
      </w:r>
      <w:r w:rsidRPr="007B70FF">
        <w:rPr>
          <w:color w:val="002060"/>
          <w:lang w:val="en-GB" w:eastAsia="ja-JP"/>
        </w:rPr>
        <w:t xml:space="preserve"> </w:t>
      </w:r>
      <w:r w:rsidR="002E04E9" w:rsidRPr="007B70FF">
        <w:rPr>
          <w:color w:val="002060"/>
          <w:lang w:val="en-GB" w:eastAsia="ja-JP"/>
        </w:rPr>
        <w:t>E</w:t>
      </w:r>
      <w:proofErr w:type="spellStart"/>
      <w:r w:rsidR="002E04E9" w:rsidRPr="007B70FF">
        <w:rPr>
          <w:color w:val="002060"/>
        </w:rPr>
        <w:t>ven</w:t>
      </w:r>
      <w:proofErr w:type="spellEnd"/>
      <w:r w:rsidR="002E04E9" w:rsidRPr="007B70FF">
        <w:rPr>
          <w:color w:val="002060"/>
        </w:rPr>
        <w:t xml:space="preserve"> </w:t>
      </w:r>
      <w:r w:rsidR="0094571B" w:rsidRPr="007B70FF">
        <w:rPr>
          <w:color w:val="002060"/>
        </w:rPr>
        <w:t>when</w:t>
      </w:r>
      <w:r w:rsidR="002E04E9" w:rsidRPr="007B70FF">
        <w:rPr>
          <w:color w:val="002060"/>
        </w:rPr>
        <w:t xml:space="preserve"> subnational levels of government gain more autonomy, the Centre nevertheless keeps some form of financial responsibilities on their activities. As a precautionary measure, it is important to assess the monitoring and analytic capacity of subnational levels.  Restrictions should sometimes be introduced on the modalities of their borrowing instruments, possibly through an enforceable “golden rule” (e.g. borrowing should not exceed the level of investment) or the joint assessment and implementation of capital and current expenditure (especially where administrative capacity at the subnational level is limited). Borrowing in foreign currency by subnational levels should also be monitored closely as the Centre would bear the foreign exchange risk.</w:t>
      </w:r>
    </w:p>
    <w:p w:rsidR="00234A68" w:rsidRPr="00680467" w:rsidRDefault="00234A68" w:rsidP="007B70FF">
      <w:pPr>
        <w:pStyle w:val="NoSpacing"/>
        <w:numPr>
          <w:ilvl w:val="0"/>
          <w:numId w:val="3"/>
        </w:numPr>
        <w:spacing w:before="100" w:beforeAutospacing="1" w:after="120"/>
        <w:jc w:val="both"/>
        <w:rPr>
          <w:color w:val="002060"/>
          <w:lang w:val="en-GB" w:eastAsia="ja-JP"/>
        </w:rPr>
      </w:pPr>
      <w:r w:rsidRPr="007B70FF">
        <w:rPr>
          <w:b/>
          <w:i/>
          <w:color w:val="002060"/>
          <w:lang w:val="en-GB" w:eastAsia="ja-JP"/>
        </w:rPr>
        <w:t xml:space="preserve">May subnational authorities enter </w:t>
      </w:r>
      <w:r w:rsidRPr="007B70FF">
        <w:rPr>
          <w:b/>
          <w:i/>
          <w:color w:val="002060"/>
        </w:rPr>
        <w:t>into contingent liabilities</w:t>
      </w:r>
      <w:r w:rsidRPr="007B70FF">
        <w:rPr>
          <w:color w:val="002060"/>
        </w:rPr>
        <w:t xml:space="preserve"> </w:t>
      </w:r>
      <w:r w:rsidRPr="007B70FF">
        <w:rPr>
          <w:b/>
          <w:i/>
          <w:color w:val="002060"/>
        </w:rPr>
        <w:t>that affect fiscal stability in the future?</w:t>
      </w:r>
      <w:r w:rsidRPr="007B70FF">
        <w:rPr>
          <w:color w:val="002060"/>
          <w:lang w:val="en-GB" w:eastAsia="ja-JP"/>
        </w:rPr>
        <w:t xml:space="preserve"> </w:t>
      </w:r>
      <w:r w:rsidR="002E04E9" w:rsidRPr="007B70FF">
        <w:rPr>
          <w:color w:val="002060"/>
        </w:rPr>
        <w:t xml:space="preserve">In addition to debt, the provision of guarantees by lower levels of government can create difficulties for the Center when an investment fails (this could apply to failed PPPs). Implicit or explicit contingent liabilities eventually assumed by the Center could be extremely high and could be present in essential activities such </w:t>
      </w:r>
      <w:r w:rsidR="002E04E9" w:rsidRPr="007B70FF">
        <w:rPr>
          <w:color w:val="002060"/>
        </w:rPr>
        <w:lastRenderedPageBreak/>
        <w:t>as heating, water supply, production of electricity, and public transport. A transparent approach to contingent liabilities is critical.</w:t>
      </w:r>
    </w:p>
    <w:p w:rsidR="00B33B19" w:rsidRPr="007B70FF" w:rsidRDefault="00B33B19" w:rsidP="007B70FF">
      <w:pPr>
        <w:pStyle w:val="NoSpacing"/>
        <w:numPr>
          <w:ilvl w:val="0"/>
          <w:numId w:val="3"/>
        </w:numPr>
        <w:spacing w:before="100" w:beforeAutospacing="1" w:after="120"/>
        <w:jc w:val="both"/>
        <w:rPr>
          <w:color w:val="002060"/>
          <w:lang w:val="en-GB" w:eastAsia="ja-JP"/>
        </w:rPr>
      </w:pPr>
    </w:p>
    <w:p w:rsidR="002E04E9" w:rsidRPr="007B70FF" w:rsidRDefault="002E04E9" w:rsidP="00BB1D6E">
      <w:pPr>
        <w:autoSpaceDE w:val="0"/>
        <w:autoSpaceDN w:val="0"/>
        <w:adjustRightInd w:val="0"/>
        <w:spacing w:after="0" w:line="240" w:lineRule="auto"/>
        <w:jc w:val="both"/>
        <w:rPr>
          <w:i/>
          <w:color w:val="002060"/>
          <w:lang w:val="en-GB" w:eastAsia="ja-JP"/>
        </w:rPr>
      </w:pPr>
      <w:r w:rsidRPr="007B70FF">
        <w:rPr>
          <w:color w:val="002060"/>
        </w:rPr>
        <w:t>Once an investment has gone astray, there should be mechanisms to address the resulting financial crisis. A formal crises resolution procedure should be transparent about societal cost and could involve a number of steps, including the appointment by a court of a trustee to take over financial management of a subnational government in financial distress. A number of countries have found that a formal procedure for resolving municipal financial crises decreases the costs for society of “municipal default”. There may also be a need for curbing, or making borrowing rights of the municipality dependent on MOF approval, for an extended probation period while its analytical capacity is improved.</w:t>
      </w:r>
    </w:p>
    <w:p w:rsidR="002E04E9" w:rsidRDefault="002E04E9" w:rsidP="00BB1D6E">
      <w:pPr>
        <w:autoSpaceDE w:val="0"/>
        <w:autoSpaceDN w:val="0"/>
        <w:adjustRightInd w:val="0"/>
        <w:spacing w:after="0" w:line="240" w:lineRule="auto"/>
        <w:jc w:val="both"/>
        <w:rPr>
          <w:i/>
          <w:color w:val="002060"/>
          <w:lang w:val="en-GB" w:eastAsia="ja-JP"/>
        </w:rPr>
      </w:pPr>
    </w:p>
    <w:p w:rsidR="0060024D" w:rsidRPr="00BB1D6E" w:rsidRDefault="00333B15" w:rsidP="00BB1D6E">
      <w:pPr>
        <w:autoSpaceDE w:val="0"/>
        <w:autoSpaceDN w:val="0"/>
        <w:adjustRightInd w:val="0"/>
        <w:spacing w:after="0" w:line="240" w:lineRule="auto"/>
        <w:jc w:val="both"/>
        <w:rPr>
          <w:rFonts w:cs="PF Square Sans Pro Medium"/>
          <w:color w:val="002060"/>
        </w:rPr>
      </w:pPr>
      <w:r>
        <w:rPr>
          <w:i/>
          <w:color w:val="002060"/>
          <w:lang w:val="en-GB" w:eastAsia="ja-JP"/>
        </w:rPr>
        <w:t xml:space="preserve">At the central level, </w:t>
      </w:r>
      <w:r w:rsidR="008B795B">
        <w:rPr>
          <w:i/>
          <w:color w:val="002060"/>
          <w:lang w:val="en-GB" w:eastAsia="ja-JP"/>
        </w:rPr>
        <w:t>a critical question, especially in the context of a</w:t>
      </w:r>
      <w:r w:rsidR="000602AB">
        <w:rPr>
          <w:i/>
          <w:color w:val="002060"/>
          <w:lang w:val="en-GB" w:eastAsia="ja-JP"/>
        </w:rPr>
        <w:t xml:space="preserve"> policy</w:t>
      </w:r>
      <w:r w:rsidR="008B795B">
        <w:rPr>
          <w:i/>
          <w:color w:val="002060"/>
          <w:lang w:val="en-GB" w:eastAsia="ja-JP"/>
        </w:rPr>
        <w:t xml:space="preserve"> that aims at increasing decentralization, is whether a</w:t>
      </w:r>
      <w:r w:rsidR="0060024D" w:rsidRPr="00BB1D6E">
        <w:rPr>
          <w:i/>
          <w:color w:val="002060"/>
          <w:lang w:val="en-GB" w:eastAsia="ja-JP"/>
        </w:rPr>
        <w:t xml:space="preserve"> loss of central control over monetary and fiscal policy, </w:t>
      </w:r>
      <w:r w:rsidR="0060024D" w:rsidRPr="00BB1D6E">
        <w:rPr>
          <w:color w:val="002060"/>
          <w:lang w:val="en-GB" w:eastAsia="ja-JP"/>
        </w:rPr>
        <w:t>due to</w:t>
      </w:r>
      <w:r w:rsidR="0060024D" w:rsidRPr="00BB1D6E">
        <w:rPr>
          <w:i/>
          <w:color w:val="002060"/>
          <w:lang w:val="en-GB" w:eastAsia="ja-JP"/>
        </w:rPr>
        <w:t xml:space="preserve"> </w:t>
      </w:r>
      <w:r w:rsidR="0060024D" w:rsidRPr="00BB1D6E">
        <w:rPr>
          <w:color w:val="002060"/>
        </w:rPr>
        <w:t xml:space="preserve">far-reaching fiscal decentralization and/or an excessive rigidity in the whole system of legislated central grants may deprive the center of a share of revenues and expenditures sufficiently large to influence aggregate demand or compromise the flexibility necessary for macro-economic </w:t>
      </w:r>
      <w:r w:rsidR="000602AB">
        <w:rPr>
          <w:color w:val="002060"/>
        </w:rPr>
        <w:t xml:space="preserve">policy responses </w:t>
      </w:r>
      <w:r w:rsidR="0060024D" w:rsidRPr="00BB1D6E">
        <w:rPr>
          <w:color w:val="002060"/>
        </w:rPr>
        <w:t>during a fiscal crisis.</w:t>
      </w:r>
      <w:r w:rsidR="0060024D" w:rsidRPr="00BB1D6E">
        <w:rPr>
          <w:rFonts w:ascii="Times New Roman" w:hAnsi="Times New Roman" w:cs="Times New Roman"/>
          <w:color w:val="002060"/>
          <w:sz w:val="20"/>
          <w:szCs w:val="20"/>
        </w:rPr>
        <w:t xml:space="preserve"> </w:t>
      </w:r>
    </w:p>
    <w:p w:rsidR="0060024D" w:rsidRPr="00893E04" w:rsidRDefault="0060024D" w:rsidP="0060024D">
      <w:pPr>
        <w:pStyle w:val="ListParagraph"/>
        <w:autoSpaceDE w:val="0"/>
        <w:autoSpaceDN w:val="0"/>
        <w:adjustRightInd w:val="0"/>
        <w:spacing w:after="0" w:line="240" w:lineRule="auto"/>
        <w:ind w:left="360"/>
        <w:rPr>
          <w:rFonts w:cs="PF Square Sans Pro Medium"/>
          <w:color w:val="002060"/>
        </w:rPr>
      </w:pPr>
    </w:p>
    <w:p w:rsidR="0060024D" w:rsidRPr="00893E04" w:rsidRDefault="0060024D" w:rsidP="0060024D">
      <w:pPr>
        <w:pStyle w:val="ListParagraph"/>
        <w:autoSpaceDE w:val="0"/>
        <w:autoSpaceDN w:val="0"/>
        <w:adjustRightInd w:val="0"/>
        <w:spacing w:after="0" w:line="240" w:lineRule="auto"/>
        <w:ind w:left="0"/>
        <w:rPr>
          <w:rFonts w:cs="PF Square Sans Pro Medium"/>
          <w:i/>
          <w:color w:val="002060"/>
        </w:rPr>
      </w:pPr>
      <w:r w:rsidRPr="00893E04">
        <w:rPr>
          <w:rFonts w:cs="PF Square Sans Pro Medium"/>
          <w:i/>
          <w:color w:val="002060"/>
        </w:rPr>
        <w:t xml:space="preserve">CONTRIBUTION TO STRENGTHEN MACROECONOMIC RESILIENCE  </w:t>
      </w:r>
    </w:p>
    <w:p w:rsidR="0060024D" w:rsidRPr="00893E04" w:rsidRDefault="0060024D" w:rsidP="0060024D">
      <w:pPr>
        <w:pStyle w:val="ListParagraph"/>
        <w:autoSpaceDE w:val="0"/>
        <w:autoSpaceDN w:val="0"/>
        <w:adjustRightInd w:val="0"/>
        <w:spacing w:after="0" w:line="240" w:lineRule="auto"/>
        <w:rPr>
          <w:rFonts w:ascii="Times New Roman" w:hAnsi="Times New Roman" w:cs="Times New Roman"/>
          <w:color w:val="002060"/>
          <w:sz w:val="23"/>
          <w:szCs w:val="23"/>
        </w:rPr>
      </w:pPr>
    </w:p>
    <w:p w:rsidR="0060024D" w:rsidRPr="00893E04" w:rsidRDefault="0060024D" w:rsidP="00BB1D6E">
      <w:pPr>
        <w:pStyle w:val="ListParagraph"/>
        <w:autoSpaceDE w:val="0"/>
        <w:autoSpaceDN w:val="0"/>
        <w:adjustRightInd w:val="0"/>
        <w:spacing w:after="120" w:line="240" w:lineRule="auto"/>
        <w:ind w:left="0"/>
        <w:jc w:val="both"/>
        <w:rPr>
          <w:rFonts w:cs="PF Square Sans Pro Medium"/>
          <w:color w:val="002060"/>
        </w:rPr>
      </w:pPr>
      <w:r w:rsidRPr="00893E04">
        <w:rPr>
          <w:rFonts w:cs="PF Square Sans Pro Medium"/>
          <w:color w:val="002060"/>
        </w:rPr>
        <w:t xml:space="preserve">A </w:t>
      </w:r>
      <w:r w:rsidR="0091740C">
        <w:rPr>
          <w:rFonts w:cs="PF Square Sans Pro Medium"/>
          <w:color w:val="002060"/>
        </w:rPr>
        <w:t>policy</w:t>
      </w:r>
      <w:r w:rsidRPr="00893E04">
        <w:rPr>
          <w:color w:val="002060"/>
          <w:lang w:val="en-GB" w:eastAsia="ja-JP"/>
        </w:rPr>
        <w:t xml:space="preserve"> supporting decentralization and local development may, or may not, help strengthen macroeconomic resilience, depending again on </w:t>
      </w:r>
      <w:r w:rsidRPr="00893E04">
        <w:rPr>
          <w:rFonts w:cs="PF Square Sans Pro Medium"/>
          <w:color w:val="002060"/>
        </w:rPr>
        <w:t>context and program design. Issues that require attention include:</w:t>
      </w:r>
    </w:p>
    <w:p w:rsidR="0060024D" w:rsidRPr="00893E04" w:rsidRDefault="0060024D" w:rsidP="007B70FF">
      <w:pPr>
        <w:pStyle w:val="ListParagraph"/>
        <w:numPr>
          <w:ilvl w:val="0"/>
          <w:numId w:val="4"/>
        </w:numPr>
        <w:autoSpaceDE w:val="0"/>
        <w:autoSpaceDN w:val="0"/>
        <w:adjustRightInd w:val="0"/>
        <w:spacing w:after="0" w:line="240" w:lineRule="auto"/>
        <w:ind w:left="360"/>
        <w:jc w:val="both"/>
        <w:rPr>
          <w:rFonts w:ascii="Times New Roman" w:hAnsi="Times New Roman" w:cs="Times New Roman"/>
          <w:color w:val="002060"/>
          <w:sz w:val="23"/>
          <w:szCs w:val="23"/>
        </w:rPr>
      </w:pPr>
      <w:r w:rsidRPr="00893E04">
        <w:rPr>
          <w:color w:val="002060"/>
          <w:lang w:val="en-GB" w:eastAsia="ja-JP"/>
        </w:rPr>
        <w:t xml:space="preserve">Whether, and through which channels, the </w:t>
      </w:r>
      <w:r w:rsidR="0091740C">
        <w:rPr>
          <w:color w:val="002060"/>
          <w:lang w:val="en-GB" w:eastAsia="ja-JP"/>
        </w:rPr>
        <w:t>policy</w:t>
      </w:r>
      <w:r w:rsidRPr="00893E04">
        <w:rPr>
          <w:color w:val="002060"/>
          <w:lang w:val="en-GB" w:eastAsia="ja-JP"/>
        </w:rPr>
        <w:t xml:space="preserve"> may be expected to contribute to</w:t>
      </w:r>
      <w:r w:rsidR="003F2706">
        <w:rPr>
          <w:color w:val="002060"/>
          <w:lang w:val="en-GB" w:eastAsia="ja-JP"/>
        </w:rPr>
        <w:t xml:space="preserve"> </w:t>
      </w:r>
      <w:r w:rsidR="00936487">
        <w:rPr>
          <w:color w:val="002060"/>
          <w:lang w:val="en-GB" w:eastAsia="ja-JP"/>
        </w:rPr>
        <w:t xml:space="preserve">sustainable and </w:t>
      </w:r>
      <w:proofErr w:type="gramStart"/>
      <w:r w:rsidR="003F2706">
        <w:rPr>
          <w:color w:val="002060"/>
          <w:lang w:val="en-GB" w:eastAsia="ja-JP"/>
        </w:rPr>
        <w:t xml:space="preserve">inclusive </w:t>
      </w:r>
      <w:r w:rsidRPr="00893E04">
        <w:rPr>
          <w:color w:val="002060"/>
          <w:lang w:val="en-GB" w:eastAsia="ja-JP"/>
        </w:rPr>
        <w:t xml:space="preserve"> </w:t>
      </w:r>
      <w:r w:rsidRPr="00893E04">
        <w:rPr>
          <w:i/>
          <w:color w:val="002060"/>
          <w:lang w:val="en-GB" w:eastAsia="ja-JP"/>
        </w:rPr>
        <w:t>economic</w:t>
      </w:r>
      <w:proofErr w:type="gramEnd"/>
      <w:r w:rsidRPr="00893E04">
        <w:rPr>
          <w:i/>
          <w:color w:val="002060"/>
          <w:lang w:val="en-GB" w:eastAsia="ja-JP"/>
        </w:rPr>
        <w:t xml:space="preserve"> growth</w:t>
      </w:r>
      <w:r w:rsidRPr="00893E04">
        <w:rPr>
          <w:color w:val="002060"/>
          <w:lang w:val="en-GB" w:eastAsia="ja-JP"/>
        </w:rPr>
        <w:t xml:space="preserve"> in the given country context. The literature on decentralization and growth is notoriously inconclusive a contextual assessment is therefore critical.</w:t>
      </w:r>
    </w:p>
    <w:p w:rsidR="0060024D" w:rsidRPr="00893E04" w:rsidRDefault="0060024D" w:rsidP="007B70FF">
      <w:pPr>
        <w:pStyle w:val="ListParagraph"/>
        <w:numPr>
          <w:ilvl w:val="0"/>
          <w:numId w:val="4"/>
        </w:numPr>
        <w:autoSpaceDE w:val="0"/>
        <w:autoSpaceDN w:val="0"/>
        <w:adjustRightInd w:val="0"/>
        <w:spacing w:after="0" w:line="240" w:lineRule="auto"/>
        <w:ind w:left="360"/>
        <w:jc w:val="both"/>
        <w:rPr>
          <w:rFonts w:ascii="Times New Roman" w:hAnsi="Times New Roman" w:cs="Times New Roman"/>
          <w:color w:val="002060"/>
          <w:sz w:val="23"/>
          <w:szCs w:val="23"/>
        </w:rPr>
      </w:pPr>
      <w:r w:rsidRPr="00893E04">
        <w:rPr>
          <w:color w:val="002060"/>
          <w:lang w:eastAsia="ja-JP"/>
        </w:rPr>
        <w:t xml:space="preserve">Whether the </w:t>
      </w:r>
      <w:r w:rsidR="0091740C">
        <w:rPr>
          <w:color w:val="002060"/>
          <w:lang w:eastAsia="ja-JP"/>
        </w:rPr>
        <w:t>policy</w:t>
      </w:r>
      <w:r w:rsidRPr="00893E04">
        <w:rPr>
          <w:color w:val="002060"/>
          <w:lang w:eastAsia="ja-JP"/>
        </w:rPr>
        <w:t xml:space="preserve"> reflects, and helps operationalize, a </w:t>
      </w:r>
      <w:r w:rsidRPr="00893E04">
        <w:rPr>
          <w:color w:val="002060"/>
          <w:lang w:val="en-GB" w:eastAsia="ja-JP"/>
        </w:rPr>
        <w:t xml:space="preserve">national commitment to a </w:t>
      </w:r>
      <w:r w:rsidRPr="00893E04">
        <w:rPr>
          <w:i/>
          <w:color w:val="002060"/>
          <w:lang w:val="en-GB" w:eastAsia="ja-JP"/>
        </w:rPr>
        <w:t>spatially balanced economy</w:t>
      </w:r>
      <w:r w:rsidRPr="00893E04">
        <w:rPr>
          <w:color w:val="002060"/>
          <w:lang w:val="en-GB" w:eastAsia="ja-JP"/>
        </w:rPr>
        <w:t>, and how such commitment is reflected in (</w:t>
      </w:r>
      <w:proofErr w:type="spellStart"/>
      <w:r w:rsidRPr="00893E04">
        <w:rPr>
          <w:color w:val="002060"/>
          <w:lang w:val="en-GB" w:eastAsia="ja-JP"/>
        </w:rPr>
        <w:t>i</w:t>
      </w:r>
      <w:proofErr w:type="spellEnd"/>
      <w:r w:rsidRPr="00893E04">
        <w:rPr>
          <w:color w:val="002060"/>
          <w:lang w:val="en-GB" w:eastAsia="ja-JP"/>
        </w:rPr>
        <w:t xml:space="preserve">) a </w:t>
      </w:r>
      <w:r w:rsidRPr="00893E04">
        <w:rPr>
          <w:i/>
          <w:color w:val="002060"/>
          <w:lang w:val="en-GB" w:eastAsia="ja-JP"/>
        </w:rPr>
        <w:t>national urban agenda</w:t>
      </w:r>
      <w:r w:rsidRPr="00893E04">
        <w:rPr>
          <w:color w:val="002060"/>
          <w:lang w:val="en-GB" w:eastAsia="ja-JP"/>
        </w:rPr>
        <w:t xml:space="preserve"> supporting the role of cities as economic motors and (ii) a </w:t>
      </w:r>
      <w:r w:rsidRPr="00893E04">
        <w:rPr>
          <w:i/>
          <w:color w:val="002060"/>
          <w:lang w:val="en-GB" w:eastAsia="ja-JP"/>
        </w:rPr>
        <w:t>rural/regional development policy</w:t>
      </w:r>
      <w:r w:rsidRPr="00893E04">
        <w:rPr>
          <w:color w:val="002060"/>
          <w:lang w:val="en-GB" w:eastAsia="ja-JP"/>
        </w:rPr>
        <w:t xml:space="preserve"> supporting selective spatial integration and urban-rural linkages.  </w:t>
      </w:r>
    </w:p>
    <w:p w:rsidR="008B795B" w:rsidRDefault="0060024D" w:rsidP="007B70FF">
      <w:pPr>
        <w:pStyle w:val="ListParagraph"/>
        <w:numPr>
          <w:ilvl w:val="0"/>
          <w:numId w:val="4"/>
        </w:numPr>
        <w:autoSpaceDE w:val="0"/>
        <w:autoSpaceDN w:val="0"/>
        <w:adjustRightInd w:val="0"/>
        <w:spacing w:after="0" w:line="240" w:lineRule="auto"/>
        <w:ind w:left="360"/>
        <w:jc w:val="both"/>
        <w:rPr>
          <w:rFonts w:ascii="Times New Roman" w:hAnsi="Times New Roman" w:cs="Times New Roman"/>
          <w:color w:val="002060"/>
          <w:sz w:val="23"/>
          <w:szCs w:val="23"/>
        </w:rPr>
      </w:pPr>
      <w:r w:rsidRPr="00893E04">
        <w:rPr>
          <w:color w:val="002060"/>
          <w:lang w:val="en-GB" w:eastAsia="ja-JP"/>
        </w:rPr>
        <w:t xml:space="preserve">Whether the </w:t>
      </w:r>
      <w:r w:rsidR="0091740C">
        <w:rPr>
          <w:color w:val="002060"/>
          <w:lang w:val="en-GB" w:eastAsia="ja-JP"/>
        </w:rPr>
        <w:t>policy</w:t>
      </w:r>
      <w:r w:rsidRPr="00893E04">
        <w:rPr>
          <w:color w:val="002060"/>
          <w:lang w:val="en-GB" w:eastAsia="ja-JP"/>
        </w:rPr>
        <w:t xml:space="preserve"> supports a greater role of local authorities in promoting </w:t>
      </w:r>
      <w:r w:rsidRPr="00893E04">
        <w:rPr>
          <w:i/>
          <w:color w:val="002060"/>
          <w:lang w:val="en-GB" w:eastAsia="ja-JP"/>
        </w:rPr>
        <w:t>Local Economic Development</w:t>
      </w:r>
      <w:r w:rsidRPr="00893E04">
        <w:rPr>
          <w:color w:val="002060"/>
          <w:lang w:val="en-GB" w:eastAsia="ja-JP"/>
        </w:rPr>
        <w:t xml:space="preserve"> (LED) as a key instrument </w:t>
      </w:r>
      <w:r w:rsidRPr="00893E04">
        <w:rPr>
          <w:rFonts w:cs="Arial"/>
          <w:color w:val="002060"/>
          <w:lang w:val="en-GB"/>
        </w:rPr>
        <w:t>to maximise the economic potential of localities, mobilize local resources and enhance national macro-economic resilience.</w:t>
      </w:r>
    </w:p>
    <w:p w:rsidR="0060024D" w:rsidRPr="00893E04" w:rsidRDefault="0060024D" w:rsidP="00BB1D6E">
      <w:pPr>
        <w:pStyle w:val="ListParagraph"/>
        <w:autoSpaceDE w:val="0"/>
        <w:autoSpaceDN w:val="0"/>
        <w:adjustRightInd w:val="0"/>
        <w:spacing w:after="0" w:line="240" w:lineRule="auto"/>
        <w:ind w:left="360"/>
        <w:jc w:val="both"/>
        <w:rPr>
          <w:rFonts w:ascii="Times New Roman" w:hAnsi="Times New Roman" w:cs="Times New Roman"/>
          <w:color w:val="002060"/>
          <w:sz w:val="23"/>
          <w:szCs w:val="23"/>
        </w:rPr>
      </w:pPr>
    </w:p>
    <w:p w:rsidR="0060024D" w:rsidRDefault="0060024D" w:rsidP="0060024D">
      <w:pPr>
        <w:pStyle w:val="ListParagraph"/>
        <w:autoSpaceDE w:val="0"/>
        <w:autoSpaceDN w:val="0"/>
        <w:adjustRightInd w:val="0"/>
        <w:spacing w:after="0" w:line="240" w:lineRule="auto"/>
        <w:rPr>
          <w:rFonts w:ascii="Times New Roman" w:hAnsi="Times New Roman" w:cs="Times New Roman"/>
          <w:sz w:val="23"/>
          <w:szCs w:val="23"/>
        </w:rPr>
      </w:pPr>
    </w:p>
    <w:p w:rsidR="0060024D" w:rsidRPr="000D58F3" w:rsidRDefault="0060024D" w:rsidP="0060024D">
      <w:pPr>
        <w:pStyle w:val="Heading1"/>
        <w:rPr>
          <w:rFonts w:asciiTheme="minorHAnsi" w:hAnsiTheme="minorHAnsi"/>
          <w:b/>
          <w:color w:val="0070C0"/>
          <w:sz w:val="28"/>
          <w:szCs w:val="28"/>
        </w:rPr>
      </w:pPr>
      <w:r w:rsidRPr="000D58F3">
        <w:rPr>
          <w:rFonts w:asciiTheme="minorHAnsi" w:eastAsiaTheme="minorHAnsi" w:hAnsiTheme="minorHAnsi" w:cs="PF Square Sans Pro Medium"/>
          <w:b/>
          <w:bCs w:val="0"/>
          <w:color w:val="0070C0"/>
          <w:sz w:val="28"/>
          <w:szCs w:val="28"/>
          <w:lang w:val="en-US" w:eastAsia="en-US"/>
        </w:rPr>
        <w:t>Assessing Eligibility</w:t>
      </w:r>
      <w:r w:rsidRPr="000D58F3">
        <w:rPr>
          <w:rFonts w:asciiTheme="minorHAnsi" w:hAnsiTheme="minorHAnsi"/>
          <w:b/>
          <w:color w:val="0070C0"/>
          <w:sz w:val="28"/>
          <w:szCs w:val="28"/>
        </w:rPr>
        <w:t xml:space="preserve"> against the </w:t>
      </w:r>
      <w:r w:rsidRPr="000D58F3">
        <w:rPr>
          <w:rFonts w:asciiTheme="minorHAnsi" w:eastAsiaTheme="minorHAnsi" w:hAnsiTheme="minorHAnsi" w:cs="PF Square Sans Pro Medium"/>
          <w:b/>
          <w:bCs w:val="0"/>
          <w:color w:val="0070C0"/>
          <w:sz w:val="28"/>
          <w:szCs w:val="28"/>
          <w:lang w:val="en-US" w:eastAsia="en-US"/>
        </w:rPr>
        <w:t>Public Financial Management Reform Criterion</w:t>
      </w:r>
    </w:p>
    <w:p w:rsidR="00E83E41" w:rsidRPr="007B70FF" w:rsidRDefault="00922630" w:rsidP="00BB1D6E">
      <w:pPr>
        <w:spacing w:line="240" w:lineRule="auto"/>
        <w:jc w:val="both"/>
        <w:rPr>
          <w:color w:val="002060"/>
        </w:rPr>
      </w:pPr>
      <w:r w:rsidRPr="007B70FF">
        <w:rPr>
          <w:color w:val="002060"/>
        </w:rPr>
        <w:t xml:space="preserve">A sound PFM system is essential for the effective implementation of policies and the achievement of intended outcomes by supporting aggregate fiscal discipline, the strategic allocation of resources and efficient service delivery. </w:t>
      </w:r>
      <w:r w:rsidR="001B39FD" w:rsidRPr="007B70FF">
        <w:rPr>
          <w:color w:val="002060"/>
          <w:lang w:val="en-GB" w:eastAsia="ja-JP"/>
        </w:rPr>
        <w:t xml:space="preserve">With respect to the PFM eligibility criterion, the specific question posed by a program that either substantially relies on decentralized services or supports decentralization reforms and local development is whether, and to which extent, sub-national PFM systems may affect the relevance and credibility of the overall country’s PFM programme. </w:t>
      </w:r>
      <w:r w:rsidR="00FD17EA" w:rsidRPr="007B70FF">
        <w:rPr>
          <w:color w:val="002060"/>
          <w:lang w:val="en-GB" w:eastAsia="ja-JP"/>
        </w:rPr>
        <w:t xml:space="preserve">The PFM eligibility assessment therefore has to include both central and subnational aspects. </w:t>
      </w:r>
      <w:r w:rsidR="00141FFE" w:rsidRPr="007B70FF">
        <w:rPr>
          <w:color w:val="002060"/>
          <w:lang w:val="en-GB" w:eastAsia="ja-JP"/>
        </w:rPr>
        <w:t xml:space="preserve">In case of budget support to subnational authorities’ territorial policies a separate full-fledged analysis of PFM eligibility for the subnational level </w:t>
      </w:r>
      <w:r w:rsidR="00FD17EA" w:rsidRPr="007B70FF">
        <w:rPr>
          <w:color w:val="002060"/>
          <w:lang w:val="en-GB" w:eastAsia="ja-JP"/>
        </w:rPr>
        <w:t>should be undertaken</w:t>
      </w:r>
      <w:r w:rsidR="00141FFE" w:rsidRPr="007B70FF">
        <w:rPr>
          <w:color w:val="002060"/>
          <w:lang w:val="en-GB" w:eastAsia="ja-JP"/>
        </w:rPr>
        <w:t xml:space="preserve"> (following the template in annex 5 of the budget support guidelines).</w:t>
      </w:r>
    </w:p>
    <w:p w:rsidR="001B39FD" w:rsidRPr="007B70FF" w:rsidRDefault="00E83E41" w:rsidP="00BB1D6E">
      <w:pPr>
        <w:spacing w:line="240" w:lineRule="auto"/>
        <w:jc w:val="both"/>
        <w:rPr>
          <w:color w:val="002060"/>
        </w:rPr>
      </w:pPr>
      <w:r w:rsidRPr="007B70FF">
        <w:rPr>
          <w:color w:val="002060"/>
          <w:lang w:val="en-GB" w:eastAsia="ja-JP"/>
        </w:rPr>
        <w:lastRenderedPageBreak/>
        <w:t>Subnational dimensions of PFM eligibility</w:t>
      </w:r>
      <w:r w:rsidR="00E4273F" w:rsidRPr="007B70FF">
        <w:rPr>
          <w:color w:val="002060"/>
          <w:lang w:val="en-GB" w:eastAsia="ja-JP"/>
        </w:rPr>
        <w:t xml:space="preserve"> for budget support are related to two aspects: (</w:t>
      </w:r>
      <w:proofErr w:type="spellStart"/>
      <w:r w:rsidR="00E4273F" w:rsidRPr="007B70FF">
        <w:rPr>
          <w:color w:val="002060"/>
          <w:lang w:val="en-GB" w:eastAsia="ja-JP"/>
        </w:rPr>
        <w:t>i</w:t>
      </w:r>
      <w:proofErr w:type="spellEnd"/>
      <w:r w:rsidR="00E4273F" w:rsidRPr="007B70FF">
        <w:rPr>
          <w:color w:val="002060"/>
          <w:lang w:val="en-GB" w:eastAsia="ja-JP"/>
        </w:rPr>
        <w:t xml:space="preserve">) a PFM system diagnostic to identify major weaknesses and establish a baseline; (ii) subnational aspects with regard to the evaluation of the government’s PFM reform programme.  </w:t>
      </w:r>
      <w:r w:rsidRPr="007B70FF">
        <w:rPr>
          <w:color w:val="002060"/>
          <w:lang w:val="en-GB" w:eastAsia="ja-JP"/>
        </w:rPr>
        <w:t xml:space="preserve"> </w:t>
      </w:r>
      <w:r w:rsidR="00141FFE" w:rsidRPr="007B70FF">
        <w:rPr>
          <w:color w:val="002060"/>
          <w:lang w:val="en-GB" w:eastAsia="ja-JP"/>
        </w:rPr>
        <w:t xml:space="preserve"> </w:t>
      </w:r>
    </w:p>
    <w:p w:rsidR="00F63090" w:rsidRDefault="00F63090">
      <w:pPr>
        <w:pStyle w:val="Default"/>
        <w:jc w:val="both"/>
        <w:rPr>
          <w:rFonts w:asciiTheme="minorHAnsi" w:hAnsiTheme="minorHAnsi" w:cs="Arial"/>
          <w:color w:val="002060"/>
          <w:sz w:val="22"/>
          <w:szCs w:val="22"/>
        </w:rPr>
      </w:pPr>
      <w:r w:rsidRPr="007B70FF">
        <w:rPr>
          <w:rFonts w:asciiTheme="minorHAnsi" w:hAnsiTheme="minorHAnsi" w:cs="Arial"/>
          <w:color w:val="002060"/>
          <w:sz w:val="22"/>
          <w:szCs w:val="22"/>
          <w:lang w:val="en-GB"/>
        </w:rPr>
        <w:t xml:space="preserve">When assessing the eligibility against the </w:t>
      </w:r>
      <w:r w:rsidRPr="007B70FF">
        <w:rPr>
          <w:rFonts w:asciiTheme="minorHAnsi" w:hAnsiTheme="minorHAnsi" w:cs="Arial"/>
          <w:color w:val="002060"/>
          <w:sz w:val="22"/>
          <w:szCs w:val="22"/>
        </w:rPr>
        <w:t xml:space="preserve">Public Financial Management (PFM) criterion, </w:t>
      </w:r>
      <w:r w:rsidR="00E4273F" w:rsidRPr="007B70FF">
        <w:rPr>
          <w:rFonts w:asciiTheme="minorHAnsi" w:hAnsiTheme="minorHAnsi" w:cs="Arial"/>
          <w:color w:val="002060"/>
          <w:sz w:val="22"/>
          <w:szCs w:val="22"/>
        </w:rPr>
        <w:t xml:space="preserve">in particular for the PFM system diagnostic, </w:t>
      </w:r>
      <w:r w:rsidRPr="007B70FF">
        <w:rPr>
          <w:rFonts w:asciiTheme="minorHAnsi" w:hAnsiTheme="minorHAnsi" w:cs="Arial"/>
          <w:color w:val="002060"/>
          <w:sz w:val="22"/>
          <w:szCs w:val="22"/>
        </w:rPr>
        <w:t xml:space="preserve">EU Delegations substantially draw on the information produced by the PFM Performance Measurement Framework as developed and periodically updated by the </w:t>
      </w:r>
      <w:r w:rsidRPr="007B70FF">
        <w:rPr>
          <w:rFonts w:asciiTheme="minorHAnsi" w:hAnsiTheme="minorHAnsi" w:cs="Arial"/>
          <w:i/>
          <w:color w:val="002060"/>
          <w:sz w:val="22"/>
          <w:szCs w:val="22"/>
        </w:rPr>
        <w:t>Public Expenditure and Financial Accountability (PEFA)</w:t>
      </w:r>
      <w:r w:rsidRPr="007B70FF">
        <w:rPr>
          <w:rFonts w:asciiTheme="minorHAnsi" w:hAnsiTheme="minorHAnsi" w:cs="Arial"/>
          <w:color w:val="002060"/>
          <w:sz w:val="22"/>
          <w:szCs w:val="22"/>
        </w:rPr>
        <w:t xml:space="preserve"> Secretariat</w:t>
      </w:r>
      <w:r w:rsidR="00F267C2" w:rsidRPr="007B70FF">
        <w:rPr>
          <w:rStyle w:val="FootnoteReference"/>
          <w:rFonts w:asciiTheme="minorHAnsi" w:hAnsiTheme="minorHAnsi" w:cs="Arial"/>
          <w:color w:val="002060"/>
          <w:sz w:val="22"/>
          <w:szCs w:val="22"/>
        </w:rPr>
        <w:footnoteReference w:id="9"/>
      </w:r>
      <w:r w:rsidRPr="007B70FF">
        <w:rPr>
          <w:rFonts w:asciiTheme="minorHAnsi" w:hAnsiTheme="minorHAnsi" w:cs="Arial"/>
          <w:color w:val="002060"/>
          <w:sz w:val="22"/>
          <w:szCs w:val="22"/>
        </w:rPr>
        <w:t xml:space="preserve">. </w:t>
      </w:r>
    </w:p>
    <w:p w:rsidR="007B70FF" w:rsidRDefault="007B70FF">
      <w:pPr>
        <w:pStyle w:val="Default"/>
        <w:jc w:val="both"/>
        <w:rPr>
          <w:rFonts w:asciiTheme="minorHAnsi" w:hAnsiTheme="minorHAnsi" w:cs="Arial"/>
          <w:color w:val="002060"/>
          <w:sz w:val="22"/>
          <w:szCs w:val="22"/>
        </w:rPr>
      </w:pPr>
    </w:p>
    <w:p w:rsidR="007B70FF" w:rsidRPr="007B70FF" w:rsidRDefault="007B70FF">
      <w:pPr>
        <w:pStyle w:val="Default"/>
        <w:jc w:val="both"/>
        <w:rPr>
          <w:rFonts w:asciiTheme="minorHAnsi" w:hAnsiTheme="minorHAnsi" w:cs="Arial"/>
          <w:color w:val="002060"/>
          <w:sz w:val="22"/>
          <w:szCs w:val="22"/>
        </w:rPr>
      </w:pPr>
    </w:p>
    <w:p w:rsidR="002120AE" w:rsidRPr="007B70FF" w:rsidRDefault="002120AE" w:rsidP="00F63090">
      <w:pPr>
        <w:pStyle w:val="Default"/>
        <w:jc w:val="both"/>
        <w:rPr>
          <w:rFonts w:asciiTheme="minorHAnsi" w:hAnsiTheme="minorHAnsi" w:cs="Arial"/>
          <w:color w:val="002060"/>
          <w:sz w:val="22"/>
          <w:szCs w:val="22"/>
        </w:rPr>
      </w:pPr>
    </w:p>
    <w:p w:rsidR="007B70FF" w:rsidRDefault="007B70FF">
      <w:pPr>
        <w:rPr>
          <w:b/>
          <w:color w:val="002060"/>
          <w:sz w:val="20"/>
          <w:szCs w:val="20"/>
        </w:rPr>
      </w:pPr>
      <w:r>
        <w:rPr>
          <w:b/>
          <w:color w:val="002060"/>
          <w:sz w:val="20"/>
          <w:szCs w:val="20"/>
        </w:rPr>
        <w:br w:type="page"/>
      </w:r>
    </w:p>
    <w:p w:rsidR="00FE494B" w:rsidRPr="007B70FF" w:rsidRDefault="00FE494B" w:rsidP="00BB1D6E">
      <w:pPr>
        <w:pBdr>
          <w:top w:val="single" w:sz="4" w:space="1" w:color="auto"/>
          <w:left w:val="single" w:sz="4" w:space="0" w:color="auto"/>
          <w:bottom w:val="single" w:sz="4" w:space="1" w:color="auto"/>
          <w:right w:val="single" w:sz="4" w:space="4" w:color="auto"/>
        </w:pBdr>
        <w:shd w:val="clear" w:color="auto" w:fill="EEECE1" w:themeFill="background2"/>
        <w:spacing w:after="120" w:line="240" w:lineRule="auto"/>
        <w:jc w:val="both"/>
        <w:rPr>
          <w:b/>
          <w:color w:val="002060"/>
          <w:sz w:val="20"/>
          <w:szCs w:val="20"/>
        </w:rPr>
      </w:pPr>
      <w:r w:rsidRPr="007B70FF">
        <w:rPr>
          <w:b/>
          <w:color w:val="002060"/>
          <w:sz w:val="20"/>
          <w:szCs w:val="20"/>
        </w:rPr>
        <w:lastRenderedPageBreak/>
        <w:t xml:space="preserve">Box </w:t>
      </w:r>
      <w:r w:rsidR="00A73C17" w:rsidRPr="007B70FF">
        <w:rPr>
          <w:b/>
          <w:color w:val="002060"/>
          <w:sz w:val="20"/>
          <w:szCs w:val="20"/>
        </w:rPr>
        <w:t>2</w:t>
      </w:r>
      <w:r w:rsidRPr="007B70FF">
        <w:rPr>
          <w:b/>
          <w:color w:val="002060"/>
          <w:sz w:val="20"/>
          <w:szCs w:val="20"/>
        </w:rPr>
        <w:t>: Subnational PEFA assessments</w:t>
      </w:r>
    </w:p>
    <w:p w:rsidR="002120AE" w:rsidRPr="007B70FF" w:rsidRDefault="00486A76" w:rsidP="00BB1D6E">
      <w:pPr>
        <w:pBdr>
          <w:top w:val="single" w:sz="4" w:space="1" w:color="auto"/>
          <w:left w:val="single" w:sz="4" w:space="0" w:color="auto"/>
          <w:bottom w:val="single" w:sz="4" w:space="1" w:color="auto"/>
          <w:right w:val="single" w:sz="4" w:space="4" w:color="auto"/>
        </w:pBdr>
        <w:shd w:val="clear" w:color="auto" w:fill="EEECE1" w:themeFill="background2"/>
        <w:spacing w:after="120" w:line="240" w:lineRule="auto"/>
        <w:jc w:val="both"/>
        <w:rPr>
          <w:color w:val="002060"/>
          <w:sz w:val="20"/>
          <w:szCs w:val="20"/>
        </w:rPr>
      </w:pPr>
      <w:r w:rsidRPr="007B70FF">
        <w:rPr>
          <w:color w:val="002060"/>
          <w:sz w:val="20"/>
          <w:szCs w:val="20"/>
        </w:rPr>
        <w:t>Almost 100</w:t>
      </w:r>
      <w:r w:rsidR="002120AE" w:rsidRPr="007B70FF">
        <w:rPr>
          <w:color w:val="002060"/>
          <w:sz w:val="20"/>
          <w:szCs w:val="20"/>
        </w:rPr>
        <w:t xml:space="preserve"> sub-national applications of the PEFA methodology have been conducted</w:t>
      </w:r>
      <w:r w:rsidR="00E4273F" w:rsidRPr="007B70FF">
        <w:rPr>
          <w:color w:val="002060"/>
          <w:sz w:val="20"/>
          <w:szCs w:val="20"/>
        </w:rPr>
        <w:t xml:space="preserve"> (as of </w:t>
      </w:r>
      <w:proofErr w:type="spellStart"/>
      <w:r w:rsidR="00E4273F" w:rsidRPr="007B70FF">
        <w:rPr>
          <w:color w:val="002060"/>
          <w:sz w:val="20"/>
          <w:szCs w:val="20"/>
        </w:rPr>
        <w:t>mid 2015</w:t>
      </w:r>
      <w:proofErr w:type="spellEnd"/>
      <w:r w:rsidR="00E4273F" w:rsidRPr="007B70FF">
        <w:rPr>
          <w:color w:val="002060"/>
          <w:sz w:val="20"/>
          <w:szCs w:val="20"/>
        </w:rPr>
        <w:t>)</w:t>
      </w:r>
      <w:r w:rsidR="002120AE" w:rsidRPr="007B70FF">
        <w:rPr>
          <w:color w:val="002060"/>
          <w:sz w:val="20"/>
          <w:szCs w:val="20"/>
        </w:rPr>
        <w:t xml:space="preserve">, either as part of an overall assessment of PFM in a country, or as standalone exercises for one or more sub-national entities. While there is only one Framework, to ensure a consistent and appropriate application of the indicators and a sound basis for the interpretation of the findings at a sub-national level, the </w:t>
      </w:r>
      <w:r w:rsidR="00A6137C" w:rsidRPr="007B70FF">
        <w:rPr>
          <w:color w:val="002060"/>
          <w:sz w:val="20"/>
          <w:szCs w:val="20"/>
        </w:rPr>
        <w:t>PEFA program has produced Supplementary Guidelines for the application of the PEFA Framework to Sub-National Governments</w:t>
      </w:r>
      <w:r w:rsidR="00E4273F" w:rsidRPr="007B70FF">
        <w:rPr>
          <w:color w:val="002060"/>
          <w:sz w:val="20"/>
          <w:szCs w:val="20"/>
        </w:rPr>
        <w:t xml:space="preserve"> (SNG)</w:t>
      </w:r>
      <w:r w:rsidR="002120AE" w:rsidRPr="007B70FF">
        <w:rPr>
          <w:color w:val="002060"/>
          <w:sz w:val="20"/>
          <w:szCs w:val="20"/>
        </w:rPr>
        <w:t>, which are applicable to both an individual SNG and to a sample of SNGs within a country</w:t>
      </w:r>
      <w:r w:rsidR="00E4273F" w:rsidRPr="007B70FF">
        <w:rPr>
          <w:color w:val="002060"/>
          <w:sz w:val="20"/>
          <w:szCs w:val="20"/>
        </w:rPr>
        <w:t>.</w:t>
      </w:r>
    </w:p>
    <w:p w:rsidR="00A6137C" w:rsidRPr="007B70FF" w:rsidRDefault="002120AE" w:rsidP="00BB1D6E">
      <w:pPr>
        <w:pBdr>
          <w:top w:val="single" w:sz="4" w:space="1" w:color="auto"/>
          <w:left w:val="single" w:sz="4" w:space="0" w:color="auto"/>
          <w:bottom w:val="single" w:sz="4" w:space="1" w:color="auto"/>
          <w:right w:val="single" w:sz="4" w:space="4" w:color="auto"/>
        </w:pBdr>
        <w:shd w:val="clear" w:color="auto" w:fill="EEECE1" w:themeFill="background2"/>
        <w:spacing w:after="120" w:line="240" w:lineRule="auto"/>
        <w:jc w:val="both"/>
        <w:rPr>
          <w:color w:val="002060"/>
          <w:sz w:val="20"/>
          <w:szCs w:val="20"/>
        </w:rPr>
      </w:pPr>
      <w:r w:rsidRPr="007B70FF">
        <w:rPr>
          <w:color w:val="002060"/>
          <w:sz w:val="20"/>
          <w:szCs w:val="20"/>
        </w:rPr>
        <w:t xml:space="preserve">These </w:t>
      </w:r>
      <w:r w:rsidRPr="007B70FF">
        <w:rPr>
          <w:i/>
          <w:iCs/>
          <w:color w:val="002060"/>
          <w:sz w:val="20"/>
          <w:szCs w:val="20"/>
        </w:rPr>
        <w:t xml:space="preserve">Guidelines </w:t>
      </w:r>
      <w:r w:rsidRPr="007B70FF">
        <w:rPr>
          <w:color w:val="002060"/>
          <w:sz w:val="20"/>
          <w:szCs w:val="20"/>
        </w:rPr>
        <w:t>address the application of the indicator set (to the level of individual dimensions) and propose modifications and additions to the performance report, as well as offering suggestions for sampling and aggregation of results. As far as possible, they attempt to address the wide variety of sub-national g</w:t>
      </w:r>
      <w:r w:rsidR="00A6137C" w:rsidRPr="007B70FF">
        <w:rPr>
          <w:color w:val="002060"/>
          <w:sz w:val="20"/>
          <w:szCs w:val="20"/>
        </w:rPr>
        <w:t xml:space="preserve">overnment structures that </w:t>
      </w:r>
      <w:proofErr w:type="spellStart"/>
      <w:r w:rsidR="00A6137C" w:rsidRPr="007B70FF">
        <w:rPr>
          <w:color w:val="002060"/>
          <w:sz w:val="20"/>
          <w:szCs w:val="20"/>
        </w:rPr>
        <w:t>exist</w:t>
      </w:r>
      <w:proofErr w:type="gramStart"/>
      <w:r w:rsidR="006C15C5">
        <w:rPr>
          <w:color w:val="002060"/>
          <w:sz w:val="20"/>
          <w:szCs w:val="20"/>
        </w:rPr>
        <w:t>.</w:t>
      </w:r>
      <w:r w:rsidR="00A6137C" w:rsidRPr="007B70FF">
        <w:rPr>
          <w:color w:val="002060"/>
          <w:sz w:val="20"/>
          <w:szCs w:val="20"/>
        </w:rPr>
        <w:t>.</w:t>
      </w:r>
      <w:proofErr w:type="gramEnd"/>
      <w:r w:rsidR="00A6137C" w:rsidRPr="007B70FF">
        <w:rPr>
          <w:color w:val="002060"/>
          <w:sz w:val="20"/>
          <w:szCs w:val="20"/>
        </w:rPr>
        <w:t>The</w:t>
      </w:r>
      <w:proofErr w:type="spellEnd"/>
      <w:r w:rsidR="00A6137C" w:rsidRPr="007B70FF">
        <w:rPr>
          <w:color w:val="002060"/>
          <w:sz w:val="20"/>
          <w:szCs w:val="20"/>
        </w:rPr>
        <w:t xml:space="preserve"> sub-national PEFA guidelines – with one exception – follow the IMF’s </w:t>
      </w:r>
      <w:r w:rsidR="00FD17EA" w:rsidRPr="007B70FF">
        <w:rPr>
          <w:color w:val="002060"/>
          <w:sz w:val="20"/>
          <w:szCs w:val="20"/>
        </w:rPr>
        <w:t>Government Finance Statistics (</w:t>
      </w:r>
      <w:r w:rsidR="00A6137C" w:rsidRPr="007B70FF">
        <w:rPr>
          <w:color w:val="002060"/>
          <w:sz w:val="20"/>
          <w:szCs w:val="20"/>
        </w:rPr>
        <w:t>GFS</w:t>
      </w:r>
      <w:r w:rsidR="00FD17EA" w:rsidRPr="007B70FF">
        <w:rPr>
          <w:color w:val="002060"/>
          <w:sz w:val="20"/>
          <w:szCs w:val="20"/>
        </w:rPr>
        <w:t>)</w:t>
      </w:r>
      <w:r w:rsidR="00A6137C" w:rsidRPr="007B70FF">
        <w:rPr>
          <w:color w:val="002060"/>
          <w:sz w:val="20"/>
          <w:szCs w:val="20"/>
        </w:rPr>
        <w:t xml:space="preserve"> 2001 manual, which provides for three levels of government: central; state, provincial, or regional; and local. Sub-national government by definition is anything below the national level and thus includes the state and local government sectors, but with a provision that these entities: </w:t>
      </w:r>
      <w:r w:rsidR="00A6137C" w:rsidRPr="007B70FF">
        <w:rPr>
          <w:i/>
          <w:iCs/>
          <w:color w:val="002060"/>
          <w:sz w:val="20"/>
          <w:szCs w:val="20"/>
        </w:rPr>
        <w:t xml:space="preserve">“must be entitled to own assets, raise funds, and incur liabilities by borrowing on their own account. They must also have some discretion over how such funds are spent, and they should be able to appoint their own officers independently of external administrative control.” </w:t>
      </w:r>
      <w:r w:rsidR="00A6137C" w:rsidRPr="007B70FF">
        <w:rPr>
          <w:color w:val="002060"/>
          <w:sz w:val="20"/>
          <w:szCs w:val="20"/>
        </w:rPr>
        <w:t xml:space="preserve">The exception to this GFS definition is that for the purpose of a PEFA assessment, </w:t>
      </w:r>
      <w:r w:rsidR="00A6137C" w:rsidRPr="007B70FF">
        <w:rPr>
          <w:bCs/>
          <w:color w:val="002060"/>
          <w:sz w:val="20"/>
          <w:szCs w:val="20"/>
        </w:rPr>
        <w:t>the right to borrow is not a requirement</w:t>
      </w:r>
      <w:r w:rsidR="00A6137C" w:rsidRPr="007B70FF">
        <w:rPr>
          <w:color w:val="002060"/>
          <w:sz w:val="20"/>
          <w:szCs w:val="20"/>
        </w:rPr>
        <w:t xml:space="preserve">. </w:t>
      </w:r>
    </w:p>
    <w:p w:rsidR="003D2FA5" w:rsidRDefault="00F63090" w:rsidP="00F63090">
      <w:pPr>
        <w:pStyle w:val="Default"/>
        <w:jc w:val="both"/>
        <w:rPr>
          <w:rFonts w:asciiTheme="minorHAnsi" w:hAnsiTheme="minorHAnsi" w:cs="Arial"/>
          <w:color w:val="002060"/>
          <w:sz w:val="22"/>
          <w:szCs w:val="22"/>
        </w:rPr>
      </w:pPr>
      <w:r w:rsidRPr="001C0DE3">
        <w:rPr>
          <w:rFonts w:asciiTheme="minorHAnsi" w:hAnsiTheme="minorHAnsi" w:cs="Arial"/>
          <w:color w:val="002060"/>
          <w:sz w:val="22"/>
          <w:szCs w:val="22"/>
        </w:rPr>
        <w:t xml:space="preserve">The application of the </w:t>
      </w:r>
      <w:r w:rsidR="00FD17EA">
        <w:rPr>
          <w:rFonts w:asciiTheme="minorHAnsi" w:hAnsiTheme="minorHAnsi" w:cs="Arial"/>
          <w:color w:val="002060"/>
          <w:sz w:val="22"/>
          <w:szCs w:val="22"/>
        </w:rPr>
        <w:t xml:space="preserve">PEFA </w:t>
      </w:r>
      <w:r w:rsidRPr="001C0DE3">
        <w:rPr>
          <w:rFonts w:asciiTheme="minorHAnsi" w:hAnsiTheme="minorHAnsi" w:cs="Arial"/>
          <w:color w:val="002060"/>
          <w:sz w:val="22"/>
          <w:szCs w:val="22"/>
        </w:rPr>
        <w:t xml:space="preserve">Framework at both national and sub-national level should continue to provide essential information required to assess the eligibility for Budget Support. </w:t>
      </w:r>
      <w:r w:rsidR="003D2FA5">
        <w:rPr>
          <w:rFonts w:asciiTheme="minorHAnsi" w:hAnsiTheme="minorHAnsi" w:cs="Arial"/>
          <w:color w:val="002060"/>
          <w:sz w:val="22"/>
          <w:szCs w:val="22"/>
        </w:rPr>
        <w:t xml:space="preserve">Subnational PEFAs should be encouraged where budget support in decentralized contexts is envisaged. </w:t>
      </w:r>
    </w:p>
    <w:p w:rsidR="003D2FA5" w:rsidRDefault="003D2FA5" w:rsidP="00F63090">
      <w:pPr>
        <w:pStyle w:val="Default"/>
        <w:jc w:val="both"/>
        <w:rPr>
          <w:rFonts w:asciiTheme="minorHAnsi" w:hAnsiTheme="minorHAnsi" w:cs="Arial"/>
          <w:color w:val="002060"/>
          <w:sz w:val="22"/>
          <w:szCs w:val="22"/>
        </w:rPr>
      </w:pPr>
    </w:p>
    <w:p w:rsidR="00941F28" w:rsidRDefault="00941F28" w:rsidP="00F63090">
      <w:pPr>
        <w:pStyle w:val="Default"/>
        <w:jc w:val="both"/>
        <w:rPr>
          <w:rFonts w:asciiTheme="minorHAnsi" w:hAnsiTheme="minorHAnsi" w:cs="Arial"/>
          <w:color w:val="002060"/>
          <w:sz w:val="22"/>
          <w:szCs w:val="22"/>
        </w:rPr>
      </w:pPr>
      <w:r>
        <w:rPr>
          <w:rFonts w:asciiTheme="minorHAnsi" w:hAnsiTheme="minorHAnsi" w:cs="Arial"/>
          <w:color w:val="002060"/>
          <w:sz w:val="22"/>
          <w:szCs w:val="22"/>
        </w:rPr>
        <w:t xml:space="preserve">In addition, Delegations should take account of other sources of diagnostic work that may inform the assessment of subnational systems, such as </w:t>
      </w:r>
      <w:r w:rsidR="009B4AE6">
        <w:rPr>
          <w:rFonts w:asciiTheme="minorHAnsi" w:hAnsiTheme="minorHAnsi" w:cs="Arial"/>
          <w:color w:val="002060"/>
          <w:sz w:val="22"/>
          <w:szCs w:val="22"/>
        </w:rPr>
        <w:t xml:space="preserve">the World Banks </w:t>
      </w:r>
      <w:r>
        <w:rPr>
          <w:rFonts w:asciiTheme="minorHAnsi" w:hAnsiTheme="minorHAnsi" w:cs="Arial"/>
          <w:color w:val="002060"/>
          <w:sz w:val="22"/>
          <w:szCs w:val="22"/>
        </w:rPr>
        <w:t>Public Expenditure Tracking Surveys (PETS)</w:t>
      </w:r>
      <w:r w:rsidR="009B4AE6">
        <w:rPr>
          <w:rStyle w:val="FootnoteReference"/>
          <w:rFonts w:asciiTheme="minorHAnsi" w:hAnsiTheme="minorHAnsi" w:cs="Arial"/>
          <w:color w:val="002060"/>
          <w:sz w:val="22"/>
          <w:szCs w:val="22"/>
        </w:rPr>
        <w:footnoteReference w:id="10"/>
      </w:r>
      <w:r>
        <w:rPr>
          <w:rFonts w:asciiTheme="minorHAnsi" w:hAnsiTheme="minorHAnsi" w:cs="Arial"/>
          <w:color w:val="002060"/>
          <w:sz w:val="22"/>
          <w:szCs w:val="22"/>
        </w:rPr>
        <w:t xml:space="preserve"> </w:t>
      </w:r>
      <w:r w:rsidR="009B4AE6">
        <w:rPr>
          <w:rFonts w:asciiTheme="minorHAnsi" w:hAnsiTheme="minorHAnsi" w:cs="Arial"/>
          <w:color w:val="002060"/>
          <w:sz w:val="22"/>
          <w:szCs w:val="22"/>
        </w:rPr>
        <w:t>of frontline service providers or local governments</w:t>
      </w:r>
      <w:r>
        <w:rPr>
          <w:rFonts w:asciiTheme="minorHAnsi" w:hAnsiTheme="minorHAnsi" w:cs="Arial"/>
          <w:color w:val="002060"/>
          <w:sz w:val="22"/>
          <w:szCs w:val="22"/>
        </w:rPr>
        <w:t xml:space="preserve">. </w:t>
      </w:r>
      <w:r w:rsidR="009B4AE6">
        <w:rPr>
          <w:rFonts w:asciiTheme="minorHAnsi" w:hAnsiTheme="minorHAnsi" w:cs="Arial"/>
          <w:color w:val="002060"/>
          <w:sz w:val="22"/>
          <w:szCs w:val="22"/>
        </w:rPr>
        <w:t>Reports from Supreme Audit Institutions should also be analyzed as regards issues related to subnational entities as well as the follow up given at the subnational level.</w:t>
      </w:r>
      <w:r>
        <w:rPr>
          <w:rFonts w:asciiTheme="minorHAnsi" w:hAnsiTheme="minorHAnsi" w:cs="Arial"/>
          <w:color w:val="002060"/>
          <w:sz w:val="22"/>
          <w:szCs w:val="22"/>
        </w:rPr>
        <w:t xml:space="preserve"> </w:t>
      </w:r>
    </w:p>
    <w:p w:rsidR="0060024D" w:rsidRPr="001C0DE3" w:rsidRDefault="0060024D" w:rsidP="0060024D">
      <w:pPr>
        <w:pStyle w:val="Default"/>
        <w:jc w:val="both"/>
        <w:rPr>
          <w:rFonts w:asciiTheme="minorHAnsi" w:hAnsiTheme="minorHAnsi" w:cs="Arial"/>
          <w:color w:val="002060"/>
          <w:sz w:val="22"/>
          <w:szCs w:val="22"/>
        </w:rPr>
      </w:pPr>
    </w:p>
    <w:p w:rsidR="0060024D" w:rsidRPr="001C0DE3" w:rsidRDefault="0060024D" w:rsidP="0060024D">
      <w:pPr>
        <w:pStyle w:val="Default"/>
        <w:jc w:val="both"/>
        <w:rPr>
          <w:rFonts w:asciiTheme="minorHAnsi" w:hAnsiTheme="minorHAnsi" w:cs="Arial"/>
          <w:color w:val="002060"/>
          <w:sz w:val="22"/>
          <w:szCs w:val="22"/>
        </w:rPr>
      </w:pPr>
      <w:r w:rsidRPr="001C0DE3">
        <w:rPr>
          <w:rFonts w:asciiTheme="minorHAnsi" w:hAnsiTheme="minorHAnsi" w:cs="Arial"/>
          <w:color w:val="002060"/>
          <w:sz w:val="22"/>
          <w:szCs w:val="22"/>
        </w:rPr>
        <w:t xml:space="preserve">The first </w:t>
      </w:r>
      <w:r w:rsidR="0022148C">
        <w:rPr>
          <w:rFonts w:asciiTheme="minorHAnsi" w:hAnsiTheme="minorHAnsi" w:cs="Arial"/>
          <w:color w:val="002060"/>
          <w:sz w:val="22"/>
          <w:szCs w:val="22"/>
        </w:rPr>
        <w:t xml:space="preserve">basis for the assessment of the subnational PFM system </w:t>
      </w:r>
      <w:r w:rsidRPr="001C0DE3">
        <w:rPr>
          <w:rFonts w:asciiTheme="minorHAnsi" w:hAnsiTheme="minorHAnsi" w:cs="Arial"/>
          <w:color w:val="002060"/>
          <w:sz w:val="22"/>
          <w:szCs w:val="22"/>
        </w:rPr>
        <w:t xml:space="preserve">is the preparation of the </w:t>
      </w:r>
      <w:r w:rsidR="0022148C">
        <w:rPr>
          <w:rFonts w:asciiTheme="minorHAnsi" w:hAnsiTheme="minorHAnsi" w:cs="Arial"/>
          <w:color w:val="002060"/>
          <w:sz w:val="22"/>
          <w:szCs w:val="22"/>
        </w:rPr>
        <w:t xml:space="preserve">synthetic </w:t>
      </w:r>
      <w:r w:rsidRPr="001C0DE3">
        <w:rPr>
          <w:rFonts w:asciiTheme="minorHAnsi" w:hAnsiTheme="minorHAnsi" w:cs="Arial"/>
          <w:i/>
          <w:color w:val="002060"/>
          <w:sz w:val="22"/>
          <w:szCs w:val="22"/>
        </w:rPr>
        <w:t>Sub-National Profile</w:t>
      </w:r>
      <w:r w:rsidRPr="001C0DE3">
        <w:rPr>
          <w:rFonts w:asciiTheme="minorHAnsi" w:hAnsiTheme="minorHAnsi" w:cs="Arial"/>
          <w:color w:val="002060"/>
          <w:sz w:val="22"/>
          <w:szCs w:val="22"/>
        </w:rPr>
        <w:t xml:space="preserve"> that the PEFA Secretariat recommends prior to the application of the </w:t>
      </w:r>
      <w:r w:rsidRPr="001C0DE3">
        <w:rPr>
          <w:rFonts w:asciiTheme="minorHAnsi" w:hAnsiTheme="minorHAnsi" w:cs="Arial"/>
          <w:i/>
          <w:color w:val="002060"/>
          <w:sz w:val="22"/>
          <w:szCs w:val="22"/>
        </w:rPr>
        <w:t>Framework</w:t>
      </w:r>
      <w:r w:rsidRPr="001C0DE3">
        <w:rPr>
          <w:rFonts w:asciiTheme="minorHAnsi" w:hAnsiTheme="minorHAnsi" w:cs="Arial"/>
          <w:color w:val="002060"/>
          <w:sz w:val="22"/>
          <w:szCs w:val="22"/>
        </w:rPr>
        <w:t xml:space="preserve"> to the assessment of sub-national PFM systems, to ensure that the assessors are clear about the legal and regulatory environment within which sub-national government operates as well as the overall intergovernmental relationship in terms of transfers, revenue and expenditure assignments, borrowing powers and the service delivery mandate. The Profile, (of which PEFA already offers a template</w:t>
      </w:r>
      <w:r w:rsidRPr="001C0DE3">
        <w:rPr>
          <w:rStyle w:val="FootnoteReference"/>
          <w:rFonts w:asciiTheme="minorHAnsi" w:hAnsiTheme="minorHAnsi" w:cs="Arial"/>
          <w:color w:val="002060"/>
          <w:sz w:val="22"/>
          <w:szCs w:val="22"/>
        </w:rPr>
        <w:footnoteReference w:id="11"/>
      </w:r>
      <w:r w:rsidRPr="001C0DE3">
        <w:rPr>
          <w:rFonts w:asciiTheme="minorHAnsi" w:hAnsiTheme="minorHAnsi" w:cs="Arial"/>
          <w:color w:val="002060"/>
          <w:sz w:val="22"/>
          <w:szCs w:val="22"/>
        </w:rPr>
        <w:t xml:space="preserve">) should provide an overview of:  </w:t>
      </w:r>
    </w:p>
    <w:p w:rsidR="0060024D" w:rsidRPr="001C0DE3" w:rsidRDefault="0060024D" w:rsidP="007B70FF">
      <w:pPr>
        <w:pStyle w:val="ListParagraph"/>
        <w:numPr>
          <w:ilvl w:val="0"/>
          <w:numId w:val="12"/>
        </w:numPr>
        <w:autoSpaceDE w:val="0"/>
        <w:autoSpaceDN w:val="0"/>
        <w:adjustRightInd w:val="0"/>
        <w:spacing w:after="0" w:line="240" w:lineRule="auto"/>
        <w:jc w:val="both"/>
        <w:rPr>
          <w:rFonts w:cs="Arial"/>
          <w:color w:val="002060"/>
        </w:rPr>
      </w:pPr>
      <w:r w:rsidRPr="001C0DE3">
        <w:rPr>
          <w:rFonts w:cs="Arial"/>
          <w:color w:val="002060"/>
        </w:rPr>
        <w:t xml:space="preserve">the overall sub-national government structure; </w:t>
      </w:r>
    </w:p>
    <w:p w:rsidR="0060024D" w:rsidRPr="001C0DE3" w:rsidRDefault="0060024D" w:rsidP="007B70FF">
      <w:pPr>
        <w:pStyle w:val="ListParagraph"/>
        <w:numPr>
          <w:ilvl w:val="0"/>
          <w:numId w:val="12"/>
        </w:numPr>
        <w:autoSpaceDE w:val="0"/>
        <w:autoSpaceDN w:val="0"/>
        <w:adjustRightInd w:val="0"/>
        <w:spacing w:after="0" w:line="240" w:lineRule="auto"/>
        <w:jc w:val="both"/>
        <w:rPr>
          <w:rFonts w:cs="Arial"/>
          <w:color w:val="002060"/>
        </w:rPr>
      </w:pPr>
      <w:r w:rsidRPr="001C0DE3">
        <w:rPr>
          <w:rFonts w:cs="Arial"/>
          <w:color w:val="002060"/>
        </w:rPr>
        <w:t xml:space="preserve">the main functional responsibilities of the sub-national government; </w:t>
      </w:r>
    </w:p>
    <w:p w:rsidR="0060024D" w:rsidRPr="001C0DE3" w:rsidRDefault="0060024D" w:rsidP="007B70FF">
      <w:pPr>
        <w:pStyle w:val="ListParagraph"/>
        <w:numPr>
          <w:ilvl w:val="0"/>
          <w:numId w:val="12"/>
        </w:numPr>
        <w:autoSpaceDE w:val="0"/>
        <w:autoSpaceDN w:val="0"/>
        <w:adjustRightInd w:val="0"/>
        <w:spacing w:after="0" w:line="240" w:lineRule="auto"/>
        <w:jc w:val="both"/>
        <w:rPr>
          <w:rFonts w:cs="Arial"/>
          <w:color w:val="002060"/>
        </w:rPr>
      </w:pPr>
      <w:r w:rsidRPr="001C0DE3">
        <w:rPr>
          <w:rFonts w:cs="Arial"/>
          <w:color w:val="002060"/>
        </w:rPr>
        <w:t xml:space="preserve">key sub-national budgetary systems </w:t>
      </w:r>
    </w:p>
    <w:p w:rsidR="0060024D" w:rsidRPr="001C0DE3" w:rsidRDefault="0060024D" w:rsidP="007B70FF">
      <w:pPr>
        <w:pStyle w:val="ListParagraph"/>
        <w:numPr>
          <w:ilvl w:val="0"/>
          <w:numId w:val="12"/>
        </w:numPr>
        <w:autoSpaceDE w:val="0"/>
        <w:autoSpaceDN w:val="0"/>
        <w:adjustRightInd w:val="0"/>
        <w:spacing w:after="0" w:line="240" w:lineRule="auto"/>
        <w:jc w:val="both"/>
        <w:rPr>
          <w:rFonts w:cs="Arial"/>
          <w:color w:val="002060"/>
        </w:rPr>
      </w:pPr>
      <w:r w:rsidRPr="001C0DE3">
        <w:rPr>
          <w:rFonts w:cs="Arial"/>
          <w:color w:val="002060"/>
        </w:rPr>
        <w:t xml:space="preserve">key sub-national fiscal systems; and </w:t>
      </w:r>
    </w:p>
    <w:p w:rsidR="0060024D" w:rsidRPr="001C0DE3" w:rsidRDefault="0060024D" w:rsidP="007B70FF">
      <w:pPr>
        <w:pStyle w:val="ListParagraph"/>
        <w:numPr>
          <w:ilvl w:val="0"/>
          <w:numId w:val="12"/>
        </w:numPr>
        <w:autoSpaceDE w:val="0"/>
        <w:autoSpaceDN w:val="0"/>
        <w:adjustRightInd w:val="0"/>
        <w:spacing w:after="0" w:line="240" w:lineRule="auto"/>
        <w:jc w:val="both"/>
        <w:rPr>
          <w:rFonts w:cs="Arial"/>
          <w:color w:val="002060"/>
        </w:rPr>
      </w:pPr>
      <w:proofErr w:type="gramStart"/>
      <w:r w:rsidRPr="001C0DE3">
        <w:rPr>
          <w:rFonts w:cs="Arial"/>
          <w:color w:val="002060"/>
        </w:rPr>
        <w:t>the</w:t>
      </w:r>
      <w:proofErr w:type="gramEnd"/>
      <w:r w:rsidRPr="001C0DE3">
        <w:rPr>
          <w:rFonts w:cs="Arial"/>
          <w:color w:val="002060"/>
        </w:rPr>
        <w:t xml:space="preserve"> main sub-national  institutional (political, administrative, and fiscal) structures. </w:t>
      </w:r>
    </w:p>
    <w:p w:rsidR="00114057" w:rsidRPr="001C0DE3" w:rsidRDefault="00114057" w:rsidP="0060024D">
      <w:pPr>
        <w:pStyle w:val="Default"/>
        <w:jc w:val="both"/>
        <w:rPr>
          <w:rFonts w:asciiTheme="minorHAnsi" w:hAnsiTheme="minorHAnsi" w:cs="Arial"/>
          <w:color w:val="002060"/>
          <w:sz w:val="22"/>
          <w:szCs w:val="22"/>
        </w:rPr>
      </w:pPr>
    </w:p>
    <w:p w:rsidR="00AD7D18" w:rsidRDefault="00A30764" w:rsidP="0060024D">
      <w:pPr>
        <w:pStyle w:val="Default"/>
        <w:jc w:val="both"/>
        <w:rPr>
          <w:rFonts w:asciiTheme="minorHAnsi" w:hAnsiTheme="minorHAnsi" w:cs="Arial"/>
          <w:color w:val="002060"/>
          <w:sz w:val="22"/>
          <w:szCs w:val="22"/>
        </w:rPr>
      </w:pPr>
      <w:r>
        <w:rPr>
          <w:rFonts w:asciiTheme="minorHAnsi" w:hAnsiTheme="minorHAnsi" w:cs="Arial"/>
          <w:color w:val="002060"/>
          <w:sz w:val="22"/>
          <w:szCs w:val="22"/>
        </w:rPr>
        <w:t xml:space="preserve">Based on these facts, the assessment of subnational aspects of PFM eligibility would look at two issues: </w:t>
      </w:r>
    </w:p>
    <w:p w:rsidR="00A30764" w:rsidRDefault="00A30764" w:rsidP="007B70FF">
      <w:pPr>
        <w:pStyle w:val="Default"/>
        <w:numPr>
          <w:ilvl w:val="0"/>
          <w:numId w:val="30"/>
        </w:numPr>
        <w:jc w:val="both"/>
        <w:rPr>
          <w:rFonts w:asciiTheme="minorHAnsi" w:hAnsiTheme="minorHAnsi" w:cs="Arial"/>
          <w:color w:val="002060"/>
          <w:sz w:val="22"/>
          <w:szCs w:val="22"/>
        </w:rPr>
      </w:pPr>
      <w:r>
        <w:rPr>
          <w:rFonts w:asciiTheme="minorHAnsi" w:hAnsiTheme="minorHAnsi" w:cs="Arial"/>
          <w:color w:val="002060"/>
          <w:sz w:val="22"/>
          <w:szCs w:val="22"/>
        </w:rPr>
        <w:t xml:space="preserve">The </w:t>
      </w:r>
      <w:r w:rsidRPr="00BB1D6E">
        <w:rPr>
          <w:rFonts w:asciiTheme="minorHAnsi" w:hAnsiTheme="minorHAnsi" w:cs="Arial"/>
          <w:i/>
          <w:color w:val="002060"/>
          <w:sz w:val="22"/>
          <w:szCs w:val="22"/>
        </w:rPr>
        <w:t>quality of the system</w:t>
      </w:r>
      <w:r>
        <w:rPr>
          <w:rFonts w:asciiTheme="minorHAnsi" w:hAnsiTheme="minorHAnsi" w:cs="Arial"/>
          <w:color w:val="002060"/>
          <w:sz w:val="22"/>
          <w:szCs w:val="22"/>
        </w:rPr>
        <w:t xml:space="preserve"> of subnational expenditure and revenue management, in particular if sufficient assurance exists to justify the provision of budget support at decentralized level;</w:t>
      </w:r>
    </w:p>
    <w:p w:rsidR="00A30764" w:rsidRPr="002F69D3" w:rsidRDefault="00A30764" w:rsidP="007B70FF">
      <w:pPr>
        <w:pStyle w:val="Default"/>
        <w:numPr>
          <w:ilvl w:val="0"/>
          <w:numId w:val="30"/>
        </w:numPr>
        <w:jc w:val="both"/>
        <w:rPr>
          <w:rFonts w:asciiTheme="minorHAnsi" w:hAnsiTheme="minorHAnsi" w:cs="Arial"/>
          <w:color w:val="002060"/>
          <w:sz w:val="22"/>
          <w:szCs w:val="22"/>
        </w:rPr>
      </w:pPr>
      <w:r w:rsidRPr="002F69D3">
        <w:rPr>
          <w:rFonts w:asciiTheme="minorHAnsi" w:hAnsiTheme="minorHAnsi" w:cs="Arial"/>
          <w:color w:val="002060"/>
          <w:sz w:val="22"/>
          <w:szCs w:val="22"/>
        </w:rPr>
        <w:t xml:space="preserve">The dynamics of </w:t>
      </w:r>
      <w:r w:rsidRPr="002F69D3">
        <w:rPr>
          <w:rFonts w:asciiTheme="minorHAnsi" w:hAnsiTheme="minorHAnsi" w:cs="Arial"/>
          <w:i/>
          <w:color w:val="002060"/>
          <w:sz w:val="22"/>
          <w:szCs w:val="22"/>
        </w:rPr>
        <w:t xml:space="preserve">PFM reform </w:t>
      </w:r>
      <w:r w:rsidR="00846D7F" w:rsidRPr="002F69D3">
        <w:rPr>
          <w:rFonts w:asciiTheme="minorHAnsi" w:hAnsiTheme="minorHAnsi" w:cs="Arial"/>
          <w:i/>
          <w:color w:val="002060"/>
          <w:sz w:val="22"/>
          <w:szCs w:val="22"/>
        </w:rPr>
        <w:t>policy</w:t>
      </w:r>
      <w:r w:rsidR="00846D7F" w:rsidRPr="002F69D3">
        <w:rPr>
          <w:rFonts w:asciiTheme="minorHAnsi" w:hAnsiTheme="minorHAnsi" w:cs="Arial"/>
          <w:color w:val="002060"/>
          <w:sz w:val="22"/>
          <w:szCs w:val="22"/>
        </w:rPr>
        <w:t xml:space="preserve"> </w:t>
      </w:r>
      <w:r w:rsidRPr="002F69D3">
        <w:rPr>
          <w:rFonts w:asciiTheme="minorHAnsi" w:hAnsiTheme="minorHAnsi" w:cs="Arial"/>
          <w:color w:val="002060"/>
          <w:sz w:val="22"/>
          <w:szCs w:val="22"/>
        </w:rPr>
        <w:t>at subnational level, in particular in terms of local commitment and reform</w:t>
      </w:r>
      <w:r w:rsidR="00846D7F" w:rsidRPr="002F69D3">
        <w:rPr>
          <w:rFonts w:asciiTheme="minorHAnsi" w:hAnsiTheme="minorHAnsi" w:cs="Arial"/>
          <w:color w:val="002060"/>
          <w:sz w:val="22"/>
          <w:szCs w:val="22"/>
        </w:rPr>
        <w:t xml:space="preserve"> implementation</w:t>
      </w:r>
      <w:r w:rsidR="00B45639" w:rsidRPr="002F69D3">
        <w:rPr>
          <w:rFonts w:asciiTheme="minorHAnsi" w:hAnsiTheme="minorHAnsi" w:cs="Arial"/>
          <w:color w:val="002060"/>
          <w:sz w:val="22"/>
          <w:szCs w:val="22"/>
        </w:rPr>
        <w:t xml:space="preserve"> </w:t>
      </w:r>
      <w:r w:rsidR="00B45639" w:rsidRPr="002F69D3">
        <w:rPr>
          <w:color w:val="002060"/>
          <w:sz w:val="22"/>
          <w:szCs w:val="22"/>
        </w:rPr>
        <w:t>and to what extent this enhances or compromises overall country wide PFM reform</w:t>
      </w:r>
      <w:r w:rsidRPr="002F69D3">
        <w:rPr>
          <w:rFonts w:asciiTheme="minorHAnsi" w:hAnsiTheme="minorHAnsi" w:cs="Arial"/>
          <w:color w:val="002060"/>
          <w:sz w:val="22"/>
          <w:szCs w:val="22"/>
        </w:rPr>
        <w:t>.</w:t>
      </w:r>
    </w:p>
    <w:p w:rsidR="00A30764" w:rsidRDefault="00A30764" w:rsidP="002F69D3">
      <w:pPr>
        <w:pStyle w:val="Default"/>
        <w:spacing w:after="120"/>
        <w:jc w:val="both"/>
        <w:rPr>
          <w:rFonts w:asciiTheme="minorHAnsi" w:hAnsiTheme="minorHAnsi" w:cs="Arial"/>
          <w:color w:val="002060"/>
          <w:sz w:val="22"/>
          <w:szCs w:val="22"/>
        </w:rPr>
      </w:pPr>
      <w:r w:rsidRPr="002F69D3">
        <w:rPr>
          <w:rFonts w:asciiTheme="minorHAnsi" w:hAnsiTheme="minorHAnsi" w:cs="Arial"/>
          <w:color w:val="002060"/>
          <w:sz w:val="22"/>
          <w:szCs w:val="22"/>
        </w:rPr>
        <w:lastRenderedPageBreak/>
        <w:t xml:space="preserve">Relevant questions to be addressed include: </w:t>
      </w:r>
    </w:p>
    <w:p w:rsidR="00AD7D18" w:rsidRPr="002F69D3" w:rsidRDefault="00B45639" w:rsidP="002F69D3">
      <w:pPr>
        <w:pStyle w:val="Default"/>
        <w:spacing w:after="120"/>
        <w:jc w:val="both"/>
        <w:rPr>
          <w:rFonts w:asciiTheme="minorHAnsi" w:hAnsiTheme="minorHAnsi" w:cs="Arial"/>
          <w:color w:val="002060"/>
          <w:sz w:val="22"/>
          <w:szCs w:val="22"/>
        </w:rPr>
      </w:pPr>
      <w:r w:rsidRPr="002F69D3">
        <w:rPr>
          <w:rFonts w:asciiTheme="minorHAnsi" w:hAnsiTheme="minorHAnsi" w:cs="Arial"/>
          <w:color w:val="002060"/>
          <w:sz w:val="22"/>
          <w:szCs w:val="22"/>
        </w:rPr>
        <w:t xml:space="preserve">a) Quality of </w:t>
      </w:r>
      <w:r w:rsidR="00615FFB" w:rsidRPr="002F69D3">
        <w:rPr>
          <w:rFonts w:asciiTheme="minorHAnsi" w:hAnsiTheme="minorHAnsi" w:cs="Arial"/>
          <w:color w:val="002060"/>
          <w:sz w:val="22"/>
          <w:szCs w:val="22"/>
        </w:rPr>
        <w:t xml:space="preserve">subnational PFM </w:t>
      </w:r>
      <w:r w:rsidRPr="002F69D3">
        <w:rPr>
          <w:rFonts w:asciiTheme="minorHAnsi" w:hAnsiTheme="minorHAnsi" w:cs="Arial"/>
          <w:color w:val="002060"/>
          <w:sz w:val="22"/>
          <w:szCs w:val="22"/>
        </w:rPr>
        <w:t>systems:</w:t>
      </w:r>
    </w:p>
    <w:p w:rsidR="0060024D" w:rsidRPr="004A742B" w:rsidRDefault="0060024D" w:rsidP="002F69D3">
      <w:pPr>
        <w:pStyle w:val="ListParagraph"/>
        <w:numPr>
          <w:ilvl w:val="0"/>
          <w:numId w:val="13"/>
        </w:numPr>
        <w:autoSpaceDE w:val="0"/>
        <w:autoSpaceDN w:val="0"/>
        <w:adjustRightInd w:val="0"/>
        <w:spacing w:after="120" w:line="240" w:lineRule="auto"/>
        <w:contextualSpacing w:val="0"/>
        <w:jc w:val="both"/>
        <w:rPr>
          <w:rFonts w:cs="Times New Roman"/>
          <w:color w:val="002060"/>
        </w:rPr>
      </w:pPr>
      <w:r w:rsidRPr="002F69D3">
        <w:rPr>
          <w:rFonts w:cs="Times New Roman"/>
          <w:bCs/>
          <w:i/>
          <w:color w:val="002060"/>
        </w:rPr>
        <w:t>Credibility of the budget</w:t>
      </w:r>
      <w:r w:rsidRPr="002F69D3">
        <w:rPr>
          <w:rFonts w:cs="Times New Roman"/>
          <w:bCs/>
          <w:color w:val="002060"/>
        </w:rPr>
        <w:t xml:space="preserve"> –</w:t>
      </w:r>
      <w:r w:rsidR="008D1301" w:rsidRPr="002F69D3">
        <w:rPr>
          <w:color w:val="002060"/>
        </w:rPr>
        <w:t xml:space="preserve">Is there a coherent regulatory and institutional framework in place for budget management at </w:t>
      </w:r>
      <w:proofErr w:type="spellStart"/>
      <w:r w:rsidR="008D1301" w:rsidRPr="002F69D3">
        <w:rPr>
          <w:color w:val="002060"/>
        </w:rPr>
        <w:t>decentralised</w:t>
      </w:r>
      <w:proofErr w:type="spellEnd"/>
      <w:r w:rsidR="008D1301" w:rsidRPr="002F69D3">
        <w:rPr>
          <w:color w:val="002060"/>
        </w:rPr>
        <w:t xml:space="preserve"> level? </w:t>
      </w:r>
      <w:r w:rsidR="00615FFB" w:rsidRPr="002F69D3">
        <w:rPr>
          <w:rFonts w:cs="Times New Roman"/>
          <w:bCs/>
          <w:color w:val="002060"/>
        </w:rPr>
        <w:t>What is the process of budget formulation and its articulation with the central level budget process</w:t>
      </w:r>
      <w:r w:rsidR="00615FFB" w:rsidRPr="004A742B">
        <w:rPr>
          <w:rFonts w:cs="Times New Roman"/>
          <w:bCs/>
          <w:color w:val="002060"/>
        </w:rPr>
        <w:t xml:space="preserve">? </w:t>
      </w:r>
      <w:r w:rsidR="003B26AA" w:rsidRPr="004A742B">
        <w:rPr>
          <w:rFonts w:cs="Times New Roman"/>
          <w:bCs/>
          <w:color w:val="002060"/>
        </w:rPr>
        <w:t xml:space="preserve">Are </w:t>
      </w:r>
      <w:r w:rsidRPr="004A742B">
        <w:rPr>
          <w:rFonts w:cs="Times New Roman"/>
          <w:bCs/>
          <w:color w:val="002060"/>
        </w:rPr>
        <w:t xml:space="preserve">local </w:t>
      </w:r>
      <w:proofErr w:type="gramStart"/>
      <w:r w:rsidRPr="004A742B">
        <w:rPr>
          <w:rFonts w:cs="Times New Roman"/>
          <w:bCs/>
          <w:color w:val="002060"/>
        </w:rPr>
        <w:t>authorities</w:t>
      </w:r>
      <w:proofErr w:type="gramEnd"/>
      <w:r w:rsidRPr="004A742B">
        <w:rPr>
          <w:rFonts w:cs="Times New Roman"/>
          <w:bCs/>
          <w:color w:val="002060"/>
        </w:rPr>
        <w:t xml:space="preserve"> budgets </w:t>
      </w:r>
      <w:r w:rsidRPr="004A742B">
        <w:rPr>
          <w:rFonts w:cs="Times New Roman"/>
          <w:color w:val="002060"/>
        </w:rPr>
        <w:t>realistic and implemented as intended</w:t>
      </w:r>
      <w:r w:rsidR="003B26AA" w:rsidRPr="004A742B">
        <w:rPr>
          <w:rFonts w:cs="Times New Roman"/>
          <w:color w:val="002060"/>
        </w:rPr>
        <w:t>?</w:t>
      </w:r>
      <w:r w:rsidRPr="002F69D3">
        <w:rPr>
          <w:rFonts w:cs="Times New Roman"/>
          <w:color w:val="002060"/>
        </w:rPr>
        <w:t xml:space="preserve"> </w:t>
      </w:r>
      <w:r w:rsidR="008D1301" w:rsidRPr="002F69D3">
        <w:rPr>
          <w:color w:val="002060"/>
        </w:rPr>
        <w:t xml:space="preserve">Is there consistency between budgetary allocations and the functional mandates of the sub-national entity </w:t>
      </w:r>
      <w:r w:rsidR="008D1301" w:rsidRPr="004A742B">
        <w:rPr>
          <w:color w:val="002060"/>
        </w:rPr>
        <w:t xml:space="preserve">in accordance with the legal framework for fiscal </w:t>
      </w:r>
      <w:proofErr w:type="spellStart"/>
      <w:r w:rsidR="008D1301" w:rsidRPr="004A742B">
        <w:rPr>
          <w:color w:val="002060"/>
        </w:rPr>
        <w:t>decentralisation</w:t>
      </w:r>
      <w:proofErr w:type="spellEnd"/>
      <w:r w:rsidR="008D1301" w:rsidRPr="004A742B">
        <w:rPr>
          <w:color w:val="002060"/>
        </w:rPr>
        <w:t>?</w:t>
      </w:r>
    </w:p>
    <w:p w:rsidR="0060024D" w:rsidRPr="004A742B" w:rsidRDefault="0060024D" w:rsidP="002F69D3">
      <w:pPr>
        <w:pStyle w:val="ListParagraph"/>
        <w:numPr>
          <w:ilvl w:val="0"/>
          <w:numId w:val="13"/>
        </w:numPr>
        <w:autoSpaceDE w:val="0"/>
        <w:autoSpaceDN w:val="0"/>
        <w:adjustRightInd w:val="0"/>
        <w:spacing w:after="120" w:line="240" w:lineRule="auto"/>
        <w:contextualSpacing w:val="0"/>
        <w:jc w:val="both"/>
        <w:rPr>
          <w:rFonts w:cs="Times New Roman"/>
          <w:color w:val="002060"/>
        </w:rPr>
      </w:pPr>
      <w:r w:rsidRPr="004A742B">
        <w:rPr>
          <w:rFonts w:cs="Times New Roman"/>
          <w:bCs/>
          <w:i/>
          <w:color w:val="002060"/>
        </w:rPr>
        <w:t>Comprehensiveness and transparency</w:t>
      </w:r>
      <w:r w:rsidRPr="004A742B">
        <w:rPr>
          <w:rFonts w:cs="Times New Roman"/>
          <w:bCs/>
          <w:color w:val="002060"/>
        </w:rPr>
        <w:t xml:space="preserve"> </w:t>
      </w:r>
      <w:r w:rsidRPr="004A742B">
        <w:rPr>
          <w:rFonts w:cs="Times New Roman"/>
          <w:color w:val="002060"/>
        </w:rPr>
        <w:t>–</w:t>
      </w:r>
      <w:r w:rsidR="003B26AA" w:rsidRPr="004A742B">
        <w:rPr>
          <w:rFonts w:cs="Times New Roman"/>
          <w:color w:val="002060"/>
        </w:rPr>
        <w:t xml:space="preserve">Are </w:t>
      </w:r>
      <w:r w:rsidRPr="004A742B">
        <w:rPr>
          <w:rFonts w:cs="Times New Roman"/>
          <w:color w:val="002060"/>
        </w:rPr>
        <w:t>local budgets comprehensive</w:t>
      </w:r>
      <w:r w:rsidR="00253090" w:rsidRPr="004A742B">
        <w:rPr>
          <w:rFonts w:cs="Times New Roman"/>
          <w:color w:val="002060"/>
        </w:rPr>
        <w:t xml:space="preserve"> or do extra-budgetary funds exist</w:t>
      </w:r>
      <w:r w:rsidR="003B26AA" w:rsidRPr="004A742B">
        <w:rPr>
          <w:rFonts w:cs="Times New Roman"/>
          <w:color w:val="002060"/>
        </w:rPr>
        <w:t>?</w:t>
      </w:r>
      <w:r w:rsidRPr="004A742B">
        <w:rPr>
          <w:rFonts w:cs="Times New Roman"/>
          <w:color w:val="002060"/>
        </w:rPr>
        <w:t xml:space="preserve"> </w:t>
      </w:r>
      <w:r w:rsidR="003B26AA" w:rsidRPr="004A742B">
        <w:rPr>
          <w:rFonts w:cs="Times New Roman"/>
          <w:color w:val="002060"/>
        </w:rPr>
        <w:t xml:space="preserve">Is </w:t>
      </w:r>
      <w:r w:rsidRPr="004A742B">
        <w:rPr>
          <w:rFonts w:cs="Times New Roman"/>
          <w:color w:val="002060"/>
        </w:rPr>
        <w:t>local fiscal and budget information appropriately accessible to the public</w:t>
      </w:r>
      <w:r w:rsidR="003B26AA" w:rsidRPr="004A742B">
        <w:rPr>
          <w:rFonts w:cs="Times New Roman"/>
          <w:color w:val="002060"/>
        </w:rPr>
        <w:t>?</w:t>
      </w:r>
      <w:r w:rsidR="008D1301" w:rsidRPr="004A742B">
        <w:rPr>
          <w:color w:val="002060"/>
        </w:rPr>
        <w:t xml:space="preserve"> </w:t>
      </w:r>
      <w:r w:rsidR="002D129F" w:rsidRPr="004A742B">
        <w:rPr>
          <w:color w:val="002060"/>
        </w:rPr>
        <w:t xml:space="preserve">Have </w:t>
      </w:r>
      <w:r w:rsidR="00983C57">
        <w:rPr>
          <w:color w:val="002060"/>
        </w:rPr>
        <w:t xml:space="preserve">local </w:t>
      </w:r>
      <w:r w:rsidR="002D129F" w:rsidRPr="004A742B">
        <w:rPr>
          <w:color w:val="002060"/>
        </w:rPr>
        <w:t>organizations</w:t>
      </w:r>
      <w:r w:rsidR="00983C57">
        <w:rPr>
          <w:color w:val="002060"/>
        </w:rPr>
        <w:t xml:space="preserve">, including women's </w:t>
      </w:r>
      <w:r w:rsidR="00CE6133">
        <w:rPr>
          <w:color w:val="002060"/>
        </w:rPr>
        <w:t xml:space="preserve">and child's rights </w:t>
      </w:r>
      <w:r w:rsidR="00983C57">
        <w:rPr>
          <w:color w:val="002060"/>
        </w:rPr>
        <w:t xml:space="preserve">organizations, </w:t>
      </w:r>
      <w:r w:rsidR="00182A3F">
        <w:rPr>
          <w:color w:val="002060"/>
        </w:rPr>
        <w:t xml:space="preserve">been consulted </w:t>
      </w:r>
      <w:r w:rsidR="00A0203A">
        <w:rPr>
          <w:color w:val="002060"/>
        </w:rPr>
        <w:t>on</w:t>
      </w:r>
      <w:r w:rsidR="002D129F" w:rsidRPr="004A742B">
        <w:rPr>
          <w:color w:val="002060"/>
        </w:rPr>
        <w:t xml:space="preserve"> policies and budgets? </w:t>
      </w:r>
    </w:p>
    <w:p w:rsidR="0060024D" w:rsidRPr="002F69D3" w:rsidRDefault="0060024D" w:rsidP="002F69D3">
      <w:pPr>
        <w:pStyle w:val="ListParagraph"/>
        <w:numPr>
          <w:ilvl w:val="0"/>
          <w:numId w:val="13"/>
        </w:numPr>
        <w:autoSpaceDE w:val="0"/>
        <w:autoSpaceDN w:val="0"/>
        <w:adjustRightInd w:val="0"/>
        <w:spacing w:after="120" w:line="240" w:lineRule="auto"/>
        <w:contextualSpacing w:val="0"/>
        <w:jc w:val="both"/>
        <w:rPr>
          <w:rFonts w:cs="Times New Roman"/>
          <w:color w:val="002060"/>
        </w:rPr>
      </w:pPr>
      <w:r w:rsidRPr="002F69D3">
        <w:rPr>
          <w:rFonts w:cs="Times New Roman"/>
          <w:bCs/>
          <w:i/>
          <w:color w:val="002060"/>
        </w:rPr>
        <w:t>Policy-based budgeting</w:t>
      </w:r>
      <w:r w:rsidRPr="002F69D3">
        <w:rPr>
          <w:rFonts w:cs="Times New Roman"/>
          <w:bCs/>
          <w:color w:val="002060"/>
        </w:rPr>
        <w:t xml:space="preserve"> – </w:t>
      </w:r>
      <w:r w:rsidR="003F6EEB" w:rsidRPr="002F69D3">
        <w:rPr>
          <w:rFonts w:cs="Times New Roman"/>
          <w:bCs/>
          <w:color w:val="002060"/>
        </w:rPr>
        <w:t>Are subnational development</w:t>
      </w:r>
      <w:r w:rsidRPr="002F69D3">
        <w:rPr>
          <w:rFonts w:cs="Times New Roman"/>
          <w:bCs/>
          <w:color w:val="002060"/>
        </w:rPr>
        <w:t xml:space="preserve"> plans </w:t>
      </w:r>
      <w:r w:rsidR="003A1565" w:rsidRPr="002F69D3">
        <w:rPr>
          <w:rFonts w:cs="Times New Roman"/>
          <w:bCs/>
          <w:color w:val="002060"/>
        </w:rPr>
        <w:t xml:space="preserve">linked </w:t>
      </w:r>
      <w:r w:rsidRPr="002F69D3">
        <w:rPr>
          <w:rFonts w:cs="Times New Roman"/>
          <w:bCs/>
          <w:color w:val="002060"/>
        </w:rPr>
        <w:t xml:space="preserve">to decision making of </w:t>
      </w:r>
      <w:r w:rsidR="003F6EEB" w:rsidRPr="002F69D3">
        <w:rPr>
          <w:rFonts w:cs="Times New Roman"/>
          <w:bCs/>
          <w:color w:val="002060"/>
        </w:rPr>
        <w:t>subnational</w:t>
      </w:r>
      <w:r w:rsidRPr="002F69D3">
        <w:rPr>
          <w:rFonts w:cs="Times New Roman"/>
          <w:bCs/>
          <w:color w:val="002060"/>
        </w:rPr>
        <w:t xml:space="preserve"> deliberative bodies? </w:t>
      </w:r>
      <w:r w:rsidR="003A1565" w:rsidRPr="002F69D3">
        <w:rPr>
          <w:rFonts w:cs="Times New Roman"/>
          <w:bCs/>
          <w:color w:val="002060"/>
        </w:rPr>
        <w:t xml:space="preserve">Are </w:t>
      </w:r>
      <w:r w:rsidR="000D7410" w:rsidRPr="002F69D3">
        <w:rPr>
          <w:rFonts w:cs="Times New Roman"/>
          <w:bCs/>
          <w:color w:val="002060"/>
        </w:rPr>
        <w:t xml:space="preserve">central </w:t>
      </w:r>
      <w:r w:rsidRPr="002F69D3">
        <w:rPr>
          <w:rFonts w:cs="Times New Roman"/>
          <w:bCs/>
          <w:color w:val="002060"/>
        </w:rPr>
        <w:t xml:space="preserve">and </w:t>
      </w:r>
      <w:r w:rsidR="000D7410" w:rsidRPr="002F69D3">
        <w:rPr>
          <w:rFonts w:cs="Times New Roman"/>
          <w:bCs/>
          <w:color w:val="002060"/>
        </w:rPr>
        <w:t>subnational</w:t>
      </w:r>
      <w:r w:rsidRPr="002F69D3">
        <w:rPr>
          <w:rFonts w:cs="Times New Roman"/>
          <w:bCs/>
          <w:color w:val="002060"/>
        </w:rPr>
        <w:t xml:space="preserve"> policies </w:t>
      </w:r>
      <w:r w:rsidR="003A1565" w:rsidRPr="002F69D3">
        <w:rPr>
          <w:rFonts w:cs="Times New Roman"/>
          <w:bCs/>
          <w:color w:val="002060"/>
        </w:rPr>
        <w:t xml:space="preserve">reflected </w:t>
      </w:r>
      <w:r w:rsidRPr="002F69D3">
        <w:rPr>
          <w:rFonts w:cs="Times New Roman"/>
          <w:bCs/>
          <w:color w:val="002060"/>
        </w:rPr>
        <w:t xml:space="preserve">in the </w:t>
      </w:r>
      <w:r w:rsidR="003A1565" w:rsidRPr="002F69D3">
        <w:rPr>
          <w:rFonts w:cs="Times New Roman"/>
          <w:bCs/>
          <w:color w:val="002060"/>
        </w:rPr>
        <w:t xml:space="preserve">subnational </w:t>
      </w:r>
      <w:r w:rsidRPr="002F69D3">
        <w:rPr>
          <w:rFonts w:cs="Times New Roman"/>
          <w:bCs/>
          <w:color w:val="002060"/>
        </w:rPr>
        <w:t xml:space="preserve">programming and budgeting </w:t>
      </w:r>
      <w:r w:rsidR="003F6EEB" w:rsidRPr="002F69D3">
        <w:rPr>
          <w:rFonts w:cs="Times New Roman"/>
          <w:bCs/>
          <w:color w:val="002060"/>
        </w:rPr>
        <w:t>framework</w:t>
      </w:r>
      <w:r w:rsidRPr="002F69D3">
        <w:rPr>
          <w:rFonts w:cs="Times New Roman"/>
          <w:bCs/>
          <w:color w:val="002060"/>
        </w:rPr>
        <w:t>?</w:t>
      </w:r>
      <w:r w:rsidR="003F6EEB" w:rsidRPr="002F69D3">
        <w:rPr>
          <w:rFonts w:cs="Times New Roman"/>
          <w:bCs/>
          <w:color w:val="002060"/>
        </w:rPr>
        <w:t xml:space="preserve"> </w:t>
      </w:r>
      <w:r w:rsidR="00A74D38" w:rsidRPr="002F69D3">
        <w:rPr>
          <w:rFonts w:cs="Times New Roman"/>
          <w:bCs/>
          <w:color w:val="002060"/>
        </w:rPr>
        <w:t xml:space="preserve">Do medium term expenditure frameworks (MTEF) exist at subnational level? Are they consistent with the medium term fiscal </w:t>
      </w:r>
      <w:r w:rsidR="000D7410" w:rsidRPr="002F69D3">
        <w:rPr>
          <w:rFonts w:cs="Times New Roman"/>
          <w:bCs/>
          <w:color w:val="002060"/>
        </w:rPr>
        <w:t>forecasts</w:t>
      </w:r>
      <w:r w:rsidR="00A74D38" w:rsidRPr="002F69D3">
        <w:rPr>
          <w:rFonts w:cs="Times New Roman"/>
          <w:bCs/>
          <w:color w:val="002060"/>
        </w:rPr>
        <w:t xml:space="preserve"> at central level? </w:t>
      </w:r>
      <w:r w:rsidR="003F6EEB" w:rsidRPr="002F69D3">
        <w:rPr>
          <w:rFonts w:cs="Times New Roman"/>
          <w:bCs/>
          <w:color w:val="002060"/>
        </w:rPr>
        <w:t>Are annual budgets consistent with t</w:t>
      </w:r>
      <w:r w:rsidR="000D7410" w:rsidRPr="002F69D3">
        <w:rPr>
          <w:rFonts w:cs="Times New Roman"/>
          <w:bCs/>
          <w:color w:val="002060"/>
        </w:rPr>
        <w:t>he medium term budget framework</w:t>
      </w:r>
      <w:r w:rsidR="003F6EEB" w:rsidRPr="002F69D3">
        <w:rPr>
          <w:rFonts w:cs="Times New Roman"/>
          <w:bCs/>
          <w:color w:val="002060"/>
        </w:rPr>
        <w:t>?</w:t>
      </w:r>
      <w:r w:rsidRPr="002F69D3">
        <w:rPr>
          <w:rFonts w:cs="Times New Roman"/>
          <w:color w:val="002060"/>
        </w:rPr>
        <w:t xml:space="preserve"> </w:t>
      </w:r>
      <w:r w:rsidR="00760B7F">
        <w:rPr>
          <w:rFonts w:cs="Times New Roman"/>
          <w:color w:val="002060"/>
        </w:rPr>
        <w:t>Are</w:t>
      </w:r>
      <w:r w:rsidR="00591BE9">
        <w:rPr>
          <w:rFonts w:cs="Times New Roman"/>
          <w:color w:val="002060"/>
        </w:rPr>
        <w:t xml:space="preserve"> gender </w:t>
      </w:r>
      <w:r w:rsidR="00CC765B">
        <w:rPr>
          <w:rFonts w:cs="Times New Roman"/>
          <w:color w:val="002060"/>
        </w:rPr>
        <w:t xml:space="preserve">and inequality </w:t>
      </w:r>
      <w:r w:rsidR="00591BE9">
        <w:rPr>
          <w:rFonts w:cs="Times New Roman"/>
          <w:color w:val="002060"/>
        </w:rPr>
        <w:t>policy priorities integrated in fiscal planning tools such as the MTEF?</w:t>
      </w:r>
    </w:p>
    <w:p w:rsidR="0060024D" w:rsidRPr="002F69D3" w:rsidRDefault="0060024D" w:rsidP="002F69D3">
      <w:pPr>
        <w:pStyle w:val="ListParagraph"/>
        <w:numPr>
          <w:ilvl w:val="0"/>
          <w:numId w:val="13"/>
        </w:numPr>
        <w:autoSpaceDE w:val="0"/>
        <w:autoSpaceDN w:val="0"/>
        <w:adjustRightInd w:val="0"/>
        <w:spacing w:after="120" w:line="240" w:lineRule="auto"/>
        <w:contextualSpacing w:val="0"/>
        <w:jc w:val="both"/>
        <w:rPr>
          <w:rFonts w:cs="Times New Roman"/>
          <w:color w:val="002060"/>
        </w:rPr>
      </w:pPr>
      <w:r w:rsidRPr="002F69D3">
        <w:rPr>
          <w:rFonts w:cs="Times New Roman"/>
          <w:bCs/>
          <w:i/>
          <w:color w:val="002060"/>
        </w:rPr>
        <w:t>Predictability and control in budget execution</w:t>
      </w:r>
      <w:r w:rsidRPr="002F69D3">
        <w:rPr>
          <w:rFonts w:cs="Times New Roman"/>
          <w:bCs/>
          <w:color w:val="002060"/>
        </w:rPr>
        <w:t xml:space="preserve"> –</w:t>
      </w:r>
      <w:r w:rsidR="00BE410F" w:rsidRPr="002F69D3">
        <w:rPr>
          <w:rFonts w:cs="Times New Roman"/>
          <w:bCs/>
          <w:color w:val="002060"/>
        </w:rPr>
        <w:t xml:space="preserve"> </w:t>
      </w:r>
      <w:r w:rsidR="00BE410F" w:rsidRPr="002F69D3">
        <w:rPr>
          <w:color w:val="002060"/>
        </w:rPr>
        <w:t xml:space="preserve">Does the sub-national government have the mandate to collect own </w:t>
      </w:r>
      <w:r w:rsidR="00BE410F" w:rsidRPr="002F69D3">
        <w:rPr>
          <w:i/>
          <w:color w:val="002060"/>
        </w:rPr>
        <w:t>revenues/local taxes</w:t>
      </w:r>
      <w:r w:rsidR="00BE410F" w:rsidRPr="002F69D3">
        <w:rPr>
          <w:color w:val="002060"/>
        </w:rPr>
        <w:t xml:space="preserve"> or is the budget entirely financed by transfers from central government? </w:t>
      </w:r>
      <w:r w:rsidR="00BC0B02" w:rsidRPr="002F69D3">
        <w:rPr>
          <w:color w:val="002060"/>
        </w:rPr>
        <w:t xml:space="preserve">Identify different roles and responsibilities (e.g. determination of tax base, tax collection, final benefit of tax receipts) of different levels of government (central administration; </w:t>
      </w:r>
      <w:proofErr w:type="spellStart"/>
      <w:r w:rsidR="00BC0B02" w:rsidRPr="002F69D3">
        <w:rPr>
          <w:color w:val="002060"/>
        </w:rPr>
        <w:t>deconcentrated</w:t>
      </w:r>
      <w:proofErr w:type="spellEnd"/>
      <w:r w:rsidR="00BC0B02" w:rsidRPr="002F69D3">
        <w:rPr>
          <w:color w:val="002060"/>
        </w:rPr>
        <w:t xml:space="preserve"> services; local government administration) and analyze possible consequences on the incentive structure. </w:t>
      </w:r>
      <w:r w:rsidR="00BE410F" w:rsidRPr="002F69D3">
        <w:rPr>
          <w:color w:val="002060"/>
        </w:rPr>
        <w:t xml:space="preserve">Does a revenue sharing and redistribution mechanism exist to prevent the widening of inequalities between regions/sub-national entities? </w:t>
      </w:r>
      <w:r w:rsidR="00BE410F" w:rsidRPr="002F69D3">
        <w:rPr>
          <w:rFonts w:cs="Times New Roman"/>
          <w:color w:val="002060"/>
        </w:rPr>
        <w:t xml:space="preserve">- </w:t>
      </w:r>
      <w:r w:rsidR="00615FFB" w:rsidRPr="002F69D3">
        <w:rPr>
          <w:rFonts w:cs="Times New Roman"/>
          <w:color w:val="002060"/>
        </w:rPr>
        <w:t xml:space="preserve">What are the </w:t>
      </w:r>
      <w:r w:rsidR="00615FFB" w:rsidRPr="002F69D3">
        <w:rPr>
          <w:rFonts w:cs="Times New Roman"/>
          <w:i/>
          <w:color w:val="002060"/>
        </w:rPr>
        <w:t>procurement procedures</w:t>
      </w:r>
      <w:r w:rsidR="00615FFB" w:rsidRPr="002F69D3">
        <w:rPr>
          <w:rFonts w:cs="Times New Roman"/>
          <w:color w:val="002060"/>
        </w:rPr>
        <w:t xml:space="preserve"> – do subnational authorities have their own procurement agencies or is this done by </w:t>
      </w:r>
      <w:proofErr w:type="spellStart"/>
      <w:r w:rsidR="00615FFB" w:rsidRPr="002F69D3">
        <w:rPr>
          <w:rFonts w:cs="Times New Roman"/>
          <w:color w:val="002060"/>
        </w:rPr>
        <w:t>deconcentrated</w:t>
      </w:r>
      <w:proofErr w:type="spellEnd"/>
      <w:r w:rsidR="00615FFB" w:rsidRPr="002F69D3">
        <w:rPr>
          <w:rFonts w:cs="Times New Roman"/>
          <w:color w:val="002060"/>
        </w:rPr>
        <w:t xml:space="preserve"> services of central </w:t>
      </w:r>
      <w:r w:rsidR="008A3919" w:rsidRPr="002F69D3">
        <w:rPr>
          <w:rFonts w:cs="Times New Roman"/>
          <w:color w:val="002060"/>
        </w:rPr>
        <w:t>Ministries</w:t>
      </w:r>
      <w:r w:rsidR="00615FFB" w:rsidRPr="002F69D3">
        <w:rPr>
          <w:rFonts w:cs="Times New Roman"/>
          <w:color w:val="002060"/>
        </w:rPr>
        <w:t xml:space="preserve">? Is there adequate transparency and control over procurement decisions? </w:t>
      </w:r>
      <w:r w:rsidR="002733C0" w:rsidRPr="002F69D3">
        <w:rPr>
          <w:rFonts w:cs="Times New Roman"/>
          <w:color w:val="002060"/>
        </w:rPr>
        <w:t xml:space="preserve">How is </w:t>
      </w:r>
      <w:r w:rsidR="002733C0" w:rsidRPr="002F69D3">
        <w:rPr>
          <w:rFonts w:cs="Times New Roman"/>
          <w:i/>
          <w:color w:val="002060"/>
        </w:rPr>
        <w:t>treasury management</w:t>
      </w:r>
      <w:r w:rsidR="002733C0" w:rsidRPr="002F69D3">
        <w:rPr>
          <w:rFonts w:cs="Times New Roman"/>
          <w:color w:val="002060"/>
        </w:rPr>
        <w:t xml:space="preserve"> at subnational level organized? </w:t>
      </w:r>
      <w:r w:rsidR="008A3919" w:rsidRPr="002F69D3">
        <w:rPr>
          <w:rFonts w:cs="Times New Roman"/>
          <w:color w:val="002060"/>
        </w:rPr>
        <w:t>A</w:t>
      </w:r>
      <w:r w:rsidR="00253090" w:rsidRPr="002F69D3">
        <w:rPr>
          <w:rFonts w:cs="Times New Roman"/>
          <w:color w:val="002060"/>
        </w:rPr>
        <w:t>nalyz</w:t>
      </w:r>
      <w:r w:rsidR="00E074D1" w:rsidRPr="002F69D3">
        <w:rPr>
          <w:rFonts w:cs="Times New Roman"/>
          <w:color w:val="002060"/>
        </w:rPr>
        <w:t xml:space="preserve">e the circuit of financial transfers between the central and subnational level, the state of the local banking system, the possibility and time needed for bank transfers etc. </w:t>
      </w:r>
      <w:r w:rsidRPr="002F69D3">
        <w:rPr>
          <w:rFonts w:cs="Times New Roman"/>
          <w:color w:val="002060"/>
        </w:rPr>
        <w:t xml:space="preserve"> </w:t>
      </w:r>
      <w:r w:rsidR="003B26AA" w:rsidRPr="002F69D3">
        <w:rPr>
          <w:color w:val="002060"/>
        </w:rPr>
        <w:t xml:space="preserve">Do effective systems of </w:t>
      </w:r>
      <w:r w:rsidR="003B26AA" w:rsidRPr="002F69D3">
        <w:rPr>
          <w:i/>
          <w:color w:val="002060"/>
        </w:rPr>
        <w:t>internal control</w:t>
      </w:r>
      <w:r w:rsidR="003B26AA" w:rsidRPr="002F69D3">
        <w:rPr>
          <w:color w:val="002060"/>
        </w:rPr>
        <w:t xml:space="preserve"> of expenditure both with regard to financial compliance and to performance of services, exist at sub-national level?</w:t>
      </w:r>
      <w:r w:rsidRPr="002F69D3">
        <w:rPr>
          <w:rFonts w:cs="Times New Roman"/>
          <w:color w:val="002060"/>
        </w:rPr>
        <w:t xml:space="preserve"> </w:t>
      </w:r>
    </w:p>
    <w:p w:rsidR="002D129F" w:rsidRPr="002D129F" w:rsidRDefault="0060024D" w:rsidP="002D129F">
      <w:pPr>
        <w:pStyle w:val="ListParagraph"/>
        <w:numPr>
          <w:ilvl w:val="0"/>
          <w:numId w:val="13"/>
        </w:numPr>
        <w:jc w:val="both"/>
        <w:rPr>
          <w:rFonts w:cs="Times New Roman"/>
          <w:color w:val="002060"/>
        </w:rPr>
      </w:pPr>
      <w:r w:rsidRPr="002D129F">
        <w:rPr>
          <w:rFonts w:cs="Times New Roman"/>
          <w:bCs/>
          <w:i/>
          <w:color w:val="002060"/>
        </w:rPr>
        <w:t>Accounting, recording and reporting</w:t>
      </w:r>
      <w:r w:rsidRPr="002D129F">
        <w:rPr>
          <w:rFonts w:cs="Times New Roman"/>
          <w:bCs/>
          <w:color w:val="002060"/>
        </w:rPr>
        <w:t xml:space="preserve"> – </w:t>
      </w:r>
      <w:r w:rsidR="003B26AA" w:rsidRPr="002D129F">
        <w:rPr>
          <w:color w:val="002060"/>
        </w:rPr>
        <w:t xml:space="preserve">What is the quality </w:t>
      </w:r>
      <w:r w:rsidR="002733C0" w:rsidRPr="002D129F">
        <w:rPr>
          <w:color w:val="002060"/>
        </w:rPr>
        <w:t xml:space="preserve">of </w:t>
      </w:r>
      <w:r w:rsidR="003B26AA" w:rsidRPr="002D129F">
        <w:rPr>
          <w:color w:val="002060"/>
        </w:rPr>
        <w:t>and capacity f</w:t>
      </w:r>
      <w:r w:rsidR="002733C0" w:rsidRPr="002D129F">
        <w:rPr>
          <w:color w:val="002060"/>
        </w:rPr>
        <w:t>or</w:t>
      </w:r>
      <w:r w:rsidR="003B26AA" w:rsidRPr="002D129F">
        <w:rPr>
          <w:color w:val="002060"/>
        </w:rPr>
        <w:t xml:space="preserve"> local data production?</w:t>
      </w:r>
      <w:r w:rsidR="00A74D38" w:rsidRPr="002D129F">
        <w:rPr>
          <w:color w:val="002060"/>
        </w:rPr>
        <w:t xml:space="preserve"> What is the degree of automation of local data production and the state of IT infrastructures? How </w:t>
      </w:r>
      <w:proofErr w:type="gramStart"/>
      <w:r w:rsidR="00A74D38" w:rsidRPr="002D129F">
        <w:rPr>
          <w:color w:val="002060"/>
        </w:rPr>
        <w:t>are local data systems linked with central data</w:t>
      </w:r>
      <w:proofErr w:type="gramEnd"/>
      <w:r w:rsidR="00A74D38" w:rsidRPr="002D129F">
        <w:rPr>
          <w:color w:val="002060"/>
        </w:rPr>
        <w:t xml:space="preserve"> bases </w:t>
      </w:r>
      <w:r w:rsidR="000D7410" w:rsidRPr="002D129F">
        <w:rPr>
          <w:color w:val="002060"/>
        </w:rPr>
        <w:t xml:space="preserve">(e.g. IFMIS) </w:t>
      </w:r>
      <w:r w:rsidR="00A74D38" w:rsidRPr="002D129F">
        <w:rPr>
          <w:color w:val="002060"/>
        </w:rPr>
        <w:t xml:space="preserve">and how is consistency ensured? </w:t>
      </w:r>
      <w:r w:rsidR="002733C0" w:rsidRPr="002D129F">
        <w:rPr>
          <w:rFonts w:cs="Times New Roman"/>
          <w:bCs/>
          <w:color w:val="002060"/>
        </w:rPr>
        <w:t xml:space="preserve">Do subnational </w:t>
      </w:r>
      <w:r w:rsidRPr="002D129F">
        <w:rPr>
          <w:rFonts w:cs="Times New Roman"/>
          <w:bCs/>
          <w:color w:val="002060"/>
        </w:rPr>
        <w:t>authorities produce a</w:t>
      </w:r>
      <w:r w:rsidRPr="002D129F">
        <w:rPr>
          <w:rFonts w:cs="Times New Roman"/>
          <w:color w:val="002060"/>
        </w:rPr>
        <w:t xml:space="preserve">dequate records and </w:t>
      </w:r>
      <w:r w:rsidR="002733C0" w:rsidRPr="002D129F">
        <w:rPr>
          <w:rFonts w:cs="Times New Roman"/>
          <w:color w:val="002060"/>
        </w:rPr>
        <w:t>financial reporting on budget execution</w:t>
      </w:r>
      <w:r w:rsidRPr="002D129F">
        <w:rPr>
          <w:rFonts w:cs="Times New Roman"/>
          <w:color w:val="002060"/>
        </w:rPr>
        <w:t xml:space="preserve">? </w:t>
      </w:r>
      <w:r w:rsidR="002D129F" w:rsidRPr="002D129F">
        <w:rPr>
          <w:rFonts w:cs="Times New Roman"/>
          <w:color w:val="002060"/>
        </w:rPr>
        <w:t xml:space="preserve">Does </w:t>
      </w:r>
      <w:r w:rsidR="006C15C5">
        <w:rPr>
          <w:rFonts w:cs="Times New Roman"/>
          <w:color w:val="002060"/>
        </w:rPr>
        <w:t>reporting on budget execution include data and indicators related to gender and inequalities?</w:t>
      </w:r>
      <w:r w:rsidR="002D129F" w:rsidRPr="002D129F">
        <w:rPr>
          <w:rFonts w:cs="Times New Roman"/>
          <w:color w:val="002060"/>
        </w:rPr>
        <w:t xml:space="preserve"> </w:t>
      </w:r>
    </w:p>
    <w:p w:rsidR="0060024D" w:rsidRDefault="0060024D" w:rsidP="002F69D3">
      <w:pPr>
        <w:pStyle w:val="ListParagraph"/>
        <w:numPr>
          <w:ilvl w:val="0"/>
          <w:numId w:val="13"/>
        </w:numPr>
        <w:autoSpaceDE w:val="0"/>
        <w:autoSpaceDN w:val="0"/>
        <w:adjustRightInd w:val="0"/>
        <w:spacing w:before="120" w:after="0" w:line="240" w:lineRule="auto"/>
        <w:jc w:val="both"/>
        <w:rPr>
          <w:rFonts w:cs="Times New Roman"/>
          <w:color w:val="002060"/>
        </w:rPr>
      </w:pPr>
      <w:r w:rsidRPr="002F69D3">
        <w:rPr>
          <w:rFonts w:cs="Times New Roman"/>
          <w:bCs/>
          <w:i/>
          <w:color w:val="002060"/>
        </w:rPr>
        <w:t>External scrutiny and audit</w:t>
      </w:r>
      <w:r w:rsidRPr="002F69D3">
        <w:rPr>
          <w:rFonts w:cs="Times New Roman"/>
          <w:bCs/>
          <w:color w:val="002060"/>
        </w:rPr>
        <w:t xml:space="preserve"> – </w:t>
      </w:r>
      <w:r w:rsidR="00E074D1" w:rsidRPr="002F69D3">
        <w:rPr>
          <w:rFonts w:cs="Times New Roman"/>
          <w:bCs/>
          <w:color w:val="002060"/>
        </w:rPr>
        <w:t xml:space="preserve">Which </w:t>
      </w:r>
      <w:r w:rsidRPr="002F69D3">
        <w:rPr>
          <w:rFonts w:cs="Times New Roman"/>
          <w:bCs/>
          <w:color w:val="002060"/>
        </w:rPr>
        <w:t>a</w:t>
      </w:r>
      <w:r w:rsidRPr="002F69D3">
        <w:rPr>
          <w:rFonts w:cs="Times New Roman"/>
          <w:color w:val="002060"/>
        </w:rPr>
        <w:t xml:space="preserve">rrangements </w:t>
      </w:r>
      <w:r w:rsidR="00E074D1" w:rsidRPr="002F69D3">
        <w:rPr>
          <w:rFonts w:cs="Times New Roman"/>
          <w:color w:val="002060"/>
        </w:rPr>
        <w:t xml:space="preserve">exist at subnational level </w:t>
      </w:r>
      <w:r w:rsidRPr="002F69D3">
        <w:rPr>
          <w:rFonts w:cs="Times New Roman"/>
          <w:color w:val="002060"/>
        </w:rPr>
        <w:t xml:space="preserve">for scrutiny of public finances and related accountability of local authorities? </w:t>
      </w:r>
      <w:r w:rsidR="00E074D1" w:rsidRPr="002F69D3">
        <w:rPr>
          <w:rFonts w:cs="Times New Roman"/>
          <w:color w:val="002060"/>
        </w:rPr>
        <w:t xml:space="preserve">Is the subnational level adequately covered by </w:t>
      </w:r>
      <w:r w:rsidR="00BE410F" w:rsidRPr="002F69D3">
        <w:rPr>
          <w:rFonts w:cs="Times New Roman"/>
          <w:color w:val="002060"/>
        </w:rPr>
        <w:t xml:space="preserve">the </w:t>
      </w:r>
      <w:r w:rsidR="00E074D1" w:rsidRPr="002F69D3">
        <w:rPr>
          <w:rFonts w:cs="Times New Roman"/>
          <w:color w:val="002060"/>
        </w:rPr>
        <w:t>central control institutions (Court of auditors, national Parliament) or does it have own external control mechanisms? Does external audit include financial control a</w:t>
      </w:r>
      <w:r w:rsidR="00BE410F" w:rsidRPr="002F69D3">
        <w:rPr>
          <w:rFonts w:cs="Times New Roman"/>
          <w:color w:val="002060"/>
        </w:rPr>
        <w:t>s well as</w:t>
      </w:r>
      <w:r w:rsidR="00E074D1" w:rsidRPr="002F69D3">
        <w:rPr>
          <w:rFonts w:cs="Times New Roman"/>
          <w:color w:val="002060"/>
        </w:rPr>
        <w:t xml:space="preserve"> performance of services? </w:t>
      </w:r>
      <w:r w:rsidR="002733C0" w:rsidRPr="002F69D3">
        <w:rPr>
          <w:rFonts w:cs="Times New Roman"/>
          <w:color w:val="002060"/>
        </w:rPr>
        <w:t>Do local deliberative bodies and social auditing institutions exercise effective control and stewardship in the use of public funds?</w:t>
      </w:r>
      <w:r w:rsidR="00E074D1" w:rsidRPr="002F69D3">
        <w:rPr>
          <w:rFonts w:cs="Times New Roman"/>
          <w:color w:val="002060"/>
        </w:rPr>
        <w:t xml:space="preserve"> Is there a</w:t>
      </w:r>
      <w:r w:rsidR="008A3919" w:rsidRPr="002F69D3">
        <w:rPr>
          <w:rFonts w:cs="Times New Roman"/>
          <w:color w:val="002060"/>
        </w:rPr>
        <w:t>n active</w:t>
      </w:r>
      <w:r w:rsidR="00E074D1" w:rsidRPr="002F69D3">
        <w:rPr>
          <w:rFonts w:cs="Times New Roman"/>
          <w:color w:val="002060"/>
        </w:rPr>
        <w:t xml:space="preserve"> civil society at subnational level </w:t>
      </w:r>
      <w:r w:rsidR="008A3919" w:rsidRPr="002F69D3">
        <w:rPr>
          <w:rFonts w:cs="Times New Roman"/>
          <w:color w:val="002060"/>
        </w:rPr>
        <w:t>contributing to</w:t>
      </w:r>
      <w:r w:rsidR="00E074D1" w:rsidRPr="002F69D3">
        <w:rPr>
          <w:rFonts w:cs="Times New Roman"/>
          <w:color w:val="002060"/>
        </w:rPr>
        <w:t xml:space="preserve"> budget processes and oversight?</w:t>
      </w:r>
      <w:r w:rsidR="00760B7F">
        <w:rPr>
          <w:rFonts w:cs="Times New Roman"/>
          <w:color w:val="002060"/>
        </w:rPr>
        <w:t xml:space="preserve"> </w:t>
      </w:r>
      <w:r w:rsidR="00B33B19">
        <w:rPr>
          <w:rFonts w:cs="Times New Roman"/>
          <w:color w:val="002060"/>
        </w:rPr>
        <w:t xml:space="preserve"> </w:t>
      </w:r>
    </w:p>
    <w:p w:rsidR="00B33B19" w:rsidRPr="00680467" w:rsidRDefault="00B33B19" w:rsidP="00680467">
      <w:pPr>
        <w:autoSpaceDE w:val="0"/>
        <w:autoSpaceDN w:val="0"/>
        <w:adjustRightInd w:val="0"/>
        <w:spacing w:before="120" w:after="0" w:line="240" w:lineRule="auto"/>
        <w:ind w:left="360"/>
        <w:jc w:val="both"/>
        <w:rPr>
          <w:rFonts w:cs="Times New Roman"/>
          <w:color w:val="002060"/>
        </w:rPr>
      </w:pPr>
    </w:p>
    <w:p w:rsidR="0060024D" w:rsidRPr="002F69D3" w:rsidRDefault="0060024D" w:rsidP="0060024D">
      <w:pPr>
        <w:pStyle w:val="Default"/>
        <w:ind w:left="-2160" w:firstLine="105"/>
        <w:rPr>
          <w:rFonts w:asciiTheme="minorHAnsi" w:hAnsiTheme="minorHAnsi" w:cs="Arial"/>
          <w:color w:val="002060"/>
          <w:sz w:val="22"/>
          <w:szCs w:val="22"/>
        </w:rPr>
      </w:pPr>
    </w:p>
    <w:p w:rsidR="008E6210" w:rsidRPr="002F69D3" w:rsidRDefault="00B45639" w:rsidP="003B26AA">
      <w:pPr>
        <w:spacing w:after="0"/>
        <w:jc w:val="both"/>
        <w:rPr>
          <w:color w:val="002060"/>
        </w:rPr>
      </w:pPr>
      <w:r w:rsidRPr="002F69D3">
        <w:rPr>
          <w:color w:val="002060"/>
        </w:rPr>
        <w:t>b)</w:t>
      </w:r>
      <w:r w:rsidRPr="002F69D3">
        <w:rPr>
          <w:color w:val="002060"/>
        </w:rPr>
        <w:tab/>
        <w:t xml:space="preserve"> </w:t>
      </w:r>
      <w:r w:rsidR="008E6210" w:rsidRPr="002F69D3">
        <w:rPr>
          <w:color w:val="002060"/>
        </w:rPr>
        <w:t>Subnational aspects of PFM reform</w:t>
      </w:r>
      <w:r w:rsidR="00DF1C11" w:rsidRPr="002F69D3">
        <w:rPr>
          <w:color w:val="002060"/>
        </w:rPr>
        <w:t xml:space="preserve"> </w:t>
      </w:r>
      <w:proofErr w:type="spellStart"/>
      <w:r w:rsidR="00DF1C11" w:rsidRPr="002F69D3">
        <w:rPr>
          <w:color w:val="002060"/>
        </w:rPr>
        <w:t>programmes</w:t>
      </w:r>
      <w:proofErr w:type="spellEnd"/>
    </w:p>
    <w:p w:rsidR="00366091" w:rsidRPr="002F69D3" w:rsidRDefault="008E6210" w:rsidP="00BB1D6E">
      <w:pPr>
        <w:spacing w:after="0" w:line="240" w:lineRule="auto"/>
        <w:jc w:val="both"/>
        <w:rPr>
          <w:color w:val="002060"/>
        </w:rPr>
      </w:pPr>
      <w:r w:rsidRPr="002F69D3">
        <w:rPr>
          <w:color w:val="002060"/>
        </w:rPr>
        <w:t>Relevance of PFM reform</w:t>
      </w:r>
      <w:r w:rsidR="00366091" w:rsidRPr="002F69D3">
        <w:rPr>
          <w:color w:val="002060"/>
        </w:rPr>
        <w:t xml:space="preserve"> </w:t>
      </w:r>
    </w:p>
    <w:p w:rsidR="00366091" w:rsidRPr="002F69D3" w:rsidRDefault="00366091" w:rsidP="007B70FF">
      <w:pPr>
        <w:pStyle w:val="ListParagraph"/>
        <w:numPr>
          <w:ilvl w:val="0"/>
          <w:numId w:val="29"/>
        </w:numPr>
        <w:spacing w:after="0" w:line="240" w:lineRule="auto"/>
        <w:jc w:val="both"/>
        <w:rPr>
          <w:color w:val="002060"/>
        </w:rPr>
      </w:pPr>
      <w:r w:rsidRPr="002F69D3">
        <w:rPr>
          <w:color w:val="002060"/>
        </w:rPr>
        <w:t xml:space="preserve">How does the central government PFM reform </w:t>
      </w:r>
      <w:proofErr w:type="spellStart"/>
      <w:r w:rsidRPr="002F69D3">
        <w:rPr>
          <w:color w:val="002060"/>
        </w:rPr>
        <w:t>programme</w:t>
      </w:r>
      <w:proofErr w:type="spellEnd"/>
      <w:r w:rsidRPr="002F69D3">
        <w:rPr>
          <w:color w:val="002060"/>
        </w:rPr>
        <w:t xml:space="preserve"> address the subnational level? </w:t>
      </w:r>
    </w:p>
    <w:p w:rsidR="008E6210" w:rsidRPr="002F69D3" w:rsidRDefault="00366091" w:rsidP="007B70FF">
      <w:pPr>
        <w:pStyle w:val="ListParagraph"/>
        <w:numPr>
          <w:ilvl w:val="0"/>
          <w:numId w:val="29"/>
        </w:numPr>
        <w:spacing w:after="0" w:line="240" w:lineRule="auto"/>
        <w:jc w:val="both"/>
        <w:rPr>
          <w:color w:val="002060"/>
        </w:rPr>
      </w:pPr>
      <w:r w:rsidRPr="002F69D3">
        <w:rPr>
          <w:color w:val="002060"/>
        </w:rPr>
        <w:t xml:space="preserve">Do subnational governments have their own PFM reform strategies (as may be the case in federal states) and are they consistent with the overall reform strategy at central level?  </w:t>
      </w:r>
    </w:p>
    <w:p w:rsidR="00B33B19" w:rsidRDefault="00366091" w:rsidP="007B70FF">
      <w:pPr>
        <w:pStyle w:val="ListParagraph"/>
        <w:numPr>
          <w:ilvl w:val="0"/>
          <w:numId w:val="29"/>
        </w:numPr>
        <w:spacing w:after="0" w:line="240" w:lineRule="auto"/>
        <w:jc w:val="both"/>
        <w:rPr>
          <w:color w:val="002060"/>
        </w:rPr>
      </w:pPr>
      <w:r w:rsidRPr="002F69D3">
        <w:rPr>
          <w:color w:val="002060"/>
        </w:rPr>
        <w:t>Are the priorities adapted to the needs and weaknesses observed at the subnational level?</w:t>
      </w:r>
      <w:r w:rsidR="00953C05">
        <w:rPr>
          <w:color w:val="002060"/>
        </w:rPr>
        <w:t xml:space="preserve"> </w:t>
      </w:r>
    </w:p>
    <w:p w:rsidR="00366091" w:rsidRPr="002F69D3" w:rsidRDefault="00366091" w:rsidP="007B70FF">
      <w:pPr>
        <w:pStyle w:val="ListParagraph"/>
        <w:numPr>
          <w:ilvl w:val="0"/>
          <w:numId w:val="29"/>
        </w:numPr>
        <w:spacing w:after="0" w:line="240" w:lineRule="auto"/>
        <w:jc w:val="both"/>
        <w:rPr>
          <w:color w:val="002060"/>
        </w:rPr>
      </w:pPr>
      <w:r w:rsidRPr="002F69D3">
        <w:rPr>
          <w:color w:val="002060"/>
        </w:rPr>
        <w:t>Is the sequencing realistic at subnational level?</w:t>
      </w:r>
    </w:p>
    <w:p w:rsidR="00366091" w:rsidRPr="002F69D3" w:rsidRDefault="00366091" w:rsidP="002F69D3">
      <w:pPr>
        <w:spacing w:before="120" w:after="0" w:line="240" w:lineRule="auto"/>
        <w:jc w:val="both"/>
        <w:rPr>
          <w:color w:val="002060"/>
        </w:rPr>
      </w:pPr>
      <w:r w:rsidRPr="002F69D3">
        <w:rPr>
          <w:color w:val="002060"/>
        </w:rPr>
        <w:t>Credibility of PFM reform</w:t>
      </w:r>
    </w:p>
    <w:p w:rsidR="00AE5F72" w:rsidRPr="002F69D3" w:rsidRDefault="00366091" w:rsidP="007B70FF">
      <w:pPr>
        <w:pStyle w:val="ListParagraph"/>
        <w:numPr>
          <w:ilvl w:val="0"/>
          <w:numId w:val="28"/>
        </w:numPr>
        <w:spacing w:after="0" w:line="240" w:lineRule="auto"/>
        <w:jc w:val="both"/>
        <w:rPr>
          <w:color w:val="002060"/>
        </w:rPr>
      </w:pPr>
      <w:r w:rsidRPr="002F69D3">
        <w:rPr>
          <w:color w:val="002060"/>
        </w:rPr>
        <w:t>What is the degree of political ownership of PFM reform? Identify political drivers, obstacles and interests at subnational level.</w:t>
      </w:r>
    </w:p>
    <w:p w:rsidR="00AE5F72" w:rsidRPr="002F69D3" w:rsidRDefault="00AE5F72" w:rsidP="007B70FF">
      <w:pPr>
        <w:pStyle w:val="ListParagraph"/>
        <w:numPr>
          <w:ilvl w:val="0"/>
          <w:numId w:val="28"/>
        </w:numPr>
        <w:spacing w:after="0" w:line="240" w:lineRule="auto"/>
        <w:jc w:val="both"/>
        <w:rPr>
          <w:color w:val="002060"/>
        </w:rPr>
      </w:pPr>
      <w:r w:rsidRPr="002F69D3">
        <w:rPr>
          <w:color w:val="002060"/>
        </w:rPr>
        <w:t xml:space="preserve">How is fraud and corruption being addressed? Do policies and systems effectively reach out to the subnational </w:t>
      </w:r>
      <w:proofErr w:type="gramStart"/>
      <w:r w:rsidRPr="002F69D3">
        <w:rPr>
          <w:color w:val="002060"/>
        </w:rPr>
        <w:t>level ?</w:t>
      </w:r>
      <w:proofErr w:type="gramEnd"/>
      <w:r w:rsidRPr="002F69D3">
        <w:rPr>
          <w:color w:val="002060"/>
        </w:rPr>
        <w:t xml:space="preserve"> D</w:t>
      </w:r>
      <w:r w:rsidR="006D20DE" w:rsidRPr="002F69D3">
        <w:rPr>
          <w:color w:val="002060"/>
        </w:rPr>
        <w:t xml:space="preserve">o subnational authorities take an active stance to combat corruption and improve systems? </w:t>
      </w:r>
    </w:p>
    <w:p w:rsidR="00366091" w:rsidRPr="002F69D3" w:rsidRDefault="00AE5F72" w:rsidP="007B70FF">
      <w:pPr>
        <w:pStyle w:val="ListParagraph"/>
        <w:numPr>
          <w:ilvl w:val="0"/>
          <w:numId w:val="28"/>
        </w:numPr>
        <w:spacing w:after="0" w:line="240" w:lineRule="auto"/>
        <w:jc w:val="both"/>
        <w:rPr>
          <w:color w:val="002060"/>
        </w:rPr>
      </w:pPr>
      <w:r w:rsidRPr="002F69D3">
        <w:rPr>
          <w:color w:val="002060"/>
        </w:rPr>
        <w:t>Which local accountability mechanisms have been put in place?</w:t>
      </w:r>
      <w:r w:rsidR="00366091" w:rsidRPr="002F69D3">
        <w:rPr>
          <w:color w:val="002060"/>
        </w:rPr>
        <w:t xml:space="preserve"> </w:t>
      </w:r>
    </w:p>
    <w:p w:rsidR="00366091" w:rsidRPr="002F69D3" w:rsidRDefault="00366091" w:rsidP="007B70FF">
      <w:pPr>
        <w:pStyle w:val="ListParagraph"/>
        <w:numPr>
          <w:ilvl w:val="0"/>
          <w:numId w:val="28"/>
        </w:numPr>
        <w:spacing w:after="0" w:line="240" w:lineRule="auto"/>
        <w:jc w:val="both"/>
        <w:rPr>
          <w:color w:val="002060"/>
        </w:rPr>
      </w:pPr>
      <w:r w:rsidRPr="002F69D3">
        <w:rPr>
          <w:color w:val="002060"/>
        </w:rPr>
        <w:t xml:space="preserve">Are the institutional provisions </w:t>
      </w:r>
      <w:r w:rsidR="00AE5F72" w:rsidRPr="002F69D3">
        <w:rPr>
          <w:color w:val="002060"/>
        </w:rPr>
        <w:t>functional and effective</w:t>
      </w:r>
      <w:r w:rsidRPr="002F69D3">
        <w:rPr>
          <w:color w:val="002060"/>
        </w:rPr>
        <w:t>, in particular with regard to clear mandates, definition of responsibilities a</w:t>
      </w:r>
      <w:r w:rsidR="00AE5F72" w:rsidRPr="002F69D3">
        <w:rPr>
          <w:color w:val="002060"/>
        </w:rPr>
        <w:t xml:space="preserve">s well as </w:t>
      </w:r>
      <w:r w:rsidRPr="002F69D3">
        <w:rPr>
          <w:color w:val="002060"/>
        </w:rPr>
        <w:t xml:space="preserve">vertical (central – subnational level) and horizontal coordination </w:t>
      </w:r>
      <w:r w:rsidR="00AE5F72" w:rsidRPr="002F69D3">
        <w:rPr>
          <w:color w:val="002060"/>
        </w:rPr>
        <w:t xml:space="preserve">(i.e. </w:t>
      </w:r>
      <w:r w:rsidRPr="002F69D3">
        <w:rPr>
          <w:color w:val="002060"/>
        </w:rPr>
        <w:t xml:space="preserve">between </w:t>
      </w:r>
      <w:r w:rsidR="00AE5F72" w:rsidRPr="002F69D3">
        <w:rPr>
          <w:color w:val="002060"/>
        </w:rPr>
        <w:t>different entities at subnational level)</w:t>
      </w:r>
      <w:r w:rsidRPr="002F69D3">
        <w:rPr>
          <w:color w:val="002060"/>
        </w:rPr>
        <w:t xml:space="preserve">?  </w:t>
      </w:r>
    </w:p>
    <w:p w:rsidR="00366091" w:rsidRPr="00470260" w:rsidRDefault="00AE5F72" w:rsidP="00470260">
      <w:pPr>
        <w:pStyle w:val="ListParagraph"/>
        <w:numPr>
          <w:ilvl w:val="0"/>
          <w:numId w:val="28"/>
        </w:numPr>
        <w:spacing w:after="0" w:line="240" w:lineRule="auto"/>
        <w:jc w:val="both"/>
        <w:rPr>
          <w:color w:val="002060"/>
        </w:rPr>
      </w:pPr>
      <w:r w:rsidRPr="00470260">
        <w:rPr>
          <w:color w:val="002060"/>
        </w:rPr>
        <w:t xml:space="preserve">What is the level of institutional capacities at subnational level? What could be priority needs for strengthening capacities? </w:t>
      </w:r>
    </w:p>
    <w:p w:rsidR="00366091" w:rsidRPr="002F69D3" w:rsidRDefault="00366091" w:rsidP="002F69D3">
      <w:pPr>
        <w:spacing w:before="120" w:after="0" w:line="240" w:lineRule="auto"/>
        <w:jc w:val="both"/>
        <w:rPr>
          <w:color w:val="002060"/>
        </w:rPr>
      </w:pPr>
      <w:r w:rsidRPr="002F69D3">
        <w:rPr>
          <w:color w:val="002060"/>
        </w:rPr>
        <w:t>Dialogue</w:t>
      </w:r>
    </w:p>
    <w:p w:rsidR="00366091" w:rsidRPr="002F69D3" w:rsidRDefault="00366091" w:rsidP="007B70FF">
      <w:pPr>
        <w:pStyle w:val="ListParagraph"/>
        <w:numPr>
          <w:ilvl w:val="0"/>
          <w:numId w:val="27"/>
        </w:numPr>
        <w:spacing w:after="0" w:line="240" w:lineRule="auto"/>
        <w:jc w:val="both"/>
        <w:rPr>
          <w:color w:val="002060"/>
        </w:rPr>
      </w:pPr>
      <w:r w:rsidRPr="002F69D3">
        <w:rPr>
          <w:color w:val="002060"/>
        </w:rPr>
        <w:t>What is the quality of PFM dialogue at and with the subnational level?</w:t>
      </w:r>
    </w:p>
    <w:p w:rsidR="007D09B0" w:rsidRPr="007D09B0" w:rsidRDefault="00366091" w:rsidP="007D09B0">
      <w:pPr>
        <w:pStyle w:val="ListParagraph"/>
        <w:numPr>
          <w:ilvl w:val="0"/>
          <w:numId w:val="27"/>
        </w:numPr>
        <w:spacing w:after="0" w:line="240" w:lineRule="auto"/>
        <w:jc w:val="both"/>
        <w:rPr>
          <w:rFonts w:cs="Arial"/>
          <w:color w:val="002060"/>
        </w:rPr>
      </w:pPr>
      <w:r w:rsidRPr="007D09B0">
        <w:rPr>
          <w:color w:val="002060"/>
        </w:rPr>
        <w:t>Identify entry points and interlocutors</w:t>
      </w:r>
      <w:r w:rsidR="007D09B0" w:rsidRPr="007D09B0">
        <w:rPr>
          <w:color w:val="002060"/>
        </w:rPr>
        <w:t>.</w:t>
      </w:r>
    </w:p>
    <w:p w:rsidR="003B26AA" w:rsidRPr="003A542E" w:rsidRDefault="003B26AA" w:rsidP="00680467">
      <w:pPr>
        <w:pStyle w:val="ListParagraph"/>
        <w:spacing w:after="0" w:line="240" w:lineRule="auto"/>
        <w:jc w:val="both"/>
        <w:rPr>
          <w:rFonts w:cs="Arial"/>
          <w:color w:val="002060"/>
        </w:rPr>
      </w:pPr>
    </w:p>
    <w:p w:rsidR="002F69D3" w:rsidRDefault="002F69D3" w:rsidP="0060024D">
      <w:pPr>
        <w:pStyle w:val="Default"/>
        <w:ind w:left="-2160" w:firstLine="105"/>
        <w:rPr>
          <w:rFonts w:asciiTheme="minorHAnsi" w:hAnsiTheme="minorHAnsi" w:cs="Arial"/>
          <w:color w:val="002060"/>
          <w:sz w:val="22"/>
          <w:szCs w:val="22"/>
        </w:rPr>
      </w:pPr>
    </w:p>
    <w:p w:rsidR="002F69D3" w:rsidRPr="002F69D3" w:rsidRDefault="002F69D3" w:rsidP="0060024D">
      <w:pPr>
        <w:pStyle w:val="Default"/>
        <w:ind w:left="-2160" w:firstLine="105"/>
        <w:rPr>
          <w:rFonts w:asciiTheme="minorHAnsi" w:hAnsiTheme="minorHAnsi" w:cs="Arial"/>
          <w:color w:val="002060"/>
          <w:sz w:val="22"/>
          <w:szCs w:val="22"/>
        </w:rPr>
      </w:pPr>
    </w:p>
    <w:p w:rsidR="0060024D" w:rsidRPr="00F63090" w:rsidRDefault="0060024D" w:rsidP="0060024D">
      <w:pPr>
        <w:rPr>
          <w:rFonts w:cs="PF Square Sans Pro Medium"/>
          <w:b/>
          <w:color w:val="0070C0"/>
          <w:sz w:val="28"/>
          <w:szCs w:val="28"/>
        </w:rPr>
      </w:pPr>
      <w:r w:rsidRPr="00F63090">
        <w:rPr>
          <w:rFonts w:cs="PF Square Sans Pro Medium"/>
          <w:b/>
          <w:color w:val="0070C0"/>
          <w:sz w:val="28"/>
          <w:szCs w:val="28"/>
        </w:rPr>
        <w:t>Assessing eligibility against the Budget Transparency and Oversight Criterion</w:t>
      </w:r>
    </w:p>
    <w:p w:rsidR="00CC7A23" w:rsidRPr="002F69D3" w:rsidRDefault="00CC7A23" w:rsidP="00CC7A23">
      <w:pPr>
        <w:autoSpaceDE w:val="0"/>
        <w:autoSpaceDN w:val="0"/>
        <w:adjustRightInd w:val="0"/>
        <w:spacing w:after="0" w:line="240" w:lineRule="auto"/>
        <w:jc w:val="both"/>
        <w:rPr>
          <w:rFonts w:cs="Franklin Gothic Book"/>
          <w:color w:val="002060"/>
          <w:lang w:val="en-GB"/>
        </w:rPr>
      </w:pPr>
      <w:r w:rsidRPr="002F69D3">
        <w:rPr>
          <w:color w:val="002060"/>
        </w:rPr>
        <w:t xml:space="preserve">Transparency at the subnational level is required because it helps monitor the increased </w:t>
      </w:r>
      <w:r w:rsidR="00E86A42" w:rsidRPr="002F69D3">
        <w:rPr>
          <w:color w:val="002060"/>
        </w:rPr>
        <w:t>subnational responsibilities</w:t>
      </w:r>
      <w:r w:rsidRPr="002F69D3">
        <w:rPr>
          <w:color w:val="002060"/>
        </w:rPr>
        <w:t xml:space="preserve"> for the execution of the budget by monitoring the practices at local or regional field offices. </w:t>
      </w:r>
      <w:r w:rsidRPr="002F69D3">
        <w:rPr>
          <w:rFonts w:cs="Franklin Gothic Book"/>
          <w:color w:val="002060"/>
          <w:lang w:val="en-GB"/>
        </w:rPr>
        <w:t xml:space="preserve">While fiscal transparency at the national level reveals how government funds are distributed across lower levels of government, transparency at the subnational level is required to trace those funds. In this sense, subnational transparency enables the monitoring of policy and tracking of financial flows from the source to points of delivery. Crucially, subnational assessments allow for ex-post questions about execution, implementation and procurement, rather than just formulation and approval. On the subnational level citizens can find out whether central government funds actually got to where they were supposed to and how much of those funds were spent on what kind of resources. Transparency at the subnational level is therefore important for creating a mechanism for accountability. Accountability is crucial in order to prevent corruption and ensure effective service delivery to the local population. </w:t>
      </w:r>
    </w:p>
    <w:p w:rsidR="00AD7D18" w:rsidRPr="002F69D3" w:rsidRDefault="00AD7D18" w:rsidP="0060024D">
      <w:pPr>
        <w:autoSpaceDE w:val="0"/>
        <w:autoSpaceDN w:val="0"/>
        <w:adjustRightInd w:val="0"/>
        <w:spacing w:after="0" w:line="240" w:lineRule="auto"/>
        <w:rPr>
          <w:rFonts w:cs="PF Square Sans Pro Medium"/>
          <w:color w:val="002060"/>
          <w:lang w:val="en-GB"/>
        </w:rPr>
      </w:pPr>
    </w:p>
    <w:p w:rsidR="00094405" w:rsidRPr="002F69D3" w:rsidRDefault="00CC7A23" w:rsidP="002F69D3">
      <w:pPr>
        <w:autoSpaceDE w:val="0"/>
        <w:autoSpaceDN w:val="0"/>
        <w:adjustRightInd w:val="0"/>
        <w:spacing w:after="120" w:line="240" w:lineRule="auto"/>
        <w:jc w:val="both"/>
        <w:rPr>
          <w:rFonts w:cs="PF Square Sans Pro Medium"/>
          <w:color w:val="002060"/>
        </w:rPr>
      </w:pPr>
      <w:r w:rsidRPr="002F69D3">
        <w:rPr>
          <w:rFonts w:cs="PF Square Sans Pro Medium"/>
          <w:color w:val="002060"/>
        </w:rPr>
        <w:t>S</w:t>
      </w:r>
      <w:r w:rsidR="00B33D3B" w:rsidRPr="002F69D3">
        <w:rPr>
          <w:rFonts w:cs="PF Square Sans Pro Medium"/>
          <w:color w:val="002060"/>
        </w:rPr>
        <w:t>ome specific issues require additional attention</w:t>
      </w:r>
      <w:r w:rsidR="002C07FD" w:rsidRPr="002F69D3">
        <w:rPr>
          <w:rFonts w:cs="PF Square Sans Pro Medium"/>
          <w:color w:val="002060"/>
        </w:rPr>
        <w:t xml:space="preserve"> with regard to decentralization reform policies</w:t>
      </w:r>
      <w:r w:rsidR="00094405" w:rsidRPr="002F69D3">
        <w:rPr>
          <w:rFonts w:cs="PF Square Sans Pro Medium"/>
          <w:color w:val="002060"/>
        </w:rPr>
        <w:t>:</w:t>
      </w:r>
    </w:p>
    <w:p w:rsidR="00B33D3B" w:rsidRPr="002F69D3" w:rsidRDefault="00094405" w:rsidP="007B70FF">
      <w:pPr>
        <w:pStyle w:val="ListParagraph"/>
        <w:numPr>
          <w:ilvl w:val="0"/>
          <w:numId w:val="7"/>
        </w:numPr>
        <w:autoSpaceDE w:val="0"/>
        <w:autoSpaceDN w:val="0"/>
        <w:adjustRightInd w:val="0"/>
        <w:spacing w:after="0" w:line="240" w:lineRule="auto"/>
        <w:jc w:val="both"/>
        <w:rPr>
          <w:rFonts w:cs="PF Square Sans Pro Medium"/>
          <w:color w:val="002060"/>
        </w:rPr>
      </w:pPr>
      <w:r w:rsidRPr="002F69D3">
        <w:rPr>
          <w:rFonts w:cs="PF Square Sans Pro Medium"/>
          <w:color w:val="002060"/>
        </w:rPr>
        <w:t xml:space="preserve">Is the policy going to </w:t>
      </w:r>
      <w:r w:rsidR="00476CEE" w:rsidRPr="002F69D3">
        <w:rPr>
          <w:rFonts w:cs="PF Square Sans Pro Medium"/>
          <w:i/>
          <w:color w:val="002060"/>
        </w:rPr>
        <w:t xml:space="preserve">affect </w:t>
      </w:r>
      <w:r w:rsidR="00476CEE" w:rsidRPr="002F69D3">
        <w:rPr>
          <w:rFonts w:cs="PF Square Sans Pro Medium"/>
          <w:color w:val="002060"/>
        </w:rPr>
        <w:t>the</w:t>
      </w:r>
      <w:r w:rsidRPr="002F69D3">
        <w:rPr>
          <w:rFonts w:cs="PF Square Sans Pro Medium"/>
          <w:color w:val="002060"/>
        </w:rPr>
        <w:t xml:space="preserve"> transparency and oversight of the </w:t>
      </w:r>
      <w:r w:rsidRPr="002F69D3">
        <w:rPr>
          <w:rFonts w:cs="PF Square Sans Pro Medium"/>
          <w:i/>
          <w:color w:val="002060"/>
        </w:rPr>
        <w:t>national</w:t>
      </w:r>
      <w:r w:rsidRPr="002F69D3">
        <w:rPr>
          <w:rFonts w:cs="PF Square Sans Pro Medium"/>
          <w:color w:val="002060"/>
        </w:rPr>
        <w:t xml:space="preserve"> Budget management process? </w:t>
      </w:r>
      <w:r w:rsidR="00476CEE" w:rsidRPr="002F69D3">
        <w:rPr>
          <w:rFonts w:cs="PF Square Sans Pro Medium"/>
          <w:color w:val="002060"/>
        </w:rPr>
        <w:t>e.g.:  Does the policy/program support the establishment and operation of a broad</w:t>
      </w:r>
      <w:r w:rsidRPr="002F69D3">
        <w:rPr>
          <w:rFonts w:cs="PF Square Sans Pro Medium"/>
          <w:color w:val="002060"/>
        </w:rPr>
        <w:t xml:space="preserve"> based Local Finance Commission with representation from the Local Authorities sector? Is </w:t>
      </w:r>
      <w:r w:rsidR="00476CEE" w:rsidRPr="002F69D3">
        <w:rPr>
          <w:rFonts w:cs="PF Square Sans Pro Medium"/>
          <w:color w:val="002060"/>
        </w:rPr>
        <w:t>it</w:t>
      </w:r>
      <w:r w:rsidRPr="002F69D3">
        <w:rPr>
          <w:rFonts w:cs="PF Square Sans Pro Medium"/>
          <w:color w:val="002060"/>
        </w:rPr>
        <w:t xml:space="preserve"> going to improve the transparency of fiscal </w:t>
      </w:r>
      <w:r w:rsidR="00476CEE" w:rsidRPr="002F69D3">
        <w:rPr>
          <w:rFonts w:cs="PF Square Sans Pro Medium"/>
          <w:color w:val="002060"/>
        </w:rPr>
        <w:t>transfers’</w:t>
      </w:r>
      <w:r w:rsidRPr="002F69D3">
        <w:rPr>
          <w:rFonts w:cs="PF Square Sans Pro Medium"/>
          <w:color w:val="002060"/>
        </w:rPr>
        <w:t xml:space="preserve"> formulas</w:t>
      </w:r>
      <w:r w:rsidR="006E49C7" w:rsidRPr="002F69D3">
        <w:rPr>
          <w:rFonts w:cs="PF Square Sans Pro Medium"/>
          <w:color w:val="002060"/>
        </w:rPr>
        <w:t xml:space="preserve"> and related </w:t>
      </w:r>
      <w:r w:rsidR="00476CEE" w:rsidRPr="002F69D3">
        <w:rPr>
          <w:rFonts w:cs="PF Square Sans Pro Medium"/>
          <w:color w:val="002060"/>
        </w:rPr>
        <w:t>conditions</w:t>
      </w:r>
      <w:r w:rsidR="006E49C7" w:rsidRPr="002F69D3">
        <w:rPr>
          <w:rFonts w:cs="PF Square Sans Pro Medium"/>
          <w:color w:val="002060"/>
        </w:rPr>
        <w:t xml:space="preserve"> of access/performance</w:t>
      </w:r>
      <w:r w:rsidR="00476CEE" w:rsidRPr="002F69D3">
        <w:rPr>
          <w:rFonts w:cs="PF Square Sans Pro Medium"/>
          <w:color w:val="002060"/>
        </w:rPr>
        <w:t xml:space="preserve">? </w:t>
      </w:r>
    </w:p>
    <w:p w:rsidR="000A37E0" w:rsidRPr="002F69D3" w:rsidRDefault="00476CEE" w:rsidP="007B70FF">
      <w:pPr>
        <w:pStyle w:val="ListParagraph"/>
        <w:numPr>
          <w:ilvl w:val="0"/>
          <w:numId w:val="7"/>
        </w:numPr>
        <w:autoSpaceDE w:val="0"/>
        <w:autoSpaceDN w:val="0"/>
        <w:adjustRightInd w:val="0"/>
        <w:spacing w:after="0" w:line="240" w:lineRule="auto"/>
        <w:jc w:val="both"/>
        <w:rPr>
          <w:rFonts w:cs="PF Square Sans Pro Medium"/>
          <w:color w:val="002060"/>
        </w:rPr>
      </w:pPr>
      <w:r w:rsidRPr="002F69D3">
        <w:rPr>
          <w:rFonts w:cs="PF Square Sans Pro Medium"/>
          <w:color w:val="002060"/>
        </w:rPr>
        <w:lastRenderedPageBreak/>
        <w:t xml:space="preserve">Is the policy going to improve the transparency and oversight of the </w:t>
      </w:r>
      <w:r w:rsidRPr="002F69D3">
        <w:rPr>
          <w:rFonts w:cs="PF Square Sans Pro Medium"/>
          <w:i/>
          <w:color w:val="002060"/>
        </w:rPr>
        <w:t xml:space="preserve">local </w:t>
      </w:r>
      <w:r w:rsidRPr="002F69D3">
        <w:rPr>
          <w:rFonts w:cs="PF Square Sans Pro Medium"/>
          <w:color w:val="002060"/>
        </w:rPr>
        <w:t>Budget management process? e.g.: Does the policy support</w:t>
      </w:r>
      <w:r w:rsidR="000B19B1" w:rsidRPr="002F69D3">
        <w:rPr>
          <w:rFonts w:cs="PF Square Sans Pro Medium"/>
          <w:color w:val="002060"/>
        </w:rPr>
        <w:t xml:space="preserve"> </w:t>
      </w:r>
      <w:r w:rsidR="009E73EF" w:rsidRPr="002F69D3">
        <w:rPr>
          <w:rFonts w:cs="PF Square Sans Pro Medium"/>
          <w:color w:val="002060"/>
        </w:rPr>
        <w:t xml:space="preserve">local-level </w:t>
      </w:r>
      <w:r w:rsidR="000B19B1" w:rsidRPr="002F69D3">
        <w:rPr>
          <w:rFonts w:cs="PF Square Sans Pro Medium"/>
          <w:color w:val="002060"/>
        </w:rPr>
        <w:t xml:space="preserve">participatory budgeting practices? </w:t>
      </w:r>
      <w:proofErr w:type="gramStart"/>
      <w:r w:rsidR="000B19B1" w:rsidRPr="002F69D3">
        <w:rPr>
          <w:rFonts w:cs="PF Square Sans Pro Medium"/>
          <w:color w:val="002060"/>
        </w:rPr>
        <w:t>social</w:t>
      </w:r>
      <w:proofErr w:type="gramEnd"/>
      <w:r w:rsidR="000B19B1" w:rsidRPr="002F69D3">
        <w:rPr>
          <w:rFonts w:cs="PF Square Sans Pro Medium"/>
          <w:color w:val="002060"/>
        </w:rPr>
        <w:t xml:space="preserve"> auditing? </w:t>
      </w:r>
      <w:proofErr w:type="gramStart"/>
      <w:r w:rsidR="000B19B1" w:rsidRPr="002F69D3">
        <w:rPr>
          <w:rFonts w:cs="PF Square Sans Pro Medium"/>
          <w:color w:val="002060"/>
        </w:rPr>
        <w:t>appropriate</w:t>
      </w:r>
      <w:proofErr w:type="gramEnd"/>
      <w:r w:rsidR="000B19B1" w:rsidRPr="002F69D3">
        <w:rPr>
          <w:rFonts w:cs="PF Square Sans Pro Medium"/>
          <w:color w:val="002060"/>
        </w:rPr>
        <w:t xml:space="preserve"> mechanism</w:t>
      </w:r>
      <w:r w:rsidR="009E73EF" w:rsidRPr="002F69D3">
        <w:rPr>
          <w:rFonts w:cs="PF Square Sans Pro Medium"/>
          <w:color w:val="002060"/>
        </w:rPr>
        <w:t>s</w:t>
      </w:r>
      <w:r w:rsidR="000B19B1" w:rsidRPr="002F69D3">
        <w:rPr>
          <w:rFonts w:cs="PF Square Sans Pro Medium"/>
          <w:color w:val="002060"/>
        </w:rPr>
        <w:t xml:space="preserve"> of central support and supervision of </w:t>
      </w:r>
      <w:r w:rsidR="009E73EF" w:rsidRPr="002F69D3">
        <w:rPr>
          <w:rFonts w:cs="PF Square Sans Pro Medium"/>
          <w:color w:val="002060"/>
        </w:rPr>
        <w:t xml:space="preserve">the </w:t>
      </w:r>
      <w:r w:rsidR="000B19B1" w:rsidRPr="002F69D3">
        <w:rPr>
          <w:rFonts w:cs="PF Square Sans Pro Medium"/>
          <w:color w:val="002060"/>
        </w:rPr>
        <w:t>local budget</w:t>
      </w:r>
      <w:r w:rsidR="009E73EF" w:rsidRPr="002F69D3">
        <w:rPr>
          <w:rFonts w:cs="PF Square Sans Pro Medium"/>
          <w:color w:val="002060"/>
        </w:rPr>
        <w:t xml:space="preserve"> formation and implementation process</w:t>
      </w:r>
      <w:r w:rsidR="000B19B1" w:rsidRPr="002F69D3">
        <w:rPr>
          <w:rFonts w:cs="PF Square Sans Pro Medium"/>
          <w:color w:val="002060"/>
        </w:rPr>
        <w:t>?</w:t>
      </w:r>
      <w:r w:rsidR="006719ED">
        <w:rPr>
          <w:rFonts w:cs="PF Square Sans Pro Medium"/>
          <w:color w:val="002060"/>
        </w:rPr>
        <w:t xml:space="preserve"> Is the civil society (including women's and children's organizations</w:t>
      </w:r>
      <w:r w:rsidR="003A542E">
        <w:rPr>
          <w:rFonts w:cs="PF Square Sans Pro Medium"/>
          <w:color w:val="002060"/>
        </w:rPr>
        <w:t>)</w:t>
      </w:r>
      <w:r w:rsidR="006719ED">
        <w:rPr>
          <w:rFonts w:cs="PF Square Sans Pro Medium"/>
          <w:color w:val="002060"/>
        </w:rPr>
        <w:t xml:space="preserve"> engaged in </w:t>
      </w:r>
      <w:r w:rsidR="003A542E">
        <w:rPr>
          <w:rFonts w:cs="PF Square Sans Pro Medium"/>
          <w:color w:val="002060"/>
        </w:rPr>
        <w:t>monitoring</w:t>
      </w:r>
      <w:r w:rsidR="006719ED">
        <w:rPr>
          <w:rFonts w:cs="PF Square Sans Pro Medium"/>
          <w:color w:val="002060"/>
        </w:rPr>
        <w:t xml:space="preserve">, including using media for raising awareness </w:t>
      </w:r>
      <w:r w:rsidR="006A6DAF">
        <w:rPr>
          <w:rFonts w:cs="PF Square Sans Pro Medium"/>
          <w:color w:val="002060"/>
        </w:rPr>
        <w:t>on</w:t>
      </w:r>
      <w:r w:rsidR="006719ED">
        <w:rPr>
          <w:rFonts w:cs="PF Square Sans Pro Medium"/>
          <w:color w:val="002060"/>
        </w:rPr>
        <w:t xml:space="preserve"> poor/good performance?</w:t>
      </w:r>
    </w:p>
    <w:p w:rsidR="002733C0" w:rsidRPr="00470260" w:rsidRDefault="00CC7A23" w:rsidP="007B70FF">
      <w:pPr>
        <w:pStyle w:val="ListParagraph"/>
        <w:numPr>
          <w:ilvl w:val="0"/>
          <w:numId w:val="7"/>
        </w:numPr>
        <w:autoSpaceDE w:val="0"/>
        <w:autoSpaceDN w:val="0"/>
        <w:adjustRightInd w:val="0"/>
        <w:spacing w:after="0" w:line="240" w:lineRule="auto"/>
        <w:jc w:val="both"/>
        <w:rPr>
          <w:rFonts w:cs="PF Square Sans Pro Medium"/>
          <w:color w:val="002060"/>
        </w:rPr>
      </w:pPr>
      <w:r w:rsidRPr="002F69D3">
        <w:rPr>
          <w:color w:val="002060"/>
        </w:rPr>
        <w:t xml:space="preserve">Are subnational budgets and timely information on budget execution accessible to the public? </w:t>
      </w:r>
      <w:r w:rsidR="002C07FD" w:rsidRPr="002F69D3">
        <w:rPr>
          <w:color w:val="002060"/>
        </w:rPr>
        <w:t>Are Court of Auditor reports disseminated? In case of lack of access to IT infrastructure for the local population which alternative modalities for transparency have been created at subnational level?</w:t>
      </w:r>
    </w:p>
    <w:p w:rsidR="00470260" w:rsidRPr="002F69D3" w:rsidRDefault="00470260" w:rsidP="00470260">
      <w:pPr>
        <w:pStyle w:val="ListParagraph"/>
        <w:autoSpaceDE w:val="0"/>
        <w:autoSpaceDN w:val="0"/>
        <w:adjustRightInd w:val="0"/>
        <w:spacing w:after="0" w:line="240" w:lineRule="auto"/>
        <w:ind w:left="360"/>
        <w:jc w:val="both"/>
        <w:rPr>
          <w:rFonts w:cs="PF Square Sans Pro Medium"/>
          <w:color w:val="002060"/>
        </w:rPr>
      </w:pPr>
    </w:p>
    <w:p w:rsidR="00AA33C3" w:rsidRPr="00F85FD2" w:rsidRDefault="00AA33C3" w:rsidP="00AA33C3">
      <w:pPr>
        <w:pStyle w:val="Heading1"/>
        <w:rPr>
          <w:rFonts w:asciiTheme="minorHAnsi" w:hAnsiTheme="minorHAnsi"/>
          <w:b/>
          <w:color w:val="0070C0"/>
        </w:rPr>
      </w:pPr>
      <w:r>
        <w:rPr>
          <w:rFonts w:asciiTheme="minorHAnsi" w:hAnsiTheme="minorHAnsi"/>
          <w:b/>
          <w:color w:val="0070C0"/>
        </w:rPr>
        <w:t>Chapter</w:t>
      </w:r>
      <w:r w:rsidRPr="00F85FD2">
        <w:rPr>
          <w:rFonts w:asciiTheme="minorHAnsi" w:hAnsiTheme="minorHAnsi"/>
          <w:b/>
          <w:color w:val="0070C0"/>
        </w:rPr>
        <w:t xml:space="preserve"> </w:t>
      </w:r>
      <w:r>
        <w:rPr>
          <w:rFonts w:asciiTheme="minorHAnsi" w:hAnsiTheme="minorHAnsi"/>
          <w:b/>
          <w:color w:val="0070C0"/>
        </w:rPr>
        <w:t>4</w:t>
      </w:r>
      <w:r w:rsidRPr="00F85FD2">
        <w:rPr>
          <w:rFonts w:asciiTheme="minorHAnsi" w:hAnsiTheme="minorHAnsi"/>
          <w:b/>
          <w:color w:val="0070C0"/>
        </w:rPr>
        <w:t xml:space="preserve">: </w:t>
      </w:r>
      <w:r w:rsidR="00CB5C39">
        <w:rPr>
          <w:rFonts w:asciiTheme="minorHAnsi" w:hAnsiTheme="minorHAnsi"/>
          <w:b/>
          <w:color w:val="0070C0"/>
        </w:rPr>
        <w:t xml:space="preserve">Aspects of formulation of </w:t>
      </w:r>
      <w:r>
        <w:rPr>
          <w:rFonts w:asciiTheme="minorHAnsi" w:hAnsiTheme="minorHAnsi"/>
          <w:b/>
          <w:color w:val="0070C0"/>
        </w:rPr>
        <w:t>BS in decentraliz</w:t>
      </w:r>
      <w:r w:rsidR="00CB5C39">
        <w:rPr>
          <w:rFonts w:asciiTheme="minorHAnsi" w:hAnsiTheme="minorHAnsi"/>
          <w:b/>
          <w:color w:val="0070C0"/>
        </w:rPr>
        <w:t>ed contexts</w:t>
      </w:r>
    </w:p>
    <w:p w:rsidR="00AA33C3" w:rsidRPr="00DD15F8" w:rsidRDefault="00AA33C3" w:rsidP="00AA33C3">
      <w:pPr>
        <w:rPr>
          <w:b/>
          <w:color w:val="0070C0"/>
          <w:sz w:val="28"/>
        </w:rPr>
      </w:pPr>
      <w:r w:rsidRPr="00DD15F8">
        <w:rPr>
          <w:b/>
          <w:color w:val="0070C0"/>
          <w:sz w:val="28"/>
        </w:rPr>
        <w:t>Policy Dialogue</w:t>
      </w:r>
    </w:p>
    <w:p w:rsidR="00AA33C3" w:rsidRPr="001C0DE3" w:rsidRDefault="00AA33C3" w:rsidP="00AA33C3">
      <w:pPr>
        <w:pStyle w:val="NoSpacing"/>
        <w:jc w:val="both"/>
        <w:rPr>
          <w:color w:val="002060"/>
        </w:rPr>
      </w:pPr>
      <w:r w:rsidRPr="001C0DE3">
        <w:rPr>
          <w:color w:val="002060"/>
        </w:rPr>
        <w:t xml:space="preserve">Policy dialogue </w:t>
      </w:r>
      <w:r w:rsidR="000E66F0">
        <w:rPr>
          <w:color w:val="002060"/>
        </w:rPr>
        <w:t xml:space="preserve">in the framework of budget support in decentralized contexts </w:t>
      </w:r>
      <w:r w:rsidRPr="001C0DE3">
        <w:rPr>
          <w:color w:val="002060"/>
        </w:rPr>
        <w:t xml:space="preserve">raises specific issues of </w:t>
      </w:r>
      <w:r w:rsidRPr="001C0DE3">
        <w:rPr>
          <w:i/>
          <w:color w:val="002060"/>
        </w:rPr>
        <w:t>process</w:t>
      </w:r>
      <w:r w:rsidRPr="001C0DE3">
        <w:rPr>
          <w:color w:val="002060"/>
        </w:rPr>
        <w:t xml:space="preserve"> and </w:t>
      </w:r>
      <w:r w:rsidRPr="001C0DE3">
        <w:rPr>
          <w:i/>
          <w:color w:val="002060"/>
        </w:rPr>
        <w:t>content</w:t>
      </w:r>
      <w:r w:rsidRPr="001C0DE3">
        <w:rPr>
          <w:color w:val="002060"/>
        </w:rPr>
        <w:t xml:space="preserve"> which take different forms depending on the scope of the operation being considered.</w:t>
      </w:r>
    </w:p>
    <w:p w:rsidR="00AA33C3" w:rsidRPr="001C0DE3" w:rsidRDefault="00AA33C3" w:rsidP="00AA33C3">
      <w:pPr>
        <w:pStyle w:val="NoSpacing"/>
        <w:jc w:val="both"/>
        <w:rPr>
          <w:color w:val="002060"/>
        </w:rPr>
      </w:pPr>
    </w:p>
    <w:p w:rsidR="00AA33C3" w:rsidRPr="001C0DE3" w:rsidRDefault="00AA33C3" w:rsidP="00AA33C3">
      <w:pPr>
        <w:pStyle w:val="NoSpacing"/>
        <w:jc w:val="both"/>
        <w:rPr>
          <w:color w:val="002060"/>
        </w:rPr>
      </w:pPr>
      <w:r w:rsidRPr="001C0DE3">
        <w:rPr>
          <w:color w:val="002060"/>
        </w:rPr>
        <w:t xml:space="preserve">With respect to </w:t>
      </w:r>
      <w:r w:rsidRPr="001C0DE3">
        <w:rPr>
          <w:i/>
          <w:color w:val="002060"/>
        </w:rPr>
        <w:t>process</w:t>
      </w:r>
      <w:r w:rsidRPr="001C0DE3">
        <w:rPr>
          <w:color w:val="002060"/>
        </w:rPr>
        <w:t xml:space="preserve">, a critical issue is the management of the relevant policy by the partner country. Typically, for programs </w:t>
      </w:r>
      <w:r w:rsidR="008554A7">
        <w:rPr>
          <w:color w:val="002060"/>
        </w:rPr>
        <w:t xml:space="preserve">of budget support to decentralization reforms </w:t>
      </w:r>
      <w:r w:rsidRPr="001C0DE3">
        <w:rPr>
          <w:color w:val="002060"/>
        </w:rPr>
        <w:t xml:space="preserve">policy dialogue should be carried out at the highest political level and requires the setup of high-level program management structures (e.g. in the President or Prime Minister offices) as well as active inter-ministerial platforms, where the bureaucratic resistances that often threaten policy implementation, might be addressed and overcome. </w:t>
      </w:r>
    </w:p>
    <w:p w:rsidR="00AA33C3" w:rsidRPr="001C0DE3" w:rsidRDefault="00AA33C3" w:rsidP="00AA33C3">
      <w:pPr>
        <w:pStyle w:val="NoSpacing"/>
        <w:jc w:val="both"/>
        <w:rPr>
          <w:color w:val="002060"/>
        </w:rPr>
      </w:pPr>
      <w:r w:rsidRPr="001C0DE3">
        <w:rPr>
          <w:color w:val="002060"/>
        </w:rPr>
        <w:t xml:space="preserve">On the other hand, dialogue around a policy to devolve or delegate specific service delivery functions (a </w:t>
      </w:r>
      <w:r w:rsidR="0094571B">
        <w:rPr>
          <w:color w:val="002060"/>
        </w:rPr>
        <w:t>type 1</w:t>
      </w:r>
      <w:r w:rsidRPr="001C0DE3">
        <w:rPr>
          <w:color w:val="002060"/>
        </w:rPr>
        <w:t xml:space="preserve"> operation) might take place primarily with the concerned sector ministry, </w:t>
      </w:r>
      <w:r w:rsidR="000E66F0">
        <w:rPr>
          <w:color w:val="002060"/>
        </w:rPr>
        <w:t xml:space="preserve">but at the same time </w:t>
      </w:r>
      <w:r w:rsidRPr="001C0DE3">
        <w:rPr>
          <w:color w:val="002060"/>
        </w:rPr>
        <w:t>the Finance Ministry</w:t>
      </w:r>
      <w:r w:rsidR="000E66F0">
        <w:rPr>
          <w:color w:val="002060"/>
        </w:rPr>
        <w:t xml:space="preserve"> is also a key interlocutor. In addition, involvement of </w:t>
      </w:r>
      <w:r w:rsidRPr="001C0DE3">
        <w:rPr>
          <w:color w:val="002060"/>
        </w:rPr>
        <w:t xml:space="preserve">the national agency supervising the local authorities </w:t>
      </w:r>
      <w:proofErr w:type="gramStart"/>
      <w:r w:rsidRPr="001C0DE3">
        <w:rPr>
          <w:color w:val="002060"/>
        </w:rPr>
        <w:t>systems,</w:t>
      </w:r>
      <w:proofErr w:type="gramEnd"/>
      <w:r w:rsidRPr="001C0DE3">
        <w:rPr>
          <w:color w:val="002060"/>
        </w:rPr>
        <w:t xml:space="preserve"> is necessary. </w:t>
      </w:r>
    </w:p>
    <w:p w:rsidR="00AA33C3" w:rsidRPr="001C0DE3" w:rsidRDefault="00AA33C3" w:rsidP="00AA33C3">
      <w:pPr>
        <w:pStyle w:val="NoSpacing"/>
        <w:jc w:val="both"/>
        <w:rPr>
          <w:color w:val="002060"/>
        </w:rPr>
      </w:pPr>
      <w:r w:rsidRPr="001C0DE3">
        <w:rPr>
          <w:color w:val="002060"/>
        </w:rPr>
        <w:t xml:space="preserve">Finally, when the policy being supported is one of promoting and co-financing </w:t>
      </w:r>
      <w:r w:rsidR="008554A7">
        <w:rPr>
          <w:color w:val="002060"/>
        </w:rPr>
        <w:t xml:space="preserve">local authorities </w:t>
      </w:r>
      <w:r w:rsidRPr="00B82FB9">
        <w:rPr>
          <w:i/>
          <w:color w:val="002060"/>
        </w:rPr>
        <w:t>place-based</w:t>
      </w:r>
      <w:r w:rsidRPr="001C0DE3">
        <w:rPr>
          <w:color w:val="002060"/>
        </w:rPr>
        <w:t xml:space="preserve"> territorial development strategies, (a</w:t>
      </w:r>
      <w:r w:rsidR="0094571B">
        <w:rPr>
          <w:color w:val="002060"/>
        </w:rPr>
        <w:t xml:space="preserve"> </w:t>
      </w:r>
      <w:r w:rsidRPr="001C0DE3">
        <w:rPr>
          <w:color w:val="002060"/>
        </w:rPr>
        <w:t xml:space="preserve">type </w:t>
      </w:r>
      <w:r w:rsidR="0094571B">
        <w:rPr>
          <w:color w:val="002060"/>
        </w:rPr>
        <w:t xml:space="preserve">3 </w:t>
      </w:r>
      <w:r w:rsidRPr="001C0DE3">
        <w:rPr>
          <w:color w:val="002060"/>
        </w:rPr>
        <w:t xml:space="preserve">operation), appropriate platforms will need to be devised for a multi-actor policy dialogue involving  central government and the local authorities that ultimately  benefit from the BS operation. </w:t>
      </w:r>
    </w:p>
    <w:p w:rsidR="00AA33C3" w:rsidRPr="001C0DE3" w:rsidRDefault="00AA33C3" w:rsidP="00AA33C3">
      <w:pPr>
        <w:pStyle w:val="NoSpacing"/>
        <w:jc w:val="both"/>
        <w:rPr>
          <w:color w:val="002060"/>
        </w:rPr>
      </w:pPr>
    </w:p>
    <w:p w:rsidR="00AA33C3" w:rsidRPr="001C0DE3" w:rsidRDefault="00AA33C3" w:rsidP="00AA33C3">
      <w:pPr>
        <w:pStyle w:val="NoSpacing"/>
        <w:jc w:val="both"/>
        <w:rPr>
          <w:color w:val="002060"/>
        </w:rPr>
      </w:pPr>
      <w:r w:rsidRPr="001C0DE3">
        <w:rPr>
          <w:color w:val="002060"/>
        </w:rPr>
        <w:t xml:space="preserve">More generally, Local Authorities should be able to participate, through their National Associations, in the policy dialogue on all types of BS operations </w:t>
      </w:r>
      <w:r w:rsidR="008554A7">
        <w:rPr>
          <w:color w:val="002060"/>
        </w:rPr>
        <w:t>in decentralized contexts</w:t>
      </w:r>
      <w:r w:rsidRPr="001C0DE3">
        <w:rPr>
          <w:color w:val="002060"/>
        </w:rPr>
        <w:t>. The scope and modalities of such participation must therefore be agreed on, when defining the BS policy dialogue process.</w:t>
      </w:r>
      <w:r w:rsidR="003E5076">
        <w:rPr>
          <w:color w:val="002060"/>
        </w:rPr>
        <w:t xml:space="preserve"> The partner government (central or local depending </w:t>
      </w:r>
      <w:proofErr w:type="gramStart"/>
      <w:r w:rsidR="003E5076">
        <w:rPr>
          <w:color w:val="002060"/>
        </w:rPr>
        <w:t>on  the</w:t>
      </w:r>
      <w:proofErr w:type="gramEnd"/>
      <w:r w:rsidR="003E5076">
        <w:rPr>
          <w:color w:val="002060"/>
        </w:rPr>
        <w:t xml:space="preserve"> type of operation) should take a strong lead and coordination. </w:t>
      </w:r>
    </w:p>
    <w:p w:rsidR="00AA33C3" w:rsidRPr="001C0DE3" w:rsidRDefault="00AA33C3" w:rsidP="00AA33C3">
      <w:pPr>
        <w:pStyle w:val="NoSpacing"/>
        <w:jc w:val="both"/>
        <w:rPr>
          <w:color w:val="002060"/>
        </w:rPr>
      </w:pPr>
    </w:p>
    <w:p w:rsidR="00AA33C3" w:rsidRPr="001C0DE3" w:rsidRDefault="00AA33C3" w:rsidP="00AA33C3">
      <w:pPr>
        <w:pStyle w:val="NoSpacing"/>
        <w:jc w:val="both"/>
        <w:rPr>
          <w:color w:val="002060"/>
        </w:rPr>
      </w:pPr>
      <w:r w:rsidRPr="001C0DE3">
        <w:rPr>
          <w:color w:val="002060"/>
        </w:rPr>
        <w:t>Policy dialogue must also be supported by (</w:t>
      </w:r>
      <w:proofErr w:type="spellStart"/>
      <w:r w:rsidRPr="001C0DE3">
        <w:rPr>
          <w:color w:val="002060"/>
        </w:rPr>
        <w:t>i</w:t>
      </w:r>
      <w:proofErr w:type="spellEnd"/>
      <w:r w:rsidRPr="001C0DE3">
        <w:rPr>
          <w:color w:val="002060"/>
        </w:rPr>
        <w:t xml:space="preserve">) a clear understanding of who is doing what among the country’s development partners and (ii) the related establishment of well facilitated donors’ consultative platforms. Ideally these should be two-tiered, with an inner circle involving donors providing Budget Support and a wider one involving all donors supporting </w:t>
      </w:r>
      <w:r w:rsidR="00C45771">
        <w:rPr>
          <w:color w:val="002060"/>
        </w:rPr>
        <w:t>the policy in question</w:t>
      </w:r>
      <w:r w:rsidRPr="001C0DE3">
        <w:rPr>
          <w:color w:val="002060"/>
        </w:rPr>
        <w:t xml:space="preserve">, of which many would be providing project aid. The latter could be useful to bring to bear on the BS policy dialogue, the results of </w:t>
      </w:r>
      <w:r w:rsidR="00C45771">
        <w:rPr>
          <w:color w:val="002060"/>
        </w:rPr>
        <w:t xml:space="preserve">relevant experience </w:t>
      </w:r>
      <w:r w:rsidRPr="001C0DE3">
        <w:rPr>
          <w:color w:val="002060"/>
        </w:rPr>
        <w:t xml:space="preserve">carried out through specific projects.      </w:t>
      </w:r>
    </w:p>
    <w:p w:rsidR="00AA33C3" w:rsidRPr="001C0DE3" w:rsidRDefault="00AA33C3" w:rsidP="00AA33C3">
      <w:pPr>
        <w:pStyle w:val="NoSpacing"/>
        <w:jc w:val="both"/>
        <w:rPr>
          <w:color w:val="002060"/>
        </w:rPr>
      </w:pPr>
    </w:p>
    <w:p w:rsidR="00AA33C3" w:rsidRPr="001C0DE3" w:rsidRDefault="00AA33C3" w:rsidP="00AA33C3">
      <w:pPr>
        <w:pStyle w:val="NoSpacing"/>
        <w:jc w:val="both"/>
        <w:rPr>
          <w:color w:val="002060"/>
        </w:rPr>
      </w:pPr>
      <w:r w:rsidRPr="001C0DE3">
        <w:rPr>
          <w:color w:val="002060"/>
        </w:rPr>
        <w:t xml:space="preserve">With respect to </w:t>
      </w:r>
      <w:r w:rsidRPr="001C0DE3">
        <w:rPr>
          <w:i/>
          <w:color w:val="002060"/>
        </w:rPr>
        <w:t>content</w:t>
      </w:r>
      <w:r w:rsidRPr="001C0DE3">
        <w:rPr>
          <w:color w:val="002060"/>
        </w:rPr>
        <w:t xml:space="preserve">, the policy dialogue should, first and foremost, be informed by a political economy analysis (PEA) of the country’s efforts to decentralize. The purpose is to understand their political drivers, the opportunities that they may open for promoting local autonomy and local development and the political and bureaucratic resistances that they may encounter. </w:t>
      </w:r>
    </w:p>
    <w:p w:rsidR="00AA33C3" w:rsidRPr="00F63090" w:rsidRDefault="00AA33C3" w:rsidP="00AA33C3">
      <w:pPr>
        <w:pStyle w:val="NoSpacing"/>
        <w:jc w:val="both"/>
      </w:pPr>
    </w:p>
    <w:p w:rsidR="00AA33C3" w:rsidRPr="001C0DE3" w:rsidRDefault="00AA33C3" w:rsidP="00AA33C3">
      <w:pPr>
        <w:pStyle w:val="NoSpacing"/>
        <w:jc w:val="both"/>
        <w:rPr>
          <w:color w:val="002060"/>
        </w:rPr>
      </w:pPr>
      <w:r w:rsidRPr="001C0DE3">
        <w:rPr>
          <w:color w:val="002060"/>
        </w:rPr>
        <w:lastRenderedPageBreak/>
        <w:t xml:space="preserve">This should help frame a realistic appreciation of the scope of the proposed policies, and of the extent to which they may contribute to political stability, good local governance, local development and ultimately poverty reduction. </w:t>
      </w:r>
      <w:r w:rsidR="00ED2D3F">
        <w:rPr>
          <w:color w:val="002060"/>
        </w:rPr>
        <w:t xml:space="preserve">Depending on the type and scope of the operation the related policy dialogue may </w:t>
      </w:r>
      <w:r w:rsidRPr="001C0DE3">
        <w:rPr>
          <w:color w:val="002060"/>
        </w:rPr>
        <w:t xml:space="preserve">produce three </w:t>
      </w:r>
      <w:r w:rsidRPr="001C0DE3">
        <w:rPr>
          <w:i/>
          <w:color w:val="002060"/>
        </w:rPr>
        <w:t>distinct</w:t>
      </w:r>
      <w:r w:rsidRPr="001C0DE3">
        <w:rPr>
          <w:color w:val="002060"/>
        </w:rPr>
        <w:t xml:space="preserve"> and </w:t>
      </w:r>
      <w:r w:rsidRPr="001C0DE3">
        <w:rPr>
          <w:i/>
          <w:color w:val="002060"/>
        </w:rPr>
        <w:t>mutually reinforcing</w:t>
      </w:r>
      <w:r w:rsidRPr="001C0DE3">
        <w:rPr>
          <w:color w:val="002060"/>
        </w:rPr>
        <w:t xml:space="preserve"> sets of results:</w:t>
      </w:r>
    </w:p>
    <w:p w:rsidR="00AA33C3" w:rsidRPr="001C0DE3" w:rsidRDefault="00AA33C3" w:rsidP="00AA33C3">
      <w:pPr>
        <w:pStyle w:val="NoSpacing"/>
        <w:jc w:val="both"/>
        <w:rPr>
          <w:color w:val="002060"/>
        </w:rPr>
      </w:pPr>
      <w:r w:rsidRPr="001C0DE3">
        <w:rPr>
          <w:color w:val="002060"/>
        </w:rPr>
        <w:t xml:space="preserve"> </w:t>
      </w:r>
    </w:p>
    <w:p w:rsidR="00AA33C3" w:rsidRPr="001C0DE3" w:rsidRDefault="00AA33C3" w:rsidP="007B70FF">
      <w:pPr>
        <w:pStyle w:val="NoSpacing"/>
        <w:numPr>
          <w:ilvl w:val="0"/>
          <w:numId w:val="8"/>
        </w:numPr>
        <w:jc w:val="both"/>
        <w:rPr>
          <w:color w:val="002060"/>
        </w:rPr>
      </w:pPr>
      <w:r w:rsidRPr="001C0DE3">
        <w:rPr>
          <w:color w:val="002060"/>
        </w:rPr>
        <w:t xml:space="preserve">Improve the </w:t>
      </w:r>
      <w:r w:rsidRPr="001C0DE3">
        <w:rPr>
          <w:i/>
          <w:color w:val="002060"/>
        </w:rPr>
        <w:t>policy, constitutional, legal and regulatory framework</w:t>
      </w:r>
      <w:r w:rsidRPr="001C0DE3">
        <w:rPr>
          <w:color w:val="002060"/>
        </w:rPr>
        <w:t xml:space="preserve"> within which autonomous and accountable local authorities may be able to operate. This may include formulating/revising national decentralization policies and strategies, undertaking constitutional revisions, developing Local Authorities’ organic legislation, and related detailed regulations. </w:t>
      </w:r>
    </w:p>
    <w:p w:rsidR="00AA33C3" w:rsidRPr="001C0DE3" w:rsidRDefault="00AA33C3" w:rsidP="007B70FF">
      <w:pPr>
        <w:pStyle w:val="NoSpacing"/>
        <w:numPr>
          <w:ilvl w:val="0"/>
          <w:numId w:val="8"/>
        </w:numPr>
        <w:jc w:val="both"/>
        <w:rPr>
          <w:color w:val="002060"/>
        </w:rPr>
      </w:pPr>
      <w:r w:rsidRPr="001C0DE3">
        <w:rPr>
          <w:color w:val="002060"/>
        </w:rPr>
        <w:t xml:space="preserve">Improve the </w:t>
      </w:r>
      <w:r w:rsidRPr="001C0DE3">
        <w:rPr>
          <w:i/>
          <w:color w:val="002060"/>
        </w:rPr>
        <w:t>institutions of sub-national governance and public administration</w:t>
      </w:r>
      <w:r w:rsidRPr="001C0DE3">
        <w:rPr>
          <w:color w:val="002060"/>
        </w:rPr>
        <w:t xml:space="preserve">, to fulfill the potential developmental role of Local Authorities, under given constitutional and legal frameworks. This may include building the local policy-making and implementation institutions (organizations and procedures of local deliberative bodies and administrations). At the outset, priority is given to improving local resources management (planning, programming, budgeting, procurement, accounting, auditing). </w:t>
      </w:r>
    </w:p>
    <w:p w:rsidR="00AA33C3" w:rsidRPr="001C0DE3" w:rsidRDefault="00AA33C3" w:rsidP="00983E4B">
      <w:pPr>
        <w:pStyle w:val="NoSpacing"/>
        <w:numPr>
          <w:ilvl w:val="0"/>
          <w:numId w:val="8"/>
        </w:numPr>
        <w:spacing w:after="120"/>
        <w:jc w:val="both"/>
        <w:rPr>
          <w:color w:val="002060"/>
        </w:rPr>
      </w:pPr>
      <w:r w:rsidRPr="001C0DE3">
        <w:rPr>
          <w:color w:val="002060"/>
        </w:rPr>
        <w:t xml:space="preserve">Improve </w:t>
      </w:r>
      <w:r w:rsidRPr="001C0DE3">
        <w:rPr>
          <w:i/>
          <w:color w:val="002060"/>
        </w:rPr>
        <w:t>sector development outcomes</w:t>
      </w:r>
      <w:r w:rsidRPr="001C0DE3">
        <w:rPr>
          <w:color w:val="002060"/>
        </w:rPr>
        <w:t>, through better resourced and more capable local authorities. This include empowering Local authorities to both (</w:t>
      </w:r>
      <w:proofErr w:type="spellStart"/>
      <w:r w:rsidRPr="001C0DE3">
        <w:rPr>
          <w:color w:val="002060"/>
        </w:rPr>
        <w:t>i</w:t>
      </w:r>
      <w:proofErr w:type="spellEnd"/>
      <w:r w:rsidRPr="001C0DE3">
        <w:rPr>
          <w:color w:val="002060"/>
        </w:rPr>
        <w:t>) “localize” and implement national sector programs and (ii) deliver their own local development policies. The aim is both to improve the efficiency of national sector programs in the locality, and to mobilize additional local resources for investments in local economic development (LED) and other local priorities</w:t>
      </w:r>
      <w:r w:rsidR="008738D4">
        <w:rPr>
          <w:color w:val="002060"/>
        </w:rPr>
        <w:t xml:space="preserve">. </w:t>
      </w:r>
    </w:p>
    <w:p w:rsidR="001D23B9" w:rsidRPr="001C0DE3" w:rsidRDefault="001D23B9" w:rsidP="00983E4B">
      <w:pPr>
        <w:pStyle w:val="NoSpacing"/>
        <w:spacing w:after="120"/>
        <w:jc w:val="both"/>
        <w:rPr>
          <w:color w:val="002060"/>
        </w:rPr>
      </w:pPr>
      <w:r w:rsidRPr="001C0DE3">
        <w:rPr>
          <w:color w:val="002060"/>
        </w:rPr>
        <w:t>It</w:t>
      </w:r>
      <w:r w:rsidR="00A66992">
        <w:rPr>
          <w:color w:val="002060"/>
        </w:rPr>
        <w:t xml:space="preserve"> i</w:t>
      </w:r>
      <w:r w:rsidRPr="001C0DE3">
        <w:rPr>
          <w:color w:val="002060"/>
        </w:rPr>
        <w:t xml:space="preserve">s important to note that the three above categories of results, while hierarchically connected, are individually affected by different dynamics and timeframes. </w:t>
      </w:r>
      <w:r w:rsidR="00A66992">
        <w:rPr>
          <w:color w:val="002060"/>
        </w:rPr>
        <w:t xml:space="preserve">Even if there is lack of progress in one category of results often it may still be possible to advance on other areas. </w:t>
      </w:r>
      <w:r w:rsidRPr="001C0DE3">
        <w:rPr>
          <w:color w:val="002060"/>
        </w:rPr>
        <w:t>Indeed, although the legal framework sets the boundaries for local-level institutional development, there may be some space for improving local political deliberations and local resources management institutions, within such boundaries. Similarly there may be some space for empowering local authorities to deliver local development, within an existing, and not entirely satisfactory, set of institutions and capacities. Recognizing this may actually lead to a more realistic and effective dialogue on policies</w:t>
      </w:r>
      <w:r w:rsidR="00A66992">
        <w:rPr>
          <w:color w:val="002060"/>
        </w:rPr>
        <w:t xml:space="preserve"> in decentralized contexts</w:t>
      </w:r>
      <w:r w:rsidRPr="001C0DE3">
        <w:rPr>
          <w:color w:val="002060"/>
        </w:rPr>
        <w:t>.</w:t>
      </w:r>
    </w:p>
    <w:p w:rsidR="003E5076" w:rsidRDefault="003E5076" w:rsidP="00983E4B">
      <w:pPr>
        <w:pStyle w:val="NoSpacing"/>
        <w:spacing w:after="120"/>
        <w:jc w:val="both"/>
        <w:rPr>
          <w:color w:val="002060"/>
        </w:rPr>
      </w:pPr>
      <w:r>
        <w:rPr>
          <w:color w:val="002060"/>
        </w:rPr>
        <w:t xml:space="preserve">Specific guidance on policy dialogue in budget support operations is currently being elaborated </w:t>
      </w:r>
      <w:r w:rsidR="00ED2D3F">
        <w:rPr>
          <w:color w:val="002060"/>
        </w:rPr>
        <w:t xml:space="preserve">in the form of </w:t>
      </w:r>
      <w:r>
        <w:rPr>
          <w:color w:val="002060"/>
        </w:rPr>
        <w:t xml:space="preserve">an annex to the budget support guidelines. Given the multidimensional and transversal nature of policy dialogue in the framework of budget support in decentralized contexts there </w:t>
      </w:r>
      <w:r w:rsidR="00ED2D3F">
        <w:rPr>
          <w:color w:val="002060"/>
        </w:rPr>
        <w:t xml:space="preserve">has to be </w:t>
      </w:r>
      <w:r>
        <w:rPr>
          <w:color w:val="002060"/>
        </w:rPr>
        <w:t xml:space="preserve">close cooperation </w:t>
      </w:r>
      <w:r w:rsidR="00ED2D3F">
        <w:rPr>
          <w:color w:val="002060"/>
        </w:rPr>
        <w:t xml:space="preserve">among the different </w:t>
      </w:r>
      <w:r>
        <w:rPr>
          <w:color w:val="002060"/>
        </w:rPr>
        <w:t>sections in Delegations a</w:t>
      </w:r>
      <w:r w:rsidR="00ED2D3F">
        <w:rPr>
          <w:color w:val="002060"/>
        </w:rPr>
        <w:t xml:space="preserve">s well as </w:t>
      </w:r>
      <w:r>
        <w:rPr>
          <w:color w:val="002060"/>
        </w:rPr>
        <w:t>systematic plan</w:t>
      </w:r>
      <w:r w:rsidR="00ED2D3F">
        <w:rPr>
          <w:color w:val="002060"/>
        </w:rPr>
        <w:t>ning</w:t>
      </w:r>
      <w:r>
        <w:rPr>
          <w:color w:val="002060"/>
        </w:rPr>
        <w:t xml:space="preserve"> and clear document</w:t>
      </w:r>
      <w:r w:rsidR="00ED2D3F">
        <w:rPr>
          <w:color w:val="002060"/>
        </w:rPr>
        <w:t xml:space="preserve">ation of </w:t>
      </w:r>
      <w:r>
        <w:rPr>
          <w:color w:val="002060"/>
        </w:rPr>
        <w:t xml:space="preserve">results of the policy dialogue in order to create and preserve institutional memory. </w:t>
      </w:r>
    </w:p>
    <w:tbl>
      <w:tblPr>
        <w:tblStyle w:val="TableGrid"/>
        <w:tblW w:w="0" w:type="auto"/>
        <w:tblLook w:val="04A0" w:firstRow="1" w:lastRow="0" w:firstColumn="1" w:lastColumn="0" w:noHBand="0" w:noVBand="1"/>
      </w:tblPr>
      <w:tblGrid>
        <w:gridCol w:w="10220"/>
      </w:tblGrid>
      <w:tr w:rsidR="00983E4B" w:rsidTr="00BC491A">
        <w:tc>
          <w:tcPr>
            <w:tcW w:w="10220" w:type="dxa"/>
            <w:shd w:val="clear" w:color="auto" w:fill="EEECE1" w:themeFill="background2"/>
          </w:tcPr>
          <w:p w:rsidR="00983E4B" w:rsidRPr="00326516" w:rsidRDefault="00983E4B" w:rsidP="00BC491A">
            <w:pPr>
              <w:pStyle w:val="NormalWeb"/>
              <w:spacing w:before="0" w:beforeAutospacing="0" w:after="120" w:afterAutospacing="0"/>
              <w:rPr>
                <w:rFonts w:asciiTheme="minorHAnsi" w:hAnsiTheme="minorHAnsi"/>
                <w:b/>
                <w:color w:val="002060"/>
                <w:sz w:val="22"/>
                <w:szCs w:val="22"/>
              </w:rPr>
            </w:pPr>
            <w:r w:rsidRPr="00326516">
              <w:rPr>
                <w:rFonts w:asciiTheme="minorHAnsi" w:hAnsiTheme="minorHAnsi"/>
                <w:b/>
                <w:color w:val="002060"/>
                <w:sz w:val="22"/>
                <w:szCs w:val="22"/>
              </w:rPr>
              <w:t xml:space="preserve">Box 3: Dominican Republic: Multi-actor policy dialogue informed by a sound monitoring system at local level  </w:t>
            </w:r>
          </w:p>
          <w:p w:rsidR="00983E4B" w:rsidRPr="00326516" w:rsidRDefault="00983E4B" w:rsidP="00BC491A">
            <w:pPr>
              <w:pStyle w:val="NormalWeb"/>
              <w:spacing w:before="0" w:beforeAutospacing="0" w:after="120" w:afterAutospacing="0"/>
              <w:jc w:val="both"/>
              <w:rPr>
                <w:rFonts w:asciiTheme="minorHAnsi" w:hAnsiTheme="minorHAnsi"/>
                <w:color w:val="002060"/>
                <w:sz w:val="22"/>
                <w:szCs w:val="22"/>
              </w:rPr>
            </w:pPr>
            <w:r w:rsidRPr="00326516">
              <w:rPr>
                <w:rFonts w:asciiTheme="minorHAnsi" w:hAnsiTheme="minorHAnsi"/>
                <w:color w:val="002060"/>
                <w:sz w:val="22"/>
                <w:szCs w:val="22"/>
              </w:rPr>
              <w:t>The PASCAL Program (2012-2017) was initially designed as a Sector Reform Contract (SRC-14M€) to support a national policy aimed at reforming municipal administration in the DR, particularly with regard to the management of human resources. The creative way in which the various budget support inputs were used (i.e. the performance assessment framework, policy dialogue, capacity development, complementary measures) made it possible to unleash much broader change dynamics. It transformed this financial support for managerial improvements into a domestic process of reviewing in an iterative manner the overall performance of municipalities in the wider intergovernmental ‘system’ with all actors and stakeholders concerned.</w:t>
            </w:r>
          </w:p>
          <w:p w:rsidR="00983E4B" w:rsidRPr="00326516" w:rsidRDefault="00983E4B" w:rsidP="00BC491A">
            <w:pPr>
              <w:pStyle w:val="NormalWeb"/>
              <w:spacing w:before="0" w:beforeAutospacing="0" w:after="120" w:afterAutospacing="0"/>
              <w:jc w:val="both"/>
              <w:rPr>
                <w:color w:val="002060"/>
              </w:rPr>
            </w:pPr>
            <w:r w:rsidRPr="00326516">
              <w:rPr>
                <w:rFonts w:asciiTheme="minorHAnsi" w:hAnsiTheme="minorHAnsi"/>
                <w:color w:val="002060"/>
                <w:sz w:val="22"/>
                <w:szCs w:val="22"/>
              </w:rPr>
              <w:t xml:space="preserve">Four factors explain this broader impact. First, right from the outset the policy dialogue was embedded in domestic policy and dialogue processes involving both the ‘supply-side’ organisations (i.e. the Ministry of the Public Administration, different directorates providing technical backstopping) and the ‘demand side’ (i.e. a network of civil society associations and the Association of local authorities, supported through complementary measures). Second, the policy dialogue is nurtured with empirical evidence provided by the SISMAP Municipal </w:t>
            </w:r>
            <w:r w:rsidRPr="00326516">
              <w:rPr>
                <w:rFonts w:asciiTheme="minorHAnsi" w:hAnsiTheme="minorHAnsi"/>
                <w:color w:val="002060"/>
                <w:sz w:val="22"/>
                <w:szCs w:val="22"/>
              </w:rPr>
              <w:lastRenderedPageBreak/>
              <w:t xml:space="preserve">(a software tool for monitoring the performance of municipalities against different criteria). This tool soon transformed the nature and scope of the programme as it brought to the floor </w:t>
            </w:r>
            <w:r w:rsidRPr="00326516">
              <w:rPr>
                <w:rFonts w:asciiTheme="minorHAnsi" w:hAnsiTheme="minorHAnsi"/>
                <w:i/>
                <w:color w:val="002060"/>
                <w:sz w:val="22"/>
                <w:szCs w:val="22"/>
                <w:u w:val="single"/>
              </w:rPr>
              <w:t>all</w:t>
            </w:r>
            <w:r w:rsidRPr="00326516">
              <w:rPr>
                <w:rFonts w:asciiTheme="minorHAnsi" w:hAnsiTheme="minorHAnsi"/>
                <w:color w:val="002060"/>
                <w:sz w:val="22"/>
                <w:szCs w:val="22"/>
              </w:rPr>
              <w:t xml:space="preserve"> the factors that affect the performance of DR municipalities (beyond the issue of human resources) and to feed this back into the multi-actor domestic dialogue process. It was thus discovered that many weaknesses at municipal level find their origin in the wider intergovernmental system or in inadequate central procedures (e.g. regarding procurement). Third, the EUD staff in charge played an effective role as trusted facilitator and broker of compromises to move forward the process in an inclusive and transparent way. Fourth, PASCAL invested in innovative communication to socialise the content and potential impact of the reform supported for the day-to-day life of citizens. </w:t>
            </w:r>
          </w:p>
        </w:tc>
      </w:tr>
    </w:tbl>
    <w:p w:rsidR="00026070" w:rsidRDefault="00026070" w:rsidP="00AA33C3">
      <w:pPr>
        <w:pStyle w:val="NoSpacing"/>
        <w:jc w:val="both"/>
        <w:rPr>
          <w:color w:val="002060"/>
        </w:rPr>
      </w:pPr>
    </w:p>
    <w:p w:rsidR="00AA33C3" w:rsidRPr="00DD15F8" w:rsidRDefault="00AA33C3" w:rsidP="00AA33C3">
      <w:pPr>
        <w:rPr>
          <w:b/>
          <w:color w:val="0070C0"/>
          <w:sz w:val="28"/>
        </w:rPr>
      </w:pPr>
      <w:r w:rsidRPr="009E3A96">
        <w:rPr>
          <w:b/>
          <w:color w:val="0070C0"/>
          <w:sz w:val="28"/>
        </w:rPr>
        <w:t>Financial Transfers</w:t>
      </w:r>
    </w:p>
    <w:p w:rsidR="00AA33C3" w:rsidRPr="001C0DE3" w:rsidRDefault="00AA33C3" w:rsidP="00AA33C3">
      <w:pPr>
        <w:pStyle w:val="NoSpacing"/>
        <w:jc w:val="both"/>
        <w:rPr>
          <w:color w:val="002060"/>
        </w:rPr>
      </w:pPr>
      <w:r w:rsidRPr="001C0DE3">
        <w:rPr>
          <w:color w:val="002060"/>
        </w:rPr>
        <w:t xml:space="preserve">All </w:t>
      </w:r>
      <w:r w:rsidRPr="001C0DE3">
        <w:rPr>
          <w:rFonts w:eastAsia="Times New Roman"/>
          <w:color w:val="002060"/>
          <w:lang w:eastAsia="ar-SA"/>
        </w:rPr>
        <w:t xml:space="preserve">EU budget support operations (including those </w:t>
      </w:r>
      <w:r w:rsidR="00C45771">
        <w:rPr>
          <w:rFonts w:eastAsia="Times New Roman"/>
          <w:color w:val="002060"/>
          <w:lang w:eastAsia="ar-SA"/>
        </w:rPr>
        <w:t>in decentralized contexts</w:t>
      </w:r>
      <w:r w:rsidRPr="001C0DE3">
        <w:rPr>
          <w:rFonts w:eastAsia="Times New Roman"/>
          <w:color w:val="002060"/>
          <w:lang w:eastAsia="ar-SA"/>
        </w:rPr>
        <w:t xml:space="preserve">) involve the transfer of financial resources </w:t>
      </w:r>
      <w:r w:rsidRPr="001C0DE3">
        <w:rPr>
          <w:i/>
          <w:color w:val="002060"/>
        </w:rPr>
        <w:t xml:space="preserve">to the </w:t>
      </w:r>
      <w:r w:rsidR="00C44221">
        <w:rPr>
          <w:i/>
          <w:color w:val="002060"/>
        </w:rPr>
        <w:t>General budget (</w:t>
      </w:r>
      <w:r w:rsidRPr="001C0DE3">
        <w:rPr>
          <w:i/>
          <w:color w:val="002060"/>
        </w:rPr>
        <w:t>National Treasury</w:t>
      </w:r>
      <w:r w:rsidR="00C44221">
        <w:rPr>
          <w:i/>
          <w:color w:val="002060"/>
        </w:rPr>
        <w:t>)</w:t>
      </w:r>
      <w:r w:rsidRPr="001C0DE3">
        <w:rPr>
          <w:i/>
          <w:color w:val="002060"/>
        </w:rPr>
        <w:t xml:space="preserve"> of a partner country, following the respect by the latter of agreed conditions for payment</w:t>
      </w:r>
      <w:r w:rsidRPr="001C0DE3">
        <w:rPr>
          <w:color w:val="002060"/>
        </w:rPr>
        <w:t xml:space="preserve">. </w:t>
      </w:r>
    </w:p>
    <w:p w:rsidR="00AA33C3" w:rsidRPr="001C0DE3" w:rsidRDefault="00AA33C3" w:rsidP="00AA33C3">
      <w:pPr>
        <w:pStyle w:val="NoSpacing"/>
        <w:jc w:val="both"/>
        <w:rPr>
          <w:color w:val="002060"/>
        </w:rPr>
      </w:pPr>
    </w:p>
    <w:p w:rsidR="00AA33C3" w:rsidRPr="001C0DE3" w:rsidRDefault="00AA33C3" w:rsidP="00AA33C3">
      <w:pPr>
        <w:pStyle w:val="NoSpacing"/>
        <w:jc w:val="both"/>
        <w:rPr>
          <w:color w:val="002060"/>
        </w:rPr>
      </w:pPr>
      <w:r w:rsidRPr="001C0DE3">
        <w:rPr>
          <w:color w:val="002060"/>
        </w:rPr>
        <w:t xml:space="preserve">Yet, </w:t>
      </w:r>
      <w:r w:rsidR="00C44221">
        <w:rPr>
          <w:color w:val="002060"/>
        </w:rPr>
        <w:t xml:space="preserve">a </w:t>
      </w:r>
      <w:r w:rsidRPr="001C0DE3">
        <w:rPr>
          <w:color w:val="002060"/>
        </w:rPr>
        <w:t xml:space="preserve">substantial share of </w:t>
      </w:r>
      <w:r w:rsidR="00C44221">
        <w:rPr>
          <w:color w:val="002060"/>
        </w:rPr>
        <w:t xml:space="preserve">the national budget </w:t>
      </w:r>
      <w:r w:rsidRPr="001C0DE3">
        <w:rPr>
          <w:color w:val="002060"/>
        </w:rPr>
        <w:t>is meant to end up on the revenue side of Local Authorities’ budgets</w:t>
      </w:r>
      <w:r w:rsidR="00C44221">
        <w:rPr>
          <w:color w:val="002060"/>
        </w:rPr>
        <w:t xml:space="preserve"> to enable them to assume their developmental responsibilities</w:t>
      </w:r>
      <w:r w:rsidRPr="001C0DE3">
        <w:rPr>
          <w:color w:val="002060"/>
        </w:rPr>
        <w:t xml:space="preserve">. In practice, </w:t>
      </w:r>
      <w:r w:rsidR="00C44221">
        <w:rPr>
          <w:color w:val="002060"/>
        </w:rPr>
        <w:t>national budget systems may foresee different types of financial transfers</w:t>
      </w:r>
      <w:r w:rsidRPr="001C0DE3">
        <w:rPr>
          <w:color w:val="002060"/>
        </w:rPr>
        <w:t>:</w:t>
      </w:r>
    </w:p>
    <w:p w:rsidR="00AA33C3" w:rsidRPr="001C0DE3" w:rsidRDefault="00AA33C3" w:rsidP="00AA33C3">
      <w:pPr>
        <w:pStyle w:val="NoSpacing"/>
        <w:jc w:val="both"/>
        <w:rPr>
          <w:color w:val="002060"/>
        </w:rPr>
      </w:pPr>
    </w:p>
    <w:p w:rsidR="00AA33C3" w:rsidRPr="001C0DE3" w:rsidRDefault="00AA33C3" w:rsidP="007B70FF">
      <w:pPr>
        <w:pStyle w:val="NoSpacing"/>
        <w:numPr>
          <w:ilvl w:val="0"/>
          <w:numId w:val="9"/>
        </w:numPr>
        <w:jc w:val="both"/>
        <w:rPr>
          <w:color w:val="002060"/>
        </w:rPr>
      </w:pPr>
      <w:r w:rsidRPr="001C0DE3">
        <w:rPr>
          <w:i/>
          <w:color w:val="002060"/>
        </w:rPr>
        <w:t>General-purpose, fiscal transfer mechanisms</w:t>
      </w:r>
      <w:r w:rsidRPr="001C0DE3">
        <w:rPr>
          <w:color w:val="002060"/>
        </w:rPr>
        <w:t xml:space="preserve">, which, adding to own source revenue, enable Local Authorities to operationalize their </w:t>
      </w:r>
      <w:r w:rsidRPr="001C0DE3">
        <w:rPr>
          <w:i/>
          <w:color w:val="002060"/>
        </w:rPr>
        <w:t>general mandate</w:t>
      </w:r>
      <w:r w:rsidRPr="001C0DE3">
        <w:rPr>
          <w:color w:val="002060"/>
        </w:rPr>
        <w:t xml:space="preserve"> for the welfare of their constituencies and undertake autonomous processes of local development planning and financing. </w:t>
      </w:r>
    </w:p>
    <w:p w:rsidR="00AC2DD4" w:rsidRDefault="00AA33C3" w:rsidP="007B70FF">
      <w:pPr>
        <w:pStyle w:val="NoSpacing"/>
        <w:numPr>
          <w:ilvl w:val="0"/>
          <w:numId w:val="9"/>
        </w:numPr>
        <w:jc w:val="both"/>
        <w:rPr>
          <w:color w:val="002060"/>
        </w:rPr>
      </w:pPr>
      <w:r w:rsidRPr="00AC2DD4">
        <w:rPr>
          <w:i/>
          <w:color w:val="002060"/>
        </w:rPr>
        <w:t>Purpose-specific, conditional, and/or matching transfer mechanisms</w:t>
      </w:r>
      <w:r w:rsidRPr="00AC2DD4">
        <w:rPr>
          <w:color w:val="002060"/>
        </w:rPr>
        <w:t xml:space="preserve">, providing means and incentives for Local Authorities to carry out </w:t>
      </w:r>
      <w:r w:rsidRPr="00AC2DD4">
        <w:rPr>
          <w:i/>
          <w:color w:val="002060"/>
        </w:rPr>
        <w:t>specific functions</w:t>
      </w:r>
      <w:r w:rsidRPr="00AC2DD4">
        <w:rPr>
          <w:color w:val="002060"/>
        </w:rPr>
        <w:t xml:space="preserve"> (administrative or services delivery)</w:t>
      </w:r>
      <w:r w:rsidR="00575409" w:rsidRPr="00AC2DD4">
        <w:rPr>
          <w:color w:val="002060"/>
        </w:rPr>
        <w:t xml:space="preserve">, that might be devolved </w:t>
      </w:r>
      <w:r w:rsidR="00AC2DD4">
        <w:rPr>
          <w:color w:val="002060"/>
        </w:rPr>
        <w:t xml:space="preserve">to them; </w:t>
      </w:r>
    </w:p>
    <w:p w:rsidR="00AC2DD4" w:rsidRPr="001C0DE3" w:rsidRDefault="00AC2DD4" w:rsidP="007B70FF">
      <w:pPr>
        <w:pStyle w:val="NoSpacing"/>
        <w:numPr>
          <w:ilvl w:val="0"/>
          <w:numId w:val="9"/>
        </w:numPr>
        <w:jc w:val="both"/>
        <w:rPr>
          <w:color w:val="002060"/>
        </w:rPr>
      </w:pPr>
      <w:r w:rsidRPr="001C0DE3">
        <w:rPr>
          <w:i/>
          <w:color w:val="002060"/>
        </w:rPr>
        <w:t>Financial transfer mechanisms associated with a variety of “contractual” agreements</w:t>
      </w:r>
      <w:r w:rsidRPr="001C0DE3">
        <w:rPr>
          <w:color w:val="002060"/>
        </w:rPr>
        <w:t xml:space="preserve"> between national and local authorities whose scope may range from (</w:t>
      </w:r>
      <w:proofErr w:type="spellStart"/>
      <w:r w:rsidRPr="001C0DE3">
        <w:rPr>
          <w:color w:val="002060"/>
        </w:rPr>
        <w:t>i</w:t>
      </w:r>
      <w:proofErr w:type="spellEnd"/>
      <w:r w:rsidRPr="001C0DE3">
        <w:rPr>
          <w:color w:val="002060"/>
        </w:rPr>
        <w:t>) the delegation to local authorities of the implementation of specific national programs or components thereof, to (ii) the establishment of broader “</w:t>
      </w:r>
      <w:r w:rsidRPr="001C0DE3">
        <w:rPr>
          <w:i/>
          <w:color w:val="002060"/>
        </w:rPr>
        <w:t>local development contracts</w:t>
      </w:r>
      <w:r w:rsidRPr="001C0DE3">
        <w:rPr>
          <w:color w:val="002060"/>
        </w:rPr>
        <w:t xml:space="preserve">” through which territorial development strategies developed and managed by local authorities are co-financed </w:t>
      </w:r>
      <w:r w:rsidR="00263EBA">
        <w:rPr>
          <w:color w:val="002060"/>
        </w:rPr>
        <w:t xml:space="preserve">by the </w:t>
      </w:r>
      <w:r w:rsidRPr="001C0DE3">
        <w:rPr>
          <w:color w:val="002060"/>
        </w:rPr>
        <w:t>central</w:t>
      </w:r>
      <w:r w:rsidR="00263EBA">
        <w:rPr>
          <w:color w:val="002060"/>
        </w:rPr>
        <w:t xml:space="preserve"> level</w:t>
      </w:r>
      <w:r w:rsidRPr="001C0DE3">
        <w:rPr>
          <w:color w:val="002060"/>
        </w:rPr>
        <w:t xml:space="preserve">. These mechanisms have the potential to both effectively “localize” </w:t>
      </w:r>
      <w:r w:rsidRPr="001C0DE3">
        <w:rPr>
          <w:i/>
          <w:color w:val="002060"/>
        </w:rPr>
        <w:t xml:space="preserve">national </w:t>
      </w:r>
      <w:r w:rsidRPr="001C0DE3">
        <w:rPr>
          <w:color w:val="002060"/>
        </w:rPr>
        <w:t xml:space="preserve">development goals and give national visibility and support to </w:t>
      </w:r>
      <w:r w:rsidRPr="001C0DE3">
        <w:rPr>
          <w:i/>
          <w:color w:val="002060"/>
        </w:rPr>
        <w:t>local</w:t>
      </w:r>
      <w:r w:rsidRPr="001C0DE3">
        <w:rPr>
          <w:color w:val="002060"/>
        </w:rPr>
        <w:t xml:space="preserve"> development strategies, thus building effective inter-governmental “</w:t>
      </w:r>
      <w:r w:rsidRPr="001C0DE3">
        <w:rPr>
          <w:i/>
          <w:color w:val="002060"/>
        </w:rPr>
        <w:t>partnerships for development</w:t>
      </w:r>
      <w:r w:rsidRPr="001C0DE3">
        <w:rPr>
          <w:color w:val="002060"/>
        </w:rPr>
        <w:t>”.</w:t>
      </w:r>
    </w:p>
    <w:p w:rsidR="00AC2DD4" w:rsidRPr="001C0DE3" w:rsidRDefault="00AC2DD4" w:rsidP="00AC2DD4">
      <w:pPr>
        <w:pStyle w:val="NoSpacing"/>
        <w:jc w:val="both"/>
        <w:rPr>
          <w:color w:val="002060"/>
        </w:rPr>
      </w:pPr>
      <w:r w:rsidRPr="001C0DE3">
        <w:rPr>
          <w:color w:val="002060"/>
        </w:rPr>
        <w:t xml:space="preserve"> </w:t>
      </w:r>
    </w:p>
    <w:p w:rsidR="00AC2DD4" w:rsidRPr="00983E4B" w:rsidRDefault="00AC2DD4" w:rsidP="00DB549F">
      <w:pPr>
        <w:pStyle w:val="NoSpacing"/>
        <w:jc w:val="both"/>
        <w:rPr>
          <w:color w:val="002060"/>
        </w:rPr>
      </w:pPr>
      <w:r w:rsidRPr="00983E4B">
        <w:rPr>
          <w:color w:val="002060"/>
        </w:rPr>
        <w:t>Contractual arrangements are different from the two other categories (general purpose and purpose-specific) on the following grounds:</w:t>
      </w:r>
    </w:p>
    <w:p w:rsidR="00AC2DD4" w:rsidRPr="00983E4B" w:rsidRDefault="00AC2DD4" w:rsidP="00DB549F">
      <w:pPr>
        <w:pStyle w:val="NoSpacing"/>
        <w:jc w:val="both"/>
        <w:rPr>
          <w:color w:val="002060"/>
        </w:rPr>
      </w:pPr>
    </w:p>
    <w:p w:rsidR="00AC2DD4" w:rsidRPr="00983E4B" w:rsidRDefault="00AC2DD4" w:rsidP="007B70FF">
      <w:pPr>
        <w:pStyle w:val="ListParagraph"/>
        <w:numPr>
          <w:ilvl w:val="0"/>
          <w:numId w:val="33"/>
        </w:numPr>
        <w:spacing w:after="0" w:line="240" w:lineRule="auto"/>
        <w:ind w:left="426"/>
        <w:contextualSpacing w:val="0"/>
        <w:rPr>
          <w:color w:val="002060"/>
        </w:rPr>
      </w:pPr>
      <w:r w:rsidRPr="00983E4B">
        <w:rPr>
          <w:color w:val="002060"/>
        </w:rPr>
        <w:t xml:space="preserve">The two first categories are regular transfers that accrue in principal to all LA by virtue of a </w:t>
      </w:r>
      <w:r w:rsidRPr="00983E4B">
        <w:rPr>
          <w:color w:val="002060"/>
          <w:u w:val="single"/>
        </w:rPr>
        <w:t>legislative or equivalent act</w:t>
      </w:r>
      <w:r w:rsidRPr="00983E4B">
        <w:rPr>
          <w:color w:val="002060"/>
        </w:rPr>
        <w:t xml:space="preserve">; they are meant to be </w:t>
      </w:r>
      <w:r w:rsidRPr="00983E4B">
        <w:rPr>
          <w:color w:val="002060"/>
          <w:u w:val="single"/>
        </w:rPr>
        <w:t>permanent</w:t>
      </w:r>
      <w:r w:rsidRPr="00983E4B">
        <w:rPr>
          <w:color w:val="002060"/>
        </w:rPr>
        <w:t xml:space="preserve"> (although the purpose-specific could be limited in time); and </w:t>
      </w:r>
      <w:r w:rsidRPr="00983E4B">
        <w:rPr>
          <w:color w:val="002060"/>
          <w:u w:val="single"/>
        </w:rPr>
        <w:t>relate to devolved spending responsibilities</w:t>
      </w:r>
      <w:r w:rsidRPr="00983E4B">
        <w:rPr>
          <w:color w:val="002060"/>
        </w:rPr>
        <w:t xml:space="preserve"> (general mandate and/or specific functions); while</w:t>
      </w:r>
    </w:p>
    <w:p w:rsidR="00AC2DD4" w:rsidRPr="00983E4B" w:rsidRDefault="00AC2DD4" w:rsidP="007B70FF">
      <w:pPr>
        <w:pStyle w:val="ListParagraph"/>
        <w:numPr>
          <w:ilvl w:val="0"/>
          <w:numId w:val="33"/>
        </w:numPr>
        <w:spacing w:after="0" w:line="240" w:lineRule="auto"/>
        <w:ind w:left="426"/>
        <w:contextualSpacing w:val="0"/>
        <w:rPr>
          <w:color w:val="002060"/>
        </w:rPr>
      </w:pPr>
      <w:r w:rsidRPr="00983E4B">
        <w:rPr>
          <w:color w:val="002060"/>
        </w:rPr>
        <w:t xml:space="preserve">The </w:t>
      </w:r>
      <w:r w:rsidRPr="00983E4B">
        <w:rPr>
          <w:color w:val="002060"/>
          <w:u w:val="single"/>
        </w:rPr>
        <w:t xml:space="preserve">contractual transfers </w:t>
      </w:r>
      <w:r w:rsidRPr="00983E4B">
        <w:rPr>
          <w:color w:val="002060"/>
        </w:rPr>
        <w:t xml:space="preserve">are, in general, </w:t>
      </w:r>
      <w:r w:rsidRPr="00983E4B">
        <w:rPr>
          <w:color w:val="002060"/>
          <w:u w:val="single"/>
        </w:rPr>
        <w:t>temporary arrangements</w:t>
      </w:r>
      <w:r w:rsidRPr="00983E4B">
        <w:rPr>
          <w:color w:val="002060"/>
        </w:rPr>
        <w:t xml:space="preserve"> based on </w:t>
      </w:r>
      <w:r w:rsidRPr="00983E4B">
        <w:rPr>
          <w:color w:val="002060"/>
          <w:u w:val="single"/>
        </w:rPr>
        <w:t>formal voluntary contracts (not legislative or regulatory acts</w:t>
      </w:r>
      <w:r w:rsidRPr="00983E4B">
        <w:rPr>
          <w:color w:val="002060"/>
        </w:rPr>
        <w:t xml:space="preserve">) agreed between a LA and either a </w:t>
      </w:r>
      <w:proofErr w:type="spellStart"/>
      <w:r w:rsidRPr="00983E4B">
        <w:rPr>
          <w:color w:val="002060"/>
        </w:rPr>
        <w:t>sectoral</w:t>
      </w:r>
      <w:proofErr w:type="spellEnd"/>
      <w:r w:rsidRPr="00983E4B">
        <w:rPr>
          <w:color w:val="002060"/>
        </w:rPr>
        <w:t xml:space="preserve"> ministry (in this case, the ministry delegates to LA the implementation of well-defined tasks as part of a </w:t>
      </w:r>
      <w:proofErr w:type="spellStart"/>
      <w:r w:rsidRPr="00983E4B">
        <w:rPr>
          <w:color w:val="002060"/>
        </w:rPr>
        <w:t>sectoral</w:t>
      </w:r>
      <w:proofErr w:type="spellEnd"/>
      <w:r w:rsidRPr="00983E4B">
        <w:rPr>
          <w:color w:val="002060"/>
        </w:rPr>
        <w:t xml:space="preserve"> policy/</w:t>
      </w:r>
      <w:proofErr w:type="spellStart"/>
      <w:r w:rsidRPr="00983E4B">
        <w:rPr>
          <w:color w:val="002060"/>
        </w:rPr>
        <w:t>programme</w:t>
      </w:r>
      <w:proofErr w:type="spellEnd"/>
      <w:r w:rsidRPr="00983E4B">
        <w:rPr>
          <w:color w:val="002060"/>
        </w:rPr>
        <w:t>), or with the central government (in the case of a cross-cutting national policy/</w:t>
      </w:r>
      <w:proofErr w:type="spellStart"/>
      <w:r w:rsidRPr="00983E4B">
        <w:rPr>
          <w:color w:val="002060"/>
        </w:rPr>
        <w:t>programme</w:t>
      </w:r>
      <w:proofErr w:type="spellEnd"/>
      <w:r w:rsidRPr="00983E4B">
        <w:rPr>
          <w:color w:val="002060"/>
        </w:rPr>
        <w:t>). These contractual arrangements are meant to be terminated when their intended purpose has been fulfilled, or could evolve into general or purpose specific if the delegated functions are definitively devolved. (Two examples of those are the "</w:t>
      </w:r>
      <w:proofErr w:type="spellStart"/>
      <w:r w:rsidRPr="00983E4B">
        <w:rPr>
          <w:color w:val="002060"/>
        </w:rPr>
        <w:t>contrat</w:t>
      </w:r>
      <w:proofErr w:type="spellEnd"/>
      <w:r w:rsidRPr="00983E4B">
        <w:rPr>
          <w:color w:val="002060"/>
        </w:rPr>
        <w:t xml:space="preserve"> </w:t>
      </w:r>
      <w:proofErr w:type="spellStart"/>
      <w:r w:rsidRPr="00983E4B">
        <w:rPr>
          <w:color w:val="002060"/>
        </w:rPr>
        <w:t>Etat-ville</w:t>
      </w:r>
      <w:proofErr w:type="spellEnd"/>
      <w:r w:rsidR="00A73C17" w:rsidRPr="00983E4B">
        <w:rPr>
          <w:color w:val="002060"/>
        </w:rPr>
        <w:t>"</w:t>
      </w:r>
      <w:r w:rsidRPr="00983E4B">
        <w:rPr>
          <w:color w:val="002060"/>
        </w:rPr>
        <w:t xml:space="preserve"> in Mauritania, and “</w:t>
      </w:r>
      <w:proofErr w:type="spellStart"/>
      <w:r w:rsidRPr="00983E4B">
        <w:rPr>
          <w:color w:val="002060"/>
        </w:rPr>
        <w:t>contrat-programme</w:t>
      </w:r>
      <w:proofErr w:type="spellEnd"/>
      <w:r w:rsidRPr="00983E4B">
        <w:rPr>
          <w:color w:val="002060"/>
        </w:rPr>
        <w:t xml:space="preserve">” (in France between Regions and the State, and in Morocco in the future). </w:t>
      </w:r>
    </w:p>
    <w:p w:rsidR="00AC2DD4" w:rsidRPr="00983E4B" w:rsidRDefault="00AC2DD4" w:rsidP="00DB549F">
      <w:pPr>
        <w:pStyle w:val="NoSpacing"/>
        <w:jc w:val="both"/>
        <w:rPr>
          <w:color w:val="002060"/>
        </w:rPr>
      </w:pPr>
    </w:p>
    <w:p w:rsidR="00AC2DD4" w:rsidRPr="00983E4B" w:rsidRDefault="00AC2DD4" w:rsidP="00AC2DD4">
      <w:pPr>
        <w:pStyle w:val="NoSpacing"/>
        <w:jc w:val="both"/>
        <w:rPr>
          <w:color w:val="002060"/>
        </w:rPr>
      </w:pPr>
      <w:r w:rsidRPr="00983E4B">
        <w:rPr>
          <w:color w:val="002060"/>
        </w:rPr>
        <w:t xml:space="preserve">The financial transfer component of Budget Support operations may indeed make a strategic contribution to the design </w:t>
      </w:r>
      <w:r w:rsidR="00A73C17" w:rsidRPr="00983E4B">
        <w:rPr>
          <w:color w:val="002060"/>
        </w:rPr>
        <w:t xml:space="preserve">and implementation of </w:t>
      </w:r>
      <w:r w:rsidRPr="00983E4B">
        <w:rPr>
          <w:color w:val="002060"/>
        </w:rPr>
        <w:t>domestic transfer mechanisms for local development financing.</w:t>
      </w:r>
    </w:p>
    <w:p w:rsidR="00AC2DD4" w:rsidRPr="00AC2DD4" w:rsidRDefault="00AC2DD4" w:rsidP="00DB549F">
      <w:pPr>
        <w:pStyle w:val="NoSpacing"/>
        <w:jc w:val="both"/>
        <w:rPr>
          <w:color w:val="002060"/>
        </w:rPr>
      </w:pPr>
    </w:p>
    <w:p w:rsidR="00AA33C3" w:rsidRPr="00DD15F8" w:rsidRDefault="00AA33C3" w:rsidP="00AA33C3">
      <w:pPr>
        <w:rPr>
          <w:b/>
          <w:color w:val="0070C0"/>
          <w:sz w:val="28"/>
        </w:rPr>
      </w:pPr>
      <w:r w:rsidRPr="00DD15F8">
        <w:rPr>
          <w:b/>
          <w:color w:val="0070C0"/>
          <w:sz w:val="28"/>
        </w:rPr>
        <w:t>Domestic Re</w:t>
      </w:r>
      <w:r>
        <w:rPr>
          <w:b/>
          <w:color w:val="0070C0"/>
          <w:sz w:val="28"/>
        </w:rPr>
        <w:t>sources</w:t>
      </w:r>
      <w:r w:rsidRPr="00DD15F8">
        <w:rPr>
          <w:b/>
          <w:color w:val="0070C0"/>
          <w:sz w:val="28"/>
        </w:rPr>
        <w:t xml:space="preserve"> Mobilization </w:t>
      </w:r>
      <w:r w:rsidR="00B33297">
        <w:rPr>
          <w:b/>
          <w:color w:val="0070C0"/>
          <w:sz w:val="28"/>
        </w:rPr>
        <w:t>at subnational level</w:t>
      </w:r>
    </w:p>
    <w:p w:rsidR="000D62EB" w:rsidRDefault="00AA33C3" w:rsidP="00AA33C3">
      <w:pPr>
        <w:pStyle w:val="NoSpacing"/>
        <w:jc w:val="both"/>
        <w:rPr>
          <w:color w:val="002060"/>
          <w:lang w:eastAsia="ar-SA"/>
        </w:rPr>
      </w:pPr>
      <w:r w:rsidRPr="001C0DE3">
        <w:rPr>
          <w:color w:val="002060"/>
          <w:lang w:eastAsia="ar-SA"/>
        </w:rPr>
        <w:t xml:space="preserve">While decentralization advocates often stress the potential efficiency gains on expenditure side of public finances, an equally important rationale of </w:t>
      </w:r>
      <w:r w:rsidR="00C45771">
        <w:rPr>
          <w:color w:val="002060"/>
          <w:lang w:eastAsia="ar-SA"/>
        </w:rPr>
        <w:t xml:space="preserve">decentralization </w:t>
      </w:r>
      <w:r w:rsidRPr="001C0DE3">
        <w:rPr>
          <w:color w:val="002060"/>
          <w:lang w:eastAsia="ar-SA"/>
        </w:rPr>
        <w:t xml:space="preserve">policies is their potential to help on the revenue side, improving domestic revenue (and more broadly: resources) mobilization (DRM). </w:t>
      </w:r>
      <w:r w:rsidR="009E28AC">
        <w:rPr>
          <w:color w:val="002060"/>
          <w:lang w:eastAsia="ar-SA"/>
        </w:rPr>
        <w:t xml:space="preserve">However, while the existence of stable resources </w:t>
      </w:r>
      <w:r w:rsidR="000D62EB">
        <w:rPr>
          <w:color w:val="002060"/>
          <w:lang w:eastAsia="ar-SA"/>
        </w:rPr>
        <w:t>is</w:t>
      </w:r>
      <w:r w:rsidR="009E28AC">
        <w:rPr>
          <w:color w:val="002060"/>
          <w:lang w:eastAsia="ar-SA"/>
        </w:rPr>
        <w:t xml:space="preserve"> </w:t>
      </w:r>
      <w:r w:rsidR="00F04228">
        <w:rPr>
          <w:color w:val="002060"/>
          <w:lang w:eastAsia="ar-SA"/>
        </w:rPr>
        <w:t xml:space="preserve">important for local development it also has to be ensured that these resources are well managed and spent by local authorities and that capacities exist to collect and administer own funds. Therefore, </w:t>
      </w:r>
      <w:r w:rsidR="000D62EB">
        <w:rPr>
          <w:color w:val="002060"/>
          <w:lang w:eastAsia="ar-SA"/>
        </w:rPr>
        <w:t>a progressive approach should be privileged. A</w:t>
      </w:r>
      <w:r w:rsidR="00F04228">
        <w:rPr>
          <w:color w:val="002060"/>
          <w:lang w:eastAsia="ar-SA"/>
        </w:rPr>
        <w:t xml:space="preserve">n appropriate </w:t>
      </w:r>
      <w:r w:rsidR="000D62EB">
        <w:rPr>
          <w:color w:val="002060"/>
          <w:lang w:eastAsia="ar-SA"/>
        </w:rPr>
        <w:t xml:space="preserve">legal </w:t>
      </w:r>
      <w:r w:rsidR="00F04228">
        <w:rPr>
          <w:color w:val="002060"/>
          <w:lang w:eastAsia="ar-SA"/>
        </w:rPr>
        <w:t xml:space="preserve">framework for domestic revenue mobilization at </w:t>
      </w:r>
      <w:r w:rsidR="000D62EB">
        <w:rPr>
          <w:color w:val="002060"/>
          <w:lang w:eastAsia="ar-SA"/>
        </w:rPr>
        <w:t xml:space="preserve">subnational </w:t>
      </w:r>
      <w:r w:rsidR="00F04228">
        <w:rPr>
          <w:color w:val="002060"/>
          <w:lang w:eastAsia="ar-SA"/>
        </w:rPr>
        <w:t xml:space="preserve">level has to be in place and it should be accompanied by action to improve local systems </w:t>
      </w:r>
      <w:r w:rsidR="000D62EB">
        <w:rPr>
          <w:color w:val="002060"/>
          <w:lang w:eastAsia="ar-SA"/>
        </w:rPr>
        <w:t>for</w:t>
      </w:r>
      <w:r w:rsidR="00F04228">
        <w:rPr>
          <w:color w:val="002060"/>
          <w:lang w:eastAsia="ar-SA"/>
        </w:rPr>
        <w:t xml:space="preserve"> tax administration, expenditure management and control, fight against corruption a</w:t>
      </w:r>
      <w:r w:rsidR="000D62EB">
        <w:rPr>
          <w:color w:val="002060"/>
          <w:lang w:eastAsia="ar-SA"/>
        </w:rPr>
        <w:t>nd</w:t>
      </w:r>
      <w:r w:rsidR="00F04228">
        <w:rPr>
          <w:color w:val="002060"/>
          <w:lang w:eastAsia="ar-SA"/>
        </w:rPr>
        <w:t xml:space="preserve"> accountability towards taxpayers. </w:t>
      </w:r>
    </w:p>
    <w:p w:rsidR="001D7BED" w:rsidRDefault="001D7BED" w:rsidP="00AA33C3">
      <w:pPr>
        <w:pStyle w:val="NoSpacing"/>
        <w:jc w:val="both"/>
        <w:rPr>
          <w:color w:val="002060"/>
          <w:lang w:eastAsia="ar-SA"/>
        </w:rPr>
      </w:pPr>
    </w:p>
    <w:p w:rsidR="001D7BED" w:rsidRPr="00983E4B" w:rsidRDefault="001D7BED" w:rsidP="00AA33C3">
      <w:pPr>
        <w:pStyle w:val="NoSpacing"/>
        <w:jc w:val="both"/>
        <w:rPr>
          <w:color w:val="002060"/>
          <w:lang w:val="en"/>
        </w:rPr>
      </w:pPr>
      <w:r w:rsidRPr="00983E4B">
        <w:rPr>
          <w:color w:val="002060"/>
          <w:lang w:val="en"/>
        </w:rPr>
        <w:t>Some complexities of local taxation have to be taken into account. Rural specificities can generate different kinds of rules for taxing properties in urban or rural areas. Regarding the taxation of companies, subsidiaries of large company are sometimes depending on the national large taxpayers unit. Furthermore</w:t>
      </w:r>
      <w:r w:rsidR="00876B0F" w:rsidRPr="00983E4B">
        <w:rPr>
          <w:color w:val="002060"/>
          <w:lang w:val="en"/>
        </w:rPr>
        <w:t>,</w:t>
      </w:r>
      <w:r w:rsidRPr="00983E4B">
        <w:rPr>
          <w:color w:val="002060"/>
          <w:lang w:val="en"/>
        </w:rPr>
        <w:t xml:space="preserve"> the tax mix and </w:t>
      </w:r>
      <w:r w:rsidR="00876B0F" w:rsidRPr="00983E4B">
        <w:rPr>
          <w:color w:val="002060"/>
          <w:lang w:val="en"/>
        </w:rPr>
        <w:t xml:space="preserve">the performance targets for </w:t>
      </w:r>
      <w:r w:rsidRPr="00983E4B">
        <w:rPr>
          <w:color w:val="002060"/>
          <w:lang w:val="en"/>
        </w:rPr>
        <w:t xml:space="preserve">tax </w:t>
      </w:r>
      <w:r w:rsidR="00876B0F" w:rsidRPr="00983E4B">
        <w:rPr>
          <w:color w:val="002060"/>
          <w:lang w:val="en"/>
        </w:rPr>
        <w:t xml:space="preserve">administration officials </w:t>
      </w:r>
      <w:r w:rsidRPr="00983E4B">
        <w:rPr>
          <w:color w:val="002060"/>
          <w:lang w:val="en"/>
        </w:rPr>
        <w:t>may be more favorable to the collection of national taxes.</w:t>
      </w:r>
      <w:r w:rsidR="00D40791">
        <w:rPr>
          <w:color w:val="002060"/>
          <w:lang w:val="en"/>
        </w:rPr>
        <w:t xml:space="preserve"> Appropriate incentive systems could therefore be put in place in order to encourage revenue mobilization at subnational level. </w:t>
      </w:r>
    </w:p>
    <w:p w:rsidR="000D62EB" w:rsidRDefault="000D62EB" w:rsidP="00AA33C3">
      <w:pPr>
        <w:pStyle w:val="NoSpacing"/>
        <w:jc w:val="both"/>
        <w:rPr>
          <w:color w:val="002060"/>
          <w:lang w:eastAsia="ar-SA"/>
        </w:rPr>
      </w:pPr>
    </w:p>
    <w:p w:rsidR="00AA33C3" w:rsidRPr="001C0DE3" w:rsidRDefault="009245D3" w:rsidP="00AA33C3">
      <w:pPr>
        <w:pStyle w:val="NoSpacing"/>
        <w:jc w:val="both"/>
        <w:rPr>
          <w:color w:val="002060"/>
          <w:lang w:eastAsia="ar-SA"/>
        </w:rPr>
      </w:pPr>
      <w:r>
        <w:rPr>
          <w:i/>
          <w:color w:val="002060"/>
        </w:rPr>
        <w:t>T</w:t>
      </w:r>
      <w:r w:rsidR="00AA33C3" w:rsidRPr="001C0DE3">
        <w:rPr>
          <w:i/>
          <w:color w:val="002060"/>
        </w:rPr>
        <w:t>ax reform</w:t>
      </w:r>
      <w:r w:rsidR="00AA33C3" w:rsidRPr="001C0DE3">
        <w:rPr>
          <w:color w:val="002060"/>
        </w:rPr>
        <w:t xml:space="preserve"> </w:t>
      </w:r>
      <w:r w:rsidR="00466481">
        <w:rPr>
          <w:color w:val="002060"/>
        </w:rPr>
        <w:t>can</w:t>
      </w:r>
      <w:r>
        <w:rPr>
          <w:color w:val="002060"/>
        </w:rPr>
        <w:t xml:space="preserve"> be an essential element </w:t>
      </w:r>
      <w:r w:rsidR="00AA33C3" w:rsidRPr="001C0DE3">
        <w:rPr>
          <w:color w:val="002060"/>
        </w:rPr>
        <w:t>to assign appropriate revenue sources (e.g. property taxes) to local authorities and concurrently create the incentives, and build the capacity, for them to effectively assess and collect own source revenue. An assessment of the scope and feasibility of tax reassignment and related capacity development requirements, would be an important dimension of the dialogue over the proposed policy and an integral part of the assessment of the</w:t>
      </w:r>
      <w:r w:rsidR="00AA33C3" w:rsidRPr="001C0DE3">
        <w:rPr>
          <w:color w:val="002060"/>
          <w:lang w:eastAsia="ar-SA"/>
        </w:rPr>
        <w:t xml:space="preserve"> macroeconomic (fiscal policy) and public financial management (tax administration) eligibility criteria, as outlined above. </w:t>
      </w:r>
    </w:p>
    <w:p w:rsidR="00AA33C3" w:rsidRDefault="009245D3" w:rsidP="00AA33C3">
      <w:pPr>
        <w:pStyle w:val="NoSpacing"/>
        <w:jc w:val="both"/>
        <w:rPr>
          <w:color w:val="002060"/>
          <w:lang w:eastAsia="ar-SA"/>
        </w:rPr>
      </w:pPr>
      <w:r>
        <w:rPr>
          <w:color w:val="002060"/>
          <w:lang w:eastAsia="ar-SA"/>
        </w:rPr>
        <w:t xml:space="preserve">In addition, </w:t>
      </w:r>
      <w:r w:rsidR="00AA33C3" w:rsidRPr="001C0DE3">
        <w:rPr>
          <w:color w:val="002060"/>
          <w:lang w:eastAsia="ar-SA"/>
        </w:rPr>
        <w:t xml:space="preserve">meaningful </w:t>
      </w:r>
      <w:r w:rsidR="00AA33C3" w:rsidRPr="001C0DE3">
        <w:rPr>
          <w:i/>
          <w:color w:val="002060"/>
          <w:lang w:eastAsia="ar-SA"/>
        </w:rPr>
        <w:t>autonomy</w:t>
      </w:r>
      <w:r w:rsidR="00AA33C3" w:rsidRPr="001C0DE3">
        <w:rPr>
          <w:color w:val="002060"/>
          <w:lang w:eastAsia="ar-SA"/>
        </w:rPr>
        <w:t xml:space="preserve"> </w:t>
      </w:r>
      <w:r w:rsidR="001344AD">
        <w:rPr>
          <w:color w:val="002060"/>
          <w:lang w:eastAsia="ar-SA"/>
        </w:rPr>
        <w:t>and adequate incentives for</w:t>
      </w:r>
      <w:r w:rsidR="00AA33C3" w:rsidRPr="001C0DE3">
        <w:rPr>
          <w:color w:val="002060"/>
          <w:lang w:eastAsia="ar-SA"/>
        </w:rPr>
        <w:t xml:space="preserve"> local authorities to reach out to communities</w:t>
      </w:r>
      <w:r w:rsidR="00246D33">
        <w:rPr>
          <w:color w:val="002060"/>
          <w:lang w:eastAsia="ar-SA"/>
        </w:rPr>
        <w:t>, civil society</w:t>
      </w:r>
      <w:r w:rsidR="00AA33C3" w:rsidRPr="001C0DE3">
        <w:rPr>
          <w:color w:val="002060"/>
          <w:lang w:eastAsia="ar-SA"/>
        </w:rPr>
        <w:t xml:space="preserve"> and </w:t>
      </w:r>
      <w:r w:rsidR="001344AD">
        <w:rPr>
          <w:color w:val="002060"/>
          <w:lang w:eastAsia="ar-SA"/>
        </w:rPr>
        <w:t xml:space="preserve">the </w:t>
      </w:r>
      <w:r w:rsidR="00AA33C3" w:rsidRPr="001C0DE3">
        <w:rPr>
          <w:color w:val="002060"/>
          <w:lang w:eastAsia="ar-SA"/>
        </w:rPr>
        <w:t xml:space="preserve">local </w:t>
      </w:r>
      <w:r w:rsidR="001344AD">
        <w:rPr>
          <w:color w:val="002060"/>
          <w:lang w:eastAsia="ar-SA"/>
        </w:rPr>
        <w:t xml:space="preserve">private </w:t>
      </w:r>
      <w:r w:rsidR="00AA33C3" w:rsidRPr="001C0DE3">
        <w:rPr>
          <w:color w:val="002060"/>
          <w:lang w:eastAsia="ar-SA"/>
        </w:rPr>
        <w:t xml:space="preserve">sector </w:t>
      </w:r>
      <w:r w:rsidR="00466481">
        <w:rPr>
          <w:color w:val="002060"/>
          <w:lang w:eastAsia="ar-SA"/>
        </w:rPr>
        <w:t xml:space="preserve">may </w:t>
      </w:r>
      <w:r w:rsidR="00AA33C3" w:rsidRPr="001C0DE3">
        <w:rPr>
          <w:color w:val="002060"/>
          <w:lang w:eastAsia="ar-SA"/>
        </w:rPr>
        <w:t>mobilize additional resources for local development through forms of community co-provision and co-production of services</w:t>
      </w:r>
      <w:r w:rsidR="00466481">
        <w:rPr>
          <w:color w:val="002060"/>
          <w:lang w:eastAsia="ar-SA"/>
        </w:rPr>
        <w:t>, including in-kind contributions,</w:t>
      </w:r>
      <w:r w:rsidR="00AA33C3" w:rsidRPr="001C0DE3">
        <w:rPr>
          <w:color w:val="002060"/>
          <w:lang w:eastAsia="ar-SA"/>
        </w:rPr>
        <w:t xml:space="preserve"> as well as effective public-private partnerships. </w:t>
      </w:r>
      <w:r w:rsidR="00466481">
        <w:rPr>
          <w:color w:val="002060"/>
          <w:lang w:eastAsia="ar-SA"/>
        </w:rPr>
        <w:t xml:space="preserve">Effective empowerment of local stakeholders yields the potential to contribute to less costly and more sustainable service delivery by local authorities. </w:t>
      </w:r>
    </w:p>
    <w:p w:rsidR="00026070" w:rsidRDefault="00026070" w:rsidP="00AA33C3">
      <w:pPr>
        <w:pStyle w:val="NoSpacing"/>
        <w:jc w:val="both"/>
        <w:rPr>
          <w:color w:val="002060"/>
          <w:lang w:eastAsia="ar-SA"/>
        </w:rPr>
      </w:pPr>
    </w:p>
    <w:tbl>
      <w:tblPr>
        <w:tblStyle w:val="TableGrid"/>
        <w:tblW w:w="0" w:type="auto"/>
        <w:tblLook w:val="04A0" w:firstRow="1" w:lastRow="0" w:firstColumn="1" w:lastColumn="0" w:noHBand="0" w:noVBand="1"/>
      </w:tblPr>
      <w:tblGrid>
        <w:gridCol w:w="10220"/>
      </w:tblGrid>
      <w:tr w:rsidR="00026070" w:rsidTr="007B70FF">
        <w:tc>
          <w:tcPr>
            <w:tcW w:w="10220" w:type="dxa"/>
            <w:shd w:val="clear" w:color="auto" w:fill="EEECE1" w:themeFill="background2"/>
          </w:tcPr>
          <w:p w:rsidR="00026070" w:rsidRPr="00983E4B" w:rsidRDefault="00026070" w:rsidP="00026070">
            <w:pPr>
              <w:rPr>
                <w:rFonts w:cs="Times New Roman"/>
                <w:b/>
                <w:color w:val="002060"/>
              </w:rPr>
            </w:pPr>
            <w:r w:rsidRPr="00983E4B">
              <w:rPr>
                <w:rFonts w:cs="Times New Roman"/>
                <w:b/>
                <w:color w:val="002060"/>
              </w:rPr>
              <w:t xml:space="preserve">Box </w:t>
            </w:r>
            <w:r w:rsidR="00263EBA" w:rsidRPr="00983E4B">
              <w:rPr>
                <w:rFonts w:cs="Times New Roman"/>
                <w:b/>
                <w:color w:val="002060"/>
              </w:rPr>
              <w:t>4</w:t>
            </w:r>
            <w:r w:rsidRPr="00983E4B">
              <w:rPr>
                <w:rFonts w:cs="Times New Roman"/>
                <w:b/>
                <w:color w:val="002060"/>
              </w:rPr>
              <w:t xml:space="preserve"> Local resources mobilization by local authorities (beyond local taxation).</w:t>
            </w:r>
          </w:p>
          <w:p w:rsidR="00B92E54" w:rsidRPr="00983E4B" w:rsidRDefault="00B92E54" w:rsidP="00026070">
            <w:pPr>
              <w:rPr>
                <w:b/>
                <w:color w:val="002060"/>
              </w:rPr>
            </w:pPr>
          </w:p>
          <w:p w:rsidR="00026070" w:rsidRPr="00983E4B" w:rsidRDefault="00026070" w:rsidP="00983E4B">
            <w:pPr>
              <w:spacing w:after="120"/>
              <w:jc w:val="both"/>
              <w:rPr>
                <w:color w:val="002060"/>
              </w:rPr>
            </w:pPr>
            <w:r w:rsidRPr="00983E4B">
              <w:rPr>
                <w:color w:val="002060"/>
              </w:rPr>
              <w:t>Since 2011, in Yemen, the “Empowerment for Local Development” (ELD) program of the Social Fund for Development (SFD) helps local authorities (district Councils and administrations) mobilize resources for local development above and beyond revenue from local taxation, or fiscal transfers. These additional resources are then applied to projects that enhance the welfare of local communities, protect the environment and promote local economic activity.</w:t>
            </w:r>
          </w:p>
          <w:p w:rsidR="00026070" w:rsidRPr="00983E4B" w:rsidRDefault="00026070" w:rsidP="00983E4B">
            <w:pPr>
              <w:shd w:val="clear" w:color="auto" w:fill="EEECE1" w:themeFill="background2"/>
              <w:spacing w:after="120"/>
              <w:jc w:val="both"/>
              <w:rPr>
                <w:rFonts w:cstheme="majorBidi"/>
                <w:color w:val="002060"/>
                <w:shd w:val="clear" w:color="auto" w:fill="FFFFFF"/>
                <w:lang w:bidi="ar-YE"/>
              </w:rPr>
            </w:pPr>
            <w:r w:rsidRPr="00983E4B">
              <w:rPr>
                <w:color w:val="002060"/>
              </w:rPr>
              <w:t>As of March 2015, in 51 operating Districts (out of the 72 eventually targeted by the ELD), and through  640 “</w:t>
            </w:r>
            <w:proofErr w:type="spellStart"/>
            <w:r w:rsidRPr="00983E4B">
              <w:rPr>
                <w:color w:val="002060"/>
              </w:rPr>
              <w:t>Uzlla</w:t>
            </w:r>
            <w:proofErr w:type="spellEnd"/>
            <w:r w:rsidRPr="00983E4B">
              <w:rPr>
                <w:color w:val="002060"/>
              </w:rPr>
              <w:t xml:space="preserve"> Development Committees (UDC)” and 3,983 “Village Cooperative Councils (VCC)”  12,939 projects costing about 1.6 Billion Yemeni </w:t>
            </w:r>
            <w:proofErr w:type="spellStart"/>
            <w:r w:rsidRPr="00983E4B">
              <w:rPr>
                <w:color w:val="002060"/>
              </w:rPr>
              <w:t>Rials</w:t>
            </w:r>
            <w:proofErr w:type="spellEnd"/>
            <w:r w:rsidRPr="00983E4B">
              <w:rPr>
                <w:color w:val="002060"/>
              </w:rPr>
              <w:t xml:space="preserve"> (US$ 7.2 Million) were identified, included in District plans, financed entirely (100%) through local communities’ contributions, and implemented through community contracting modalities. Also under a district-level 50%-50% co-</w:t>
            </w:r>
            <w:proofErr w:type="gramStart"/>
            <w:r w:rsidRPr="00983E4B">
              <w:rPr>
                <w:color w:val="002060"/>
              </w:rPr>
              <w:t>financing  scheme</w:t>
            </w:r>
            <w:proofErr w:type="gramEnd"/>
            <w:r w:rsidRPr="00983E4B">
              <w:rPr>
                <w:color w:val="002060"/>
              </w:rPr>
              <w:t xml:space="preserve"> with local communities  so far, 38 public </w:t>
            </w:r>
            <w:r w:rsidRPr="00983E4B">
              <w:rPr>
                <w:color w:val="002060"/>
              </w:rPr>
              <w:lastRenderedPageBreak/>
              <w:t>works projects (paving secondary roads, building water tanks</w:t>
            </w:r>
            <w:r w:rsidRPr="00983E4B">
              <w:rPr>
                <w:rFonts w:cstheme="majorBidi"/>
                <w:color w:val="002060"/>
                <w:shd w:val="clear" w:color="auto" w:fill="EEECE1" w:themeFill="background2"/>
                <w:lang w:bidi="ar-YE"/>
              </w:rPr>
              <w:t xml:space="preserve"> and cisterns,  rehabilitating and furnishing classrooms and teachers quarters, etc.) which required </w:t>
            </w:r>
            <w:r w:rsidRPr="00983E4B">
              <w:rPr>
                <w:color w:val="002060"/>
              </w:rPr>
              <w:t xml:space="preserve"> an SFD/ELD contribution of 26 Million YR (120,000 US$) mobilized c</w:t>
            </w:r>
            <w:r w:rsidRPr="00983E4B">
              <w:rPr>
                <w:rFonts w:cstheme="majorBidi"/>
                <w:color w:val="002060"/>
                <w:shd w:val="clear" w:color="auto" w:fill="EEECE1" w:themeFill="background2"/>
                <w:lang w:bidi="ar-YE"/>
              </w:rPr>
              <w:t>ommunity contributions (in materials and labor) for 29 Million YR (135,000 US$) which exceeded 50% of the total cost.</w:t>
            </w:r>
            <w:r w:rsidRPr="00983E4B">
              <w:rPr>
                <w:rFonts w:cstheme="majorBidi"/>
                <w:color w:val="002060"/>
                <w:shd w:val="clear" w:color="auto" w:fill="FFFFFF"/>
                <w:lang w:bidi="ar-YE"/>
              </w:rPr>
              <w:t xml:space="preserve"> </w:t>
            </w:r>
          </w:p>
          <w:p w:rsidR="00026070" w:rsidRPr="00983E4B" w:rsidRDefault="00026070" w:rsidP="00983E4B">
            <w:pPr>
              <w:spacing w:after="120"/>
              <w:jc w:val="both"/>
              <w:rPr>
                <w:color w:val="002060"/>
              </w:rPr>
            </w:pPr>
            <w:r w:rsidRPr="00983E4B">
              <w:rPr>
                <w:color w:val="002060"/>
              </w:rPr>
              <w:t xml:space="preserve">While the future of the ELD program will ultimately depend on establishing peace and related security conditions across Yemen, its early implementation clearly points at the potential that exists, given effective central support and incentives, for empowered local authorities to become key developmental actors and mobilize a wide range of local resources, not least local social capital, bringing them to bear, as a true </w:t>
            </w:r>
            <w:proofErr w:type="spellStart"/>
            <w:r w:rsidRPr="00983E4B">
              <w:rPr>
                <w:color w:val="002060"/>
              </w:rPr>
              <w:t>additionality</w:t>
            </w:r>
            <w:proofErr w:type="spellEnd"/>
            <w:r w:rsidRPr="00983E4B">
              <w:rPr>
                <w:color w:val="002060"/>
              </w:rPr>
              <w:t>, on the financing of a country’s development effort.</w:t>
            </w:r>
          </w:p>
          <w:p w:rsidR="00026070" w:rsidRDefault="00026070" w:rsidP="00DB549F">
            <w:pPr>
              <w:rPr>
                <w:lang w:eastAsia="ar-SA"/>
              </w:rPr>
            </w:pPr>
            <w:r w:rsidRPr="007B70FF">
              <w:rPr>
                <w:b/>
                <w:color w:val="365F91" w:themeColor="accent1" w:themeShade="BF"/>
              </w:rPr>
              <w:t xml:space="preserve">(Data source:  Yemen Social Development Fund. “Empowerment for local Development” annual reports)  </w:t>
            </w:r>
          </w:p>
        </w:tc>
      </w:tr>
    </w:tbl>
    <w:p w:rsidR="00983E4B" w:rsidRDefault="00983E4B" w:rsidP="00AA33C3">
      <w:pPr>
        <w:rPr>
          <w:b/>
          <w:color w:val="0070C0"/>
          <w:sz w:val="28"/>
        </w:rPr>
      </w:pPr>
    </w:p>
    <w:p w:rsidR="00AA33C3" w:rsidRPr="00DD15F8" w:rsidRDefault="00AA33C3" w:rsidP="00AA33C3">
      <w:pPr>
        <w:rPr>
          <w:b/>
          <w:color w:val="0070C0"/>
          <w:sz w:val="28"/>
        </w:rPr>
      </w:pPr>
      <w:r w:rsidRPr="00DD15F8">
        <w:rPr>
          <w:b/>
          <w:color w:val="0070C0"/>
          <w:sz w:val="28"/>
        </w:rPr>
        <w:t>Capacity Development</w:t>
      </w:r>
    </w:p>
    <w:p w:rsidR="00AA33C3" w:rsidRPr="001C0DE3" w:rsidRDefault="00AA33C3" w:rsidP="00AA33C3">
      <w:pPr>
        <w:pStyle w:val="NoSpacing"/>
        <w:rPr>
          <w:color w:val="002060"/>
        </w:rPr>
      </w:pPr>
      <w:r w:rsidRPr="001C0DE3">
        <w:rPr>
          <w:color w:val="002060"/>
        </w:rPr>
        <w:t>Capacity development (CD) is an essential component of Budget Support operations.  As the 2012 BS guidelines suggest, it includes a dialogue with partner countries to develop “</w:t>
      </w:r>
      <w:r w:rsidRPr="001C0DE3">
        <w:rPr>
          <w:i/>
          <w:color w:val="002060"/>
        </w:rPr>
        <w:t>shared views on key [capacity] constraints and [capacity development] opportunities</w:t>
      </w:r>
      <w:r w:rsidRPr="001C0DE3">
        <w:rPr>
          <w:color w:val="002060"/>
        </w:rPr>
        <w:t>” as well as “</w:t>
      </w:r>
      <w:r w:rsidRPr="001C0DE3">
        <w:rPr>
          <w:i/>
          <w:color w:val="002060"/>
        </w:rPr>
        <w:t>providing access to knowledge”</w:t>
      </w:r>
      <w:r w:rsidRPr="001C0DE3">
        <w:rPr>
          <w:color w:val="002060"/>
        </w:rPr>
        <w:t xml:space="preserve">. </w:t>
      </w:r>
    </w:p>
    <w:p w:rsidR="00AA33C3" w:rsidRPr="001C0DE3" w:rsidRDefault="00AA33C3" w:rsidP="00AA33C3">
      <w:pPr>
        <w:pStyle w:val="NoSpacing"/>
        <w:rPr>
          <w:color w:val="002060"/>
        </w:rPr>
      </w:pPr>
    </w:p>
    <w:p w:rsidR="00AA33C3" w:rsidRPr="001C0DE3" w:rsidRDefault="00AA33C3" w:rsidP="00AA33C3">
      <w:pPr>
        <w:pStyle w:val="NoSpacing"/>
        <w:jc w:val="both"/>
        <w:rPr>
          <w:color w:val="002060"/>
        </w:rPr>
      </w:pPr>
      <w:r w:rsidRPr="001C0DE3">
        <w:rPr>
          <w:color w:val="002060"/>
        </w:rPr>
        <w:t xml:space="preserve">When it comes to supporting </w:t>
      </w:r>
      <w:r w:rsidR="00C45771">
        <w:rPr>
          <w:color w:val="002060"/>
        </w:rPr>
        <w:t xml:space="preserve">decentralization </w:t>
      </w:r>
      <w:r w:rsidRPr="001C0DE3">
        <w:rPr>
          <w:color w:val="002060"/>
        </w:rPr>
        <w:t>policies and programs, developing the above shared views and providing the right kind of knowledge, requires (</w:t>
      </w:r>
      <w:proofErr w:type="spellStart"/>
      <w:r w:rsidRPr="001C0DE3">
        <w:rPr>
          <w:color w:val="002060"/>
        </w:rPr>
        <w:t>i</w:t>
      </w:r>
      <w:proofErr w:type="spellEnd"/>
      <w:r w:rsidRPr="001C0DE3">
        <w:rPr>
          <w:color w:val="002060"/>
        </w:rPr>
        <w:t>) a realistic assessment of what local capacity is already in place, an understanding of related CD priorities and (ii) the capacity to bring the lessons learned in decades of global experience with CD, to bear on the situation at hand. Several issues require attention.</w:t>
      </w:r>
    </w:p>
    <w:p w:rsidR="00AA33C3" w:rsidRPr="001C0DE3" w:rsidRDefault="00AA33C3" w:rsidP="00AA33C3">
      <w:pPr>
        <w:pStyle w:val="NoSpacing"/>
        <w:jc w:val="both"/>
        <w:rPr>
          <w:color w:val="002060"/>
        </w:rPr>
      </w:pPr>
    </w:p>
    <w:p w:rsidR="00AA33C3" w:rsidRPr="001C0DE3" w:rsidRDefault="00AA33C3" w:rsidP="007B70FF">
      <w:pPr>
        <w:pStyle w:val="NoSpacing"/>
        <w:numPr>
          <w:ilvl w:val="0"/>
          <w:numId w:val="14"/>
        </w:numPr>
        <w:jc w:val="both"/>
        <w:rPr>
          <w:color w:val="002060"/>
        </w:rPr>
      </w:pPr>
      <w:r w:rsidRPr="001C0DE3">
        <w:rPr>
          <w:color w:val="002060"/>
        </w:rPr>
        <w:t>Local capacity itself must be understood as the result of (</w:t>
      </w:r>
      <w:proofErr w:type="spellStart"/>
      <w:r w:rsidRPr="001C0DE3">
        <w:rPr>
          <w:color w:val="002060"/>
        </w:rPr>
        <w:t>i</w:t>
      </w:r>
      <w:proofErr w:type="spellEnd"/>
      <w:r w:rsidRPr="001C0DE3">
        <w:rPr>
          <w:color w:val="002060"/>
        </w:rPr>
        <w:t xml:space="preserve">) an enabling policy and legal framework, (ii) appropriate policy making and development management institutions and (iii) appropriately skilled and motivated human resources. It follows that CD cannot be limited to “training” efforts. Yet in practice it should also be recognized that for all their interdependence, these dimensions could still be addressed through partial and specific efforts that may not be as comprehensive and coordinated as the ideal case would require.   </w:t>
      </w:r>
    </w:p>
    <w:p w:rsidR="00AA33C3" w:rsidRPr="001C0DE3" w:rsidRDefault="00AA33C3" w:rsidP="007B70FF">
      <w:pPr>
        <w:pStyle w:val="NoSpacing"/>
        <w:numPr>
          <w:ilvl w:val="0"/>
          <w:numId w:val="14"/>
        </w:numPr>
        <w:jc w:val="both"/>
        <w:rPr>
          <w:color w:val="002060"/>
        </w:rPr>
      </w:pPr>
      <w:r w:rsidRPr="001C0DE3">
        <w:rPr>
          <w:color w:val="002060"/>
        </w:rPr>
        <w:t>The scope of capacity building must be understood as covering both the capacity for informed evidence-based deliberations by the elected local Councils and capacity for development management by local executives and administrations. A critical issue in many contexts, where decentralization reforms are still incipient or incomplete, is precisely the lack of effective connection and accountability between local policy making and local executive and administrative action. Efforts to strengthen such linkages should be an important part of local CD efforts.</w:t>
      </w:r>
    </w:p>
    <w:p w:rsidR="00AA33C3" w:rsidRPr="001C0DE3" w:rsidRDefault="00AA33C3" w:rsidP="007B70FF">
      <w:pPr>
        <w:pStyle w:val="NoSpacing"/>
        <w:numPr>
          <w:ilvl w:val="0"/>
          <w:numId w:val="14"/>
        </w:numPr>
        <w:jc w:val="both"/>
        <w:rPr>
          <w:color w:val="002060"/>
        </w:rPr>
      </w:pPr>
      <w:r w:rsidRPr="001C0DE3">
        <w:rPr>
          <w:color w:val="002060"/>
        </w:rPr>
        <w:t>The potential beneficiaries of CD efforts are in no way limited to local authorities. They may include civil society organizations whose capacity to move from “confrontation” to “cooperation” with elected local authorities should be supported, and also, and most critically, it includes a number of “core” and “sector” ministries. The  inadequate capacity of the latter to (</w:t>
      </w:r>
      <w:proofErr w:type="spellStart"/>
      <w:r w:rsidRPr="001C0DE3">
        <w:rPr>
          <w:color w:val="002060"/>
        </w:rPr>
        <w:t>i</w:t>
      </w:r>
      <w:proofErr w:type="spellEnd"/>
      <w:r w:rsidRPr="001C0DE3">
        <w:rPr>
          <w:color w:val="002060"/>
        </w:rPr>
        <w:t>)appropriately “support and supervise” the local authorities’ sector and (ii) manage innovative services delivery “delegation” contracts, is one of the greatest stumbling blocks to the operation of autonomous, accountable and effective local authorities.</w:t>
      </w:r>
    </w:p>
    <w:p w:rsidR="00AA33C3" w:rsidRPr="001C0DE3" w:rsidRDefault="00AA33C3" w:rsidP="007B70FF">
      <w:pPr>
        <w:pStyle w:val="NoSpacing"/>
        <w:numPr>
          <w:ilvl w:val="0"/>
          <w:numId w:val="14"/>
        </w:numPr>
        <w:jc w:val="both"/>
        <w:rPr>
          <w:color w:val="002060"/>
        </w:rPr>
      </w:pPr>
      <w:r w:rsidRPr="001C0DE3">
        <w:rPr>
          <w:color w:val="002060"/>
        </w:rPr>
        <w:t>Importantly, when CD efforts are directed to local administrations, these should not aim to reproduce locally the structures and functions of the central state administration. Organizational models of local authorities’ administrations may vary depending also on the organization of the local public sector at large, and there is often considerable room for innovating and enhancing public sector efficiency, when designing them.</w:t>
      </w:r>
    </w:p>
    <w:p w:rsidR="00AA33C3" w:rsidRDefault="00AA33C3" w:rsidP="009E3A96">
      <w:pPr>
        <w:pStyle w:val="NoSpacing"/>
        <w:numPr>
          <w:ilvl w:val="0"/>
          <w:numId w:val="14"/>
        </w:numPr>
        <w:jc w:val="both"/>
        <w:rPr>
          <w:color w:val="002060"/>
        </w:rPr>
      </w:pPr>
      <w:r w:rsidRPr="001C0DE3">
        <w:rPr>
          <w:color w:val="002060"/>
        </w:rPr>
        <w:lastRenderedPageBreak/>
        <w:t>With respect to the content and sequencing of the CD efforts there are also no blueprints. Yet experience shows that in most situations CD should start with devising a technically sound, and yet participatory</w:t>
      </w:r>
      <w:r w:rsidR="006A6DAF">
        <w:rPr>
          <w:color w:val="002060"/>
        </w:rPr>
        <w:t xml:space="preserve"> and inclusive</w:t>
      </w:r>
      <w:r w:rsidRPr="001C0DE3">
        <w:rPr>
          <w:color w:val="002060"/>
        </w:rPr>
        <w:t xml:space="preserve"> cycle of public resources management. This is actually the bedrock on which capacity for improved services delivery and development management can then be built, in parallel with the capacity to “reach out” to local people, civil society organizations and private sector to involve them in local development planning, financing, implementation and evaluation.</w:t>
      </w:r>
    </w:p>
    <w:p w:rsidR="00AA33C3" w:rsidRPr="001C0DE3" w:rsidRDefault="00AA33C3" w:rsidP="007B70FF">
      <w:pPr>
        <w:pStyle w:val="NoSpacing"/>
        <w:numPr>
          <w:ilvl w:val="0"/>
          <w:numId w:val="14"/>
        </w:numPr>
        <w:jc w:val="both"/>
        <w:rPr>
          <w:color w:val="002060"/>
        </w:rPr>
      </w:pPr>
      <w:r w:rsidRPr="001C0DE3">
        <w:rPr>
          <w:color w:val="002060"/>
        </w:rPr>
        <w:t xml:space="preserve">With respect to method, when developing the CD component of BS operations, a balance should be struck between a “supply-driven” and a “demand-driven” approach. The former may be necessary to a limited extent and for specific purposes, but experience shows that its generalization would be costly and ineffective. CD objectives would be better served by a demand-driven approach under which local authorities could </w:t>
      </w:r>
      <w:r w:rsidR="00EB2EDE">
        <w:rPr>
          <w:color w:val="002060"/>
        </w:rPr>
        <w:t xml:space="preserve">determine </w:t>
      </w:r>
      <w:r w:rsidRPr="001C0DE3">
        <w:rPr>
          <w:color w:val="002060"/>
        </w:rPr>
        <w:t xml:space="preserve">their own needs and invest in their own </w:t>
      </w:r>
      <w:proofErr w:type="gramStart"/>
      <w:r w:rsidRPr="001C0DE3">
        <w:rPr>
          <w:color w:val="002060"/>
        </w:rPr>
        <w:t>CD ,</w:t>
      </w:r>
      <w:proofErr w:type="gramEnd"/>
      <w:r w:rsidRPr="001C0DE3">
        <w:rPr>
          <w:color w:val="002060"/>
        </w:rPr>
        <w:t xml:space="preserve"> accessing as necessary, purpose-specific financing windows setup as a component of the national financial transfers system. </w:t>
      </w:r>
    </w:p>
    <w:p w:rsidR="00AA33C3" w:rsidRPr="001C0DE3" w:rsidRDefault="00AA33C3" w:rsidP="007B70FF">
      <w:pPr>
        <w:pStyle w:val="NoSpacing"/>
        <w:numPr>
          <w:ilvl w:val="0"/>
          <w:numId w:val="14"/>
        </w:numPr>
        <w:jc w:val="both"/>
        <w:rPr>
          <w:color w:val="002060"/>
        </w:rPr>
      </w:pPr>
      <w:r w:rsidRPr="001C0DE3">
        <w:rPr>
          <w:color w:val="002060"/>
        </w:rPr>
        <w:t>Finally, it</w:t>
      </w:r>
      <w:r w:rsidR="00EB2EDE">
        <w:rPr>
          <w:color w:val="002060"/>
        </w:rPr>
        <w:t xml:space="preserve"> i</w:t>
      </w:r>
      <w:r w:rsidRPr="001C0DE3">
        <w:rPr>
          <w:color w:val="002060"/>
        </w:rPr>
        <w:t xml:space="preserve">s important to note that considerable, and continuing, field-based experimentation may be necessary to devise and improve CD programs, and that such experimentation might be better carried out through preparatory or complementary project aid operations. </w:t>
      </w:r>
    </w:p>
    <w:p w:rsidR="00AA33C3" w:rsidRDefault="00680467" w:rsidP="00680467">
      <w:pPr>
        <w:pStyle w:val="NoSpacing"/>
        <w:tabs>
          <w:tab w:val="left" w:pos="6795"/>
        </w:tabs>
      </w:pPr>
      <w:r>
        <w:tab/>
      </w:r>
    </w:p>
    <w:p w:rsidR="00AA33C3" w:rsidRPr="00DD15F8" w:rsidRDefault="00AA33C3" w:rsidP="00AA33C3">
      <w:pPr>
        <w:rPr>
          <w:b/>
          <w:color w:val="0070C0"/>
          <w:sz w:val="28"/>
        </w:rPr>
      </w:pPr>
      <w:r w:rsidRPr="00DD15F8">
        <w:rPr>
          <w:b/>
          <w:color w:val="0070C0"/>
          <w:sz w:val="28"/>
        </w:rPr>
        <w:t>Performance Assessment</w:t>
      </w:r>
    </w:p>
    <w:p w:rsidR="00982F7F" w:rsidRPr="00983E4B" w:rsidRDefault="00982F7F" w:rsidP="00982F7F">
      <w:pPr>
        <w:spacing w:line="240" w:lineRule="auto"/>
        <w:jc w:val="both"/>
        <w:rPr>
          <w:color w:val="002060"/>
        </w:rPr>
      </w:pPr>
      <w:r w:rsidRPr="00983E4B">
        <w:rPr>
          <w:color w:val="002060"/>
        </w:rPr>
        <w:t xml:space="preserve">The indicators required for budget support provide the basis for the policy dialogue and for evaluating the progress which determines the disbursement of variable tranches. All indicators are selected by the delegations in agreement with the partner country and in coordination with other donors. </w:t>
      </w:r>
    </w:p>
    <w:p w:rsidR="00982F7F" w:rsidRPr="00983E4B" w:rsidRDefault="00982F7F" w:rsidP="00982F7F">
      <w:pPr>
        <w:spacing w:line="240" w:lineRule="auto"/>
        <w:jc w:val="both"/>
        <w:rPr>
          <w:i/>
          <w:color w:val="002060"/>
        </w:rPr>
      </w:pPr>
      <w:r w:rsidRPr="00983E4B">
        <w:rPr>
          <w:color w:val="002060"/>
        </w:rPr>
        <w:t xml:space="preserve">These indicators should, wherever possible, be outcome (or result) indicators. In addition, input/process indicators and (direct) output indicators may also play a useful complementary role especially when the </w:t>
      </w:r>
      <w:proofErr w:type="spellStart"/>
      <w:r w:rsidRPr="00983E4B">
        <w:rPr>
          <w:color w:val="002060"/>
        </w:rPr>
        <w:t>programme</w:t>
      </w:r>
      <w:proofErr w:type="spellEnd"/>
      <w:r w:rsidRPr="00983E4B">
        <w:rPr>
          <w:color w:val="002060"/>
        </w:rPr>
        <w:t xml:space="preserve"> targets the regulatory framework or when outcome statistics are not considered sufficiently reliable. Impact indicators are in general not considered appropriate for conditionality given the potential importance of external factors and possible time lags. The selected indicators must be in line with existing policy data and indicators (partner country Performance Assessment Framework) and be coherent with the DEVCO results framework. Examples of indicators for budget support in decentralized contexts are provided in annex 1.</w:t>
      </w:r>
    </w:p>
    <w:p w:rsidR="00AA33C3" w:rsidRPr="00983E4B" w:rsidRDefault="00982F7F" w:rsidP="00AA33C3">
      <w:pPr>
        <w:autoSpaceDE w:val="0"/>
        <w:autoSpaceDN w:val="0"/>
        <w:adjustRightInd w:val="0"/>
        <w:spacing w:after="0" w:line="240" w:lineRule="auto"/>
        <w:jc w:val="both"/>
        <w:rPr>
          <w:color w:val="002060"/>
        </w:rPr>
      </w:pPr>
      <w:r w:rsidRPr="00983E4B">
        <w:rPr>
          <w:iCs/>
          <w:color w:val="002060"/>
        </w:rPr>
        <w:t xml:space="preserve">The choice of indicators is obviously crucial for successful implementation of a budget support </w:t>
      </w:r>
      <w:proofErr w:type="spellStart"/>
      <w:r w:rsidRPr="00983E4B">
        <w:rPr>
          <w:iCs/>
          <w:color w:val="002060"/>
        </w:rPr>
        <w:t>programme</w:t>
      </w:r>
      <w:proofErr w:type="spellEnd"/>
      <w:r w:rsidRPr="00983E4B">
        <w:rPr>
          <w:iCs/>
          <w:color w:val="002060"/>
        </w:rPr>
        <w:t>.  Only those indicators should be selected for which realistic medium term targets can be defined. Indicators must also be chosen in such way that there is no possibility of controversy when the evaluation of results is made. Therefore, only objectively verifiable indicators should be selected in the matrix of results. In all cases, the methodology to collect data needs to be clearly defined.</w:t>
      </w:r>
      <w:r w:rsidR="007A6900" w:rsidRPr="00983E4B">
        <w:rPr>
          <w:iCs/>
          <w:color w:val="002060"/>
        </w:rPr>
        <w:t xml:space="preserve"> </w:t>
      </w:r>
      <w:r w:rsidR="00AA33C3" w:rsidRPr="00983E4B">
        <w:rPr>
          <w:color w:val="002060"/>
        </w:rPr>
        <w:t xml:space="preserve">Measuring development results, is often made difficult by inadequate national statistical systems, which lack </w:t>
      </w:r>
      <w:r w:rsidR="00AA33C3" w:rsidRPr="00983E4B">
        <w:rPr>
          <w:rFonts w:ascii="TTE2FF6F20t00" w:hAnsi="TTE2FF6F20t00" w:cs="TTE2FF6F20t00"/>
          <w:color w:val="002060"/>
          <w:sz w:val="20"/>
          <w:szCs w:val="20"/>
        </w:rPr>
        <w:t xml:space="preserve">capacity for data collection and processing and cannot provide accurate, timely and appropriately disaggregated information. </w:t>
      </w:r>
      <w:r w:rsidR="00AA33C3" w:rsidRPr="00983E4B">
        <w:rPr>
          <w:color w:val="002060"/>
        </w:rPr>
        <w:t>In decentralizing contexts, the lack of disaggregated statistical information affects both (</w:t>
      </w:r>
      <w:proofErr w:type="spellStart"/>
      <w:r w:rsidR="00AA33C3" w:rsidRPr="00983E4B">
        <w:rPr>
          <w:color w:val="002060"/>
        </w:rPr>
        <w:t>i</w:t>
      </w:r>
      <w:proofErr w:type="spellEnd"/>
      <w:r w:rsidR="00AA33C3" w:rsidRPr="00983E4B">
        <w:rPr>
          <w:color w:val="002060"/>
        </w:rPr>
        <w:t xml:space="preserve">) the ability of national authorities to tailor programs to local realities and (ii) the ability of local authorities to carry out </w:t>
      </w:r>
      <w:r w:rsidR="00AA33C3" w:rsidRPr="00983E4B">
        <w:rPr>
          <w:rFonts w:ascii="TTE2FF6F20t00" w:hAnsi="TTE2FF6F20t00" w:cs="TTE2FF6F20t00"/>
          <w:color w:val="002060"/>
          <w:sz w:val="20"/>
          <w:szCs w:val="20"/>
        </w:rPr>
        <w:t xml:space="preserve">evidence-based deliberations and undertake sound </w:t>
      </w:r>
      <w:r w:rsidR="00AA33C3" w:rsidRPr="00983E4B">
        <w:rPr>
          <w:color w:val="002060"/>
        </w:rPr>
        <w:t>local development planning.  To address such difficulties, some countries have experimented with l</w:t>
      </w:r>
      <w:r w:rsidR="00AA33C3" w:rsidRPr="00983E4B">
        <w:rPr>
          <w:i/>
          <w:color w:val="002060"/>
        </w:rPr>
        <w:t>ocal performance assessment systems</w:t>
      </w:r>
      <w:r w:rsidR="00AA33C3" w:rsidRPr="00983E4B">
        <w:rPr>
          <w:color w:val="002060"/>
        </w:rPr>
        <w:t xml:space="preserve"> that rely on “bottom-up” community-based data collection and processing. Others have piloted the “</w:t>
      </w:r>
      <w:r w:rsidR="00AA33C3" w:rsidRPr="00983E4B">
        <w:rPr>
          <w:i/>
          <w:color w:val="002060"/>
        </w:rPr>
        <w:t>localization</w:t>
      </w:r>
      <w:r w:rsidR="00AA33C3" w:rsidRPr="00983E4B">
        <w:rPr>
          <w:color w:val="002060"/>
        </w:rPr>
        <w:t>” of national statistical systems and indicators</w:t>
      </w:r>
      <w:r w:rsidR="00AA33C3" w:rsidRPr="00983E4B">
        <w:rPr>
          <w:rStyle w:val="FootnoteReference"/>
          <w:color w:val="002060"/>
        </w:rPr>
        <w:footnoteReference w:id="12"/>
      </w:r>
      <w:r w:rsidR="00AA33C3" w:rsidRPr="00983E4B">
        <w:rPr>
          <w:color w:val="002060"/>
        </w:rPr>
        <w:t xml:space="preserve">. Whatever the approach, an effective local data collection and processing system must be part of any realistic </w:t>
      </w:r>
      <w:r w:rsidR="00EA191B" w:rsidRPr="00983E4B">
        <w:rPr>
          <w:color w:val="002060"/>
        </w:rPr>
        <w:t>subnational public policy</w:t>
      </w:r>
      <w:r w:rsidR="00AA33C3" w:rsidRPr="00983E4B">
        <w:rPr>
          <w:color w:val="002060"/>
        </w:rPr>
        <w:t xml:space="preserve">. </w:t>
      </w:r>
      <w:r w:rsidR="00A04FEA">
        <w:rPr>
          <w:color w:val="002060"/>
        </w:rPr>
        <w:t xml:space="preserve">In this </w:t>
      </w:r>
      <w:r w:rsidR="001A2A6F">
        <w:rPr>
          <w:color w:val="002060"/>
        </w:rPr>
        <w:t>context</w:t>
      </w:r>
      <w:r w:rsidR="00A04FEA">
        <w:rPr>
          <w:color w:val="002060"/>
        </w:rPr>
        <w:t xml:space="preserve">, it is </w:t>
      </w:r>
      <w:r w:rsidR="00474B02">
        <w:rPr>
          <w:color w:val="002060"/>
        </w:rPr>
        <w:t>also important to strengthen capacities for</w:t>
      </w:r>
      <w:r w:rsidR="001A2A6F">
        <w:rPr>
          <w:color w:val="002060"/>
        </w:rPr>
        <w:t xml:space="preserve"> the inclusion of horizontal issues, </w:t>
      </w:r>
      <w:r w:rsidR="00E5493E">
        <w:rPr>
          <w:color w:val="002060"/>
        </w:rPr>
        <w:t xml:space="preserve">notably with regard to </w:t>
      </w:r>
      <w:r w:rsidR="001A2A6F">
        <w:rPr>
          <w:color w:val="002060"/>
        </w:rPr>
        <w:t>gender</w:t>
      </w:r>
      <w:r w:rsidR="00E5493E">
        <w:rPr>
          <w:color w:val="002060"/>
        </w:rPr>
        <w:t xml:space="preserve"> and </w:t>
      </w:r>
      <w:r w:rsidR="001A2A6F">
        <w:rPr>
          <w:color w:val="002060"/>
        </w:rPr>
        <w:t xml:space="preserve">inequalities, in </w:t>
      </w:r>
      <w:proofErr w:type="gramStart"/>
      <w:r w:rsidR="001A2A6F">
        <w:rPr>
          <w:color w:val="002060"/>
        </w:rPr>
        <w:t xml:space="preserve">the </w:t>
      </w:r>
      <w:r w:rsidR="00474B02">
        <w:rPr>
          <w:color w:val="002060"/>
        </w:rPr>
        <w:t xml:space="preserve"> collection</w:t>
      </w:r>
      <w:proofErr w:type="gramEnd"/>
      <w:r w:rsidR="00474B02">
        <w:rPr>
          <w:color w:val="002060"/>
        </w:rPr>
        <w:t xml:space="preserve"> of data and </w:t>
      </w:r>
      <w:r w:rsidR="001A2A6F">
        <w:rPr>
          <w:color w:val="002060"/>
        </w:rPr>
        <w:t xml:space="preserve">the </w:t>
      </w:r>
      <w:r w:rsidR="00474B02">
        <w:rPr>
          <w:color w:val="002060"/>
        </w:rPr>
        <w:t>use of performance indicators</w:t>
      </w:r>
      <w:r w:rsidR="001A2A6F">
        <w:rPr>
          <w:color w:val="002060"/>
        </w:rPr>
        <w:t>.</w:t>
      </w:r>
      <w:r w:rsidR="00474B02">
        <w:rPr>
          <w:color w:val="002060"/>
        </w:rPr>
        <w:t xml:space="preserve"> </w:t>
      </w:r>
    </w:p>
    <w:p w:rsidR="00AA33C3" w:rsidRPr="00983E4B" w:rsidRDefault="00AA33C3" w:rsidP="00AA33C3">
      <w:pPr>
        <w:pStyle w:val="NoSpacing"/>
        <w:jc w:val="both"/>
        <w:rPr>
          <w:color w:val="002060"/>
        </w:rPr>
      </w:pPr>
    </w:p>
    <w:p w:rsidR="00AA33C3" w:rsidRPr="00983E4B" w:rsidRDefault="00AA33C3" w:rsidP="00AA33C3">
      <w:pPr>
        <w:pStyle w:val="NoSpacing"/>
        <w:jc w:val="both"/>
        <w:rPr>
          <w:color w:val="002060"/>
        </w:rPr>
      </w:pPr>
      <w:r w:rsidRPr="00983E4B">
        <w:rPr>
          <w:color w:val="002060"/>
        </w:rPr>
        <w:lastRenderedPageBreak/>
        <w:t xml:space="preserve">Also, assessing the performance of policies </w:t>
      </w:r>
      <w:r w:rsidR="007A6900" w:rsidRPr="00983E4B">
        <w:rPr>
          <w:color w:val="002060"/>
        </w:rPr>
        <w:t xml:space="preserve">with regard to decentralized contexts </w:t>
      </w:r>
      <w:r w:rsidRPr="00983E4B">
        <w:rPr>
          <w:color w:val="002060"/>
        </w:rPr>
        <w:t>includes measuring progress in creating a regulatory environment that promotes the autonomy and accountability of local authorities, and in building systems and capacities for local democracy and good local governance. Monitoring and evaluating progress along these “softer” dimensions requires adopting specific and realistic assessment frameworks. This may be facilitated by over two decades of efforts made by the international community, to clarify normative principles and develop assessment frameworks</w:t>
      </w:r>
      <w:r w:rsidRPr="00983E4B">
        <w:rPr>
          <w:rStyle w:val="FootnoteReference"/>
          <w:color w:val="002060"/>
        </w:rPr>
        <w:footnoteReference w:id="13"/>
      </w:r>
      <w:r w:rsidRPr="00983E4B">
        <w:rPr>
          <w:color w:val="002060"/>
        </w:rPr>
        <w:t xml:space="preserve"> based on them. Yet, the adoption, by partner countries and the EU, of country-specific decentralization policy and local governance assessment frameworks, and the endorsement of the normative principles which should guide them, can only be the result of a sustained, and in depth, policy dialogue. </w:t>
      </w:r>
    </w:p>
    <w:p w:rsidR="00827F52" w:rsidRPr="00983E4B" w:rsidRDefault="00827F52" w:rsidP="00AA33C3">
      <w:pPr>
        <w:pStyle w:val="NoSpacing"/>
        <w:jc w:val="both"/>
        <w:rPr>
          <w:color w:val="002060"/>
        </w:rPr>
      </w:pPr>
    </w:p>
    <w:p w:rsidR="00983E4B" w:rsidRDefault="00983E4B" w:rsidP="00AA33C3">
      <w:pPr>
        <w:rPr>
          <w:b/>
          <w:color w:val="0070C0"/>
          <w:sz w:val="28"/>
        </w:rPr>
      </w:pPr>
    </w:p>
    <w:p w:rsidR="00AA33C3" w:rsidRPr="00604E3A" w:rsidRDefault="00AA33C3" w:rsidP="00AA33C3">
      <w:pPr>
        <w:rPr>
          <w:b/>
          <w:color w:val="0070C0"/>
          <w:sz w:val="28"/>
        </w:rPr>
      </w:pPr>
      <w:r w:rsidRPr="00E977CE">
        <w:rPr>
          <w:b/>
          <w:color w:val="0070C0"/>
          <w:sz w:val="28"/>
        </w:rPr>
        <w:t>Risk Assessment</w:t>
      </w:r>
    </w:p>
    <w:p w:rsidR="00AA33C3" w:rsidRPr="001C0DE3" w:rsidRDefault="00AA33C3" w:rsidP="00AA33C3">
      <w:pPr>
        <w:pStyle w:val="NoSpacing"/>
        <w:jc w:val="both"/>
        <w:rPr>
          <w:color w:val="002060"/>
        </w:rPr>
      </w:pPr>
      <w:r w:rsidRPr="001C0DE3">
        <w:rPr>
          <w:color w:val="002060"/>
        </w:rPr>
        <w:t xml:space="preserve">The preparation of any EU-funded BS operation must be informed by a country-level Risk Management Framework (RMF) which focuses on country systems and aims to identify the risks that may impede achieving the </w:t>
      </w:r>
      <w:r w:rsidRPr="001C0DE3">
        <w:rPr>
          <w:i/>
          <w:color w:val="002060"/>
        </w:rPr>
        <w:t>general</w:t>
      </w:r>
      <w:r w:rsidRPr="001C0DE3">
        <w:rPr>
          <w:color w:val="002060"/>
        </w:rPr>
        <w:t xml:space="preserve"> objectives common to all budget support operations: eradicate poverty, sustainable and inclusive economic growth, and consolidate democracies.  The 2012 BS guidelines therefore suggest that “</w:t>
      </w:r>
      <w:r w:rsidRPr="001C0DE3">
        <w:rPr>
          <w:i/>
          <w:color w:val="002060"/>
        </w:rPr>
        <w:t>As the risks are assessed according to the general objectives of budget support in a country, it is not necessary to provide different assessments for different types of BS operations”.</w:t>
      </w:r>
      <w:r w:rsidRPr="001C0DE3">
        <w:rPr>
          <w:color w:val="002060"/>
        </w:rPr>
        <w:t xml:space="preserve"> </w:t>
      </w:r>
    </w:p>
    <w:p w:rsidR="00AA33C3" w:rsidRPr="001C0DE3" w:rsidRDefault="00AA33C3" w:rsidP="00AA33C3">
      <w:pPr>
        <w:pStyle w:val="NoSpacing"/>
        <w:jc w:val="both"/>
        <w:rPr>
          <w:color w:val="002060"/>
        </w:rPr>
      </w:pPr>
    </w:p>
    <w:p w:rsidR="00181741" w:rsidRPr="00983E4B" w:rsidRDefault="00AA33C3" w:rsidP="00AA33C3">
      <w:pPr>
        <w:pStyle w:val="NoSpacing"/>
        <w:jc w:val="both"/>
        <w:rPr>
          <w:color w:val="002060"/>
        </w:rPr>
      </w:pPr>
      <w:r w:rsidRPr="00983E4B">
        <w:rPr>
          <w:color w:val="002060"/>
        </w:rPr>
        <w:t xml:space="preserve">Yet, to inform the policy dialogue during preparation and implementation of BS </w:t>
      </w:r>
      <w:r w:rsidR="007A6900" w:rsidRPr="00983E4B">
        <w:rPr>
          <w:color w:val="002060"/>
        </w:rPr>
        <w:t>in decentralized contexts</w:t>
      </w:r>
      <w:r w:rsidRPr="00983E4B">
        <w:rPr>
          <w:color w:val="002060"/>
        </w:rPr>
        <w:t xml:space="preserve">, it is important to identify </w:t>
      </w:r>
      <w:r w:rsidR="00181741" w:rsidRPr="00983E4B">
        <w:rPr>
          <w:color w:val="002060"/>
        </w:rPr>
        <w:t xml:space="preserve">in the Action document </w:t>
      </w:r>
      <w:r w:rsidRPr="00983E4B">
        <w:rPr>
          <w:color w:val="002060"/>
        </w:rPr>
        <w:t xml:space="preserve">the specific risks that may be associated with the emergence of a decentralized, multi-level system of governance and public administration, drawing also on the results of the eligibility assessment. </w:t>
      </w:r>
      <w:r w:rsidR="0024335C" w:rsidRPr="00983E4B">
        <w:rPr>
          <w:color w:val="002060"/>
        </w:rPr>
        <w:t xml:space="preserve">Specific risks at subnational level could also be identified in the narrative part of the overall </w:t>
      </w:r>
      <w:r w:rsidR="00181741" w:rsidRPr="00983E4B">
        <w:rPr>
          <w:i/>
          <w:color w:val="002060"/>
        </w:rPr>
        <w:t>Risk management framework</w:t>
      </w:r>
      <w:r w:rsidR="00181741" w:rsidRPr="00983E4B">
        <w:rPr>
          <w:color w:val="002060"/>
        </w:rPr>
        <w:t xml:space="preserve"> </w:t>
      </w:r>
      <w:r w:rsidR="0024335C" w:rsidRPr="00983E4B">
        <w:rPr>
          <w:color w:val="002060"/>
        </w:rPr>
        <w:t xml:space="preserve">for budget support. </w:t>
      </w:r>
      <w:r w:rsidR="00181741" w:rsidRPr="00983E4B">
        <w:rPr>
          <w:color w:val="002060"/>
        </w:rPr>
        <w:t>Care should be taken to assign different risks to the right levels (central vs subnational) in order to identify potential conflicts and obstacles.</w:t>
      </w:r>
    </w:p>
    <w:p w:rsidR="00181741" w:rsidRDefault="00181741" w:rsidP="00AA33C3">
      <w:pPr>
        <w:pStyle w:val="NoSpacing"/>
        <w:jc w:val="both"/>
        <w:rPr>
          <w:color w:val="002060"/>
        </w:rPr>
      </w:pPr>
    </w:p>
    <w:p w:rsidR="00AA33C3" w:rsidRPr="001C0DE3" w:rsidRDefault="00181741" w:rsidP="00AA33C3">
      <w:pPr>
        <w:pStyle w:val="NoSpacing"/>
        <w:jc w:val="both"/>
        <w:rPr>
          <w:color w:val="002060"/>
        </w:rPr>
      </w:pPr>
      <w:r>
        <w:rPr>
          <w:color w:val="002060"/>
        </w:rPr>
        <w:t xml:space="preserve">Annex 2 provides a detailed overview of typical risks in decentralized contexts based on the </w:t>
      </w:r>
      <w:r w:rsidR="00AA33C3" w:rsidRPr="001C0DE3">
        <w:rPr>
          <w:color w:val="002060"/>
        </w:rPr>
        <w:t>risk categories and dimensions of the country-level RMF.</w:t>
      </w:r>
    </w:p>
    <w:p w:rsidR="00AA33C3" w:rsidRPr="001C0DE3" w:rsidRDefault="00AA33C3" w:rsidP="00AA33C3">
      <w:pPr>
        <w:pStyle w:val="NoSpacing"/>
        <w:rPr>
          <w:color w:val="002060"/>
          <w:sz w:val="28"/>
        </w:rPr>
      </w:pPr>
      <w:r w:rsidRPr="001C0DE3">
        <w:rPr>
          <w:color w:val="002060"/>
        </w:rPr>
        <w:t xml:space="preserve">   </w:t>
      </w:r>
    </w:p>
    <w:p w:rsidR="00AA33C3" w:rsidRPr="00BD444F" w:rsidRDefault="00AA33C3" w:rsidP="00AA33C3">
      <w:pPr>
        <w:rPr>
          <w:b/>
          <w:color w:val="0070C0"/>
          <w:sz w:val="28"/>
        </w:rPr>
      </w:pPr>
      <w:r w:rsidRPr="00E977CE">
        <w:rPr>
          <w:b/>
          <w:color w:val="0070C0"/>
          <w:sz w:val="28"/>
        </w:rPr>
        <w:t>Accountability</w:t>
      </w:r>
    </w:p>
    <w:p w:rsidR="00AA33C3" w:rsidRPr="001C0DE3" w:rsidRDefault="00AA33C3" w:rsidP="00AA33C3">
      <w:pPr>
        <w:spacing w:after="120" w:line="240" w:lineRule="auto"/>
        <w:jc w:val="both"/>
        <w:rPr>
          <w:color w:val="002060"/>
        </w:rPr>
      </w:pPr>
      <w:r w:rsidRPr="001C0DE3">
        <w:rPr>
          <w:color w:val="002060"/>
        </w:rPr>
        <w:t>Governments of partner countries should be accountable to both external partners and domestic constituencies for the process and outcomes of all externally funded BS operations. It remains therefore essential that effective domestic accountability mechanisms be in place</w:t>
      </w:r>
      <w:r w:rsidR="007A6900">
        <w:rPr>
          <w:color w:val="002060"/>
        </w:rPr>
        <w:t xml:space="preserve"> also at local level</w:t>
      </w:r>
      <w:r w:rsidRPr="001C0DE3">
        <w:rPr>
          <w:color w:val="002060"/>
        </w:rPr>
        <w:t xml:space="preserve">, and that as necessary and appropriate, they be strengthened through specific activities that may be included in the BS operation, or carried out through a separate project. These would be directed to support national legislative and oversight bodies, internal audit and control institutions as well as associations of sub-national authorities and civil society organizations, to contribute, as appropriate, to shape, monitor and evaluate BS </w:t>
      </w:r>
      <w:r w:rsidR="007A6900">
        <w:rPr>
          <w:color w:val="002060"/>
        </w:rPr>
        <w:t>in decentralized contexts</w:t>
      </w:r>
      <w:r w:rsidRPr="001C0DE3">
        <w:rPr>
          <w:color w:val="002060"/>
        </w:rPr>
        <w:t xml:space="preserve">. </w:t>
      </w:r>
    </w:p>
    <w:p w:rsidR="00AA33C3" w:rsidRPr="001C0DE3" w:rsidRDefault="00AA33C3" w:rsidP="00AA33C3">
      <w:pPr>
        <w:spacing w:after="120" w:line="240" w:lineRule="auto"/>
        <w:jc w:val="both"/>
        <w:rPr>
          <w:color w:val="002060"/>
        </w:rPr>
      </w:pPr>
      <w:r w:rsidRPr="001C0DE3">
        <w:rPr>
          <w:color w:val="002060"/>
        </w:rPr>
        <w:t>But, in addition to supporting national-level domestic accountability mechanisms and while promoting the level of local autonomy necessary for genuine local development to happen, BS should specifically aim at (</w:t>
      </w:r>
      <w:proofErr w:type="spellStart"/>
      <w:r w:rsidRPr="001C0DE3">
        <w:rPr>
          <w:color w:val="002060"/>
        </w:rPr>
        <w:t>i</w:t>
      </w:r>
      <w:proofErr w:type="spellEnd"/>
      <w:r w:rsidRPr="001C0DE3">
        <w:rPr>
          <w:color w:val="002060"/>
        </w:rPr>
        <w:t xml:space="preserve">) clearly </w:t>
      </w:r>
      <w:r w:rsidRPr="001C0DE3">
        <w:rPr>
          <w:color w:val="002060"/>
        </w:rPr>
        <w:lastRenderedPageBreak/>
        <w:t xml:space="preserve">defining Local Authorities’ accountability relations, (ii) strengthening the State capacity for  effective support and supervision of the Local Authorities sector and (iii) strengthening the institutions of public participation and social auditing for local policy-making that enable local constituencies to hold their authorities accountable. </w:t>
      </w:r>
    </w:p>
    <w:p w:rsidR="00AA33C3" w:rsidRPr="001C0DE3" w:rsidRDefault="00AA33C3" w:rsidP="00AA33C3">
      <w:pPr>
        <w:spacing w:after="120" w:line="240" w:lineRule="auto"/>
        <w:jc w:val="both"/>
        <w:rPr>
          <w:color w:val="002060"/>
        </w:rPr>
      </w:pPr>
      <w:r w:rsidRPr="001C0DE3">
        <w:rPr>
          <w:color w:val="002060"/>
        </w:rPr>
        <w:t xml:space="preserve">In practice, attention should be given to three types of accountability relations, which again may take different forms in different contexts: </w:t>
      </w:r>
    </w:p>
    <w:p w:rsidR="00AA33C3" w:rsidRPr="001C0DE3" w:rsidRDefault="00AA33C3" w:rsidP="007B70FF">
      <w:pPr>
        <w:pStyle w:val="ListParagraph"/>
        <w:numPr>
          <w:ilvl w:val="0"/>
          <w:numId w:val="22"/>
        </w:numPr>
        <w:spacing w:after="120" w:line="240" w:lineRule="auto"/>
        <w:jc w:val="both"/>
        <w:rPr>
          <w:color w:val="002060"/>
        </w:rPr>
      </w:pPr>
      <w:r w:rsidRPr="001C0DE3">
        <w:rPr>
          <w:i/>
          <w:color w:val="002060"/>
        </w:rPr>
        <w:t>Accountability of Local Authorities to the State</w:t>
      </w:r>
      <w:r w:rsidRPr="001C0DE3">
        <w:rPr>
          <w:color w:val="002060"/>
        </w:rPr>
        <w:t xml:space="preserve">. This calls for balancing autonomy and accountability, and enabling the State to provide facilitation services and technical assistance, exercise legality and/or opportunity controls, and monitoring local authorities’ performance. Experience shows that this is often made problematic by overlapping responsibilities and bureaucratic competition between multiple central government agencies. </w:t>
      </w:r>
    </w:p>
    <w:p w:rsidR="00AA33C3" w:rsidRPr="001C0DE3" w:rsidRDefault="00AA33C3" w:rsidP="007B70FF">
      <w:pPr>
        <w:pStyle w:val="ListParagraph"/>
        <w:numPr>
          <w:ilvl w:val="0"/>
          <w:numId w:val="22"/>
        </w:numPr>
        <w:spacing w:after="120" w:line="240" w:lineRule="auto"/>
        <w:jc w:val="both"/>
        <w:rPr>
          <w:color w:val="002060"/>
        </w:rPr>
      </w:pPr>
      <w:r w:rsidRPr="001C0DE3">
        <w:rPr>
          <w:i/>
          <w:color w:val="002060"/>
        </w:rPr>
        <w:t>Accountability of Local Authorities to their constituencies</w:t>
      </w:r>
      <w:r w:rsidRPr="001C0DE3">
        <w:rPr>
          <w:color w:val="002060"/>
        </w:rPr>
        <w:t xml:space="preserve">. This calls for the establishment of participatory planning, budgeting and implementation of local development and services delivery, and for building the capacity of local communities to monitor and audit their local authorities’ action.    </w:t>
      </w:r>
    </w:p>
    <w:p w:rsidR="00AA33C3" w:rsidRPr="001C0DE3" w:rsidRDefault="00AA33C3" w:rsidP="007B70FF">
      <w:pPr>
        <w:pStyle w:val="ListParagraph"/>
        <w:numPr>
          <w:ilvl w:val="0"/>
          <w:numId w:val="22"/>
        </w:numPr>
        <w:spacing w:after="120" w:line="240" w:lineRule="auto"/>
        <w:jc w:val="both"/>
        <w:rPr>
          <w:color w:val="002060"/>
        </w:rPr>
      </w:pPr>
      <w:r w:rsidRPr="001C0DE3">
        <w:rPr>
          <w:i/>
          <w:color w:val="002060"/>
        </w:rPr>
        <w:t>Internal accountability of local executives and administrations to elected councils</w:t>
      </w:r>
      <w:r w:rsidRPr="001C0DE3">
        <w:rPr>
          <w:color w:val="002060"/>
        </w:rPr>
        <w:t xml:space="preserve">. This is about ensuring the connection between policy-making policy implementation through locally accountable executive and administrative structures. This may be  problematic  where decentralization reforms do create elected councils, but either fail to provide them with a minimum of own administration capacity or assign to </w:t>
      </w:r>
      <w:proofErr w:type="spellStart"/>
      <w:r w:rsidRPr="001C0DE3">
        <w:rPr>
          <w:color w:val="002060"/>
        </w:rPr>
        <w:t>deconcentrated</w:t>
      </w:r>
      <w:proofErr w:type="spellEnd"/>
      <w:r w:rsidRPr="001C0DE3">
        <w:rPr>
          <w:color w:val="002060"/>
        </w:rPr>
        <w:t xml:space="preserve"> structures of the state (whose primary accountability remains indeed to the State), the task of formulating and implementing local development policies.  </w:t>
      </w:r>
    </w:p>
    <w:p w:rsidR="00AA33C3" w:rsidRDefault="00AA33C3" w:rsidP="00AA33C3">
      <w:pPr>
        <w:spacing w:after="120" w:line="240" w:lineRule="auto"/>
        <w:jc w:val="both"/>
        <w:rPr>
          <w:color w:val="002060"/>
        </w:rPr>
      </w:pPr>
      <w:r w:rsidRPr="001C0DE3">
        <w:rPr>
          <w:color w:val="002060"/>
        </w:rPr>
        <w:t xml:space="preserve">Other issues of accountability may need attention in the policy dialogue on BS </w:t>
      </w:r>
      <w:r w:rsidR="007A6900">
        <w:rPr>
          <w:color w:val="002060"/>
        </w:rPr>
        <w:t>in decentralized contexts</w:t>
      </w:r>
      <w:r w:rsidRPr="001C0DE3">
        <w:rPr>
          <w:color w:val="002060"/>
        </w:rPr>
        <w:t xml:space="preserve">. For example, a common one is whether national legislation is aligned with the principle of “non-subordination”, which makes all  local authorities accountable to the State (unitary or member of a federation), but no one accountable to another local authority (of higher rank). Often this is not the case and regional or provincial councils are given the final say on policy decisions made by lower-level districts or municipalities. The implications for local autonomy are obviously very different.    </w:t>
      </w:r>
    </w:p>
    <w:p w:rsidR="00535028" w:rsidRPr="001C0DE3" w:rsidRDefault="00535028" w:rsidP="00AA33C3">
      <w:pPr>
        <w:spacing w:after="120" w:line="240" w:lineRule="auto"/>
        <w:jc w:val="both"/>
        <w:rPr>
          <w:color w:val="002060"/>
        </w:rPr>
      </w:pPr>
    </w:p>
    <w:p w:rsidR="00366500" w:rsidRDefault="00AA33C3" w:rsidP="00AA33C3">
      <w:pPr>
        <w:spacing w:after="120" w:line="240" w:lineRule="auto"/>
        <w:jc w:val="both"/>
        <w:rPr>
          <w:color w:val="002060"/>
        </w:rPr>
      </w:pPr>
      <w:r w:rsidRPr="001C0DE3">
        <w:rPr>
          <w:color w:val="002060"/>
        </w:rPr>
        <w:t xml:space="preserve">Finally and with respect to government accountability to aid providers, BS </w:t>
      </w:r>
      <w:r w:rsidR="00A114C4">
        <w:rPr>
          <w:color w:val="002060"/>
        </w:rPr>
        <w:t xml:space="preserve">in decentralized contexts implies that </w:t>
      </w:r>
      <w:r w:rsidRPr="001C0DE3">
        <w:rPr>
          <w:color w:val="002060"/>
        </w:rPr>
        <w:t xml:space="preserve">accountability is effectively </w:t>
      </w:r>
      <w:r w:rsidRPr="001C0DE3">
        <w:rPr>
          <w:i/>
          <w:color w:val="002060"/>
        </w:rPr>
        <w:t>a joint one,</w:t>
      </w:r>
      <w:r w:rsidRPr="001C0DE3">
        <w:rPr>
          <w:color w:val="002060"/>
        </w:rPr>
        <w:t xml:space="preserve"> committing both central and local authorities</w:t>
      </w:r>
      <w:r w:rsidR="00A114C4">
        <w:rPr>
          <w:color w:val="002060"/>
        </w:rPr>
        <w:t>. T</w:t>
      </w:r>
      <w:r w:rsidRPr="001C0DE3">
        <w:rPr>
          <w:color w:val="002060"/>
        </w:rPr>
        <w:t xml:space="preserve">his calls for a forum for policy dialogue, on design and implementation of BS, in which local authorities are effectively represented (by their national association or selected/designated authorities depending on the scope of the program).  </w:t>
      </w:r>
    </w:p>
    <w:p w:rsidR="00983E4B" w:rsidRDefault="00983E4B" w:rsidP="00AA33C3">
      <w:pPr>
        <w:spacing w:after="120" w:line="240" w:lineRule="auto"/>
        <w:jc w:val="both"/>
        <w:rPr>
          <w:color w:val="002060"/>
        </w:rPr>
      </w:pPr>
    </w:p>
    <w:tbl>
      <w:tblPr>
        <w:tblStyle w:val="TableGrid"/>
        <w:tblW w:w="0" w:type="auto"/>
        <w:tblLook w:val="04A0" w:firstRow="1" w:lastRow="0" w:firstColumn="1" w:lastColumn="0" w:noHBand="0" w:noVBand="1"/>
      </w:tblPr>
      <w:tblGrid>
        <w:gridCol w:w="10220"/>
      </w:tblGrid>
      <w:tr w:rsidR="00983E4B" w:rsidRPr="00983E4B" w:rsidTr="007B70FF">
        <w:tc>
          <w:tcPr>
            <w:tcW w:w="10220" w:type="dxa"/>
            <w:shd w:val="clear" w:color="auto" w:fill="EEECE1" w:themeFill="background2"/>
          </w:tcPr>
          <w:p w:rsidR="00366500" w:rsidRPr="00983E4B" w:rsidRDefault="00366500" w:rsidP="007B70FF">
            <w:pPr>
              <w:keepNext/>
              <w:keepLines/>
              <w:shd w:val="clear" w:color="auto" w:fill="EEECE1" w:themeFill="background2"/>
              <w:spacing w:line="276" w:lineRule="auto"/>
              <w:outlineLvl w:val="4"/>
              <w:rPr>
                <w:rFonts w:cs="Times New Roman"/>
                <w:b/>
                <w:color w:val="002060"/>
              </w:rPr>
            </w:pPr>
            <w:r w:rsidRPr="00983E4B">
              <w:rPr>
                <w:rFonts w:cs="Times New Roman"/>
                <w:b/>
                <w:bCs/>
                <w:color w:val="002060"/>
              </w:rPr>
              <w:lastRenderedPageBreak/>
              <w:t xml:space="preserve">Box </w:t>
            </w:r>
            <w:r w:rsidR="00B43E41" w:rsidRPr="00983E4B">
              <w:rPr>
                <w:rFonts w:cs="Times New Roman"/>
                <w:b/>
                <w:bCs/>
                <w:color w:val="002060"/>
              </w:rPr>
              <w:t>5</w:t>
            </w:r>
            <w:r w:rsidRPr="00983E4B">
              <w:rPr>
                <w:rFonts w:cs="Times New Roman"/>
                <w:b/>
                <w:color w:val="002060"/>
              </w:rPr>
              <w:t xml:space="preserve">:  Peru - </w:t>
            </w:r>
            <w:r w:rsidRPr="00983E4B">
              <w:rPr>
                <w:rFonts w:cs="Times New Roman"/>
                <w:b/>
                <w:color w:val="002060"/>
                <w:u w:val="single"/>
              </w:rPr>
              <w:t>Mutual accountability (national and regional level) for results</w:t>
            </w:r>
          </w:p>
          <w:p w:rsidR="00366500" w:rsidRPr="00983E4B" w:rsidRDefault="00366500" w:rsidP="00366500">
            <w:pPr>
              <w:rPr>
                <w:rFonts w:cs="Times New Roman"/>
                <w:bCs/>
                <w:color w:val="002060"/>
              </w:rPr>
            </w:pPr>
          </w:p>
          <w:p w:rsidR="00366500" w:rsidRPr="00983E4B" w:rsidRDefault="00366500" w:rsidP="00366500">
            <w:pPr>
              <w:jc w:val="both"/>
              <w:rPr>
                <w:rFonts w:cs="Times New Roman"/>
                <w:bCs/>
                <w:color w:val="002060"/>
              </w:rPr>
            </w:pPr>
            <w:r w:rsidRPr="00983E4B">
              <w:rPr>
                <w:rFonts w:cs="Times New Roman"/>
                <w:bCs/>
                <w:color w:val="002060"/>
              </w:rPr>
              <w:t xml:space="preserve">Over the past years the EU has provided sector budget support for the implementation of national strategies promoting social inclusion, particularly in the areas of health and child malnutrition. </w:t>
            </w:r>
            <w:r w:rsidR="00B43E41" w:rsidRPr="00983E4B">
              <w:rPr>
                <w:rFonts w:cs="Times New Roman"/>
                <w:bCs/>
                <w:color w:val="002060"/>
              </w:rPr>
              <w:t xml:space="preserve">The government </w:t>
            </w:r>
            <w:r w:rsidRPr="00983E4B">
              <w:rPr>
                <w:rFonts w:cs="Times New Roman"/>
                <w:bCs/>
                <w:color w:val="002060"/>
              </w:rPr>
              <w:t>sought to creatively integrate the local dimension into the process taking into account the existence of huge territorial inequalities in the country. As a result, it was decided to ‘</w:t>
            </w:r>
            <w:r w:rsidR="00983E4B" w:rsidRPr="00983E4B">
              <w:rPr>
                <w:rFonts w:cs="Times New Roman"/>
                <w:bCs/>
                <w:color w:val="002060"/>
              </w:rPr>
              <w:t>regionalize</w:t>
            </w:r>
            <w:r w:rsidRPr="00983E4B">
              <w:rPr>
                <w:rFonts w:cs="Times New Roman"/>
                <w:bCs/>
                <w:color w:val="002060"/>
              </w:rPr>
              <w:t xml:space="preserve">’ the budget support operation. The MEF remained the beneficiary of the budget support and in charge of implementation, yet the measurement of the indicators foreseen for the variable tranche focalized on 54 districts of the three poorest regions of Peru. This made it possible to adapt indicators to diverging territorial realities and actively engage the regional authorities and other stakeholders around the delivery of the program’s objectives. </w:t>
            </w:r>
          </w:p>
          <w:p w:rsidR="00366500" w:rsidRPr="00983E4B" w:rsidRDefault="00366500" w:rsidP="00366500">
            <w:pPr>
              <w:jc w:val="both"/>
              <w:rPr>
                <w:rFonts w:cs="Times New Roman"/>
                <w:bCs/>
                <w:color w:val="002060"/>
              </w:rPr>
            </w:pPr>
          </w:p>
          <w:p w:rsidR="00366500" w:rsidRPr="00983E4B" w:rsidRDefault="00366500" w:rsidP="00DB549F">
            <w:pPr>
              <w:jc w:val="both"/>
              <w:rPr>
                <w:color w:val="002060"/>
              </w:rPr>
            </w:pPr>
            <w:r w:rsidRPr="00983E4B">
              <w:rPr>
                <w:rFonts w:cs="Times New Roman"/>
                <w:bCs/>
                <w:color w:val="002060"/>
              </w:rPr>
              <w:t>To underpin this, the M</w:t>
            </w:r>
            <w:r w:rsidR="00B43E41" w:rsidRPr="00983E4B">
              <w:rPr>
                <w:rFonts w:cs="Times New Roman"/>
                <w:bCs/>
                <w:color w:val="002060"/>
              </w:rPr>
              <w:t>inistry of Economy and Finance</w:t>
            </w:r>
            <w:r w:rsidRPr="00983E4B">
              <w:rPr>
                <w:rFonts w:cs="Times New Roman"/>
                <w:bCs/>
                <w:color w:val="002060"/>
              </w:rPr>
              <w:t xml:space="preserve"> concluded specific contractual arrangements with the three regions to associate them as partners in the implementation of the national policy and establish relations of mutual accountability for achieving the expected results. The central government thus integrat</w:t>
            </w:r>
            <w:r w:rsidR="00B43E41" w:rsidRPr="00983E4B">
              <w:rPr>
                <w:rFonts w:cs="Times New Roman"/>
                <w:bCs/>
                <w:color w:val="002060"/>
              </w:rPr>
              <w:t>ed</w:t>
            </w:r>
            <w:r w:rsidRPr="00983E4B">
              <w:rPr>
                <w:rFonts w:cs="Times New Roman"/>
                <w:bCs/>
                <w:color w:val="002060"/>
              </w:rPr>
              <w:t xml:space="preserve"> the local dimension and </w:t>
            </w:r>
            <w:r w:rsidR="00B43E41" w:rsidRPr="00983E4B">
              <w:rPr>
                <w:rFonts w:cs="Times New Roman"/>
                <w:bCs/>
                <w:color w:val="002060"/>
              </w:rPr>
              <w:t xml:space="preserve">strengthened </w:t>
            </w:r>
            <w:r w:rsidR="00BB0E18" w:rsidRPr="00983E4B">
              <w:rPr>
                <w:rFonts w:cs="Times New Roman"/>
                <w:bCs/>
                <w:color w:val="002060"/>
              </w:rPr>
              <w:t xml:space="preserve">subnational authorities' </w:t>
            </w:r>
            <w:r w:rsidRPr="00983E4B">
              <w:rPr>
                <w:rFonts w:cs="Times New Roman"/>
                <w:bCs/>
                <w:color w:val="002060"/>
              </w:rPr>
              <w:t xml:space="preserve">responsibility for improving services. The regionalized budget support included complementary measures that focused on strengthening local PEFAs and other supporting institutional infrastructure. </w:t>
            </w:r>
          </w:p>
        </w:tc>
      </w:tr>
    </w:tbl>
    <w:p w:rsidR="00366500" w:rsidRDefault="00366500" w:rsidP="00AA33C3">
      <w:pPr>
        <w:spacing w:after="120" w:line="240" w:lineRule="auto"/>
        <w:jc w:val="both"/>
        <w:rPr>
          <w:color w:val="002060"/>
        </w:rPr>
      </w:pPr>
    </w:p>
    <w:p w:rsidR="00983E4B" w:rsidRDefault="00983E4B">
      <w:pPr>
        <w:rPr>
          <w:rFonts w:eastAsia="Times New Roman" w:cs="Times New Roman"/>
          <w:b/>
          <w:bCs/>
          <w:color w:val="0070C0"/>
          <w:sz w:val="32"/>
          <w:szCs w:val="32"/>
          <w:lang w:val="en-GB" w:eastAsia="ja-JP"/>
        </w:rPr>
      </w:pPr>
      <w:r>
        <w:rPr>
          <w:b/>
          <w:color w:val="0070C0"/>
        </w:rPr>
        <w:br w:type="page"/>
      </w:r>
    </w:p>
    <w:p w:rsidR="00AA33C3" w:rsidRDefault="00AA33C3" w:rsidP="00AA33C3">
      <w:pPr>
        <w:pStyle w:val="Heading1"/>
        <w:rPr>
          <w:rFonts w:asciiTheme="minorHAnsi" w:hAnsiTheme="minorHAnsi"/>
          <w:b/>
          <w:color w:val="0070C0"/>
        </w:rPr>
      </w:pPr>
      <w:r>
        <w:rPr>
          <w:rFonts w:asciiTheme="minorHAnsi" w:hAnsiTheme="minorHAnsi"/>
          <w:b/>
          <w:color w:val="0070C0"/>
        </w:rPr>
        <w:lastRenderedPageBreak/>
        <w:t>Conclusions</w:t>
      </w:r>
    </w:p>
    <w:p w:rsidR="00AA33C3" w:rsidRPr="003040BA" w:rsidRDefault="00AA33C3" w:rsidP="00AA33C3">
      <w:pPr>
        <w:spacing w:after="120" w:line="240" w:lineRule="auto"/>
        <w:jc w:val="both"/>
        <w:rPr>
          <w:color w:val="002060"/>
          <w:szCs w:val="18"/>
        </w:rPr>
      </w:pPr>
      <w:r w:rsidRPr="003040BA">
        <w:rPr>
          <w:color w:val="002060"/>
          <w:szCs w:val="18"/>
        </w:rPr>
        <w:t>Decentraliz</w:t>
      </w:r>
      <w:r w:rsidR="006F7D0A">
        <w:rPr>
          <w:color w:val="002060"/>
          <w:szCs w:val="18"/>
        </w:rPr>
        <w:t>ed</w:t>
      </w:r>
      <w:r w:rsidRPr="003040BA">
        <w:rPr>
          <w:color w:val="002060"/>
          <w:szCs w:val="18"/>
        </w:rPr>
        <w:t xml:space="preserve"> countries may be defined as those that have chosen to undertake a decentralization reform process of variable scope and depth, find themselves at different stages of such processes and currently experience a greater or lesser momentum in the reform process. After more than two decades of worldwide decentralization reforms, most EU partner countries actually fit this broad definition.</w:t>
      </w:r>
    </w:p>
    <w:p w:rsidR="00AA33C3" w:rsidRDefault="00AA33C3" w:rsidP="00AA33C3">
      <w:pPr>
        <w:spacing w:after="120" w:line="240" w:lineRule="auto"/>
        <w:jc w:val="both"/>
        <w:rPr>
          <w:color w:val="002060"/>
          <w:szCs w:val="18"/>
        </w:rPr>
      </w:pPr>
      <w:r>
        <w:rPr>
          <w:color w:val="002060"/>
          <w:szCs w:val="18"/>
        </w:rPr>
        <w:t>T</w:t>
      </w:r>
      <w:r w:rsidRPr="003040BA">
        <w:rPr>
          <w:color w:val="002060"/>
          <w:szCs w:val="18"/>
        </w:rPr>
        <w:t>he EU Budget Support operations in decentraliz</w:t>
      </w:r>
      <w:r w:rsidR="006F7D0A">
        <w:rPr>
          <w:color w:val="002060"/>
          <w:szCs w:val="18"/>
        </w:rPr>
        <w:t>ed</w:t>
      </w:r>
      <w:r w:rsidRPr="003040BA">
        <w:rPr>
          <w:color w:val="002060"/>
          <w:szCs w:val="18"/>
        </w:rPr>
        <w:t xml:space="preserve"> countries need to be consistent with the EU policy commitment to strengthen the developmental and democratic role of local authorities. This may be operationalized through the three </w:t>
      </w:r>
      <w:r w:rsidR="00B10BDC">
        <w:rPr>
          <w:color w:val="002060"/>
          <w:szCs w:val="18"/>
        </w:rPr>
        <w:t xml:space="preserve">categories of </w:t>
      </w:r>
      <w:r>
        <w:rPr>
          <w:color w:val="002060"/>
          <w:szCs w:val="18"/>
        </w:rPr>
        <w:t xml:space="preserve">BS operations </w:t>
      </w:r>
      <w:r w:rsidR="00B10BDC">
        <w:rPr>
          <w:color w:val="002060"/>
          <w:szCs w:val="18"/>
        </w:rPr>
        <w:t xml:space="preserve">in decentralized contexts </w:t>
      </w:r>
      <w:r w:rsidRPr="003040BA">
        <w:rPr>
          <w:color w:val="002060"/>
          <w:szCs w:val="18"/>
        </w:rPr>
        <w:t>identified in this note</w:t>
      </w:r>
      <w:r>
        <w:rPr>
          <w:color w:val="002060"/>
          <w:szCs w:val="18"/>
        </w:rPr>
        <w:t xml:space="preserve">. The Note also </w:t>
      </w:r>
      <w:r w:rsidRPr="003040BA">
        <w:rPr>
          <w:color w:val="002060"/>
          <w:szCs w:val="18"/>
        </w:rPr>
        <w:t xml:space="preserve">provides a framework to assess the eligibility </w:t>
      </w:r>
      <w:r>
        <w:rPr>
          <w:color w:val="002060"/>
          <w:szCs w:val="18"/>
        </w:rPr>
        <w:t xml:space="preserve">of BS operations, </w:t>
      </w:r>
      <w:r w:rsidRPr="003040BA">
        <w:rPr>
          <w:color w:val="002060"/>
          <w:szCs w:val="18"/>
        </w:rPr>
        <w:t>in terms of the four EU standard criteria (policy relevance, macroeconomic sustainability, quality of PFM system and Budget Transparency) and reviews the general issues of process and content that need to be addressed when preparing these BS operations.</w:t>
      </w:r>
    </w:p>
    <w:p w:rsidR="00AA33C3" w:rsidRDefault="00AA33C3" w:rsidP="00AA33C3">
      <w:pPr>
        <w:spacing w:after="120" w:line="240" w:lineRule="auto"/>
        <w:jc w:val="both"/>
        <w:rPr>
          <w:color w:val="002060"/>
          <w:szCs w:val="18"/>
        </w:rPr>
      </w:pPr>
      <w:r>
        <w:rPr>
          <w:color w:val="002060"/>
          <w:szCs w:val="18"/>
        </w:rPr>
        <w:t xml:space="preserve">Based on the general programming options outlined in this Note, EU Delegations should be able to identify the actual scope for </w:t>
      </w:r>
      <w:r w:rsidR="00B10BDC">
        <w:rPr>
          <w:color w:val="002060"/>
          <w:szCs w:val="18"/>
        </w:rPr>
        <w:t xml:space="preserve">budget </w:t>
      </w:r>
      <w:r>
        <w:rPr>
          <w:color w:val="002060"/>
          <w:szCs w:val="18"/>
        </w:rPr>
        <w:t xml:space="preserve">support </w:t>
      </w:r>
      <w:r w:rsidR="00B10BDC">
        <w:rPr>
          <w:color w:val="002060"/>
          <w:szCs w:val="18"/>
        </w:rPr>
        <w:t xml:space="preserve">in decentralized contexts </w:t>
      </w:r>
      <w:r>
        <w:rPr>
          <w:color w:val="002060"/>
          <w:szCs w:val="18"/>
        </w:rPr>
        <w:t xml:space="preserve">in their respective countries. They should then be able to determine </w:t>
      </w:r>
      <w:r w:rsidR="00B10BDC">
        <w:rPr>
          <w:color w:val="002060"/>
          <w:szCs w:val="18"/>
        </w:rPr>
        <w:t>issues for</w:t>
      </w:r>
      <w:r>
        <w:rPr>
          <w:color w:val="002060"/>
          <w:szCs w:val="18"/>
        </w:rPr>
        <w:t xml:space="preserve"> the policy dialogue associated with the preparation of </w:t>
      </w:r>
      <w:r w:rsidR="00B10BDC">
        <w:rPr>
          <w:color w:val="002060"/>
          <w:szCs w:val="18"/>
        </w:rPr>
        <w:t xml:space="preserve">these </w:t>
      </w:r>
      <w:r>
        <w:rPr>
          <w:color w:val="002060"/>
          <w:szCs w:val="18"/>
        </w:rPr>
        <w:t>BS operations</w:t>
      </w:r>
      <w:r w:rsidR="00B10BDC">
        <w:rPr>
          <w:color w:val="002060"/>
          <w:szCs w:val="18"/>
        </w:rPr>
        <w:t>.</w:t>
      </w:r>
    </w:p>
    <w:p w:rsidR="00AA33C3" w:rsidRPr="00320160" w:rsidRDefault="00AA33C3" w:rsidP="00AA33C3">
      <w:pPr>
        <w:spacing w:after="120" w:line="240" w:lineRule="auto"/>
        <w:jc w:val="both"/>
        <w:rPr>
          <w:color w:val="002060"/>
          <w:sz w:val="28"/>
        </w:rPr>
      </w:pPr>
      <w:r>
        <w:rPr>
          <w:color w:val="002060"/>
        </w:rPr>
        <w:t>DEVCO B2 and DEVCO 03</w:t>
      </w:r>
      <w:r w:rsidRPr="001D0F2F">
        <w:rPr>
          <w:color w:val="002060"/>
        </w:rPr>
        <w:t xml:space="preserve"> </w:t>
      </w:r>
      <w:r w:rsidR="00B807EE">
        <w:rPr>
          <w:color w:val="002060"/>
        </w:rPr>
        <w:t xml:space="preserve">can support this work by offering expertise in the form of missions and/or remote working and the provision of external expertise </w:t>
      </w:r>
      <w:r w:rsidRPr="001D0F2F">
        <w:rPr>
          <w:color w:val="002060"/>
        </w:rPr>
        <w:t>/ consultants</w:t>
      </w:r>
      <w:r w:rsidR="00B807EE">
        <w:rPr>
          <w:color w:val="002060"/>
        </w:rPr>
        <w:t xml:space="preserve"> for Delegations which request it</w:t>
      </w:r>
      <w:r w:rsidR="00B10BDC">
        <w:rPr>
          <w:color w:val="002060"/>
        </w:rPr>
        <w:t>.</w:t>
      </w:r>
      <w:r w:rsidRPr="001D0F2F">
        <w:rPr>
          <w:color w:val="002060"/>
        </w:rPr>
        <w:t xml:space="preserve"> </w:t>
      </w:r>
      <w:r>
        <w:rPr>
          <w:color w:val="002060"/>
          <w:szCs w:val="18"/>
        </w:rPr>
        <w:t xml:space="preserve"> </w:t>
      </w:r>
    </w:p>
    <w:p w:rsidR="00AA33C3" w:rsidRDefault="00AA33C3" w:rsidP="00AA33C3"/>
    <w:p w:rsidR="00983E4B" w:rsidRDefault="00983E4B" w:rsidP="00AA33C3"/>
    <w:p w:rsidR="00983E4B" w:rsidRPr="003040BA" w:rsidRDefault="00983E4B" w:rsidP="00AA33C3"/>
    <w:p w:rsidR="0024335C" w:rsidRPr="00983E4B" w:rsidRDefault="0024335C" w:rsidP="0024335C">
      <w:pPr>
        <w:rPr>
          <w:b/>
          <w:color w:val="002060"/>
          <w:sz w:val="24"/>
          <w:szCs w:val="24"/>
        </w:rPr>
      </w:pPr>
      <w:r w:rsidRPr="00983E4B">
        <w:rPr>
          <w:b/>
          <w:color w:val="002060"/>
          <w:sz w:val="24"/>
          <w:szCs w:val="24"/>
        </w:rPr>
        <w:t xml:space="preserve">List of annexes: </w:t>
      </w:r>
    </w:p>
    <w:p w:rsidR="008D6B48" w:rsidRPr="00983E4B" w:rsidRDefault="008D6B48" w:rsidP="0024335C">
      <w:pPr>
        <w:rPr>
          <w:rStyle w:val="SubtleEmphasis"/>
          <w:rFonts w:asciiTheme="minorHAnsi" w:hAnsiTheme="minorHAnsi"/>
          <w:b w:val="0"/>
          <w:color w:val="002060"/>
          <w:sz w:val="24"/>
          <w:szCs w:val="24"/>
        </w:rPr>
      </w:pPr>
      <w:r w:rsidRPr="00983E4B">
        <w:rPr>
          <w:rStyle w:val="SubtleEmphasis"/>
          <w:rFonts w:asciiTheme="minorHAnsi" w:hAnsiTheme="minorHAnsi"/>
          <w:b w:val="0"/>
          <w:color w:val="002060"/>
          <w:sz w:val="24"/>
          <w:szCs w:val="24"/>
        </w:rPr>
        <w:t>Annex 1: Typology of budget support in decentralised contexts (synthesis)</w:t>
      </w:r>
    </w:p>
    <w:p w:rsidR="0024335C" w:rsidRPr="00983E4B" w:rsidRDefault="0024335C" w:rsidP="0024335C">
      <w:pPr>
        <w:rPr>
          <w:rStyle w:val="SubtleEmphasis"/>
          <w:rFonts w:asciiTheme="minorHAnsi" w:hAnsiTheme="minorHAnsi"/>
          <w:b w:val="0"/>
          <w:color w:val="002060"/>
          <w:sz w:val="24"/>
          <w:szCs w:val="24"/>
        </w:rPr>
      </w:pPr>
      <w:r w:rsidRPr="00983E4B">
        <w:rPr>
          <w:rStyle w:val="SubtleEmphasis"/>
          <w:rFonts w:asciiTheme="minorHAnsi" w:hAnsiTheme="minorHAnsi"/>
          <w:b w:val="0"/>
          <w:color w:val="002060"/>
          <w:sz w:val="24"/>
          <w:szCs w:val="24"/>
        </w:rPr>
        <w:t xml:space="preserve">Annex </w:t>
      </w:r>
      <w:r w:rsidR="008D6B48" w:rsidRPr="00983E4B">
        <w:rPr>
          <w:rStyle w:val="SubtleEmphasis"/>
          <w:rFonts w:asciiTheme="minorHAnsi" w:hAnsiTheme="minorHAnsi"/>
          <w:b w:val="0"/>
          <w:color w:val="002060"/>
          <w:sz w:val="24"/>
          <w:szCs w:val="24"/>
        </w:rPr>
        <w:t>2</w:t>
      </w:r>
      <w:r w:rsidRPr="00983E4B">
        <w:rPr>
          <w:rStyle w:val="SubtleEmphasis"/>
          <w:rFonts w:asciiTheme="minorHAnsi" w:hAnsiTheme="minorHAnsi"/>
          <w:b w:val="0"/>
          <w:color w:val="002060"/>
          <w:sz w:val="24"/>
          <w:szCs w:val="24"/>
        </w:rPr>
        <w:t xml:space="preserve">: </w:t>
      </w:r>
      <w:r w:rsidRPr="00983E4B">
        <w:rPr>
          <w:rStyle w:val="SubtleEmphasis"/>
          <w:rFonts w:asciiTheme="minorHAnsi" w:hAnsiTheme="minorHAnsi"/>
          <w:b w:val="0"/>
          <w:color w:val="002060"/>
          <w:sz w:val="24"/>
          <w:szCs w:val="24"/>
        </w:rPr>
        <w:tab/>
        <w:t xml:space="preserve">Examples of indicators relating to budget support operations in decentralized contexts </w:t>
      </w:r>
    </w:p>
    <w:p w:rsidR="008D6B48" w:rsidRPr="00983E4B" w:rsidRDefault="0024335C">
      <w:pPr>
        <w:rPr>
          <w:rStyle w:val="SubtleEmphasis"/>
          <w:rFonts w:asciiTheme="minorHAnsi" w:hAnsiTheme="minorHAnsi"/>
          <w:b w:val="0"/>
          <w:color w:val="002060"/>
          <w:sz w:val="24"/>
          <w:szCs w:val="24"/>
        </w:rPr>
      </w:pPr>
      <w:r w:rsidRPr="00983E4B">
        <w:rPr>
          <w:rStyle w:val="SubtleEmphasis"/>
          <w:rFonts w:asciiTheme="minorHAnsi" w:hAnsiTheme="minorHAnsi"/>
          <w:b w:val="0"/>
          <w:color w:val="002060"/>
          <w:sz w:val="24"/>
          <w:szCs w:val="24"/>
        </w:rPr>
        <w:t xml:space="preserve">Annex </w:t>
      </w:r>
      <w:r w:rsidR="008D6B48" w:rsidRPr="00983E4B">
        <w:rPr>
          <w:rStyle w:val="SubtleEmphasis"/>
          <w:rFonts w:asciiTheme="minorHAnsi" w:hAnsiTheme="minorHAnsi"/>
          <w:b w:val="0"/>
          <w:color w:val="002060"/>
          <w:sz w:val="24"/>
          <w:szCs w:val="24"/>
        </w:rPr>
        <w:t>3</w:t>
      </w:r>
      <w:r w:rsidRPr="00983E4B">
        <w:rPr>
          <w:rStyle w:val="SubtleEmphasis"/>
          <w:rFonts w:asciiTheme="minorHAnsi" w:hAnsiTheme="minorHAnsi"/>
          <w:b w:val="0"/>
          <w:color w:val="002060"/>
          <w:sz w:val="24"/>
          <w:szCs w:val="24"/>
        </w:rPr>
        <w:t xml:space="preserve">: </w:t>
      </w:r>
      <w:r w:rsidRPr="00983E4B">
        <w:rPr>
          <w:rStyle w:val="SubtleEmphasis"/>
          <w:rFonts w:asciiTheme="minorHAnsi" w:hAnsiTheme="minorHAnsi"/>
          <w:b w:val="0"/>
          <w:color w:val="002060"/>
          <w:sz w:val="24"/>
          <w:szCs w:val="24"/>
        </w:rPr>
        <w:tab/>
      </w:r>
      <w:r w:rsidRPr="00983E4B">
        <w:rPr>
          <w:rFonts w:cs="PF Square Sans Pro Medium"/>
          <w:color w:val="002060"/>
          <w:sz w:val="24"/>
          <w:szCs w:val="24"/>
        </w:rPr>
        <w:t>Overview of typical risks in decentralized contexts</w:t>
      </w:r>
      <w:r w:rsidRPr="00983E4B">
        <w:rPr>
          <w:rStyle w:val="SubtleEmphasis"/>
          <w:rFonts w:asciiTheme="minorHAnsi" w:hAnsiTheme="minorHAnsi"/>
          <w:b w:val="0"/>
          <w:color w:val="002060"/>
          <w:sz w:val="24"/>
          <w:szCs w:val="24"/>
        </w:rPr>
        <w:t xml:space="preserve"> </w:t>
      </w:r>
    </w:p>
    <w:p w:rsidR="008D6B48" w:rsidRDefault="008D6B48">
      <w:pPr>
        <w:rPr>
          <w:rFonts w:cs="PF Square Sans Pro Medium"/>
          <w:color w:val="002060"/>
        </w:rPr>
        <w:sectPr w:rsidR="008D6B48" w:rsidSect="00984A13">
          <w:headerReference w:type="default" r:id="rId11"/>
          <w:footerReference w:type="default" r:id="rId12"/>
          <w:footerReference w:type="first" r:id="rId13"/>
          <w:pgSz w:w="12240" w:h="15840"/>
          <w:pgMar w:top="1440" w:right="1080" w:bottom="1440" w:left="1080" w:header="720" w:footer="720" w:gutter="0"/>
          <w:pgNumType w:start="0"/>
          <w:cols w:space="720"/>
          <w:titlePg/>
          <w:docGrid w:linePitch="360"/>
        </w:sectPr>
      </w:pPr>
    </w:p>
    <w:p w:rsidR="004F0A45" w:rsidRPr="007B70FF" w:rsidRDefault="004F0A45">
      <w:pPr>
        <w:rPr>
          <w:rFonts w:cs="PF Square Sans Pro Medium"/>
          <w:b/>
          <w:sz w:val="24"/>
          <w:szCs w:val="24"/>
          <w:u w:val="single"/>
        </w:rPr>
      </w:pPr>
      <w:r w:rsidRPr="007B70FF">
        <w:rPr>
          <w:rFonts w:cs="PF Square Sans Pro Medium"/>
          <w:b/>
          <w:sz w:val="24"/>
          <w:szCs w:val="24"/>
          <w:u w:val="single"/>
        </w:rPr>
        <w:lastRenderedPageBreak/>
        <w:t>Annex 1: Typology of budget support in decentralized contexts (synthesis)</w:t>
      </w:r>
    </w:p>
    <w:p w:rsidR="003945C8" w:rsidRPr="007B70FF" w:rsidRDefault="003945C8">
      <w:pPr>
        <w:rPr>
          <w:rFonts w:cs="PF Square Sans Pro Medium"/>
          <w:b/>
          <w:color w:val="002060"/>
          <w:sz w:val="24"/>
          <w:szCs w:val="24"/>
          <w:u w:val="single"/>
        </w:rPr>
      </w:pPr>
    </w:p>
    <w:tbl>
      <w:tblPr>
        <w:tblW w:w="13231" w:type="dxa"/>
        <w:tblCellMar>
          <w:left w:w="0" w:type="dxa"/>
          <w:right w:w="0" w:type="dxa"/>
        </w:tblCellMar>
        <w:tblLook w:val="0420" w:firstRow="1" w:lastRow="0" w:firstColumn="0" w:lastColumn="0" w:noHBand="0" w:noVBand="1"/>
      </w:tblPr>
      <w:tblGrid>
        <w:gridCol w:w="2504"/>
        <w:gridCol w:w="3369"/>
        <w:gridCol w:w="3726"/>
        <w:gridCol w:w="3632"/>
      </w:tblGrid>
      <w:tr w:rsidR="004F0A45" w:rsidRPr="00122657" w:rsidTr="007B70FF">
        <w:trPr>
          <w:trHeight w:val="1096"/>
        </w:trPr>
        <w:tc>
          <w:tcPr>
            <w:tcW w:w="2504"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4F0A45" w:rsidRPr="007B70FF" w:rsidRDefault="004F0A45" w:rsidP="007B70FF">
            <w:pPr>
              <w:spacing w:after="0" w:line="240" w:lineRule="auto"/>
              <w:jc w:val="center"/>
              <w:rPr>
                <w:rFonts w:eastAsia="Times New Roman" w:cs="Arial"/>
                <w:sz w:val="24"/>
                <w:szCs w:val="24"/>
                <w:lang w:val="en-GB" w:eastAsia="en-GB"/>
              </w:rPr>
            </w:pPr>
            <w:proofErr w:type="spellStart"/>
            <w:r w:rsidRPr="007B70FF">
              <w:rPr>
                <w:rFonts w:eastAsia="Times New Roman" w:cs="Arial"/>
                <w:b/>
                <w:bCs/>
                <w:color w:val="000000" w:themeColor="text1"/>
                <w:kern w:val="24"/>
                <w:sz w:val="24"/>
                <w:szCs w:val="24"/>
                <w:lang w:val="de-DE" w:eastAsia="en-GB"/>
              </w:rPr>
              <w:t>Types</w:t>
            </w:r>
            <w:proofErr w:type="spellEnd"/>
            <w:r w:rsidRPr="007B70FF">
              <w:rPr>
                <w:rFonts w:eastAsia="Times New Roman" w:cs="Arial"/>
                <w:b/>
                <w:bCs/>
                <w:color w:val="000000" w:themeColor="text1"/>
                <w:kern w:val="24"/>
                <w:sz w:val="24"/>
                <w:szCs w:val="24"/>
                <w:lang w:val="de-DE" w:eastAsia="en-GB"/>
              </w:rPr>
              <w:t xml:space="preserve"> /</w:t>
            </w:r>
          </w:p>
          <w:p w:rsidR="004F0A45" w:rsidRPr="007B70FF" w:rsidRDefault="004F0A45" w:rsidP="007B70FF">
            <w:pPr>
              <w:spacing w:after="0" w:line="240" w:lineRule="auto"/>
              <w:jc w:val="center"/>
              <w:rPr>
                <w:rFonts w:eastAsia="Times New Roman" w:cs="Arial"/>
                <w:sz w:val="24"/>
                <w:szCs w:val="24"/>
                <w:lang w:val="en-GB" w:eastAsia="en-GB"/>
              </w:rPr>
            </w:pPr>
            <w:proofErr w:type="spellStart"/>
            <w:r w:rsidRPr="007B70FF">
              <w:rPr>
                <w:rFonts w:eastAsia="Times New Roman" w:cs="Arial"/>
                <w:b/>
                <w:bCs/>
                <w:color w:val="000000" w:themeColor="text1"/>
                <w:kern w:val="24"/>
                <w:sz w:val="24"/>
                <w:szCs w:val="24"/>
                <w:lang w:val="de-DE" w:eastAsia="en-GB"/>
              </w:rPr>
              <w:t>Characteristics</w:t>
            </w:r>
            <w:proofErr w:type="spellEnd"/>
          </w:p>
        </w:tc>
        <w:tc>
          <w:tcPr>
            <w:tcW w:w="3369"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3945C8" w:rsidRDefault="004F0A45" w:rsidP="007B70FF">
            <w:pPr>
              <w:spacing w:after="0" w:line="240" w:lineRule="auto"/>
              <w:jc w:val="center"/>
              <w:rPr>
                <w:rFonts w:eastAsia="Times New Roman" w:cs="Arial"/>
                <w:b/>
                <w:bCs/>
                <w:color w:val="000000" w:themeColor="text1"/>
                <w:kern w:val="24"/>
                <w:sz w:val="24"/>
                <w:szCs w:val="24"/>
                <w:lang w:val="de-DE" w:eastAsia="en-GB"/>
              </w:rPr>
            </w:pPr>
            <w:r w:rsidRPr="007B70FF">
              <w:rPr>
                <w:rFonts w:eastAsia="Times New Roman" w:cs="Arial"/>
                <w:b/>
                <w:bCs/>
                <w:color w:val="000000" w:themeColor="text1"/>
                <w:kern w:val="24"/>
                <w:sz w:val="24"/>
                <w:szCs w:val="24"/>
                <w:lang w:val="de-DE" w:eastAsia="en-GB"/>
              </w:rPr>
              <w:t xml:space="preserve">BS </w:t>
            </w:r>
            <w:proofErr w:type="spellStart"/>
            <w:r w:rsidRPr="007B70FF">
              <w:rPr>
                <w:rFonts w:eastAsia="Times New Roman" w:cs="Arial"/>
                <w:b/>
                <w:bCs/>
                <w:color w:val="000000" w:themeColor="text1"/>
                <w:kern w:val="24"/>
                <w:sz w:val="24"/>
                <w:szCs w:val="24"/>
                <w:lang w:val="de-DE" w:eastAsia="en-GB"/>
              </w:rPr>
              <w:t>for</w:t>
            </w:r>
            <w:proofErr w:type="spellEnd"/>
            <w:r w:rsidRPr="007B70FF">
              <w:rPr>
                <w:rFonts w:eastAsia="Times New Roman" w:cs="Arial"/>
                <w:b/>
                <w:bCs/>
                <w:color w:val="000000" w:themeColor="text1"/>
                <w:kern w:val="24"/>
                <w:sz w:val="24"/>
                <w:szCs w:val="24"/>
                <w:lang w:val="de-DE" w:eastAsia="en-GB"/>
              </w:rPr>
              <w:t xml:space="preserve"> </w:t>
            </w:r>
            <w:proofErr w:type="spellStart"/>
            <w:r w:rsidRPr="007B70FF">
              <w:rPr>
                <w:rFonts w:eastAsia="Times New Roman" w:cs="Arial"/>
                <w:b/>
                <w:bCs/>
                <w:color w:val="000000" w:themeColor="text1"/>
                <w:kern w:val="24"/>
                <w:sz w:val="24"/>
                <w:szCs w:val="24"/>
                <w:lang w:val="de-DE" w:eastAsia="en-GB"/>
              </w:rPr>
              <w:t>decentralized</w:t>
            </w:r>
            <w:proofErr w:type="spellEnd"/>
            <w:r w:rsidRPr="007B70FF">
              <w:rPr>
                <w:rFonts w:eastAsia="Times New Roman" w:cs="Arial"/>
                <w:b/>
                <w:bCs/>
                <w:color w:val="000000" w:themeColor="text1"/>
                <w:kern w:val="24"/>
                <w:sz w:val="24"/>
                <w:szCs w:val="24"/>
                <w:lang w:val="de-DE" w:eastAsia="en-GB"/>
              </w:rPr>
              <w:t xml:space="preserve"> </w:t>
            </w:r>
            <w:proofErr w:type="spellStart"/>
            <w:r w:rsidRPr="007B70FF">
              <w:rPr>
                <w:rFonts w:eastAsia="Times New Roman" w:cs="Arial"/>
                <w:b/>
                <w:bCs/>
                <w:color w:val="000000" w:themeColor="text1"/>
                <w:kern w:val="24"/>
                <w:sz w:val="24"/>
                <w:szCs w:val="24"/>
                <w:lang w:val="de-DE" w:eastAsia="en-GB"/>
              </w:rPr>
              <w:t>service</w:t>
            </w:r>
            <w:proofErr w:type="spellEnd"/>
            <w:r w:rsidRPr="007B70FF">
              <w:rPr>
                <w:rFonts w:eastAsia="Times New Roman" w:cs="Arial"/>
                <w:b/>
                <w:bCs/>
                <w:color w:val="000000" w:themeColor="text1"/>
                <w:kern w:val="24"/>
                <w:sz w:val="24"/>
                <w:szCs w:val="24"/>
                <w:lang w:val="de-DE" w:eastAsia="en-GB"/>
              </w:rPr>
              <w:t xml:space="preserve"> </w:t>
            </w:r>
            <w:proofErr w:type="spellStart"/>
            <w:r w:rsidRPr="007B70FF">
              <w:rPr>
                <w:rFonts w:eastAsia="Times New Roman" w:cs="Arial"/>
                <w:b/>
                <w:bCs/>
                <w:color w:val="000000" w:themeColor="text1"/>
                <w:kern w:val="24"/>
                <w:sz w:val="24"/>
                <w:szCs w:val="24"/>
                <w:lang w:val="de-DE" w:eastAsia="en-GB"/>
              </w:rPr>
              <w:t>delivery</w:t>
            </w:r>
            <w:proofErr w:type="spellEnd"/>
            <w:r w:rsidRPr="007B70FF">
              <w:rPr>
                <w:rFonts w:eastAsia="Times New Roman" w:cs="Arial"/>
                <w:b/>
                <w:bCs/>
                <w:color w:val="000000" w:themeColor="text1"/>
                <w:kern w:val="24"/>
                <w:sz w:val="24"/>
                <w:szCs w:val="24"/>
                <w:lang w:val="de-DE" w:eastAsia="en-GB"/>
              </w:rPr>
              <w:t xml:space="preserve"> </w:t>
            </w:r>
          </w:p>
          <w:p w:rsidR="004F0A45" w:rsidRPr="007B70FF" w:rsidRDefault="004F0A45" w:rsidP="007B70FF">
            <w:pPr>
              <w:spacing w:after="0" w:line="240" w:lineRule="auto"/>
              <w:jc w:val="center"/>
              <w:rPr>
                <w:rFonts w:eastAsia="Times New Roman" w:cs="Arial"/>
                <w:sz w:val="24"/>
                <w:szCs w:val="24"/>
                <w:lang w:val="en-GB" w:eastAsia="en-GB"/>
              </w:rPr>
            </w:pPr>
            <w:r w:rsidRPr="007B70FF">
              <w:rPr>
                <w:rFonts w:eastAsia="Times New Roman" w:cs="Arial"/>
                <w:b/>
                <w:bCs/>
                <w:color w:val="000000" w:themeColor="text1"/>
                <w:kern w:val="24"/>
                <w:sz w:val="24"/>
                <w:szCs w:val="24"/>
                <w:lang w:val="de-DE" w:eastAsia="en-GB"/>
              </w:rPr>
              <w:t>(type 1)</w:t>
            </w:r>
          </w:p>
        </w:tc>
        <w:tc>
          <w:tcPr>
            <w:tcW w:w="3726"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4F0A45" w:rsidRPr="007B70FF" w:rsidRDefault="004F0A45" w:rsidP="007B70FF">
            <w:pPr>
              <w:spacing w:after="0" w:line="240" w:lineRule="auto"/>
              <w:jc w:val="center"/>
              <w:rPr>
                <w:rFonts w:eastAsia="Times New Roman" w:cs="Arial"/>
                <w:sz w:val="24"/>
                <w:szCs w:val="24"/>
                <w:lang w:val="en-GB" w:eastAsia="en-GB"/>
              </w:rPr>
            </w:pPr>
            <w:r w:rsidRPr="007B70FF">
              <w:rPr>
                <w:rFonts w:eastAsia="Times New Roman" w:cs="Arial"/>
                <w:b/>
                <w:bCs/>
                <w:color w:val="000000" w:themeColor="text1"/>
                <w:kern w:val="24"/>
                <w:sz w:val="24"/>
                <w:szCs w:val="24"/>
                <w:lang w:val="en-GB" w:eastAsia="en-GB"/>
              </w:rPr>
              <w:t>BS to decentralisation reforms</w:t>
            </w:r>
          </w:p>
          <w:p w:rsidR="004F0A45" w:rsidRPr="007B70FF" w:rsidRDefault="004F0A45" w:rsidP="007B70FF">
            <w:pPr>
              <w:spacing w:after="0" w:line="240" w:lineRule="auto"/>
              <w:jc w:val="center"/>
              <w:rPr>
                <w:rFonts w:eastAsia="Times New Roman" w:cs="Arial"/>
                <w:sz w:val="24"/>
                <w:szCs w:val="24"/>
                <w:lang w:val="en-GB" w:eastAsia="en-GB"/>
              </w:rPr>
            </w:pPr>
            <w:r w:rsidRPr="007B70FF">
              <w:rPr>
                <w:rFonts w:eastAsia="Times New Roman" w:cs="Arial"/>
                <w:b/>
                <w:bCs/>
                <w:color w:val="000000" w:themeColor="text1"/>
                <w:kern w:val="24"/>
                <w:sz w:val="24"/>
                <w:szCs w:val="24"/>
                <w:lang w:val="en-GB" w:eastAsia="en-GB"/>
              </w:rPr>
              <w:t>(type 2)</w:t>
            </w:r>
          </w:p>
        </w:tc>
        <w:tc>
          <w:tcPr>
            <w:tcW w:w="3632"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3945C8" w:rsidRDefault="004F0A45" w:rsidP="007B70FF">
            <w:pPr>
              <w:spacing w:after="0" w:line="240" w:lineRule="auto"/>
              <w:jc w:val="center"/>
              <w:rPr>
                <w:rFonts w:eastAsia="Times New Roman" w:cs="Arial"/>
                <w:b/>
                <w:bCs/>
                <w:color w:val="000000" w:themeColor="text1"/>
                <w:kern w:val="24"/>
                <w:sz w:val="24"/>
                <w:szCs w:val="24"/>
                <w:lang w:val="en-GB" w:eastAsia="en-GB"/>
              </w:rPr>
            </w:pPr>
            <w:r w:rsidRPr="007B70FF">
              <w:rPr>
                <w:rFonts w:eastAsia="Times New Roman" w:cs="Arial"/>
                <w:b/>
                <w:bCs/>
                <w:color w:val="000000" w:themeColor="text1"/>
                <w:kern w:val="24"/>
                <w:sz w:val="24"/>
                <w:szCs w:val="24"/>
                <w:lang w:val="en-GB" w:eastAsia="en-GB"/>
              </w:rPr>
              <w:t xml:space="preserve">BS to support local territorial policies </w:t>
            </w:r>
          </w:p>
          <w:p w:rsidR="004F0A45" w:rsidRPr="007B70FF" w:rsidRDefault="004F0A45" w:rsidP="007B70FF">
            <w:pPr>
              <w:spacing w:after="0" w:line="240" w:lineRule="auto"/>
              <w:jc w:val="center"/>
              <w:rPr>
                <w:rFonts w:eastAsia="Times New Roman" w:cs="Arial"/>
                <w:sz w:val="24"/>
                <w:szCs w:val="24"/>
                <w:lang w:val="en-GB" w:eastAsia="en-GB"/>
              </w:rPr>
            </w:pPr>
            <w:r w:rsidRPr="007B70FF">
              <w:rPr>
                <w:rFonts w:eastAsia="Times New Roman" w:cs="Arial"/>
                <w:b/>
                <w:bCs/>
                <w:color w:val="000000" w:themeColor="text1"/>
                <w:kern w:val="24"/>
                <w:sz w:val="24"/>
                <w:szCs w:val="24"/>
                <w:lang w:val="en-GB" w:eastAsia="en-GB"/>
              </w:rPr>
              <w:t>(type 3)</w:t>
            </w:r>
          </w:p>
        </w:tc>
      </w:tr>
      <w:tr w:rsidR="004F0A45" w:rsidRPr="00122657" w:rsidTr="007B70FF">
        <w:trPr>
          <w:trHeight w:val="1096"/>
        </w:trPr>
        <w:tc>
          <w:tcPr>
            <w:tcW w:w="2504"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b/>
                <w:sz w:val="24"/>
                <w:szCs w:val="24"/>
                <w:lang w:val="en-GB" w:eastAsia="en-GB"/>
              </w:rPr>
            </w:pPr>
            <w:proofErr w:type="spellStart"/>
            <w:r w:rsidRPr="007B70FF">
              <w:rPr>
                <w:rFonts w:eastAsia="Times New Roman" w:cs="Arial"/>
                <w:b/>
                <w:i/>
                <w:iCs/>
                <w:color w:val="000000" w:themeColor="dark1"/>
                <w:kern w:val="24"/>
                <w:sz w:val="24"/>
                <w:szCs w:val="24"/>
                <w:lang w:val="de-DE" w:eastAsia="en-GB"/>
              </w:rPr>
              <w:t>Objectives</w:t>
            </w:r>
            <w:proofErr w:type="spellEnd"/>
          </w:p>
        </w:tc>
        <w:tc>
          <w:tcPr>
            <w:tcW w:w="3369"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sz w:val="24"/>
                <w:szCs w:val="24"/>
                <w:lang w:val="en-GB" w:eastAsia="en-GB"/>
              </w:rPr>
            </w:pPr>
            <w:proofErr w:type="spellStart"/>
            <w:r w:rsidRPr="007B70FF">
              <w:rPr>
                <w:rFonts w:eastAsia="Times New Roman" w:cs="Arial"/>
                <w:color w:val="000000" w:themeColor="dark1"/>
                <w:kern w:val="24"/>
                <w:sz w:val="24"/>
                <w:szCs w:val="24"/>
                <w:lang w:val="de-DE" w:eastAsia="en-GB"/>
              </w:rPr>
              <w:t>Effective</w:t>
            </w:r>
            <w:proofErr w:type="spellEnd"/>
            <w:r w:rsidRPr="007B70FF">
              <w:rPr>
                <w:rFonts w:eastAsia="Times New Roman" w:cs="Arial"/>
                <w:color w:val="000000" w:themeColor="dark1"/>
                <w:kern w:val="24"/>
                <w:sz w:val="24"/>
                <w:szCs w:val="24"/>
                <w:lang w:val="de-DE" w:eastAsia="en-GB"/>
              </w:rPr>
              <w:t xml:space="preserve"> </w:t>
            </w:r>
            <w:proofErr w:type="spellStart"/>
            <w:r w:rsidRPr="007B70FF">
              <w:rPr>
                <w:rFonts w:eastAsia="Times New Roman" w:cs="Arial"/>
                <w:color w:val="000000" w:themeColor="dark1"/>
                <w:kern w:val="24"/>
                <w:sz w:val="24"/>
                <w:szCs w:val="24"/>
                <w:lang w:val="de-DE" w:eastAsia="en-GB"/>
              </w:rPr>
              <w:t>frontline</w:t>
            </w:r>
            <w:proofErr w:type="spellEnd"/>
            <w:r w:rsidRPr="007B70FF">
              <w:rPr>
                <w:rFonts w:eastAsia="Times New Roman" w:cs="Arial"/>
                <w:color w:val="000000" w:themeColor="dark1"/>
                <w:kern w:val="24"/>
                <w:sz w:val="24"/>
                <w:szCs w:val="24"/>
                <w:lang w:val="de-DE" w:eastAsia="en-GB"/>
              </w:rPr>
              <w:t xml:space="preserve"> </w:t>
            </w:r>
            <w:proofErr w:type="spellStart"/>
            <w:r w:rsidRPr="007B70FF">
              <w:rPr>
                <w:rFonts w:eastAsia="Times New Roman" w:cs="Arial"/>
                <w:color w:val="000000" w:themeColor="dark1"/>
                <w:kern w:val="24"/>
                <w:sz w:val="24"/>
                <w:szCs w:val="24"/>
                <w:lang w:val="de-DE" w:eastAsia="en-GB"/>
              </w:rPr>
              <w:t>service</w:t>
            </w:r>
            <w:proofErr w:type="spellEnd"/>
            <w:r w:rsidRPr="007B70FF">
              <w:rPr>
                <w:rFonts w:eastAsia="Times New Roman" w:cs="Arial"/>
                <w:color w:val="000000" w:themeColor="dark1"/>
                <w:kern w:val="24"/>
                <w:sz w:val="24"/>
                <w:szCs w:val="24"/>
                <w:lang w:val="de-DE" w:eastAsia="en-GB"/>
              </w:rPr>
              <w:t xml:space="preserve"> </w:t>
            </w:r>
            <w:proofErr w:type="spellStart"/>
            <w:r w:rsidRPr="007B70FF">
              <w:rPr>
                <w:rFonts w:eastAsia="Times New Roman" w:cs="Arial"/>
                <w:color w:val="000000" w:themeColor="dark1"/>
                <w:kern w:val="24"/>
                <w:sz w:val="24"/>
                <w:szCs w:val="24"/>
                <w:lang w:val="de-DE" w:eastAsia="en-GB"/>
              </w:rPr>
              <w:t>delivery</w:t>
            </w:r>
            <w:proofErr w:type="spellEnd"/>
          </w:p>
        </w:tc>
        <w:tc>
          <w:tcPr>
            <w:tcW w:w="3726"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sz w:val="24"/>
                <w:szCs w:val="24"/>
                <w:lang w:val="en-GB" w:eastAsia="en-GB"/>
              </w:rPr>
            </w:pPr>
            <w:proofErr w:type="spellStart"/>
            <w:r w:rsidRPr="007B70FF">
              <w:rPr>
                <w:rFonts w:eastAsia="Times New Roman" w:cs="Arial"/>
                <w:color w:val="000000" w:themeColor="dark1"/>
                <w:kern w:val="24"/>
                <w:sz w:val="24"/>
                <w:szCs w:val="24"/>
                <w:lang w:val="de-DE" w:eastAsia="en-GB"/>
              </w:rPr>
              <w:t>Reforms</w:t>
            </w:r>
            <w:proofErr w:type="spellEnd"/>
            <w:r w:rsidRPr="007B70FF">
              <w:rPr>
                <w:rFonts w:eastAsia="Times New Roman" w:cs="Arial"/>
                <w:color w:val="000000" w:themeColor="dark1"/>
                <w:kern w:val="24"/>
                <w:sz w:val="24"/>
                <w:szCs w:val="24"/>
                <w:lang w:val="de-DE" w:eastAsia="en-GB"/>
              </w:rPr>
              <w:t xml:space="preserve"> </w:t>
            </w:r>
            <w:proofErr w:type="spellStart"/>
            <w:r w:rsidRPr="007B70FF">
              <w:rPr>
                <w:rFonts w:eastAsia="Times New Roman" w:cs="Arial"/>
                <w:color w:val="000000" w:themeColor="dark1"/>
                <w:kern w:val="24"/>
                <w:sz w:val="24"/>
                <w:szCs w:val="24"/>
                <w:lang w:val="de-DE" w:eastAsia="en-GB"/>
              </w:rPr>
              <w:t>and</w:t>
            </w:r>
            <w:proofErr w:type="spellEnd"/>
            <w:r w:rsidRPr="007B70FF">
              <w:rPr>
                <w:rFonts w:eastAsia="Times New Roman" w:cs="Arial"/>
                <w:color w:val="000000" w:themeColor="dark1"/>
                <w:kern w:val="24"/>
                <w:sz w:val="24"/>
                <w:szCs w:val="24"/>
                <w:lang w:val="de-DE" w:eastAsia="en-GB"/>
              </w:rPr>
              <w:t xml:space="preserve"> </w:t>
            </w:r>
            <w:proofErr w:type="spellStart"/>
            <w:r w:rsidRPr="007B70FF">
              <w:rPr>
                <w:rFonts w:eastAsia="Times New Roman" w:cs="Arial"/>
                <w:color w:val="000000" w:themeColor="dark1"/>
                <w:kern w:val="24"/>
                <w:sz w:val="24"/>
                <w:szCs w:val="24"/>
                <w:lang w:val="de-DE" w:eastAsia="en-GB"/>
              </w:rPr>
              <w:t>institutional</w:t>
            </w:r>
            <w:proofErr w:type="spellEnd"/>
            <w:r w:rsidRPr="007B70FF">
              <w:rPr>
                <w:rFonts w:eastAsia="Times New Roman" w:cs="Arial"/>
                <w:color w:val="000000" w:themeColor="dark1"/>
                <w:kern w:val="24"/>
                <w:sz w:val="24"/>
                <w:szCs w:val="24"/>
                <w:lang w:val="de-DE" w:eastAsia="en-GB"/>
              </w:rPr>
              <w:t xml:space="preserve"> </w:t>
            </w:r>
            <w:proofErr w:type="spellStart"/>
            <w:r w:rsidRPr="007B70FF">
              <w:rPr>
                <w:rFonts w:eastAsia="Times New Roman" w:cs="Arial"/>
                <w:color w:val="000000" w:themeColor="dark1"/>
                <w:kern w:val="24"/>
                <w:sz w:val="24"/>
                <w:szCs w:val="24"/>
                <w:lang w:val="de-DE" w:eastAsia="en-GB"/>
              </w:rPr>
              <w:t>aspects</w:t>
            </w:r>
            <w:proofErr w:type="spellEnd"/>
          </w:p>
        </w:tc>
        <w:tc>
          <w:tcPr>
            <w:tcW w:w="3632"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sz w:val="24"/>
                <w:szCs w:val="24"/>
                <w:lang w:val="en-GB" w:eastAsia="en-GB"/>
              </w:rPr>
            </w:pPr>
            <w:r w:rsidRPr="007B70FF">
              <w:rPr>
                <w:rFonts w:eastAsia="Times New Roman" w:cs="Arial"/>
                <w:color w:val="000000" w:themeColor="dark1"/>
                <w:kern w:val="24"/>
                <w:sz w:val="24"/>
                <w:szCs w:val="24"/>
                <w:lang w:val="en-GB" w:eastAsia="en-GB"/>
              </w:rPr>
              <w:t xml:space="preserve">Implementation of local development/ sector policy </w:t>
            </w:r>
          </w:p>
        </w:tc>
      </w:tr>
      <w:tr w:rsidR="004F0A45" w:rsidRPr="00122657" w:rsidTr="007B70FF">
        <w:trPr>
          <w:trHeight w:val="1036"/>
        </w:trPr>
        <w:tc>
          <w:tcPr>
            <w:tcW w:w="2504"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b/>
                <w:sz w:val="24"/>
                <w:szCs w:val="24"/>
                <w:lang w:val="en-GB" w:eastAsia="en-GB"/>
              </w:rPr>
            </w:pPr>
            <w:proofErr w:type="spellStart"/>
            <w:r w:rsidRPr="007B70FF">
              <w:rPr>
                <w:rFonts w:eastAsia="Times New Roman" w:cs="Arial"/>
                <w:b/>
                <w:i/>
                <w:iCs/>
                <w:color w:val="000000" w:themeColor="dark1"/>
                <w:kern w:val="24"/>
                <w:sz w:val="24"/>
                <w:szCs w:val="24"/>
                <w:lang w:val="de-DE" w:eastAsia="en-GB"/>
              </w:rPr>
              <w:t>Policy</w:t>
            </w:r>
            <w:proofErr w:type="spellEnd"/>
            <w:r w:rsidRPr="007B70FF">
              <w:rPr>
                <w:rFonts w:eastAsia="Times New Roman" w:cs="Arial"/>
                <w:b/>
                <w:i/>
                <w:iCs/>
                <w:color w:val="000000" w:themeColor="dark1"/>
                <w:kern w:val="24"/>
                <w:sz w:val="24"/>
                <w:szCs w:val="24"/>
                <w:lang w:val="de-DE" w:eastAsia="en-GB"/>
              </w:rPr>
              <w:t xml:space="preserve"> </w:t>
            </w:r>
            <w:proofErr w:type="spellStart"/>
            <w:r w:rsidRPr="007B70FF">
              <w:rPr>
                <w:rFonts w:eastAsia="Times New Roman" w:cs="Arial"/>
                <w:b/>
                <w:i/>
                <w:iCs/>
                <w:color w:val="000000" w:themeColor="dark1"/>
                <w:kern w:val="24"/>
                <w:sz w:val="24"/>
                <w:szCs w:val="24"/>
                <w:lang w:val="de-DE" w:eastAsia="en-GB"/>
              </w:rPr>
              <w:t>to</w:t>
            </w:r>
            <w:proofErr w:type="spellEnd"/>
            <w:r w:rsidRPr="007B70FF">
              <w:rPr>
                <w:rFonts w:eastAsia="Times New Roman" w:cs="Arial"/>
                <w:b/>
                <w:i/>
                <w:iCs/>
                <w:color w:val="000000" w:themeColor="dark1"/>
                <w:kern w:val="24"/>
                <w:sz w:val="24"/>
                <w:szCs w:val="24"/>
                <w:lang w:val="de-DE" w:eastAsia="en-GB"/>
              </w:rPr>
              <w:t xml:space="preserve"> </w:t>
            </w:r>
            <w:proofErr w:type="spellStart"/>
            <w:r w:rsidRPr="007B70FF">
              <w:rPr>
                <w:rFonts w:eastAsia="Times New Roman" w:cs="Arial"/>
                <w:b/>
                <w:i/>
                <w:iCs/>
                <w:color w:val="000000" w:themeColor="dark1"/>
                <w:kern w:val="24"/>
                <w:sz w:val="24"/>
                <w:szCs w:val="24"/>
                <w:lang w:val="de-DE" w:eastAsia="en-GB"/>
              </w:rPr>
              <w:t>be</w:t>
            </w:r>
            <w:proofErr w:type="spellEnd"/>
            <w:r w:rsidRPr="007B70FF">
              <w:rPr>
                <w:rFonts w:eastAsia="Times New Roman" w:cs="Arial"/>
                <w:b/>
                <w:i/>
                <w:iCs/>
                <w:color w:val="000000" w:themeColor="dark1"/>
                <w:kern w:val="24"/>
                <w:sz w:val="24"/>
                <w:szCs w:val="24"/>
                <w:lang w:val="de-DE" w:eastAsia="en-GB"/>
              </w:rPr>
              <w:t xml:space="preserve"> </w:t>
            </w:r>
            <w:proofErr w:type="spellStart"/>
            <w:r w:rsidRPr="007B70FF">
              <w:rPr>
                <w:rFonts w:eastAsia="Times New Roman" w:cs="Arial"/>
                <w:b/>
                <w:i/>
                <w:iCs/>
                <w:color w:val="000000" w:themeColor="dark1"/>
                <w:kern w:val="24"/>
                <w:sz w:val="24"/>
                <w:szCs w:val="24"/>
                <w:lang w:val="de-DE" w:eastAsia="en-GB"/>
              </w:rPr>
              <w:t>supported</w:t>
            </w:r>
            <w:proofErr w:type="spellEnd"/>
          </w:p>
        </w:tc>
        <w:tc>
          <w:tcPr>
            <w:tcW w:w="3369"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4F0A45" w:rsidRPr="007B70FF" w:rsidRDefault="004F0A45">
            <w:pPr>
              <w:spacing w:after="0" w:line="240" w:lineRule="auto"/>
              <w:rPr>
                <w:rFonts w:eastAsia="Times New Roman" w:cs="Arial"/>
                <w:sz w:val="24"/>
                <w:szCs w:val="24"/>
                <w:lang w:val="en-GB" w:eastAsia="en-GB"/>
              </w:rPr>
            </w:pPr>
            <w:r w:rsidRPr="007B70FF">
              <w:rPr>
                <w:rFonts w:eastAsia="Times New Roman" w:cs="Arial"/>
                <w:color w:val="000000" w:themeColor="dark1"/>
                <w:kern w:val="24"/>
                <w:sz w:val="24"/>
                <w:szCs w:val="24"/>
                <w:lang w:val="en-GB" w:eastAsia="en-GB"/>
              </w:rPr>
              <w:t>National sector policy (health, education…)</w:t>
            </w:r>
          </w:p>
        </w:tc>
        <w:tc>
          <w:tcPr>
            <w:tcW w:w="3726"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sz w:val="24"/>
                <w:szCs w:val="24"/>
                <w:lang w:val="en-GB" w:eastAsia="en-GB"/>
              </w:rPr>
            </w:pPr>
            <w:proofErr w:type="spellStart"/>
            <w:r w:rsidRPr="007B70FF">
              <w:rPr>
                <w:rFonts w:eastAsia="Times New Roman" w:cs="Arial"/>
                <w:color w:val="000000" w:themeColor="dark1"/>
                <w:kern w:val="24"/>
                <w:sz w:val="24"/>
                <w:szCs w:val="24"/>
                <w:lang w:val="de-DE" w:eastAsia="en-GB"/>
              </w:rPr>
              <w:t>Decentralisation</w:t>
            </w:r>
            <w:proofErr w:type="spellEnd"/>
            <w:r w:rsidRPr="007B70FF">
              <w:rPr>
                <w:rFonts w:eastAsia="Times New Roman" w:cs="Arial"/>
                <w:color w:val="000000" w:themeColor="dark1"/>
                <w:kern w:val="24"/>
                <w:sz w:val="24"/>
                <w:szCs w:val="24"/>
                <w:lang w:val="de-DE" w:eastAsia="en-GB"/>
              </w:rPr>
              <w:t xml:space="preserve"> </w:t>
            </w:r>
            <w:proofErr w:type="spellStart"/>
            <w:r w:rsidRPr="007B70FF">
              <w:rPr>
                <w:rFonts w:eastAsia="Times New Roman" w:cs="Arial"/>
                <w:color w:val="000000" w:themeColor="dark1"/>
                <w:kern w:val="24"/>
                <w:sz w:val="24"/>
                <w:szCs w:val="24"/>
                <w:lang w:val="de-DE" w:eastAsia="en-GB"/>
              </w:rPr>
              <w:t>reform</w:t>
            </w:r>
            <w:proofErr w:type="spellEnd"/>
            <w:r w:rsidRPr="007B70FF">
              <w:rPr>
                <w:rFonts w:eastAsia="Times New Roman" w:cs="Arial"/>
                <w:color w:val="000000" w:themeColor="dark1"/>
                <w:kern w:val="24"/>
                <w:sz w:val="24"/>
                <w:szCs w:val="24"/>
                <w:lang w:val="de-DE" w:eastAsia="en-GB"/>
              </w:rPr>
              <w:t xml:space="preserve"> </w:t>
            </w:r>
            <w:proofErr w:type="spellStart"/>
            <w:r w:rsidRPr="007B70FF">
              <w:rPr>
                <w:rFonts w:eastAsia="Times New Roman" w:cs="Arial"/>
                <w:color w:val="000000" w:themeColor="dark1"/>
                <w:kern w:val="24"/>
                <w:sz w:val="24"/>
                <w:szCs w:val="24"/>
                <w:lang w:val="de-DE" w:eastAsia="en-GB"/>
              </w:rPr>
              <w:t>policy</w:t>
            </w:r>
            <w:proofErr w:type="spellEnd"/>
          </w:p>
        </w:tc>
        <w:tc>
          <w:tcPr>
            <w:tcW w:w="3632"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sz w:val="24"/>
                <w:szCs w:val="24"/>
                <w:lang w:val="en-GB" w:eastAsia="en-GB"/>
              </w:rPr>
            </w:pPr>
            <w:r w:rsidRPr="007B70FF">
              <w:rPr>
                <w:rFonts w:eastAsia="Times New Roman" w:cs="Arial"/>
                <w:color w:val="000000" w:themeColor="dark1"/>
                <w:kern w:val="24"/>
                <w:sz w:val="24"/>
                <w:szCs w:val="24"/>
                <w:lang w:val="en-GB" w:eastAsia="en-GB"/>
              </w:rPr>
              <w:t>Development policy of local authority</w:t>
            </w:r>
          </w:p>
        </w:tc>
      </w:tr>
      <w:tr w:rsidR="004F0A45" w:rsidRPr="00122657" w:rsidTr="007B70FF">
        <w:trPr>
          <w:trHeight w:val="1416"/>
        </w:trPr>
        <w:tc>
          <w:tcPr>
            <w:tcW w:w="2504"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b/>
                <w:sz w:val="24"/>
                <w:szCs w:val="24"/>
                <w:lang w:val="en-GB" w:eastAsia="en-GB"/>
              </w:rPr>
            </w:pPr>
            <w:proofErr w:type="spellStart"/>
            <w:r w:rsidRPr="007B70FF">
              <w:rPr>
                <w:rFonts w:eastAsia="Times New Roman" w:cs="Arial"/>
                <w:b/>
                <w:i/>
                <w:iCs/>
                <w:color w:val="000000" w:themeColor="dark1"/>
                <w:kern w:val="24"/>
                <w:sz w:val="24"/>
                <w:szCs w:val="24"/>
                <w:lang w:val="de-DE" w:eastAsia="en-GB"/>
              </w:rPr>
              <w:t>Scope</w:t>
            </w:r>
            <w:proofErr w:type="spellEnd"/>
            <w:r w:rsidRPr="007B70FF">
              <w:rPr>
                <w:rFonts w:eastAsia="Times New Roman" w:cs="Arial"/>
                <w:b/>
                <w:i/>
                <w:iCs/>
                <w:color w:val="000000" w:themeColor="dark1"/>
                <w:kern w:val="24"/>
                <w:sz w:val="24"/>
                <w:szCs w:val="24"/>
                <w:lang w:val="de-DE" w:eastAsia="en-GB"/>
              </w:rPr>
              <w:t xml:space="preserve"> </w:t>
            </w:r>
            <w:proofErr w:type="spellStart"/>
            <w:r w:rsidRPr="007B70FF">
              <w:rPr>
                <w:rFonts w:eastAsia="Times New Roman" w:cs="Arial"/>
                <w:b/>
                <w:i/>
                <w:iCs/>
                <w:color w:val="000000" w:themeColor="dark1"/>
                <w:kern w:val="24"/>
                <w:sz w:val="24"/>
                <w:szCs w:val="24"/>
                <w:lang w:val="de-DE" w:eastAsia="en-GB"/>
              </w:rPr>
              <w:t>of</w:t>
            </w:r>
            <w:proofErr w:type="spellEnd"/>
            <w:r w:rsidRPr="007B70FF">
              <w:rPr>
                <w:rFonts w:eastAsia="Times New Roman" w:cs="Arial"/>
                <w:b/>
                <w:i/>
                <w:iCs/>
                <w:color w:val="000000" w:themeColor="dark1"/>
                <w:kern w:val="24"/>
                <w:sz w:val="24"/>
                <w:szCs w:val="24"/>
                <w:lang w:val="de-DE" w:eastAsia="en-GB"/>
              </w:rPr>
              <w:t xml:space="preserve"> </w:t>
            </w:r>
            <w:proofErr w:type="spellStart"/>
            <w:r w:rsidRPr="007B70FF">
              <w:rPr>
                <w:rFonts w:eastAsia="Times New Roman" w:cs="Arial"/>
                <w:b/>
                <w:i/>
                <w:iCs/>
                <w:color w:val="000000" w:themeColor="dark1"/>
                <w:kern w:val="24"/>
                <w:sz w:val="24"/>
                <w:szCs w:val="24"/>
                <w:lang w:val="de-DE" w:eastAsia="en-GB"/>
              </w:rPr>
              <w:t>decentralisation</w:t>
            </w:r>
            <w:proofErr w:type="spellEnd"/>
            <w:r w:rsidRPr="007B70FF">
              <w:rPr>
                <w:rFonts w:eastAsia="Times New Roman" w:cs="Arial"/>
                <w:b/>
                <w:i/>
                <w:iCs/>
                <w:color w:val="000000" w:themeColor="dark1"/>
                <w:kern w:val="24"/>
                <w:sz w:val="24"/>
                <w:szCs w:val="24"/>
                <w:lang w:val="de-DE" w:eastAsia="en-GB"/>
              </w:rPr>
              <w:t xml:space="preserve"> </w:t>
            </w:r>
            <w:proofErr w:type="spellStart"/>
            <w:r w:rsidRPr="007B70FF">
              <w:rPr>
                <w:rFonts w:eastAsia="Times New Roman" w:cs="Arial"/>
                <w:b/>
                <w:i/>
                <w:iCs/>
                <w:color w:val="000000" w:themeColor="dark1"/>
                <w:kern w:val="24"/>
                <w:sz w:val="24"/>
                <w:szCs w:val="24"/>
                <w:lang w:val="de-DE" w:eastAsia="en-GB"/>
              </w:rPr>
              <w:t>arrangement</w:t>
            </w:r>
            <w:proofErr w:type="spellEnd"/>
          </w:p>
        </w:tc>
        <w:tc>
          <w:tcPr>
            <w:tcW w:w="3369"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sz w:val="24"/>
                <w:szCs w:val="24"/>
                <w:lang w:val="en-GB" w:eastAsia="en-GB"/>
              </w:rPr>
            </w:pPr>
            <w:r w:rsidRPr="007B70FF">
              <w:rPr>
                <w:rFonts w:eastAsia="Times New Roman" w:cs="Arial"/>
                <w:color w:val="000000" w:themeColor="dark1"/>
                <w:kern w:val="24"/>
                <w:sz w:val="24"/>
                <w:szCs w:val="24"/>
                <w:lang w:val="en-GB" w:eastAsia="en-GB"/>
              </w:rPr>
              <w:t>Different stages possible; typically: some administrative decentralisation</w:t>
            </w:r>
          </w:p>
        </w:tc>
        <w:tc>
          <w:tcPr>
            <w:tcW w:w="3726"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sz w:val="24"/>
                <w:szCs w:val="24"/>
                <w:lang w:val="en-GB" w:eastAsia="en-GB"/>
              </w:rPr>
            </w:pPr>
            <w:r w:rsidRPr="007B70FF">
              <w:rPr>
                <w:rFonts w:eastAsia="Times New Roman" w:cs="Arial"/>
                <w:color w:val="000000" w:themeColor="dark1"/>
                <w:kern w:val="24"/>
                <w:sz w:val="24"/>
                <w:szCs w:val="24"/>
                <w:lang w:val="en-GB" w:eastAsia="en-GB"/>
              </w:rPr>
              <w:t>As from initial stages of decentralisation reforms</w:t>
            </w:r>
          </w:p>
        </w:tc>
        <w:tc>
          <w:tcPr>
            <w:tcW w:w="3632"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sz w:val="24"/>
                <w:szCs w:val="24"/>
                <w:lang w:val="en-GB" w:eastAsia="en-GB"/>
              </w:rPr>
            </w:pPr>
            <w:r w:rsidRPr="007B70FF">
              <w:rPr>
                <w:rFonts w:eastAsia="Times New Roman" w:cs="Arial"/>
                <w:color w:val="000000" w:themeColor="dark1"/>
                <w:kern w:val="24"/>
                <w:sz w:val="24"/>
                <w:szCs w:val="24"/>
                <w:lang w:val="en-GB" w:eastAsia="en-GB"/>
              </w:rPr>
              <w:t>Advanced stages (including political decentralisation) -  pre-requirements</w:t>
            </w:r>
          </w:p>
        </w:tc>
      </w:tr>
      <w:tr w:rsidR="004F0A45" w:rsidRPr="00122657" w:rsidTr="007B70FF">
        <w:trPr>
          <w:trHeight w:val="858"/>
        </w:trPr>
        <w:tc>
          <w:tcPr>
            <w:tcW w:w="2504"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b/>
                <w:sz w:val="24"/>
                <w:szCs w:val="24"/>
                <w:lang w:val="en-GB" w:eastAsia="en-GB"/>
              </w:rPr>
            </w:pPr>
            <w:r w:rsidRPr="007B70FF">
              <w:rPr>
                <w:rFonts w:eastAsia="Times New Roman" w:cs="Arial"/>
                <w:b/>
                <w:i/>
                <w:iCs/>
                <w:color w:val="000000" w:themeColor="dark1"/>
                <w:kern w:val="24"/>
                <w:sz w:val="24"/>
                <w:szCs w:val="24"/>
                <w:lang w:val="de-DE" w:eastAsia="en-GB"/>
              </w:rPr>
              <w:t xml:space="preserve">BS </w:t>
            </w:r>
            <w:proofErr w:type="spellStart"/>
            <w:r w:rsidRPr="007B70FF">
              <w:rPr>
                <w:rFonts w:eastAsia="Times New Roman" w:cs="Arial"/>
                <w:b/>
                <w:i/>
                <w:iCs/>
                <w:color w:val="000000" w:themeColor="dark1"/>
                <w:kern w:val="24"/>
                <w:sz w:val="24"/>
                <w:szCs w:val="24"/>
                <w:lang w:val="de-DE" w:eastAsia="en-GB"/>
              </w:rPr>
              <w:t>dialogue</w:t>
            </w:r>
            <w:proofErr w:type="spellEnd"/>
          </w:p>
        </w:tc>
        <w:tc>
          <w:tcPr>
            <w:tcW w:w="3369"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sz w:val="24"/>
                <w:szCs w:val="24"/>
                <w:lang w:val="en-GB" w:eastAsia="en-GB"/>
              </w:rPr>
            </w:pPr>
            <w:r w:rsidRPr="007B70FF">
              <w:rPr>
                <w:rFonts w:eastAsia="Times New Roman" w:cs="Arial"/>
                <w:color w:val="000000" w:themeColor="dark1"/>
                <w:kern w:val="24"/>
                <w:sz w:val="24"/>
                <w:szCs w:val="24"/>
                <w:lang w:val="de-DE" w:eastAsia="en-GB"/>
              </w:rPr>
              <w:t>Central + subnational</w:t>
            </w:r>
          </w:p>
        </w:tc>
        <w:tc>
          <w:tcPr>
            <w:tcW w:w="3726"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sz w:val="24"/>
                <w:szCs w:val="24"/>
                <w:lang w:val="en-GB" w:eastAsia="en-GB"/>
              </w:rPr>
            </w:pPr>
            <w:r w:rsidRPr="007B70FF">
              <w:rPr>
                <w:rFonts w:eastAsia="Times New Roman" w:cs="Arial"/>
                <w:color w:val="000000" w:themeColor="dark1"/>
                <w:kern w:val="24"/>
                <w:sz w:val="24"/>
                <w:szCs w:val="24"/>
                <w:lang w:val="de-DE" w:eastAsia="en-GB"/>
              </w:rPr>
              <w:t>Central + subnational</w:t>
            </w:r>
          </w:p>
        </w:tc>
        <w:tc>
          <w:tcPr>
            <w:tcW w:w="3632"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sz w:val="24"/>
                <w:szCs w:val="24"/>
                <w:lang w:val="en-GB" w:eastAsia="en-GB"/>
              </w:rPr>
            </w:pPr>
            <w:proofErr w:type="spellStart"/>
            <w:r w:rsidRPr="007B70FF">
              <w:rPr>
                <w:rFonts w:eastAsia="Times New Roman" w:cs="Arial"/>
                <w:color w:val="000000" w:themeColor="dark1"/>
                <w:kern w:val="24"/>
                <w:sz w:val="24"/>
                <w:szCs w:val="24"/>
                <w:lang w:val="de-DE" w:eastAsia="en-GB"/>
              </w:rPr>
              <w:t>Mainly</w:t>
            </w:r>
            <w:proofErr w:type="spellEnd"/>
            <w:r w:rsidRPr="007B70FF">
              <w:rPr>
                <w:rFonts w:eastAsia="Times New Roman" w:cs="Arial"/>
                <w:color w:val="000000" w:themeColor="dark1"/>
                <w:kern w:val="24"/>
                <w:sz w:val="24"/>
                <w:szCs w:val="24"/>
                <w:lang w:val="de-DE" w:eastAsia="en-GB"/>
              </w:rPr>
              <w:t xml:space="preserve"> subnational </w:t>
            </w:r>
          </w:p>
        </w:tc>
      </w:tr>
      <w:tr w:rsidR="004F0A45" w:rsidRPr="00122657" w:rsidTr="007B70FF">
        <w:trPr>
          <w:trHeight w:val="1416"/>
        </w:trPr>
        <w:tc>
          <w:tcPr>
            <w:tcW w:w="2504"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b/>
                <w:sz w:val="24"/>
                <w:szCs w:val="24"/>
                <w:lang w:val="en-GB" w:eastAsia="en-GB"/>
              </w:rPr>
            </w:pPr>
            <w:proofErr w:type="spellStart"/>
            <w:r w:rsidRPr="007B70FF">
              <w:rPr>
                <w:rFonts w:eastAsia="Times New Roman" w:cs="Arial"/>
                <w:b/>
                <w:i/>
                <w:iCs/>
                <w:color w:val="000000" w:themeColor="dark1"/>
                <w:kern w:val="24"/>
                <w:sz w:val="24"/>
                <w:szCs w:val="24"/>
                <w:lang w:val="de-DE" w:eastAsia="en-GB"/>
              </w:rPr>
              <w:t>Eligibility</w:t>
            </w:r>
            <w:proofErr w:type="spellEnd"/>
            <w:r w:rsidRPr="007B70FF">
              <w:rPr>
                <w:rFonts w:eastAsia="Times New Roman" w:cs="Arial"/>
                <w:b/>
                <w:i/>
                <w:iCs/>
                <w:color w:val="000000" w:themeColor="dark1"/>
                <w:kern w:val="24"/>
                <w:sz w:val="24"/>
                <w:szCs w:val="24"/>
                <w:lang w:val="de-DE" w:eastAsia="en-GB"/>
              </w:rPr>
              <w:t xml:space="preserve"> </w:t>
            </w:r>
            <w:proofErr w:type="spellStart"/>
            <w:r w:rsidRPr="007B70FF">
              <w:rPr>
                <w:rFonts w:eastAsia="Times New Roman" w:cs="Arial"/>
                <w:b/>
                <w:i/>
                <w:iCs/>
                <w:color w:val="000000" w:themeColor="dark1"/>
                <w:kern w:val="24"/>
                <w:sz w:val="24"/>
                <w:szCs w:val="24"/>
                <w:lang w:val="de-DE" w:eastAsia="en-GB"/>
              </w:rPr>
              <w:t>assessment</w:t>
            </w:r>
            <w:proofErr w:type="spellEnd"/>
          </w:p>
        </w:tc>
        <w:tc>
          <w:tcPr>
            <w:tcW w:w="3369"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sz w:val="24"/>
                <w:szCs w:val="24"/>
                <w:lang w:val="en-GB" w:eastAsia="en-GB"/>
              </w:rPr>
            </w:pPr>
            <w:r w:rsidRPr="007B70FF">
              <w:rPr>
                <w:rFonts w:eastAsia="Times New Roman" w:cs="Arial"/>
                <w:color w:val="000000" w:themeColor="dark1"/>
                <w:kern w:val="24"/>
                <w:sz w:val="24"/>
                <w:szCs w:val="24"/>
                <w:lang w:val="de-DE" w:eastAsia="en-GB"/>
              </w:rPr>
              <w:t xml:space="preserve">Central + </w:t>
            </w:r>
            <w:proofErr w:type="spellStart"/>
            <w:r w:rsidRPr="007B70FF">
              <w:rPr>
                <w:rFonts w:eastAsia="Times New Roman" w:cs="Arial"/>
                <w:color w:val="000000" w:themeColor="dark1"/>
                <w:kern w:val="24"/>
                <w:sz w:val="24"/>
                <w:szCs w:val="24"/>
                <w:lang w:val="de-DE" w:eastAsia="en-GB"/>
              </w:rPr>
              <w:t>some</w:t>
            </w:r>
            <w:proofErr w:type="spellEnd"/>
            <w:r w:rsidRPr="007B70FF">
              <w:rPr>
                <w:rFonts w:eastAsia="Times New Roman" w:cs="Arial"/>
                <w:color w:val="000000" w:themeColor="dark1"/>
                <w:kern w:val="24"/>
                <w:sz w:val="24"/>
                <w:szCs w:val="24"/>
                <w:lang w:val="de-DE" w:eastAsia="en-GB"/>
              </w:rPr>
              <w:t xml:space="preserve"> subnational </w:t>
            </w:r>
            <w:proofErr w:type="spellStart"/>
            <w:r w:rsidRPr="007B70FF">
              <w:rPr>
                <w:rFonts w:eastAsia="Times New Roman" w:cs="Arial"/>
                <w:color w:val="000000" w:themeColor="dark1"/>
                <w:kern w:val="24"/>
                <w:sz w:val="24"/>
                <w:szCs w:val="24"/>
                <w:lang w:val="de-DE" w:eastAsia="en-GB"/>
              </w:rPr>
              <w:t>aspects</w:t>
            </w:r>
            <w:proofErr w:type="spellEnd"/>
          </w:p>
        </w:tc>
        <w:tc>
          <w:tcPr>
            <w:tcW w:w="3726"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sz w:val="24"/>
                <w:szCs w:val="24"/>
                <w:lang w:val="en-GB" w:eastAsia="en-GB"/>
              </w:rPr>
            </w:pPr>
            <w:r w:rsidRPr="007B70FF">
              <w:rPr>
                <w:rFonts w:eastAsia="Times New Roman" w:cs="Arial"/>
                <w:color w:val="000000" w:themeColor="dark1"/>
                <w:kern w:val="24"/>
                <w:sz w:val="24"/>
                <w:szCs w:val="24"/>
                <w:lang w:val="de-DE" w:eastAsia="en-GB"/>
              </w:rPr>
              <w:t xml:space="preserve">Central + subnational </w:t>
            </w:r>
            <w:proofErr w:type="spellStart"/>
            <w:r w:rsidRPr="007B70FF">
              <w:rPr>
                <w:rFonts w:eastAsia="Times New Roman" w:cs="Arial"/>
                <w:color w:val="000000" w:themeColor="dark1"/>
                <w:kern w:val="24"/>
                <w:sz w:val="24"/>
                <w:szCs w:val="24"/>
                <w:lang w:val="de-DE" w:eastAsia="en-GB"/>
              </w:rPr>
              <w:t>aspects</w:t>
            </w:r>
            <w:proofErr w:type="spellEnd"/>
          </w:p>
        </w:tc>
        <w:tc>
          <w:tcPr>
            <w:tcW w:w="3632"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sz w:val="24"/>
                <w:szCs w:val="24"/>
                <w:lang w:val="en-GB" w:eastAsia="en-GB"/>
              </w:rPr>
            </w:pPr>
            <w:r w:rsidRPr="007B70FF">
              <w:rPr>
                <w:rFonts w:eastAsia="Times New Roman" w:cs="Arial"/>
                <w:color w:val="000000" w:themeColor="dark1"/>
                <w:kern w:val="24"/>
                <w:sz w:val="24"/>
                <w:szCs w:val="24"/>
                <w:lang w:val="en-GB" w:eastAsia="en-GB"/>
              </w:rPr>
              <w:t>Macro: central ;</w:t>
            </w:r>
          </w:p>
          <w:p w:rsidR="004F0A45" w:rsidRPr="007B70FF" w:rsidRDefault="004F0A45" w:rsidP="004F0A45">
            <w:pPr>
              <w:spacing w:after="0" w:line="240" w:lineRule="auto"/>
              <w:rPr>
                <w:rFonts w:eastAsia="Times New Roman" w:cs="Arial"/>
                <w:sz w:val="24"/>
                <w:szCs w:val="24"/>
                <w:lang w:val="en-GB" w:eastAsia="en-GB"/>
              </w:rPr>
            </w:pPr>
            <w:r w:rsidRPr="007B70FF">
              <w:rPr>
                <w:rFonts w:eastAsia="Times New Roman" w:cs="Arial"/>
                <w:color w:val="000000" w:themeColor="dark1"/>
                <w:kern w:val="24"/>
                <w:sz w:val="24"/>
                <w:szCs w:val="24"/>
                <w:lang w:val="en-GB" w:eastAsia="en-GB"/>
              </w:rPr>
              <w:t>Public policy, PFM, transparency: mainly subnational</w:t>
            </w:r>
          </w:p>
        </w:tc>
      </w:tr>
      <w:tr w:rsidR="004F0A45" w:rsidRPr="00122657" w:rsidTr="007B70FF">
        <w:trPr>
          <w:trHeight w:val="666"/>
        </w:trPr>
        <w:tc>
          <w:tcPr>
            <w:tcW w:w="2504"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b/>
                <w:sz w:val="24"/>
                <w:szCs w:val="24"/>
                <w:lang w:val="en-GB" w:eastAsia="en-GB"/>
              </w:rPr>
            </w:pPr>
            <w:proofErr w:type="spellStart"/>
            <w:r w:rsidRPr="007B70FF">
              <w:rPr>
                <w:rFonts w:eastAsia="Times New Roman" w:cs="Arial"/>
                <w:b/>
                <w:i/>
                <w:iCs/>
                <w:color w:val="000000" w:themeColor="dark1"/>
                <w:kern w:val="24"/>
                <w:sz w:val="24"/>
                <w:szCs w:val="24"/>
                <w:lang w:val="de-DE" w:eastAsia="en-GB"/>
              </w:rPr>
              <w:t>Types</w:t>
            </w:r>
            <w:proofErr w:type="spellEnd"/>
            <w:r w:rsidRPr="007B70FF">
              <w:rPr>
                <w:rFonts w:eastAsia="Times New Roman" w:cs="Arial"/>
                <w:b/>
                <w:i/>
                <w:iCs/>
                <w:color w:val="000000" w:themeColor="dark1"/>
                <w:kern w:val="24"/>
                <w:sz w:val="24"/>
                <w:szCs w:val="24"/>
                <w:lang w:val="de-DE" w:eastAsia="en-GB"/>
              </w:rPr>
              <w:t xml:space="preserve"> </w:t>
            </w:r>
            <w:proofErr w:type="spellStart"/>
            <w:r w:rsidRPr="007B70FF">
              <w:rPr>
                <w:rFonts w:eastAsia="Times New Roman" w:cs="Arial"/>
                <w:b/>
                <w:i/>
                <w:iCs/>
                <w:color w:val="000000" w:themeColor="dark1"/>
                <w:kern w:val="24"/>
                <w:sz w:val="24"/>
                <w:szCs w:val="24"/>
                <w:lang w:val="de-DE" w:eastAsia="en-GB"/>
              </w:rPr>
              <w:t>of</w:t>
            </w:r>
            <w:proofErr w:type="spellEnd"/>
            <w:r w:rsidRPr="007B70FF">
              <w:rPr>
                <w:rFonts w:eastAsia="Times New Roman" w:cs="Arial"/>
                <w:b/>
                <w:i/>
                <w:iCs/>
                <w:color w:val="000000" w:themeColor="dark1"/>
                <w:kern w:val="24"/>
                <w:sz w:val="24"/>
                <w:szCs w:val="24"/>
                <w:lang w:val="de-DE" w:eastAsia="en-GB"/>
              </w:rPr>
              <w:t xml:space="preserve"> BS </w:t>
            </w:r>
            <w:proofErr w:type="spellStart"/>
            <w:r w:rsidRPr="007B70FF">
              <w:rPr>
                <w:rFonts w:eastAsia="Times New Roman" w:cs="Arial"/>
                <w:b/>
                <w:i/>
                <w:iCs/>
                <w:color w:val="000000" w:themeColor="dark1"/>
                <w:kern w:val="24"/>
                <w:sz w:val="24"/>
                <w:szCs w:val="24"/>
                <w:lang w:val="de-DE" w:eastAsia="en-GB"/>
              </w:rPr>
              <w:t>contract</w:t>
            </w:r>
            <w:proofErr w:type="spellEnd"/>
          </w:p>
        </w:tc>
        <w:tc>
          <w:tcPr>
            <w:tcW w:w="3369"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sz w:val="24"/>
                <w:szCs w:val="24"/>
                <w:lang w:val="en-GB" w:eastAsia="en-GB"/>
              </w:rPr>
            </w:pPr>
            <w:r w:rsidRPr="007B70FF">
              <w:rPr>
                <w:rFonts w:eastAsia="Times New Roman" w:cs="Arial"/>
                <w:color w:val="000000" w:themeColor="dark1"/>
                <w:kern w:val="24"/>
                <w:sz w:val="24"/>
                <w:szCs w:val="24"/>
                <w:lang w:val="en-GB" w:eastAsia="en-GB"/>
              </w:rPr>
              <w:t>SRC; in certain cases SBC</w:t>
            </w:r>
          </w:p>
        </w:tc>
        <w:tc>
          <w:tcPr>
            <w:tcW w:w="3726"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sz w:val="24"/>
                <w:szCs w:val="24"/>
                <w:lang w:val="en-GB" w:eastAsia="en-GB"/>
              </w:rPr>
            </w:pPr>
            <w:r w:rsidRPr="007B70FF">
              <w:rPr>
                <w:rFonts w:eastAsia="Times New Roman" w:cs="Arial"/>
                <w:color w:val="000000" w:themeColor="dark1"/>
                <w:kern w:val="24"/>
                <w:sz w:val="24"/>
                <w:szCs w:val="24"/>
                <w:lang w:val="de-DE" w:eastAsia="en-GB"/>
              </w:rPr>
              <w:t xml:space="preserve">SRC; GGDC </w:t>
            </w:r>
            <w:proofErr w:type="spellStart"/>
            <w:r w:rsidRPr="007B70FF">
              <w:rPr>
                <w:rFonts w:eastAsia="Times New Roman" w:cs="Arial"/>
                <w:color w:val="000000" w:themeColor="dark1"/>
                <w:kern w:val="24"/>
                <w:sz w:val="24"/>
                <w:szCs w:val="24"/>
                <w:lang w:val="de-DE" w:eastAsia="en-GB"/>
              </w:rPr>
              <w:t>or</w:t>
            </w:r>
            <w:proofErr w:type="spellEnd"/>
            <w:r w:rsidRPr="007B70FF">
              <w:rPr>
                <w:rFonts w:eastAsia="Times New Roman" w:cs="Arial"/>
                <w:color w:val="000000" w:themeColor="dark1"/>
                <w:kern w:val="24"/>
                <w:sz w:val="24"/>
                <w:szCs w:val="24"/>
                <w:lang w:val="de-DE" w:eastAsia="en-GB"/>
              </w:rPr>
              <w:t xml:space="preserve"> </w:t>
            </w:r>
            <w:proofErr w:type="spellStart"/>
            <w:r w:rsidRPr="007B70FF">
              <w:rPr>
                <w:rFonts w:eastAsia="Times New Roman" w:cs="Arial"/>
                <w:color w:val="000000" w:themeColor="dark1"/>
                <w:kern w:val="24"/>
                <w:sz w:val="24"/>
                <w:szCs w:val="24"/>
                <w:lang w:val="de-DE" w:eastAsia="en-GB"/>
              </w:rPr>
              <w:t>combination</w:t>
            </w:r>
            <w:proofErr w:type="spellEnd"/>
          </w:p>
        </w:tc>
        <w:tc>
          <w:tcPr>
            <w:tcW w:w="3632"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4F0A45" w:rsidRPr="007B70FF" w:rsidRDefault="004F0A45" w:rsidP="004F0A45">
            <w:pPr>
              <w:spacing w:after="0" w:line="240" w:lineRule="auto"/>
              <w:rPr>
                <w:rFonts w:eastAsia="Times New Roman" w:cs="Arial"/>
                <w:sz w:val="24"/>
                <w:szCs w:val="24"/>
                <w:lang w:val="en-GB" w:eastAsia="en-GB"/>
              </w:rPr>
            </w:pPr>
            <w:r w:rsidRPr="007B70FF">
              <w:rPr>
                <w:rFonts w:eastAsia="Times New Roman" w:cs="Arial"/>
                <w:color w:val="000000" w:themeColor="dark1"/>
                <w:kern w:val="24"/>
                <w:sz w:val="24"/>
                <w:szCs w:val="24"/>
                <w:lang w:val="de-DE" w:eastAsia="en-GB"/>
              </w:rPr>
              <w:t>SRC</w:t>
            </w:r>
          </w:p>
        </w:tc>
      </w:tr>
    </w:tbl>
    <w:p w:rsidR="008D6B48" w:rsidRDefault="008D6B48" w:rsidP="007B70FF">
      <w:pPr>
        <w:rPr>
          <w:rFonts w:cs="PF Square Sans Pro Medium"/>
          <w:color w:val="002060"/>
        </w:rPr>
        <w:sectPr w:rsidR="008D6B48" w:rsidSect="007B70FF">
          <w:pgSz w:w="15840" w:h="12240" w:orient="landscape"/>
          <w:pgMar w:top="1080" w:right="1440" w:bottom="1080" w:left="1440" w:header="720" w:footer="720" w:gutter="0"/>
          <w:cols w:space="720"/>
          <w:titlePg/>
          <w:docGrid w:linePitch="360"/>
        </w:sectPr>
      </w:pPr>
    </w:p>
    <w:p w:rsidR="002F359B" w:rsidRDefault="0024335C" w:rsidP="007B70FF">
      <w:pPr>
        <w:spacing w:line="240" w:lineRule="auto"/>
        <w:rPr>
          <w:b/>
          <w:bCs/>
          <w:sz w:val="24"/>
          <w:szCs w:val="24"/>
        </w:rPr>
      </w:pPr>
      <w:r w:rsidRPr="00BB1D6E">
        <w:rPr>
          <w:rStyle w:val="SubtleEmphasis"/>
          <w:rFonts w:asciiTheme="minorHAnsi" w:hAnsiTheme="minorHAnsi"/>
          <w:color w:val="auto"/>
          <w:sz w:val="24"/>
          <w:szCs w:val="24"/>
        </w:rPr>
        <w:lastRenderedPageBreak/>
        <w:t>Annex</w:t>
      </w:r>
      <w:r w:rsidR="002F359B">
        <w:rPr>
          <w:rStyle w:val="SubtleEmphasis"/>
          <w:rFonts w:asciiTheme="minorHAnsi" w:hAnsiTheme="minorHAnsi"/>
          <w:color w:val="auto"/>
          <w:sz w:val="24"/>
          <w:szCs w:val="24"/>
        </w:rPr>
        <w:t xml:space="preserve"> 2:</w:t>
      </w:r>
      <w:r w:rsidR="002F359B" w:rsidRPr="002F359B">
        <w:rPr>
          <w:b/>
          <w:bCs/>
          <w:sz w:val="24"/>
          <w:szCs w:val="24"/>
        </w:rPr>
        <w:t xml:space="preserve"> </w:t>
      </w:r>
      <w:r w:rsidR="002F359B">
        <w:rPr>
          <w:b/>
          <w:bCs/>
          <w:sz w:val="24"/>
          <w:szCs w:val="24"/>
        </w:rPr>
        <w:t xml:space="preserve">Examples of </w:t>
      </w:r>
      <w:r w:rsidR="002F359B" w:rsidRPr="00F96718">
        <w:rPr>
          <w:b/>
          <w:bCs/>
          <w:sz w:val="24"/>
          <w:szCs w:val="24"/>
        </w:rPr>
        <w:t>Indicators relating to Budget Support in Decentralized Contexts</w:t>
      </w:r>
    </w:p>
    <w:p w:rsidR="002F359B" w:rsidRDefault="002F359B" w:rsidP="007B70FF">
      <w:pPr>
        <w:spacing w:line="240" w:lineRule="auto"/>
        <w:jc w:val="both"/>
      </w:pPr>
      <w:r w:rsidRPr="00B32386">
        <w:t xml:space="preserve">The table below outlines </w:t>
      </w:r>
      <w:r>
        <w:t xml:space="preserve">examples of topics </w:t>
      </w:r>
      <w:r w:rsidRPr="00B32386">
        <w:t xml:space="preserve">that could be envisaged </w:t>
      </w:r>
      <w:r>
        <w:t>for the identification of indicators in variable tranches</w:t>
      </w:r>
      <w:r w:rsidRPr="00B32386">
        <w:t xml:space="preserve">. </w:t>
      </w:r>
      <w:r>
        <w:t xml:space="preserve">The list is by no means exhaustive and is meant to be an illustrative sample of results that budget support operations could pursue. Indicators need to </w:t>
      </w:r>
      <w:r w:rsidRPr="00B32386">
        <w:t>be tailored to the different country contexts (political, administrative and fiscal).</w:t>
      </w:r>
      <w:r w:rsidRPr="00B32386" w:rsidDel="002C3A3F">
        <w:t xml:space="preserve"> </w:t>
      </w:r>
    </w:p>
    <w:p w:rsidR="002F359B" w:rsidRPr="00B32386" w:rsidRDefault="002F359B" w:rsidP="007B70FF">
      <w:pPr>
        <w:spacing w:line="240" w:lineRule="auto"/>
        <w:jc w:val="both"/>
      </w:pPr>
      <w:r>
        <w:t>T</w:t>
      </w:r>
      <w:r w:rsidRPr="00B32386">
        <w:t xml:space="preserve">he indicators are presented </w:t>
      </w:r>
      <w:r>
        <w:t xml:space="preserve">in different </w:t>
      </w:r>
      <w:r w:rsidRPr="00B32386">
        <w:t>sets:</w:t>
      </w:r>
    </w:p>
    <w:p w:rsidR="002F359B" w:rsidRPr="00B32386" w:rsidRDefault="002F359B" w:rsidP="007B70FF">
      <w:pPr>
        <w:pStyle w:val="ListParagraph"/>
        <w:numPr>
          <w:ilvl w:val="0"/>
          <w:numId w:val="56"/>
        </w:numPr>
        <w:spacing w:line="240" w:lineRule="auto"/>
        <w:jc w:val="both"/>
      </w:pPr>
      <w:r w:rsidRPr="00B32386">
        <w:t xml:space="preserve">Indicators that are common </w:t>
      </w:r>
      <w:r>
        <w:t xml:space="preserve">to all types of BS </w:t>
      </w:r>
      <w:r w:rsidRPr="00B32386">
        <w:t>in decentralized contexts</w:t>
      </w:r>
    </w:p>
    <w:p w:rsidR="002F359B" w:rsidRDefault="002F359B" w:rsidP="007B70FF">
      <w:pPr>
        <w:pStyle w:val="ListParagraph"/>
        <w:numPr>
          <w:ilvl w:val="0"/>
          <w:numId w:val="56"/>
        </w:numPr>
        <w:spacing w:line="240" w:lineRule="auto"/>
        <w:jc w:val="both"/>
      </w:pPr>
      <w:r w:rsidRPr="00B32386">
        <w:t xml:space="preserve">Indicators that are specific (to the most extent) to different types of budget support operations (decentralized services delivery, decentralization reforms, and </w:t>
      </w:r>
      <w:r>
        <w:t xml:space="preserve">support to </w:t>
      </w:r>
      <w:r w:rsidRPr="00B32386">
        <w:t>territorial development policies</w:t>
      </w:r>
      <w:r>
        <w:t xml:space="preserve"> of local authorities/LA</w:t>
      </w:r>
      <w:r w:rsidRPr="00B32386">
        <w:t>)</w:t>
      </w:r>
    </w:p>
    <w:p w:rsidR="003945C8" w:rsidRPr="00B32386" w:rsidRDefault="003945C8" w:rsidP="007B70FF">
      <w:pPr>
        <w:pStyle w:val="ListParagraph"/>
        <w:spacing w:line="240" w:lineRule="auto"/>
        <w:jc w:val="both"/>
      </w:pPr>
    </w:p>
    <w:tbl>
      <w:tblPr>
        <w:tblStyle w:val="TableGrid"/>
        <w:tblW w:w="10350" w:type="dxa"/>
        <w:tblLook w:val="04A0" w:firstRow="1" w:lastRow="0" w:firstColumn="1" w:lastColumn="0" w:noHBand="0" w:noVBand="1"/>
      </w:tblPr>
      <w:tblGrid>
        <w:gridCol w:w="2868"/>
        <w:gridCol w:w="4692"/>
        <w:gridCol w:w="2790"/>
      </w:tblGrid>
      <w:tr w:rsidR="002F359B" w:rsidRPr="00550EE5" w:rsidTr="007B70FF">
        <w:trPr>
          <w:trHeight w:val="314"/>
        </w:trPr>
        <w:tc>
          <w:tcPr>
            <w:tcW w:w="2868" w:type="dxa"/>
            <w:shd w:val="clear" w:color="auto" w:fill="D9D9D9" w:themeFill="background1" w:themeFillShade="D9"/>
            <w:vAlign w:val="center"/>
          </w:tcPr>
          <w:p w:rsidR="002F359B" w:rsidRPr="00873E12" w:rsidRDefault="002F359B" w:rsidP="002F359B">
            <w:pPr>
              <w:pStyle w:val="NoSpacing"/>
              <w:jc w:val="center"/>
              <w:rPr>
                <w:b/>
                <w:bCs/>
              </w:rPr>
            </w:pPr>
            <w:r w:rsidRPr="00873E12">
              <w:rPr>
                <w:b/>
                <w:bCs/>
              </w:rPr>
              <w:t>Expected Results</w:t>
            </w:r>
          </w:p>
        </w:tc>
        <w:tc>
          <w:tcPr>
            <w:tcW w:w="4692" w:type="dxa"/>
            <w:shd w:val="clear" w:color="auto" w:fill="D9D9D9" w:themeFill="background1" w:themeFillShade="D9"/>
            <w:vAlign w:val="center"/>
          </w:tcPr>
          <w:p w:rsidR="002F359B" w:rsidRPr="00873E12" w:rsidRDefault="002F359B" w:rsidP="002F359B">
            <w:pPr>
              <w:pStyle w:val="NoSpacing"/>
              <w:jc w:val="center"/>
              <w:rPr>
                <w:b/>
                <w:bCs/>
              </w:rPr>
            </w:pPr>
            <w:r w:rsidRPr="00873E12">
              <w:rPr>
                <w:b/>
                <w:bCs/>
              </w:rPr>
              <w:t>Indicators</w:t>
            </w:r>
          </w:p>
        </w:tc>
        <w:tc>
          <w:tcPr>
            <w:tcW w:w="2790" w:type="dxa"/>
            <w:shd w:val="clear" w:color="auto" w:fill="D9D9D9" w:themeFill="background1" w:themeFillShade="D9"/>
            <w:vAlign w:val="center"/>
          </w:tcPr>
          <w:p w:rsidR="002F359B" w:rsidRPr="00873E12" w:rsidRDefault="002F359B" w:rsidP="002F359B">
            <w:pPr>
              <w:pStyle w:val="NoSpacing"/>
              <w:jc w:val="center"/>
              <w:rPr>
                <w:b/>
                <w:bCs/>
              </w:rPr>
            </w:pPr>
            <w:r w:rsidRPr="00873E12">
              <w:rPr>
                <w:b/>
                <w:bCs/>
              </w:rPr>
              <w:t>Data Sources</w:t>
            </w:r>
          </w:p>
        </w:tc>
      </w:tr>
      <w:tr w:rsidR="002F359B" w:rsidRPr="00550EE5" w:rsidTr="007B70FF">
        <w:trPr>
          <w:trHeight w:val="332"/>
        </w:trPr>
        <w:tc>
          <w:tcPr>
            <w:tcW w:w="10350" w:type="dxa"/>
            <w:gridSpan w:val="3"/>
            <w:shd w:val="clear" w:color="auto" w:fill="FBD4B4" w:themeFill="accent6" w:themeFillTint="66"/>
            <w:vAlign w:val="center"/>
          </w:tcPr>
          <w:p w:rsidR="002F359B" w:rsidRPr="00550EE5" w:rsidRDefault="002F359B" w:rsidP="002F359B">
            <w:pPr>
              <w:pStyle w:val="NoSpacing"/>
              <w:jc w:val="center"/>
              <w:rPr>
                <w:b/>
                <w:bCs/>
                <w:sz w:val="20"/>
                <w:szCs w:val="20"/>
              </w:rPr>
            </w:pPr>
            <w:r w:rsidRPr="00EA5AD4">
              <w:rPr>
                <w:b/>
                <w:bCs/>
              </w:rPr>
              <w:t>Common Indicators in Decentralized Contexts</w:t>
            </w:r>
          </w:p>
        </w:tc>
      </w:tr>
      <w:tr w:rsidR="002F359B" w:rsidRPr="00550EE5" w:rsidTr="007B70FF">
        <w:tc>
          <w:tcPr>
            <w:tcW w:w="2868" w:type="dxa"/>
          </w:tcPr>
          <w:p w:rsidR="002F359B" w:rsidRPr="00550EE5" w:rsidRDefault="002F359B" w:rsidP="002F359B">
            <w:pPr>
              <w:pStyle w:val="NoSpacing"/>
              <w:rPr>
                <w:sz w:val="20"/>
                <w:szCs w:val="20"/>
              </w:rPr>
            </w:pPr>
            <w:r>
              <w:rPr>
                <w:rFonts w:ascii="Times New Roman" w:hAnsi="Times New Roman" w:cs="Times New Roman"/>
                <w:sz w:val="20"/>
                <w:szCs w:val="20"/>
              </w:rPr>
              <w:t>Legal environment promoting good local governance and local development</w:t>
            </w:r>
          </w:p>
        </w:tc>
        <w:tc>
          <w:tcPr>
            <w:tcW w:w="4692" w:type="dxa"/>
          </w:tcPr>
          <w:p w:rsidR="002F359B" w:rsidRPr="00F534A4" w:rsidRDefault="002F359B" w:rsidP="002F359B">
            <w:pPr>
              <w:pStyle w:val="NoSpacing"/>
              <w:numPr>
                <w:ilvl w:val="0"/>
                <w:numId w:val="34"/>
              </w:numPr>
              <w:rPr>
                <w:sz w:val="20"/>
                <w:szCs w:val="20"/>
              </w:rPr>
            </w:pPr>
            <w:r w:rsidRPr="00F534A4">
              <w:rPr>
                <w:rFonts w:ascii="Times New Roman" w:hAnsi="Times New Roman" w:cs="Times New Roman"/>
                <w:sz w:val="20"/>
                <w:szCs w:val="20"/>
              </w:rPr>
              <w:t xml:space="preserve">Legislation </w:t>
            </w:r>
            <w:r>
              <w:rPr>
                <w:rFonts w:ascii="Times New Roman" w:hAnsi="Times New Roman" w:cs="Times New Roman"/>
                <w:sz w:val="20"/>
                <w:szCs w:val="20"/>
              </w:rPr>
              <w:t xml:space="preserve">and subsequent regulation </w:t>
            </w:r>
            <w:r w:rsidRPr="00F534A4">
              <w:rPr>
                <w:rFonts w:ascii="Times New Roman" w:hAnsi="Times New Roman" w:cs="Times New Roman"/>
                <w:sz w:val="20"/>
                <w:szCs w:val="20"/>
              </w:rPr>
              <w:t xml:space="preserve">on Sub-national authorities </w:t>
            </w:r>
            <w:r w:rsidRPr="000A26E9">
              <w:rPr>
                <w:rFonts w:ascii="Times New Roman" w:hAnsi="Times New Roman" w:cs="Times New Roman"/>
                <w:sz w:val="20"/>
                <w:szCs w:val="20"/>
              </w:rPr>
              <w:t xml:space="preserve">governance </w:t>
            </w:r>
            <w:r w:rsidRPr="00F534A4">
              <w:rPr>
                <w:rFonts w:ascii="Times New Roman" w:hAnsi="Times New Roman" w:cs="Times New Roman"/>
                <w:sz w:val="20"/>
                <w:szCs w:val="20"/>
              </w:rPr>
              <w:t>structures</w:t>
            </w:r>
            <w:r>
              <w:rPr>
                <w:rFonts w:ascii="Times New Roman" w:hAnsi="Times New Roman" w:cs="Times New Roman"/>
                <w:sz w:val="20"/>
                <w:szCs w:val="20"/>
              </w:rPr>
              <w:t>, functions and autonomy</w:t>
            </w:r>
            <w:r w:rsidRPr="00F534A4">
              <w:rPr>
                <w:rFonts w:ascii="Times New Roman" w:hAnsi="Times New Roman" w:cs="Times New Roman"/>
                <w:sz w:val="20"/>
                <w:szCs w:val="20"/>
              </w:rPr>
              <w:t xml:space="preserve"> </w:t>
            </w:r>
          </w:p>
          <w:p w:rsidR="002F359B" w:rsidRPr="00550EE5" w:rsidRDefault="002F359B" w:rsidP="002F359B">
            <w:pPr>
              <w:pStyle w:val="ListParagraph"/>
              <w:ind w:left="360"/>
              <w:rPr>
                <w:sz w:val="20"/>
                <w:szCs w:val="20"/>
              </w:rPr>
            </w:pPr>
          </w:p>
        </w:tc>
        <w:tc>
          <w:tcPr>
            <w:tcW w:w="2790" w:type="dxa"/>
          </w:tcPr>
          <w:p w:rsidR="002F359B" w:rsidRDefault="002F359B" w:rsidP="002F359B">
            <w:pPr>
              <w:pStyle w:val="NoSpacing"/>
              <w:numPr>
                <w:ilvl w:val="0"/>
                <w:numId w:val="34"/>
              </w:numPr>
              <w:rPr>
                <w:sz w:val="20"/>
                <w:szCs w:val="20"/>
              </w:rPr>
            </w:pPr>
            <w:r>
              <w:rPr>
                <w:sz w:val="20"/>
                <w:szCs w:val="20"/>
              </w:rPr>
              <w:t>Legislative records</w:t>
            </w:r>
          </w:p>
          <w:p w:rsidR="002F359B" w:rsidRPr="00CB30A2" w:rsidRDefault="002F359B" w:rsidP="002F359B">
            <w:pPr>
              <w:pStyle w:val="NoSpacing"/>
              <w:numPr>
                <w:ilvl w:val="0"/>
                <w:numId w:val="34"/>
              </w:numPr>
              <w:rPr>
                <w:sz w:val="20"/>
                <w:szCs w:val="20"/>
              </w:rPr>
            </w:pPr>
            <w:r w:rsidRPr="00550EE5">
              <w:rPr>
                <w:sz w:val="20"/>
                <w:szCs w:val="20"/>
              </w:rPr>
              <w:t>President (Council of Ministers) decision</w:t>
            </w:r>
            <w:r>
              <w:rPr>
                <w:sz w:val="20"/>
                <w:szCs w:val="20"/>
              </w:rPr>
              <w:t>s/ records</w:t>
            </w:r>
          </w:p>
        </w:tc>
      </w:tr>
      <w:tr w:rsidR="002F359B" w:rsidRPr="00550EE5" w:rsidTr="007B70FF">
        <w:tc>
          <w:tcPr>
            <w:tcW w:w="2868" w:type="dxa"/>
          </w:tcPr>
          <w:p w:rsidR="002F359B" w:rsidRPr="00550EE5" w:rsidRDefault="002F359B" w:rsidP="002F359B">
            <w:pPr>
              <w:pStyle w:val="NoSpacing"/>
              <w:rPr>
                <w:sz w:val="20"/>
                <w:szCs w:val="20"/>
              </w:rPr>
            </w:pPr>
            <w:r>
              <w:rPr>
                <w:sz w:val="20"/>
                <w:szCs w:val="20"/>
              </w:rPr>
              <w:t xml:space="preserve">Empowered, autonomous </w:t>
            </w:r>
            <w:r w:rsidRPr="00550EE5">
              <w:rPr>
                <w:sz w:val="20"/>
                <w:szCs w:val="20"/>
              </w:rPr>
              <w:t>local authorities</w:t>
            </w:r>
          </w:p>
        </w:tc>
        <w:tc>
          <w:tcPr>
            <w:tcW w:w="4692" w:type="dxa"/>
          </w:tcPr>
          <w:p w:rsidR="002F359B" w:rsidRDefault="002F359B" w:rsidP="002F359B">
            <w:pPr>
              <w:pStyle w:val="NoSpacing"/>
              <w:numPr>
                <w:ilvl w:val="0"/>
                <w:numId w:val="36"/>
              </w:numPr>
              <w:rPr>
                <w:sz w:val="20"/>
                <w:szCs w:val="20"/>
              </w:rPr>
            </w:pPr>
            <w:r>
              <w:rPr>
                <w:sz w:val="20"/>
                <w:szCs w:val="20"/>
              </w:rPr>
              <w:t>Scope of powers and functions assigned to local authorities:  List of types of assigned powers and service provision responsibilities</w:t>
            </w:r>
          </w:p>
          <w:p w:rsidR="002F359B" w:rsidRPr="00550EE5" w:rsidRDefault="002F359B" w:rsidP="002F359B">
            <w:pPr>
              <w:pStyle w:val="NoSpacing"/>
              <w:numPr>
                <w:ilvl w:val="0"/>
                <w:numId w:val="36"/>
              </w:numPr>
              <w:rPr>
                <w:sz w:val="20"/>
                <w:szCs w:val="20"/>
              </w:rPr>
            </w:pPr>
            <w:r>
              <w:rPr>
                <w:sz w:val="20"/>
                <w:szCs w:val="20"/>
              </w:rPr>
              <w:t xml:space="preserve">Degree of LA autonomy: in terms of  resource allocation decision making, power to decide on local revenue bases and rates  </w:t>
            </w:r>
          </w:p>
        </w:tc>
        <w:tc>
          <w:tcPr>
            <w:tcW w:w="2790" w:type="dxa"/>
          </w:tcPr>
          <w:p w:rsidR="002F359B" w:rsidRDefault="002F359B" w:rsidP="002F359B">
            <w:pPr>
              <w:pStyle w:val="NoSpacing"/>
              <w:numPr>
                <w:ilvl w:val="0"/>
                <w:numId w:val="36"/>
              </w:numPr>
              <w:rPr>
                <w:sz w:val="20"/>
                <w:szCs w:val="20"/>
              </w:rPr>
            </w:pPr>
            <w:r>
              <w:rPr>
                <w:sz w:val="20"/>
                <w:szCs w:val="20"/>
              </w:rPr>
              <w:t>Legislative acts and/or regulations records</w:t>
            </w:r>
          </w:p>
          <w:p w:rsidR="002F359B" w:rsidRDefault="002F359B" w:rsidP="002F359B">
            <w:pPr>
              <w:pStyle w:val="NoSpacing"/>
              <w:numPr>
                <w:ilvl w:val="0"/>
                <w:numId w:val="36"/>
              </w:numPr>
              <w:rPr>
                <w:sz w:val="20"/>
                <w:szCs w:val="20"/>
              </w:rPr>
            </w:pPr>
            <w:r>
              <w:rPr>
                <w:sz w:val="20"/>
                <w:szCs w:val="20"/>
              </w:rPr>
              <w:t xml:space="preserve">Surveys and assessments </w:t>
            </w:r>
          </w:p>
          <w:p w:rsidR="002F359B" w:rsidRDefault="002F359B" w:rsidP="002F359B">
            <w:pPr>
              <w:pStyle w:val="NoSpacing"/>
              <w:numPr>
                <w:ilvl w:val="0"/>
                <w:numId w:val="36"/>
              </w:numPr>
              <w:rPr>
                <w:sz w:val="20"/>
                <w:szCs w:val="20"/>
              </w:rPr>
            </w:pPr>
            <w:r>
              <w:rPr>
                <w:sz w:val="20"/>
                <w:szCs w:val="20"/>
              </w:rPr>
              <w:t>LA activity reports</w:t>
            </w:r>
          </w:p>
          <w:p w:rsidR="002F359B" w:rsidRPr="00550EE5" w:rsidRDefault="002F359B" w:rsidP="002F359B">
            <w:pPr>
              <w:pStyle w:val="NoSpacing"/>
              <w:ind w:left="360"/>
              <w:rPr>
                <w:sz w:val="20"/>
                <w:szCs w:val="20"/>
              </w:rPr>
            </w:pPr>
          </w:p>
        </w:tc>
      </w:tr>
      <w:tr w:rsidR="002F359B" w:rsidRPr="00550EE5" w:rsidTr="007B70FF">
        <w:tc>
          <w:tcPr>
            <w:tcW w:w="2868" w:type="dxa"/>
          </w:tcPr>
          <w:p w:rsidR="002F359B" w:rsidRDefault="002F359B" w:rsidP="002F359B">
            <w:pPr>
              <w:pStyle w:val="NoSpacing"/>
              <w:rPr>
                <w:sz w:val="20"/>
                <w:szCs w:val="20"/>
              </w:rPr>
            </w:pPr>
            <w:r>
              <w:rPr>
                <w:sz w:val="20"/>
                <w:szCs w:val="20"/>
              </w:rPr>
              <w:t>Local Authorities adequately funded</w:t>
            </w:r>
          </w:p>
        </w:tc>
        <w:tc>
          <w:tcPr>
            <w:tcW w:w="4692" w:type="dxa"/>
          </w:tcPr>
          <w:p w:rsidR="002F359B" w:rsidRDefault="002F359B" w:rsidP="002F359B">
            <w:pPr>
              <w:pStyle w:val="NoSpacing"/>
              <w:numPr>
                <w:ilvl w:val="0"/>
                <w:numId w:val="36"/>
              </w:numPr>
              <w:rPr>
                <w:sz w:val="20"/>
                <w:szCs w:val="20"/>
              </w:rPr>
            </w:pPr>
            <w:r w:rsidRPr="00232BE3">
              <w:rPr>
                <w:sz w:val="20"/>
                <w:szCs w:val="20"/>
              </w:rPr>
              <w:t xml:space="preserve">A </w:t>
            </w:r>
            <w:r>
              <w:rPr>
                <w:sz w:val="20"/>
                <w:szCs w:val="20"/>
              </w:rPr>
              <w:t xml:space="preserve">general purpose fiscal transfers mechanism is in place </w:t>
            </w:r>
          </w:p>
          <w:p w:rsidR="002F359B" w:rsidRDefault="002F359B" w:rsidP="002F359B">
            <w:pPr>
              <w:pStyle w:val="NoSpacing"/>
              <w:numPr>
                <w:ilvl w:val="0"/>
                <w:numId w:val="36"/>
              </w:numPr>
              <w:rPr>
                <w:sz w:val="20"/>
                <w:szCs w:val="20"/>
              </w:rPr>
            </w:pPr>
            <w:r>
              <w:rPr>
                <w:sz w:val="20"/>
                <w:szCs w:val="20"/>
              </w:rPr>
              <w:t>Additional (purpose-specific) fiscal transfer mechanisms are in place</w:t>
            </w:r>
          </w:p>
          <w:p w:rsidR="002F359B" w:rsidRPr="00CB30A2" w:rsidRDefault="002F359B" w:rsidP="002F359B">
            <w:pPr>
              <w:pStyle w:val="NoSpacing"/>
              <w:numPr>
                <w:ilvl w:val="0"/>
                <w:numId w:val="36"/>
              </w:numPr>
              <w:rPr>
                <w:sz w:val="20"/>
                <w:szCs w:val="20"/>
              </w:rPr>
            </w:pPr>
            <w:r>
              <w:rPr>
                <w:sz w:val="20"/>
                <w:szCs w:val="20"/>
              </w:rPr>
              <w:t>Local own-source revenue system in place (consistent with relevant good practices)</w:t>
            </w:r>
          </w:p>
          <w:p w:rsidR="002F359B" w:rsidRPr="00232BE3" w:rsidRDefault="002F359B" w:rsidP="002F359B">
            <w:pPr>
              <w:pStyle w:val="NoSpacing"/>
              <w:numPr>
                <w:ilvl w:val="0"/>
                <w:numId w:val="36"/>
              </w:numPr>
              <w:rPr>
                <w:sz w:val="20"/>
                <w:szCs w:val="20"/>
              </w:rPr>
            </w:pPr>
            <w:r>
              <w:rPr>
                <w:sz w:val="20"/>
                <w:szCs w:val="20"/>
              </w:rPr>
              <w:t xml:space="preserve">Increase </w:t>
            </w:r>
            <w:r w:rsidRPr="00232BE3">
              <w:rPr>
                <w:sz w:val="20"/>
                <w:szCs w:val="20"/>
              </w:rPr>
              <w:t xml:space="preserve">of own-source revenue </w:t>
            </w:r>
            <w:r>
              <w:rPr>
                <w:sz w:val="20"/>
                <w:szCs w:val="20"/>
              </w:rPr>
              <w:t xml:space="preserve">share in </w:t>
            </w:r>
            <w:r w:rsidRPr="00232BE3">
              <w:rPr>
                <w:sz w:val="20"/>
                <w:szCs w:val="20"/>
              </w:rPr>
              <w:t xml:space="preserve">LA </w:t>
            </w:r>
            <w:r>
              <w:rPr>
                <w:sz w:val="20"/>
                <w:szCs w:val="20"/>
              </w:rPr>
              <w:t>total budget</w:t>
            </w:r>
          </w:p>
          <w:p w:rsidR="002F359B" w:rsidRPr="00833A1E" w:rsidRDefault="002F359B" w:rsidP="002F359B">
            <w:pPr>
              <w:pStyle w:val="NoSpacing"/>
              <w:numPr>
                <w:ilvl w:val="0"/>
                <w:numId w:val="36"/>
              </w:numPr>
              <w:rPr>
                <w:sz w:val="20"/>
                <w:szCs w:val="20"/>
              </w:rPr>
            </w:pPr>
            <w:r>
              <w:rPr>
                <w:rFonts w:cs="Times New Roman"/>
                <w:sz w:val="20"/>
                <w:szCs w:val="20"/>
              </w:rPr>
              <w:t>Increase in the s</w:t>
            </w:r>
            <w:r w:rsidRPr="00232BE3">
              <w:rPr>
                <w:rFonts w:cs="Times New Roman"/>
                <w:sz w:val="20"/>
                <w:szCs w:val="20"/>
              </w:rPr>
              <w:t>hare of discretionary resources in LA budgets</w:t>
            </w:r>
          </w:p>
          <w:p w:rsidR="002F359B" w:rsidRDefault="002F359B" w:rsidP="002F359B">
            <w:pPr>
              <w:pStyle w:val="NoSpacing"/>
              <w:numPr>
                <w:ilvl w:val="0"/>
                <w:numId w:val="36"/>
              </w:numPr>
              <w:rPr>
                <w:sz w:val="20"/>
                <w:szCs w:val="20"/>
              </w:rPr>
            </w:pPr>
            <w:r>
              <w:rPr>
                <w:rFonts w:cs="Times New Roman"/>
                <w:sz w:val="20"/>
                <w:szCs w:val="20"/>
              </w:rPr>
              <w:t xml:space="preserve">% increase of fiscal transfers to LA in total national budget appropriations </w:t>
            </w:r>
          </w:p>
          <w:p w:rsidR="002F359B" w:rsidRDefault="002F359B" w:rsidP="002F359B">
            <w:pPr>
              <w:pStyle w:val="NoSpacing"/>
              <w:numPr>
                <w:ilvl w:val="0"/>
                <w:numId w:val="36"/>
              </w:numPr>
              <w:rPr>
                <w:sz w:val="20"/>
                <w:szCs w:val="20"/>
              </w:rPr>
            </w:pPr>
            <w:r>
              <w:rPr>
                <w:sz w:val="20"/>
                <w:szCs w:val="20"/>
              </w:rPr>
              <w:t xml:space="preserve">% of fiscal transfers actually disbursed to LA </w:t>
            </w:r>
          </w:p>
          <w:p w:rsidR="002F359B" w:rsidRDefault="002F359B" w:rsidP="002F359B">
            <w:pPr>
              <w:pStyle w:val="NoSpacing"/>
              <w:numPr>
                <w:ilvl w:val="0"/>
                <w:numId w:val="36"/>
              </w:numPr>
              <w:rPr>
                <w:sz w:val="20"/>
                <w:szCs w:val="20"/>
              </w:rPr>
            </w:pPr>
            <w:r>
              <w:rPr>
                <w:sz w:val="20"/>
                <w:szCs w:val="20"/>
              </w:rPr>
              <w:t>% of disbursed fiscal transfers actually spent by LA</w:t>
            </w:r>
          </w:p>
          <w:p w:rsidR="009F430D" w:rsidRPr="00232BE3" w:rsidRDefault="009F430D" w:rsidP="00756BDC">
            <w:pPr>
              <w:pStyle w:val="NoSpacing"/>
              <w:numPr>
                <w:ilvl w:val="0"/>
                <w:numId w:val="36"/>
              </w:numPr>
              <w:rPr>
                <w:sz w:val="20"/>
                <w:szCs w:val="20"/>
              </w:rPr>
            </w:pPr>
          </w:p>
        </w:tc>
        <w:tc>
          <w:tcPr>
            <w:tcW w:w="2790" w:type="dxa"/>
          </w:tcPr>
          <w:p w:rsidR="002F359B" w:rsidRDefault="002F359B" w:rsidP="002F359B">
            <w:pPr>
              <w:pStyle w:val="NoSpacing"/>
              <w:numPr>
                <w:ilvl w:val="0"/>
                <w:numId w:val="36"/>
              </w:numPr>
              <w:rPr>
                <w:sz w:val="20"/>
                <w:szCs w:val="20"/>
              </w:rPr>
            </w:pPr>
            <w:r>
              <w:rPr>
                <w:sz w:val="20"/>
                <w:szCs w:val="20"/>
              </w:rPr>
              <w:t>Legislative acts and/or regulations records</w:t>
            </w:r>
          </w:p>
          <w:p w:rsidR="002F359B" w:rsidRDefault="002F359B" w:rsidP="002F359B">
            <w:pPr>
              <w:pStyle w:val="NoSpacing"/>
              <w:numPr>
                <w:ilvl w:val="0"/>
                <w:numId w:val="36"/>
              </w:numPr>
              <w:rPr>
                <w:sz w:val="20"/>
                <w:szCs w:val="20"/>
              </w:rPr>
            </w:pPr>
            <w:r>
              <w:rPr>
                <w:sz w:val="20"/>
                <w:szCs w:val="20"/>
              </w:rPr>
              <w:t xml:space="preserve">Surveys and assessments </w:t>
            </w:r>
          </w:p>
          <w:p w:rsidR="002F359B" w:rsidRDefault="002F359B" w:rsidP="002F359B">
            <w:pPr>
              <w:pStyle w:val="NoSpacing"/>
              <w:numPr>
                <w:ilvl w:val="0"/>
                <w:numId w:val="36"/>
              </w:numPr>
              <w:rPr>
                <w:sz w:val="20"/>
                <w:szCs w:val="20"/>
              </w:rPr>
            </w:pPr>
            <w:r>
              <w:rPr>
                <w:sz w:val="20"/>
                <w:szCs w:val="20"/>
              </w:rPr>
              <w:t>LA activity reports</w:t>
            </w:r>
          </w:p>
          <w:p w:rsidR="002F359B" w:rsidRDefault="002F359B" w:rsidP="002F359B">
            <w:pPr>
              <w:pStyle w:val="NoSpacing"/>
              <w:numPr>
                <w:ilvl w:val="0"/>
                <w:numId w:val="36"/>
              </w:numPr>
              <w:rPr>
                <w:sz w:val="20"/>
                <w:szCs w:val="20"/>
              </w:rPr>
            </w:pPr>
            <w:r>
              <w:rPr>
                <w:sz w:val="20"/>
                <w:szCs w:val="20"/>
              </w:rPr>
              <w:t>Public finance records</w:t>
            </w:r>
          </w:p>
          <w:p w:rsidR="002F359B" w:rsidRPr="00335D3D" w:rsidRDefault="002F359B" w:rsidP="002F359B">
            <w:pPr>
              <w:pStyle w:val="NoSpacing"/>
              <w:numPr>
                <w:ilvl w:val="0"/>
                <w:numId w:val="36"/>
              </w:numPr>
              <w:rPr>
                <w:sz w:val="20"/>
                <w:szCs w:val="20"/>
              </w:rPr>
            </w:pPr>
            <w:r>
              <w:rPr>
                <w:sz w:val="20"/>
                <w:szCs w:val="20"/>
              </w:rPr>
              <w:t>LA budgets and financial statements</w:t>
            </w:r>
          </w:p>
        </w:tc>
      </w:tr>
      <w:tr w:rsidR="002F359B" w:rsidRPr="00550EE5" w:rsidTr="007B70FF">
        <w:tc>
          <w:tcPr>
            <w:tcW w:w="2868" w:type="dxa"/>
          </w:tcPr>
          <w:p w:rsidR="002F359B" w:rsidRPr="008C7CE3" w:rsidRDefault="002F359B" w:rsidP="002F359B">
            <w:pPr>
              <w:pStyle w:val="NoSpacing"/>
              <w:rPr>
                <w:sz w:val="20"/>
                <w:szCs w:val="20"/>
              </w:rPr>
            </w:pPr>
            <w:r w:rsidRPr="008C7CE3">
              <w:rPr>
                <w:sz w:val="20"/>
                <w:szCs w:val="20"/>
              </w:rPr>
              <w:t>Institutions and capacity for local public expenditure management (L-PEM)</w:t>
            </w:r>
          </w:p>
        </w:tc>
        <w:tc>
          <w:tcPr>
            <w:tcW w:w="4692" w:type="dxa"/>
          </w:tcPr>
          <w:p w:rsidR="002F359B" w:rsidRDefault="002F359B" w:rsidP="002F359B">
            <w:pPr>
              <w:pStyle w:val="NoSpacing"/>
              <w:numPr>
                <w:ilvl w:val="0"/>
                <w:numId w:val="37"/>
              </w:numPr>
              <w:rPr>
                <w:sz w:val="20"/>
                <w:szCs w:val="20"/>
              </w:rPr>
            </w:pPr>
            <w:r w:rsidRPr="00DD0419">
              <w:rPr>
                <w:sz w:val="20"/>
                <w:szCs w:val="20"/>
              </w:rPr>
              <w:t xml:space="preserve">Local planning </w:t>
            </w:r>
            <w:r>
              <w:rPr>
                <w:sz w:val="20"/>
                <w:szCs w:val="20"/>
              </w:rPr>
              <w:t xml:space="preserve">procedures designed </w:t>
            </w:r>
          </w:p>
          <w:p w:rsidR="002F359B" w:rsidRDefault="002F359B" w:rsidP="002F359B">
            <w:pPr>
              <w:pStyle w:val="NoSpacing"/>
              <w:numPr>
                <w:ilvl w:val="0"/>
                <w:numId w:val="37"/>
              </w:numPr>
              <w:rPr>
                <w:sz w:val="20"/>
                <w:szCs w:val="20"/>
              </w:rPr>
            </w:pPr>
            <w:r>
              <w:rPr>
                <w:sz w:val="20"/>
                <w:szCs w:val="20"/>
              </w:rPr>
              <w:t xml:space="preserve">User-friendly planning manual is developed and used </w:t>
            </w:r>
          </w:p>
          <w:p w:rsidR="002F359B" w:rsidRDefault="002F359B" w:rsidP="002F359B">
            <w:pPr>
              <w:pStyle w:val="NoSpacing"/>
              <w:numPr>
                <w:ilvl w:val="0"/>
                <w:numId w:val="37"/>
              </w:numPr>
              <w:rPr>
                <w:sz w:val="20"/>
                <w:szCs w:val="20"/>
              </w:rPr>
            </w:pPr>
            <w:r w:rsidRPr="00DD0419">
              <w:rPr>
                <w:sz w:val="20"/>
                <w:szCs w:val="20"/>
              </w:rPr>
              <w:t xml:space="preserve">Financial management rules and procedures </w:t>
            </w:r>
            <w:r>
              <w:rPr>
                <w:sz w:val="20"/>
                <w:szCs w:val="20"/>
              </w:rPr>
              <w:t xml:space="preserve">are enacted, </w:t>
            </w:r>
            <w:r w:rsidRPr="00DD0419">
              <w:rPr>
                <w:sz w:val="20"/>
                <w:szCs w:val="20"/>
              </w:rPr>
              <w:t>covering the whole PEM cycle (budgeting, procurement, accounting, cash management, internal control, reporting...)</w:t>
            </w:r>
          </w:p>
          <w:p w:rsidR="00D42CED" w:rsidRPr="00D42CED" w:rsidRDefault="00D42CED" w:rsidP="00D42CED">
            <w:pPr>
              <w:pStyle w:val="ListParagraph"/>
              <w:numPr>
                <w:ilvl w:val="0"/>
                <w:numId w:val="37"/>
              </w:numPr>
              <w:rPr>
                <w:sz w:val="20"/>
                <w:szCs w:val="20"/>
              </w:rPr>
            </w:pPr>
            <w:r w:rsidRPr="00D42CED">
              <w:rPr>
                <w:sz w:val="20"/>
                <w:szCs w:val="20"/>
              </w:rPr>
              <w:t xml:space="preserve">A gender </w:t>
            </w:r>
            <w:r w:rsidR="00C117CC">
              <w:rPr>
                <w:sz w:val="20"/>
                <w:szCs w:val="20"/>
              </w:rPr>
              <w:t xml:space="preserve">and inequalities </w:t>
            </w:r>
            <w:r w:rsidRPr="00D42CED">
              <w:rPr>
                <w:sz w:val="20"/>
                <w:szCs w:val="20"/>
              </w:rPr>
              <w:t xml:space="preserve">responsive budgeting </w:t>
            </w:r>
            <w:r w:rsidRPr="00D42CED">
              <w:rPr>
                <w:sz w:val="20"/>
                <w:szCs w:val="20"/>
              </w:rPr>
              <w:lastRenderedPageBreak/>
              <w:t xml:space="preserve">process in place </w:t>
            </w:r>
          </w:p>
          <w:p w:rsidR="002F359B" w:rsidRPr="00F534A4" w:rsidRDefault="002F359B" w:rsidP="002F359B">
            <w:pPr>
              <w:pStyle w:val="NoSpacing"/>
              <w:numPr>
                <w:ilvl w:val="0"/>
                <w:numId w:val="37"/>
              </w:numPr>
              <w:rPr>
                <w:rFonts w:ascii="Times New Roman" w:hAnsi="Times New Roman"/>
              </w:rPr>
            </w:pPr>
            <w:r>
              <w:rPr>
                <w:sz w:val="20"/>
                <w:szCs w:val="20"/>
              </w:rPr>
              <w:t xml:space="preserve">% of Local Authorities with data records on tax assessment bases </w:t>
            </w:r>
          </w:p>
          <w:p w:rsidR="002F359B" w:rsidRPr="0002354C" w:rsidRDefault="002F359B" w:rsidP="002F359B">
            <w:pPr>
              <w:pStyle w:val="NoSpacing"/>
              <w:numPr>
                <w:ilvl w:val="0"/>
                <w:numId w:val="37"/>
              </w:numPr>
              <w:rPr>
                <w:rFonts w:ascii="Times New Roman" w:hAnsi="Times New Roman"/>
              </w:rPr>
            </w:pPr>
            <w:r>
              <w:rPr>
                <w:sz w:val="20"/>
                <w:szCs w:val="20"/>
              </w:rPr>
              <w:t xml:space="preserve">% of Local Authorities undertaking periodic updating of their local tax assessment bases </w:t>
            </w:r>
          </w:p>
        </w:tc>
        <w:tc>
          <w:tcPr>
            <w:tcW w:w="2790" w:type="dxa"/>
          </w:tcPr>
          <w:p w:rsidR="002F359B" w:rsidRDefault="002F359B" w:rsidP="002F359B">
            <w:pPr>
              <w:pStyle w:val="NoSpacing"/>
              <w:numPr>
                <w:ilvl w:val="0"/>
                <w:numId w:val="36"/>
              </w:numPr>
              <w:rPr>
                <w:sz w:val="20"/>
                <w:szCs w:val="20"/>
              </w:rPr>
            </w:pPr>
            <w:r>
              <w:rPr>
                <w:sz w:val="20"/>
                <w:szCs w:val="20"/>
              </w:rPr>
              <w:lastRenderedPageBreak/>
              <w:t>Regulations records</w:t>
            </w:r>
          </w:p>
          <w:p w:rsidR="002F359B" w:rsidRDefault="002F359B" w:rsidP="002F359B">
            <w:pPr>
              <w:pStyle w:val="NoSpacing"/>
              <w:numPr>
                <w:ilvl w:val="0"/>
                <w:numId w:val="36"/>
              </w:numPr>
              <w:rPr>
                <w:sz w:val="20"/>
                <w:szCs w:val="20"/>
              </w:rPr>
            </w:pPr>
            <w:r>
              <w:rPr>
                <w:sz w:val="20"/>
                <w:szCs w:val="20"/>
              </w:rPr>
              <w:t>Manuals of procedures</w:t>
            </w:r>
          </w:p>
          <w:p w:rsidR="002F359B" w:rsidRDefault="002F359B" w:rsidP="002F359B">
            <w:pPr>
              <w:pStyle w:val="NoSpacing"/>
              <w:numPr>
                <w:ilvl w:val="0"/>
                <w:numId w:val="36"/>
              </w:numPr>
              <w:rPr>
                <w:sz w:val="20"/>
                <w:szCs w:val="20"/>
              </w:rPr>
            </w:pPr>
            <w:r>
              <w:rPr>
                <w:sz w:val="20"/>
                <w:szCs w:val="20"/>
              </w:rPr>
              <w:t xml:space="preserve">Surveys </w:t>
            </w:r>
          </w:p>
          <w:p w:rsidR="002F359B" w:rsidRDefault="002F359B" w:rsidP="002F359B">
            <w:pPr>
              <w:pStyle w:val="NoSpacing"/>
              <w:numPr>
                <w:ilvl w:val="0"/>
                <w:numId w:val="36"/>
              </w:numPr>
              <w:rPr>
                <w:sz w:val="20"/>
                <w:szCs w:val="20"/>
              </w:rPr>
            </w:pPr>
            <w:r>
              <w:rPr>
                <w:sz w:val="20"/>
                <w:szCs w:val="20"/>
              </w:rPr>
              <w:t>LA reports</w:t>
            </w:r>
          </w:p>
          <w:p w:rsidR="002F359B" w:rsidRDefault="002F359B" w:rsidP="002F359B">
            <w:pPr>
              <w:pStyle w:val="NoSpacing"/>
              <w:numPr>
                <w:ilvl w:val="0"/>
                <w:numId w:val="36"/>
              </w:numPr>
              <w:rPr>
                <w:sz w:val="20"/>
                <w:szCs w:val="20"/>
              </w:rPr>
            </w:pPr>
            <w:r>
              <w:rPr>
                <w:sz w:val="20"/>
                <w:szCs w:val="20"/>
              </w:rPr>
              <w:t>Ministry of Local Government reports</w:t>
            </w:r>
          </w:p>
          <w:p w:rsidR="002F359B" w:rsidRDefault="002F359B" w:rsidP="002F359B">
            <w:pPr>
              <w:pStyle w:val="NoSpacing"/>
              <w:numPr>
                <w:ilvl w:val="0"/>
                <w:numId w:val="36"/>
              </w:numPr>
              <w:rPr>
                <w:sz w:val="20"/>
                <w:szCs w:val="20"/>
              </w:rPr>
            </w:pPr>
            <w:r>
              <w:rPr>
                <w:sz w:val="20"/>
                <w:szCs w:val="20"/>
              </w:rPr>
              <w:t>Ministry of Finance reports</w:t>
            </w:r>
          </w:p>
        </w:tc>
      </w:tr>
      <w:tr w:rsidR="002F359B" w:rsidRPr="00550EE5" w:rsidTr="007B70FF">
        <w:tc>
          <w:tcPr>
            <w:tcW w:w="2868" w:type="dxa"/>
          </w:tcPr>
          <w:p w:rsidR="002F359B" w:rsidRDefault="002F359B" w:rsidP="002F359B">
            <w:pPr>
              <w:pStyle w:val="NoSpacing"/>
              <w:rPr>
                <w:sz w:val="20"/>
                <w:szCs w:val="20"/>
              </w:rPr>
            </w:pPr>
            <w:r>
              <w:rPr>
                <w:sz w:val="20"/>
                <w:szCs w:val="20"/>
              </w:rPr>
              <w:lastRenderedPageBreak/>
              <w:t>Adequate, operational  support and monitoring institutions and arrangements in place</w:t>
            </w:r>
          </w:p>
        </w:tc>
        <w:tc>
          <w:tcPr>
            <w:tcW w:w="4692" w:type="dxa"/>
          </w:tcPr>
          <w:p w:rsidR="002F359B" w:rsidRPr="00AE6594" w:rsidRDefault="002F359B" w:rsidP="002F359B">
            <w:pPr>
              <w:pStyle w:val="NoSpacing"/>
              <w:numPr>
                <w:ilvl w:val="0"/>
                <w:numId w:val="36"/>
              </w:numPr>
              <w:rPr>
                <w:sz w:val="20"/>
                <w:szCs w:val="20"/>
              </w:rPr>
            </w:pPr>
            <w:r w:rsidRPr="00AE6594">
              <w:rPr>
                <w:sz w:val="20"/>
                <w:szCs w:val="20"/>
              </w:rPr>
              <w:t xml:space="preserve">Adequate support arrangements recognizing LA autonomy </w:t>
            </w:r>
          </w:p>
          <w:p w:rsidR="002F359B" w:rsidRPr="00AE6594" w:rsidRDefault="002F359B" w:rsidP="002F359B">
            <w:pPr>
              <w:pStyle w:val="NoSpacing"/>
              <w:numPr>
                <w:ilvl w:val="0"/>
                <w:numId w:val="36"/>
              </w:numPr>
              <w:rPr>
                <w:rFonts w:eastAsia="Times New Roman"/>
                <w:sz w:val="20"/>
                <w:szCs w:val="20"/>
              </w:rPr>
            </w:pPr>
            <w:r w:rsidRPr="00AE6594">
              <w:rPr>
                <w:rFonts w:eastAsia="Times New Roman"/>
                <w:sz w:val="20"/>
                <w:szCs w:val="20"/>
              </w:rPr>
              <w:t xml:space="preserve">Systems of LA performance monitoring </w:t>
            </w:r>
          </w:p>
          <w:p w:rsidR="002F359B" w:rsidRPr="00AE6594" w:rsidRDefault="002F359B" w:rsidP="002F359B">
            <w:pPr>
              <w:pStyle w:val="NoSpacing"/>
              <w:numPr>
                <w:ilvl w:val="0"/>
                <w:numId w:val="36"/>
              </w:numPr>
              <w:rPr>
                <w:rFonts w:eastAsia="Times New Roman"/>
                <w:sz w:val="20"/>
                <w:szCs w:val="20"/>
              </w:rPr>
            </w:pPr>
            <w:r w:rsidRPr="00AE6594">
              <w:rPr>
                <w:sz w:val="20"/>
                <w:szCs w:val="20"/>
              </w:rPr>
              <w:t>Rules and procedures for legality controls of Local Authorities.</w:t>
            </w:r>
          </w:p>
          <w:p w:rsidR="002F359B" w:rsidRPr="00D42CED" w:rsidRDefault="002F359B" w:rsidP="002F359B">
            <w:pPr>
              <w:pStyle w:val="NoSpacing"/>
              <w:numPr>
                <w:ilvl w:val="0"/>
                <w:numId w:val="36"/>
              </w:numPr>
              <w:rPr>
                <w:rFonts w:eastAsia="Times New Roman"/>
                <w:sz w:val="20"/>
                <w:szCs w:val="20"/>
              </w:rPr>
            </w:pPr>
            <w:r w:rsidRPr="00AE6594">
              <w:rPr>
                <w:sz w:val="20"/>
                <w:szCs w:val="20"/>
              </w:rPr>
              <w:t xml:space="preserve">Independent audit of LA accounts </w:t>
            </w:r>
            <w:r>
              <w:rPr>
                <w:sz w:val="20"/>
                <w:szCs w:val="20"/>
              </w:rPr>
              <w:t>in place and operational</w:t>
            </w:r>
          </w:p>
          <w:p w:rsidR="002F02A1" w:rsidRPr="00D42CED" w:rsidRDefault="002F02A1" w:rsidP="002F359B">
            <w:pPr>
              <w:pStyle w:val="NoSpacing"/>
              <w:numPr>
                <w:ilvl w:val="0"/>
                <w:numId w:val="36"/>
              </w:numPr>
              <w:rPr>
                <w:rFonts w:eastAsia="Times New Roman"/>
                <w:sz w:val="20"/>
                <w:szCs w:val="20"/>
              </w:rPr>
            </w:pPr>
          </w:p>
          <w:p w:rsidR="002F359B" w:rsidRPr="00AE6594" w:rsidRDefault="002F359B" w:rsidP="002F359B">
            <w:pPr>
              <w:pStyle w:val="NoSpacing"/>
              <w:numPr>
                <w:ilvl w:val="0"/>
                <w:numId w:val="36"/>
              </w:numPr>
              <w:rPr>
                <w:rFonts w:eastAsia="Times New Roman"/>
                <w:sz w:val="20"/>
                <w:szCs w:val="20"/>
              </w:rPr>
            </w:pPr>
            <w:r w:rsidRPr="00AE6594">
              <w:rPr>
                <w:sz w:val="20"/>
                <w:szCs w:val="20"/>
              </w:rPr>
              <w:t>Anti-corruption mechanisms in place</w:t>
            </w:r>
            <w:r>
              <w:rPr>
                <w:rFonts w:eastAsia="Times New Roman"/>
                <w:sz w:val="20"/>
                <w:szCs w:val="20"/>
              </w:rPr>
              <w:t xml:space="preserve"> and enforced</w:t>
            </w:r>
          </w:p>
        </w:tc>
        <w:tc>
          <w:tcPr>
            <w:tcW w:w="2790" w:type="dxa"/>
          </w:tcPr>
          <w:p w:rsidR="002F359B" w:rsidRPr="00AE6594" w:rsidRDefault="002F359B" w:rsidP="002F359B">
            <w:pPr>
              <w:pStyle w:val="NoSpacing"/>
              <w:numPr>
                <w:ilvl w:val="0"/>
                <w:numId w:val="36"/>
              </w:numPr>
              <w:rPr>
                <w:sz w:val="20"/>
                <w:szCs w:val="20"/>
              </w:rPr>
            </w:pPr>
            <w:r w:rsidRPr="00AE6594">
              <w:rPr>
                <w:sz w:val="20"/>
                <w:szCs w:val="20"/>
              </w:rPr>
              <w:t>Government official  records</w:t>
            </w:r>
          </w:p>
          <w:p w:rsidR="002F359B" w:rsidRPr="00AE6594" w:rsidRDefault="002F359B" w:rsidP="002F359B">
            <w:pPr>
              <w:pStyle w:val="NoSpacing"/>
              <w:numPr>
                <w:ilvl w:val="0"/>
                <w:numId w:val="36"/>
              </w:numPr>
              <w:rPr>
                <w:sz w:val="20"/>
                <w:szCs w:val="20"/>
              </w:rPr>
            </w:pPr>
            <w:r w:rsidRPr="00AE6594">
              <w:rPr>
                <w:sz w:val="20"/>
                <w:szCs w:val="20"/>
              </w:rPr>
              <w:t>Manuals of procedures</w:t>
            </w:r>
          </w:p>
          <w:p w:rsidR="002F359B" w:rsidRPr="00AE6594" w:rsidRDefault="002F359B" w:rsidP="002F359B">
            <w:pPr>
              <w:pStyle w:val="NoSpacing"/>
              <w:numPr>
                <w:ilvl w:val="0"/>
                <w:numId w:val="36"/>
              </w:numPr>
              <w:rPr>
                <w:sz w:val="20"/>
                <w:szCs w:val="20"/>
              </w:rPr>
            </w:pPr>
            <w:r w:rsidRPr="00AE6594">
              <w:rPr>
                <w:sz w:val="20"/>
                <w:szCs w:val="20"/>
              </w:rPr>
              <w:t>Performance monitoring and legality controls reports</w:t>
            </w:r>
          </w:p>
          <w:p w:rsidR="002F359B" w:rsidRPr="00AE6594" w:rsidRDefault="002F359B" w:rsidP="002F359B">
            <w:pPr>
              <w:pStyle w:val="NoSpacing"/>
              <w:numPr>
                <w:ilvl w:val="0"/>
                <w:numId w:val="36"/>
              </w:numPr>
              <w:rPr>
                <w:sz w:val="20"/>
                <w:szCs w:val="20"/>
              </w:rPr>
            </w:pPr>
            <w:r w:rsidRPr="00AE6594">
              <w:rPr>
                <w:sz w:val="20"/>
                <w:szCs w:val="20"/>
              </w:rPr>
              <w:t>Audit reports</w:t>
            </w:r>
          </w:p>
        </w:tc>
      </w:tr>
      <w:tr w:rsidR="002F359B" w:rsidRPr="00550EE5" w:rsidTr="007B70FF">
        <w:tc>
          <w:tcPr>
            <w:tcW w:w="2868" w:type="dxa"/>
          </w:tcPr>
          <w:p w:rsidR="002F359B" w:rsidRPr="008C7CE3" w:rsidRDefault="002F359B" w:rsidP="002F359B">
            <w:pPr>
              <w:pStyle w:val="NoSpacing"/>
            </w:pPr>
            <w:r w:rsidRPr="008C7CE3">
              <w:rPr>
                <w:sz w:val="20"/>
                <w:szCs w:val="20"/>
              </w:rPr>
              <w:t xml:space="preserve">Institutions and capacity for  democratic </w:t>
            </w:r>
            <w:r>
              <w:rPr>
                <w:sz w:val="20"/>
                <w:szCs w:val="20"/>
              </w:rPr>
              <w:t xml:space="preserve">participation, transparency and accountability </w:t>
            </w:r>
          </w:p>
        </w:tc>
        <w:tc>
          <w:tcPr>
            <w:tcW w:w="4692" w:type="dxa"/>
          </w:tcPr>
          <w:p w:rsidR="002F359B" w:rsidRPr="00AE6594" w:rsidRDefault="002F359B" w:rsidP="002F359B">
            <w:pPr>
              <w:pStyle w:val="NoSpacing"/>
              <w:numPr>
                <w:ilvl w:val="0"/>
                <w:numId w:val="36"/>
              </w:numPr>
              <w:rPr>
                <w:rFonts w:cs="Times New Roman"/>
                <w:sz w:val="20"/>
                <w:szCs w:val="20"/>
              </w:rPr>
            </w:pPr>
            <w:r w:rsidRPr="00AE6594">
              <w:rPr>
                <w:rFonts w:cs="Times New Roman"/>
                <w:sz w:val="20"/>
                <w:szCs w:val="20"/>
              </w:rPr>
              <w:t xml:space="preserve">Legal provisions to enable participation of citizens in </w:t>
            </w:r>
            <w:r>
              <w:rPr>
                <w:rFonts w:cs="Times New Roman"/>
                <w:sz w:val="20"/>
                <w:szCs w:val="20"/>
              </w:rPr>
              <w:t>the governance of local affairs (</w:t>
            </w:r>
            <w:r w:rsidRPr="00AE6594">
              <w:rPr>
                <w:rFonts w:cs="Times New Roman"/>
                <w:sz w:val="20"/>
                <w:szCs w:val="20"/>
              </w:rPr>
              <w:t>planning</w:t>
            </w:r>
            <w:r>
              <w:rPr>
                <w:rFonts w:cs="Times New Roman"/>
                <w:sz w:val="20"/>
                <w:szCs w:val="20"/>
              </w:rPr>
              <w:t xml:space="preserve">, </w:t>
            </w:r>
            <w:r w:rsidRPr="00AE6594">
              <w:rPr>
                <w:rFonts w:cs="Times New Roman"/>
                <w:sz w:val="20"/>
                <w:szCs w:val="20"/>
              </w:rPr>
              <w:t>budgeting processes</w:t>
            </w:r>
            <w:r>
              <w:rPr>
                <w:rFonts w:cs="Times New Roman"/>
                <w:sz w:val="20"/>
                <w:szCs w:val="20"/>
              </w:rPr>
              <w:t>, social auditing…)</w:t>
            </w:r>
            <w:r w:rsidR="00D42CED">
              <w:rPr>
                <w:rFonts w:cs="Times New Roman"/>
                <w:sz w:val="20"/>
                <w:szCs w:val="20"/>
              </w:rPr>
              <w:t xml:space="preserve">. </w:t>
            </w:r>
          </w:p>
          <w:p w:rsidR="002F359B" w:rsidRDefault="002F359B" w:rsidP="002F359B">
            <w:pPr>
              <w:pStyle w:val="NoSpacing"/>
              <w:numPr>
                <w:ilvl w:val="0"/>
                <w:numId w:val="36"/>
              </w:numPr>
              <w:rPr>
                <w:rFonts w:cs="Times New Roman"/>
                <w:sz w:val="20"/>
                <w:szCs w:val="20"/>
              </w:rPr>
            </w:pPr>
            <w:r>
              <w:rPr>
                <w:rFonts w:cs="Times New Roman"/>
                <w:sz w:val="20"/>
                <w:szCs w:val="20"/>
              </w:rPr>
              <w:t xml:space="preserve">% of LA actually enable effective </w:t>
            </w:r>
            <w:r w:rsidRPr="00AE6594">
              <w:rPr>
                <w:rFonts w:cs="Times New Roman"/>
                <w:sz w:val="20"/>
                <w:szCs w:val="20"/>
              </w:rPr>
              <w:t xml:space="preserve">participation of citizens in LA planning and budgeting </w:t>
            </w:r>
          </w:p>
          <w:p w:rsidR="002F359B" w:rsidRPr="00AE6594" w:rsidRDefault="002F359B" w:rsidP="002F359B">
            <w:pPr>
              <w:pStyle w:val="NoSpacing"/>
              <w:numPr>
                <w:ilvl w:val="0"/>
                <w:numId w:val="36"/>
              </w:numPr>
              <w:rPr>
                <w:rFonts w:cs="Times New Roman"/>
                <w:sz w:val="20"/>
                <w:szCs w:val="20"/>
              </w:rPr>
            </w:pPr>
            <w:r w:rsidRPr="00AE6594">
              <w:rPr>
                <w:rFonts w:cs="Times New Roman"/>
                <w:sz w:val="20"/>
                <w:szCs w:val="20"/>
              </w:rPr>
              <w:t>Arrangements for social auditing of LA</w:t>
            </w:r>
            <w:r>
              <w:rPr>
                <w:rFonts w:cs="Times New Roman"/>
                <w:sz w:val="20"/>
                <w:szCs w:val="20"/>
              </w:rPr>
              <w:t xml:space="preserve"> are enforced</w:t>
            </w:r>
          </w:p>
          <w:p w:rsidR="002F359B" w:rsidRPr="00AE6594" w:rsidRDefault="002F359B" w:rsidP="002F359B">
            <w:pPr>
              <w:pStyle w:val="NoSpacing"/>
              <w:numPr>
                <w:ilvl w:val="0"/>
                <w:numId w:val="36"/>
              </w:numPr>
              <w:rPr>
                <w:rFonts w:cs="Times New Roman"/>
                <w:sz w:val="20"/>
                <w:szCs w:val="20"/>
              </w:rPr>
            </w:pPr>
            <w:r>
              <w:rPr>
                <w:rFonts w:cs="Times New Roman"/>
                <w:sz w:val="20"/>
                <w:szCs w:val="20"/>
              </w:rPr>
              <w:t xml:space="preserve">% of LA which adopted a </w:t>
            </w:r>
            <w:r w:rsidRPr="00AE6594">
              <w:rPr>
                <w:rFonts w:cs="Times New Roman"/>
                <w:sz w:val="20"/>
                <w:szCs w:val="20"/>
              </w:rPr>
              <w:t>Charter</w:t>
            </w:r>
          </w:p>
          <w:p w:rsidR="002F359B" w:rsidRPr="00AE6594" w:rsidRDefault="002F359B" w:rsidP="002F359B">
            <w:pPr>
              <w:pStyle w:val="NoSpacing"/>
              <w:numPr>
                <w:ilvl w:val="0"/>
                <w:numId w:val="36"/>
              </w:numPr>
              <w:rPr>
                <w:rFonts w:cs="Times New Roman"/>
                <w:sz w:val="20"/>
                <w:szCs w:val="20"/>
              </w:rPr>
            </w:pPr>
            <w:r>
              <w:rPr>
                <w:rFonts w:cs="Times New Roman"/>
                <w:sz w:val="20"/>
                <w:szCs w:val="20"/>
              </w:rPr>
              <w:t xml:space="preserve">% of LA disclosing </w:t>
            </w:r>
            <w:r w:rsidRPr="00AE6594">
              <w:rPr>
                <w:rFonts w:cs="Times New Roman"/>
                <w:sz w:val="20"/>
                <w:szCs w:val="20"/>
              </w:rPr>
              <w:t xml:space="preserve"> their budgets and financial reports</w:t>
            </w:r>
            <w:r>
              <w:rPr>
                <w:rFonts w:cs="Times New Roman"/>
                <w:sz w:val="20"/>
                <w:szCs w:val="20"/>
              </w:rPr>
              <w:t xml:space="preserve"> as per the established schedule and formats</w:t>
            </w:r>
          </w:p>
          <w:p w:rsidR="002F359B" w:rsidRDefault="002F359B" w:rsidP="002F359B">
            <w:pPr>
              <w:pStyle w:val="NoSpacing"/>
              <w:numPr>
                <w:ilvl w:val="0"/>
                <w:numId w:val="36"/>
              </w:numPr>
              <w:rPr>
                <w:rFonts w:cs="Times New Roman"/>
                <w:sz w:val="20"/>
                <w:szCs w:val="20"/>
              </w:rPr>
            </w:pPr>
            <w:r>
              <w:rPr>
                <w:rFonts w:cs="Times New Roman"/>
                <w:sz w:val="20"/>
                <w:szCs w:val="20"/>
              </w:rPr>
              <w:t>% of LA d</w:t>
            </w:r>
            <w:r w:rsidRPr="00AE6594">
              <w:rPr>
                <w:rFonts w:cs="Times New Roman"/>
                <w:sz w:val="20"/>
                <w:szCs w:val="20"/>
              </w:rPr>
              <w:t>isclos</w:t>
            </w:r>
            <w:r>
              <w:rPr>
                <w:rFonts w:cs="Times New Roman"/>
                <w:sz w:val="20"/>
                <w:szCs w:val="20"/>
              </w:rPr>
              <w:t xml:space="preserve">ing </w:t>
            </w:r>
            <w:r w:rsidRPr="00AE6594">
              <w:rPr>
                <w:rFonts w:cs="Times New Roman"/>
                <w:sz w:val="20"/>
                <w:szCs w:val="20"/>
              </w:rPr>
              <w:t xml:space="preserve"> tenders and </w:t>
            </w:r>
            <w:r>
              <w:rPr>
                <w:rFonts w:cs="Times New Roman"/>
                <w:sz w:val="20"/>
                <w:szCs w:val="20"/>
              </w:rPr>
              <w:t xml:space="preserve">awarded </w:t>
            </w:r>
            <w:r w:rsidRPr="00AE6594">
              <w:rPr>
                <w:rFonts w:cs="Times New Roman"/>
                <w:sz w:val="20"/>
                <w:szCs w:val="20"/>
              </w:rPr>
              <w:t>contracts</w:t>
            </w:r>
          </w:p>
          <w:p w:rsidR="003945C8" w:rsidRPr="00AE6594" w:rsidRDefault="003945C8" w:rsidP="007B70FF">
            <w:pPr>
              <w:pStyle w:val="NoSpacing"/>
              <w:ind w:left="360"/>
              <w:rPr>
                <w:rFonts w:cs="Times New Roman"/>
                <w:sz w:val="20"/>
                <w:szCs w:val="20"/>
              </w:rPr>
            </w:pPr>
          </w:p>
        </w:tc>
        <w:tc>
          <w:tcPr>
            <w:tcW w:w="2790" w:type="dxa"/>
          </w:tcPr>
          <w:p w:rsidR="002F359B" w:rsidRPr="00AE6594" w:rsidRDefault="002F359B" w:rsidP="002F359B">
            <w:pPr>
              <w:pStyle w:val="NoSpacing"/>
              <w:numPr>
                <w:ilvl w:val="0"/>
                <w:numId w:val="36"/>
              </w:numPr>
              <w:rPr>
                <w:sz w:val="20"/>
                <w:szCs w:val="20"/>
              </w:rPr>
            </w:pPr>
            <w:r w:rsidRPr="00AE6594">
              <w:rPr>
                <w:sz w:val="20"/>
                <w:szCs w:val="20"/>
              </w:rPr>
              <w:t xml:space="preserve">Government official records </w:t>
            </w:r>
          </w:p>
          <w:p w:rsidR="002F359B" w:rsidRPr="00AE6594" w:rsidRDefault="002F359B" w:rsidP="002F359B">
            <w:pPr>
              <w:pStyle w:val="NoSpacing"/>
              <w:numPr>
                <w:ilvl w:val="0"/>
                <w:numId w:val="36"/>
              </w:numPr>
              <w:rPr>
                <w:sz w:val="20"/>
                <w:szCs w:val="20"/>
              </w:rPr>
            </w:pPr>
            <w:r w:rsidRPr="00AE6594">
              <w:rPr>
                <w:sz w:val="20"/>
                <w:szCs w:val="20"/>
              </w:rPr>
              <w:t>Planning and budgeting manuals (procedures)</w:t>
            </w:r>
          </w:p>
          <w:p w:rsidR="002F359B" w:rsidRPr="002C3A3F" w:rsidRDefault="002F359B" w:rsidP="002F359B">
            <w:pPr>
              <w:pStyle w:val="NoSpacing"/>
              <w:numPr>
                <w:ilvl w:val="0"/>
                <w:numId w:val="36"/>
              </w:numPr>
              <w:rPr>
                <w:sz w:val="20"/>
                <w:szCs w:val="20"/>
                <w:lang w:val="it-IT"/>
              </w:rPr>
            </w:pPr>
            <w:r w:rsidRPr="002C3A3F">
              <w:rPr>
                <w:sz w:val="20"/>
                <w:szCs w:val="20"/>
                <w:lang w:val="it-IT"/>
              </w:rPr>
              <w:t xml:space="preserve">LA performance </w:t>
            </w:r>
            <w:proofErr w:type="spellStart"/>
            <w:r w:rsidRPr="002C3A3F">
              <w:rPr>
                <w:sz w:val="20"/>
                <w:szCs w:val="20"/>
                <w:lang w:val="it-IT"/>
              </w:rPr>
              <w:t>monitoring</w:t>
            </w:r>
            <w:proofErr w:type="spellEnd"/>
            <w:r w:rsidRPr="002C3A3F">
              <w:rPr>
                <w:sz w:val="20"/>
                <w:szCs w:val="20"/>
                <w:lang w:val="it-IT"/>
              </w:rPr>
              <w:t xml:space="preserve"> </w:t>
            </w:r>
            <w:proofErr w:type="spellStart"/>
            <w:r w:rsidRPr="002C3A3F">
              <w:rPr>
                <w:sz w:val="20"/>
                <w:szCs w:val="20"/>
                <w:lang w:val="it-IT"/>
              </w:rPr>
              <w:t>manual</w:t>
            </w:r>
            <w:proofErr w:type="spellEnd"/>
            <w:r w:rsidRPr="002C3A3F">
              <w:rPr>
                <w:sz w:val="20"/>
                <w:szCs w:val="20"/>
                <w:lang w:val="it-IT"/>
              </w:rPr>
              <w:t xml:space="preserve"> (</w:t>
            </w:r>
            <w:proofErr w:type="spellStart"/>
            <w:r w:rsidRPr="002C3A3F">
              <w:rPr>
                <w:sz w:val="20"/>
                <w:szCs w:val="20"/>
                <w:lang w:val="it-IT"/>
              </w:rPr>
              <w:t>procedures</w:t>
            </w:r>
            <w:proofErr w:type="spellEnd"/>
            <w:r w:rsidRPr="002C3A3F">
              <w:rPr>
                <w:sz w:val="20"/>
                <w:szCs w:val="20"/>
                <w:lang w:val="it-IT"/>
              </w:rPr>
              <w:t xml:space="preserve">) </w:t>
            </w:r>
          </w:p>
          <w:p w:rsidR="002F359B" w:rsidRPr="00AE6594" w:rsidRDefault="002F359B" w:rsidP="002F359B">
            <w:pPr>
              <w:pStyle w:val="NoSpacing"/>
              <w:numPr>
                <w:ilvl w:val="0"/>
                <w:numId w:val="36"/>
              </w:numPr>
              <w:rPr>
                <w:sz w:val="20"/>
                <w:szCs w:val="20"/>
              </w:rPr>
            </w:pPr>
            <w:r w:rsidRPr="00AE6594">
              <w:rPr>
                <w:sz w:val="20"/>
                <w:szCs w:val="20"/>
              </w:rPr>
              <w:t>Surveys</w:t>
            </w:r>
          </w:p>
          <w:p w:rsidR="002F359B" w:rsidRPr="00AE6594" w:rsidRDefault="002F359B" w:rsidP="002F359B">
            <w:pPr>
              <w:pStyle w:val="NoSpacing"/>
              <w:numPr>
                <w:ilvl w:val="0"/>
                <w:numId w:val="36"/>
              </w:numPr>
              <w:rPr>
                <w:sz w:val="20"/>
                <w:szCs w:val="20"/>
              </w:rPr>
            </w:pPr>
            <w:r w:rsidRPr="00AE6594">
              <w:rPr>
                <w:sz w:val="20"/>
                <w:szCs w:val="20"/>
              </w:rPr>
              <w:t>LA reports</w:t>
            </w:r>
          </w:p>
        </w:tc>
      </w:tr>
      <w:tr w:rsidR="002F359B" w:rsidRPr="00550EE5" w:rsidTr="007B70FF">
        <w:trPr>
          <w:trHeight w:val="386"/>
        </w:trPr>
        <w:tc>
          <w:tcPr>
            <w:tcW w:w="10350" w:type="dxa"/>
            <w:gridSpan w:val="3"/>
            <w:shd w:val="clear" w:color="auto" w:fill="B2A1C7" w:themeFill="accent4" w:themeFillTint="99"/>
            <w:vAlign w:val="center"/>
          </w:tcPr>
          <w:p w:rsidR="002F359B" w:rsidRPr="00A01350" w:rsidRDefault="002F359B" w:rsidP="002F359B">
            <w:pPr>
              <w:pStyle w:val="NoSpacing"/>
              <w:ind w:left="360"/>
              <w:jc w:val="center"/>
              <w:rPr>
                <w:b/>
                <w:bCs/>
              </w:rPr>
            </w:pPr>
            <w:r w:rsidRPr="00EA5AD4">
              <w:rPr>
                <w:b/>
                <w:bCs/>
              </w:rPr>
              <w:t>Specific Indicators (</w:t>
            </w:r>
            <w:r w:rsidRPr="00EA5AD4">
              <w:rPr>
                <w:b/>
              </w:rPr>
              <w:t>Decentralized Services Delivery)</w:t>
            </w:r>
          </w:p>
        </w:tc>
      </w:tr>
      <w:tr w:rsidR="002F359B" w:rsidRPr="00550EE5" w:rsidTr="007B70FF">
        <w:tc>
          <w:tcPr>
            <w:tcW w:w="2868" w:type="dxa"/>
          </w:tcPr>
          <w:p w:rsidR="002F359B" w:rsidRPr="001B683F" w:rsidRDefault="002F359B" w:rsidP="002F359B">
            <w:pPr>
              <w:pStyle w:val="NoSpacing"/>
              <w:rPr>
                <w:iCs/>
                <w:sz w:val="20"/>
                <w:szCs w:val="20"/>
              </w:rPr>
            </w:pPr>
            <w:r>
              <w:rPr>
                <w:sz w:val="20"/>
              </w:rPr>
              <w:t xml:space="preserve">Enhanced  participation of LA in the formulation of </w:t>
            </w:r>
            <w:proofErr w:type="spellStart"/>
            <w:r>
              <w:rPr>
                <w:sz w:val="20"/>
              </w:rPr>
              <w:t>sectoral</w:t>
            </w:r>
            <w:proofErr w:type="spellEnd"/>
            <w:r>
              <w:rPr>
                <w:sz w:val="20"/>
              </w:rPr>
              <w:t xml:space="preserve"> policies and </w:t>
            </w:r>
            <w:proofErr w:type="spellStart"/>
            <w:r>
              <w:rPr>
                <w:sz w:val="20"/>
              </w:rPr>
              <w:t>programmes</w:t>
            </w:r>
            <w:proofErr w:type="spellEnd"/>
            <w:r>
              <w:rPr>
                <w:sz w:val="20"/>
              </w:rPr>
              <w:t xml:space="preserve">, and their implementation </w:t>
            </w:r>
          </w:p>
        </w:tc>
        <w:tc>
          <w:tcPr>
            <w:tcW w:w="4692" w:type="dxa"/>
          </w:tcPr>
          <w:p w:rsidR="002F359B" w:rsidRPr="00E55C78" w:rsidRDefault="002F359B" w:rsidP="002F359B">
            <w:pPr>
              <w:pStyle w:val="NoSpacing"/>
              <w:numPr>
                <w:ilvl w:val="0"/>
                <w:numId w:val="39"/>
              </w:numPr>
              <w:rPr>
                <w:rFonts w:cs="Times New Roman"/>
                <w:sz w:val="20"/>
                <w:szCs w:val="20"/>
              </w:rPr>
            </w:pPr>
            <w:r>
              <w:rPr>
                <w:sz w:val="20"/>
                <w:szCs w:val="20"/>
              </w:rPr>
              <w:t xml:space="preserve">Number of sector policies and </w:t>
            </w:r>
            <w:proofErr w:type="spellStart"/>
            <w:r>
              <w:rPr>
                <w:sz w:val="20"/>
                <w:szCs w:val="20"/>
              </w:rPr>
              <w:t>programmes</w:t>
            </w:r>
            <w:proofErr w:type="spellEnd"/>
            <w:r>
              <w:rPr>
                <w:sz w:val="20"/>
                <w:szCs w:val="20"/>
              </w:rPr>
              <w:t xml:space="preserve"> involving LA in their design and implementation </w:t>
            </w:r>
          </w:p>
          <w:p w:rsidR="002F359B" w:rsidRPr="00AE6594" w:rsidRDefault="002F359B" w:rsidP="002F359B">
            <w:pPr>
              <w:pStyle w:val="NoSpacing"/>
              <w:numPr>
                <w:ilvl w:val="0"/>
                <w:numId w:val="39"/>
              </w:numPr>
              <w:rPr>
                <w:rFonts w:cs="Times New Roman"/>
                <w:sz w:val="20"/>
                <w:szCs w:val="20"/>
              </w:rPr>
            </w:pPr>
            <w:r>
              <w:rPr>
                <w:rFonts w:cs="Times New Roman"/>
                <w:sz w:val="20"/>
                <w:szCs w:val="20"/>
              </w:rPr>
              <w:t xml:space="preserve">% of </w:t>
            </w:r>
            <w:proofErr w:type="spellStart"/>
            <w:r>
              <w:rPr>
                <w:rFonts w:cs="Times New Roman"/>
                <w:sz w:val="20"/>
                <w:szCs w:val="20"/>
              </w:rPr>
              <w:t>sectoral</w:t>
            </w:r>
            <w:proofErr w:type="spellEnd"/>
            <w:r>
              <w:rPr>
                <w:rFonts w:cs="Times New Roman"/>
                <w:sz w:val="20"/>
                <w:szCs w:val="20"/>
              </w:rPr>
              <w:t xml:space="preserve"> services delivery budget resources being managed by LA under delegation arrangements </w:t>
            </w:r>
          </w:p>
        </w:tc>
        <w:tc>
          <w:tcPr>
            <w:tcW w:w="2790" w:type="dxa"/>
          </w:tcPr>
          <w:p w:rsidR="002F359B" w:rsidRDefault="002F359B" w:rsidP="002F359B">
            <w:pPr>
              <w:pStyle w:val="NoSpacing"/>
              <w:numPr>
                <w:ilvl w:val="0"/>
                <w:numId w:val="38"/>
              </w:numPr>
              <w:rPr>
                <w:sz w:val="20"/>
                <w:szCs w:val="20"/>
              </w:rPr>
            </w:pPr>
            <w:r>
              <w:rPr>
                <w:sz w:val="20"/>
                <w:szCs w:val="20"/>
              </w:rPr>
              <w:t>Sector policies and programs documents</w:t>
            </w:r>
          </w:p>
          <w:p w:rsidR="002F359B" w:rsidRDefault="002F359B" w:rsidP="002F359B">
            <w:pPr>
              <w:pStyle w:val="NoSpacing"/>
              <w:numPr>
                <w:ilvl w:val="0"/>
                <w:numId w:val="38"/>
              </w:numPr>
              <w:rPr>
                <w:sz w:val="20"/>
                <w:szCs w:val="20"/>
              </w:rPr>
            </w:pPr>
            <w:r>
              <w:rPr>
                <w:sz w:val="20"/>
                <w:szCs w:val="20"/>
              </w:rPr>
              <w:t>Sector ministries reports</w:t>
            </w:r>
          </w:p>
          <w:p w:rsidR="002F359B" w:rsidRPr="00AE6594" w:rsidRDefault="002F359B" w:rsidP="002F359B">
            <w:pPr>
              <w:pStyle w:val="NoSpacing"/>
              <w:numPr>
                <w:ilvl w:val="0"/>
                <w:numId w:val="38"/>
              </w:numPr>
              <w:rPr>
                <w:sz w:val="20"/>
                <w:szCs w:val="20"/>
              </w:rPr>
            </w:pPr>
            <w:r>
              <w:rPr>
                <w:sz w:val="20"/>
                <w:szCs w:val="20"/>
              </w:rPr>
              <w:t>LA reports</w:t>
            </w:r>
          </w:p>
        </w:tc>
      </w:tr>
      <w:tr w:rsidR="002F359B" w:rsidRPr="00550EE5" w:rsidTr="007B70FF">
        <w:tc>
          <w:tcPr>
            <w:tcW w:w="2868" w:type="dxa"/>
          </w:tcPr>
          <w:p w:rsidR="002F359B" w:rsidRPr="008C7CE3" w:rsidRDefault="002F359B" w:rsidP="002F359B">
            <w:pPr>
              <w:pStyle w:val="NoSpacing"/>
              <w:rPr>
                <w:sz w:val="20"/>
                <w:szCs w:val="20"/>
              </w:rPr>
            </w:pPr>
            <w:proofErr w:type="spellStart"/>
            <w:r>
              <w:rPr>
                <w:sz w:val="20"/>
                <w:szCs w:val="20"/>
              </w:rPr>
              <w:t>Deconcentrated</w:t>
            </w:r>
            <w:proofErr w:type="spellEnd"/>
            <w:r>
              <w:rPr>
                <w:sz w:val="20"/>
                <w:szCs w:val="20"/>
              </w:rPr>
              <w:t xml:space="preserve"> front-line delivery agents of sector ministries are strengthened  </w:t>
            </w:r>
          </w:p>
        </w:tc>
        <w:tc>
          <w:tcPr>
            <w:tcW w:w="4692" w:type="dxa"/>
          </w:tcPr>
          <w:p w:rsidR="002F359B" w:rsidRDefault="002F359B" w:rsidP="002F359B">
            <w:pPr>
              <w:pStyle w:val="NoSpacing"/>
              <w:numPr>
                <w:ilvl w:val="0"/>
                <w:numId w:val="41"/>
              </w:numPr>
              <w:rPr>
                <w:rFonts w:cs="Times New Roman"/>
                <w:sz w:val="20"/>
                <w:szCs w:val="20"/>
              </w:rPr>
            </w:pPr>
            <w:r>
              <w:rPr>
                <w:rFonts w:cs="Times New Roman"/>
                <w:sz w:val="20"/>
                <w:szCs w:val="20"/>
              </w:rPr>
              <w:t xml:space="preserve">Sector ministry branches are established countrywide </w:t>
            </w:r>
          </w:p>
          <w:p w:rsidR="002F359B" w:rsidRDefault="002F359B" w:rsidP="002F359B">
            <w:pPr>
              <w:pStyle w:val="NoSpacing"/>
              <w:numPr>
                <w:ilvl w:val="0"/>
                <w:numId w:val="41"/>
              </w:numPr>
              <w:rPr>
                <w:rFonts w:cs="Times New Roman"/>
                <w:sz w:val="20"/>
                <w:szCs w:val="20"/>
              </w:rPr>
            </w:pPr>
            <w:r>
              <w:rPr>
                <w:rFonts w:cs="Times New Roman"/>
                <w:sz w:val="20"/>
                <w:szCs w:val="20"/>
              </w:rPr>
              <w:t xml:space="preserve">Sector </w:t>
            </w:r>
            <w:proofErr w:type="spellStart"/>
            <w:r>
              <w:rPr>
                <w:rFonts w:cs="Times New Roman"/>
                <w:sz w:val="20"/>
                <w:szCs w:val="20"/>
              </w:rPr>
              <w:t>deconcentrated</w:t>
            </w:r>
            <w:proofErr w:type="spellEnd"/>
            <w:r>
              <w:rPr>
                <w:rFonts w:cs="Times New Roman"/>
                <w:sz w:val="20"/>
                <w:szCs w:val="20"/>
              </w:rPr>
              <w:t xml:space="preserve"> branches' activities are reflected in Sector annual budgets under separate lines</w:t>
            </w:r>
          </w:p>
          <w:p w:rsidR="002F359B" w:rsidRPr="00AE6594" w:rsidRDefault="002F359B" w:rsidP="002F359B">
            <w:pPr>
              <w:pStyle w:val="NoSpacing"/>
              <w:numPr>
                <w:ilvl w:val="0"/>
                <w:numId w:val="41"/>
              </w:numPr>
              <w:rPr>
                <w:rFonts w:cs="Times New Roman"/>
                <w:sz w:val="20"/>
                <w:szCs w:val="20"/>
              </w:rPr>
            </w:pPr>
            <w:r>
              <w:rPr>
                <w:sz w:val="20"/>
                <w:szCs w:val="20"/>
              </w:rPr>
              <w:t xml:space="preserve">Coordination mechanisms between LA and sector </w:t>
            </w:r>
            <w:proofErr w:type="spellStart"/>
            <w:r>
              <w:rPr>
                <w:sz w:val="20"/>
                <w:szCs w:val="20"/>
              </w:rPr>
              <w:t>deconcentrated</w:t>
            </w:r>
            <w:proofErr w:type="spellEnd"/>
            <w:r>
              <w:rPr>
                <w:sz w:val="20"/>
                <w:szCs w:val="20"/>
              </w:rPr>
              <w:t xml:space="preserve"> branches are developed and applied</w:t>
            </w:r>
          </w:p>
        </w:tc>
        <w:tc>
          <w:tcPr>
            <w:tcW w:w="2790" w:type="dxa"/>
          </w:tcPr>
          <w:p w:rsidR="002F359B" w:rsidRDefault="002F359B" w:rsidP="002F359B">
            <w:pPr>
              <w:pStyle w:val="NoSpacing"/>
              <w:numPr>
                <w:ilvl w:val="0"/>
                <w:numId w:val="40"/>
              </w:numPr>
              <w:rPr>
                <w:sz w:val="20"/>
                <w:szCs w:val="20"/>
              </w:rPr>
            </w:pPr>
            <w:r>
              <w:rPr>
                <w:sz w:val="20"/>
                <w:szCs w:val="20"/>
              </w:rPr>
              <w:t>Sector Ministries charts</w:t>
            </w:r>
          </w:p>
          <w:p w:rsidR="002F359B" w:rsidRDefault="002F359B" w:rsidP="002F359B">
            <w:pPr>
              <w:pStyle w:val="NoSpacing"/>
              <w:numPr>
                <w:ilvl w:val="0"/>
                <w:numId w:val="40"/>
              </w:numPr>
              <w:rPr>
                <w:sz w:val="20"/>
                <w:szCs w:val="20"/>
              </w:rPr>
            </w:pPr>
            <w:r>
              <w:rPr>
                <w:sz w:val="20"/>
                <w:szCs w:val="20"/>
              </w:rPr>
              <w:t xml:space="preserve">Sector budgets </w:t>
            </w:r>
          </w:p>
          <w:p w:rsidR="002F359B" w:rsidRPr="00AE6594" w:rsidRDefault="002F359B" w:rsidP="002F359B">
            <w:pPr>
              <w:pStyle w:val="NoSpacing"/>
              <w:numPr>
                <w:ilvl w:val="0"/>
                <w:numId w:val="40"/>
              </w:numPr>
              <w:rPr>
                <w:sz w:val="20"/>
                <w:szCs w:val="20"/>
              </w:rPr>
            </w:pPr>
            <w:r>
              <w:rPr>
                <w:sz w:val="20"/>
                <w:szCs w:val="20"/>
              </w:rPr>
              <w:t>Sector activity reports</w:t>
            </w:r>
          </w:p>
        </w:tc>
      </w:tr>
      <w:tr w:rsidR="002F359B" w:rsidRPr="00550EE5" w:rsidTr="007B70FF">
        <w:tc>
          <w:tcPr>
            <w:tcW w:w="2868" w:type="dxa"/>
          </w:tcPr>
          <w:p w:rsidR="002F359B" w:rsidRPr="008C7CE3" w:rsidRDefault="002F359B" w:rsidP="002F359B">
            <w:pPr>
              <w:pStyle w:val="NoSpacing"/>
              <w:rPr>
                <w:sz w:val="20"/>
                <w:szCs w:val="20"/>
              </w:rPr>
            </w:pPr>
            <w:r>
              <w:rPr>
                <w:sz w:val="20"/>
                <w:szCs w:val="20"/>
              </w:rPr>
              <w:t>LA are empowered to contribute to the design and implementation of sector policies and programs</w:t>
            </w:r>
          </w:p>
        </w:tc>
        <w:tc>
          <w:tcPr>
            <w:tcW w:w="4692" w:type="dxa"/>
          </w:tcPr>
          <w:p w:rsidR="002F359B" w:rsidRPr="008C29D9" w:rsidRDefault="002F359B" w:rsidP="002F359B">
            <w:pPr>
              <w:pStyle w:val="NoSpacing"/>
              <w:numPr>
                <w:ilvl w:val="0"/>
                <w:numId w:val="43"/>
              </w:numPr>
              <w:rPr>
                <w:rFonts w:cs="Times New Roman"/>
                <w:sz w:val="20"/>
                <w:szCs w:val="20"/>
              </w:rPr>
            </w:pPr>
            <w:r>
              <w:rPr>
                <w:sz w:val="20"/>
                <w:szCs w:val="20"/>
              </w:rPr>
              <w:t xml:space="preserve">Policy and legislation supporting a multi-level public service delivery system are in place </w:t>
            </w:r>
          </w:p>
          <w:p w:rsidR="002F359B" w:rsidRDefault="002F359B" w:rsidP="002F359B">
            <w:pPr>
              <w:pStyle w:val="NoSpacing"/>
              <w:numPr>
                <w:ilvl w:val="0"/>
                <w:numId w:val="43"/>
              </w:numPr>
              <w:rPr>
                <w:rFonts w:cs="Times New Roman"/>
                <w:sz w:val="20"/>
                <w:szCs w:val="20"/>
              </w:rPr>
            </w:pPr>
            <w:r>
              <w:rPr>
                <w:sz w:val="20"/>
              </w:rPr>
              <w:t>Sectors regulations are revised/adjusted to accommodate participation of LA in sector services delivery</w:t>
            </w:r>
          </w:p>
          <w:p w:rsidR="002F359B" w:rsidRDefault="002F359B" w:rsidP="002F359B">
            <w:pPr>
              <w:pStyle w:val="NoSpacing"/>
              <w:numPr>
                <w:ilvl w:val="0"/>
                <w:numId w:val="43"/>
              </w:numPr>
              <w:rPr>
                <w:rFonts w:cs="Times New Roman"/>
                <w:sz w:val="20"/>
                <w:szCs w:val="20"/>
              </w:rPr>
            </w:pPr>
            <w:r>
              <w:rPr>
                <w:rFonts w:cs="Times New Roman"/>
                <w:sz w:val="20"/>
                <w:szCs w:val="20"/>
              </w:rPr>
              <w:t xml:space="preserve">Specific </w:t>
            </w:r>
            <w:proofErr w:type="spellStart"/>
            <w:r>
              <w:rPr>
                <w:rFonts w:cs="Times New Roman"/>
                <w:sz w:val="20"/>
                <w:szCs w:val="20"/>
              </w:rPr>
              <w:t>sectoral</w:t>
            </w:r>
            <w:proofErr w:type="spellEnd"/>
            <w:r>
              <w:rPr>
                <w:rFonts w:cs="Times New Roman"/>
                <w:sz w:val="20"/>
                <w:szCs w:val="20"/>
              </w:rPr>
              <w:t xml:space="preserve"> services</w:t>
            </w:r>
            <w:r w:rsidR="0071074A">
              <w:rPr>
                <w:rFonts w:cs="Times New Roman"/>
                <w:sz w:val="20"/>
                <w:szCs w:val="20"/>
              </w:rPr>
              <w:t xml:space="preserve"> </w:t>
            </w:r>
            <w:r>
              <w:rPr>
                <w:rFonts w:cs="Times New Roman"/>
                <w:sz w:val="20"/>
                <w:szCs w:val="20"/>
              </w:rPr>
              <w:t xml:space="preserve">delivery responsibilities being delegated  to LA </w:t>
            </w:r>
          </w:p>
          <w:p w:rsidR="003945C8" w:rsidRPr="007B70FF" w:rsidRDefault="002F359B" w:rsidP="007B70FF">
            <w:pPr>
              <w:pStyle w:val="NoSpacing"/>
              <w:numPr>
                <w:ilvl w:val="0"/>
                <w:numId w:val="43"/>
              </w:numPr>
              <w:rPr>
                <w:rFonts w:cs="Times New Roman"/>
                <w:sz w:val="20"/>
                <w:szCs w:val="20"/>
              </w:rPr>
            </w:pPr>
            <w:r>
              <w:rPr>
                <w:sz w:val="20"/>
                <w:szCs w:val="20"/>
              </w:rPr>
              <w:t>Contractual delegation arrangements (LA-Sectors) are developed and applied</w:t>
            </w:r>
            <w:r>
              <w:rPr>
                <w:rFonts w:cs="Times New Roman"/>
                <w:sz w:val="20"/>
                <w:szCs w:val="20"/>
              </w:rPr>
              <w:t xml:space="preserve"> % of LA which have </w:t>
            </w:r>
            <w:r>
              <w:rPr>
                <w:rFonts w:cs="Times New Roman"/>
                <w:sz w:val="20"/>
                <w:szCs w:val="20"/>
              </w:rPr>
              <w:lastRenderedPageBreak/>
              <w:t xml:space="preserve">entered into contractual arrangements with sector ministries </w:t>
            </w:r>
          </w:p>
        </w:tc>
        <w:tc>
          <w:tcPr>
            <w:tcW w:w="2790" w:type="dxa"/>
          </w:tcPr>
          <w:p w:rsidR="002F359B" w:rsidRDefault="002F359B" w:rsidP="002F359B">
            <w:pPr>
              <w:pStyle w:val="NoSpacing"/>
              <w:numPr>
                <w:ilvl w:val="0"/>
                <w:numId w:val="43"/>
              </w:numPr>
              <w:rPr>
                <w:sz w:val="20"/>
                <w:szCs w:val="20"/>
              </w:rPr>
            </w:pPr>
            <w:r>
              <w:rPr>
                <w:sz w:val="20"/>
                <w:szCs w:val="20"/>
              </w:rPr>
              <w:lastRenderedPageBreak/>
              <w:t>Sector policies and programs documents</w:t>
            </w:r>
          </w:p>
          <w:p w:rsidR="002F359B" w:rsidRDefault="002F359B" w:rsidP="002F359B">
            <w:pPr>
              <w:pStyle w:val="NoSpacing"/>
              <w:numPr>
                <w:ilvl w:val="0"/>
                <w:numId w:val="42"/>
              </w:numPr>
              <w:rPr>
                <w:sz w:val="20"/>
                <w:szCs w:val="20"/>
              </w:rPr>
            </w:pPr>
            <w:r>
              <w:rPr>
                <w:sz w:val="20"/>
                <w:szCs w:val="20"/>
              </w:rPr>
              <w:t xml:space="preserve">Functional assignment legislation and/or regulations </w:t>
            </w:r>
          </w:p>
          <w:p w:rsidR="002F359B" w:rsidRDefault="002F359B" w:rsidP="002F359B">
            <w:pPr>
              <w:pStyle w:val="NoSpacing"/>
              <w:numPr>
                <w:ilvl w:val="0"/>
                <w:numId w:val="42"/>
              </w:numPr>
              <w:rPr>
                <w:sz w:val="20"/>
                <w:szCs w:val="20"/>
              </w:rPr>
            </w:pPr>
            <w:r>
              <w:rPr>
                <w:sz w:val="20"/>
                <w:szCs w:val="20"/>
              </w:rPr>
              <w:t>Contracts</w:t>
            </w:r>
            <w:r>
              <w:rPr>
                <w:rFonts w:cs="Times New Roman"/>
                <w:sz w:val="20"/>
                <w:szCs w:val="20"/>
              </w:rPr>
              <w:t xml:space="preserve"> between LA and concerned sector ministries</w:t>
            </w:r>
          </w:p>
          <w:p w:rsidR="002F359B" w:rsidRDefault="002F359B" w:rsidP="002F359B">
            <w:pPr>
              <w:pStyle w:val="NoSpacing"/>
              <w:numPr>
                <w:ilvl w:val="0"/>
                <w:numId w:val="44"/>
              </w:numPr>
              <w:rPr>
                <w:sz w:val="20"/>
                <w:szCs w:val="20"/>
              </w:rPr>
            </w:pPr>
            <w:r>
              <w:rPr>
                <w:sz w:val="20"/>
                <w:szCs w:val="20"/>
              </w:rPr>
              <w:t xml:space="preserve">LA and Sectors activity </w:t>
            </w:r>
            <w:r>
              <w:rPr>
                <w:sz w:val="20"/>
                <w:szCs w:val="20"/>
              </w:rPr>
              <w:lastRenderedPageBreak/>
              <w:t xml:space="preserve">reports </w:t>
            </w:r>
          </w:p>
          <w:p w:rsidR="002F359B" w:rsidRPr="00147D71" w:rsidRDefault="002F359B" w:rsidP="002F359B">
            <w:pPr>
              <w:pStyle w:val="NoSpacing"/>
              <w:numPr>
                <w:ilvl w:val="0"/>
                <w:numId w:val="44"/>
              </w:numPr>
              <w:rPr>
                <w:sz w:val="20"/>
                <w:szCs w:val="20"/>
              </w:rPr>
            </w:pPr>
            <w:r>
              <w:rPr>
                <w:sz w:val="20"/>
                <w:szCs w:val="20"/>
              </w:rPr>
              <w:t>Surveys</w:t>
            </w:r>
          </w:p>
        </w:tc>
      </w:tr>
    </w:tbl>
    <w:p w:rsidR="003945C8" w:rsidRDefault="003945C8">
      <w:r>
        <w:lastRenderedPageBreak/>
        <w:br w:type="page"/>
      </w:r>
    </w:p>
    <w:tbl>
      <w:tblPr>
        <w:tblStyle w:val="TableGrid"/>
        <w:tblW w:w="10350" w:type="dxa"/>
        <w:tblLook w:val="04A0" w:firstRow="1" w:lastRow="0" w:firstColumn="1" w:lastColumn="0" w:noHBand="0" w:noVBand="1"/>
      </w:tblPr>
      <w:tblGrid>
        <w:gridCol w:w="2868"/>
        <w:gridCol w:w="4692"/>
        <w:gridCol w:w="2790"/>
      </w:tblGrid>
      <w:tr w:rsidR="002F359B" w:rsidRPr="00550EE5" w:rsidTr="007B70FF">
        <w:trPr>
          <w:trHeight w:val="395"/>
        </w:trPr>
        <w:tc>
          <w:tcPr>
            <w:tcW w:w="10350" w:type="dxa"/>
            <w:gridSpan w:val="3"/>
            <w:shd w:val="clear" w:color="auto" w:fill="FABF8F" w:themeFill="accent6" w:themeFillTint="99"/>
            <w:vAlign w:val="center"/>
          </w:tcPr>
          <w:p w:rsidR="002F359B" w:rsidRPr="00AE6594" w:rsidRDefault="002F359B" w:rsidP="002F359B">
            <w:pPr>
              <w:pStyle w:val="NoSpacing"/>
              <w:ind w:left="360"/>
              <w:jc w:val="center"/>
              <w:rPr>
                <w:sz w:val="20"/>
                <w:szCs w:val="20"/>
              </w:rPr>
            </w:pPr>
            <w:r w:rsidRPr="00EA5AD4">
              <w:rPr>
                <w:b/>
                <w:bCs/>
              </w:rPr>
              <w:lastRenderedPageBreak/>
              <w:t>Specific Indicators (</w:t>
            </w:r>
            <w:r w:rsidRPr="00EA5AD4">
              <w:rPr>
                <w:b/>
                <w:sz w:val="20"/>
                <w:szCs w:val="16"/>
              </w:rPr>
              <w:t>Decentralization Reforms and LA systems Development)</w:t>
            </w:r>
          </w:p>
        </w:tc>
      </w:tr>
      <w:tr w:rsidR="002F359B" w:rsidRPr="00550EE5" w:rsidTr="007B70FF">
        <w:tc>
          <w:tcPr>
            <w:tcW w:w="2868" w:type="dxa"/>
          </w:tcPr>
          <w:p w:rsidR="002F359B" w:rsidRPr="008C7CE3" w:rsidRDefault="002F359B" w:rsidP="002F359B">
            <w:pPr>
              <w:pStyle w:val="NoSpacing"/>
              <w:rPr>
                <w:sz w:val="20"/>
                <w:szCs w:val="20"/>
              </w:rPr>
            </w:pPr>
            <w:r>
              <w:rPr>
                <w:sz w:val="20"/>
                <w:szCs w:val="20"/>
              </w:rPr>
              <w:t xml:space="preserve">Increased (improved) decentralized public services delivery </w:t>
            </w:r>
          </w:p>
        </w:tc>
        <w:tc>
          <w:tcPr>
            <w:tcW w:w="4692" w:type="dxa"/>
          </w:tcPr>
          <w:p w:rsidR="002F359B" w:rsidRPr="00AE6594" w:rsidRDefault="002F359B" w:rsidP="002F359B">
            <w:pPr>
              <w:pStyle w:val="NoSpacing"/>
              <w:rPr>
                <w:rFonts w:cs="Times New Roman"/>
                <w:sz w:val="20"/>
                <w:szCs w:val="20"/>
              </w:rPr>
            </w:pPr>
            <w:r>
              <w:rPr>
                <w:rFonts w:cs="Times New Roman"/>
                <w:sz w:val="20"/>
                <w:szCs w:val="20"/>
              </w:rPr>
              <w:t>Share of decentralized expenditures in total public finances</w:t>
            </w:r>
          </w:p>
        </w:tc>
        <w:tc>
          <w:tcPr>
            <w:tcW w:w="2790" w:type="dxa"/>
          </w:tcPr>
          <w:p w:rsidR="002F359B" w:rsidRDefault="002F359B" w:rsidP="002F359B">
            <w:pPr>
              <w:pStyle w:val="NoSpacing"/>
              <w:numPr>
                <w:ilvl w:val="0"/>
                <w:numId w:val="45"/>
              </w:numPr>
              <w:rPr>
                <w:sz w:val="20"/>
                <w:szCs w:val="20"/>
              </w:rPr>
            </w:pPr>
            <w:r>
              <w:rPr>
                <w:sz w:val="20"/>
                <w:szCs w:val="20"/>
              </w:rPr>
              <w:t>National budget</w:t>
            </w:r>
          </w:p>
          <w:p w:rsidR="002F359B" w:rsidRPr="00AE6594" w:rsidRDefault="002F359B" w:rsidP="002F359B">
            <w:pPr>
              <w:pStyle w:val="NoSpacing"/>
              <w:numPr>
                <w:ilvl w:val="0"/>
                <w:numId w:val="45"/>
              </w:numPr>
              <w:rPr>
                <w:sz w:val="20"/>
                <w:szCs w:val="20"/>
              </w:rPr>
            </w:pPr>
            <w:r>
              <w:rPr>
                <w:sz w:val="20"/>
                <w:szCs w:val="20"/>
              </w:rPr>
              <w:t>Public finance statements</w:t>
            </w:r>
          </w:p>
        </w:tc>
      </w:tr>
      <w:tr w:rsidR="002F359B" w:rsidRPr="00550EE5" w:rsidTr="007B70FF">
        <w:tc>
          <w:tcPr>
            <w:tcW w:w="2868" w:type="dxa"/>
          </w:tcPr>
          <w:p w:rsidR="002F359B" w:rsidRDefault="002F359B" w:rsidP="002F359B">
            <w:pPr>
              <w:pStyle w:val="NoSpacing"/>
              <w:rPr>
                <w:sz w:val="20"/>
                <w:szCs w:val="20"/>
              </w:rPr>
            </w:pPr>
            <w:r>
              <w:rPr>
                <w:sz w:val="20"/>
                <w:szCs w:val="20"/>
              </w:rPr>
              <w:t>Public finance management (PFM) rules and regulations are adjusted to account for LA functions, autonomy, and operating modalities</w:t>
            </w:r>
          </w:p>
        </w:tc>
        <w:tc>
          <w:tcPr>
            <w:tcW w:w="4692" w:type="dxa"/>
          </w:tcPr>
          <w:p w:rsidR="002F359B" w:rsidRPr="00A441DB" w:rsidRDefault="002F359B" w:rsidP="002F359B">
            <w:pPr>
              <w:rPr>
                <w:rFonts w:cs="Times New Roman"/>
                <w:iCs/>
                <w:sz w:val="20"/>
                <w:szCs w:val="20"/>
              </w:rPr>
            </w:pPr>
            <w:r w:rsidRPr="00A441DB">
              <w:rPr>
                <w:rFonts w:cs="Times New Roman"/>
                <w:iCs/>
                <w:sz w:val="20"/>
                <w:szCs w:val="20"/>
              </w:rPr>
              <w:t>Evidence of revised PFM rules and regulations</w:t>
            </w:r>
          </w:p>
        </w:tc>
        <w:tc>
          <w:tcPr>
            <w:tcW w:w="2790" w:type="dxa"/>
          </w:tcPr>
          <w:p w:rsidR="002F359B" w:rsidRDefault="002F359B" w:rsidP="002F359B">
            <w:pPr>
              <w:pStyle w:val="NoSpacing"/>
              <w:numPr>
                <w:ilvl w:val="0"/>
                <w:numId w:val="45"/>
              </w:numPr>
              <w:rPr>
                <w:sz w:val="20"/>
                <w:szCs w:val="20"/>
              </w:rPr>
            </w:pPr>
            <w:r>
              <w:rPr>
                <w:sz w:val="20"/>
                <w:szCs w:val="20"/>
              </w:rPr>
              <w:t>Government records</w:t>
            </w:r>
          </w:p>
          <w:p w:rsidR="002F359B" w:rsidRDefault="002F359B" w:rsidP="002F359B">
            <w:pPr>
              <w:pStyle w:val="NoSpacing"/>
              <w:numPr>
                <w:ilvl w:val="0"/>
                <w:numId w:val="45"/>
              </w:numPr>
              <w:rPr>
                <w:sz w:val="20"/>
                <w:szCs w:val="20"/>
              </w:rPr>
            </w:pPr>
            <w:r>
              <w:rPr>
                <w:sz w:val="20"/>
                <w:szCs w:val="20"/>
              </w:rPr>
              <w:t>LA budgets and reports</w:t>
            </w:r>
          </w:p>
        </w:tc>
      </w:tr>
      <w:tr w:rsidR="002F359B" w:rsidRPr="00550EE5" w:rsidTr="007B70FF">
        <w:tc>
          <w:tcPr>
            <w:tcW w:w="2868" w:type="dxa"/>
          </w:tcPr>
          <w:p w:rsidR="002F359B" w:rsidRDefault="002F359B" w:rsidP="002F359B">
            <w:pPr>
              <w:pStyle w:val="NoSpacing"/>
              <w:rPr>
                <w:sz w:val="20"/>
                <w:szCs w:val="20"/>
              </w:rPr>
            </w:pPr>
            <w:r>
              <w:rPr>
                <w:sz w:val="20"/>
                <w:szCs w:val="20"/>
              </w:rPr>
              <w:t>Sound local governance structure with adequate capacities</w:t>
            </w:r>
          </w:p>
        </w:tc>
        <w:tc>
          <w:tcPr>
            <w:tcW w:w="4692" w:type="dxa"/>
          </w:tcPr>
          <w:p w:rsidR="002F359B" w:rsidRPr="00E10AB7" w:rsidRDefault="002F359B" w:rsidP="002F359B">
            <w:pPr>
              <w:pStyle w:val="ListParagraph"/>
              <w:numPr>
                <w:ilvl w:val="0"/>
                <w:numId w:val="55"/>
              </w:numPr>
              <w:rPr>
                <w:rFonts w:cs="Times New Roman"/>
                <w:iCs/>
                <w:sz w:val="20"/>
                <w:szCs w:val="20"/>
              </w:rPr>
            </w:pPr>
            <w:r w:rsidRPr="00E10AB7">
              <w:rPr>
                <w:rFonts w:cs="Times New Roman"/>
                <w:iCs/>
                <w:sz w:val="20"/>
                <w:szCs w:val="20"/>
              </w:rPr>
              <w:t>Legal assignment to LA of (</w:t>
            </w:r>
            <w:proofErr w:type="spellStart"/>
            <w:r w:rsidRPr="00E10AB7">
              <w:rPr>
                <w:rFonts w:cs="Times New Roman"/>
                <w:iCs/>
                <w:sz w:val="20"/>
                <w:szCs w:val="20"/>
              </w:rPr>
              <w:t>i</w:t>
            </w:r>
            <w:proofErr w:type="spellEnd"/>
            <w:r w:rsidRPr="00E10AB7">
              <w:rPr>
                <w:rFonts w:cs="Times New Roman"/>
                <w:iCs/>
                <w:sz w:val="20"/>
                <w:szCs w:val="20"/>
              </w:rPr>
              <w:t xml:space="preserve">) a general mandate for </w:t>
            </w:r>
            <w:r>
              <w:rPr>
                <w:rFonts w:cs="Times New Roman"/>
                <w:iCs/>
                <w:sz w:val="20"/>
                <w:szCs w:val="20"/>
              </w:rPr>
              <w:t>local</w:t>
            </w:r>
            <w:r w:rsidRPr="00E10AB7">
              <w:rPr>
                <w:rFonts w:cs="Times New Roman"/>
                <w:iCs/>
                <w:sz w:val="20"/>
                <w:szCs w:val="20"/>
              </w:rPr>
              <w:t xml:space="preserve"> development, and (ii) specific local services delivery functions.</w:t>
            </w:r>
          </w:p>
          <w:p w:rsidR="002F359B" w:rsidRPr="00E10AB7" w:rsidRDefault="002F359B" w:rsidP="002F359B">
            <w:pPr>
              <w:pStyle w:val="ListParagraph"/>
              <w:numPr>
                <w:ilvl w:val="0"/>
                <w:numId w:val="55"/>
              </w:numPr>
              <w:rPr>
                <w:rFonts w:cs="Times New Roman"/>
                <w:iCs/>
                <w:sz w:val="20"/>
                <w:szCs w:val="20"/>
              </w:rPr>
            </w:pPr>
            <w:r w:rsidRPr="00E10AB7">
              <w:rPr>
                <w:rFonts w:cs="Times New Roman"/>
                <w:iCs/>
                <w:sz w:val="20"/>
                <w:szCs w:val="20"/>
              </w:rPr>
              <w:t xml:space="preserve">Legal empowerment of  LA with meaningful administrative and financial autonomy </w:t>
            </w:r>
          </w:p>
          <w:p w:rsidR="002F359B" w:rsidRPr="00E10AB7" w:rsidRDefault="002F359B" w:rsidP="002F359B">
            <w:pPr>
              <w:pStyle w:val="ListParagraph"/>
              <w:numPr>
                <w:ilvl w:val="0"/>
                <w:numId w:val="55"/>
              </w:numPr>
              <w:rPr>
                <w:rFonts w:cs="Times New Roman"/>
                <w:iCs/>
                <w:sz w:val="20"/>
                <w:szCs w:val="20"/>
              </w:rPr>
            </w:pPr>
            <w:r w:rsidRPr="00E10AB7">
              <w:rPr>
                <w:rFonts w:cs="Times New Roman"/>
                <w:iCs/>
                <w:sz w:val="20"/>
                <w:szCs w:val="20"/>
              </w:rPr>
              <w:t>Legal requirements for upwards (to the State) and downwards (to local constituencies) accountability of LA</w:t>
            </w:r>
          </w:p>
          <w:p w:rsidR="002F359B" w:rsidRDefault="002F359B" w:rsidP="002F359B">
            <w:pPr>
              <w:pStyle w:val="ListParagraph"/>
              <w:numPr>
                <w:ilvl w:val="0"/>
                <w:numId w:val="55"/>
              </w:numPr>
              <w:rPr>
                <w:rFonts w:eastAsia="Times New Roman" w:cs="Times New Roman"/>
                <w:iCs/>
                <w:sz w:val="20"/>
                <w:szCs w:val="20"/>
              </w:rPr>
            </w:pPr>
            <w:r w:rsidRPr="00E10AB7">
              <w:rPr>
                <w:rFonts w:eastAsia="Times New Roman" w:cs="Times New Roman"/>
                <w:iCs/>
                <w:sz w:val="20"/>
                <w:szCs w:val="20"/>
              </w:rPr>
              <w:t xml:space="preserve">Legal requirements for LA to promote people’s participation in local policy making and implementation </w:t>
            </w:r>
          </w:p>
          <w:p w:rsidR="0021211C" w:rsidRPr="00E10AB7" w:rsidRDefault="004A3D10" w:rsidP="002F359B">
            <w:pPr>
              <w:pStyle w:val="ListParagraph"/>
              <w:numPr>
                <w:ilvl w:val="0"/>
                <w:numId w:val="55"/>
              </w:numPr>
              <w:rPr>
                <w:rFonts w:eastAsia="Times New Roman" w:cs="Times New Roman"/>
                <w:iCs/>
                <w:sz w:val="20"/>
                <w:szCs w:val="20"/>
              </w:rPr>
            </w:pPr>
            <w:r>
              <w:rPr>
                <w:rFonts w:eastAsia="Times New Roman" w:cs="Times New Roman"/>
                <w:iCs/>
                <w:sz w:val="20"/>
                <w:szCs w:val="20"/>
              </w:rPr>
              <w:t xml:space="preserve">A framework/process for consulting civil society organizations (including women's and children's organizations) is in place. </w:t>
            </w:r>
          </w:p>
          <w:p w:rsidR="002F359B" w:rsidRDefault="002F359B" w:rsidP="002F359B">
            <w:pPr>
              <w:pStyle w:val="NoSpacing"/>
              <w:numPr>
                <w:ilvl w:val="0"/>
                <w:numId w:val="55"/>
              </w:numPr>
              <w:rPr>
                <w:rFonts w:eastAsia="Times New Roman" w:cs="Times New Roman"/>
                <w:iCs/>
                <w:sz w:val="20"/>
                <w:szCs w:val="20"/>
              </w:rPr>
            </w:pPr>
            <w:r w:rsidRPr="00E10AB7">
              <w:rPr>
                <w:rFonts w:eastAsia="Times New Roman" w:cs="Times New Roman"/>
                <w:iCs/>
                <w:sz w:val="20"/>
                <w:szCs w:val="20"/>
              </w:rPr>
              <w:t xml:space="preserve">A sound system of LA performance monitoring (including sanctions and rewards arrangements)  </w:t>
            </w:r>
          </w:p>
          <w:p w:rsidR="002F359B" w:rsidRPr="00F534A4" w:rsidRDefault="002F359B" w:rsidP="002F359B">
            <w:pPr>
              <w:pStyle w:val="NoSpacing"/>
              <w:numPr>
                <w:ilvl w:val="0"/>
                <w:numId w:val="55"/>
              </w:numPr>
              <w:rPr>
                <w:rFonts w:eastAsia="Times New Roman" w:cs="Times New Roman"/>
                <w:iCs/>
                <w:sz w:val="20"/>
                <w:szCs w:val="20"/>
              </w:rPr>
            </w:pPr>
            <w:r w:rsidRPr="00A422A9">
              <w:rPr>
                <w:rFonts w:eastAsia="Times New Roman" w:cs="Times New Roman"/>
                <w:iCs/>
                <w:sz w:val="20"/>
                <w:szCs w:val="20"/>
              </w:rPr>
              <w:t>Legal requirements for LA transparency (</w:t>
            </w:r>
            <w:r w:rsidRPr="00A422A9">
              <w:rPr>
                <w:rFonts w:cs="Times New Roman"/>
                <w:iCs/>
                <w:sz w:val="20"/>
                <w:szCs w:val="20"/>
              </w:rPr>
              <w:t>right to public i</w:t>
            </w:r>
            <w:r w:rsidRPr="00326134">
              <w:rPr>
                <w:rFonts w:cs="Times New Roman"/>
                <w:iCs/>
                <w:sz w:val="20"/>
                <w:szCs w:val="20"/>
              </w:rPr>
              <w:t>nformation, h</w:t>
            </w:r>
            <w:r w:rsidRPr="00A422A9">
              <w:rPr>
                <w:rFonts w:cs="Times New Roman"/>
                <w:iCs/>
                <w:sz w:val="20"/>
                <w:szCs w:val="20"/>
              </w:rPr>
              <w:t>andling of citizens’ complaints, anti-corruption efforts).</w:t>
            </w:r>
          </w:p>
        </w:tc>
        <w:tc>
          <w:tcPr>
            <w:tcW w:w="2790" w:type="dxa"/>
          </w:tcPr>
          <w:p w:rsidR="002F359B" w:rsidRDefault="002F359B" w:rsidP="002F359B">
            <w:pPr>
              <w:pStyle w:val="NoSpacing"/>
              <w:numPr>
                <w:ilvl w:val="0"/>
                <w:numId w:val="46"/>
              </w:numPr>
              <w:rPr>
                <w:sz w:val="20"/>
                <w:szCs w:val="20"/>
              </w:rPr>
            </w:pPr>
            <w:r>
              <w:rPr>
                <w:sz w:val="20"/>
                <w:szCs w:val="20"/>
              </w:rPr>
              <w:t>Legislation and regulations records</w:t>
            </w:r>
          </w:p>
        </w:tc>
      </w:tr>
      <w:tr w:rsidR="002F359B" w:rsidRPr="00550EE5" w:rsidTr="007B70FF">
        <w:tc>
          <w:tcPr>
            <w:tcW w:w="2868" w:type="dxa"/>
          </w:tcPr>
          <w:p w:rsidR="002F359B" w:rsidRPr="008C7CE3" w:rsidRDefault="002F359B" w:rsidP="002F359B">
            <w:pPr>
              <w:pStyle w:val="NoSpacing"/>
              <w:rPr>
                <w:sz w:val="20"/>
                <w:szCs w:val="20"/>
              </w:rPr>
            </w:pPr>
            <w:r>
              <w:rPr>
                <w:sz w:val="20"/>
                <w:szCs w:val="20"/>
              </w:rPr>
              <w:t>National program to operationalize the decentralization reform</w:t>
            </w:r>
          </w:p>
        </w:tc>
        <w:tc>
          <w:tcPr>
            <w:tcW w:w="4692" w:type="dxa"/>
          </w:tcPr>
          <w:p w:rsidR="002F359B" w:rsidRDefault="002F359B" w:rsidP="002F359B">
            <w:pPr>
              <w:pStyle w:val="NoSpacing"/>
              <w:rPr>
                <w:rFonts w:cs="Times New Roman"/>
                <w:sz w:val="20"/>
                <w:szCs w:val="20"/>
              </w:rPr>
            </w:pPr>
            <w:r>
              <w:rPr>
                <w:rFonts w:cs="Times New Roman"/>
                <w:sz w:val="20"/>
                <w:szCs w:val="20"/>
              </w:rPr>
              <w:t xml:space="preserve">National </w:t>
            </w:r>
            <w:proofErr w:type="spellStart"/>
            <w:r>
              <w:rPr>
                <w:rFonts w:cs="Times New Roman"/>
                <w:sz w:val="20"/>
                <w:szCs w:val="20"/>
              </w:rPr>
              <w:t>programme</w:t>
            </w:r>
            <w:proofErr w:type="spellEnd"/>
            <w:r>
              <w:rPr>
                <w:rFonts w:cs="Times New Roman"/>
                <w:sz w:val="20"/>
                <w:szCs w:val="20"/>
              </w:rPr>
              <w:t xml:space="preserve"> adopted </w:t>
            </w:r>
          </w:p>
          <w:p w:rsidR="002F359B" w:rsidRPr="00AE6594" w:rsidRDefault="002F359B" w:rsidP="002F359B">
            <w:pPr>
              <w:pStyle w:val="NoSpacing"/>
              <w:rPr>
                <w:rFonts w:cs="Times New Roman"/>
                <w:sz w:val="20"/>
                <w:szCs w:val="20"/>
              </w:rPr>
            </w:pPr>
            <w:r>
              <w:rPr>
                <w:rFonts w:cs="Times New Roman"/>
                <w:sz w:val="20"/>
                <w:szCs w:val="20"/>
              </w:rPr>
              <w:t xml:space="preserve">institutions foreseen in the national </w:t>
            </w:r>
            <w:proofErr w:type="spellStart"/>
            <w:r>
              <w:rPr>
                <w:rFonts w:cs="Times New Roman"/>
                <w:sz w:val="20"/>
                <w:szCs w:val="20"/>
              </w:rPr>
              <w:t>programme</w:t>
            </w:r>
            <w:proofErr w:type="spellEnd"/>
            <w:r>
              <w:rPr>
                <w:rFonts w:cs="Times New Roman"/>
                <w:sz w:val="20"/>
                <w:szCs w:val="20"/>
              </w:rPr>
              <w:t xml:space="preserve"> are  established and operational</w:t>
            </w:r>
          </w:p>
        </w:tc>
        <w:tc>
          <w:tcPr>
            <w:tcW w:w="2790" w:type="dxa"/>
          </w:tcPr>
          <w:p w:rsidR="002F359B" w:rsidRDefault="002F359B" w:rsidP="002F359B">
            <w:pPr>
              <w:pStyle w:val="NoSpacing"/>
              <w:numPr>
                <w:ilvl w:val="0"/>
                <w:numId w:val="46"/>
              </w:numPr>
              <w:rPr>
                <w:sz w:val="20"/>
                <w:szCs w:val="20"/>
              </w:rPr>
            </w:pPr>
            <w:r>
              <w:rPr>
                <w:sz w:val="20"/>
                <w:szCs w:val="20"/>
              </w:rPr>
              <w:t>Government records</w:t>
            </w:r>
          </w:p>
          <w:p w:rsidR="002F359B" w:rsidRDefault="002F359B" w:rsidP="002F359B">
            <w:pPr>
              <w:pStyle w:val="NoSpacing"/>
              <w:numPr>
                <w:ilvl w:val="0"/>
                <w:numId w:val="46"/>
              </w:numPr>
              <w:rPr>
                <w:sz w:val="20"/>
                <w:szCs w:val="20"/>
              </w:rPr>
            </w:pPr>
            <w:r>
              <w:rPr>
                <w:sz w:val="20"/>
                <w:szCs w:val="20"/>
              </w:rPr>
              <w:t>National program document</w:t>
            </w:r>
          </w:p>
          <w:p w:rsidR="002F359B" w:rsidRPr="00AE6594" w:rsidRDefault="002F359B" w:rsidP="002F359B">
            <w:pPr>
              <w:pStyle w:val="NoSpacing"/>
              <w:numPr>
                <w:ilvl w:val="0"/>
                <w:numId w:val="46"/>
              </w:numPr>
              <w:rPr>
                <w:sz w:val="20"/>
                <w:szCs w:val="20"/>
              </w:rPr>
            </w:pPr>
            <w:r>
              <w:rPr>
                <w:sz w:val="20"/>
                <w:szCs w:val="20"/>
              </w:rPr>
              <w:t>Surveys</w:t>
            </w:r>
          </w:p>
        </w:tc>
      </w:tr>
      <w:tr w:rsidR="002F359B" w:rsidRPr="00550EE5" w:rsidTr="007B70FF">
        <w:tc>
          <w:tcPr>
            <w:tcW w:w="2868" w:type="dxa"/>
          </w:tcPr>
          <w:p w:rsidR="002F359B" w:rsidRPr="008C7CE3" w:rsidRDefault="002F359B" w:rsidP="002F359B">
            <w:pPr>
              <w:pStyle w:val="NoSpacing"/>
              <w:rPr>
                <w:sz w:val="20"/>
                <w:szCs w:val="20"/>
              </w:rPr>
            </w:pPr>
            <w:r>
              <w:rPr>
                <w:sz w:val="20"/>
                <w:szCs w:val="20"/>
              </w:rPr>
              <w:t xml:space="preserve">Enhanced decentralization process </w:t>
            </w:r>
          </w:p>
        </w:tc>
        <w:tc>
          <w:tcPr>
            <w:tcW w:w="4692" w:type="dxa"/>
          </w:tcPr>
          <w:p w:rsidR="002F359B" w:rsidRDefault="002F359B" w:rsidP="002F359B">
            <w:pPr>
              <w:pStyle w:val="NoSpacing"/>
              <w:rPr>
                <w:rFonts w:cs="Times New Roman"/>
                <w:sz w:val="20"/>
                <w:szCs w:val="20"/>
              </w:rPr>
            </w:pPr>
            <w:r>
              <w:rPr>
                <w:rFonts w:cs="Times New Roman"/>
                <w:sz w:val="20"/>
                <w:szCs w:val="20"/>
              </w:rPr>
              <w:t>Changes to:</w:t>
            </w:r>
          </w:p>
          <w:p w:rsidR="002F359B" w:rsidRDefault="002F359B" w:rsidP="002F359B">
            <w:pPr>
              <w:pStyle w:val="NoSpacing"/>
              <w:numPr>
                <w:ilvl w:val="0"/>
                <w:numId w:val="47"/>
              </w:numPr>
              <w:rPr>
                <w:rFonts w:cs="Times New Roman"/>
                <w:sz w:val="20"/>
                <w:szCs w:val="20"/>
              </w:rPr>
            </w:pPr>
            <w:r>
              <w:rPr>
                <w:rFonts w:cs="Times New Roman"/>
                <w:sz w:val="20"/>
                <w:szCs w:val="20"/>
              </w:rPr>
              <w:t>Sub-national governance system architecture</w:t>
            </w:r>
          </w:p>
          <w:p w:rsidR="002F359B" w:rsidRDefault="002F359B" w:rsidP="002F359B">
            <w:pPr>
              <w:pStyle w:val="NoSpacing"/>
              <w:numPr>
                <w:ilvl w:val="0"/>
                <w:numId w:val="47"/>
              </w:numPr>
              <w:rPr>
                <w:rFonts w:cs="Times New Roman"/>
                <w:sz w:val="20"/>
                <w:szCs w:val="20"/>
              </w:rPr>
            </w:pPr>
            <w:r>
              <w:rPr>
                <w:rFonts w:cs="Times New Roman"/>
                <w:sz w:val="20"/>
                <w:szCs w:val="20"/>
              </w:rPr>
              <w:t>Functional assignment across levels of government</w:t>
            </w:r>
          </w:p>
          <w:p w:rsidR="002F359B" w:rsidRPr="00A01350" w:rsidRDefault="002F359B" w:rsidP="002F359B">
            <w:pPr>
              <w:pStyle w:val="NoSpacing"/>
              <w:numPr>
                <w:ilvl w:val="0"/>
                <w:numId w:val="47"/>
              </w:numPr>
              <w:rPr>
                <w:rFonts w:cs="Times New Roman"/>
                <w:sz w:val="20"/>
                <w:szCs w:val="20"/>
              </w:rPr>
            </w:pPr>
            <w:r>
              <w:rPr>
                <w:rFonts w:cs="Times New Roman"/>
                <w:sz w:val="20"/>
                <w:szCs w:val="20"/>
              </w:rPr>
              <w:t>Resources assignment across levels of government</w:t>
            </w:r>
          </w:p>
        </w:tc>
        <w:tc>
          <w:tcPr>
            <w:tcW w:w="2790" w:type="dxa"/>
          </w:tcPr>
          <w:p w:rsidR="002F359B" w:rsidRDefault="002F359B" w:rsidP="002F359B">
            <w:pPr>
              <w:pStyle w:val="NoSpacing"/>
              <w:numPr>
                <w:ilvl w:val="0"/>
                <w:numId w:val="47"/>
              </w:numPr>
              <w:rPr>
                <w:sz w:val="20"/>
                <w:szCs w:val="20"/>
              </w:rPr>
            </w:pPr>
            <w:r>
              <w:rPr>
                <w:sz w:val="20"/>
                <w:szCs w:val="20"/>
              </w:rPr>
              <w:t>Legislations records</w:t>
            </w:r>
          </w:p>
          <w:p w:rsidR="002F359B" w:rsidRPr="00AE6594" w:rsidRDefault="002F359B" w:rsidP="002F359B">
            <w:pPr>
              <w:pStyle w:val="NoSpacing"/>
              <w:numPr>
                <w:ilvl w:val="0"/>
                <w:numId w:val="47"/>
              </w:numPr>
              <w:rPr>
                <w:sz w:val="20"/>
                <w:szCs w:val="20"/>
              </w:rPr>
            </w:pPr>
            <w:r>
              <w:rPr>
                <w:sz w:val="20"/>
                <w:szCs w:val="20"/>
              </w:rPr>
              <w:t>National budget records</w:t>
            </w:r>
          </w:p>
        </w:tc>
      </w:tr>
      <w:tr w:rsidR="002F359B" w:rsidRPr="00550EE5" w:rsidTr="007B70FF">
        <w:tc>
          <w:tcPr>
            <w:tcW w:w="2868" w:type="dxa"/>
          </w:tcPr>
          <w:p w:rsidR="002F359B" w:rsidRDefault="002F359B" w:rsidP="002F359B">
            <w:pPr>
              <w:pStyle w:val="NoSpacing"/>
              <w:rPr>
                <w:sz w:val="20"/>
                <w:szCs w:val="20"/>
              </w:rPr>
            </w:pPr>
            <w:r>
              <w:rPr>
                <w:rFonts w:cs="Times New Roman"/>
                <w:sz w:val="20"/>
                <w:szCs w:val="20"/>
              </w:rPr>
              <w:t xml:space="preserve">Increased LA investment in service delivery infrastructure and local development </w:t>
            </w:r>
          </w:p>
        </w:tc>
        <w:tc>
          <w:tcPr>
            <w:tcW w:w="4692" w:type="dxa"/>
          </w:tcPr>
          <w:p w:rsidR="002F359B" w:rsidRDefault="002F359B" w:rsidP="002F359B">
            <w:pPr>
              <w:pStyle w:val="NoSpacing"/>
              <w:numPr>
                <w:ilvl w:val="0"/>
                <w:numId w:val="48"/>
              </w:numPr>
              <w:rPr>
                <w:rFonts w:cs="Times New Roman"/>
                <w:sz w:val="20"/>
                <w:szCs w:val="20"/>
              </w:rPr>
            </w:pPr>
            <w:r w:rsidRPr="006A56E3">
              <w:rPr>
                <w:rFonts w:cs="Times New Roman"/>
                <w:sz w:val="20"/>
                <w:szCs w:val="20"/>
              </w:rPr>
              <w:t xml:space="preserve">Establishment of LA investment grant </w:t>
            </w:r>
            <w:r w:rsidRPr="00326134">
              <w:rPr>
                <w:rFonts w:cs="Times New Roman"/>
                <w:sz w:val="20"/>
                <w:szCs w:val="20"/>
              </w:rPr>
              <w:t xml:space="preserve">financing instruments </w:t>
            </w:r>
          </w:p>
          <w:p w:rsidR="002F359B" w:rsidRDefault="002F359B" w:rsidP="002F359B">
            <w:pPr>
              <w:pStyle w:val="NoSpacing"/>
              <w:numPr>
                <w:ilvl w:val="0"/>
                <w:numId w:val="48"/>
              </w:numPr>
              <w:rPr>
                <w:rFonts w:cs="Times New Roman"/>
                <w:sz w:val="20"/>
                <w:szCs w:val="20"/>
              </w:rPr>
            </w:pPr>
            <w:r>
              <w:rPr>
                <w:rFonts w:cs="Times New Roman"/>
                <w:sz w:val="20"/>
                <w:szCs w:val="20"/>
              </w:rPr>
              <w:t>Increase of investment budget execution by LA</w:t>
            </w:r>
          </w:p>
          <w:p w:rsidR="002F359B" w:rsidRPr="00A01350" w:rsidRDefault="002F359B" w:rsidP="002F359B">
            <w:pPr>
              <w:pStyle w:val="NoSpacing"/>
              <w:ind w:left="360"/>
              <w:rPr>
                <w:rFonts w:cs="Times New Roman"/>
                <w:sz w:val="20"/>
                <w:szCs w:val="20"/>
              </w:rPr>
            </w:pPr>
          </w:p>
        </w:tc>
        <w:tc>
          <w:tcPr>
            <w:tcW w:w="2790" w:type="dxa"/>
          </w:tcPr>
          <w:p w:rsidR="002F359B" w:rsidRDefault="002F359B" w:rsidP="002F359B">
            <w:pPr>
              <w:pStyle w:val="NoSpacing"/>
              <w:rPr>
                <w:sz w:val="20"/>
                <w:szCs w:val="20"/>
              </w:rPr>
            </w:pPr>
            <w:r>
              <w:rPr>
                <w:sz w:val="20"/>
                <w:szCs w:val="20"/>
              </w:rPr>
              <w:t>Legislation/regulations records</w:t>
            </w:r>
          </w:p>
          <w:p w:rsidR="002F359B" w:rsidRDefault="002F359B" w:rsidP="002F359B">
            <w:pPr>
              <w:pStyle w:val="NoSpacing"/>
              <w:rPr>
                <w:sz w:val="20"/>
                <w:szCs w:val="20"/>
              </w:rPr>
            </w:pPr>
            <w:r>
              <w:rPr>
                <w:sz w:val="20"/>
                <w:szCs w:val="20"/>
              </w:rPr>
              <w:t>LA reports</w:t>
            </w:r>
          </w:p>
          <w:p w:rsidR="002F359B" w:rsidRPr="00AE6594" w:rsidRDefault="002F359B" w:rsidP="002F359B">
            <w:pPr>
              <w:pStyle w:val="NoSpacing"/>
              <w:rPr>
                <w:sz w:val="20"/>
                <w:szCs w:val="20"/>
              </w:rPr>
            </w:pPr>
          </w:p>
        </w:tc>
      </w:tr>
    </w:tbl>
    <w:p w:rsidR="002F359B" w:rsidRDefault="002F359B" w:rsidP="002F359B">
      <w:r>
        <w:br w:type="page"/>
      </w:r>
    </w:p>
    <w:tbl>
      <w:tblPr>
        <w:tblStyle w:val="TableGrid"/>
        <w:tblW w:w="10350" w:type="dxa"/>
        <w:tblLook w:val="04A0" w:firstRow="1" w:lastRow="0" w:firstColumn="1" w:lastColumn="0" w:noHBand="0" w:noVBand="1"/>
      </w:tblPr>
      <w:tblGrid>
        <w:gridCol w:w="3150"/>
        <w:gridCol w:w="4410"/>
        <w:gridCol w:w="2790"/>
      </w:tblGrid>
      <w:tr w:rsidR="002F359B" w:rsidRPr="00550EE5" w:rsidTr="007B70FF">
        <w:trPr>
          <w:trHeight w:val="332"/>
        </w:trPr>
        <w:tc>
          <w:tcPr>
            <w:tcW w:w="10350" w:type="dxa"/>
            <w:gridSpan w:val="3"/>
            <w:shd w:val="clear" w:color="auto" w:fill="92CDDC" w:themeFill="accent5" w:themeFillTint="99"/>
            <w:vAlign w:val="center"/>
          </w:tcPr>
          <w:p w:rsidR="002F359B" w:rsidRPr="00EA5AD4" w:rsidRDefault="002F359B" w:rsidP="002F359B">
            <w:pPr>
              <w:pStyle w:val="NoSpacing"/>
              <w:ind w:left="360"/>
              <w:jc w:val="center"/>
            </w:pPr>
            <w:r w:rsidRPr="00EA5AD4">
              <w:rPr>
                <w:b/>
                <w:bCs/>
              </w:rPr>
              <w:lastRenderedPageBreak/>
              <w:t>Specific Indicators (</w:t>
            </w:r>
            <w:r w:rsidRPr="00EA5AD4">
              <w:rPr>
                <w:b/>
              </w:rPr>
              <w:t>Territorial Policies)</w:t>
            </w:r>
          </w:p>
        </w:tc>
      </w:tr>
      <w:tr w:rsidR="002F359B" w:rsidRPr="00550EE5" w:rsidTr="007B70FF">
        <w:tc>
          <w:tcPr>
            <w:tcW w:w="3150" w:type="dxa"/>
          </w:tcPr>
          <w:p w:rsidR="002F359B" w:rsidRDefault="002F359B" w:rsidP="002F359B">
            <w:pPr>
              <w:pStyle w:val="NoSpacing"/>
              <w:rPr>
                <w:sz w:val="20"/>
                <w:szCs w:val="20"/>
              </w:rPr>
            </w:pPr>
            <w:r>
              <w:rPr>
                <w:sz w:val="20"/>
                <w:szCs w:val="20"/>
              </w:rPr>
              <w:t>Enhanced, equitable territorial development</w:t>
            </w:r>
          </w:p>
        </w:tc>
        <w:tc>
          <w:tcPr>
            <w:tcW w:w="4410" w:type="dxa"/>
          </w:tcPr>
          <w:p w:rsidR="002F359B" w:rsidRDefault="002F359B" w:rsidP="002F359B">
            <w:pPr>
              <w:pStyle w:val="NoSpacing"/>
              <w:numPr>
                <w:ilvl w:val="0"/>
                <w:numId w:val="49"/>
              </w:numPr>
              <w:rPr>
                <w:rFonts w:cs="Times New Roman"/>
                <w:sz w:val="20"/>
                <w:szCs w:val="20"/>
              </w:rPr>
            </w:pPr>
            <w:r>
              <w:rPr>
                <w:rFonts w:cs="Times New Roman"/>
                <w:sz w:val="20"/>
                <w:szCs w:val="20"/>
              </w:rPr>
              <w:t>Change in per capita investment by LA across territories</w:t>
            </w:r>
          </w:p>
          <w:p w:rsidR="002F359B" w:rsidRDefault="002F359B" w:rsidP="002F359B">
            <w:pPr>
              <w:pStyle w:val="NoSpacing"/>
              <w:numPr>
                <w:ilvl w:val="0"/>
                <w:numId w:val="49"/>
              </w:numPr>
              <w:rPr>
                <w:rFonts w:cs="Times New Roman"/>
                <w:sz w:val="20"/>
                <w:szCs w:val="20"/>
              </w:rPr>
            </w:pPr>
            <w:r>
              <w:rPr>
                <w:rFonts w:cs="Times New Roman"/>
                <w:sz w:val="20"/>
                <w:szCs w:val="20"/>
              </w:rPr>
              <w:t>Change in per capita LA expenditures across territories</w:t>
            </w:r>
          </w:p>
          <w:p w:rsidR="002F359B" w:rsidRPr="00CB30A2" w:rsidRDefault="002F359B" w:rsidP="002F359B">
            <w:pPr>
              <w:pStyle w:val="NoSpacing"/>
              <w:numPr>
                <w:ilvl w:val="0"/>
                <w:numId w:val="49"/>
              </w:numPr>
              <w:rPr>
                <w:rFonts w:cs="Times New Roman"/>
                <w:sz w:val="20"/>
                <w:szCs w:val="20"/>
              </w:rPr>
            </w:pPr>
            <w:r>
              <w:rPr>
                <w:rFonts w:cs="Times New Roman"/>
                <w:sz w:val="20"/>
                <w:szCs w:val="20"/>
              </w:rPr>
              <w:t>Establishment of an instrument to measure citizens’ and businesses satisfaction with local services delivery</w:t>
            </w:r>
          </w:p>
          <w:p w:rsidR="002F359B" w:rsidRDefault="002F359B" w:rsidP="002F359B">
            <w:pPr>
              <w:pStyle w:val="NoSpacing"/>
              <w:numPr>
                <w:ilvl w:val="0"/>
                <w:numId w:val="49"/>
              </w:numPr>
              <w:rPr>
                <w:rFonts w:cs="Times New Roman"/>
                <w:sz w:val="20"/>
                <w:szCs w:val="20"/>
              </w:rPr>
            </w:pPr>
            <w:r>
              <w:rPr>
                <w:rFonts w:cs="Times New Roman"/>
                <w:sz w:val="20"/>
                <w:szCs w:val="20"/>
              </w:rPr>
              <w:t xml:space="preserve">% increase in number of new local businesses </w:t>
            </w:r>
          </w:p>
          <w:p w:rsidR="002F359B" w:rsidRPr="00CB30A2" w:rsidRDefault="002F359B" w:rsidP="002F359B">
            <w:pPr>
              <w:pStyle w:val="NoSpacing"/>
              <w:numPr>
                <w:ilvl w:val="0"/>
                <w:numId w:val="49"/>
              </w:numPr>
              <w:rPr>
                <w:rFonts w:cs="Times New Roman"/>
                <w:sz w:val="20"/>
                <w:szCs w:val="20"/>
              </w:rPr>
            </w:pPr>
            <w:r>
              <w:rPr>
                <w:rFonts w:cs="Times New Roman"/>
                <w:sz w:val="20"/>
                <w:szCs w:val="20"/>
              </w:rPr>
              <w:t>LA investment in developing economic infrastructure</w:t>
            </w:r>
          </w:p>
        </w:tc>
        <w:tc>
          <w:tcPr>
            <w:tcW w:w="2790" w:type="dxa"/>
          </w:tcPr>
          <w:p w:rsidR="002F359B" w:rsidRDefault="002F359B" w:rsidP="002F359B">
            <w:pPr>
              <w:pStyle w:val="NoSpacing"/>
              <w:numPr>
                <w:ilvl w:val="0"/>
                <w:numId w:val="49"/>
              </w:numPr>
              <w:rPr>
                <w:sz w:val="20"/>
                <w:szCs w:val="20"/>
              </w:rPr>
            </w:pPr>
            <w:r>
              <w:rPr>
                <w:sz w:val="20"/>
                <w:szCs w:val="20"/>
              </w:rPr>
              <w:t>Government statistics</w:t>
            </w:r>
          </w:p>
          <w:p w:rsidR="002F359B" w:rsidRDefault="002F359B" w:rsidP="002F359B">
            <w:pPr>
              <w:pStyle w:val="NoSpacing"/>
              <w:numPr>
                <w:ilvl w:val="0"/>
                <w:numId w:val="49"/>
              </w:numPr>
              <w:rPr>
                <w:sz w:val="20"/>
                <w:szCs w:val="20"/>
              </w:rPr>
            </w:pPr>
            <w:r>
              <w:rPr>
                <w:sz w:val="20"/>
                <w:szCs w:val="20"/>
              </w:rPr>
              <w:t xml:space="preserve">LA reports </w:t>
            </w:r>
          </w:p>
          <w:p w:rsidR="002F359B" w:rsidRPr="00AE6594" w:rsidRDefault="002F359B" w:rsidP="002F359B">
            <w:pPr>
              <w:pStyle w:val="NoSpacing"/>
              <w:numPr>
                <w:ilvl w:val="0"/>
                <w:numId w:val="49"/>
              </w:numPr>
              <w:rPr>
                <w:sz w:val="20"/>
                <w:szCs w:val="20"/>
              </w:rPr>
            </w:pPr>
            <w:r>
              <w:rPr>
                <w:sz w:val="20"/>
                <w:szCs w:val="20"/>
              </w:rPr>
              <w:t>Surveys</w:t>
            </w:r>
          </w:p>
        </w:tc>
      </w:tr>
      <w:tr w:rsidR="002F359B" w:rsidRPr="00550EE5" w:rsidTr="007B70FF">
        <w:tc>
          <w:tcPr>
            <w:tcW w:w="3150" w:type="dxa"/>
          </w:tcPr>
          <w:p w:rsidR="002F359B" w:rsidRDefault="002F359B" w:rsidP="002F359B">
            <w:pPr>
              <w:pStyle w:val="NoSpacing"/>
              <w:rPr>
                <w:sz w:val="20"/>
                <w:szCs w:val="20"/>
              </w:rPr>
            </w:pPr>
            <w:r>
              <w:rPr>
                <w:sz w:val="20"/>
                <w:szCs w:val="20"/>
              </w:rPr>
              <w:t>Local services delivery improvement</w:t>
            </w:r>
          </w:p>
        </w:tc>
        <w:tc>
          <w:tcPr>
            <w:tcW w:w="4410" w:type="dxa"/>
          </w:tcPr>
          <w:p w:rsidR="002F359B" w:rsidRDefault="002F359B" w:rsidP="002F359B">
            <w:pPr>
              <w:pStyle w:val="NoSpacing"/>
              <w:numPr>
                <w:ilvl w:val="0"/>
                <w:numId w:val="52"/>
              </w:numPr>
              <w:rPr>
                <w:rFonts w:cs="Times New Roman"/>
                <w:sz w:val="20"/>
                <w:szCs w:val="20"/>
              </w:rPr>
            </w:pPr>
            <w:r>
              <w:rPr>
                <w:rFonts w:cs="Times New Roman"/>
                <w:sz w:val="20"/>
                <w:szCs w:val="20"/>
              </w:rPr>
              <w:t>Types of services being delivered by LA</w:t>
            </w:r>
          </w:p>
          <w:p w:rsidR="002F359B" w:rsidRDefault="002F359B" w:rsidP="002F359B">
            <w:pPr>
              <w:pStyle w:val="NoSpacing"/>
              <w:numPr>
                <w:ilvl w:val="0"/>
                <w:numId w:val="52"/>
              </w:numPr>
              <w:rPr>
                <w:rFonts w:cs="Times New Roman"/>
                <w:sz w:val="20"/>
                <w:szCs w:val="20"/>
              </w:rPr>
            </w:pPr>
            <w:r>
              <w:rPr>
                <w:rFonts w:cs="Times New Roman"/>
                <w:sz w:val="20"/>
                <w:szCs w:val="20"/>
              </w:rPr>
              <w:t xml:space="preserve">Service coverage (number of citizens </w:t>
            </w:r>
            <w:r w:rsidR="00F15142">
              <w:rPr>
                <w:rFonts w:cs="Times New Roman"/>
                <w:sz w:val="20"/>
                <w:szCs w:val="20"/>
              </w:rPr>
              <w:t>disaggregated</w:t>
            </w:r>
            <w:r w:rsidR="002F02A1">
              <w:rPr>
                <w:rFonts w:cs="Times New Roman"/>
                <w:sz w:val="20"/>
                <w:szCs w:val="20"/>
              </w:rPr>
              <w:t xml:space="preserve"> by age and sex </w:t>
            </w:r>
            <w:r>
              <w:rPr>
                <w:rFonts w:cs="Times New Roman"/>
                <w:sz w:val="20"/>
                <w:szCs w:val="20"/>
              </w:rPr>
              <w:t>within delivery reach)</w:t>
            </w:r>
          </w:p>
          <w:p w:rsidR="002F02A1" w:rsidRDefault="002F02A1" w:rsidP="002F359B">
            <w:pPr>
              <w:pStyle w:val="NoSpacing"/>
              <w:numPr>
                <w:ilvl w:val="0"/>
                <w:numId w:val="52"/>
              </w:numPr>
              <w:rPr>
                <w:rFonts w:cs="Times New Roman"/>
                <w:sz w:val="20"/>
                <w:szCs w:val="20"/>
              </w:rPr>
            </w:pPr>
            <w:r>
              <w:rPr>
                <w:rFonts w:cs="Times New Roman"/>
                <w:sz w:val="20"/>
                <w:szCs w:val="20"/>
              </w:rPr>
              <w:t xml:space="preserve">Number of affirmative action measures introduced. </w:t>
            </w:r>
          </w:p>
          <w:p w:rsidR="002F359B" w:rsidRDefault="002F359B" w:rsidP="002F359B">
            <w:pPr>
              <w:pStyle w:val="NoSpacing"/>
              <w:ind w:left="360"/>
              <w:rPr>
                <w:rFonts w:cs="Times New Roman"/>
                <w:sz w:val="20"/>
                <w:szCs w:val="20"/>
              </w:rPr>
            </w:pPr>
          </w:p>
        </w:tc>
        <w:tc>
          <w:tcPr>
            <w:tcW w:w="2790" w:type="dxa"/>
          </w:tcPr>
          <w:p w:rsidR="002F359B" w:rsidRDefault="002F359B" w:rsidP="002F359B">
            <w:pPr>
              <w:pStyle w:val="NoSpacing"/>
              <w:numPr>
                <w:ilvl w:val="0"/>
                <w:numId w:val="52"/>
              </w:numPr>
              <w:rPr>
                <w:sz w:val="20"/>
                <w:szCs w:val="20"/>
              </w:rPr>
            </w:pPr>
            <w:r>
              <w:rPr>
                <w:sz w:val="20"/>
                <w:szCs w:val="20"/>
              </w:rPr>
              <w:t>Government records and statistics</w:t>
            </w:r>
          </w:p>
          <w:p w:rsidR="002F359B" w:rsidRDefault="002F359B" w:rsidP="002F359B">
            <w:pPr>
              <w:pStyle w:val="NoSpacing"/>
              <w:numPr>
                <w:ilvl w:val="0"/>
                <w:numId w:val="52"/>
              </w:numPr>
              <w:rPr>
                <w:sz w:val="20"/>
                <w:szCs w:val="20"/>
              </w:rPr>
            </w:pPr>
            <w:r>
              <w:rPr>
                <w:sz w:val="20"/>
                <w:szCs w:val="20"/>
              </w:rPr>
              <w:t>LA activity reports</w:t>
            </w:r>
          </w:p>
          <w:p w:rsidR="002F359B" w:rsidRDefault="002F359B" w:rsidP="002F359B">
            <w:pPr>
              <w:pStyle w:val="NoSpacing"/>
              <w:numPr>
                <w:ilvl w:val="0"/>
                <w:numId w:val="49"/>
              </w:numPr>
              <w:rPr>
                <w:sz w:val="20"/>
                <w:szCs w:val="20"/>
              </w:rPr>
            </w:pPr>
            <w:r>
              <w:rPr>
                <w:sz w:val="20"/>
                <w:szCs w:val="20"/>
              </w:rPr>
              <w:t>Surveys</w:t>
            </w:r>
          </w:p>
        </w:tc>
      </w:tr>
      <w:tr w:rsidR="002F359B" w:rsidRPr="00550EE5" w:rsidTr="007B70FF">
        <w:tc>
          <w:tcPr>
            <w:tcW w:w="3150" w:type="dxa"/>
          </w:tcPr>
          <w:p w:rsidR="002F359B" w:rsidRDefault="002F359B" w:rsidP="002F359B">
            <w:pPr>
              <w:pStyle w:val="NoSpacing"/>
              <w:rPr>
                <w:sz w:val="20"/>
                <w:szCs w:val="20"/>
              </w:rPr>
            </w:pPr>
            <w:r>
              <w:rPr>
                <w:sz w:val="20"/>
                <w:szCs w:val="20"/>
              </w:rPr>
              <w:t xml:space="preserve">LA capacity to promote territorial development </w:t>
            </w:r>
          </w:p>
        </w:tc>
        <w:tc>
          <w:tcPr>
            <w:tcW w:w="4410" w:type="dxa"/>
          </w:tcPr>
          <w:p w:rsidR="002F359B" w:rsidRDefault="002F359B" w:rsidP="002F359B">
            <w:pPr>
              <w:pStyle w:val="NoSpacing"/>
              <w:numPr>
                <w:ilvl w:val="0"/>
                <w:numId w:val="51"/>
              </w:numPr>
              <w:rPr>
                <w:rFonts w:cs="Times New Roman"/>
                <w:sz w:val="20"/>
                <w:szCs w:val="20"/>
              </w:rPr>
            </w:pPr>
            <w:r>
              <w:rPr>
                <w:rFonts w:cs="Times New Roman"/>
                <w:sz w:val="20"/>
                <w:szCs w:val="20"/>
              </w:rPr>
              <w:t>Territory-based subnational planning system is designed and applied</w:t>
            </w:r>
          </w:p>
          <w:p w:rsidR="002F359B" w:rsidRDefault="002F359B" w:rsidP="002F359B">
            <w:pPr>
              <w:pStyle w:val="NoSpacing"/>
              <w:numPr>
                <w:ilvl w:val="0"/>
                <w:numId w:val="51"/>
              </w:numPr>
              <w:rPr>
                <w:rFonts w:cs="Times New Roman"/>
                <w:sz w:val="20"/>
                <w:szCs w:val="20"/>
              </w:rPr>
            </w:pPr>
            <w:r>
              <w:rPr>
                <w:rFonts w:cs="Times New Roman"/>
                <w:sz w:val="20"/>
                <w:szCs w:val="20"/>
              </w:rPr>
              <w:t xml:space="preserve">Capacity building </w:t>
            </w:r>
            <w:proofErr w:type="spellStart"/>
            <w:r>
              <w:rPr>
                <w:rFonts w:cs="Times New Roman"/>
                <w:sz w:val="20"/>
                <w:szCs w:val="20"/>
              </w:rPr>
              <w:t>programme</w:t>
            </w:r>
            <w:proofErr w:type="spellEnd"/>
            <w:r>
              <w:rPr>
                <w:rFonts w:cs="Times New Roman"/>
                <w:sz w:val="20"/>
                <w:szCs w:val="20"/>
              </w:rPr>
              <w:t xml:space="preserve"> for territorial development designed and applied</w:t>
            </w:r>
          </w:p>
          <w:p w:rsidR="002F359B" w:rsidRPr="00CB30A2" w:rsidRDefault="002F359B" w:rsidP="002F359B">
            <w:pPr>
              <w:pStyle w:val="NoSpacing"/>
              <w:numPr>
                <w:ilvl w:val="0"/>
                <w:numId w:val="51"/>
              </w:numPr>
              <w:rPr>
                <w:rFonts w:cs="Times New Roman"/>
                <w:sz w:val="20"/>
                <w:szCs w:val="20"/>
              </w:rPr>
            </w:pPr>
            <w:r>
              <w:rPr>
                <w:rFonts w:cs="Times New Roman"/>
                <w:sz w:val="20"/>
                <w:szCs w:val="20"/>
              </w:rPr>
              <w:t>Institutions and/or arrangements for supporting LA in applying territory-based local development are adopted and applied</w:t>
            </w:r>
          </w:p>
        </w:tc>
        <w:tc>
          <w:tcPr>
            <w:tcW w:w="2790" w:type="dxa"/>
          </w:tcPr>
          <w:p w:rsidR="002F359B" w:rsidRDefault="002F359B" w:rsidP="002F359B">
            <w:pPr>
              <w:pStyle w:val="NoSpacing"/>
              <w:numPr>
                <w:ilvl w:val="0"/>
                <w:numId w:val="51"/>
              </w:numPr>
              <w:rPr>
                <w:sz w:val="20"/>
                <w:szCs w:val="20"/>
              </w:rPr>
            </w:pPr>
            <w:r>
              <w:rPr>
                <w:sz w:val="20"/>
                <w:szCs w:val="20"/>
              </w:rPr>
              <w:t>Government documents</w:t>
            </w:r>
          </w:p>
          <w:p w:rsidR="002F359B" w:rsidRDefault="002F359B" w:rsidP="002F359B">
            <w:pPr>
              <w:pStyle w:val="NoSpacing"/>
              <w:numPr>
                <w:ilvl w:val="0"/>
                <w:numId w:val="51"/>
              </w:numPr>
              <w:rPr>
                <w:sz w:val="20"/>
                <w:szCs w:val="20"/>
              </w:rPr>
            </w:pPr>
            <w:r>
              <w:rPr>
                <w:sz w:val="20"/>
                <w:szCs w:val="20"/>
              </w:rPr>
              <w:t>Surveys</w:t>
            </w:r>
          </w:p>
          <w:p w:rsidR="002F359B" w:rsidRPr="00AE6594" w:rsidRDefault="002F359B" w:rsidP="002F359B">
            <w:pPr>
              <w:pStyle w:val="NoSpacing"/>
              <w:numPr>
                <w:ilvl w:val="0"/>
                <w:numId w:val="51"/>
              </w:numPr>
              <w:rPr>
                <w:sz w:val="20"/>
                <w:szCs w:val="20"/>
              </w:rPr>
            </w:pPr>
            <w:r>
              <w:rPr>
                <w:sz w:val="20"/>
                <w:szCs w:val="20"/>
              </w:rPr>
              <w:t>LA activity reports</w:t>
            </w:r>
          </w:p>
        </w:tc>
      </w:tr>
      <w:tr w:rsidR="002F359B" w:rsidRPr="00550EE5" w:rsidTr="007B70FF">
        <w:tc>
          <w:tcPr>
            <w:tcW w:w="3150" w:type="dxa"/>
          </w:tcPr>
          <w:p w:rsidR="002F359B" w:rsidRDefault="002F359B" w:rsidP="002F359B">
            <w:pPr>
              <w:pStyle w:val="NoSpacing"/>
              <w:rPr>
                <w:sz w:val="20"/>
                <w:szCs w:val="20"/>
              </w:rPr>
            </w:pPr>
            <w:r>
              <w:rPr>
                <w:sz w:val="20"/>
                <w:szCs w:val="20"/>
              </w:rPr>
              <w:t>Local economic development (LED)</w:t>
            </w:r>
          </w:p>
        </w:tc>
        <w:tc>
          <w:tcPr>
            <w:tcW w:w="4410" w:type="dxa"/>
          </w:tcPr>
          <w:p w:rsidR="002F359B" w:rsidRDefault="002F359B" w:rsidP="002F359B">
            <w:pPr>
              <w:pStyle w:val="NoSpacing"/>
              <w:numPr>
                <w:ilvl w:val="0"/>
                <w:numId w:val="53"/>
              </w:numPr>
              <w:rPr>
                <w:rFonts w:cs="Times New Roman"/>
                <w:sz w:val="20"/>
                <w:szCs w:val="20"/>
              </w:rPr>
            </w:pPr>
            <w:r>
              <w:rPr>
                <w:rFonts w:cs="Times New Roman"/>
                <w:sz w:val="20"/>
                <w:szCs w:val="20"/>
              </w:rPr>
              <w:t xml:space="preserve">Types of LA services and investment that are business development centered </w:t>
            </w:r>
          </w:p>
          <w:p w:rsidR="002F359B" w:rsidRPr="00CB30A2" w:rsidRDefault="002F359B" w:rsidP="002F359B">
            <w:pPr>
              <w:pStyle w:val="NoSpacing"/>
              <w:numPr>
                <w:ilvl w:val="0"/>
                <w:numId w:val="53"/>
              </w:numPr>
              <w:rPr>
                <w:rFonts w:cs="Times New Roman"/>
                <w:sz w:val="20"/>
                <w:szCs w:val="20"/>
              </w:rPr>
            </w:pPr>
            <w:r>
              <w:rPr>
                <w:rFonts w:cs="Times New Roman"/>
                <w:sz w:val="20"/>
                <w:szCs w:val="20"/>
              </w:rPr>
              <w:t xml:space="preserve">% of LA undertaking  the marketing of their territory (business attractiveness) </w:t>
            </w:r>
          </w:p>
          <w:p w:rsidR="002F359B" w:rsidRDefault="002F359B" w:rsidP="002F359B">
            <w:pPr>
              <w:pStyle w:val="NoSpacing"/>
              <w:numPr>
                <w:ilvl w:val="0"/>
                <w:numId w:val="53"/>
              </w:numPr>
              <w:rPr>
                <w:rFonts w:cs="Times New Roman"/>
                <w:sz w:val="20"/>
                <w:szCs w:val="20"/>
              </w:rPr>
            </w:pPr>
            <w:r>
              <w:rPr>
                <w:rFonts w:cs="Times New Roman"/>
                <w:sz w:val="20"/>
                <w:szCs w:val="20"/>
              </w:rPr>
              <w:t xml:space="preserve">% of LA entering into partnership with local businesses </w:t>
            </w:r>
          </w:p>
          <w:p w:rsidR="002F359B" w:rsidRPr="00F534A4" w:rsidRDefault="002F359B" w:rsidP="002F359B">
            <w:pPr>
              <w:pStyle w:val="NoSpacing"/>
              <w:numPr>
                <w:ilvl w:val="0"/>
                <w:numId w:val="53"/>
              </w:numPr>
              <w:rPr>
                <w:rFonts w:cs="Times New Roman"/>
                <w:sz w:val="20"/>
                <w:szCs w:val="20"/>
              </w:rPr>
            </w:pPr>
            <w:r w:rsidRPr="00E97D3C">
              <w:rPr>
                <w:rFonts w:cs="Times New Roman"/>
                <w:sz w:val="20"/>
                <w:szCs w:val="20"/>
              </w:rPr>
              <w:t xml:space="preserve">% of LA involving </w:t>
            </w:r>
            <w:r w:rsidRPr="00E97D3C">
              <w:rPr>
                <w:sz w:val="20"/>
                <w:szCs w:val="20"/>
              </w:rPr>
              <w:t xml:space="preserve">communities and private sector in the production and/or delivery of local services  </w:t>
            </w:r>
          </w:p>
          <w:p w:rsidR="002F359B" w:rsidRPr="00AE6594" w:rsidRDefault="002F359B" w:rsidP="002F359B">
            <w:pPr>
              <w:pStyle w:val="NoSpacing"/>
              <w:ind w:left="360"/>
              <w:rPr>
                <w:rFonts w:cs="Times New Roman"/>
                <w:sz w:val="20"/>
                <w:szCs w:val="20"/>
              </w:rPr>
            </w:pPr>
          </w:p>
        </w:tc>
        <w:tc>
          <w:tcPr>
            <w:tcW w:w="2790" w:type="dxa"/>
          </w:tcPr>
          <w:p w:rsidR="002F359B" w:rsidRDefault="002F359B" w:rsidP="002F359B">
            <w:pPr>
              <w:pStyle w:val="NoSpacing"/>
              <w:numPr>
                <w:ilvl w:val="0"/>
                <w:numId w:val="53"/>
              </w:numPr>
              <w:rPr>
                <w:sz w:val="20"/>
                <w:szCs w:val="20"/>
              </w:rPr>
            </w:pPr>
            <w:r>
              <w:rPr>
                <w:sz w:val="20"/>
                <w:szCs w:val="20"/>
              </w:rPr>
              <w:t>Government statistics</w:t>
            </w:r>
          </w:p>
          <w:p w:rsidR="002F359B" w:rsidRDefault="002F359B" w:rsidP="002F359B">
            <w:pPr>
              <w:pStyle w:val="NoSpacing"/>
              <w:numPr>
                <w:ilvl w:val="0"/>
                <w:numId w:val="53"/>
              </w:numPr>
              <w:rPr>
                <w:sz w:val="20"/>
                <w:szCs w:val="20"/>
              </w:rPr>
            </w:pPr>
            <w:r>
              <w:rPr>
                <w:sz w:val="20"/>
                <w:szCs w:val="20"/>
              </w:rPr>
              <w:t>LA plans and budgets</w:t>
            </w:r>
          </w:p>
          <w:p w:rsidR="002F359B" w:rsidRDefault="002F359B" w:rsidP="002F359B">
            <w:pPr>
              <w:pStyle w:val="NoSpacing"/>
              <w:numPr>
                <w:ilvl w:val="0"/>
                <w:numId w:val="53"/>
              </w:numPr>
              <w:rPr>
                <w:sz w:val="20"/>
                <w:szCs w:val="20"/>
              </w:rPr>
            </w:pPr>
            <w:r>
              <w:rPr>
                <w:sz w:val="20"/>
                <w:szCs w:val="20"/>
              </w:rPr>
              <w:t>LA reports</w:t>
            </w:r>
          </w:p>
          <w:p w:rsidR="002F359B" w:rsidRPr="00AE6594" w:rsidRDefault="002F359B" w:rsidP="002F359B">
            <w:pPr>
              <w:pStyle w:val="NoSpacing"/>
              <w:numPr>
                <w:ilvl w:val="0"/>
                <w:numId w:val="53"/>
              </w:numPr>
              <w:rPr>
                <w:sz w:val="20"/>
                <w:szCs w:val="20"/>
              </w:rPr>
            </w:pPr>
            <w:r>
              <w:rPr>
                <w:sz w:val="20"/>
                <w:szCs w:val="20"/>
              </w:rPr>
              <w:t>Surveys</w:t>
            </w:r>
          </w:p>
        </w:tc>
      </w:tr>
      <w:tr w:rsidR="002F359B" w:rsidRPr="00550EE5" w:rsidTr="007B70FF">
        <w:tc>
          <w:tcPr>
            <w:tcW w:w="3150" w:type="dxa"/>
          </w:tcPr>
          <w:p w:rsidR="002F359B" w:rsidRPr="005F67C5" w:rsidRDefault="002F359B" w:rsidP="002F359B">
            <w:pPr>
              <w:pStyle w:val="NoSpacing"/>
              <w:rPr>
                <w:sz w:val="20"/>
                <w:szCs w:val="20"/>
                <w:lang w:val="fr-FR"/>
              </w:rPr>
            </w:pPr>
            <w:r w:rsidRPr="005F67C5">
              <w:rPr>
                <w:sz w:val="20"/>
                <w:szCs w:val="20"/>
                <w:lang w:val="fr-FR"/>
              </w:rPr>
              <w:t xml:space="preserve">Local </w:t>
            </w:r>
            <w:proofErr w:type="spellStart"/>
            <w:r w:rsidRPr="005F67C5">
              <w:rPr>
                <w:sz w:val="20"/>
                <w:szCs w:val="20"/>
                <w:lang w:val="fr-FR"/>
              </w:rPr>
              <w:t>environmental</w:t>
            </w:r>
            <w:proofErr w:type="spellEnd"/>
            <w:r w:rsidRPr="005F67C5">
              <w:rPr>
                <w:sz w:val="20"/>
                <w:szCs w:val="20"/>
                <w:lang w:val="fr-FR"/>
              </w:rPr>
              <w:t xml:space="preserve"> management</w:t>
            </w:r>
          </w:p>
        </w:tc>
        <w:tc>
          <w:tcPr>
            <w:tcW w:w="4410" w:type="dxa"/>
          </w:tcPr>
          <w:p w:rsidR="002F359B" w:rsidRDefault="002F359B" w:rsidP="002F359B">
            <w:pPr>
              <w:pStyle w:val="NoSpacing"/>
              <w:numPr>
                <w:ilvl w:val="0"/>
                <w:numId w:val="54"/>
              </w:numPr>
              <w:rPr>
                <w:rFonts w:cs="Times New Roman"/>
                <w:sz w:val="20"/>
                <w:szCs w:val="20"/>
              </w:rPr>
            </w:pPr>
            <w:r>
              <w:rPr>
                <w:rFonts w:cs="Times New Roman"/>
                <w:sz w:val="20"/>
                <w:szCs w:val="20"/>
              </w:rPr>
              <w:t>Environment-related services provided by LA</w:t>
            </w:r>
          </w:p>
          <w:p w:rsidR="002F359B" w:rsidRDefault="002F359B" w:rsidP="002F359B">
            <w:pPr>
              <w:pStyle w:val="NoSpacing"/>
              <w:numPr>
                <w:ilvl w:val="0"/>
                <w:numId w:val="54"/>
              </w:numPr>
              <w:rPr>
                <w:rFonts w:cs="Times New Roman"/>
                <w:sz w:val="20"/>
                <w:szCs w:val="20"/>
              </w:rPr>
            </w:pPr>
            <w:r>
              <w:rPr>
                <w:rFonts w:cs="Times New Roman"/>
                <w:sz w:val="20"/>
                <w:szCs w:val="20"/>
              </w:rPr>
              <w:t>Capacity building provided to LA on mainstreaming climate change in the local planning and budgeting processes.</w:t>
            </w:r>
          </w:p>
          <w:p w:rsidR="002F359B" w:rsidRPr="00AE6594" w:rsidRDefault="002F359B" w:rsidP="002F359B">
            <w:pPr>
              <w:pStyle w:val="NoSpacing"/>
              <w:numPr>
                <w:ilvl w:val="0"/>
                <w:numId w:val="54"/>
              </w:numPr>
              <w:rPr>
                <w:rFonts w:cs="Times New Roman"/>
                <w:sz w:val="20"/>
                <w:szCs w:val="20"/>
              </w:rPr>
            </w:pPr>
            <w:r>
              <w:rPr>
                <w:rFonts w:cs="Times New Roman"/>
                <w:sz w:val="20"/>
                <w:szCs w:val="20"/>
              </w:rPr>
              <w:t>LA spending on climate change adaptation and local natural resources management</w:t>
            </w:r>
          </w:p>
        </w:tc>
        <w:tc>
          <w:tcPr>
            <w:tcW w:w="2790" w:type="dxa"/>
          </w:tcPr>
          <w:p w:rsidR="002F359B" w:rsidRDefault="002F359B" w:rsidP="002F359B">
            <w:pPr>
              <w:pStyle w:val="NoSpacing"/>
              <w:numPr>
                <w:ilvl w:val="0"/>
                <w:numId w:val="54"/>
              </w:numPr>
              <w:rPr>
                <w:sz w:val="20"/>
                <w:szCs w:val="20"/>
              </w:rPr>
            </w:pPr>
            <w:r>
              <w:rPr>
                <w:sz w:val="20"/>
                <w:szCs w:val="20"/>
              </w:rPr>
              <w:t>Government records</w:t>
            </w:r>
          </w:p>
          <w:p w:rsidR="002F359B" w:rsidRDefault="002F359B" w:rsidP="002F359B">
            <w:pPr>
              <w:pStyle w:val="NoSpacing"/>
              <w:numPr>
                <w:ilvl w:val="0"/>
                <w:numId w:val="54"/>
              </w:numPr>
              <w:rPr>
                <w:sz w:val="20"/>
                <w:szCs w:val="20"/>
              </w:rPr>
            </w:pPr>
            <w:r>
              <w:rPr>
                <w:sz w:val="20"/>
                <w:szCs w:val="20"/>
              </w:rPr>
              <w:t>LA plans and budgets</w:t>
            </w:r>
          </w:p>
          <w:p w:rsidR="002F359B" w:rsidRDefault="002F359B" w:rsidP="002F359B">
            <w:pPr>
              <w:pStyle w:val="NoSpacing"/>
              <w:numPr>
                <w:ilvl w:val="0"/>
                <w:numId w:val="54"/>
              </w:numPr>
              <w:rPr>
                <w:sz w:val="20"/>
                <w:szCs w:val="20"/>
              </w:rPr>
            </w:pPr>
            <w:r>
              <w:rPr>
                <w:sz w:val="20"/>
                <w:szCs w:val="20"/>
              </w:rPr>
              <w:t>LA financial statements and reports</w:t>
            </w:r>
          </w:p>
          <w:p w:rsidR="002F359B" w:rsidRPr="00AE6594" w:rsidRDefault="002F359B" w:rsidP="002F359B">
            <w:pPr>
              <w:pStyle w:val="NoSpacing"/>
              <w:numPr>
                <w:ilvl w:val="0"/>
                <w:numId w:val="54"/>
              </w:numPr>
              <w:rPr>
                <w:sz w:val="20"/>
                <w:szCs w:val="20"/>
              </w:rPr>
            </w:pPr>
            <w:r>
              <w:rPr>
                <w:sz w:val="20"/>
                <w:szCs w:val="20"/>
              </w:rPr>
              <w:t>Surveys.</w:t>
            </w:r>
          </w:p>
        </w:tc>
      </w:tr>
    </w:tbl>
    <w:p w:rsidR="00D153CD" w:rsidRDefault="00D153CD" w:rsidP="00D153CD">
      <w:pPr>
        <w:pStyle w:val="NoSpacing"/>
        <w:jc w:val="both"/>
        <w:rPr>
          <w:color w:val="002060"/>
        </w:rPr>
      </w:pPr>
    </w:p>
    <w:p w:rsidR="0024335C" w:rsidRDefault="0024335C">
      <w:pPr>
        <w:rPr>
          <w:rFonts w:cs="PF Square Sans Pro Medium"/>
          <w:color w:val="002060"/>
        </w:rPr>
      </w:pPr>
    </w:p>
    <w:p w:rsidR="0071426F" w:rsidRDefault="0071426F">
      <w:pPr>
        <w:rPr>
          <w:rFonts w:cs="PF Square Sans Pro Medium"/>
          <w:b/>
          <w:color w:val="002060"/>
          <w:sz w:val="24"/>
          <w:szCs w:val="24"/>
        </w:rPr>
      </w:pPr>
      <w:r>
        <w:rPr>
          <w:rFonts w:cs="PF Square Sans Pro Medium"/>
          <w:b/>
          <w:color w:val="002060"/>
          <w:sz w:val="24"/>
          <w:szCs w:val="24"/>
        </w:rPr>
        <w:br w:type="page"/>
      </w:r>
    </w:p>
    <w:p w:rsidR="0024335C" w:rsidRPr="007B70FF" w:rsidRDefault="0024335C" w:rsidP="00AA33C3">
      <w:pPr>
        <w:autoSpaceDE w:val="0"/>
        <w:autoSpaceDN w:val="0"/>
        <w:adjustRightInd w:val="0"/>
        <w:spacing w:after="0" w:line="240" w:lineRule="auto"/>
        <w:jc w:val="both"/>
        <w:rPr>
          <w:rFonts w:cs="PF Square Sans Pro Medium"/>
          <w:b/>
          <w:sz w:val="24"/>
          <w:szCs w:val="24"/>
        </w:rPr>
      </w:pPr>
      <w:r w:rsidRPr="007B70FF">
        <w:rPr>
          <w:rFonts w:cs="PF Square Sans Pro Medium"/>
          <w:b/>
          <w:sz w:val="24"/>
          <w:szCs w:val="24"/>
        </w:rPr>
        <w:lastRenderedPageBreak/>
        <w:t xml:space="preserve">Annex </w:t>
      </w:r>
      <w:proofErr w:type="gramStart"/>
      <w:r w:rsidR="008D6B48" w:rsidRPr="007B70FF">
        <w:rPr>
          <w:rFonts w:cs="PF Square Sans Pro Medium"/>
          <w:b/>
          <w:sz w:val="24"/>
          <w:szCs w:val="24"/>
        </w:rPr>
        <w:t>3</w:t>
      </w:r>
      <w:r w:rsidRPr="007B70FF">
        <w:rPr>
          <w:rFonts w:cs="PF Square Sans Pro Medium"/>
          <w:b/>
          <w:sz w:val="24"/>
          <w:szCs w:val="24"/>
        </w:rPr>
        <w:t xml:space="preserve"> </w:t>
      </w:r>
      <w:r w:rsidRPr="0067410E">
        <w:rPr>
          <w:rFonts w:cs="PF Square Sans Pro Medium"/>
          <w:b/>
          <w:sz w:val="24"/>
          <w:szCs w:val="24"/>
        </w:rPr>
        <w:t>:</w:t>
      </w:r>
      <w:proofErr w:type="gramEnd"/>
      <w:r w:rsidRPr="0067410E">
        <w:rPr>
          <w:rFonts w:cs="PF Square Sans Pro Medium"/>
          <w:b/>
          <w:sz w:val="24"/>
          <w:szCs w:val="24"/>
        </w:rPr>
        <w:t xml:space="preserve">  Overview of typical risks in decentralized contexts</w:t>
      </w:r>
    </w:p>
    <w:p w:rsidR="0024335C" w:rsidRPr="007B70FF" w:rsidRDefault="0024335C" w:rsidP="00AA33C3">
      <w:pPr>
        <w:autoSpaceDE w:val="0"/>
        <w:autoSpaceDN w:val="0"/>
        <w:adjustRightInd w:val="0"/>
        <w:spacing w:after="0" w:line="240" w:lineRule="auto"/>
        <w:jc w:val="both"/>
        <w:rPr>
          <w:rFonts w:cs="PF Square Sans Pro Medium"/>
          <w:b/>
          <w:sz w:val="24"/>
          <w:szCs w:val="24"/>
        </w:rPr>
      </w:pPr>
    </w:p>
    <w:p w:rsidR="0024335C" w:rsidRPr="007B70FF" w:rsidRDefault="0024335C" w:rsidP="00AA33C3">
      <w:pPr>
        <w:autoSpaceDE w:val="0"/>
        <w:autoSpaceDN w:val="0"/>
        <w:adjustRightInd w:val="0"/>
        <w:spacing w:after="0" w:line="240" w:lineRule="auto"/>
        <w:jc w:val="both"/>
        <w:rPr>
          <w:rFonts w:cs="PF Square Sans Pro Medium"/>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63"/>
        <w:gridCol w:w="2007"/>
        <w:gridCol w:w="6318"/>
      </w:tblGrid>
      <w:tr w:rsidR="0024335C" w:rsidRPr="007B70FF" w:rsidTr="00C45771">
        <w:tc>
          <w:tcPr>
            <w:tcW w:w="10188" w:type="dxa"/>
            <w:gridSpan w:val="3"/>
            <w:shd w:val="clear" w:color="auto" w:fill="auto"/>
          </w:tcPr>
          <w:p w:rsidR="0024335C" w:rsidRPr="007B70FF" w:rsidRDefault="0024335C" w:rsidP="00C45771">
            <w:pPr>
              <w:jc w:val="center"/>
              <w:rPr>
                <w:b/>
              </w:rPr>
            </w:pPr>
            <w:r w:rsidRPr="007B70FF">
              <w:rPr>
                <w:b/>
              </w:rPr>
              <w:t>RISK MANAGEMENT FRAMEWORK (RMF)</w:t>
            </w:r>
          </w:p>
        </w:tc>
      </w:tr>
      <w:tr w:rsidR="0024335C" w:rsidRPr="007B70FF" w:rsidTr="00C45771">
        <w:tc>
          <w:tcPr>
            <w:tcW w:w="1863" w:type="dxa"/>
            <w:shd w:val="clear" w:color="auto" w:fill="auto"/>
          </w:tcPr>
          <w:p w:rsidR="0024335C" w:rsidRPr="007B70FF" w:rsidRDefault="0024335C" w:rsidP="00C45771">
            <w:pPr>
              <w:pStyle w:val="NoSpacing"/>
              <w:jc w:val="center"/>
              <w:rPr>
                <w:b/>
              </w:rPr>
            </w:pPr>
            <w:r w:rsidRPr="007B70FF">
              <w:rPr>
                <w:b/>
              </w:rPr>
              <w:t>Risk Category</w:t>
            </w:r>
          </w:p>
        </w:tc>
        <w:tc>
          <w:tcPr>
            <w:tcW w:w="2007" w:type="dxa"/>
            <w:shd w:val="clear" w:color="auto" w:fill="auto"/>
          </w:tcPr>
          <w:p w:rsidR="0024335C" w:rsidRPr="007B70FF" w:rsidRDefault="0024335C" w:rsidP="00C45771">
            <w:pPr>
              <w:pStyle w:val="NoSpacing"/>
              <w:jc w:val="center"/>
              <w:rPr>
                <w:b/>
              </w:rPr>
            </w:pPr>
            <w:r w:rsidRPr="007B70FF">
              <w:rPr>
                <w:b/>
              </w:rPr>
              <w:t>Dimensions</w:t>
            </w:r>
          </w:p>
        </w:tc>
        <w:tc>
          <w:tcPr>
            <w:tcW w:w="6318" w:type="dxa"/>
          </w:tcPr>
          <w:p w:rsidR="0024335C" w:rsidRPr="007B70FF" w:rsidRDefault="0024335C" w:rsidP="00C45771">
            <w:pPr>
              <w:pStyle w:val="NoSpacing"/>
              <w:jc w:val="center"/>
              <w:rPr>
                <w:b/>
              </w:rPr>
            </w:pPr>
            <w:r w:rsidRPr="007B70FF">
              <w:rPr>
                <w:b/>
              </w:rPr>
              <w:t xml:space="preserve">Risks of DR-LG-LD policies/programs </w:t>
            </w:r>
          </w:p>
          <w:p w:rsidR="0024335C" w:rsidRPr="007B70FF" w:rsidRDefault="0024335C" w:rsidP="00C45771">
            <w:pPr>
              <w:pStyle w:val="NoSpacing"/>
              <w:jc w:val="center"/>
              <w:rPr>
                <w:b/>
              </w:rPr>
            </w:pPr>
            <w:r w:rsidRPr="007B70FF">
              <w:rPr>
                <w:b/>
              </w:rPr>
              <w:t>(an indicative list)</w:t>
            </w:r>
          </w:p>
          <w:p w:rsidR="0024335C" w:rsidRPr="007B70FF" w:rsidRDefault="0024335C" w:rsidP="00C45771">
            <w:pPr>
              <w:pStyle w:val="NoSpacing"/>
              <w:jc w:val="center"/>
              <w:rPr>
                <w:b/>
              </w:rPr>
            </w:pPr>
          </w:p>
        </w:tc>
      </w:tr>
      <w:tr w:rsidR="0024335C" w:rsidRPr="007B70FF" w:rsidTr="00C45771">
        <w:tc>
          <w:tcPr>
            <w:tcW w:w="1863" w:type="dxa"/>
            <w:shd w:val="clear" w:color="auto" w:fill="auto"/>
          </w:tcPr>
          <w:p w:rsidR="0024335C" w:rsidRPr="007B70FF" w:rsidRDefault="0024335C" w:rsidP="007B70FF">
            <w:pPr>
              <w:ind w:left="9"/>
              <w:jc w:val="both"/>
            </w:pPr>
            <w:r w:rsidRPr="007B70FF">
              <w:t>Political</w:t>
            </w:r>
          </w:p>
        </w:tc>
        <w:tc>
          <w:tcPr>
            <w:tcW w:w="2007" w:type="dxa"/>
            <w:shd w:val="clear" w:color="auto" w:fill="auto"/>
          </w:tcPr>
          <w:p w:rsidR="0024335C" w:rsidRPr="007B70FF" w:rsidRDefault="0024335C" w:rsidP="007B70FF">
            <w:pPr>
              <w:numPr>
                <w:ilvl w:val="0"/>
                <w:numId w:val="18"/>
              </w:numPr>
              <w:spacing w:after="0" w:line="240" w:lineRule="auto"/>
              <w:ind w:left="279" w:hanging="252"/>
            </w:pPr>
            <w:r w:rsidRPr="007B70FF">
              <w:t>Human Rights</w:t>
            </w:r>
          </w:p>
          <w:p w:rsidR="0024335C" w:rsidRPr="007B70FF" w:rsidRDefault="0024335C" w:rsidP="007B70FF">
            <w:pPr>
              <w:numPr>
                <w:ilvl w:val="0"/>
                <w:numId w:val="18"/>
              </w:numPr>
              <w:spacing w:after="0" w:line="240" w:lineRule="auto"/>
              <w:ind w:left="279" w:hanging="252"/>
            </w:pPr>
            <w:r w:rsidRPr="007B70FF">
              <w:t>Democracy</w:t>
            </w:r>
          </w:p>
          <w:p w:rsidR="0024335C" w:rsidRPr="007B70FF" w:rsidRDefault="0024335C" w:rsidP="007B70FF">
            <w:pPr>
              <w:numPr>
                <w:ilvl w:val="0"/>
                <w:numId w:val="18"/>
              </w:numPr>
              <w:spacing w:after="0" w:line="240" w:lineRule="auto"/>
              <w:ind w:left="279" w:hanging="252"/>
            </w:pPr>
            <w:r w:rsidRPr="007B70FF">
              <w:t>Rule of Law</w:t>
            </w:r>
          </w:p>
          <w:p w:rsidR="0024335C" w:rsidRDefault="0024335C" w:rsidP="007B70FF">
            <w:pPr>
              <w:numPr>
                <w:ilvl w:val="0"/>
                <w:numId w:val="18"/>
              </w:numPr>
              <w:spacing w:after="0" w:line="240" w:lineRule="auto"/>
              <w:ind w:left="279" w:hanging="252"/>
            </w:pPr>
            <w:r w:rsidRPr="007B70FF">
              <w:t>Insecurity and Conflict</w:t>
            </w:r>
          </w:p>
          <w:p w:rsidR="00833A1E" w:rsidRDefault="00833A1E" w:rsidP="007B70FF">
            <w:pPr>
              <w:numPr>
                <w:ilvl w:val="0"/>
                <w:numId w:val="18"/>
              </w:numPr>
              <w:spacing w:after="0" w:line="240" w:lineRule="auto"/>
              <w:ind w:left="279" w:hanging="252"/>
            </w:pPr>
            <w:r>
              <w:t xml:space="preserve">Gender equality </w:t>
            </w:r>
          </w:p>
          <w:p w:rsidR="00833A1E" w:rsidRPr="007B70FF" w:rsidRDefault="00833A1E" w:rsidP="007B70FF">
            <w:pPr>
              <w:numPr>
                <w:ilvl w:val="0"/>
                <w:numId w:val="18"/>
              </w:numPr>
              <w:spacing w:after="0" w:line="240" w:lineRule="auto"/>
              <w:ind w:left="279" w:hanging="252"/>
            </w:pPr>
            <w:r>
              <w:t xml:space="preserve">Children's rights </w:t>
            </w:r>
          </w:p>
        </w:tc>
        <w:tc>
          <w:tcPr>
            <w:tcW w:w="6318" w:type="dxa"/>
          </w:tcPr>
          <w:p w:rsidR="0024335C" w:rsidRPr="007B70FF" w:rsidRDefault="0024335C" w:rsidP="007B70FF">
            <w:pPr>
              <w:pStyle w:val="NoSpacing"/>
              <w:numPr>
                <w:ilvl w:val="0"/>
                <w:numId w:val="19"/>
              </w:numPr>
              <w:ind w:left="207" w:hanging="243"/>
            </w:pPr>
            <w:r w:rsidRPr="007B70FF">
              <w:t>Risk of inter-jurisdictional inequalities in the interpretation and upholding of human rights</w:t>
            </w:r>
            <w:r w:rsidR="009F430D">
              <w:t xml:space="preserve"> (especially</w:t>
            </w:r>
            <w:r w:rsidR="0067410E">
              <w:t xml:space="preserve"> women and children's</w:t>
            </w:r>
            <w:r w:rsidR="009F430D">
              <w:t xml:space="preserve"> rights)</w:t>
            </w:r>
            <w:r w:rsidRPr="007B70FF">
              <w:t>, particularly in countries with significant ethnic, religious and cultural diversity</w:t>
            </w:r>
          </w:p>
          <w:p w:rsidR="0024335C" w:rsidRPr="007B70FF" w:rsidRDefault="0024335C" w:rsidP="007B70FF">
            <w:pPr>
              <w:pStyle w:val="NoSpacing"/>
              <w:numPr>
                <w:ilvl w:val="0"/>
                <w:numId w:val="19"/>
              </w:numPr>
              <w:ind w:left="207" w:hanging="243"/>
            </w:pPr>
            <w:r w:rsidRPr="007B70FF">
              <w:t>Risk of creating pockets of weak local democracy where entrenched local power structures may restrict political contestation and/or participation and the rule of law</w:t>
            </w:r>
          </w:p>
          <w:p w:rsidR="0024335C" w:rsidRDefault="0024335C" w:rsidP="007B70FF">
            <w:pPr>
              <w:pStyle w:val="NoSpacing"/>
              <w:numPr>
                <w:ilvl w:val="0"/>
                <w:numId w:val="19"/>
              </w:numPr>
              <w:ind w:left="207" w:hanging="243"/>
            </w:pPr>
            <w:r w:rsidRPr="007B70FF">
              <w:t xml:space="preserve">Risk of contributing to insecurity and conflict, because of inconsistencies and delays of the reform process, which may push regional/local minorities in search of greater autonomy, to initiate insurgencies or secessionist movements. </w:t>
            </w:r>
          </w:p>
          <w:p w:rsidR="00953C05" w:rsidRPr="007B70FF" w:rsidRDefault="00953C05" w:rsidP="00953C05">
            <w:pPr>
              <w:pStyle w:val="NoSpacing"/>
              <w:ind w:left="207"/>
            </w:pPr>
          </w:p>
        </w:tc>
      </w:tr>
      <w:tr w:rsidR="0024335C" w:rsidRPr="007B70FF" w:rsidTr="00C45771">
        <w:tc>
          <w:tcPr>
            <w:tcW w:w="1863" w:type="dxa"/>
            <w:shd w:val="clear" w:color="auto" w:fill="auto"/>
          </w:tcPr>
          <w:p w:rsidR="0024335C" w:rsidRPr="007B70FF" w:rsidRDefault="0024335C" w:rsidP="00C45771">
            <w:pPr>
              <w:jc w:val="both"/>
            </w:pPr>
            <w:r w:rsidRPr="007B70FF">
              <w:t>Macroeconomic</w:t>
            </w:r>
          </w:p>
        </w:tc>
        <w:tc>
          <w:tcPr>
            <w:tcW w:w="2007" w:type="dxa"/>
            <w:shd w:val="clear" w:color="auto" w:fill="auto"/>
          </w:tcPr>
          <w:p w:rsidR="0024335C" w:rsidRPr="007B70FF" w:rsidRDefault="0024335C" w:rsidP="007B70FF">
            <w:pPr>
              <w:numPr>
                <w:ilvl w:val="0"/>
                <w:numId w:val="15"/>
              </w:numPr>
              <w:spacing w:after="0" w:line="240" w:lineRule="auto"/>
              <w:ind w:left="234" w:hanging="234"/>
            </w:pPr>
            <w:r w:rsidRPr="007B70FF">
              <w:t>Macroeconomic Policy &amp; Financial Sector</w:t>
            </w:r>
          </w:p>
          <w:p w:rsidR="0024335C" w:rsidRPr="007B70FF" w:rsidRDefault="0024335C" w:rsidP="007B70FF">
            <w:pPr>
              <w:numPr>
                <w:ilvl w:val="0"/>
                <w:numId w:val="15"/>
              </w:numPr>
              <w:spacing w:after="0" w:line="240" w:lineRule="auto"/>
              <w:ind w:left="234" w:hanging="234"/>
            </w:pPr>
            <w:r w:rsidRPr="007B70FF">
              <w:t>Debt Sustainability</w:t>
            </w:r>
          </w:p>
          <w:p w:rsidR="0024335C" w:rsidRPr="007B70FF" w:rsidRDefault="0024335C" w:rsidP="007B70FF">
            <w:pPr>
              <w:numPr>
                <w:ilvl w:val="0"/>
                <w:numId w:val="15"/>
              </w:numPr>
              <w:spacing w:after="0" w:line="240" w:lineRule="auto"/>
              <w:ind w:left="234" w:hanging="234"/>
            </w:pPr>
            <w:r w:rsidRPr="007B70FF">
              <w:t>Vulnerability &amp; Exogenous Shocks</w:t>
            </w:r>
          </w:p>
        </w:tc>
        <w:tc>
          <w:tcPr>
            <w:tcW w:w="6318" w:type="dxa"/>
          </w:tcPr>
          <w:p w:rsidR="0024335C" w:rsidRPr="007B70FF" w:rsidRDefault="0024335C" w:rsidP="007B70FF">
            <w:pPr>
              <w:pStyle w:val="NoSpacing"/>
              <w:numPr>
                <w:ilvl w:val="0"/>
                <w:numId w:val="15"/>
              </w:numPr>
              <w:spacing w:before="100" w:beforeAutospacing="1" w:after="100" w:afterAutospacing="1"/>
              <w:ind w:left="234" w:hanging="252"/>
              <w:rPr>
                <w:lang w:val="en-GB" w:eastAsia="ja-JP"/>
              </w:rPr>
            </w:pPr>
            <w:r w:rsidRPr="007B70FF">
              <w:rPr>
                <w:lang w:val="en-GB" w:eastAsia="ja-JP"/>
              </w:rPr>
              <w:t>Risk of mismatch between responsibilities and resources across levels of government, resulting in difficulties to contain public sector spending and reduce public indebtedness.</w:t>
            </w:r>
          </w:p>
          <w:p w:rsidR="0024335C" w:rsidRPr="007B70FF" w:rsidRDefault="0024335C" w:rsidP="007B70FF">
            <w:pPr>
              <w:pStyle w:val="NoSpacing"/>
              <w:numPr>
                <w:ilvl w:val="0"/>
                <w:numId w:val="15"/>
              </w:numPr>
              <w:spacing w:before="100" w:beforeAutospacing="1" w:after="100" w:afterAutospacing="1"/>
              <w:ind w:left="234" w:hanging="252"/>
              <w:rPr>
                <w:lang w:val="en-GB" w:eastAsia="ja-JP"/>
              </w:rPr>
            </w:pPr>
            <w:r w:rsidRPr="007B70FF">
              <w:rPr>
                <w:lang w:val="en-GB" w:eastAsia="ja-JP"/>
              </w:rPr>
              <w:t>Risk of failure to enforce a hard budget constraint for local authorities, also resulting in additional pressures on total public spending and/or the running of unsustainable local deficits.</w:t>
            </w:r>
          </w:p>
          <w:p w:rsidR="0024335C" w:rsidRPr="007B70FF" w:rsidRDefault="0024335C" w:rsidP="007B70FF">
            <w:pPr>
              <w:numPr>
                <w:ilvl w:val="0"/>
                <w:numId w:val="15"/>
              </w:numPr>
              <w:spacing w:after="0" w:line="240" w:lineRule="auto"/>
              <w:ind w:left="234" w:hanging="252"/>
            </w:pPr>
            <w:r w:rsidRPr="007B70FF">
              <w:rPr>
                <w:lang w:val="en-GB" w:eastAsia="ja-JP"/>
              </w:rPr>
              <w:t xml:space="preserve">Risk of loss of central control over monetary and fiscal policy, due to </w:t>
            </w:r>
            <w:r w:rsidRPr="007B70FF">
              <w:t>fiscal decentralization reforms that may deprive the center of a share of revenues and expenditures sufficiently large to influence aggregate demand during a fiscal crisis or in the face of external shocks.</w:t>
            </w:r>
          </w:p>
        </w:tc>
      </w:tr>
      <w:tr w:rsidR="0024335C" w:rsidRPr="007B70FF" w:rsidTr="00C45771">
        <w:tc>
          <w:tcPr>
            <w:tcW w:w="1863" w:type="dxa"/>
            <w:shd w:val="clear" w:color="auto" w:fill="auto"/>
          </w:tcPr>
          <w:p w:rsidR="0024335C" w:rsidRPr="007B70FF" w:rsidRDefault="0024335C" w:rsidP="00C45771">
            <w:pPr>
              <w:jc w:val="both"/>
            </w:pPr>
            <w:r w:rsidRPr="007B70FF">
              <w:t>Developmental</w:t>
            </w:r>
          </w:p>
        </w:tc>
        <w:tc>
          <w:tcPr>
            <w:tcW w:w="2007" w:type="dxa"/>
            <w:shd w:val="clear" w:color="auto" w:fill="auto"/>
          </w:tcPr>
          <w:p w:rsidR="0024335C" w:rsidRPr="007B70FF" w:rsidRDefault="0024335C" w:rsidP="007B70FF">
            <w:pPr>
              <w:numPr>
                <w:ilvl w:val="0"/>
                <w:numId w:val="16"/>
              </w:numPr>
              <w:spacing w:after="0" w:line="240" w:lineRule="auto"/>
              <w:ind w:left="234" w:hanging="234"/>
            </w:pPr>
            <w:r w:rsidRPr="007B70FF">
              <w:t>Public Policy</w:t>
            </w:r>
          </w:p>
          <w:p w:rsidR="0024335C" w:rsidRPr="007B70FF" w:rsidRDefault="0024335C" w:rsidP="007B70FF">
            <w:pPr>
              <w:numPr>
                <w:ilvl w:val="0"/>
                <w:numId w:val="16"/>
              </w:numPr>
              <w:spacing w:after="0" w:line="240" w:lineRule="auto"/>
              <w:ind w:left="234" w:hanging="234"/>
            </w:pPr>
            <w:r w:rsidRPr="007B70FF">
              <w:t>Government Effectiveness</w:t>
            </w:r>
          </w:p>
        </w:tc>
        <w:tc>
          <w:tcPr>
            <w:tcW w:w="6318" w:type="dxa"/>
          </w:tcPr>
          <w:p w:rsidR="0024335C" w:rsidRPr="007B70FF" w:rsidRDefault="0024335C" w:rsidP="007B70FF">
            <w:pPr>
              <w:numPr>
                <w:ilvl w:val="0"/>
                <w:numId w:val="16"/>
              </w:numPr>
              <w:spacing w:after="0" w:line="240" w:lineRule="auto"/>
              <w:ind w:left="279" w:hanging="279"/>
            </w:pPr>
            <w:r w:rsidRPr="007B70FF">
              <w:t>Risk of reducing the potential of decentralization to promote local  development by denying effective powers of autonomous  policy-making, to decentralized  authorities</w:t>
            </w:r>
          </w:p>
          <w:p w:rsidR="0024335C" w:rsidRPr="007B70FF" w:rsidRDefault="0024335C" w:rsidP="007B70FF">
            <w:pPr>
              <w:numPr>
                <w:ilvl w:val="0"/>
                <w:numId w:val="16"/>
              </w:numPr>
              <w:spacing w:after="0" w:line="240" w:lineRule="auto"/>
              <w:ind w:left="279" w:hanging="279"/>
            </w:pPr>
            <w:r w:rsidRPr="007B70FF">
              <w:t>Risks associated with delays and inconsistencies in central-to-local transfer of resources and responsibilities.</w:t>
            </w:r>
          </w:p>
          <w:p w:rsidR="0024335C" w:rsidRPr="007B70FF" w:rsidRDefault="0024335C" w:rsidP="007B70FF">
            <w:pPr>
              <w:numPr>
                <w:ilvl w:val="0"/>
                <w:numId w:val="16"/>
              </w:numPr>
              <w:spacing w:after="0" w:line="240" w:lineRule="auto"/>
              <w:ind w:left="279" w:hanging="279"/>
            </w:pPr>
            <w:r w:rsidRPr="007B70FF">
              <w:t xml:space="preserve">Risks associated with the lack, or limitations, of the capacity of multiple central agencies (Ministries of Finance, Planning and Local Government, as well as sector agencies) to effectively share and carry out, the State responsibilities to support and supervise local authorities.  </w:t>
            </w:r>
          </w:p>
        </w:tc>
      </w:tr>
      <w:tr w:rsidR="0024335C" w:rsidRPr="007B70FF" w:rsidTr="00C45771">
        <w:tc>
          <w:tcPr>
            <w:tcW w:w="1863" w:type="dxa"/>
            <w:shd w:val="clear" w:color="auto" w:fill="auto"/>
          </w:tcPr>
          <w:p w:rsidR="0024335C" w:rsidRPr="007B70FF" w:rsidRDefault="0024335C" w:rsidP="00C45771">
            <w:pPr>
              <w:jc w:val="both"/>
            </w:pPr>
            <w:r w:rsidRPr="007B70FF">
              <w:t>PFM</w:t>
            </w:r>
          </w:p>
        </w:tc>
        <w:tc>
          <w:tcPr>
            <w:tcW w:w="2007" w:type="dxa"/>
            <w:shd w:val="clear" w:color="auto" w:fill="auto"/>
          </w:tcPr>
          <w:p w:rsidR="0024335C" w:rsidRPr="007B70FF" w:rsidRDefault="0024335C" w:rsidP="007B70FF">
            <w:pPr>
              <w:numPr>
                <w:ilvl w:val="0"/>
                <w:numId w:val="21"/>
              </w:numPr>
              <w:spacing w:after="0" w:line="240" w:lineRule="auto"/>
              <w:ind w:left="279" w:hanging="270"/>
            </w:pPr>
            <w:r w:rsidRPr="007B70FF">
              <w:t>Comprehensiveness of the Budget</w:t>
            </w:r>
          </w:p>
          <w:p w:rsidR="0024335C" w:rsidRPr="007B70FF" w:rsidRDefault="0024335C" w:rsidP="007B70FF">
            <w:pPr>
              <w:numPr>
                <w:ilvl w:val="0"/>
                <w:numId w:val="21"/>
              </w:numPr>
              <w:spacing w:after="0" w:line="240" w:lineRule="auto"/>
              <w:ind w:left="279" w:hanging="270"/>
            </w:pPr>
            <w:r w:rsidRPr="007B70FF">
              <w:t>Controls in Budget Execution</w:t>
            </w:r>
          </w:p>
          <w:p w:rsidR="0024335C" w:rsidRPr="007B70FF" w:rsidRDefault="0024335C" w:rsidP="007B70FF">
            <w:pPr>
              <w:numPr>
                <w:ilvl w:val="0"/>
                <w:numId w:val="21"/>
              </w:numPr>
              <w:spacing w:after="0" w:line="240" w:lineRule="auto"/>
              <w:ind w:left="279" w:hanging="270"/>
            </w:pPr>
            <w:r w:rsidRPr="007B70FF">
              <w:lastRenderedPageBreak/>
              <w:t>Procurement</w:t>
            </w:r>
          </w:p>
          <w:p w:rsidR="0024335C" w:rsidRPr="007B70FF" w:rsidRDefault="0024335C" w:rsidP="007B70FF">
            <w:pPr>
              <w:numPr>
                <w:ilvl w:val="0"/>
                <w:numId w:val="21"/>
              </w:numPr>
              <w:spacing w:after="0" w:line="240" w:lineRule="auto"/>
              <w:ind w:left="279" w:hanging="270"/>
            </w:pPr>
            <w:r w:rsidRPr="007B70FF">
              <w:t>External Audit</w:t>
            </w:r>
          </w:p>
        </w:tc>
        <w:tc>
          <w:tcPr>
            <w:tcW w:w="6318" w:type="dxa"/>
          </w:tcPr>
          <w:p w:rsidR="0024335C" w:rsidRPr="007B70FF" w:rsidRDefault="0024335C" w:rsidP="007B70FF">
            <w:pPr>
              <w:pStyle w:val="ListParagraph"/>
              <w:numPr>
                <w:ilvl w:val="0"/>
                <w:numId w:val="20"/>
              </w:numPr>
              <w:autoSpaceDE w:val="0"/>
              <w:autoSpaceDN w:val="0"/>
              <w:adjustRightInd w:val="0"/>
              <w:spacing w:after="147" w:line="240" w:lineRule="auto"/>
              <w:ind w:left="297" w:hanging="297"/>
              <w:rPr>
                <w:rFonts w:cs="Times New Roman"/>
              </w:rPr>
            </w:pPr>
            <w:r w:rsidRPr="007B70FF">
              <w:rPr>
                <w:rFonts w:cs="Times New Roman"/>
                <w:bCs/>
              </w:rPr>
              <w:lastRenderedPageBreak/>
              <w:t>Risks (of both fiduciary and developmental nature) associated with bureaucratic resistance to new regulations of local planning and financial management that would enable local authorities to be both more autonomous and more accountable.</w:t>
            </w:r>
          </w:p>
          <w:p w:rsidR="0024335C" w:rsidRPr="007B70FF" w:rsidRDefault="0024335C" w:rsidP="007B70FF">
            <w:pPr>
              <w:pStyle w:val="ListParagraph"/>
              <w:numPr>
                <w:ilvl w:val="0"/>
                <w:numId w:val="20"/>
              </w:numPr>
              <w:autoSpaceDE w:val="0"/>
              <w:autoSpaceDN w:val="0"/>
              <w:adjustRightInd w:val="0"/>
              <w:spacing w:after="147" w:line="240" w:lineRule="auto"/>
              <w:ind w:left="297" w:hanging="297"/>
              <w:rPr>
                <w:rFonts w:cs="Times New Roman"/>
              </w:rPr>
            </w:pPr>
            <w:r w:rsidRPr="007B70FF">
              <w:rPr>
                <w:rFonts w:cs="Times New Roman"/>
                <w:bCs/>
              </w:rPr>
              <w:t xml:space="preserve">Risks of inadequate in-house local authorities’ capacity for policy-based planning and budgeting, and both supply and </w:t>
            </w:r>
            <w:r w:rsidRPr="007B70FF">
              <w:rPr>
                <w:rFonts w:cs="Times New Roman"/>
                <w:bCs/>
              </w:rPr>
              <w:lastRenderedPageBreak/>
              <w:t xml:space="preserve">demand constraints on securing planning and technical services from other providers in the public, private and non-profit sectors.  </w:t>
            </w:r>
          </w:p>
          <w:p w:rsidR="0024335C" w:rsidRPr="007B70FF" w:rsidRDefault="0024335C" w:rsidP="007B70FF">
            <w:pPr>
              <w:pStyle w:val="ListParagraph"/>
              <w:numPr>
                <w:ilvl w:val="0"/>
                <w:numId w:val="20"/>
              </w:numPr>
              <w:autoSpaceDE w:val="0"/>
              <w:autoSpaceDN w:val="0"/>
              <w:adjustRightInd w:val="0"/>
              <w:spacing w:after="147" w:line="240" w:lineRule="auto"/>
              <w:ind w:left="297" w:hanging="297"/>
              <w:rPr>
                <w:rFonts w:cs="Times New Roman"/>
              </w:rPr>
            </w:pPr>
            <w:r w:rsidRPr="007B70FF">
              <w:rPr>
                <w:rFonts w:cs="Times New Roman"/>
                <w:bCs/>
              </w:rPr>
              <w:t xml:space="preserve">Risks of complex or inadequate public procurement rules, which may impede efficient local procurement of goods and services, or even lead to sub-optimal local spending choices in order to circumvent the more burdensome aspects of the regulations. </w:t>
            </w:r>
          </w:p>
          <w:p w:rsidR="0024335C" w:rsidRPr="007B70FF" w:rsidRDefault="0024335C" w:rsidP="007B70FF">
            <w:pPr>
              <w:pStyle w:val="ListParagraph"/>
              <w:numPr>
                <w:ilvl w:val="0"/>
                <w:numId w:val="20"/>
              </w:numPr>
              <w:autoSpaceDE w:val="0"/>
              <w:autoSpaceDN w:val="0"/>
              <w:adjustRightInd w:val="0"/>
              <w:spacing w:after="0" w:line="240" w:lineRule="auto"/>
              <w:ind w:left="297" w:hanging="297"/>
            </w:pPr>
            <w:r w:rsidRPr="007B70FF">
              <w:rPr>
                <w:rFonts w:cs="Times New Roman"/>
                <w:bCs/>
                <w:i/>
              </w:rPr>
              <w:t>External scrutiny and audit</w:t>
            </w:r>
            <w:r w:rsidRPr="007B70FF">
              <w:rPr>
                <w:rFonts w:cs="Times New Roman"/>
                <w:bCs/>
              </w:rPr>
              <w:t xml:space="preserve"> – Does the program help establish the appropriate a</w:t>
            </w:r>
            <w:r w:rsidRPr="007B70FF">
              <w:rPr>
                <w:rFonts w:cs="Times New Roman"/>
              </w:rPr>
              <w:t>rrangements for scrutiny of local public finances and related accountability of local authorities?</w:t>
            </w:r>
          </w:p>
        </w:tc>
      </w:tr>
      <w:tr w:rsidR="0024335C" w:rsidRPr="007B70FF" w:rsidTr="00C45771">
        <w:tc>
          <w:tcPr>
            <w:tcW w:w="1863" w:type="dxa"/>
            <w:shd w:val="clear" w:color="auto" w:fill="auto"/>
          </w:tcPr>
          <w:p w:rsidR="0024335C" w:rsidRPr="007B70FF" w:rsidRDefault="0024335C" w:rsidP="00C45771">
            <w:pPr>
              <w:jc w:val="both"/>
            </w:pPr>
            <w:r w:rsidRPr="007B70FF">
              <w:lastRenderedPageBreak/>
              <w:t>Corruption/Fraud</w:t>
            </w:r>
          </w:p>
        </w:tc>
        <w:tc>
          <w:tcPr>
            <w:tcW w:w="2007" w:type="dxa"/>
            <w:shd w:val="clear" w:color="auto" w:fill="auto"/>
          </w:tcPr>
          <w:p w:rsidR="0024335C" w:rsidRPr="007B70FF" w:rsidRDefault="0024335C" w:rsidP="007B70FF">
            <w:pPr>
              <w:numPr>
                <w:ilvl w:val="0"/>
                <w:numId w:val="17"/>
              </w:numPr>
              <w:spacing w:after="0" w:line="240" w:lineRule="auto"/>
              <w:ind w:left="234" w:hanging="234"/>
            </w:pPr>
            <w:r w:rsidRPr="007B70FF">
              <w:t>Corruption &amp; Fraud</w:t>
            </w:r>
          </w:p>
        </w:tc>
        <w:tc>
          <w:tcPr>
            <w:tcW w:w="6318" w:type="dxa"/>
          </w:tcPr>
          <w:p w:rsidR="0024335C" w:rsidRPr="007B70FF" w:rsidRDefault="0024335C" w:rsidP="007B70FF">
            <w:pPr>
              <w:pStyle w:val="ListParagraph"/>
              <w:numPr>
                <w:ilvl w:val="0"/>
                <w:numId w:val="17"/>
              </w:numPr>
              <w:autoSpaceDE w:val="0"/>
              <w:autoSpaceDN w:val="0"/>
              <w:adjustRightInd w:val="0"/>
              <w:spacing w:after="0" w:line="240" w:lineRule="auto"/>
              <w:ind w:left="324" w:hanging="324"/>
            </w:pPr>
            <w:r w:rsidRPr="007B70FF">
              <w:t>Risk of elite capture of decentralized governance institutions and related suppression of social participation and auditing institutions leading to an increase in corruption.</w:t>
            </w:r>
          </w:p>
          <w:p w:rsidR="0024335C" w:rsidRPr="007B70FF" w:rsidRDefault="0024335C" w:rsidP="007B70FF">
            <w:pPr>
              <w:pStyle w:val="ListParagraph"/>
              <w:numPr>
                <w:ilvl w:val="0"/>
                <w:numId w:val="17"/>
              </w:numPr>
              <w:autoSpaceDE w:val="0"/>
              <w:autoSpaceDN w:val="0"/>
              <w:adjustRightInd w:val="0"/>
              <w:spacing w:after="0" w:line="240" w:lineRule="auto"/>
              <w:ind w:left="324" w:hanging="324"/>
            </w:pPr>
            <w:r w:rsidRPr="007B70FF">
              <w:rPr>
                <w:rFonts w:cs="CMR12"/>
              </w:rPr>
              <w:t xml:space="preserve">Risk that decentralization reforms (which may increase the opportunities for corruption) are not accompanies by an opening of the political system and a corresponding increase of local political competition (which makes it easier for citizens to detect corrupt officials). </w:t>
            </w:r>
          </w:p>
          <w:p w:rsidR="0024335C" w:rsidRPr="007B70FF" w:rsidRDefault="0024335C" w:rsidP="00C45771">
            <w:pPr>
              <w:autoSpaceDE w:val="0"/>
              <w:autoSpaceDN w:val="0"/>
              <w:adjustRightInd w:val="0"/>
              <w:spacing w:after="0" w:line="240" w:lineRule="auto"/>
            </w:pPr>
          </w:p>
        </w:tc>
      </w:tr>
    </w:tbl>
    <w:p w:rsidR="00B33D3B" w:rsidRPr="007B70FF" w:rsidRDefault="00B33D3B" w:rsidP="0060024D">
      <w:pPr>
        <w:autoSpaceDE w:val="0"/>
        <w:autoSpaceDN w:val="0"/>
        <w:adjustRightInd w:val="0"/>
        <w:spacing w:after="0" w:line="240" w:lineRule="auto"/>
        <w:rPr>
          <w:rFonts w:cs="PF Square Sans Pro Medium"/>
        </w:rPr>
      </w:pPr>
    </w:p>
    <w:p w:rsidR="00B33297" w:rsidRPr="007B70FF" w:rsidRDefault="00B33297" w:rsidP="0060024D">
      <w:pPr>
        <w:autoSpaceDE w:val="0"/>
        <w:autoSpaceDN w:val="0"/>
        <w:adjustRightInd w:val="0"/>
        <w:spacing w:after="0" w:line="240" w:lineRule="auto"/>
        <w:rPr>
          <w:rFonts w:cs="PF Square Sans Pro Medium"/>
        </w:rPr>
      </w:pPr>
    </w:p>
    <w:p w:rsidR="00B33297" w:rsidRDefault="00B33297" w:rsidP="0060024D">
      <w:pPr>
        <w:autoSpaceDE w:val="0"/>
        <w:autoSpaceDN w:val="0"/>
        <w:adjustRightInd w:val="0"/>
        <w:spacing w:after="0" w:line="240" w:lineRule="auto"/>
        <w:rPr>
          <w:rFonts w:cs="PF Square Sans Pro Medium"/>
        </w:rPr>
      </w:pPr>
    </w:p>
    <w:sectPr w:rsidR="00B33297" w:rsidSect="007B70FF">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FB9" w:rsidRDefault="009C3FB9" w:rsidP="00BC0EF7">
      <w:pPr>
        <w:spacing w:after="0" w:line="240" w:lineRule="auto"/>
      </w:pPr>
      <w:r>
        <w:separator/>
      </w:r>
    </w:p>
  </w:endnote>
  <w:endnote w:type="continuationSeparator" w:id="0">
    <w:p w:rsidR="009C3FB9" w:rsidRDefault="009C3FB9" w:rsidP="00BC0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C Square Sans Pro">
    <w:panose1 w:val="020B0506040000020004"/>
    <w:charset w:val="00"/>
    <w:family w:val="swiss"/>
    <w:pitch w:val="variable"/>
    <w:sig w:usb0="A00002BF" w:usb1="5000E0FB"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T15Ct00">
    <w:panose1 w:val="00000000000000000000"/>
    <w:charset w:val="00"/>
    <w:family w:val="auto"/>
    <w:notTrueType/>
    <w:pitch w:val="default"/>
    <w:sig w:usb0="00000003" w:usb1="00000000" w:usb2="00000000" w:usb3="00000000" w:csb0="00000001" w:csb1="00000000"/>
  </w:font>
  <w:font w:name="PF Square Sans Pro">
    <w:altName w:val="PF Square Sans Pro"/>
    <w:panose1 w:val="00000000000000000000"/>
    <w:charset w:val="00"/>
    <w:family w:val="swiss"/>
    <w:notTrueType/>
    <w:pitch w:val="default"/>
    <w:sig w:usb0="00000003" w:usb1="00000000" w:usb2="00000000" w:usb3="00000000" w:csb0="00000001" w:csb1="00000000"/>
  </w:font>
  <w:font w:name="PF Square Sans Pro Medium">
    <w:altName w:val="PF Square Sans Pro Medium"/>
    <w:panose1 w:val="00000000000000000000"/>
    <w:charset w:val="00"/>
    <w:family w:val="swiss"/>
    <w:notTrueType/>
    <w:pitch w:val="default"/>
    <w:sig w:usb0="00000003" w:usb1="00000000" w:usb2="00000000" w:usb3="00000000" w:csb0="00000001" w:csb1="00000000"/>
  </w:font>
  <w:font w:name="Franklin Gothic Book">
    <w:charset w:val="00"/>
    <w:family w:val="swiss"/>
    <w:pitch w:val="variable"/>
    <w:sig w:usb0="00000287" w:usb1="00000000" w:usb2="00000000" w:usb3="00000000" w:csb0="0000009F" w:csb1="00000000"/>
  </w:font>
  <w:font w:name="TTE2FF6F20t00">
    <w:altName w:val="Cambria"/>
    <w:panose1 w:val="00000000000000000000"/>
    <w:charset w:val="00"/>
    <w:family w:val="auto"/>
    <w:notTrueType/>
    <w:pitch w:val="default"/>
    <w:sig w:usb0="00000003" w:usb1="00000000" w:usb2="00000000" w:usb3="00000000" w:csb0="00000001" w:csb1="00000000"/>
  </w:font>
  <w:font w:name="Myriad-Roman">
    <w:panose1 w:val="00000000000000000000"/>
    <w:charset w:val="00"/>
    <w:family w:val="swiss"/>
    <w:notTrueType/>
    <w:pitch w:val="default"/>
    <w:sig w:usb0="00000003" w:usb1="00000000" w:usb2="00000000" w:usb3="00000000" w:csb0="00000001" w:csb1="00000000"/>
  </w:font>
  <w:font w:name="CMR12">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521941"/>
      <w:docPartObj>
        <w:docPartGallery w:val="Page Numbers (Bottom of Page)"/>
        <w:docPartUnique/>
      </w:docPartObj>
    </w:sdtPr>
    <w:sdtEndPr>
      <w:rPr>
        <w:noProof/>
      </w:rPr>
    </w:sdtEndPr>
    <w:sdtContent>
      <w:p w:rsidR="009C3FB9" w:rsidRDefault="009C3FB9">
        <w:pPr>
          <w:pStyle w:val="Footer"/>
          <w:jc w:val="right"/>
        </w:pPr>
        <w:r>
          <w:fldChar w:fldCharType="begin"/>
        </w:r>
        <w:r>
          <w:instrText xml:space="preserve"> PAGE   \* MERGEFORMAT </w:instrText>
        </w:r>
        <w:r>
          <w:fldChar w:fldCharType="separate"/>
        </w:r>
        <w:r w:rsidR="0027178A">
          <w:rPr>
            <w:noProof/>
          </w:rPr>
          <w:t>1</w:t>
        </w:r>
        <w:r>
          <w:rPr>
            <w:noProof/>
          </w:rPr>
          <w:fldChar w:fldCharType="end"/>
        </w:r>
      </w:p>
    </w:sdtContent>
  </w:sdt>
  <w:p w:rsidR="009C3FB9" w:rsidRDefault="009C3F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FB9" w:rsidRDefault="009C3FB9">
    <w:pPr>
      <w:pStyle w:val="Footer"/>
      <w:jc w:val="right"/>
    </w:pPr>
  </w:p>
  <w:p w:rsidR="009C3FB9" w:rsidRDefault="009C3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FB9" w:rsidRDefault="009C3FB9" w:rsidP="00BC0EF7">
      <w:pPr>
        <w:spacing w:after="0" w:line="240" w:lineRule="auto"/>
      </w:pPr>
      <w:r>
        <w:separator/>
      </w:r>
    </w:p>
  </w:footnote>
  <w:footnote w:type="continuationSeparator" w:id="0">
    <w:p w:rsidR="009C3FB9" w:rsidRDefault="009C3FB9" w:rsidP="00BC0EF7">
      <w:pPr>
        <w:spacing w:after="0" w:line="240" w:lineRule="auto"/>
      </w:pPr>
      <w:r>
        <w:continuationSeparator/>
      </w:r>
    </w:p>
  </w:footnote>
  <w:footnote w:id="1">
    <w:p w:rsidR="009C3FB9" w:rsidRPr="00E5649F" w:rsidRDefault="009C3FB9" w:rsidP="003912C3">
      <w:pPr>
        <w:pStyle w:val="FootnoteText"/>
        <w:rPr>
          <w:lang w:val="en-GB"/>
        </w:rPr>
      </w:pPr>
      <w:r w:rsidRPr="00E5649F">
        <w:rPr>
          <w:rStyle w:val="FootnoteReference"/>
          <w:lang w:val="en-GB"/>
        </w:rPr>
        <w:footnoteRef/>
      </w:r>
      <w:r w:rsidRPr="00E5649F">
        <w:rPr>
          <w:lang w:val="en-GB"/>
        </w:rPr>
        <w:t xml:space="preserve"> A decentralized country is defined as one that has chosen to undertake a decentralization reform process of variable scope and depth, finds itself at different stages of such processes, and maintains some commitment to the reform process. After more than two decades of worl</w:t>
      </w:r>
      <w:r>
        <w:rPr>
          <w:lang w:val="en-GB"/>
        </w:rPr>
        <w:t>d</w:t>
      </w:r>
      <w:r w:rsidRPr="00E5649F">
        <w:rPr>
          <w:lang w:val="en-GB"/>
        </w:rPr>
        <w:t xml:space="preserve">wide decentralization reforms, a large number of EU partner countries actually fit this broad definition </w:t>
      </w:r>
    </w:p>
  </w:footnote>
  <w:footnote w:id="2">
    <w:p w:rsidR="009C3FB9" w:rsidRPr="0012205F" w:rsidRDefault="009C3FB9" w:rsidP="003912C3">
      <w:pPr>
        <w:pStyle w:val="FootnoteText"/>
      </w:pPr>
      <w:r w:rsidRPr="00F36E1C">
        <w:rPr>
          <w:rStyle w:val="FootnoteReference"/>
        </w:rPr>
        <w:footnoteRef/>
      </w:r>
      <w:r w:rsidRPr="00F36E1C">
        <w:t xml:space="preserve">  See ODI-CAPE (2011) ODI’s </w:t>
      </w:r>
      <w:r w:rsidRPr="00F36E1C">
        <w:rPr>
          <w:u w:val="single"/>
        </w:rPr>
        <w:t>Response to the EC Green Paper on the Future of EU Budget Support to Third Countries</w:t>
      </w:r>
      <w:r w:rsidRPr="00F36E1C">
        <w:t xml:space="preserve">. On Budget Support and the role of local authorities as services delivery channels, see in ODI (2010) </w:t>
      </w:r>
      <w:r w:rsidRPr="00F36E1C">
        <w:rPr>
          <w:u w:val="single"/>
        </w:rPr>
        <w:t>Sector Budget Support in Practice</w:t>
      </w:r>
      <w:r w:rsidRPr="00F36E1C">
        <w:t xml:space="preserve"> , Synthesis Report  </w:t>
      </w:r>
    </w:p>
  </w:footnote>
  <w:footnote w:id="3">
    <w:p w:rsidR="009C3FB9" w:rsidRPr="0012205F" w:rsidRDefault="009C3FB9" w:rsidP="003912C3">
      <w:pPr>
        <w:pStyle w:val="FootnoteText"/>
      </w:pPr>
      <w:r w:rsidRPr="0012205F">
        <w:rPr>
          <w:rStyle w:val="FootnoteReference"/>
        </w:rPr>
        <w:footnoteRef/>
      </w:r>
      <w:r w:rsidRPr="0012205F">
        <w:t xml:space="preserve">  COM (2011)638 final of 13/10/2011</w:t>
      </w:r>
    </w:p>
  </w:footnote>
  <w:footnote w:id="4">
    <w:p w:rsidR="009C3FB9" w:rsidRPr="00EE49E6" w:rsidRDefault="009C3FB9" w:rsidP="003912C3">
      <w:pPr>
        <w:pStyle w:val="FootnoteText"/>
      </w:pPr>
      <w:r w:rsidRPr="0012205F">
        <w:rPr>
          <w:rStyle w:val="FootnoteReference"/>
        </w:rPr>
        <w:footnoteRef/>
      </w:r>
      <w:r w:rsidRPr="0012205F">
        <w:t xml:space="preserve">  COM (2013)280 final of 15/05/2013</w:t>
      </w:r>
    </w:p>
  </w:footnote>
  <w:footnote w:id="5">
    <w:p w:rsidR="009C3FB9" w:rsidRDefault="009C3FB9" w:rsidP="003912C3">
      <w:pPr>
        <w:pStyle w:val="FootnoteText"/>
      </w:pPr>
      <w:r w:rsidRPr="00F075A9">
        <w:rPr>
          <w:rStyle w:val="FootnoteReference"/>
        </w:rPr>
        <w:footnoteRef/>
      </w:r>
      <w:r w:rsidRPr="00F075A9">
        <w:t xml:space="preserve"> </w:t>
      </w:r>
      <w:proofErr w:type="gramStart"/>
      <w:r w:rsidRPr="00F075A9">
        <w:t>Understood as a necessary complement to “national” development efforts.</w:t>
      </w:r>
      <w:proofErr w:type="gramEnd"/>
      <w:r w:rsidRPr="00F075A9">
        <w:t xml:space="preserve"> On the definition of “local development”  see the new </w:t>
      </w:r>
      <w:r w:rsidRPr="00F075A9">
        <w:rPr>
          <w:i/>
        </w:rPr>
        <w:t>E</w:t>
      </w:r>
      <w:r>
        <w:rPr>
          <w:i/>
        </w:rPr>
        <w:t>U</w:t>
      </w:r>
      <w:r w:rsidRPr="00F075A9">
        <w:rPr>
          <w:i/>
        </w:rPr>
        <w:t xml:space="preserve"> guidance on Supporting decentralization-Local Governance and Local Development</w:t>
      </w:r>
      <w:r w:rsidRPr="00F075A9">
        <w:t xml:space="preserve"> (forthcoming in 2015)</w:t>
      </w:r>
    </w:p>
  </w:footnote>
  <w:footnote w:id="6">
    <w:p w:rsidR="009C3FB9" w:rsidRDefault="009C3FB9" w:rsidP="003912C3">
      <w:pPr>
        <w:pStyle w:val="FootnoteText"/>
        <w:rPr>
          <w:rFonts w:cs="TimesNewRoman"/>
        </w:rPr>
      </w:pPr>
      <w:r w:rsidRPr="005C6C13">
        <w:rPr>
          <w:rStyle w:val="FootnoteReference"/>
        </w:rPr>
        <w:footnoteRef/>
      </w:r>
      <w:r w:rsidRPr="005C6C13">
        <w:t xml:space="preserve"> This note adopts the definition of “place-based policy” recently advanced in an independent report commissioned by the DG-REGIO “</w:t>
      </w:r>
      <w:r w:rsidRPr="005C6C13">
        <w:rPr>
          <w:rFonts w:cs="TimesNewRoman"/>
        </w:rPr>
        <w:t xml:space="preserve">A </w:t>
      </w:r>
      <w:r w:rsidRPr="005C6C13">
        <w:rPr>
          <w:rFonts w:cs="TimesNewRoman,Italic"/>
          <w:iCs/>
        </w:rPr>
        <w:t xml:space="preserve">place-based policy </w:t>
      </w:r>
      <w:r w:rsidRPr="005C6C13">
        <w:rPr>
          <w:rFonts w:cs="TimesNewRoman"/>
        </w:rPr>
        <w:t xml:space="preserve">is a long-term strategy aimed at tackling persistent underutilization of potential and reducing persistent social exclusion in specific places through external interventions and multilevel governance. It promotes the supply of integrated goods and services tailored to contexts, and it triggers institutional changes”. </w:t>
      </w:r>
    </w:p>
    <w:p w:rsidR="009C3FB9" w:rsidRDefault="009C3FB9" w:rsidP="003912C3">
      <w:pPr>
        <w:pStyle w:val="FootnoteText"/>
      </w:pPr>
      <w:r w:rsidRPr="005C6C13">
        <w:t xml:space="preserve">See: F. </w:t>
      </w:r>
      <w:proofErr w:type="spellStart"/>
      <w:r w:rsidRPr="005C6C13">
        <w:t>Barca</w:t>
      </w:r>
      <w:proofErr w:type="spellEnd"/>
      <w:r w:rsidRPr="005C6C13">
        <w:t xml:space="preserve"> (2009) An Agenda for reformed cohesion </w:t>
      </w:r>
      <w:proofErr w:type="gramStart"/>
      <w:r w:rsidRPr="005C6C13">
        <w:t>policy :</w:t>
      </w:r>
      <w:proofErr w:type="gramEnd"/>
      <w:r w:rsidRPr="005C6C13">
        <w:t xml:space="preserve"> A place-based approach to meeting EU challenges and expectations.</w:t>
      </w:r>
      <w:r>
        <w:t xml:space="preserve"> </w:t>
      </w:r>
      <w:hyperlink r:id="rId1" w:history="1">
        <w:r w:rsidRPr="00CB1603">
          <w:rPr>
            <w:rStyle w:val="Hyperlink"/>
            <w:rFonts w:cs="TimesNewRoman"/>
          </w:rPr>
          <w:t>http://ec.europa.eu/regional_policy/archive/policy/future/pdf/report_barca_v0306.pdf</w:t>
        </w:r>
      </w:hyperlink>
      <w:r>
        <w:t xml:space="preserve"> </w:t>
      </w:r>
      <w:r w:rsidRPr="005C6C13">
        <w:t xml:space="preserve"> </w:t>
      </w:r>
    </w:p>
    <w:p w:rsidR="009C3FB9" w:rsidRPr="005C6C13" w:rsidRDefault="009C3FB9" w:rsidP="003912C3">
      <w:pPr>
        <w:pStyle w:val="FootnoteText"/>
      </w:pPr>
    </w:p>
  </w:footnote>
  <w:footnote w:id="7">
    <w:p w:rsidR="009C3FB9" w:rsidRDefault="009C3FB9">
      <w:pPr>
        <w:pStyle w:val="FootnoteText"/>
      </w:pPr>
      <w:r>
        <w:rPr>
          <w:rStyle w:val="FootnoteReference"/>
        </w:rPr>
        <w:footnoteRef/>
      </w:r>
      <w:r>
        <w:t xml:space="preserve"> Typical “transversal” policies, according to the 2012 BS guidelines are  “public sector reform policies”, of which “decentralization” is obviously a major example </w:t>
      </w:r>
    </w:p>
  </w:footnote>
  <w:footnote w:id="8">
    <w:p w:rsidR="009C3FB9" w:rsidRDefault="009C3FB9">
      <w:pPr>
        <w:pStyle w:val="FootnoteText"/>
      </w:pPr>
      <w:r>
        <w:rPr>
          <w:rStyle w:val="FootnoteReference"/>
        </w:rPr>
        <w:footnoteRef/>
      </w:r>
      <w:r>
        <w:t xml:space="preserve"> See Chapter 2 in the “Supporting decentralization reforms and local/territorial development in partner countries" (forthcoming)</w:t>
      </w:r>
    </w:p>
  </w:footnote>
  <w:footnote w:id="9">
    <w:p w:rsidR="009C3FB9" w:rsidRDefault="009C3FB9">
      <w:pPr>
        <w:pStyle w:val="FootnoteText"/>
      </w:pPr>
      <w:r>
        <w:rPr>
          <w:rStyle w:val="FootnoteReference"/>
        </w:rPr>
        <w:footnoteRef/>
      </w:r>
      <w:r>
        <w:t xml:space="preserve"> </w:t>
      </w:r>
      <w:r w:rsidRPr="007F5655">
        <w:t>PEFA, Supplementary Guidelines for the application of the PEFA Framework to S</w:t>
      </w:r>
      <w:r>
        <w:t>ub-</w:t>
      </w:r>
      <w:r w:rsidRPr="007F5655">
        <w:t>N</w:t>
      </w:r>
      <w:r>
        <w:t xml:space="preserve">ational </w:t>
      </w:r>
      <w:r w:rsidRPr="007F5655">
        <w:t>G</w:t>
      </w:r>
      <w:r>
        <w:t>overnments, January, 2013</w:t>
      </w:r>
      <w:r w:rsidRPr="007F5655">
        <w:t xml:space="preserve"> </w:t>
      </w:r>
    </w:p>
  </w:footnote>
  <w:footnote w:id="10">
    <w:p w:rsidR="009C3FB9" w:rsidRPr="006D20DE" w:rsidRDefault="009C3FB9">
      <w:pPr>
        <w:pStyle w:val="FootnoteText"/>
      </w:pPr>
      <w:r>
        <w:rPr>
          <w:rStyle w:val="FootnoteReference"/>
        </w:rPr>
        <w:footnoteRef/>
      </w:r>
      <w:r w:rsidRPr="006D20DE">
        <w:t>http://web.worldbank.org/WBSITE/EXTERNAL/TOPICS/EXTSOCIALDEVELOPMENT/EXTPCENG/0,,contentMDK:20507700~pagePK:148956~piPK:216618~theSitePK:410306,00.html</w:t>
      </w:r>
    </w:p>
  </w:footnote>
  <w:footnote w:id="11">
    <w:p w:rsidR="009C3FB9" w:rsidRPr="009B4AE6" w:rsidRDefault="009C3FB9">
      <w:pPr>
        <w:pStyle w:val="FootnoteText"/>
      </w:pPr>
      <w:r>
        <w:rPr>
          <w:rStyle w:val="FootnoteReference"/>
        </w:rPr>
        <w:footnoteRef/>
      </w:r>
      <w:r w:rsidRPr="009B4AE6">
        <w:t xml:space="preserve">  </w:t>
      </w:r>
      <w:r w:rsidRPr="007F5655">
        <w:t>PEFA, Supplementary Guidelines for the application of the PEFA Framework to S</w:t>
      </w:r>
      <w:r>
        <w:t>ub-</w:t>
      </w:r>
      <w:r w:rsidRPr="007F5655">
        <w:t>N</w:t>
      </w:r>
      <w:r>
        <w:t xml:space="preserve">ational </w:t>
      </w:r>
      <w:r w:rsidRPr="007F5655">
        <w:t>G</w:t>
      </w:r>
      <w:r>
        <w:t>overnments, January, 2013,</w:t>
      </w:r>
      <w:r w:rsidRPr="009B4AE6">
        <w:rPr>
          <w:iCs/>
        </w:rPr>
        <w:t xml:space="preserve"> page 7</w:t>
      </w:r>
    </w:p>
  </w:footnote>
  <w:footnote w:id="12">
    <w:p w:rsidR="009C3FB9" w:rsidRPr="001C0DE3" w:rsidRDefault="009C3FB9">
      <w:pPr>
        <w:pStyle w:val="FootnoteText"/>
      </w:pPr>
      <w:r w:rsidRPr="001C0DE3">
        <w:rPr>
          <w:rStyle w:val="FootnoteReference"/>
        </w:rPr>
        <w:footnoteRef/>
      </w:r>
      <w:r w:rsidRPr="001C0DE3">
        <w:t xml:space="preserve"> See, for example the ECOLOC program in West Africa</w:t>
      </w:r>
    </w:p>
  </w:footnote>
  <w:footnote w:id="13">
    <w:p w:rsidR="009C3FB9" w:rsidRPr="00A0433E" w:rsidRDefault="009C3FB9">
      <w:pPr>
        <w:pStyle w:val="FootnoteText"/>
      </w:pPr>
      <w:r w:rsidRPr="001C0DE3">
        <w:rPr>
          <w:rStyle w:val="FootnoteReference"/>
        </w:rPr>
        <w:footnoteRef/>
      </w:r>
      <w:r w:rsidRPr="001C0DE3">
        <w:t xml:space="preserve"> For a comparative review of local governance assessment frameworks , see:  UNDP (2009), </w:t>
      </w:r>
      <w:r w:rsidRPr="001C0DE3">
        <w:rPr>
          <w:u w:val="single"/>
        </w:rPr>
        <w:t>A User’s Guide to Measuring Local Governance</w:t>
      </w:r>
      <w:r w:rsidRPr="001C0DE3">
        <w:t xml:space="preserve"> , Oslo Governance Center  </w:t>
      </w:r>
      <w:hyperlink r:id="rId2" w:history="1">
        <w:r w:rsidRPr="001C0DE3">
          <w:rPr>
            <w:rStyle w:val="Hyperlink"/>
            <w:rFonts w:cs="Myriad-Roman"/>
            <w:color w:val="002060"/>
          </w:rPr>
          <w:t>http://www.undp.org/content/undp/en/home/librarypage/democratic-governance/oslo_governance_centre/governance_assessments/a-users-guide-to-measuring-local-governance-.html</w:t>
        </w:r>
      </w:hyperlink>
      <w:r w:rsidRPr="001C0DE3">
        <w:rPr>
          <w:rFonts w:cs="Myriad-Roman"/>
        </w:rPr>
        <w:t xml:space="preserve"> . A decentralization Diagnostic Framework is also currently being developed by DEVCO-B2 (forthcoming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FB9" w:rsidRPr="000B7C6A" w:rsidRDefault="009C3FB9" w:rsidP="002836CA">
    <w:pPr>
      <w:pStyle w:val="ECDPMreporttitle"/>
      <w:spacing w:after="240"/>
      <w:jc w:val="both"/>
      <w:rPr>
        <w:rFonts w:asciiTheme="minorHAnsi" w:hAnsiTheme="minorHAnsi"/>
        <w:color w:val="0070C0"/>
        <w:sz w:val="20"/>
        <w:szCs w:val="20"/>
      </w:rPr>
    </w:pPr>
    <w:r w:rsidRPr="000B7C6A">
      <w:rPr>
        <w:rFonts w:asciiTheme="minorHAnsi" w:hAnsiTheme="minorHAnsi"/>
        <w:noProof/>
        <w:color w:val="0070C0"/>
        <w:sz w:val="20"/>
        <w:szCs w:val="20"/>
        <w:lang w:eastAsia="en-GB"/>
      </w:rPr>
      <mc:AlternateContent>
        <mc:Choice Requires="wps">
          <w:drawing>
            <wp:anchor distT="0" distB="0" distL="114300" distR="114300" simplePos="0" relativeHeight="251659264" behindDoc="0" locked="0" layoutInCell="1" allowOverlap="1" wp14:anchorId="1BAFFC56" wp14:editId="497027F6">
              <wp:simplePos x="0" y="0"/>
              <wp:positionH relativeFrom="column">
                <wp:posOffset>0</wp:posOffset>
              </wp:positionH>
              <wp:positionV relativeFrom="paragraph">
                <wp:posOffset>228600</wp:posOffset>
              </wp:positionV>
              <wp:extent cx="6457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57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8pt" to="50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" strokecolor="#4579b8 [3044]"/>
          </w:pict>
        </mc:Fallback>
      </mc:AlternateContent>
    </w:r>
    <w:r w:rsidRPr="000B7C6A">
      <w:rPr>
        <w:rFonts w:asciiTheme="minorHAnsi" w:hAnsiTheme="minorHAnsi"/>
        <w:color w:val="0070C0"/>
        <w:sz w:val="20"/>
        <w:szCs w:val="20"/>
      </w:rPr>
      <w:t>Providing EU Budget Support In Decentrali</w:t>
    </w:r>
    <w:r>
      <w:rPr>
        <w:rFonts w:asciiTheme="minorHAnsi" w:hAnsiTheme="minorHAnsi"/>
        <w:color w:val="0070C0"/>
        <w:sz w:val="20"/>
        <w:szCs w:val="20"/>
      </w:rPr>
      <w:t>zed Contexts</w:t>
    </w:r>
  </w:p>
  <w:p w:rsidR="009C3FB9" w:rsidRDefault="009C3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5"/>
    <w:lvl w:ilvl="0">
      <w:numFmt w:val="bullet"/>
      <w:lvlText w:val="Ø"/>
      <w:lvlJc w:val="left"/>
      <w:pPr>
        <w:tabs>
          <w:tab w:val="num" w:pos="624"/>
        </w:tabs>
        <w:ind w:left="624" w:hanging="511"/>
      </w:pPr>
      <w:rPr>
        <w:rFonts w:ascii="Wingdings" w:hAnsi="Wingdings"/>
      </w:rPr>
    </w:lvl>
  </w:abstractNum>
  <w:abstractNum w:abstractNumId="1">
    <w:nsid w:val="03C0015E"/>
    <w:multiLevelType w:val="hybridMultilevel"/>
    <w:tmpl w:val="3626D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051385"/>
    <w:multiLevelType w:val="hybridMultilevel"/>
    <w:tmpl w:val="1E9C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078C3633"/>
    <w:multiLevelType w:val="hybridMultilevel"/>
    <w:tmpl w:val="EC58883E"/>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8AC4F57"/>
    <w:multiLevelType w:val="hybridMultilevel"/>
    <w:tmpl w:val="11240818"/>
    <w:lvl w:ilvl="0" w:tplc="2EA279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EF2BAC"/>
    <w:multiLevelType w:val="hybridMultilevel"/>
    <w:tmpl w:val="32541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3D02A1"/>
    <w:multiLevelType w:val="multilevel"/>
    <w:tmpl w:val="10E2F9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0FD752E7"/>
    <w:multiLevelType w:val="hybridMultilevel"/>
    <w:tmpl w:val="AB22D9DE"/>
    <w:lvl w:ilvl="0" w:tplc="700E35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860FEC"/>
    <w:multiLevelType w:val="hybridMultilevel"/>
    <w:tmpl w:val="062C0A94"/>
    <w:lvl w:ilvl="0" w:tplc="2EA279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10E0075"/>
    <w:multiLevelType w:val="hybridMultilevel"/>
    <w:tmpl w:val="47AACCEE"/>
    <w:lvl w:ilvl="0" w:tplc="2EA279B2">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173747"/>
    <w:multiLevelType w:val="hybridMultilevel"/>
    <w:tmpl w:val="89BC7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775AF4"/>
    <w:multiLevelType w:val="hybridMultilevel"/>
    <w:tmpl w:val="1F6E1C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15410578"/>
    <w:multiLevelType w:val="hybridMultilevel"/>
    <w:tmpl w:val="F3A6A734"/>
    <w:lvl w:ilvl="0" w:tplc="2EA279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5562A3A"/>
    <w:multiLevelType w:val="hybridMultilevel"/>
    <w:tmpl w:val="139CB1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5F50466"/>
    <w:multiLevelType w:val="hybridMultilevel"/>
    <w:tmpl w:val="877E8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6C06AB4"/>
    <w:multiLevelType w:val="hybridMultilevel"/>
    <w:tmpl w:val="6E86A2DA"/>
    <w:lvl w:ilvl="0" w:tplc="2EA279B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19B90CFD"/>
    <w:multiLevelType w:val="hybridMultilevel"/>
    <w:tmpl w:val="C74AF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C940821"/>
    <w:multiLevelType w:val="hybridMultilevel"/>
    <w:tmpl w:val="1A1A9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D573EC6"/>
    <w:multiLevelType w:val="hybridMultilevel"/>
    <w:tmpl w:val="FDD2FE08"/>
    <w:lvl w:ilvl="0" w:tplc="5A5A8350">
      <w:start w:val="1"/>
      <w:numFmt w:val="bullet"/>
      <w:pStyle w:val="Bulletpoint1"/>
      <w:lvlText w:val=""/>
      <w:lvlJc w:val="left"/>
      <w:pPr>
        <w:ind w:left="598" w:hanging="360"/>
      </w:pPr>
      <w:rPr>
        <w:rFonts w:ascii="Symbol" w:hAnsi="Symbol" w:hint="default"/>
        <w:color w:val="95C15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4F61841"/>
    <w:multiLevelType w:val="hybridMultilevel"/>
    <w:tmpl w:val="4076602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59628AC"/>
    <w:multiLevelType w:val="hybridMultilevel"/>
    <w:tmpl w:val="057252DE"/>
    <w:lvl w:ilvl="0" w:tplc="B8D6A12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5A679C7"/>
    <w:multiLevelType w:val="hybridMultilevel"/>
    <w:tmpl w:val="4D703DE0"/>
    <w:lvl w:ilvl="0" w:tplc="2EA279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5FC6446"/>
    <w:multiLevelType w:val="hybridMultilevel"/>
    <w:tmpl w:val="C5B2D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7483EAA"/>
    <w:multiLevelType w:val="multilevel"/>
    <w:tmpl w:val="8A66064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8493917"/>
    <w:multiLevelType w:val="hybridMultilevel"/>
    <w:tmpl w:val="E1D40F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2D8C0686"/>
    <w:multiLevelType w:val="hybridMultilevel"/>
    <w:tmpl w:val="DBD8A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FFF0E36"/>
    <w:multiLevelType w:val="hybridMultilevel"/>
    <w:tmpl w:val="AA865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25233A7"/>
    <w:multiLevelType w:val="hybridMultilevel"/>
    <w:tmpl w:val="9E4C67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333839C8"/>
    <w:multiLevelType w:val="hybridMultilevel"/>
    <w:tmpl w:val="E2FEC4D0"/>
    <w:lvl w:ilvl="0" w:tplc="2EA279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4BD7148"/>
    <w:multiLevelType w:val="hybridMultilevel"/>
    <w:tmpl w:val="63648A42"/>
    <w:lvl w:ilvl="0" w:tplc="2EA279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52335FB"/>
    <w:multiLevelType w:val="hybridMultilevel"/>
    <w:tmpl w:val="3CE81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71D0462"/>
    <w:multiLevelType w:val="hybridMultilevel"/>
    <w:tmpl w:val="88EC55CA"/>
    <w:lvl w:ilvl="0" w:tplc="2EA279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A40653B"/>
    <w:multiLevelType w:val="hybridMultilevel"/>
    <w:tmpl w:val="C1FEDC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3B0A35B8"/>
    <w:multiLevelType w:val="hybridMultilevel"/>
    <w:tmpl w:val="3FBEAFF8"/>
    <w:lvl w:ilvl="0" w:tplc="2EA279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12440E2"/>
    <w:multiLevelType w:val="hybridMultilevel"/>
    <w:tmpl w:val="D108C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3AC4F0F"/>
    <w:multiLevelType w:val="hybridMultilevel"/>
    <w:tmpl w:val="D14AA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4874304"/>
    <w:multiLevelType w:val="hybridMultilevel"/>
    <w:tmpl w:val="91FA8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5BB4BDB"/>
    <w:multiLevelType w:val="hybridMultilevel"/>
    <w:tmpl w:val="C1267EB8"/>
    <w:lvl w:ilvl="0" w:tplc="2EA279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7664712"/>
    <w:multiLevelType w:val="hybridMultilevel"/>
    <w:tmpl w:val="7B2E13FC"/>
    <w:lvl w:ilvl="0" w:tplc="2EA279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86F09B9"/>
    <w:multiLevelType w:val="hybridMultilevel"/>
    <w:tmpl w:val="410032F6"/>
    <w:lvl w:ilvl="0" w:tplc="2EA279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C1B7B0F"/>
    <w:multiLevelType w:val="hybridMultilevel"/>
    <w:tmpl w:val="0B4266EA"/>
    <w:lvl w:ilvl="0" w:tplc="700E35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0701895"/>
    <w:multiLevelType w:val="hybridMultilevel"/>
    <w:tmpl w:val="75A8287C"/>
    <w:lvl w:ilvl="0" w:tplc="B8D6A126">
      <w:start w:val="1"/>
      <w:numFmt w:val="bullet"/>
      <w:lvlText w:val="−"/>
      <w:lvlJc w:val="left"/>
      <w:pPr>
        <w:ind w:left="1800" w:hanging="360"/>
      </w:pPr>
      <w:rPr>
        <w:rFonts w:ascii="Times New Roman" w:hAnsi="Times New Roman"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2">
    <w:nsid w:val="5A83293F"/>
    <w:multiLevelType w:val="hybridMultilevel"/>
    <w:tmpl w:val="409CF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B0E7D98"/>
    <w:multiLevelType w:val="hybridMultilevel"/>
    <w:tmpl w:val="250E043C"/>
    <w:lvl w:ilvl="0" w:tplc="2EA279B2">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B5A5DE7"/>
    <w:multiLevelType w:val="hybridMultilevel"/>
    <w:tmpl w:val="AD9014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2744C79"/>
    <w:multiLevelType w:val="hybridMultilevel"/>
    <w:tmpl w:val="ECB46F2C"/>
    <w:lvl w:ilvl="0" w:tplc="2EA279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2D85036"/>
    <w:multiLevelType w:val="hybridMultilevel"/>
    <w:tmpl w:val="FF4CA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638E08A4"/>
    <w:multiLevelType w:val="hybridMultilevel"/>
    <w:tmpl w:val="E3943072"/>
    <w:lvl w:ilvl="0" w:tplc="2EA279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43B7073"/>
    <w:multiLevelType w:val="hybridMultilevel"/>
    <w:tmpl w:val="5F384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8CF12E2"/>
    <w:multiLevelType w:val="hybridMultilevel"/>
    <w:tmpl w:val="787E0ECC"/>
    <w:lvl w:ilvl="0" w:tplc="2EA279B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CFC5281"/>
    <w:multiLevelType w:val="hybridMultilevel"/>
    <w:tmpl w:val="B58A0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F9E5D5A"/>
    <w:multiLevelType w:val="hybridMultilevel"/>
    <w:tmpl w:val="FEAE09A0"/>
    <w:lvl w:ilvl="0" w:tplc="2EA279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1BC1120"/>
    <w:multiLevelType w:val="hybridMultilevel"/>
    <w:tmpl w:val="E612D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1DA081F"/>
    <w:multiLevelType w:val="hybridMultilevel"/>
    <w:tmpl w:val="74E4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51157D9"/>
    <w:multiLevelType w:val="hybridMultilevel"/>
    <w:tmpl w:val="63ECB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74730D7"/>
    <w:multiLevelType w:val="hybridMultilevel"/>
    <w:tmpl w:val="B590D90E"/>
    <w:lvl w:ilvl="0" w:tplc="2EA279B2">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6C9ABB56">
      <w:start w:val="1"/>
      <w:numFmt w:val="lowerRoman"/>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A6E2690"/>
    <w:multiLevelType w:val="hybridMultilevel"/>
    <w:tmpl w:val="36A85D78"/>
    <w:lvl w:ilvl="0" w:tplc="2EA279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A7D611F"/>
    <w:multiLevelType w:val="hybridMultilevel"/>
    <w:tmpl w:val="B0CCF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7CF51DA1"/>
    <w:multiLevelType w:val="hybridMultilevel"/>
    <w:tmpl w:val="AE1AAB5C"/>
    <w:lvl w:ilvl="0" w:tplc="2EA279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7"/>
  </w:num>
  <w:num w:numId="3">
    <w:abstractNumId w:val="45"/>
  </w:num>
  <w:num w:numId="4">
    <w:abstractNumId w:val="49"/>
  </w:num>
  <w:num w:numId="5">
    <w:abstractNumId w:val="29"/>
  </w:num>
  <w:num w:numId="6">
    <w:abstractNumId w:val="8"/>
  </w:num>
  <w:num w:numId="7">
    <w:abstractNumId w:val="28"/>
  </w:num>
  <w:num w:numId="8">
    <w:abstractNumId w:val="4"/>
  </w:num>
  <w:num w:numId="9">
    <w:abstractNumId w:val="12"/>
  </w:num>
  <w:num w:numId="10">
    <w:abstractNumId w:val="38"/>
  </w:num>
  <w:num w:numId="11">
    <w:abstractNumId w:val="43"/>
  </w:num>
  <w:num w:numId="12">
    <w:abstractNumId w:val="55"/>
  </w:num>
  <w:num w:numId="13">
    <w:abstractNumId w:val="9"/>
  </w:num>
  <w:num w:numId="14">
    <w:abstractNumId w:val="56"/>
  </w:num>
  <w:num w:numId="15">
    <w:abstractNumId w:val="40"/>
  </w:num>
  <w:num w:numId="16">
    <w:abstractNumId w:val="7"/>
  </w:num>
  <w:num w:numId="17">
    <w:abstractNumId w:val="39"/>
  </w:num>
  <w:num w:numId="18">
    <w:abstractNumId w:val="51"/>
  </w:num>
  <w:num w:numId="19">
    <w:abstractNumId w:val="58"/>
  </w:num>
  <w:num w:numId="20">
    <w:abstractNumId w:val="37"/>
  </w:num>
  <w:num w:numId="21">
    <w:abstractNumId w:val="33"/>
  </w:num>
  <w:num w:numId="22">
    <w:abstractNumId w:val="23"/>
  </w:num>
  <w:num w:numId="23">
    <w:abstractNumId w:val="31"/>
  </w:num>
  <w:num w:numId="24">
    <w:abstractNumId w:val="21"/>
  </w:num>
  <w:num w:numId="25">
    <w:abstractNumId w:val="15"/>
  </w:num>
  <w:num w:numId="26">
    <w:abstractNumId w:val="32"/>
  </w:num>
  <w:num w:numId="27">
    <w:abstractNumId w:val="27"/>
  </w:num>
  <w:num w:numId="28">
    <w:abstractNumId w:val="11"/>
  </w:num>
  <w:num w:numId="29">
    <w:abstractNumId w:val="24"/>
  </w:num>
  <w:num w:numId="30">
    <w:abstractNumId w:val="3"/>
  </w:num>
  <w:num w:numId="31">
    <w:abstractNumId w:val="18"/>
  </w:num>
  <w:num w:numId="32">
    <w:abstractNumId w:val="20"/>
  </w:num>
  <w:num w:numId="33">
    <w:abstractNumId w:val="41"/>
  </w:num>
  <w:num w:numId="34">
    <w:abstractNumId w:val="13"/>
  </w:num>
  <w:num w:numId="35">
    <w:abstractNumId w:val="36"/>
  </w:num>
  <w:num w:numId="36">
    <w:abstractNumId w:val="52"/>
  </w:num>
  <w:num w:numId="37">
    <w:abstractNumId w:val="42"/>
  </w:num>
  <w:num w:numId="38">
    <w:abstractNumId w:val="35"/>
  </w:num>
  <w:num w:numId="39">
    <w:abstractNumId w:val="46"/>
  </w:num>
  <w:num w:numId="40">
    <w:abstractNumId w:val="50"/>
  </w:num>
  <w:num w:numId="41">
    <w:abstractNumId w:val="25"/>
  </w:num>
  <w:num w:numId="42">
    <w:abstractNumId w:val="34"/>
  </w:num>
  <w:num w:numId="43">
    <w:abstractNumId w:val="17"/>
  </w:num>
  <w:num w:numId="44">
    <w:abstractNumId w:val="57"/>
  </w:num>
  <w:num w:numId="45">
    <w:abstractNumId w:val="5"/>
  </w:num>
  <w:num w:numId="46">
    <w:abstractNumId w:val="48"/>
  </w:num>
  <w:num w:numId="47">
    <w:abstractNumId w:val="1"/>
  </w:num>
  <w:num w:numId="48">
    <w:abstractNumId w:val="30"/>
  </w:num>
  <w:num w:numId="49">
    <w:abstractNumId w:val="54"/>
  </w:num>
  <w:num w:numId="50">
    <w:abstractNumId w:val="14"/>
  </w:num>
  <w:num w:numId="51">
    <w:abstractNumId w:val="22"/>
  </w:num>
  <w:num w:numId="52">
    <w:abstractNumId w:val="26"/>
  </w:num>
  <w:num w:numId="53">
    <w:abstractNumId w:val="16"/>
  </w:num>
  <w:num w:numId="54">
    <w:abstractNumId w:val="10"/>
  </w:num>
  <w:num w:numId="55">
    <w:abstractNumId w:val="44"/>
  </w:num>
  <w:num w:numId="56">
    <w:abstractNumId w:val="53"/>
  </w:num>
  <w:num w:numId="57">
    <w:abstractNumId w:val="6"/>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F2392"/>
    <w:rsid w:val="000002BF"/>
    <w:rsid w:val="00001B53"/>
    <w:rsid w:val="00002EF8"/>
    <w:rsid w:val="00004DA9"/>
    <w:rsid w:val="00010365"/>
    <w:rsid w:val="00013DF4"/>
    <w:rsid w:val="00016E24"/>
    <w:rsid w:val="000200B4"/>
    <w:rsid w:val="00022425"/>
    <w:rsid w:val="00022542"/>
    <w:rsid w:val="000236AB"/>
    <w:rsid w:val="00026070"/>
    <w:rsid w:val="0003046E"/>
    <w:rsid w:val="00032F6E"/>
    <w:rsid w:val="000343B0"/>
    <w:rsid w:val="00035820"/>
    <w:rsid w:val="00035D8E"/>
    <w:rsid w:val="00037810"/>
    <w:rsid w:val="00040BEF"/>
    <w:rsid w:val="00041413"/>
    <w:rsid w:val="00043E47"/>
    <w:rsid w:val="00047A6B"/>
    <w:rsid w:val="00047E7E"/>
    <w:rsid w:val="0005280E"/>
    <w:rsid w:val="000558D8"/>
    <w:rsid w:val="00055914"/>
    <w:rsid w:val="0005664A"/>
    <w:rsid w:val="00057D71"/>
    <w:rsid w:val="00060238"/>
    <w:rsid w:val="000602AB"/>
    <w:rsid w:val="0006402E"/>
    <w:rsid w:val="00066150"/>
    <w:rsid w:val="00071A49"/>
    <w:rsid w:val="00076530"/>
    <w:rsid w:val="00082EF3"/>
    <w:rsid w:val="00083A97"/>
    <w:rsid w:val="00083ED5"/>
    <w:rsid w:val="0008471D"/>
    <w:rsid w:val="00086C65"/>
    <w:rsid w:val="0008737E"/>
    <w:rsid w:val="00090422"/>
    <w:rsid w:val="00091047"/>
    <w:rsid w:val="0009109A"/>
    <w:rsid w:val="00092C99"/>
    <w:rsid w:val="00094405"/>
    <w:rsid w:val="000952DB"/>
    <w:rsid w:val="000A37E0"/>
    <w:rsid w:val="000A3E15"/>
    <w:rsid w:val="000A4EEE"/>
    <w:rsid w:val="000A571C"/>
    <w:rsid w:val="000A5BC7"/>
    <w:rsid w:val="000A7176"/>
    <w:rsid w:val="000B06FA"/>
    <w:rsid w:val="000B173E"/>
    <w:rsid w:val="000B19B1"/>
    <w:rsid w:val="000B1ABB"/>
    <w:rsid w:val="000B1CBC"/>
    <w:rsid w:val="000B2D56"/>
    <w:rsid w:val="000B4D8A"/>
    <w:rsid w:val="000B6183"/>
    <w:rsid w:val="000B68CE"/>
    <w:rsid w:val="000B6D33"/>
    <w:rsid w:val="000B7C6A"/>
    <w:rsid w:val="000C1B91"/>
    <w:rsid w:val="000C4CF2"/>
    <w:rsid w:val="000C5967"/>
    <w:rsid w:val="000D038A"/>
    <w:rsid w:val="000D2005"/>
    <w:rsid w:val="000D2751"/>
    <w:rsid w:val="000D2A09"/>
    <w:rsid w:val="000D2F54"/>
    <w:rsid w:val="000D3017"/>
    <w:rsid w:val="000D505F"/>
    <w:rsid w:val="000D58F3"/>
    <w:rsid w:val="000D62EB"/>
    <w:rsid w:val="000D6DCC"/>
    <w:rsid w:val="000D7410"/>
    <w:rsid w:val="000E177E"/>
    <w:rsid w:val="000E6529"/>
    <w:rsid w:val="000E66F0"/>
    <w:rsid w:val="000F0489"/>
    <w:rsid w:val="000F3BFE"/>
    <w:rsid w:val="000F510D"/>
    <w:rsid w:val="000F578F"/>
    <w:rsid w:val="000F5B02"/>
    <w:rsid w:val="00102BA9"/>
    <w:rsid w:val="001033BA"/>
    <w:rsid w:val="00104CDC"/>
    <w:rsid w:val="00106FAE"/>
    <w:rsid w:val="00107993"/>
    <w:rsid w:val="001129B4"/>
    <w:rsid w:val="00113F01"/>
    <w:rsid w:val="00114057"/>
    <w:rsid w:val="001145A3"/>
    <w:rsid w:val="00117E32"/>
    <w:rsid w:val="0012030C"/>
    <w:rsid w:val="0012205F"/>
    <w:rsid w:val="00122657"/>
    <w:rsid w:val="00122CF7"/>
    <w:rsid w:val="00123669"/>
    <w:rsid w:val="00124410"/>
    <w:rsid w:val="00124E0A"/>
    <w:rsid w:val="00126E45"/>
    <w:rsid w:val="00127374"/>
    <w:rsid w:val="00127A07"/>
    <w:rsid w:val="00127A2F"/>
    <w:rsid w:val="0013061B"/>
    <w:rsid w:val="0013236E"/>
    <w:rsid w:val="00133725"/>
    <w:rsid w:val="0013404E"/>
    <w:rsid w:val="001344AD"/>
    <w:rsid w:val="00137FE8"/>
    <w:rsid w:val="00141FFE"/>
    <w:rsid w:val="0014284A"/>
    <w:rsid w:val="00143DA2"/>
    <w:rsid w:val="00145306"/>
    <w:rsid w:val="00146E32"/>
    <w:rsid w:val="00152970"/>
    <w:rsid w:val="001540A7"/>
    <w:rsid w:val="001550CA"/>
    <w:rsid w:val="0015643E"/>
    <w:rsid w:val="00157DB2"/>
    <w:rsid w:val="0016012B"/>
    <w:rsid w:val="00160BCA"/>
    <w:rsid w:val="00161880"/>
    <w:rsid w:val="00163CD0"/>
    <w:rsid w:val="00164493"/>
    <w:rsid w:val="001662BD"/>
    <w:rsid w:val="00166BA6"/>
    <w:rsid w:val="00167B85"/>
    <w:rsid w:val="00170BF2"/>
    <w:rsid w:val="00173A0B"/>
    <w:rsid w:val="00173B68"/>
    <w:rsid w:val="0017401F"/>
    <w:rsid w:val="00174960"/>
    <w:rsid w:val="00176A4D"/>
    <w:rsid w:val="00180F99"/>
    <w:rsid w:val="00181741"/>
    <w:rsid w:val="00182A3F"/>
    <w:rsid w:val="0018545C"/>
    <w:rsid w:val="00186650"/>
    <w:rsid w:val="0018758B"/>
    <w:rsid w:val="00190882"/>
    <w:rsid w:val="00193B5E"/>
    <w:rsid w:val="00194283"/>
    <w:rsid w:val="0019437D"/>
    <w:rsid w:val="00195EEC"/>
    <w:rsid w:val="00196259"/>
    <w:rsid w:val="00197E48"/>
    <w:rsid w:val="001A2A6F"/>
    <w:rsid w:val="001A2E0D"/>
    <w:rsid w:val="001A52D1"/>
    <w:rsid w:val="001A5325"/>
    <w:rsid w:val="001A6973"/>
    <w:rsid w:val="001A7F45"/>
    <w:rsid w:val="001B39FD"/>
    <w:rsid w:val="001B3F86"/>
    <w:rsid w:val="001B4550"/>
    <w:rsid w:val="001B5C32"/>
    <w:rsid w:val="001C093D"/>
    <w:rsid w:val="001C0DE3"/>
    <w:rsid w:val="001C1F94"/>
    <w:rsid w:val="001C277D"/>
    <w:rsid w:val="001D0F2F"/>
    <w:rsid w:val="001D12BF"/>
    <w:rsid w:val="001D222F"/>
    <w:rsid w:val="001D23B9"/>
    <w:rsid w:val="001D3055"/>
    <w:rsid w:val="001D3523"/>
    <w:rsid w:val="001D5CE6"/>
    <w:rsid w:val="001D7BED"/>
    <w:rsid w:val="001E04C5"/>
    <w:rsid w:val="001E14BD"/>
    <w:rsid w:val="001E3A83"/>
    <w:rsid w:val="001E435F"/>
    <w:rsid w:val="001E5D27"/>
    <w:rsid w:val="001E5DE2"/>
    <w:rsid w:val="001E5F57"/>
    <w:rsid w:val="001E6EF4"/>
    <w:rsid w:val="001F041F"/>
    <w:rsid w:val="001F2298"/>
    <w:rsid w:val="001F3030"/>
    <w:rsid w:val="001F3B3C"/>
    <w:rsid w:val="001F40DD"/>
    <w:rsid w:val="001F52A1"/>
    <w:rsid w:val="001F6BC0"/>
    <w:rsid w:val="001F78F1"/>
    <w:rsid w:val="00200D96"/>
    <w:rsid w:val="00202462"/>
    <w:rsid w:val="00203C6F"/>
    <w:rsid w:val="00207587"/>
    <w:rsid w:val="002120AE"/>
    <w:rsid w:val="002120DC"/>
    <w:rsid w:val="0021211C"/>
    <w:rsid w:val="0021291A"/>
    <w:rsid w:val="00213297"/>
    <w:rsid w:val="00213507"/>
    <w:rsid w:val="002142A7"/>
    <w:rsid w:val="00216D6E"/>
    <w:rsid w:val="0022148C"/>
    <w:rsid w:val="00222A92"/>
    <w:rsid w:val="0022682C"/>
    <w:rsid w:val="0022741F"/>
    <w:rsid w:val="00227D02"/>
    <w:rsid w:val="00230F45"/>
    <w:rsid w:val="00234A68"/>
    <w:rsid w:val="00236551"/>
    <w:rsid w:val="00236BC7"/>
    <w:rsid w:val="00242811"/>
    <w:rsid w:val="0024335C"/>
    <w:rsid w:val="00246D33"/>
    <w:rsid w:val="00247C50"/>
    <w:rsid w:val="00253090"/>
    <w:rsid w:val="00253467"/>
    <w:rsid w:val="00254C04"/>
    <w:rsid w:val="00254F4A"/>
    <w:rsid w:val="00255A7F"/>
    <w:rsid w:val="0025704E"/>
    <w:rsid w:val="00257B74"/>
    <w:rsid w:val="0026225A"/>
    <w:rsid w:val="00263EBA"/>
    <w:rsid w:val="002642F8"/>
    <w:rsid w:val="0026497E"/>
    <w:rsid w:val="002678B1"/>
    <w:rsid w:val="00267A49"/>
    <w:rsid w:val="0027178A"/>
    <w:rsid w:val="002733C0"/>
    <w:rsid w:val="00273EB4"/>
    <w:rsid w:val="00275562"/>
    <w:rsid w:val="00275720"/>
    <w:rsid w:val="00275A37"/>
    <w:rsid w:val="00275BD7"/>
    <w:rsid w:val="0027660C"/>
    <w:rsid w:val="00277BE8"/>
    <w:rsid w:val="00280ECD"/>
    <w:rsid w:val="00281F0F"/>
    <w:rsid w:val="002836CA"/>
    <w:rsid w:val="0028592A"/>
    <w:rsid w:val="002870C6"/>
    <w:rsid w:val="00287277"/>
    <w:rsid w:val="00291D5E"/>
    <w:rsid w:val="00295915"/>
    <w:rsid w:val="00296FF7"/>
    <w:rsid w:val="00297705"/>
    <w:rsid w:val="002A0CA2"/>
    <w:rsid w:val="002A3773"/>
    <w:rsid w:val="002A3E31"/>
    <w:rsid w:val="002A7499"/>
    <w:rsid w:val="002A78D5"/>
    <w:rsid w:val="002A7D9D"/>
    <w:rsid w:val="002B0BC4"/>
    <w:rsid w:val="002B2A19"/>
    <w:rsid w:val="002B2FCF"/>
    <w:rsid w:val="002B78DB"/>
    <w:rsid w:val="002B7E04"/>
    <w:rsid w:val="002C07FD"/>
    <w:rsid w:val="002C22E1"/>
    <w:rsid w:val="002C4BC1"/>
    <w:rsid w:val="002C63A8"/>
    <w:rsid w:val="002C6737"/>
    <w:rsid w:val="002C793D"/>
    <w:rsid w:val="002D0F1C"/>
    <w:rsid w:val="002D129F"/>
    <w:rsid w:val="002D3B08"/>
    <w:rsid w:val="002D3E04"/>
    <w:rsid w:val="002D3ECB"/>
    <w:rsid w:val="002D7FC9"/>
    <w:rsid w:val="002E04E9"/>
    <w:rsid w:val="002E3C97"/>
    <w:rsid w:val="002E6BF5"/>
    <w:rsid w:val="002E6D18"/>
    <w:rsid w:val="002F02A1"/>
    <w:rsid w:val="002F152A"/>
    <w:rsid w:val="002F23BC"/>
    <w:rsid w:val="002F359B"/>
    <w:rsid w:val="002F3A14"/>
    <w:rsid w:val="002F58DF"/>
    <w:rsid w:val="002F62C3"/>
    <w:rsid w:val="002F69D3"/>
    <w:rsid w:val="003040BA"/>
    <w:rsid w:val="00305DA1"/>
    <w:rsid w:val="00306237"/>
    <w:rsid w:val="0030742A"/>
    <w:rsid w:val="003075E6"/>
    <w:rsid w:val="003115E3"/>
    <w:rsid w:val="00312275"/>
    <w:rsid w:val="003133D1"/>
    <w:rsid w:val="003142B4"/>
    <w:rsid w:val="00315903"/>
    <w:rsid w:val="00315CF4"/>
    <w:rsid w:val="00316E15"/>
    <w:rsid w:val="00317170"/>
    <w:rsid w:val="00320160"/>
    <w:rsid w:val="00322136"/>
    <w:rsid w:val="0032252D"/>
    <w:rsid w:val="00326516"/>
    <w:rsid w:val="003276A2"/>
    <w:rsid w:val="0033284B"/>
    <w:rsid w:val="00332ED9"/>
    <w:rsid w:val="00333988"/>
    <w:rsid w:val="00333B15"/>
    <w:rsid w:val="00336338"/>
    <w:rsid w:val="00336B1E"/>
    <w:rsid w:val="00344298"/>
    <w:rsid w:val="003458D5"/>
    <w:rsid w:val="00346762"/>
    <w:rsid w:val="00350B96"/>
    <w:rsid w:val="00353862"/>
    <w:rsid w:val="003538F4"/>
    <w:rsid w:val="00355AE0"/>
    <w:rsid w:val="003562DB"/>
    <w:rsid w:val="003609DC"/>
    <w:rsid w:val="00360D92"/>
    <w:rsid w:val="00362BDF"/>
    <w:rsid w:val="003646DC"/>
    <w:rsid w:val="00364F04"/>
    <w:rsid w:val="00365CAD"/>
    <w:rsid w:val="00366091"/>
    <w:rsid w:val="00366500"/>
    <w:rsid w:val="00367AC4"/>
    <w:rsid w:val="00373555"/>
    <w:rsid w:val="003748C7"/>
    <w:rsid w:val="00377510"/>
    <w:rsid w:val="00382DF4"/>
    <w:rsid w:val="00387C96"/>
    <w:rsid w:val="003912C3"/>
    <w:rsid w:val="003917F0"/>
    <w:rsid w:val="0039199D"/>
    <w:rsid w:val="003945C8"/>
    <w:rsid w:val="003A1247"/>
    <w:rsid w:val="003A1565"/>
    <w:rsid w:val="003A1CD6"/>
    <w:rsid w:val="003A1FC4"/>
    <w:rsid w:val="003A542E"/>
    <w:rsid w:val="003A6465"/>
    <w:rsid w:val="003A7267"/>
    <w:rsid w:val="003B0C78"/>
    <w:rsid w:val="003B26AA"/>
    <w:rsid w:val="003B3077"/>
    <w:rsid w:val="003B309A"/>
    <w:rsid w:val="003B3713"/>
    <w:rsid w:val="003B5A8B"/>
    <w:rsid w:val="003B7947"/>
    <w:rsid w:val="003C3966"/>
    <w:rsid w:val="003C619B"/>
    <w:rsid w:val="003D25B2"/>
    <w:rsid w:val="003D2FA5"/>
    <w:rsid w:val="003D32B0"/>
    <w:rsid w:val="003D52CD"/>
    <w:rsid w:val="003E084E"/>
    <w:rsid w:val="003E5076"/>
    <w:rsid w:val="003E58BC"/>
    <w:rsid w:val="003F0256"/>
    <w:rsid w:val="003F2706"/>
    <w:rsid w:val="003F6EEB"/>
    <w:rsid w:val="003F7A5E"/>
    <w:rsid w:val="00400579"/>
    <w:rsid w:val="00402B69"/>
    <w:rsid w:val="004158A6"/>
    <w:rsid w:val="004202FC"/>
    <w:rsid w:val="00420409"/>
    <w:rsid w:val="00424FBF"/>
    <w:rsid w:val="0042754B"/>
    <w:rsid w:val="00433413"/>
    <w:rsid w:val="004345F0"/>
    <w:rsid w:val="00435237"/>
    <w:rsid w:val="0043774B"/>
    <w:rsid w:val="0044311A"/>
    <w:rsid w:val="00444079"/>
    <w:rsid w:val="004476B6"/>
    <w:rsid w:val="00452A64"/>
    <w:rsid w:val="00465E6C"/>
    <w:rsid w:val="00466481"/>
    <w:rsid w:val="004667E9"/>
    <w:rsid w:val="0046726E"/>
    <w:rsid w:val="00467D8B"/>
    <w:rsid w:val="00470260"/>
    <w:rsid w:val="00470CE1"/>
    <w:rsid w:val="00470DAC"/>
    <w:rsid w:val="004717DD"/>
    <w:rsid w:val="00471B39"/>
    <w:rsid w:val="00474402"/>
    <w:rsid w:val="00474B02"/>
    <w:rsid w:val="00476CEE"/>
    <w:rsid w:val="004770A6"/>
    <w:rsid w:val="004809AC"/>
    <w:rsid w:val="00481BB4"/>
    <w:rsid w:val="00481CF0"/>
    <w:rsid w:val="00483D73"/>
    <w:rsid w:val="00484F6A"/>
    <w:rsid w:val="004866DE"/>
    <w:rsid w:val="00486A76"/>
    <w:rsid w:val="00490FF4"/>
    <w:rsid w:val="00495B3B"/>
    <w:rsid w:val="00496CC2"/>
    <w:rsid w:val="004A1DDD"/>
    <w:rsid w:val="004A2CB0"/>
    <w:rsid w:val="004A30CA"/>
    <w:rsid w:val="004A3D10"/>
    <w:rsid w:val="004A5D0A"/>
    <w:rsid w:val="004A687F"/>
    <w:rsid w:val="004A742B"/>
    <w:rsid w:val="004B1257"/>
    <w:rsid w:val="004B15F2"/>
    <w:rsid w:val="004B1B42"/>
    <w:rsid w:val="004B1D63"/>
    <w:rsid w:val="004B5A89"/>
    <w:rsid w:val="004B7016"/>
    <w:rsid w:val="004C13C9"/>
    <w:rsid w:val="004C19C6"/>
    <w:rsid w:val="004C246D"/>
    <w:rsid w:val="004D1491"/>
    <w:rsid w:val="004D17AE"/>
    <w:rsid w:val="004D3C72"/>
    <w:rsid w:val="004D585F"/>
    <w:rsid w:val="004D7355"/>
    <w:rsid w:val="004D7719"/>
    <w:rsid w:val="004E3901"/>
    <w:rsid w:val="004E3999"/>
    <w:rsid w:val="004E494F"/>
    <w:rsid w:val="004E7F10"/>
    <w:rsid w:val="004F0A45"/>
    <w:rsid w:val="004F15E3"/>
    <w:rsid w:val="004F7B37"/>
    <w:rsid w:val="004F7B91"/>
    <w:rsid w:val="00500256"/>
    <w:rsid w:val="0050044C"/>
    <w:rsid w:val="0050073B"/>
    <w:rsid w:val="0050247C"/>
    <w:rsid w:val="005027B7"/>
    <w:rsid w:val="00503D21"/>
    <w:rsid w:val="00506B13"/>
    <w:rsid w:val="0051154C"/>
    <w:rsid w:val="00512963"/>
    <w:rsid w:val="005178EF"/>
    <w:rsid w:val="0052288C"/>
    <w:rsid w:val="00524A27"/>
    <w:rsid w:val="00526852"/>
    <w:rsid w:val="00531B5D"/>
    <w:rsid w:val="00532311"/>
    <w:rsid w:val="005346F4"/>
    <w:rsid w:val="00535028"/>
    <w:rsid w:val="0053617C"/>
    <w:rsid w:val="00537FE0"/>
    <w:rsid w:val="0054034D"/>
    <w:rsid w:val="00540FCB"/>
    <w:rsid w:val="0054141B"/>
    <w:rsid w:val="0054272F"/>
    <w:rsid w:val="005427B6"/>
    <w:rsid w:val="00542961"/>
    <w:rsid w:val="00542A6E"/>
    <w:rsid w:val="00547260"/>
    <w:rsid w:val="00550622"/>
    <w:rsid w:val="00550807"/>
    <w:rsid w:val="00554C8D"/>
    <w:rsid w:val="00556C47"/>
    <w:rsid w:val="00566B20"/>
    <w:rsid w:val="005679E3"/>
    <w:rsid w:val="005715C7"/>
    <w:rsid w:val="00571B85"/>
    <w:rsid w:val="00571C12"/>
    <w:rsid w:val="005723A1"/>
    <w:rsid w:val="00574BEF"/>
    <w:rsid w:val="00575409"/>
    <w:rsid w:val="00576208"/>
    <w:rsid w:val="005770E9"/>
    <w:rsid w:val="00577CBE"/>
    <w:rsid w:val="00583C3F"/>
    <w:rsid w:val="00587B18"/>
    <w:rsid w:val="00590FC4"/>
    <w:rsid w:val="00591A1D"/>
    <w:rsid w:val="00591BE9"/>
    <w:rsid w:val="00592B94"/>
    <w:rsid w:val="00592C8A"/>
    <w:rsid w:val="005953D2"/>
    <w:rsid w:val="00596685"/>
    <w:rsid w:val="00596DF4"/>
    <w:rsid w:val="00597D97"/>
    <w:rsid w:val="005A0CBB"/>
    <w:rsid w:val="005A12A3"/>
    <w:rsid w:val="005A2A29"/>
    <w:rsid w:val="005A3925"/>
    <w:rsid w:val="005A4907"/>
    <w:rsid w:val="005A5FE6"/>
    <w:rsid w:val="005B17C3"/>
    <w:rsid w:val="005B483A"/>
    <w:rsid w:val="005C0004"/>
    <w:rsid w:val="005C0DA2"/>
    <w:rsid w:val="005C5FDC"/>
    <w:rsid w:val="005C6C13"/>
    <w:rsid w:val="005D1B32"/>
    <w:rsid w:val="005D46B0"/>
    <w:rsid w:val="005D4B38"/>
    <w:rsid w:val="005D757A"/>
    <w:rsid w:val="005E034C"/>
    <w:rsid w:val="005E17F8"/>
    <w:rsid w:val="005E3E62"/>
    <w:rsid w:val="005E4DE3"/>
    <w:rsid w:val="005E5944"/>
    <w:rsid w:val="005E5ADC"/>
    <w:rsid w:val="005E68B7"/>
    <w:rsid w:val="005F0B38"/>
    <w:rsid w:val="005F1CF2"/>
    <w:rsid w:val="005F2392"/>
    <w:rsid w:val="005F3ECC"/>
    <w:rsid w:val="005F5E81"/>
    <w:rsid w:val="005F6ED4"/>
    <w:rsid w:val="005F7F93"/>
    <w:rsid w:val="0060024D"/>
    <w:rsid w:val="00600C3C"/>
    <w:rsid w:val="00602192"/>
    <w:rsid w:val="00603BDC"/>
    <w:rsid w:val="00603FEB"/>
    <w:rsid w:val="00604E3A"/>
    <w:rsid w:val="00606329"/>
    <w:rsid w:val="006145E3"/>
    <w:rsid w:val="00615FFB"/>
    <w:rsid w:val="00617368"/>
    <w:rsid w:val="00620574"/>
    <w:rsid w:val="006241D4"/>
    <w:rsid w:val="00625C7E"/>
    <w:rsid w:val="0062606F"/>
    <w:rsid w:val="0062629A"/>
    <w:rsid w:val="0062645E"/>
    <w:rsid w:val="00627F52"/>
    <w:rsid w:val="00630A70"/>
    <w:rsid w:val="00632792"/>
    <w:rsid w:val="006349F1"/>
    <w:rsid w:val="00634B20"/>
    <w:rsid w:val="00637974"/>
    <w:rsid w:val="00647CB4"/>
    <w:rsid w:val="00651DAF"/>
    <w:rsid w:val="006535FE"/>
    <w:rsid w:val="00653617"/>
    <w:rsid w:val="00653EC3"/>
    <w:rsid w:val="00664FD4"/>
    <w:rsid w:val="00670534"/>
    <w:rsid w:val="006719ED"/>
    <w:rsid w:val="0067410E"/>
    <w:rsid w:val="00674591"/>
    <w:rsid w:val="00680467"/>
    <w:rsid w:val="00685CC8"/>
    <w:rsid w:val="00690CC7"/>
    <w:rsid w:val="00691660"/>
    <w:rsid w:val="00694F2F"/>
    <w:rsid w:val="00695254"/>
    <w:rsid w:val="006962A5"/>
    <w:rsid w:val="00696BEA"/>
    <w:rsid w:val="006972DD"/>
    <w:rsid w:val="00697E86"/>
    <w:rsid w:val="006A0491"/>
    <w:rsid w:val="006A0D0D"/>
    <w:rsid w:val="006A2541"/>
    <w:rsid w:val="006A25D6"/>
    <w:rsid w:val="006A311B"/>
    <w:rsid w:val="006A5F85"/>
    <w:rsid w:val="006A64CE"/>
    <w:rsid w:val="006A6DAF"/>
    <w:rsid w:val="006A7F2B"/>
    <w:rsid w:val="006B0A78"/>
    <w:rsid w:val="006B1CD5"/>
    <w:rsid w:val="006B2288"/>
    <w:rsid w:val="006B5D93"/>
    <w:rsid w:val="006B7422"/>
    <w:rsid w:val="006C15C5"/>
    <w:rsid w:val="006C6CB3"/>
    <w:rsid w:val="006D01CB"/>
    <w:rsid w:val="006D20DE"/>
    <w:rsid w:val="006D4567"/>
    <w:rsid w:val="006D5E18"/>
    <w:rsid w:val="006D6487"/>
    <w:rsid w:val="006D6C56"/>
    <w:rsid w:val="006E1DA6"/>
    <w:rsid w:val="006E49C7"/>
    <w:rsid w:val="006E54B7"/>
    <w:rsid w:val="006E60CD"/>
    <w:rsid w:val="006F1EFD"/>
    <w:rsid w:val="006F204F"/>
    <w:rsid w:val="006F37D9"/>
    <w:rsid w:val="006F50FB"/>
    <w:rsid w:val="006F7D0A"/>
    <w:rsid w:val="00703AEE"/>
    <w:rsid w:val="007070F6"/>
    <w:rsid w:val="00710329"/>
    <w:rsid w:val="0071074A"/>
    <w:rsid w:val="0071178D"/>
    <w:rsid w:val="00711972"/>
    <w:rsid w:val="00711AF9"/>
    <w:rsid w:val="00711B4B"/>
    <w:rsid w:val="0071426F"/>
    <w:rsid w:val="007171E8"/>
    <w:rsid w:val="0071789A"/>
    <w:rsid w:val="00717909"/>
    <w:rsid w:val="0072776B"/>
    <w:rsid w:val="00727F53"/>
    <w:rsid w:val="0073137E"/>
    <w:rsid w:val="00731DA0"/>
    <w:rsid w:val="00733408"/>
    <w:rsid w:val="0073420B"/>
    <w:rsid w:val="007358D0"/>
    <w:rsid w:val="00735E57"/>
    <w:rsid w:val="00736B69"/>
    <w:rsid w:val="007435FA"/>
    <w:rsid w:val="00745A2E"/>
    <w:rsid w:val="00745FA5"/>
    <w:rsid w:val="00746954"/>
    <w:rsid w:val="00747844"/>
    <w:rsid w:val="0075115F"/>
    <w:rsid w:val="00755D6B"/>
    <w:rsid w:val="00756370"/>
    <w:rsid w:val="00756A60"/>
    <w:rsid w:val="00756BDC"/>
    <w:rsid w:val="00756CF3"/>
    <w:rsid w:val="00760B7F"/>
    <w:rsid w:val="00763CDC"/>
    <w:rsid w:val="00763FE7"/>
    <w:rsid w:val="007640EB"/>
    <w:rsid w:val="00764382"/>
    <w:rsid w:val="00773394"/>
    <w:rsid w:val="0077382D"/>
    <w:rsid w:val="007769B0"/>
    <w:rsid w:val="00777494"/>
    <w:rsid w:val="00780223"/>
    <w:rsid w:val="00781DC0"/>
    <w:rsid w:val="0078522B"/>
    <w:rsid w:val="00785541"/>
    <w:rsid w:val="00787AF3"/>
    <w:rsid w:val="007909B9"/>
    <w:rsid w:val="007946F9"/>
    <w:rsid w:val="00794E19"/>
    <w:rsid w:val="00795A4A"/>
    <w:rsid w:val="007977AB"/>
    <w:rsid w:val="007A1A02"/>
    <w:rsid w:val="007A47A3"/>
    <w:rsid w:val="007A5D16"/>
    <w:rsid w:val="007A6900"/>
    <w:rsid w:val="007B052E"/>
    <w:rsid w:val="007B0884"/>
    <w:rsid w:val="007B24B1"/>
    <w:rsid w:val="007B2536"/>
    <w:rsid w:val="007B2C1E"/>
    <w:rsid w:val="007B3DDF"/>
    <w:rsid w:val="007B4E10"/>
    <w:rsid w:val="007B70FF"/>
    <w:rsid w:val="007C05C7"/>
    <w:rsid w:val="007C2340"/>
    <w:rsid w:val="007C4176"/>
    <w:rsid w:val="007C7A85"/>
    <w:rsid w:val="007D006C"/>
    <w:rsid w:val="007D09B0"/>
    <w:rsid w:val="007D2BFC"/>
    <w:rsid w:val="007D2D87"/>
    <w:rsid w:val="007D649C"/>
    <w:rsid w:val="007D79A5"/>
    <w:rsid w:val="007E0664"/>
    <w:rsid w:val="007E0D38"/>
    <w:rsid w:val="007E4655"/>
    <w:rsid w:val="007E48CA"/>
    <w:rsid w:val="007E5753"/>
    <w:rsid w:val="007E7766"/>
    <w:rsid w:val="007F0818"/>
    <w:rsid w:val="007F4441"/>
    <w:rsid w:val="007F601B"/>
    <w:rsid w:val="0080196F"/>
    <w:rsid w:val="00803332"/>
    <w:rsid w:val="00804FB0"/>
    <w:rsid w:val="008053C3"/>
    <w:rsid w:val="0080712F"/>
    <w:rsid w:val="00807662"/>
    <w:rsid w:val="00810151"/>
    <w:rsid w:val="00810B80"/>
    <w:rsid w:val="00810F55"/>
    <w:rsid w:val="00814087"/>
    <w:rsid w:val="0081606E"/>
    <w:rsid w:val="00820C90"/>
    <w:rsid w:val="008211EA"/>
    <w:rsid w:val="008218C8"/>
    <w:rsid w:val="00826A1E"/>
    <w:rsid w:val="00826D64"/>
    <w:rsid w:val="00827F52"/>
    <w:rsid w:val="008311B7"/>
    <w:rsid w:val="00832A06"/>
    <w:rsid w:val="00833A1E"/>
    <w:rsid w:val="008355F1"/>
    <w:rsid w:val="00836BCD"/>
    <w:rsid w:val="0083736F"/>
    <w:rsid w:val="0083790A"/>
    <w:rsid w:val="00846D7F"/>
    <w:rsid w:val="008478DB"/>
    <w:rsid w:val="00847A6E"/>
    <w:rsid w:val="00851177"/>
    <w:rsid w:val="00853057"/>
    <w:rsid w:val="008540B0"/>
    <w:rsid w:val="008554A7"/>
    <w:rsid w:val="008555A9"/>
    <w:rsid w:val="008631F8"/>
    <w:rsid w:val="00864085"/>
    <w:rsid w:val="00865839"/>
    <w:rsid w:val="00865E72"/>
    <w:rsid w:val="00872359"/>
    <w:rsid w:val="00873847"/>
    <w:rsid w:val="008738D4"/>
    <w:rsid w:val="008768A7"/>
    <w:rsid w:val="00876B0F"/>
    <w:rsid w:val="008778F8"/>
    <w:rsid w:val="00877AC6"/>
    <w:rsid w:val="008823A4"/>
    <w:rsid w:val="008833BE"/>
    <w:rsid w:val="00883DAB"/>
    <w:rsid w:val="0088433E"/>
    <w:rsid w:val="00885C48"/>
    <w:rsid w:val="00885FB7"/>
    <w:rsid w:val="0088691E"/>
    <w:rsid w:val="008900ED"/>
    <w:rsid w:val="00890612"/>
    <w:rsid w:val="008907FF"/>
    <w:rsid w:val="008929EA"/>
    <w:rsid w:val="00892F3A"/>
    <w:rsid w:val="00893E04"/>
    <w:rsid w:val="0089470E"/>
    <w:rsid w:val="00896C9A"/>
    <w:rsid w:val="008A154A"/>
    <w:rsid w:val="008A3919"/>
    <w:rsid w:val="008A3DEA"/>
    <w:rsid w:val="008A5F99"/>
    <w:rsid w:val="008B3141"/>
    <w:rsid w:val="008B45DF"/>
    <w:rsid w:val="008B53F4"/>
    <w:rsid w:val="008B6478"/>
    <w:rsid w:val="008B795B"/>
    <w:rsid w:val="008B7A31"/>
    <w:rsid w:val="008C0555"/>
    <w:rsid w:val="008C066E"/>
    <w:rsid w:val="008C0CB9"/>
    <w:rsid w:val="008C2168"/>
    <w:rsid w:val="008C637D"/>
    <w:rsid w:val="008C68B8"/>
    <w:rsid w:val="008C6B18"/>
    <w:rsid w:val="008C7839"/>
    <w:rsid w:val="008D1301"/>
    <w:rsid w:val="008D187D"/>
    <w:rsid w:val="008D1D53"/>
    <w:rsid w:val="008D2C01"/>
    <w:rsid w:val="008D45CD"/>
    <w:rsid w:val="008D5461"/>
    <w:rsid w:val="008D55A3"/>
    <w:rsid w:val="008D6B48"/>
    <w:rsid w:val="008E030C"/>
    <w:rsid w:val="008E350F"/>
    <w:rsid w:val="008E40F6"/>
    <w:rsid w:val="008E6210"/>
    <w:rsid w:val="008F1863"/>
    <w:rsid w:val="008F3E62"/>
    <w:rsid w:val="008F4B7E"/>
    <w:rsid w:val="008F72FC"/>
    <w:rsid w:val="009003ED"/>
    <w:rsid w:val="00901361"/>
    <w:rsid w:val="00901553"/>
    <w:rsid w:val="00901CFF"/>
    <w:rsid w:val="00905612"/>
    <w:rsid w:val="00910604"/>
    <w:rsid w:val="00910E7C"/>
    <w:rsid w:val="00911DC0"/>
    <w:rsid w:val="00912BBF"/>
    <w:rsid w:val="00914128"/>
    <w:rsid w:val="00914D31"/>
    <w:rsid w:val="009157FA"/>
    <w:rsid w:val="00915C8F"/>
    <w:rsid w:val="0091740C"/>
    <w:rsid w:val="00917651"/>
    <w:rsid w:val="00920AC5"/>
    <w:rsid w:val="009214D5"/>
    <w:rsid w:val="00922630"/>
    <w:rsid w:val="009233FE"/>
    <w:rsid w:val="00923493"/>
    <w:rsid w:val="009244D5"/>
    <w:rsid w:val="009245D3"/>
    <w:rsid w:val="009246D4"/>
    <w:rsid w:val="009248A2"/>
    <w:rsid w:val="00925367"/>
    <w:rsid w:val="009256CE"/>
    <w:rsid w:val="00926D59"/>
    <w:rsid w:val="00927CEA"/>
    <w:rsid w:val="0093008F"/>
    <w:rsid w:val="0093088B"/>
    <w:rsid w:val="009325D7"/>
    <w:rsid w:val="009334FD"/>
    <w:rsid w:val="00936487"/>
    <w:rsid w:val="00936ABE"/>
    <w:rsid w:val="00936D2F"/>
    <w:rsid w:val="00937AD4"/>
    <w:rsid w:val="00940896"/>
    <w:rsid w:val="00941903"/>
    <w:rsid w:val="00941AB1"/>
    <w:rsid w:val="00941F28"/>
    <w:rsid w:val="0094270D"/>
    <w:rsid w:val="00943836"/>
    <w:rsid w:val="00944DDA"/>
    <w:rsid w:val="0094571B"/>
    <w:rsid w:val="00951D3A"/>
    <w:rsid w:val="00953911"/>
    <w:rsid w:val="00953C05"/>
    <w:rsid w:val="00953EE9"/>
    <w:rsid w:val="009543F9"/>
    <w:rsid w:val="009571BC"/>
    <w:rsid w:val="0096137E"/>
    <w:rsid w:val="00961D57"/>
    <w:rsid w:val="009626EE"/>
    <w:rsid w:val="009647FE"/>
    <w:rsid w:val="00967DDD"/>
    <w:rsid w:val="00970232"/>
    <w:rsid w:val="009734EA"/>
    <w:rsid w:val="00982F7F"/>
    <w:rsid w:val="00983C57"/>
    <w:rsid w:val="00983CD4"/>
    <w:rsid w:val="00983E4B"/>
    <w:rsid w:val="00984A13"/>
    <w:rsid w:val="009909B7"/>
    <w:rsid w:val="0099427C"/>
    <w:rsid w:val="009958F7"/>
    <w:rsid w:val="00997441"/>
    <w:rsid w:val="0099793B"/>
    <w:rsid w:val="00997C36"/>
    <w:rsid w:val="009A3519"/>
    <w:rsid w:val="009A3766"/>
    <w:rsid w:val="009A4000"/>
    <w:rsid w:val="009A42D9"/>
    <w:rsid w:val="009A5426"/>
    <w:rsid w:val="009A698F"/>
    <w:rsid w:val="009A7FDF"/>
    <w:rsid w:val="009B2A88"/>
    <w:rsid w:val="009B4AE6"/>
    <w:rsid w:val="009B5009"/>
    <w:rsid w:val="009B63C2"/>
    <w:rsid w:val="009C3CE0"/>
    <w:rsid w:val="009C3FB9"/>
    <w:rsid w:val="009C78BF"/>
    <w:rsid w:val="009C7C4D"/>
    <w:rsid w:val="009D09C0"/>
    <w:rsid w:val="009D0ADF"/>
    <w:rsid w:val="009D0E70"/>
    <w:rsid w:val="009D0E8C"/>
    <w:rsid w:val="009D32C4"/>
    <w:rsid w:val="009D3B13"/>
    <w:rsid w:val="009D5E28"/>
    <w:rsid w:val="009E0096"/>
    <w:rsid w:val="009E1EBD"/>
    <w:rsid w:val="009E28AC"/>
    <w:rsid w:val="009E379F"/>
    <w:rsid w:val="009E3A96"/>
    <w:rsid w:val="009E3B24"/>
    <w:rsid w:val="009E46BE"/>
    <w:rsid w:val="009E4BB0"/>
    <w:rsid w:val="009E5D52"/>
    <w:rsid w:val="009E73EF"/>
    <w:rsid w:val="009F05B9"/>
    <w:rsid w:val="009F401B"/>
    <w:rsid w:val="009F430D"/>
    <w:rsid w:val="009F46B8"/>
    <w:rsid w:val="009F5042"/>
    <w:rsid w:val="009F6ED4"/>
    <w:rsid w:val="009F78CD"/>
    <w:rsid w:val="00A01FB2"/>
    <w:rsid w:val="00A0203A"/>
    <w:rsid w:val="00A0433E"/>
    <w:rsid w:val="00A04FEA"/>
    <w:rsid w:val="00A056D0"/>
    <w:rsid w:val="00A0604C"/>
    <w:rsid w:val="00A100B5"/>
    <w:rsid w:val="00A10594"/>
    <w:rsid w:val="00A114C4"/>
    <w:rsid w:val="00A119BA"/>
    <w:rsid w:val="00A13DF4"/>
    <w:rsid w:val="00A16369"/>
    <w:rsid w:val="00A16F45"/>
    <w:rsid w:val="00A17518"/>
    <w:rsid w:val="00A22420"/>
    <w:rsid w:val="00A2480C"/>
    <w:rsid w:val="00A24C95"/>
    <w:rsid w:val="00A25D7F"/>
    <w:rsid w:val="00A2602B"/>
    <w:rsid w:val="00A26DF2"/>
    <w:rsid w:val="00A27400"/>
    <w:rsid w:val="00A30764"/>
    <w:rsid w:val="00A3168B"/>
    <w:rsid w:val="00A34C67"/>
    <w:rsid w:val="00A351AF"/>
    <w:rsid w:val="00A36223"/>
    <w:rsid w:val="00A36719"/>
    <w:rsid w:val="00A36FE8"/>
    <w:rsid w:val="00A37DFB"/>
    <w:rsid w:val="00A40126"/>
    <w:rsid w:val="00A407CA"/>
    <w:rsid w:val="00A4155E"/>
    <w:rsid w:val="00A4360B"/>
    <w:rsid w:val="00A4505E"/>
    <w:rsid w:val="00A45694"/>
    <w:rsid w:val="00A45DB6"/>
    <w:rsid w:val="00A474EE"/>
    <w:rsid w:val="00A475BE"/>
    <w:rsid w:val="00A477C6"/>
    <w:rsid w:val="00A52C46"/>
    <w:rsid w:val="00A534C4"/>
    <w:rsid w:val="00A543C5"/>
    <w:rsid w:val="00A55AEA"/>
    <w:rsid w:val="00A6137C"/>
    <w:rsid w:val="00A6211D"/>
    <w:rsid w:val="00A62859"/>
    <w:rsid w:val="00A66992"/>
    <w:rsid w:val="00A71969"/>
    <w:rsid w:val="00A724C7"/>
    <w:rsid w:val="00A73999"/>
    <w:rsid w:val="00A73C17"/>
    <w:rsid w:val="00A74D38"/>
    <w:rsid w:val="00A77721"/>
    <w:rsid w:val="00A80650"/>
    <w:rsid w:val="00A812AE"/>
    <w:rsid w:val="00A817A5"/>
    <w:rsid w:val="00A81BCB"/>
    <w:rsid w:val="00A8235D"/>
    <w:rsid w:val="00A85792"/>
    <w:rsid w:val="00A86F35"/>
    <w:rsid w:val="00A87793"/>
    <w:rsid w:val="00A9188E"/>
    <w:rsid w:val="00A921C1"/>
    <w:rsid w:val="00A92517"/>
    <w:rsid w:val="00A92EC5"/>
    <w:rsid w:val="00A9500B"/>
    <w:rsid w:val="00A95B96"/>
    <w:rsid w:val="00A96B2C"/>
    <w:rsid w:val="00AA0B26"/>
    <w:rsid w:val="00AA33C3"/>
    <w:rsid w:val="00AA3D55"/>
    <w:rsid w:val="00AA5DBC"/>
    <w:rsid w:val="00AA73BF"/>
    <w:rsid w:val="00AB1A21"/>
    <w:rsid w:val="00AB306D"/>
    <w:rsid w:val="00AB3C0D"/>
    <w:rsid w:val="00AB522F"/>
    <w:rsid w:val="00AB6A69"/>
    <w:rsid w:val="00AC2DD4"/>
    <w:rsid w:val="00AC4448"/>
    <w:rsid w:val="00AC5C86"/>
    <w:rsid w:val="00AC69B4"/>
    <w:rsid w:val="00AC72EE"/>
    <w:rsid w:val="00AC738A"/>
    <w:rsid w:val="00AD309C"/>
    <w:rsid w:val="00AD3749"/>
    <w:rsid w:val="00AD4740"/>
    <w:rsid w:val="00AD5739"/>
    <w:rsid w:val="00AD7D18"/>
    <w:rsid w:val="00AD7EB0"/>
    <w:rsid w:val="00AE0D5D"/>
    <w:rsid w:val="00AE20E0"/>
    <w:rsid w:val="00AE2F00"/>
    <w:rsid w:val="00AE3E53"/>
    <w:rsid w:val="00AE5F72"/>
    <w:rsid w:val="00AE665A"/>
    <w:rsid w:val="00AE6D6F"/>
    <w:rsid w:val="00AF207C"/>
    <w:rsid w:val="00AF20ED"/>
    <w:rsid w:val="00AF29C6"/>
    <w:rsid w:val="00AF46D6"/>
    <w:rsid w:val="00B014CC"/>
    <w:rsid w:val="00B014FE"/>
    <w:rsid w:val="00B01B2A"/>
    <w:rsid w:val="00B0365F"/>
    <w:rsid w:val="00B0749F"/>
    <w:rsid w:val="00B074AA"/>
    <w:rsid w:val="00B10BBC"/>
    <w:rsid w:val="00B10BDC"/>
    <w:rsid w:val="00B15AAC"/>
    <w:rsid w:val="00B15CA7"/>
    <w:rsid w:val="00B17BCC"/>
    <w:rsid w:val="00B22215"/>
    <w:rsid w:val="00B23DF0"/>
    <w:rsid w:val="00B23EA0"/>
    <w:rsid w:val="00B252F2"/>
    <w:rsid w:val="00B3152D"/>
    <w:rsid w:val="00B32296"/>
    <w:rsid w:val="00B3236C"/>
    <w:rsid w:val="00B33297"/>
    <w:rsid w:val="00B33B19"/>
    <w:rsid w:val="00B33D3B"/>
    <w:rsid w:val="00B4034B"/>
    <w:rsid w:val="00B4140C"/>
    <w:rsid w:val="00B43BB2"/>
    <w:rsid w:val="00B43E41"/>
    <w:rsid w:val="00B44147"/>
    <w:rsid w:val="00B44D7C"/>
    <w:rsid w:val="00B45639"/>
    <w:rsid w:val="00B456E1"/>
    <w:rsid w:val="00B45793"/>
    <w:rsid w:val="00B45BEA"/>
    <w:rsid w:val="00B50B01"/>
    <w:rsid w:val="00B5155A"/>
    <w:rsid w:val="00B519F7"/>
    <w:rsid w:val="00B51CA2"/>
    <w:rsid w:val="00B55090"/>
    <w:rsid w:val="00B57F55"/>
    <w:rsid w:val="00B610FE"/>
    <w:rsid w:val="00B62E3A"/>
    <w:rsid w:val="00B63C1F"/>
    <w:rsid w:val="00B71BC5"/>
    <w:rsid w:val="00B71EC8"/>
    <w:rsid w:val="00B72160"/>
    <w:rsid w:val="00B73520"/>
    <w:rsid w:val="00B73D90"/>
    <w:rsid w:val="00B7554D"/>
    <w:rsid w:val="00B77219"/>
    <w:rsid w:val="00B807EE"/>
    <w:rsid w:val="00B80F6A"/>
    <w:rsid w:val="00B81266"/>
    <w:rsid w:val="00B812B1"/>
    <w:rsid w:val="00B82D5D"/>
    <w:rsid w:val="00B82FB9"/>
    <w:rsid w:val="00B83101"/>
    <w:rsid w:val="00B83B34"/>
    <w:rsid w:val="00B83CFA"/>
    <w:rsid w:val="00B84ADD"/>
    <w:rsid w:val="00B85B22"/>
    <w:rsid w:val="00B920A4"/>
    <w:rsid w:val="00B9213D"/>
    <w:rsid w:val="00B92E54"/>
    <w:rsid w:val="00BA0778"/>
    <w:rsid w:val="00BA1BEF"/>
    <w:rsid w:val="00BA2684"/>
    <w:rsid w:val="00BA2D98"/>
    <w:rsid w:val="00BA50D2"/>
    <w:rsid w:val="00BA75E7"/>
    <w:rsid w:val="00BB0E18"/>
    <w:rsid w:val="00BB0E6F"/>
    <w:rsid w:val="00BB1284"/>
    <w:rsid w:val="00BB1D6E"/>
    <w:rsid w:val="00BB5A7B"/>
    <w:rsid w:val="00BC0B02"/>
    <w:rsid w:val="00BC0C2D"/>
    <w:rsid w:val="00BC0EF7"/>
    <w:rsid w:val="00BC27CC"/>
    <w:rsid w:val="00BC2A85"/>
    <w:rsid w:val="00BC3FDF"/>
    <w:rsid w:val="00BC47A4"/>
    <w:rsid w:val="00BC491A"/>
    <w:rsid w:val="00BD069E"/>
    <w:rsid w:val="00BD0BAB"/>
    <w:rsid w:val="00BD1388"/>
    <w:rsid w:val="00BD1E62"/>
    <w:rsid w:val="00BD2347"/>
    <w:rsid w:val="00BD34E0"/>
    <w:rsid w:val="00BD444F"/>
    <w:rsid w:val="00BD502F"/>
    <w:rsid w:val="00BD7705"/>
    <w:rsid w:val="00BD7FE3"/>
    <w:rsid w:val="00BE2792"/>
    <w:rsid w:val="00BE3197"/>
    <w:rsid w:val="00BE410F"/>
    <w:rsid w:val="00BE44C6"/>
    <w:rsid w:val="00BF19DC"/>
    <w:rsid w:val="00BF23FA"/>
    <w:rsid w:val="00BF67AD"/>
    <w:rsid w:val="00BF7860"/>
    <w:rsid w:val="00C010E2"/>
    <w:rsid w:val="00C04738"/>
    <w:rsid w:val="00C04B6D"/>
    <w:rsid w:val="00C0550A"/>
    <w:rsid w:val="00C117CC"/>
    <w:rsid w:val="00C152B5"/>
    <w:rsid w:val="00C16068"/>
    <w:rsid w:val="00C1607D"/>
    <w:rsid w:val="00C165B3"/>
    <w:rsid w:val="00C170E9"/>
    <w:rsid w:val="00C172A8"/>
    <w:rsid w:val="00C17DA1"/>
    <w:rsid w:val="00C20EEB"/>
    <w:rsid w:val="00C24E54"/>
    <w:rsid w:val="00C25691"/>
    <w:rsid w:val="00C31E32"/>
    <w:rsid w:val="00C41B84"/>
    <w:rsid w:val="00C43EEF"/>
    <w:rsid w:val="00C44221"/>
    <w:rsid w:val="00C45771"/>
    <w:rsid w:val="00C50626"/>
    <w:rsid w:val="00C527E2"/>
    <w:rsid w:val="00C52EB6"/>
    <w:rsid w:val="00C5538C"/>
    <w:rsid w:val="00C57AC5"/>
    <w:rsid w:val="00C62868"/>
    <w:rsid w:val="00C64A82"/>
    <w:rsid w:val="00C65D3F"/>
    <w:rsid w:val="00C66A8D"/>
    <w:rsid w:val="00C7139A"/>
    <w:rsid w:val="00C72352"/>
    <w:rsid w:val="00C7539E"/>
    <w:rsid w:val="00C76092"/>
    <w:rsid w:val="00C77E82"/>
    <w:rsid w:val="00C82B87"/>
    <w:rsid w:val="00C82FD1"/>
    <w:rsid w:val="00C851F1"/>
    <w:rsid w:val="00C86868"/>
    <w:rsid w:val="00C86A90"/>
    <w:rsid w:val="00C90ACE"/>
    <w:rsid w:val="00C91936"/>
    <w:rsid w:val="00C9195C"/>
    <w:rsid w:val="00C91BD6"/>
    <w:rsid w:val="00C94CB5"/>
    <w:rsid w:val="00C96FD0"/>
    <w:rsid w:val="00CA0444"/>
    <w:rsid w:val="00CA42BC"/>
    <w:rsid w:val="00CA444C"/>
    <w:rsid w:val="00CA64A3"/>
    <w:rsid w:val="00CB1E97"/>
    <w:rsid w:val="00CB3F7F"/>
    <w:rsid w:val="00CB4672"/>
    <w:rsid w:val="00CB4A0D"/>
    <w:rsid w:val="00CB4FA6"/>
    <w:rsid w:val="00CB54B5"/>
    <w:rsid w:val="00CB5C39"/>
    <w:rsid w:val="00CC0688"/>
    <w:rsid w:val="00CC12FC"/>
    <w:rsid w:val="00CC1E12"/>
    <w:rsid w:val="00CC210B"/>
    <w:rsid w:val="00CC3F08"/>
    <w:rsid w:val="00CC624A"/>
    <w:rsid w:val="00CC765B"/>
    <w:rsid w:val="00CC7A23"/>
    <w:rsid w:val="00CD0E2F"/>
    <w:rsid w:val="00CD38B4"/>
    <w:rsid w:val="00CD65D3"/>
    <w:rsid w:val="00CD69EB"/>
    <w:rsid w:val="00CD6AE2"/>
    <w:rsid w:val="00CE3873"/>
    <w:rsid w:val="00CE6133"/>
    <w:rsid w:val="00CE693D"/>
    <w:rsid w:val="00CF03D3"/>
    <w:rsid w:val="00CF2162"/>
    <w:rsid w:val="00CF269C"/>
    <w:rsid w:val="00CF27DE"/>
    <w:rsid w:val="00D01686"/>
    <w:rsid w:val="00D05E01"/>
    <w:rsid w:val="00D06E64"/>
    <w:rsid w:val="00D07377"/>
    <w:rsid w:val="00D07F25"/>
    <w:rsid w:val="00D13B23"/>
    <w:rsid w:val="00D153CD"/>
    <w:rsid w:val="00D1726C"/>
    <w:rsid w:val="00D1777D"/>
    <w:rsid w:val="00D222E8"/>
    <w:rsid w:val="00D2387B"/>
    <w:rsid w:val="00D24199"/>
    <w:rsid w:val="00D25F5B"/>
    <w:rsid w:val="00D27741"/>
    <w:rsid w:val="00D320F2"/>
    <w:rsid w:val="00D323F9"/>
    <w:rsid w:val="00D328AB"/>
    <w:rsid w:val="00D33A08"/>
    <w:rsid w:val="00D35D23"/>
    <w:rsid w:val="00D3764F"/>
    <w:rsid w:val="00D40791"/>
    <w:rsid w:val="00D42CED"/>
    <w:rsid w:val="00D44170"/>
    <w:rsid w:val="00D4541C"/>
    <w:rsid w:val="00D4635A"/>
    <w:rsid w:val="00D51A5F"/>
    <w:rsid w:val="00D57612"/>
    <w:rsid w:val="00D61260"/>
    <w:rsid w:val="00D64D2C"/>
    <w:rsid w:val="00D6708C"/>
    <w:rsid w:val="00D67401"/>
    <w:rsid w:val="00D674B8"/>
    <w:rsid w:val="00D72D17"/>
    <w:rsid w:val="00D72F02"/>
    <w:rsid w:val="00D8058C"/>
    <w:rsid w:val="00D80F77"/>
    <w:rsid w:val="00D8177A"/>
    <w:rsid w:val="00D81938"/>
    <w:rsid w:val="00D835F6"/>
    <w:rsid w:val="00D86613"/>
    <w:rsid w:val="00D9031D"/>
    <w:rsid w:val="00D9185A"/>
    <w:rsid w:val="00D92355"/>
    <w:rsid w:val="00D92497"/>
    <w:rsid w:val="00D9293A"/>
    <w:rsid w:val="00D94C3B"/>
    <w:rsid w:val="00DA012C"/>
    <w:rsid w:val="00DA0A93"/>
    <w:rsid w:val="00DA4228"/>
    <w:rsid w:val="00DA4543"/>
    <w:rsid w:val="00DA45F6"/>
    <w:rsid w:val="00DA6347"/>
    <w:rsid w:val="00DA7D4F"/>
    <w:rsid w:val="00DA7FB3"/>
    <w:rsid w:val="00DB04A1"/>
    <w:rsid w:val="00DB2AB2"/>
    <w:rsid w:val="00DB3227"/>
    <w:rsid w:val="00DB3FA5"/>
    <w:rsid w:val="00DB549F"/>
    <w:rsid w:val="00DB64A9"/>
    <w:rsid w:val="00DB6AB8"/>
    <w:rsid w:val="00DB6CEE"/>
    <w:rsid w:val="00DB75F1"/>
    <w:rsid w:val="00DC0FE6"/>
    <w:rsid w:val="00DC6047"/>
    <w:rsid w:val="00DC7464"/>
    <w:rsid w:val="00DD1594"/>
    <w:rsid w:val="00DD15F8"/>
    <w:rsid w:val="00DD257D"/>
    <w:rsid w:val="00DD5670"/>
    <w:rsid w:val="00DD5CA7"/>
    <w:rsid w:val="00DD65A1"/>
    <w:rsid w:val="00DE0CAA"/>
    <w:rsid w:val="00DE3A8F"/>
    <w:rsid w:val="00DE5D92"/>
    <w:rsid w:val="00DE6669"/>
    <w:rsid w:val="00DF1C11"/>
    <w:rsid w:val="00DF21EB"/>
    <w:rsid w:val="00E01EF2"/>
    <w:rsid w:val="00E02C5A"/>
    <w:rsid w:val="00E043E7"/>
    <w:rsid w:val="00E048DB"/>
    <w:rsid w:val="00E0575E"/>
    <w:rsid w:val="00E074D1"/>
    <w:rsid w:val="00E106D6"/>
    <w:rsid w:val="00E11482"/>
    <w:rsid w:val="00E1301D"/>
    <w:rsid w:val="00E1557C"/>
    <w:rsid w:val="00E235F9"/>
    <w:rsid w:val="00E266FC"/>
    <w:rsid w:val="00E27D7A"/>
    <w:rsid w:val="00E3428A"/>
    <w:rsid w:val="00E349F5"/>
    <w:rsid w:val="00E34EF2"/>
    <w:rsid w:val="00E3659E"/>
    <w:rsid w:val="00E4273F"/>
    <w:rsid w:val="00E427F2"/>
    <w:rsid w:val="00E43774"/>
    <w:rsid w:val="00E47E5F"/>
    <w:rsid w:val="00E52014"/>
    <w:rsid w:val="00E52C30"/>
    <w:rsid w:val="00E543EE"/>
    <w:rsid w:val="00E5493E"/>
    <w:rsid w:val="00E55C78"/>
    <w:rsid w:val="00E5649F"/>
    <w:rsid w:val="00E60E50"/>
    <w:rsid w:val="00E61C12"/>
    <w:rsid w:val="00E63D8C"/>
    <w:rsid w:val="00E67FBE"/>
    <w:rsid w:val="00E70479"/>
    <w:rsid w:val="00E70CE9"/>
    <w:rsid w:val="00E761E6"/>
    <w:rsid w:val="00E7778A"/>
    <w:rsid w:val="00E81D88"/>
    <w:rsid w:val="00E83E41"/>
    <w:rsid w:val="00E86A42"/>
    <w:rsid w:val="00E87A49"/>
    <w:rsid w:val="00E90DD4"/>
    <w:rsid w:val="00E9287B"/>
    <w:rsid w:val="00E949C4"/>
    <w:rsid w:val="00E96222"/>
    <w:rsid w:val="00E96BDA"/>
    <w:rsid w:val="00E977B4"/>
    <w:rsid w:val="00E977CE"/>
    <w:rsid w:val="00EA0470"/>
    <w:rsid w:val="00EA191B"/>
    <w:rsid w:val="00EA308E"/>
    <w:rsid w:val="00EA384F"/>
    <w:rsid w:val="00EA509F"/>
    <w:rsid w:val="00EA59D7"/>
    <w:rsid w:val="00EB2000"/>
    <w:rsid w:val="00EB2EDE"/>
    <w:rsid w:val="00EB2F97"/>
    <w:rsid w:val="00EB437C"/>
    <w:rsid w:val="00EB79CD"/>
    <w:rsid w:val="00EB7DF1"/>
    <w:rsid w:val="00EC2815"/>
    <w:rsid w:val="00EC2D99"/>
    <w:rsid w:val="00ED1446"/>
    <w:rsid w:val="00ED1FE6"/>
    <w:rsid w:val="00ED2074"/>
    <w:rsid w:val="00ED2D3F"/>
    <w:rsid w:val="00ED3650"/>
    <w:rsid w:val="00ED443B"/>
    <w:rsid w:val="00ED448C"/>
    <w:rsid w:val="00ED70C7"/>
    <w:rsid w:val="00ED7B98"/>
    <w:rsid w:val="00EE0732"/>
    <w:rsid w:val="00EE26AE"/>
    <w:rsid w:val="00EE3390"/>
    <w:rsid w:val="00EE420D"/>
    <w:rsid w:val="00EE6073"/>
    <w:rsid w:val="00EE7C41"/>
    <w:rsid w:val="00EF0AE8"/>
    <w:rsid w:val="00EF2CCC"/>
    <w:rsid w:val="00EF2F82"/>
    <w:rsid w:val="00EF399D"/>
    <w:rsid w:val="00EF528C"/>
    <w:rsid w:val="00EF720E"/>
    <w:rsid w:val="00EF764C"/>
    <w:rsid w:val="00F0273A"/>
    <w:rsid w:val="00F039A7"/>
    <w:rsid w:val="00F04228"/>
    <w:rsid w:val="00F073F9"/>
    <w:rsid w:val="00F075A9"/>
    <w:rsid w:val="00F105B1"/>
    <w:rsid w:val="00F11D84"/>
    <w:rsid w:val="00F12D28"/>
    <w:rsid w:val="00F150AC"/>
    <w:rsid w:val="00F15142"/>
    <w:rsid w:val="00F21622"/>
    <w:rsid w:val="00F267C2"/>
    <w:rsid w:val="00F30817"/>
    <w:rsid w:val="00F32596"/>
    <w:rsid w:val="00F33940"/>
    <w:rsid w:val="00F33C39"/>
    <w:rsid w:val="00F342C5"/>
    <w:rsid w:val="00F35AFB"/>
    <w:rsid w:val="00F36E1C"/>
    <w:rsid w:val="00F3716C"/>
    <w:rsid w:val="00F4175C"/>
    <w:rsid w:val="00F41F28"/>
    <w:rsid w:val="00F424D1"/>
    <w:rsid w:val="00F470BD"/>
    <w:rsid w:val="00F5052A"/>
    <w:rsid w:val="00F54ACF"/>
    <w:rsid w:val="00F61229"/>
    <w:rsid w:val="00F63090"/>
    <w:rsid w:val="00F64716"/>
    <w:rsid w:val="00F71E1F"/>
    <w:rsid w:val="00F72BB8"/>
    <w:rsid w:val="00F72E88"/>
    <w:rsid w:val="00F75A79"/>
    <w:rsid w:val="00F76364"/>
    <w:rsid w:val="00F80F19"/>
    <w:rsid w:val="00F81681"/>
    <w:rsid w:val="00F85FD2"/>
    <w:rsid w:val="00F91107"/>
    <w:rsid w:val="00F9268A"/>
    <w:rsid w:val="00F94953"/>
    <w:rsid w:val="00F95AC3"/>
    <w:rsid w:val="00F9667F"/>
    <w:rsid w:val="00FA0A2B"/>
    <w:rsid w:val="00FA30C5"/>
    <w:rsid w:val="00FA409E"/>
    <w:rsid w:val="00FA5206"/>
    <w:rsid w:val="00FA6F66"/>
    <w:rsid w:val="00FA70AD"/>
    <w:rsid w:val="00FA7A20"/>
    <w:rsid w:val="00FB0FA9"/>
    <w:rsid w:val="00FB3956"/>
    <w:rsid w:val="00FB70A3"/>
    <w:rsid w:val="00FC0EAF"/>
    <w:rsid w:val="00FC1730"/>
    <w:rsid w:val="00FC2358"/>
    <w:rsid w:val="00FC2A9A"/>
    <w:rsid w:val="00FC7E7E"/>
    <w:rsid w:val="00FD17EA"/>
    <w:rsid w:val="00FD251B"/>
    <w:rsid w:val="00FD29B3"/>
    <w:rsid w:val="00FD3647"/>
    <w:rsid w:val="00FD6E39"/>
    <w:rsid w:val="00FD7717"/>
    <w:rsid w:val="00FD77BE"/>
    <w:rsid w:val="00FE02F6"/>
    <w:rsid w:val="00FE0613"/>
    <w:rsid w:val="00FE204F"/>
    <w:rsid w:val="00FE2D06"/>
    <w:rsid w:val="00FE3286"/>
    <w:rsid w:val="00FE494B"/>
    <w:rsid w:val="00FE6198"/>
    <w:rsid w:val="00FE6B43"/>
    <w:rsid w:val="00FE7C8B"/>
    <w:rsid w:val="00FF307C"/>
    <w:rsid w:val="00FF3A37"/>
    <w:rsid w:val="00FF510B"/>
    <w:rsid w:val="00FF5CFA"/>
    <w:rsid w:val="00FF7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4170"/>
    <w:pPr>
      <w:autoSpaceDE w:val="0"/>
      <w:autoSpaceDN w:val="0"/>
      <w:spacing w:after="240" w:line="240" w:lineRule="auto"/>
      <w:outlineLvl w:val="0"/>
    </w:pPr>
    <w:rPr>
      <w:rFonts w:ascii="Verdana" w:eastAsia="Times New Roman" w:hAnsi="Verdana" w:cs="Times New Roman"/>
      <w:bCs/>
      <w:color w:val="009DDC"/>
      <w:sz w:val="32"/>
      <w:szCs w:val="3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2392"/>
    <w:pPr>
      <w:ind w:left="720"/>
      <w:contextualSpacing/>
    </w:pPr>
  </w:style>
  <w:style w:type="paragraph" w:styleId="NoSpacing">
    <w:name w:val="No Spacing"/>
    <w:link w:val="NoSpacingChar"/>
    <w:uiPriority w:val="1"/>
    <w:qFormat/>
    <w:rsid w:val="007D79A5"/>
    <w:pPr>
      <w:spacing w:after="0" w:line="240" w:lineRule="auto"/>
    </w:p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
    <w:link w:val="FootnoteTextChar"/>
    <w:autoRedefine/>
    <w:uiPriority w:val="99"/>
    <w:unhideWhenUsed/>
    <w:rsid w:val="003912C3"/>
    <w:pPr>
      <w:spacing w:after="0" w:line="240" w:lineRule="auto"/>
      <w:jc w:val="both"/>
    </w:pPr>
    <w:rPr>
      <w:rFonts w:eastAsia="MS Mincho" w:cs="Arial"/>
      <w:color w:val="002060"/>
      <w:sz w:val="18"/>
      <w:szCs w:val="18"/>
      <w:lang w:eastAsia="ja-JP"/>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
    <w:basedOn w:val="DefaultParagraphFont"/>
    <w:link w:val="FootnoteText"/>
    <w:uiPriority w:val="99"/>
    <w:rsid w:val="003912C3"/>
    <w:rPr>
      <w:rFonts w:eastAsia="MS Mincho" w:cs="Arial"/>
      <w:color w:val="002060"/>
      <w:sz w:val="18"/>
      <w:szCs w:val="18"/>
      <w:lang w:eastAsia="ja-JP"/>
    </w:rPr>
  </w:style>
  <w:style w:type="character" w:customStyle="1" w:styleId="Heading1Char">
    <w:name w:val="Heading 1 Char"/>
    <w:basedOn w:val="DefaultParagraphFont"/>
    <w:link w:val="Heading1"/>
    <w:uiPriority w:val="9"/>
    <w:rsid w:val="00D44170"/>
    <w:rPr>
      <w:rFonts w:ascii="Verdana" w:eastAsia="Times New Roman" w:hAnsi="Verdana" w:cs="Times New Roman"/>
      <w:bCs/>
      <w:color w:val="009DDC"/>
      <w:sz w:val="32"/>
      <w:szCs w:val="32"/>
      <w:lang w:val="en-GB" w:eastAsia="ja-JP"/>
    </w:rPr>
  </w:style>
  <w:style w:type="paragraph" w:customStyle="1" w:styleId="Default">
    <w:name w:val="Default"/>
    <w:rsid w:val="00CB4A0D"/>
    <w:pPr>
      <w:autoSpaceDE w:val="0"/>
      <w:autoSpaceDN w:val="0"/>
      <w:adjustRightInd w:val="0"/>
      <w:spacing w:after="0" w:line="240" w:lineRule="auto"/>
    </w:pPr>
    <w:rPr>
      <w:rFonts w:ascii="Calibri" w:hAnsi="Calibri" w:cs="Calibri"/>
      <w:color w:val="000000"/>
      <w:sz w:val="24"/>
      <w:szCs w:val="24"/>
    </w:rPr>
  </w:style>
  <w:style w:type="character" w:styleId="FootnoteReference">
    <w:name w:val="footnote reference"/>
    <w:basedOn w:val="DefaultParagraphFont"/>
    <w:uiPriority w:val="99"/>
    <w:unhideWhenUsed/>
    <w:rsid w:val="00BC0EF7"/>
    <w:rPr>
      <w:vertAlign w:val="superscript"/>
    </w:rPr>
  </w:style>
  <w:style w:type="paragraph" w:styleId="BalloonText">
    <w:name w:val="Balloon Text"/>
    <w:basedOn w:val="Normal"/>
    <w:link w:val="BalloonTextChar"/>
    <w:uiPriority w:val="99"/>
    <w:semiHidden/>
    <w:unhideWhenUsed/>
    <w:rsid w:val="00402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B69"/>
    <w:rPr>
      <w:rFonts w:ascii="Tahoma" w:hAnsi="Tahoma" w:cs="Tahoma"/>
      <w:sz w:val="16"/>
      <w:szCs w:val="16"/>
    </w:rPr>
  </w:style>
  <w:style w:type="table" w:styleId="TableGrid">
    <w:name w:val="Table Grid"/>
    <w:basedOn w:val="TableNormal"/>
    <w:uiPriority w:val="59"/>
    <w:rsid w:val="0013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0A70"/>
    <w:rPr>
      <w:sz w:val="16"/>
      <w:szCs w:val="16"/>
    </w:rPr>
  </w:style>
  <w:style w:type="paragraph" w:styleId="CommentText">
    <w:name w:val="annotation text"/>
    <w:basedOn w:val="Normal"/>
    <w:link w:val="CommentTextChar"/>
    <w:uiPriority w:val="99"/>
    <w:semiHidden/>
    <w:unhideWhenUsed/>
    <w:rsid w:val="00630A70"/>
    <w:pPr>
      <w:spacing w:line="240" w:lineRule="auto"/>
    </w:pPr>
    <w:rPr>
      <w:sz w:val="20"/>
      <w:szCs w:val="20"/>
    </w:rPr>
  </w:style>
  <w:style w:type="character" w:customStyle="1" w:styleId="CommentTextChar">
    <w:name w:val="Comment Text Char"/>
    <w:basedOn w:val="DefaultParagraphFont"/>
    <w:link w:val="CommentText"/>
    <w:uiPriority w:val="99"/>
    <w:semiHidden/>
    <w:rsid w:val="00630A70"/>
    <w:rPr>
      <w:sz w:val="20"/>
      <w:szCs w:val="20"/>
    </w:rPr>
  </w:style>
  <w:style w:type="paragraph" w:styleId="CommentSubject">
    <w:name w:val="annotation subject"/>
    <w:basedOn w:val="CommentText"/>
    <w:next w:val="CommentText"/>
    <w:link w:val="CommentSubjectChar"/>
    <w:uiPriority w:val="99"/>
    <w:semiHidden/>
    <w:unhideWhenUsed/>
    <w:rsid w:val="00630A70"/>
    <w:rPr>
      <w:b/>
      <w:bCs/>
    </w:rPr>
  </w:style>
  <w:style w:type="character" w:customStyle="1" w:styleId="CommentSubjectChar">
    <w:name w:val="Comment Subject Char"/>
    <w:basedOn w:val="CommentTextChar"/>
    <w:link w:val="CommentSubject"/>
    <w:uiPriority w:val="99"/>
    <w:semiHidden/>
    <w:rsid w:val="00630A70"/>
    <w:rPr>
      <w:b/>
      <w:bCs/>
      <w:sz w:val="20"/>
      <w:szCs w:val="20"/>
    </w:rPr>
  </w:style>
  <w:style w:type="paragraph" w:customStyle="1" w:styleId="ECDPMreporttitle">
    <w:name w:val="ECDPM report title"/>
    <w:basedOn w:val="Normal"/>
    <w:next w:val="Normal"/>
    <w:qFormat/>
    <w:rsid w:val="00F85FD2"/>
    <w:pPr>
      <w:spacing w:after="600" w:line="240" w:lineRule="auto"/>
    </w:pPr>
    <w:rPr>
      <w:rFonts w:ascii="Verdana" w:eastAsia="MS Mincho" w:hAnsi="Verdana" w:cs="Times New Roman"/>
      <w:color w:val="009DDC"/>
      <w:sz w:val="48"/>
      <w:szCs w:val="24"/>
      <w:lang w:val="en-GB" w:eastAsia="ja-JP"/>
    </w:rPr>
  </w:style>
  <w:style w:type="character" w:customStyle="1" w:styleId="A19">
    <w:name w:val="A19"/>
    <w:uiPriority w:val="99"/>
    <w:rsid w:val="0060024D"/>
    <w:rPr>
      <w:color w:val="000000"/>
    </w:rPr>
  </w:style>
  <w:style w:type="character" w:styleId="Hyperlink">
    <w:name w:val="Hyperlink"/>
    <w:basedOn w:val="DefaultParagraphFont"/>
    <w:uiPriority w:val="99"/>
    <w:unhideWhenUsed/>
    <w:rsid w:val="00E7778A"/>
    <w:rPr>
      <w:color w:val="0000FF" w:themeColor="hyperlink"/>
      <w:u w:val="single"/>
    </w:rPr>
  </w:style>
  <w:style w:type="paragraph" w:styleId="Header">
    <w:name w:val="header"/>
    <w:basedOn w:val="Normal"/>
    <w:link w:val="HeaderChar"/>
    <w:uiPriority w:val="99"/>
    <w:unhideWhenUsed/>
    <w:rsid w:val="00283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6CA"/>
  </w:style>
  <w:style w:type="paragraph" w:styleId="Footer">
    <w:name w:val="footer"/>
    <w:basedOn w:val="Normal"/>
    <w:link w:val="FooterChar"/>
    <w:uiPriority w:val="99"/>
    <w:unhideWhenUsed/>
    <w:rsid w:val="00283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6CA"/>
  </w:style>
  <w:style w:type="character" w:customStyle="1" w:styleId="ListParagraphChar">
    <w:name w:val="List Paragraph Char"/>
    <w:basedOn w:val="DefaultParagraphFont"/>
    <w:link w:val="ListParagraph"/>
    <w:uiPriority w:val="34"/>
    <w:locked/>
    <w:rsid w:val="00885C48"/>
  </w:style>
  <w:style w:type="paragraph" w:customStyle="1" w:styleId="Bulletpoint1">
    <w:name w:val="Bullet point1"/>
    <w:basedOn w:val="NormalIndent"/>
    <w:link w:val="Bulletpoint1Char"/>
    <w:qFormat/>
    <w:rsid w:val="00281F0F"/>
    <w:pPr>
      <w:numPr>
        <w:numId w:val="31"/>
      </w:numPr>
      <w:tabs>
        <w:tab w:val="num" w:pos="360"/>
      </w:tabs>
      <w:spacing w:after="120" w:line="240" w:lineRule="auto"/>
      <w:ind w:left="708" w:firstLine="0"/>
    </w:pPr>
    <w:rPr>
      <w:rFonts w:ascii="EC Square Sans Pro" w:eastAsia="Times New Roman" w:hAnsi="EC Square Sans Pro" w:cs="Times New Roman"/>
      <w:sz w:val="20"/>
      <w:szCs w:val="20"/>
      <w:lang w:val="en-GB"/>
    </w:rPr>
  </w:style>
  <w:style w:type="character" w:styleId="IntenseEmphasis">
    <w:name w:val="Intense Emphasis"/>
    <w:uiPriority w:val="21"/>
    <w:qFormat/>
    <w:rsid w:val="00281F0F"/>
    <w:rPr>
      <w:rFonts w:ascii="EC Square Sans Pro" w:hAnsi="EC Square Sans Pro"/>
      <w:b/>
      <w:bCs/>
      <w:i/>
      <w:iCs/>
      <w:color w:val="F6AA34"/>
      <w:lang w:val="en-GB"/>
    </w:rPr>
  </w:style>
  <w:style w:type="character" w:customStyle="1" w:styleId="Bulletpoint1Char">
    <w:name w:val="Bullet point1 Char"/>
    <w:basedOn w:val="DefaultParagraphFont"/>
    <w:link w:val="Bulletpoint1"/>
    <w:rsid w:val="00281F0F"/>
    <w:rPr>
      <w:rFonts w:ascii="EC Square Sans Pro" w:eastAsia="Times New Roman" w:hAnsi="EC Square Sans Pro" w:cs="Times New Roman"/>
      <w:sz w:val="20"/>
      <w:szCs w:val="20"/>
      <w:lang w:val="en-GB"/>
    </w:rPr>
  </w:style>
  <w:style w:type="paragraph" w:styleId="NormalIndent">
    <w:name w:val="Normal Indent"/>
    <w:basedOn w:val="Normal"/>
    <w:uiPriority w:val="99"/>
    <w:semiHidden/>
    <w:unhideWhenUsed/>
    <w:rsid w:val="00281F0F"/>
    <w:pPr>
      <w:ind w:left="708"/>
    </w:pPr>
  </w:style>
  <w:style w:type="character" w:styleId="SubtleEmphasis">
    <w:name w:val="Subtle Emphasis"/>
    <w:uiPriority w:val="19"/>
    <w:qFormat/>
    <w:rsid w:val="0024335C"/>
    <w:rPr>
      <w:rFonts w:ascii="Garamond" w:hAnsi="Garamond"/>
      <w:b/>
      <w:iCs/>
      <w:color w:val="FFC000"/>
      <w:sz w:val="28"/>
      <w:lang w:val="en-GB"/>
    </w:rPr>
  </w:style>
  <w:style w:type="character" w:styleId="Strong">
    <w:name w:val="Strong"/>
    <w:qFormat/>
    <w:rsid w:val="00E86A42"/>
    <w:rPr>
      <w:b/>
      <w:bCs/>
    </w:rPr>
  </w:style>
  <w:style w:type="paragraph" w:styleId="NormalWeb">
    <w:name w:val="Normal (Web)"/>
    <w:basedOn w:val="Normal"/>
    <w:uiPriority w:val="99"/>
    <w:unhideWhenUsed/>
    <w:rsid w:val="00026070"/>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026070"/>
    <w:pPr>
      <w:spacing w:after="0" w:line="240" w:lineRule="auto"/>
    </w:pPr>
  </w:style>
  <w:style w:type="character" w:customStyle="1" w:styleId="NoSpacingChar">
    <w:name w:val="No Spacing Char"/>
    <w:basedOn w:val="DefaultParagraphFont"/>
    <w:link w:val="NoSpacing"/>
    <w:uiPriority w:val="1"/>
    <w:rsid w:val="008D55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4170"/>
    <w:pPr>
      <w:autoSpaceDE w:val="0"/>
      <w:autoSpaceDN w:val="0"/>
      <w:spacing w:after="240" w:line="240" w:lineRule="auto"/>
      <w:outlineLvl w:val="0"/>
    </w:pPr>
    <w:rPr>
      <w:rFonts w:ascii="Verdana" w:eastAsia="Times New Roman" w:hAnsi="Verdana" w:cs="Times New Roman"/>
      <w:bCs/>
      <w:color w:val="009DDC"/>
      <w:sz w:val="32"/>
      <w:szCs w:val="3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2392"/>
    <w:pPr>
      <w:ind w:left="720"/>
      <w:contextualSpacing/>
    </w:pPr>
  </w:style>
  <w:style w:type="paragraph" w:styleId="NoSpacing">
    <w:name w:val="No Spacing"/>
    <w:link w:val="NoSpacingChar"/>
    <w:uiPriority w:val="1"/>
    <w:qFormat/>
    <w:rsid w:val="007D79A5"/>
    <w:pPr>
      <w:spacing w:after="0" w:line="240" w:lineRule="auto"/>
    </w:p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
    <w:link w:val="FootnoteTextChar"/>
    <w:autoRedefine/>
    <w:uiPriority w:val="99"/>
    <w:unhideWhenUsed/>
    <w:rsid w:val="003912C3"/>
    <w:pPr>
      <w:spacing w:after="0" w:line="240" w:lineRule="auto"/>
      <w:jc w:val="both"/>
    </w:pPr>
    <w:rPr>
      <w:rFonts w:eastAsia="MS Mincho" w:cs="Arial"/>
      <w:color w:val="002060"/>
      <w:sz w:val="18"/>
      <w:szCs w:val="18"/>
      <w:lang w:eastAsia="ja-JP"/>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
    <w:basedOn w:val="DefaultParagraphFont"/>
    <w:link w:val="FootnoteText"/>
    <w:uiPriority w:val="99"/>
    <w:rsid w:val="003912C3"/>
    <w:rPr>
      <w:rFonts w:eastAsia="MS Mincho" w:cs="Arial"/>
      <w:color w:val="002060"/>
      <w:sz w:val="18"/>
      <w:szCs w:val="18"/>
      <w:lang w:eastAsia="ja-JP"/>
    </w:rPr>
  </w:style>
  <w:style w:type="character" w:customStyle="1" w:styleId="Heading1Char">
    <w:name w:val="Heading 1 Char"/>
    <w:basedOn w:val="DefaultParagraphFont"/>
    <w:link w:val="Heading1"/>
    <w:uiPriority w:val="9"/>
    <w:rsid w:val="00D44170"/>
    <w:rPr>
      <w:rFonts w:ascii="Verdana" w:eastAsia="Times New Roman" w:hAnsi="Verdana" w:cs="Times New Roman"/>
      <w:bCs/>
      <w:color w:val="009DDC"/>
      <w:sz w:val="32"/>
      <w:szCs w:val="32"/>
      <w:lang w:val="en-GB" w:eastAsia="ja-JP"/>
    </w:rPr>
  </w:style>
  <w:style w:type="paragraph" w:customStyle="1" w:styleId="Default">
    <w:name w:val="Default"/>
    <w:rsid w:val="00CB4A0D"/>
    <w:pPr>
      <w:autoSpaceDE w:val="0"/>
      <w:autoSpaceDN w:val="0"/>
      <w:adjustRightInd w:val="0"/>
      <w:spacing w:after="0" w:line="240" w:lineRule="auto"/>
    </w:pPr>
    <w:rPr>
      <w:rFonts w:ascii="Calibri" w:hAnsi="Calibri" w:cs="Calibri"/>
      <w:color w:val="000000"/>
      <w:sz w:val="24"/>
      <w:szCs w:val="24"/>
    </w:rPr>
  </w:style>
  <w:style w:type="character" w:styleId="FootnoteReference">
    <w:name w:val="footnote reference"/>
    <w:basedOn w:val="DefaultParagraphFont"/>
    <w:uiPriority w:val="99"/>
    <w:unhideWhenUsed/>
    <w:rsid w:val="00BC0EF7"/>
    <w:rPr>
      <w:vertAlign w:val="superscript"/>
    </w:rPr>
  </w:style>
  <w:style w:type="paragraph" w:styleId="BalloonText">
    <w:name w:val="Balloon Text"/>
    <w:basedOn w:val="Normal"/>
    <w:link w:val="BalloonTextChar"/>
    <w:uiPriority w:val="99"/>
    <w:semiHidden/>
    <w:unhideWhenUsed/>
    <w:rsid w:val="00402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B69"/>
    <w:rPr>
      <w:rFonts w:ascii="Tahoma" w:hAnsi="Tahoma" w:cs="Tahoma"/>
      <w:sz w:val="16"/>
      <w:szCs w:val="16"/>
    </w:rPr>
  </w:style>
  <w:style w:type="table" w:styleId="TableGrid">
    <w:name w:val="Table Grid"/>
    <w:basedOn w:val="TableNormal"/>
    <w:uiPriority w:val="59"/>
    <w:rsid w:val="0013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0A70"/>
    <w:rPr>
      <w:sz w:val="16"/>
      <w:szCs w:val="16"/>
    </w:rPr>
  </w:style>
  <w:style w:type="paragraph" w:styleId="CommentText">
    <w:name w:val="annotation text"/>
    <w:basedOn w:val="Normal"/>
    <w:link w:val="CommentTextChar"/>
    <w:uiPriority w:val="99"/>
    <w:semiHidden/>
    <w:unhideWhenUsed/>
    <w:rsid w:val="00630A70"/>
    <w:pPr>
      <w:spacing w:line="240" w:lineRule="auto"/>
    </w:pPr>
    <w:rPr>
      <w:sz w:val="20"/>
      <w:szCs w:val="20"/>
    </w:rPr>
  </w:style>
  <w:style w:type="character" w:customStyle="1" w:styleId="CommentTextChar">
    <w:name w:val="Comment Text Char"/>
    <w:basedOn w:val="DefaultParagraphFont"/>
    <w:link w:val="CommentText"/>
    <w:uiPriority w:val="99"/>
    <w:semiHidden/>
    <w:rsid w:val="00630A70"/>
    <w:rPr>
      <w:sz w:val="20"/>
      <w:szCs w:val="20"/>
    </w:rPr>
  </w:style>
  <w:style w:type="paragraph" w:styleId="CommentSubject">
    <w:name w:val="annotation subject"/>
    <w:basedOn w:val="CommentText"/>
    <w:next w:val="CommentText"/>
    <w:link w:val="CommentSubjectChar"/>
    <w:uiPriority w:val="99"/>
    <w:semiHidden/>
    <w:unhideWhenUsed/>
    <w:rsid w:val="00630A70"/>
    <w:rPr>
      <w:b/>
      <w:bCs/>
    </w:rPr>
  </w:style>
  <w:style w:type="character" w:customStyle="1" w:styleId="CommentSubjectChar">
    <w:name w:val="Comment Subject Char"/>
    <w:basedOn w:val="CommentTextChar"/>
    <w:link w:val="CommentSubject"/>
    <w:uiPriority w:val="99"/>
    <w:semiHidden/>
    <w:rsid w:val="00630A70"/>
    <w:rPr>
      <w:b/>
      <w:bCs/>
      <w:sz w:val="20"/>
      <w:szCs w:val="20"/>
    </w:rPr>
  </w:style>
  <w:style w:type="paragraph" w:customStyle="1" w:styleId="ECDPMreporttitle">
    <w:name w:val="ECDPM report title"/>
    <w:basedOn w:val="Normal"/>
    <w:next w:val="Normal"/>
    <w:qFormat/>
    <w:rsid w:val="00F85FD2"/>
    <w:pPr>
      <w:spacing w:after="600" w:line="240" w:lineRule="auto"/>
    </w:pPr>
    <w:rPr>
      <w:rFonts w:ascii="Verdana" w:eastAsia="MS Mincho" w:hAnsi="Verdana" w:cs="Times New Roman"/>
      <w:color w:val="009DDC"/>
      <w:sz w:val="48"/>
      <w:szCs w:val="24"/>
      <w:lang w:val="en-GB" w:eastAsia="ja-JP"/>
    </w:rPr>
  </w:style>
  <w:style w:type="character" w:customStyle="1" w:styleId="A19">
    <w:name w:val="A19"/>
    <w:uiPriority w:val="99"/>
    <w:rsid w:val="0060024D"/>
    <w:rPr>
      <w:color w:val="000000"/>
    </w:rPr>
  </w:style>
  <w:style w:type="character" w:styleId="Hyperlink">
    <w:name w:val="Hyperlink"/>
    <w:basedOn w:val="DefaultParagraphFont"/>
    <w:uiPriority w:val="99"/>
    <w:unhideWhenUsed/>
    <w:rsid w:val="00E7778A"/>
    <w:rPr>
      <w:color w:val="0000FF" w:themeColor="hyperlink"/>
      <w:u w:val="single"/>
    </w:rPr>
  </w:style>
  <w:style w:type="paragraph" w:styleId="Header">
    <w:name w:val="header"/>
    <w:basedOn w:val="Normal"/>
    <w:link w:val="HeaderChar"/>
    <w:uiPriority w:val="99"/>
    <w:unhideWhenUsed/>
    <w:rsid w:val="00283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6CA"/>
  </w:style>
  <w:style w:type="paragraph" w:styleId="Footer">
    <w:name w:val="footer"/>
    <w:basedOn w:val="Normal"/>
    <w:link w:val="FooterChar"/>
    <w:uiPriority w:val="99"/>
    <w:unhideWhenUsed/>
    <w:rsid w:val="00283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6CA"/>
  </w:style>
  <w:style w:type="character" w:customStyle="1" w:styleId="ListParagraphChar">
    <w:name w:val="List Paragraph Char"/>
    <w:basedOn w:val="DefaultParagraphFont"/>
    <w:link w:val="ListParagraph"/>
    <w:uiPriority w:val="34"/>
    <w:locked/>
    <w:rsid w:val="00885C48"/>
  </w:style>
  <w:style w:type="paragraph" w:customStyle="1" w:styleId="Bulletpoint1">
    <w:name w:val="Bullet point1"/>
    <w:basedOn w:val="NormalIndent"/>
    <w:link w:val="Bulletpoint1Char"/>
    <w:qFormat/>
    <w:rsid w:val="00281F0F"/>
    <w:pPr>
      <w:numPr>
        <w:numId w:val="31"/>
      </w:numPr>
      <w:tabs>
        <w:tab w:val="num" w:pos="360"/>
      </w:tabs>
      <w:spacing w:after="120" w:line="240" w:lineRule="auto"/>
      <w:ind w:left="708" w:firstLine="0"/>
    </w:pPr>
    <w:rPr>
      <w:rFonts w:ascii="EC Square Sans Pro" w:eastAsia="Times New Roman" w:hAnsi="EC Square Sans Pro" w:cs="Times New Roman"/>
      <w:sz w:val="20"/>
      <w:szCs w:val="20"/>
      <w:lang w:val="en-GB"/>
    </w:rPr>
  </w:style>
  <w:style w:type="character" w:styleId="IntenseEmphasis">
    <w:name w:val="Intense Emphasis"/>
    <w:uiPriority w:val="21"/>
    <w:qFormat/>
    <w:rsid w:val="00281F0F"/>
    <w:rPr>
      <w:rFonts w:ascii="EC Square Sans Pro" w:hAnsi="EC Square Sans Pro"/>
      <w:b/>
      <w:bCs/>
      <w:i/>
      <w:iCs/>
      <w:color w:val="F6AA34"/>
      <w:lang w:val="en-GB"/>
    </w:rPr>
  </w:style>
  <w:style w:type="character" w:customStyle="1" w:styleId="Bulletpoint1Char">
    <w:name w:val="Bullet point1 Char"/>
    <w:basedOn w:val="DefaultParagraphFont"/>
    <w:link w:val="Bulletpoint1"/>
    <w:rsid w:val="00281F0F"/>
    <w:rPr>
      <w:rFonts w:ascii="EC Square Sans Pro" w:eastAsia="Times New Roman" w:hAnsi="EC Square Sans Pro" w:cs="Times New Roman"/>
      <w:sz w:val="20"/>
      <w:szCs w:val="20"/>
      <w:lang w:val="en-GB"/>
    </w:rPr>
  </w:style>
  <w:style w:type="paragraph" w:styleId="NormalIndent">
    <w:name w:val="Normal Indent"/>
    <w:basedOn w:val="Normal"/>
    <w:uiPriority w:val="99"/>
    <w:semiHidden/>
    <w:unhideWhenUsed/>
    <w:rsid w:val="00281F0F"/>
    <w:pPr>
      <w:ind w:left="708"/>
    </w:pPr>
  </w:style>
  <w:style w:type="character" w:styleId="SubtleEmphasis">
    <w:name w:val="Subtle Emphasis"/>
    <w:uiPriority w:val="19"/>
    <w:qFormat/>
    <w:rsid w:val="0024335C"/>
    <w:rPr>
      <w:rFonts w:ascii="Garamond" w:hAnsi="Garamond"/>
      <w:b/>
      <w:iCs/>
      <w:color w:val="FFC000"/>
      <w:sz w:val="28"/>
      <w:lang w:val="en-GB"/>
    </w:rPr>
  </w:style>
  <w:style w:type="character" w:styleId="Strong">
    <w:name w:val="Strong"/>
    <w:qFormat/>
    <w:rsid w:val="00E86A42"/>
    <w:rPr>
      <w:b/>
      <w:bCs/>
    </w:rPr>
  </w:style>
  <w:style w:type="paragraph" w:styleId="NormalWeb">
    <w:name w:val="Normal (Web)"/>
    <w:basedOn w:val="Normal"/>
    <w:uiPriority w:val="99"/>
    <w:unhideWhenUsed/>
    <w:rsid w:val="00026070"/>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026070"/>
    <w:pPr>
      <w:spacing w:after="0" w:line="240" w:lineRule="auto"/>
    </w:pPr>
  </w:style>
  <w:style w:type="character" w:customStyle="1" w:styleId="NoSpacingChar">
    <w:name w:val="No Spacing Char"/>
    <w:basedOn w:val="DefaultParagraphFont"/>
    <w:link w:val="NoSpacing"/>
    <w:uiPriority w:val="1"/>
    <w:rsid w:val="008D5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9394">
      <w:bodyDiv w:val="1"/>
      <w:marLeft w:val="0"/>
      <w:marRight w:val="0"/>
      <w:marTop w:val="0"/>
      <w:marBottom w:val="0"/>
      <w:divBdr>
        <w:top w:val="none" w:sz="0" w:space="0" w:color="auto"/>
        <w:left w:val="none" w:sz="0" w:space="0" w:color="auto"/>
        <w:bottom w:val="none" w:sz="0" w:space="0" w:color="auto"/>
        <w:right w:val="none" w:sz="0" w:space="0" w:color="auto"/>
      </w:divBdr>
    </w:div>
    <w:div w:id="614140548">
      <w:bodyDiv w:val="1"/>
      <w:marLeft w:val="0"/>
      <w:marRight w:val="0"/>
      <w:marTop w:val="0"/>
      <w:marBottom w:val="0"/>
      <w:divBdr>
        <w:top w:val="none" w:sz="0" w:space="0" w:color="auto"/>
        <w:left w:val="none" w:sz="0" w:space="0" w:color="auto"/>
        <w:bottom w:val="none" w:sz="0" w:space="0" w:color="auto"/>
        <w:right w:val="none" w:sz="0" w:space="0" w:color="auto"/>
      </w:divBdr>
    </w:div>
    <w:div w:id="804735483">
      <w:bodyDiv w:val="1"/>
      <w:marLeft w:val="0"/>
      <w:marRight w:val="0"/>
      <w:marTop w:val="0"/>
      <w:marBottom w:val="0"/>
      <w:divBdr>
        <w:top w:val="none" w:sz="0" w:space="0" w:color="auto"/>
        <w:left w:val="none" w:sz="0" w:space="0" w:color="auto"/>
        <w:bottom w:val="none" w:sz="0" w:space="0" w:color="auto"/>
        <w:right w:val="none" w:sz="0" w:space="0" w:color="auto"/>
      </w:divBdr>
    </w:div>
    <w:div w:id="874930118">
      <w:bodyDiv w:val="1"/>
      <w:marLeft w:val="0"/>
      <w:marRight w:val="0"/>
      <w:marTop w:val="0"/>
      <w:marBottom w:val="0"/>
      <w:divBdr>
        <w:top w:val="none" w:sz="0" w:space="0" w:color="auto"/>
        <w:left w:val="none" w:sz="0" w:space="0" w:color="auto"/>
        <w:bottom w:val="none" w:sz="0" w:space="0" w:color="auto"/>
        <w:right w:val="none" w:sz="0" w:space="0" w:color="auto"/>
      </w:divBdr>
    </w:div>
    <w:div w:id="1269463591">
      <w:bodyDiv w:val="1"/>
      <w:marLeft w:val="0"/>
      <w:marRight w:val="0"/>
      <w:marTop w:val="0"/>
      <w:marBottom w:val="0"/>
      <w:divBdr>
        <w:top w:val="none" w:sz="0" w:space="0" w:color="auto"/>
        <w:left w:val="none" w:sz="0" w:space="0" w:color="auto"/>
        <w:bottom w:val="none" w:sz="0" w:space="0" w:color="auto"/>
        <w:right w:val="none" w:sz="0" w:space="0" w:color="auto"/>
      </w:divBdr>
    </w:div>
    <w:div w:id="1457991093">
      <w:bodyDiv w:val="1"/>
      <w:marLeft w:val="0"/>
      <w:marRight w:val="0"/>
      <w:marTop w:val="0"/>
      <w:marBottom w:val="0"/>
      <w:divBdr>
        <w:top w:val="none" w:sz="0" w:space="0" w:color="auto"/>
        <w:left w:val="none" w:sz="0" w:space="0" w:color="auto"/>
        <w:bottom w:val="none" w:sz="0" w:space="0" w:color="auto"/>
        <w:right w:val="none" w:sz="0" w:space="0" w:color="auto"/>
      </w:divBdr>
    </w:div>
    <w:div w:id="1542747295">
      <w:bodyDiv w:val="1"/>
      <w:marLeft w:val="0"/>
      <w:marRight w:val="0"/>
      <w:marTop w:val="0"/>
      <w:marBottom w:val="0"/>
      <w:divBdr>
        <w:top w:val="none" w:sz="0" w:space="0" w:color="auto"/>
        <w:left w:val="none" w:sz="0" w:space="0" w:color="auto"/>
        <w:bottom w:val="none" w:sz="0" w:space="0" w:color="auto"/>
        <w:right w:val="none" w:sz="0" w:space="0" w:color="auto"/>
      </w:divBdr>
    </w:div>
    <w:div w:id="1575044845">
      <w:bodyDiv w:val="1"/>
      <w:marLeft w:val="0"/>
      <w:marRight w:val="0"/>
      <w:marTop w:val="0"/>
      <w:marBottom w:val="0"/>
      <w:divBdr>
        <w:top w:val="none" w:sz="0" w:space="0" w:color="auto"/>
        <w:left w:val="none" w:sz="0" w:space="0" w:color="auto"/>
        <w:bottom w:val="none" w:sz="0" w:space="0" w:color="auto"/>
        <w:right w:val="none" w:sz="0" w:space="0" w:color="auto"/>
      </w:divBdr>
      <w:divsChild>
        <w:div w:id="2043509951">
          <w:marLeft w:val="0"/>
          <w:marRight w:val="0"/>
          <w:marTop w:val="86"/>
          <w:marBottom w:val="0"/>
          <w:divBdr>
            <w:top w:val="none" w:sz="0" w:space="0" w:color="auto"/>
            <w:left w:val="none" w:sz="0" w:space="0" w:color="auto"/>
            <w:bottom w:val="none" w:sz="0" w:space="0" w:color="auto"/>
            <w:right w:val="none" w:sz="0" w:space="0" w:color="auto"/>
          </w:divBdr>
        </w:div>
        <w:div w:id="1118329052">
          <w:marLeft w:val="0"/>
          <w:marRight w:val="0"/>
          <w:marTop w:val="86"/>
          <w:marBottom w:val="0"/>
          <w:divBdr>
            <w:top w:val="none" w:sz="0" w:space="0" w:color="auto"/>
            <w:left w:val="none" w:sz="0" w:space="0" w:color="auto"/>
            <w:bottom w:val="none" w:sz="0" w:space="0" w:color="auto"/>
            <w:right w:val="none" w:sz="0" w:space="0" w:color="auto"/>
          </w:divBdr>
        </w:div>
        <w:div w:id="2095008100">
          <w:marLeft w:val="0"/>
          <w:marRight w:val="0"/>
          <w:marTop w:val="86"/>
          <w:marBottom w:val="0"/>
          <w:divBdr>
            <w:top w:val="none" w:sz="0" w:space="0" w:color="auto"/>
            <w:left w:val="none" w:sz="0" w:space="0" w:color="auto"/>
            <w:bottom w:val="none" w:sz="0" w:space="0" w:color="auto"/>
            <w:right w:val="none" w:sz="0" w:space="0" w:color="auto"/>
          </w:divBdr>
        </w:div>
        <w:div w:id="1771004260">
          <w:marLeft w:val="0"/>
          <w:marRight w:val="0"/>
          <w:marTop w:val="86"/>
          <w:marBottom w:val="0"/>
          <w:divBdr>
            <w:top w:val="none" w:sz="0" w:space="0" w:color="auto"/>
            <w:left w:val="none" w:sz="0" w:space="0" w:color="auto"/>
            <w:bottom w:val="none" w:sz="0" w:space="0" w:color="auto"/>
            <w:right w:val="none" w:sz="0" w:space="0" w:color="auto"/>
          </w:divBdr>
        </w:div>
        <w:div w:id="583493972">
          <w:marLeft w:val="0"/>
          <w:marRight w:val="0"/>
          <w:marTop w:val="86"/>
          <w:marBottom w:val="0"/>
          <w:divBdr>
            <w:top w:val="none" w:sz="0" w:space="0" w:color="auto"/>
            <w:left w:val="none" w:sz="0" w:space="0" w:color="auto"/>
            <w:bottom w:val="none" w:sz="0" w:space="0" w:color="auto"/>
            <w:right w:val="none" w:sz="0" w:space="0" w:color="auto"/>
          </w:divBdr>
        </w:div>
      </w:divsChild>
    </w:div>
    <w:div w:id="1688211144">
      <w:bodyDiv w:val="1"/>
      <w:marLeft w:val="0"/>
      <w:marRight w:val="0"/>
      <w:marTop w:val="0"/>
      <w:marBottom w:val="0"/>
      <w:divBdr>
        <w:top w:val="none" w:sz="0" w:space="0" w:color="auto"/>
        <w:left w:val="none" w:sz="0" w:space="0" w:color="auto"/>
        <w:bottom w:val="none" w:sz="0" w:space="0" w:color="auto"/>
        <w:right w:val="none" w:sz="0" w:space="0" w:color="auto"/>
      </w:divBdr>
    </w:div>
    <w:div w:id="1757093456">
      <w:bodyDiv w:val="1"/>
      <w:marLeft w:val="0"/>
      <w:marRight w:val="0"/>
      <w:marTop w:val="0"/>
      <w:marBottom w:val="0"/>
      <w:divBdr>
        <w:top w:val="none" w:sz="0" w:space="0" w:color="auto"/>
        <w:left w:val="none" w:sz="0" w:space="0" w:color="auto"/>
        <w:bottom w:val="none" w:sz="0" w:space="0" w:color="auto"/>
        <w:right w:val="none" w:sz="0" w:space="0" w:color="auto"/>
      </w:divBdr>
    </w:div>
    <w:div w:id="200589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undp.org/content/undp/en/home/librarypage/democratic-governance/oslo_governance_centre/governance_assessments/a-users-guide-to-measuring-local-governance-.html" TargetMode="External"/><Relationship Id="rId1" Type="http://schemas.openxmlformats.org/officeDocument/2006/relationships/hyperlink" Target="http://ec.europa.eu/regional_policy/archive/policy/future/pdf/report_barca_v03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0BAC5-3549-4A64-96FD-FE563641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15838</Words>
  <Characters>90280</Characters>
  <Application>Microsoft Office Word</Application>
  <DocSecurity>4</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G&gt; Romeo</dc:creator>
  <cp:lastModifiedBy>RODRIGUEZ BILBAO Jorge (DEVCO)</cp:lastModifiedBy>
  <cp:revision>2</cp:revision>
  <cp:lastPrinted>2016-02-03T08:32:00Z</cp:lastPrinted>
  <dcterms:created xsi:type="dcterms:W3CDTF">2016-03-16T16:46:00Z</dcterms:created>
  <dcterms:modified xsi:type="dcterms:W3CDTF">2016-03-16T16:46:00Z</dcterms:modified>
</cp:coreProperties>
</file>