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186" w:rsidRPr="00D87928" w:rsidRDefault="00473186" w:rsidP="00473186">
      <w:pPr>
        <w:suppressAutoHyphens/>
        <w:spacing w:after="0"/>
        <w:rPr>
          <w:rFonts w:ascii="Calibri" w:eastAsia="SimSun" w:hAnsi="Calibri" w:cs="Calibri"/>
          <w:b/>
          <w:bCs/>
          <w:i/>
          <w:iCs/>
          <w:color w:val="4F81BD"/>
          <w:kern w:val="1"/>
          <w:sz w:val="24"/>
          <w:lang w:eastAsia="ar-SA"/>
        </w:rPr>
      </w:pPr>
      <w:bookmarkStart w:id="0" w:name="_GoBack"/>
      <w:bookmarkEnd w:id="0"/>
      <w:r w:rsidRPr="00D87928">
        <w:rPr>
          <w:rFonts w:ascii="Calibri" w:eastAsia="SimSun" w:hAnsi="Calibri" w:cs="Calibri"/>
          <w:b/>
          <w:bCs/>
          <w:i/>
          <w:iCs/>
          <w:noProof/>
          <w:color w:val="4F81BD"/>
          <w:kern w:val="1"/>
          <w:sz w:val="24"/>
          <w:lang w:val="en-GB" w:eastAsia="en-GB"/>
        </w:rPr>
        <w:drawing>
          <wp:anchor distT="0" distB="0" distL="114300" distR="114300" simplePos="0" relativeHeight="251658240" behindDoc="0" locked="0" layoutInCell="1" allowOverlap="1">
            <wp:simplePos x="897890" y="897890"/>
            <wp:positionH relativeFrom="margin">
              <wp:align>left</wp:align>
            </wp:positionH>
            <wp:positionV relativeFrom="margin">
              <wp:align>top</wp:align>
            </wp:positionV>
            <wp:extent cx="540385" cy="540385"/>
            <wp:effectExtent l="0" t="0" r="0" b="0"/>
            <wp:wrapSquare wrapText="bothSides"/>
            <wp:docPr id="1" name="Picture 1" descr="U:\2. Sectors\EU Trust Fund Bêkou\6 - Visibilité &amp; Communication\5 - Matériel de communication\1 - Matériel COMM\4 - icones\gen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2. Sectors\EU Trust Fund Bêkou\6 - Visibilité &amp; Communication\5 - Matériel de communication\1 - Matériel COMM\4 - icones\genr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385" cy="540385"/>
                    </a:xfrm>
                    <a:prstGeom prst="rect">
                      <a:avLst/>
                    </a:prstGeom>
                    <a:noFill/>
                    <a:ln>
                      <a:noFill/>
                    </a:ln>
                  </pic:spPr>
                </pic:pic>
              </a:graphicData>
            </a:graphic>
          </wp:anchor>
        </w:drawing>
      </w:r>
      <w:r w:rsidR="007B5682">
        <w:rPr>
          <w:rFonts w:ascii="Calibri" w:eastAsia="SimSun" w:hAnsi="Calibri" w:cs="Calibri"/>
          <w:b/>
          <w:bCs/>
          <w:i/>
          <w:iCs/>
          <w:color w:val="4F81BD"/>
          <w:kern w:val="1"/>
          <w:sz w:val="24"/>
          <w:lang w:eastAsia="ar-SA"/>
        </w:rPr>
        <w:t xml:space="preserve">PROJET GENRE </w:t>
      </w:r>
      <w:r w:rsidRPr="00D87928">
        <w:rPr>
          <w:rFonts w:ascii="Calibri" w:eastAsia="SimSun" w:hAnsi="Calibri" w:cs="Calibri"/>
          <w:b/>
          <w:bCs/>
          <w:i/>
          <w:iCs/>
          <w:color w:val="4F81BD"/>
          <w:kern w:val="1"/>
          <w:sz w:val="24"/>
          <w:lang w:eastAsia="ar-SA"/>
        </w:rPr>
        <w:t xml:space="preserve">    </w:t>
      </w:r>
    </w:p>
    <w:p w:rsidR="00473186" w:rsidRPr="00D87928" w:rsidRDefault="00473186" w:rsidP="00473186">
      <w:pPr>
        <w:suppressAutoHyphens/>
        <w:spacing w:after="0"/>
        <w:ind w:left="708" w:firstLine="12"/>
        <w:rPr>
          <w:rFonts w:ascii="Calibri" w:eastAsia="SimSun" w:hAnsi="Calibri" w:cs="Calibri"/>
          <w:b/>
          <w:bCs/>
          <w:i/>
          <w:iCs/>
          <w:color w:val="4F81BD"/>
          <w:kern w:val="1"/>
          <w:sz w:val="24"/>
          <w:lang w:eastAsia="ar-SA"/>
        </w:rPr>
      </w:pPr>
      <w:r w:rsidRPr="00D87928">
        <w:rPr>
          <w:rFonts w:ascii="Calibri" w:eastAsia="SimSun" w:hAnsi="Calibri" w:cs="Calibri"/>
          <w:b/>
          <w:bCs/>
          <w:i/>
          <w:iCs/>
          <w:color w:val="4F81BD"/>
          <w:kern w:val="1"/>
          <w:sz w:val="24"/>
          <w:lang w:eastAsia="ar-SA"/>
        </w:rPr>
        <w:t xml:space="preserve">Amélioration de la situation économique et sociale des femmes et de leur famille </w:t>
      </w:r>
    </w:p>
    <w:p w:rsidR="00D87928" w:rsidRPr="00473186" w:rsidRDefault="00D87928" w:rsidP="00473186">
      <w:pPr>
        <w:suppressAutoHyphens/>
        <w:spacing w:after="0"/>
        <w:ind w:left="708" w:firstLine="12"/>
        <w:rPr>
          <w:rFonts w:ascii="Calibri" w:eastAsia="SimSun" w:hAnsi="Calibri" w:cs="Calibri"/>
          <w:b/>
          <w:bCs/>
          <w:i/>
          <w:iCs/>
          <w:color w:val="4F81BD"/>
          <w:kern w:val="1"/>
          <w:lang w:eastAsia="ar-SA"/>
        </w:rPr>
      </w:pPr>
    </w:p>
    <w:tbl>
      <w:tblPr>
        <w:tblStyle w:val="TableGrid"/>
        <w:tblpPr w:leftFromText="180" w:rightFromText="180" w:vertAnchor="text" w:horzAnchor="margin" w:tblpY="30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3717"/>
      </w:tblGrid>
      <w:tr w:rsidR="00D87928" w:rsidRPr="004B3F6A" w:rsidTr="000E6CBD">
        <w:tc>
          <w:tcPr>
            <w:tcW w:w="5211" w:type="dxa"/>
          </w:tcPr>
          <w:p w:rsidR="00D87928" w:rsidRPr="004B3F6A" w:rsidRDefault="00D87928" w:rsidP="00D87928">
            <w:pPr>
              <w:numPr>
                <w:ilvl w:val="0"/>
                <w:numId w:val="3"/>
              </w:numPr>
              <w:suppressAutoHyphens/>
              <w:spacing w:line="276" w:lineRule="auto"/>
              <w:rPr>
                <w:rFonts w:eastAsia="SimSun"/>
                <w:kern w:val="1"/>
                <w:sz w:val="20"/>
                <w:szCs w:val="20"/>
              </w:rPr>
            </w:pPr>
            <w:r w:rsidRPr="004B3F6A">
              <w:rPr>
                <w:rFonts w:eastAsia="SimSun"/>
                <w:b/>
                <w:kern w:val="1"/>
                <w:sz w:val="20"/>
                <w:szCs w:val="20"/>
              </w:rPr>
              <w:t>Durée de mise en œuvre</w:t>
            </w:r>
            <w:r w:rsidRPr="004B3F6A">
              <w:rPr>
                <w:rFonts w:eastAsia="SimSun"/>
                <w:kern w:val="1"/>
                <w:sz w:val="20"/>
                <w:szCs w:val="20"/>
              </w:rPr>
              <w:t>: 18 mois</w:t>
            </w:r>
          </w:p>
          <w:p w:rsidR="00D87928" w:rsidRPr="004B3F6A" w:rsidRDefault="00D87928" w:rsidP="00D87928">
            <w:pPr>
              <w:numPr>
                <w:ilvl w:val="0"/>
                <w:numId w:val="3"/>
              </w:numPr>
              <w:suppressAutoHyphens/>
              <w:spacing w:line="276" w:lineRule="auto"/>
              <w:rPr>
                <w:rFonts w:eastAsia="SimSun"/>
                <w:kern w:val="1"/>
                <w:sz w:val="20"/>
                <w:szCs w:val="20"/>
              </w:rPr>
            </w:pPr>
            <w:r w:rsidRPr="004B3F6A">
              <w:rPr>
                <w:rFonts w:eastAsia="SimSun"/>
                <w:b/>
                <w:kern w:val="1"/>
                <w:sz w:val="20"/>
                <w:szCs w:val="20"/>
              </w:rPr>
              <w:t>Coût total</w:t>
            </w:r>
            <w:r w:rsidRPr="004B3F6A">
              <w:rPr>
                <w:rFonts w:eastAsia="SimSun"/>
                <w:kern w:val="1"/>
                <w:sz w:val="20"/>
                <w:szCs w:val="20"/>
              </w:rPr>
              <w:t>: 1 500 000 euros</w:t>
            </w:r>
          </w:p>
          <w:p w:rsidR="00D87928" w:rsidRPr="004B3F6A" w:rsidRDefault="00D87928" w:rsidP="00D87928">
            <w:pPr>
              <w:numPr>
                <w:ilvl w:val="0"/>
                <w:numId w:val="3"/>
              </w:numPr>
              <w:suppressAutoHyphens/>
              <w:rPr>
                <w:rFonts w:eastAsia="SimSun"/>
                <w:kern w:val="1"/>
                <w:sz w:val="20"/>
                <w:szCs w:val="20"/>
              </w:rPr>
            </w:pPr>
            <w:r w:rsidRPr="004B3F6A">
              <w:rPr>
                <w:rFonts w:eastAsia="SimSun"/>
                <w:b/>
                <w:kern w:val="1"/>
                <w:sz w:val="20"/>
                <w:szCs w:val="20"/>
              </w:rPr>
              <w:t>Nombre de bénéficiaires estimé</w:t>
            </w:r>
            <w:r w:rsidRPr="004B3F6A">
              <w:rPr>
                <w:rFonts w:eastAsia="SimSun"/>
                <w:kern w:val="1"/>
                <w:sz w:val="20"/>
                <w:szCs w:val="20"/>
              </w:rPr>
              <w:t xml:space="preserve">: </w:t>
            </w:r>
          </w:p>
          <w:p w:rsidR="00D87928" w:rsidRPr="004B3F6A" w:rsidRDefault="00D87928" w:rsidP="00D87928">
            <w:pPr>
              <w:numPr>
                <w:ilvl w:val="0"/>
                <w:numId w:val="3"/>
              </w:numPr>
              <w:suppressAutoHyphens/>
              <w:spacing w:line="276" w:lineRule="auto"/>
              <w:rPr>
                <w:rFonts w:eastAsia="SimSun"/>
                <w:kern w:val="1"/>
                <w:sz w:val="20"/>
                <w:szCs w:val="20"/>
              </w:rPr>
            </w:pPr>
            <w:r w:rsidRPr="004B3F6A">
              <w:rPr>
                <w:rFonts w:eastAsia="SimSun"/>
                <w:b/>
                <w:kern w:val="1"/>
                <w:sz w:val="20"/>
                <w:szCs w:val="20"/>
              </w:rPr>
              <w:t>Localités</w:t>
            </w:r>
            <w:r w:rsidRPr="004B3F6A">
              <w:rPr>
                <w:rFonts w:eastAsia="SimSun"/>
                <w:kern w:val="1"/>
                <w:sz w:val="20"/>
                <w:szCs w:val="20"/>
              </w:rPr>
              <w:t xml:space="preserve">: </w:t>
            </w:r>
            <w:r w:rsidRPr="004B3F6A">
              <w:rPr>
                <w:sz w:val="20"/>
                <w:szCs w:val="20"/>
              </w:rPr>
              <w:t>Bangui, Kago Bandoro, Bocaranga</w:t>
            </w:r>
          </w:p>
          <w:p w:rsidR="00F80A13" w:rsidRPr="004B3F6A" w:rsidRDefault="00D87928" w:rsidP="00F80A13">
            <w:pPr>
              <w:numPr>
                <w:ilvl w:val="0"/>
                <w:numId w:val="3"/>
              </w:numPr>
              <w:suppressAutoHyphens/>
              <w:spacing w:line="276" w:lineRule="auto"/>
              <w:rPr>
                <w:sz w:val="20"/>
                <w:szCs w:val="20"/>
              </w:rPr>
            </w:pPr>
            <w:r w:rsidRPr="004B3F6A">
              <w:rPr>
                <w:rFonts w:eastAsia="SimSun"/>
                <w:b/>
                <w:kern w:val="1"/>
                <w:sz w:val="20"/>
                <w:szCs w:val="20"/>
              </w:rPr>
              <w:t>Partenaires de mise en œuvre</w:t>
            </w:r>
            <w:r w:rsidRPr="004B3F6A">
              <w:rPr>
                <w:rFonts w:eastAsia="SimSun"/>
                <w:kern w:val="1"/>
                <w:sz w:val="20"/>
                <w:szCs w:val="20"/>
              </w:rPr>
              <w:t xml:space="preserve">: IRC </w:t>
            </w:r>
            <w:r w:rsidR="006012A5" w:rsidRPr="004B3F6A">
              <w:rPr>
                <w:rFonts w:eastAsia="SimSun"/>
                <w:kern w:val="1"/>
                <w:sz w:val="20"/>
                <w:szCs w:val="20"/>
              </w:rPr>
              <w:t>(</w:t>
            </w:r>
            <w:r w:rsidRPr="004B3F6A">
              <w:rPr>
                <w:rFonts w:eastAsia="SimSun"/>
                <w:kern w:val="1"/>
                <w:sz w:val="20"/>
                <w:szCs w:val="20"/>
              </w:rPr>
              <w:t>International Rescue Committee</w:t>
            </w:r>
            <w:r w:rsidR="006012A5" w:rsidRPr="004B3F6A">
              <w:rPr>
                <w:rFonts w:eastAsia="SimSun"/>
                <w:kern w:val="1"/>
                <w:sz w:val="20"/>
                <w:szCs w:val="20"/>
              </w:rPr>
              <w:t>)</w:t>
            </w:r>
            <w:r w:rsidRPr="004B3F6A">
              <w:rPr>
                <w:rFonts w:eastAsia="SimSun"/>
                <w:kern w:val="1"/>
                <w:sz w:val="20"/>
                <w:szCs w:val="20"/>
              </w:rPr>
              <w:t xml:space="preserve"> </w:t>
            </w:r>
          </w:p>
          <w:p w:rsidR="00D87928" w:rsidRPr="004B3F6A" w:rsidRDefault="00D87928" w:rsidP="00F80A13">
            <w:pPr>
              <w:numPr>
                <w:ilvl w:val="0"/>
                <w:numId w:val="3"/>
              </w:numPr>
              <w:suppressAutoHyphens/>
              <w:spacing w:after="120" w:line="276" w:lineRule="auto"/>
              <w:ind w:left="357" w:hanging="357"/>
              <w:rPr>
                <w:sz w:val="20"/>
                <w:szCs w:val="20"/>
              </w:rPr>
            </w:pPr>
            <w:r w:rsidRPr="004B3F6A">
              <w:rPr>
                <w:rFonts w:eastAsia="SimSun"/>
                <w:b/>
                <w:kern w:val="1"/>
                <w:sz w:val="20"/>
                <w:szCs w:val="20"/>
              </w:rPr>
              <w:t>Début des activités</w:t>
            </w:r>
            <w:r w:rsidRPr="004B3F6A">
              <w:rPr>
                <w:rFonts w:eastAsia="SimSun"/>
                <w:kern w:val="1"/>
                <w:sz w:val="20"/>
                <w:szCs w:val="20"/>
              </w:rPr>
              <w:t>: février 2015</w:t>
            </w:r>
          </w:p>
        </w:tc>
        <w:tc>
          <w:tcPr>
            <w:tcW w:w="3717" w:type="dxa"/>
          </w:tcPr>
          <w:p w:rsidR="00D87928" w:rsidRPr="004B3F6A" w:rsidRDefault="00D87928" w:rsidP="004F32F0">
            <w:pPr>
              <w:pStyle w:val="ListParagraph"/>
              <w:ind w:left="0"/>
              <w:jc w:val="center"/>
              <w:rPr>
                <w:sz w:val="20"/>
                <w:szCs w:val="20"/>
              </w:rPr>
            </w:pPr>
            <w:r w:rsidRPr="004B3F6A">
              <w:rPr>
                <w:noProof/>
                <w:sz w:val="20"/>
                <w:szCs w:val="20"/>
                <w:lang w:val="en-GB" w:eastAsia="en-GB"/>
              </w:rPr>
              <w:drawing>
                <wp:inline distT="0" distB="0" distL="0" distR="0">
                  <wp:extent cx="1690267" cy="1392754"/>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6072" b="11336"/>
                          <a:stretch/>
                        </pic:blipFill>
                        <pic:spPr bwMode="auto">
                          <a:xfrm>
                            <a:off x="0" y="0"/>
                            <a:ext cx="1690945" cy="1393313"/>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D87928" w:rsidRPr="004B3F6A" w:rsidRDefault="00D87928" w:rsidP="003B24C7">
      <w:pPr>
        <w:pStyle w:val="ListParagraph"/>
        <w:spacing w:line="240" w:lineRule="auto"/>
        <w:ind w:left="360"/>
        <w:jc w:val="both"/>
        <w:rPr>
          <w:sz w:val="20"/>
          <w:szCs w:val="20"/>
        </w:rPr>
      </w:pPr>
    </w:p>
    <w:p w:rsidR="00473186" w:rsidRPr="004B3F6A" w:rsidRDefault="00D87928" w:rsidP="00D87928">
      <w:pPr>
        <w:pStyle w:val="ListParagraph"/>
        <w:spacing w:line="240" w:lineRule="auto"/>
        <w:ind w:left="0"/>
        <w:jc w:val="both"/>
        <w:rPr>
          <w:b/>
          <w:color w:val="4F81BD" w:themeColor="accent1"/>
          <w:sz w:val="20"/>
          <w:szCs w:val="20"/>
        </w:rPr>
      </w:pPr>
      <w:r w:rsidRPr="004B3F6A">
        <w:rPr>
          <w:b/>
          <w:color w:val="4F81BD" w:themeColor="accent1"/>
          <w:sz w:val="20"/>
          <w:szCs w:val="20"/>
        </w:rPr>
        <w:t>L'objectif de ce programme est d'améliorer</w:t>
      </w:r>
      <w:r w:rsidR="00473186" w:rsidRPr="004B3F6A">
        <w:rPr>
          <w:b/>
          <w:color w:val="4F81BD" w:themeColor="accent1"/>
          <w:sz w:val="20"/>
          <w:szCs w:val="20"/>
        </w:rPr>
        <w:t xml:space="preserve"> la situation économique et sociale des femmes centrafricaines et de leur famille grâce à des formations, une assistance médicale et psychologique ainsi </w:t>
      </w:r>
      <w:r w:rsidRPr="004B3F6A">
        <w:rPr>
          <w:b/>
          <w:color w:val="4F81BD" w:themeColor="accent1"/>
          <w:sz w:val="20"/>
          <w:szCs w:val="20"/>
        </w:rPr>
        <w:t>qu’à des services financiers.</w:t>
      </w:r>
    </w:p>
    <w:p w:rsidR="00D87928" w:rsidRPr="004B3F6A" w:rsidRDefault="00D87928" w:rsidP="00D87928">
      <w:pPr>
        <w:tabs>
          <w:tab w:val="num" w:pos="0"/>
        </w:tabs>
        <w:suppressAutoHyphens/>
        <w:spacing w:after="0"/>
        <w:jc w:val="both"/>
        <w:rPr>
          <w:rFonts w:ascii="Calibri" w:eastAsia="Times New Roman" w:hAnsi="Calibri" w:cs="Calibri"/>
          <w:sz w:val="20"/>
          <w:szCs w:val="20"/>
          <w:lang w:eastAsia="ar-SA"/>
        </w:rPr>
      </w:pPr>
      <w:r w:rsidRPr="004B3F6A">
        <w:rPr>
          <w:rFonts w:ascii="Calibri" w:eastAsia="Times New Roman" w:hAnsi="Calibri" w:cs="Calibri"/>
          <w:sz w:val="20"/>
          <w:szCs w:val="20"/>
          <w:lang w:eastAsia="ar-SA"/>
        </w:rPr>
        <w:t>Les axes d'interventions du projet sont les suivantes:</w:t>
      </w:r>
    </w:p>
    <w:p w:rsidR="00D87928" w:rsidRPr="004B3F6A" w:rsidRDefault="00D87928" w:rsidP="00D87928">
      <w:pPr>
        <w:pStyle w:val="ListParagraph"/>
        <w:numPr>
          <w:ilvl w:val="0"/>
          <w:numId w:val="5"/>
        </w:numPr>
        <w:suppressAutoHyphens/>
        <w:spacing w:after="0"/>
        <w:jc w:val="both"/>
        <w:rPr>
          <w:rFonts w:ascii="Calibri" w:eastAsia="SimSun" w:hAnsi="Calibri" w:cs="Calibri"/>
          <w:kern w:val="1"/>
          <w:sz w:val="20"/>
          <w:szCs w:val="20"/>
          <w:lang w:eastAsia="ar-SA"/>
        </w:rPr>
      </w:pPr>
      <w:r w:rsidRPr="004B3F6A">
        <w:rPr>
          <w:rFonts w:ascii="Calibri" w:eastAsia="SimSun" w:hAnsi="Calibri" w:cs="Calibri"/>
          <w:kern w:val="1"/>
          <w:sz w:val="20"/>
          <w:szCs w:val="20"/>
          <w:lang w:eastAsia="ar-SA"/>
        </w:rPr>
        <w:t>Protection: prise en charge psychosociale ou juridique des victimes de Violences Basées sur le Genre (GBV)</w:t>
      </w:r>
      <w:r w:rsidR="0020679D" w:rsidRPr="004B3F6A">
        <w:rPr>
          <w:rFonts w:ascii="Calibri" w:eastAsia="SimSun" w:hAnsi="Calibri" w:cs="Calibri"/>
          <w:kern w:val="1"/>
          <w:sz w:val="20"/>
          <w:szCs w:val="20"/>
          <w:lang w:eastAsia="ar-SA"/>
        </w:rPr>
        <w:t xml:space="preserve"> au  travers les organisations nationales</w:t>
      </w:r>
    </w:p>
    <w:p w:rsidR="00D87928" w:rsidRPr="004B3F6A" w:rsidRDefault="00D87928" w:rsidP="00D87928">
      <w:pPr>
        <w:pStyle w:val="ListParagraph"/>
        <w:numPr>
          <w:ilvl w:val="0"/>
          <w:numId w:val="5"/>
        </w:numPr>
        <w:suppressAutoHyphens/>
        <w:spacing w:after="0"/>
        <w:jc w:val="both"/>
        <w:rPr>
          <w:rFonts w:ascii="Calibri" w:eastAsia="SimSun" w:hAnsi="Calibri" w:cs="Calibri"/>
          <w:kern w:val="1"/>
          <w:sz w:val="20"/>
          <w:szCs w:val="20"/>
          <w:lang w:eastAsia="ar-SA"/>
        </w:rPr>
      </w:pPr>
      <w:r w:rsidRPr="004B3F6A">
        <w:rPr>
          <w:rFonts w:ascii="Calibri" w:eastAsia="SimSun" w:hAnsi="Calibri" w:cs="Calibri"/>
          <w:kern w:val="1"/>
          <w:sz w:val="20"/>
          <w:szCs w:val="20"/>
          <w:lang w:eastAsia="ar-SA"/>
        </w:rPr>
        <w:t>Soutien économique aux femmes et jeunes filles</w:t>
      </w:r>
      <w:r w:rsidR="004F32F0" w:rsidRPr="004B3F6A">
        <w:rPr>
          <w:rFonts w:ascii="Calibri" w:eastAsia="SimSun" w:hAnsi="Calibri" w:cs="Calibri"/>
          <w:kern w:val="1"/>
          <w:sz w:val="20"/>
          <w:szCs w:val="20"/>
          <w:lang w:eastAsia="ar-SA"/>
        </w:rPr>
        <w:t xml:space="preserve"> et accompagnement dans les activités génératrices de revenus (AGR)</w:t>
      </w:r>
    </w:p>
    <w:p w:rsidR="00D87928" w:rsidRPr="004B3F6A" w:rsidRDefault="004F32F0" w:rsidP="00D87928">
      <w:pPr>
        <w:pStyle w:val="ListParagraph"/>
        <w:numPr>
          <w:ilvl w:val="0"/>
          <w:numId w:val="5"/>
        </w:numPr>
        <w:suppressAutoHyphens/>
        <w:spacing w:after="0"/>
        <w:jc w:val="both"/>
        <w:rPr>
          <w:rFonts w:ascii="Calibri" w:eastAsia="SimSun" w:hAnsi="Calibri" w:cs="Calibri"/>
          <w:kern w:val="1"/>
          <w:sz w:val="20"/>
          <w:szCs w:val="20"/>
          <w:lang w:eastAsia="ar-SA"/>
        </w:rPr>
      </w:pPr>
      <w:r w:rsidRPr="004B3F6A">
        <w:rPr>
          <w:rFonts w:ascii="Calibri" w:eastAsia="SimSun" w:hAnsi="Calibri" w:cs="Calibri"/>
          <w:kern w:val="1"/>
          <w:sz w:val="20"/>
          <w:szCs w:val="20"/>
          <w:lang w:eastAsia="ar-SA"/>
        </w:rPr>
        <w:t xml:space="preserve">Santé communautaire : </w:t>
      </w:r>
      <w:r w:rsidR="00D87928" w:rsidRPr="004B3F6A">
        <w:rPr>
          <w:rFonts w:ascii="Calibri" w:eastAsia="SimSun" w:hAnsi="Calibri" w:cs="Calibri"/>
          <w:kern w:val="1"/>
          <w:sz w:val="20"/>
          <w:szCs w:val="20"/>
          <w:lang w:eastAsia="ar-SA"/>
        </w:rPr>
        <w:t>sensibilisation sur l’éducation se</w:t>
      </w:r>
      <w:r w:rsidRPr="004B3F6A">
        <w:rPr>
          <w:rFonts w:ascii="Calibri" w:eastAsia="SimSun" w:hAnsi="Calibri" w:cs="Calibri"/>
          <w:kern w:val="1"/>
          <w:sz w:val="20"/>
          <w:szCs w:val="20"/>
          <w:lang w:eastAsia="ar-SA"/>
        </w:rPr>
        <w:t>xuelle, planning familial.</w:t>
      </w:r>
    </w:p>
    <w:p w:rsidR="004F32F0" w:rsidRPr="004B3F6A" w:rsidRDefault="0020679D" w:rsidP="004F32F0">
      <w:pPr>
        <w:pStyle w:val="ListParagraph"/>
        <w:numPr>
          <w:ilvl w:val="0"/>
          <w:numId w:val="5"/>
        </w:numPr>
        <w:suppressAutoHyphens/>
        <w:spacing w:after="0"/>
        <w:jc w:val="both"/>
        <w:rPr>
          <w:rFonts w:ascii="Calibri" w:eastAsia="SimSun" w:hAnsi="Calibri" w:cs="Calibri"/>
          <w:kern w:val="1"/>
          <w:sz w:val="20"/>
          <w:szCs w:val="20"/>
          <w:lang w:eastAsia="ar-SA"/>
        </w:rPr>
      </w:pPr>
      <w:r w:rsidRPr="004B3F6A">
        <w:rPr>
          <w:rFonts w:ascii="Calibri" w:eastAsia="SimSun" w:hAnsi="Calibri" w:cs="Calibri"/>
          <w:kern w:val="1"/>
          <w:sz w:val="20"/>
          <w:szCs w:val="20"/>
          <w:lang w:eastAsia="ar-SA"/>
        </w:rPr>
        <w:t>Renforcement de capacités techniques, organisationnelles et institutionnelles des organisations nationales</w:t>
      </w:r>
    </w:p>
    <w:p w:rsidR="00D4237F" w:rsidRDefault="00D4237F" w:rsidP="00A31A45">
      <w:pPr>
        <w:spacing w:after="0"/>
        <w:jc w:val="both"/>
        <w:rPr>
          <w:sz w:val="20"/>
          <w:szCs w:val="20"/>
        </w:rPr>
      </w:pPr>
    </w:p>
    <w:p w:rsidR="0020679D" w:rsidRPr="004B3F6A" w:rsidRDefault="004F32F0" w:rsidP="00A31A45">
      <w:pPr>
        <w:spacing w:after="0"/>
        <w:jc w:val="both"/>
        <w:rPr>
          <w:sz w:val="20"/>
          <w:szCs w:val="20"/>
        </w:rPr>
      </w:pPr>
      <w:r w:rsidRPr="004B3F6A">
        <w:rPr>
          <w:sz w:val="20"/>
          <w:szCs w:val="20"/>
        </w:rPr>
        <w:t xml:space="preserve">IRC a sélectionné </w:t>
      </w:r>
      <w:r w:rsidRPr="004B3F6A">
        <w:rPr>
          <w:b/>
          <w:sz w:val="20"/>
          <w:szCs w:val="20"/>
        </w:rPr>
        <w:t>30 groupements de femmes et 15 ONG locales comme partenaires locaux</w:t>
      </w:r>
      <w:r w:rsidRPr="004B3F6A">
        <w:rPr>
          <w:sz w:val="20"/>
          <w:szCs w:val="20"/>
        </w:rPr>
        <w:t xml:space="preserve"> de mise en œuvre.</w:t>
      </w:r>
      <w:r w:rsidR="0020679D" w:rsidRPr="004B3F6A">
        <w:rPr>
          <w:sz w:val="20"/>
          <w:szCs w:val="20"/>
        </w:rPr>
        <w:t xml:space="preserve"> IRC appuie aussi les femmes </w:t>
      </w:r>
      <w:r w:rsidR="0067013A" w:rsidRPr="004B3F6A">
        <w:rPr>
          <w:sz w:val="20"/>
          <w:szCs w:val="20"/>
        </w:rPr>
        <w:t xml:space="preserve"> et filles </w:t>
      </w:r>
      <w:r w:rsidR="0020679D" w:rsidRPr="004B3F6A">
        <w:rPr>
          <w:sz w:val="20"/>
          <w:szCs w:val="20"/>
        </w:rPr>
        <w:t>de façon individuelle.</w:t>
      </w:r>
    </w:p>
    <w:p w:rsidR="0020679D" w:rsidRPr="004B3F6A" w:rsidRDefault="0020679D" w:rsidP="00A31A45">
      <w:pPr>
        <w:spacing w:after="0"/>
        <w:jc w:val="both"/>
        <w:rPr>
          <w:sz w:val="20"/>
          <w:szCs w:val="20"/>
        </w:rPr>
      </w:pPr>
      <w:r w:rsidRPr="004B3F6A">
        <w:rPr>
          <w:sz w:val="20"/>
          <w:szCs w:val="20"/>
        </w:rPr>
        <w:t>A travers cet appui,</w:t>
      </w:r>
      <w:r w:rsidR="004F32F0" w:rsidRPr="004B3F6A">
        <w:rPr>
          <w:sz w:val="20"/>
          <w:szCs w:val="20"/>
        </w:rPr>
        <w:t xml:space="preserve"> IRC assure le suivi et l'accompagnement </w:t>
      </w:r>
      <w:r w:rsidRPr="004B3F6A">
        <w:rPr>
          <w:sz w:val="20"/>
          <w:szCs w:val="20"/>
        </w:rPr>
        <w:t>technique en termes de formations sur la gestion financière et entreprenariat, l’élaboration des plans d’</w:t>
      </w:r>
      <w:r w:rsidR="0067013A" w:rsidRPr="004B3F6A">
        <w:rPr>
          <w:sz w:val="20"/>
          <w:szCs w:val="20"/>
        </w:rPr>
        <w:t xml:space="preserve">affaire, la gestion administrative de leur </w:t>
      </w:r>
      <w:r w:rsidR="009131F7" w:rsidRPr="004B3F6A">
        <w:rPr>
          <w:sz w:val="20"/>
          <w:szCs w:val="20"/>
        </w:rPr>
        <w:t>groupement. Un</w:t>
      </w:r>
      <w:r w:rsidR="0067013A" w:rsidRPr="004B3F6A">
        <w:rPr>
          <w:sz w:val="20"/>
          <w:szCs w:val="20"/>
        </w:rPr>
        <w:t xml:space="preserve"> appui financier est alloué</w:t>
      </w:r>
      <w:r w:rsidR="009131F7" w:rsidRPr="004B3F6A">
        <w:rPr>
          <w:sz w:val="20"/>
          <w:szCs w:val="20"/>
        </w:rPr>
        <w:t xml:space="preserve"> en cash ou intrants</w:t>
      </w:r>
      <w:r w:rsidR="0067013A" w:rsidRPr="004B3F6A">
        <w:rPr>
          <w:sz w:val="20"/>
          <w:szCs w:val="20"/>
        </w:rPr>
        <w:t xml:space="preserve"> a chaque groupes de femmes ou femmes pour la mise en œuvre de l</w:t>
      </w:r>
      <w:r w:rsidR="009131F7" w:rsidRPr="004B3F6A">
        <w:rPr>
          <w:sz w:val="20"/>
          <w:szCs w:val="20"/>
        </w:rPr>
        <w:t>e</w:t>
      </w:r>
      <w:r w:rsidR="0067013A" w:rsidRPr="004B3F6A">
        <w:rPr>
          <w:sz w:val="20"/>
          <w:szCs w:val="20"/>
        </w:rPr>
        <w:t xml:space="preserve">ur projets </w:t>
      </w:r>
      <w:r w:rsidR="009131F7" w:rsidRPr="004B3F6A">
        <w:rPr>
          <w:sz w:val="20"/>
          <w:szCs w:val="20"/>
        </w:rPr>
        <w:t>économiques</w:t>
      </w:r>
      <w:r w:rsidR="0067013A" w:rsidRPr="004B3F6A">
        <w:rPr>
          <w:sz w:val="20"/>
          <w:szCs w:val="20"/>
        </w:rPr>
        <w:t>.</w:t>
      </w:r>
    </w:p>
    <w:p w:rsidR="009131F7" w:rsidRPr="004B3F6A" w:rsidRDefault="009131F7" w:rsidP="00A31A45">
      <w:pPr>
        <w:spacing w:after="0"/>
        <w:jc w:val="both"/>
        <w:rPr>
          <w:sz w:val="20"/>
          <w:szCs w:val="20"/>
        </w:rPr>
      </w:pPr>
      <w:r w:rsidRPr="004B3F6A">
        <w:rPr>
          <w:sz w:val="20"/>
          <w:szCs w:val="20"/>
        </w:rPr>
        <w:t xml:space="preserve">Au niveau des ONG nationales, IRC assure également un suivi et accompagnement technique  pour le renforcement des capacités sur le plan technique, organisation et institutionnel de chaque organisation partenaire. </w:t>
      </w:r>
    </w:p>
    <w:p w:rsidR="00A31A45" w:rsidRDefault="009131F7" w:rsidP="00A31A45">
      <w:pPr>
        <w:spacing w:after="0"/>
        <w:jc w:val="both"/>
        <w:rPr>
          <w:rFonts w:eastAsia="SimSun"/>
          <w:color w:val="00000A"/>
          <w:kern w:val="1"/>
          <w:sz w:val="20"/>
          <w:szCs w:val="20"/>
        </w:rPr>
      </w:pPr>
      <w:r w:rsidRPr="004B3F6A">
        <w:rPr>
          <w:sz w:val="20"/>
          <w:szCs w:val="20"/>
        </w:rPr>
        <w:t>Sur la base de leur proposition des projets,  une sous-subvention de l’ordre de 10,000 Euro leur a permis de mettre</w:t>
      </w:r>
      <w:r w:rsidR="0020679D" w:rsidRPr="004B3F6A">
        <w:rPr>
          <w:sz w:val="20"/>
          <w:szCs w:val="20"/>
        </w:rPr>
        <w:t xml:space="preserve"> en œuvre </w:t>
      </w:r>
      <w:r w:rsidRPr="004B3F6A">
        <w:rPr>
          <w:sz w:val="20"/>
          <w:szCs w:val="20"/>
        </w:rPr>
        <w:t>des petits projets selon qu’il s’agit de secteurs économiques, sante communautaire ou encore protection</w:t>
      </w:r>
      <w:r w:rsidR="004F32F0" w:rsidRPr="004B3F6A">
        <w:rPr>
          <w:sz w:val="20"/>
          <w:szCs w:val="20"/>
        </w:rPr>
        <w:t>.</w:t>
      </w:r>
      <w:r w:rsidR="00A31A45" w:rsidRPr="004B3F6A">
        <w:rPr>
          <w:sz w:val="20"/>
          <w:szCs w:val="20"/>
        </w:rPr>
        <w:t xml:space="preserve"> </w:t>
      </w:r>
      <w:r w:rsidR="0030237F" w:rsidRPr="004B3F6A">
        <w:rPr>
          <w:sz w:val="20"/>
          <w:szCs w:val="20"/>
        </w:rPr>
        <w:br/>
      </w:r>
      <w:r w:rsidR="00A31A45" w:rsidRPr="004B3F6A">
        <w:rPr>
          <w:rFonts w:eastAsia="SimSun"/>
          <w:color w:val="00000A"/>
          <w:kern w:val="1"/>
          <w:sz w:val="20"/>
          <w:szCs w:val="20"/>
        </w:rPr>
        <w:t>Le renforcement tissu social à travers des ONGs locales est positivement perçu par les bénéficiaires du projet: l'approche ONG locale méritera d'être déployée à plus grande échelle.</w:t>
      </w:r>
    </w:p>
    <w:p w:rsidR="004F3BB0" w:rsidRDefault="004F3BB0" w:rsidP="00A31A45">
      <w:pPr>
        <w:spacing w:after="0"/>
        <w:jc w:val="both"/>
        <w:rPr>
          <w:rFonts w:eastAsia="SimSun"/>
          <w:b/>
          <w:color w:val="4F81BD" w:themeColor="accent1"/>
          <w:kern w:val="1"/>
          <w:sz w:val="20"/>
          <w:szCs w:val="20"/>
        </w:rPr>
      </w:pPr>
    </w:p>
    <w:p w:rsidR="00476645" w:rsidRDefault="00476645">
      <w:pPr>
        <w:rPr>
          <w:rFonts w:eastAsia="SimSun"/>
          <w:b/>
          <w:color w:val="4F81BD" w:themeColor="accent1"/>
          <w:kern w:val="1"/>
          <w:sz w:val="20"/>
          <w:szCs w:val="20"/>
        </w:rPr>
      </w:pPr>
      <w:r>
        <w:rPr>
          <w:rFonts w:eastAsia="SimSun"/>
          <w:b/>
          <w:color w:val="4F81BD" w:themeColor="accent1"/>
          <w:kern w:val="1"/>
          <w:sz w:val="20"/>
          <w:szCs w:val="20"/>
        </w:rPr>
        <w:br w:type="page"/>
      </w:r>
    </w:p>
    <w:p w:rsidR="00222142" w:rsidRPr="00E92213" w:rsidRDefault="00222142" w:rsidP="00A31A45">
      <w:pPr>
        <w:spacing w:after="0"/>
        <w:jc w:val="both"/>
        <w:rPr>
          <w:rFonts w:eastAsia="SimSun"/>
          <w:b/>
          <w:color w:val="4F81BD" w:themeColor="accent1"/>
          <w:kern w:val="1"/>
          <w:sz w:val="20"/>
          <w:szCs w:val="20"/>
        </w:rPr>
      </w:pPr>
      <w:r w:rsidRPr="00E92213">
        <w:rPr>
          <w:rFonts w:eastAsia="SimSun"/>
          <w:b/>
          <w:color w:val="4F81BD" w:themeColor="accent1"/>
          <w:kern w:val="1"/>
          <w:sz w:val="20"/>
          <w:szCs w:val="20"/>
        </w:rPr>
        <w:lastRenderedPageBreak/>
        <w:t>Activités majeures réalisées :</w:t>
      </w:r>
    </w:p>
    <w:p w:rsidR="00FD5447" w:rsidRPr="00E92213" w:rsidRDefault="00FD5447" w:rsidP="00FD5447">
      <w:pPr>
        <w:pStyle w:val="ListParagraph"/>
        <w:numPr>
          <w:ilvl w:val="0"/>
          <w:numId w:val="9"/>
        </w:numPr>
        <w:spacing w:after="0"/>
        <w:jc w:val="both"/>
        <w:rPr>
          <w:rFonts w:eastAsia="SimSun"/>
          <w:color w:val="00000A"/>
          <w:kern w:val="1"/>
          <w:sz w:val="20"/>
          <w:szCs w:val="20"/>
        </w:rPr>
      </w:pPr>
      <w:r w:rsidRPr="00E92213">
        <w:rPr>
          <w:rFonts w:eastAsia="SimSun"/>
          <w:color w:val="00000A"/>
          <w:kern w:val="1"/>
          <w:sz w:val="20"/>
          <w:szCs w:val="20"/>
        </w:rPr>
        <w:t>Sélection de 3</w:t>
      </w:r>
      <w:r w:rsidR="00DB0445">
        <w:rPr>
          <w:rFonts w:eastAsia="SimSun"/>
          <w:color w:val="00000A"/>
          <w:kern w:val="1"/>
          <w:sz w:val="20"/>
          <w:szCs w:val="20"/>
        </w:rPr>
        <w:t>0</w:t>
      </w:r>
      <w:r w:rsidRPr="00E92213">
        <w:rPr>
          <w:rFonts w:eastAsia="SimSun"/>
          <w:color w:val="00000A"/>
          <w:kern w:val="1"/>
          <w:sz w:val="20"/>
          <w:szCs w:val="20"/>
        </w:rPr>
        <w:t xml:space="preserve"> groupements des femmes et des bénéficiaires individuels dans les deux zones (Kaga Bandoro)</w:t>
      </w:r>
    </w:p>
    <w:p w:rsidR="00FD5447" w:rsidRPr="00E92213" w:rsidRDefault="00FD5447" w:rsidP="00FD5447">
      <w:pPr>
        <w:pStyle w:val="ListParagraph"/>
        <w:numPr>
          <w:ilvl w:val="0"/>
          <w:numId w:val="9"/>
        </w:numPr>
        <w:spacing w:after="0"/>
        <w:jc w:val="both"/>
        <w:rPr>
          <w:rFonts w:eastAsia="SimSun"/>
          <w:color w:val="00000A"/>
          <w:kern w:val="1"/>
          <w:sz w:val="20"/>
          <w:szCs w:val="20"/>
        </w:rPr>
      </w:pPr>
      <w:r w:rsidRPr="00E92213">
        <w:rPr>
          <w:rFonts w:eastAsia="SimSun"/>
          <w:color w:val="00000A"/>
          <w:kern w:val="1"/>
          <w:sz w:val="20"/>
          <w:szCs w:val="20"/>
        </w:rPr>
        <w:t xml:space="preserve">Formation des membres de groupements sur les compétences </w:t>
      </w:r>
      <w:r w:rsidR="00E92213" w:rsidRPr="00E92213">
        <w:rPr>
          <w:rFonts w:eastAsia="SimSun"/>
          <w:color w:val="00000A"/>
          <w:kern w:val="1"/>
          <w:sz w:val="20"/>
          <w:szCs w:val="20"/>
        </w:rPr>
        <w:t>entrepreneuriales, gestion</w:t>
      </w:r>
      <w:r w:rsidRPr="00E92213">
        <w:rPr>
          <w:rFonts w:eastAsia="SimSun"/>
          <w:color w:val="00000A"/>
          <w:kern w:val="1"/>
          <w:sz w:val="20"/>
          <w:szCs w:val="20"/>
        </w:rPr>
        <w:t xml:space="preserve"> associative, comptabilité basique et  autres thèmes</w:t>
      </w:r>
    </w:p>
    <w:p w:rsidR="00FD5447" w:rsidRPr="00E92213" w:rsidRDefault="00FD5447" w:rsidP="00FD5447">
      <w:pPr>
        <w:pStyle w:val="ListParagraph"/>
        <w:numPr>
          <w:ilvl w:val="0"/>
          <w:numId w:val="9"/>
        </w:numPr>
        <w:spacing w:after="0"/>
        <w:jc w:val="both"/>
        <w:rPr>
          <w:rFonts w:eastAsia="SimSun"/>
          <w:color w:val="00000A"/>
          <w:kern w:val="1"/>
          <w:sz w:val="20"/>
          <w:szCs w:val="20"/>
        </w:rPr>
      </w:pPr>
      <w:r w:rsidRPr="00E92213">
        <w:rPr>
          <w:rFonts w:eastAsia="SimSun"/>
          <w:color w:val="00000A"/>
          <w:kern w:val="1"/>
          <w:sz w:val="20"/>
          <w:szCs w:val="20"/>
        </w:rPr>
        <w:t>Réalisation de l’étude rapide du marché afin  de permettre aux groupements d’identifier les projets rentables</w:t>
      </w:r>
    </w:p>
    <w:p w:rsidR="00FD5447" w:rsidRPr="00E92213" w:rsidRDefault="00E92213" w:rsidP="00FD5447">
      <w:pPr>
        <w:pStyle w:val="ListParagraph"/>
        <w:numPr>
          <w:ilvl w:val="0"/>
          <w:numId w:val="9"/>
        </w:numPr>
        <w:spacing w:after="0"/>
        <w:jc w:val="both"/>
        <w:rPr>
          <w:rFonts w:eastAsia="SimSun"/>
          <w:color w:val="00000A"/>
          <w:kern w:val="1"/>
          <w:sz w:val="20"/>
          <w:szCs w:val="20"/>
        </w:rPr>
      </w:pPr>
      <w:r w:rsidRPr="00E92213">
        <w:rPr>
          <w:rFonts w:eastAsia="SimSun"/>
          <w:color w:val="00000A"/>
          <w:kern w:val="1"/>
          <w:sz w:val="20"/>
          <w:szCs w:val="20"/>
        </w:rPr>
        <w:t xml:space="preserve">Appui aux bénéficiaires à l’élaboration des plans d’affaire </w:t>
      </w:r>
    </w:p>
    <w:p w:rsidR="00E92213" w:rsidRPr="00E92213" w:rsidRDefault="00E92213" w:rsidP="00FD5447">
      <w:pPr>
        <w:pStyle w:val="ListParagraph"/>
        <w:numPr>
          <w:ilvl w:val="0"/>
          <w:numId w:val="9"/>
        </w:numPr>
        <w:spacing w:after="0"/>
        <w:jc w:val="both"/>
        <w:rPr>
          <w:rFonts w:eastAsia="SimSun"/>
          <w:color w:val="00000A"/>
          <w:kern w:val="1"/>
          <w:sz w:val="20"/>
          <w:szCs w:val="20"/>
        </w:rPr>
      </w:pPr>
      <w:r w:rsidRPr="00E92213">
        <w:rPr>
          <w:rFonts w:eastAsia="SimSun"/>
          <w:color w:val="00000A"/>
          <w:kern w:val="1"/>
          <w:sz w:val="20"/>
          <w:szCs w:val="20"/>
        </w:rPr>
        <w:t>Mise en place des groupes de discussions EA$E entre les participantes aux AGR et leur conjoints</w:t>
      </w:r>
    </w:p>
    <w:p w:rsidR="00E92213" w:rsidRPr="00E92213" w:rsidRDefault="00E92213" w:rsidP="00FD5447">
      <w:pPr>
        <w:pStyle w:val="ListParagraph"/>
        <w:numPr>
          <w:ilvl w:val="0"/>
          <w:numId w:val="9"/>
        </w:numPr>
        <w:spacing w:after="0"/>
        <w:jc w:val="both"/>
        <w:rPr>
          <w:rFonts w:eastAsia="SimSun"/>
          <w:color w:val="00000A"/>
          <w:kern w:val="1"/>
          <w:sz w:val="20"/>
          <w:szCs w:val="20"/>
        </w:rPr>
      </w:pPr>
      <w:r w:rsidRPr="00E92213">
        <w:rPr>
          <w:rFonts w:eastAsia="SimSun"/>
          <w:color w:val="00000A"/>
          <w:kern w:val="1"/>
          <w:sz w:val="20"/>
          <w:szCs w:val="20"/>
        </w:rPr>
        <w:t>Sessions d’information sur les compétences de vie</w:t>
      </w:r>
      <w:r>
        <w:rPr>
          <w:rFonts w:eastAsia="SimSun"/>
          <w:color w:val="00000A"/>
          <w:kern w:val="1"/>
          <w:sz w:val="20"/>
          <w:szCs w:val="20"/>
        </w:rPr>
        <w:t> :</w:t>
      </w:r>
      <w:r w:rsidRPr="00E92213">
        <w:rPr>
          <w:rFonts w:eastAsia="SimSun"/>
          <w:color w:val="00000A"/>
          <w:kern w:val="1"/>
          <w:sz w:val="20"/>
          <w:szCs w:val="20"/>
        </w:rPr>
        <w:t xml:space="preserve"> éducation sexuelle, planning familial et VIH</w:t>
      </w:r>
    </w:p>
    <w:p w:rsidR="00E92213" w:rsidRPr="00E92213" w:rsidRDefault="00E92213" w:rsidP="00FD5447">
      <w:pPr>
        <w:pStyle w:val="ListParagraph"/>
        <w:numPr>
          <w:ilvl w:val="0"/>
          <w:numId w:val="9"/>
        </w:numPr>
        <w:spacing w:after="0"/>
        <w:jc w:val="both"/>
        <w:rPr>
          <w:rFonts w:eastAsia="SimSun"/>
          <w:color w:val="00000A"/>
          <w:kern w:val="1"/>
          <w:sz w:val="20"/>
          <w:szCs w:val="20"/>
        </w:rPr>
      </w:pPr>
      <w:r w:rsidRPr="00E92213">
        <w:rPr>
          <w:rFonts w:eastAsia="SimSun"/>
          <w:color w:val="00000A"/>
          <w:kern w:val="1"/>
          <w:sz w:val="20"/>
          <w:szCs w:val="20"/>
        </w:rPr>
        <w:t xml:space="preserve">Formation en alphabétisation des facilitateurs et </w:t>
      </w:r>
      <w:r>
        <w:rPr>
          <w:rFonts w:eastAsia="SimSun"/>
          <w:color w:val="00000A"/>
          <w:kern w:val="1"/>
          <w:sz w:val="20"/>
          <w:szCs w:val="20"/>
        </w:rPr>
        <w:t xml:space="preserve"> démarrage des sessions d’alphabétisation avec les femmes et filles.</w:t>
      </w:r>
    </w:p>
    <w:p w:rsidR="00A31A45" w:rsidRPr="004B3F6A" w:rsidRDefault="00A31A45" w:rsidP="00A31A45">
      <w:pPr>
        <w:spacing w:after="0"/>
        <w:jc w:val="both"/>
        <w:rPr>
          <w:rFonts w:eastAsia="SimSun"/>
          <w:color w:val="00000A"/>
          <w:kern w:val="1"/>
          <w:sz w:val="20"/>
          <w:szCs w:val="20"/>
        </w:rPr>
      </w:pPr>
    </w:p>
    <w:p w:rsidR="009131F7" w:rsidRPr="004B3F6A" w:rsidRDefault="004F32F0" w:rsidP="00F80A13">
      <w:pPr>
        <w:spacing w:after="120" w:line="240" w:lineRule="auto"/>
        <w:jc w:val="both"/>
        <w:rPr>
          <w:sz w:val="20"/>
          <w:szCs w:val="20"/>
        </w:rPr>
      </w:pPr>
      <w:r w:rsidRPr="004B3F6A">
        <w:rPr>
          <w:i/>
          <w:sz w:val="20"/>
          <w:szCs w:val="20"/>
        </w:rPr>
        <w:t>A la fin 2015</w:t>
      </w:r>
      <w:r w:rsidR="009337A3" w:rsidRPr="004B3F6A">
        <w:rPr>
          <w:i/>
          <w:sz w:val="20"/>
          <w:szCs w:val="20"/>
        </w:rPr>
        <w:t>,</w:t>
      </w:r>
      <w:r w:rsidRPr="004B3F6A">
        <w:rPr>
          <w:sz w:val="20"/>
          <w:szCs w:val="20"/>
        </w:rPr>
        <w:t xml:space="preserve"> </w:t>
      </w:r>
      <w:r w:rsidR="00794DCA">
        <w:rPr>
          <w:sz w:val="20"/>
          <w:szCs w:val="20"/>
        </w:rPr>
        <w:t>les indicateurs</w:t>
      </w:r>
      <w:r w:rsidR="00473186" w:rsidRPr="004B3F6A">
        <w:rPr>
          <w:sz w:val="20"/>
          <w:szCs w:val="20"/>
        </w:rPr>
        <w:t xml:space="preserve"> </w:t>
      </w:r>
      <w:r w:rsidR="00794DCA">
        <w:rPr>
          <w:sz w:val="20"/>
          <w:szCs w:val="20"/>
        </w:rPr>
        <w:t>suivants ont été atteints</w:t>
      </w:r>
      <w:r w:rsidR="00473186" w:rsidRPr="004B3F6A">
        <w:rPr>
          <w:sz w:val="20"/>
          <w:szCs w:val="20"/>
        </w:rPr>
        <w:t xml:space="preserve"> :</w:t>
      </w:r>
    </w:p>
    <w:tbl>
      <w:tblPr>
        <w:tblStyle w:val="TableGrid"/>
        <w:tblW w:w="9648" w:type="dxa"/>
        <w:tblLook w:val="04A0" w:firstRow="1" w:lastRow="0" w:firstColumn="1" w:lastColumn="0" w:noHBand="0" w:noVBand="1"/>
      </w:tblPr>
      <w:tblGrid>
        <w:gridCol w:w="3798"/>
        <w:gridCol w:w="2430"/>
        <w:gridCol w:w="3420"/>
      </w:tblGrid>
      <w:tr w:rsidR="00300717" w:rsidRPr="004B3F6A" w:rsidTr="00300717">
        <w:tc>
          <w:tcPr>
            <w:tcW w:w="3798" w:type="dxa"/>
            <w:shd w:val="clear" w:color="auto" w:fill="548DD4" w:themeFill="text2" w:themeFillTint="99"/>
          </w:tcPr>
          <w:p w:rsidR="00300717" w:rsidRPr="004B3F6A" w:rsidRDefault="00300717" w:rsidP="00F80A13">
            <w:pPr>
              <w:spacing w:after="120"/>
              <w:jc w:val="both"/>
              <w:rPr>
                <w:b/>
                <w:sz w:val="20"/>
                <w:szCs w:val="20"/>
              </w:rPr>
            </w:pPr>
            <w:r w:rsidRPr="004B3F6A">
              <w:rPr>
                <w:b/>
                <w:sz w:val="20"/>
                <w:szCs w:val="20"/>
              </w:rPr>
              <w:t>indicateurs</w:t>
            </w:r>
          </w:p>
        </w:tc>
        <w:tc>
          <w:tcPr>
            <w:tcW w:w="2430" w:type="dxa"/>
            <w:shd w:val="clear" w:color="auto" w:fill="548DD4" w:themeFill="text2" w:themeFillTint="99"/>
          </w:tcPr>
          <w:p w:rsidR="00300717" w:rsidRPr="004B3F6A" w:rsidRDefault="00300717" w:rsidP="00F80A13">
            <w:pPr>
              <w:spacing w:after="120"/>
              <w:jc w:val="both"/>
              <w:rPr>
                <w:b/>
                <w:sz w:val="20"/>
                <w:szCs w:val="20"/>
              </w:rPr>
            </w:pPr>
            <w:r w:rsidRPr="004B3F6A">
              <w:rPr>
                <w:b/>
                <w:sz w:val="20"/>
                <w:szCs w:val="20"/>
              </w:rPr>
              <w:t>Target</w:t>
            </w:r>
          </w:p>
        </w:tc>
        <w:tc>
          <w:tcPr>
            <w:tcW w:w="3420" w:type="dxa"/>
            <w:shd w:val="clear" w:color="auto" w:fill="548DD4" w:themeFill="text2" w:themeFillTint="99"/>
          </w:tcPr>
          <w:p w:rsidR="00300717" w:rsidRPr="004B3F6A" w:rsidRDefault="00300717" w:rsidP="00F80A13">
            <w:pPr>
              <w:spacing w:after="120"/>
              <w:jc w:val="both"/>
              <w:rPr>
                <w:b/>
                <w:sz w:val="20"/>
                <w:szCs w:val="20"/>
              </w:rPr>
            </w:pPr>
            <w:r w:rsidRPr="004B3F6A">
              <w:rPr>
                <w:b/>
                <w:sz w:val="20"/>
                <w:szCs w:val="20"/>
              </w:rPr>
              <w:t>Total</w:t>
            </w:r>
          </w:p>
        </w:tc>
      </w:tr>
      <w:tr w:rsidR="00300717" w:rsidRPr="004B3F6A" w:rsidTr="00300717">
        <w:tc>
          <w:tcPr>
            <w:tcW w:w="3798" w:type="dxa"/>
          </w:tcPr>
          <w:p w:rsidR="00300717" w:rsidRPr="004B3F6A" w:rsidRDefault="00300717" w:rsidP="00F80A13">
            <w:pPr>
              <w:spacing w:after="120"/>
              <w:jc w:val="both"/>
              <w:rPr>
                <w:sz w:val="20"/>
                <w:szCs w:val="20"/>
              </w:rPr>
            </w:pPr>
            <w:r w:rsidRPr="004B3F6A">
              <w:rPr>
                <w:rFonts w:eastAsia="Times New Roman" w:cs="Arial"/>
                <w:color w:val="000000"/>
                <w:sz w:val="20"/>
                <w:szCs w:val="20"/>
                <w:lang w:eastAsia="en-GB"/>
              </w:rPr>
              <w:t># membres groupements féminins formés sur les compétences entrepreneuriales</w:t>
            </w:r>
          </w:p>
        </w:tc>
        <w:tc>
          <w:tcPr>
            <w:tcW w:w="2430" w:type="dxa"/>
          </w:tcPr>
          <w:p w:rsidR="00300717" w:rsidRPr="004B3F6A" w:rsidRDefault="00300717" w:rsidP="00300717">
            <w:pPr>
              <w:spacing w:after="120"/>
              <w:jc w:val="center"/>
              <w:rPr>
                <w:sz w:val="20"/>
                <w:szCs w:val="20"/>
              </w:rPr>
            </w:pPr>
            <w:r w:rsidRPr="004B3F6A">
              <w:rPr>
                <w:rFonts w:eastAsia="Times New Roman" w:cs="Arial"/>
                <w:bCs/>
                <w:color w:val="000000"/>
                <w:sz w:val="20"/>
                <w:szCs w:val="20"/>
                <w:lang w:val="en-GB" w:eastAsia="en-GB"/>
              </w:rPr>
              <w:t>900</w:t>
            </w:r>
          </w:p>
        </w:tc>
        <w:tc>
          <w:tcPr>
            <w:tcW w:w="3420" w:type="dxa"/>
          </w:tcPr>
          <w:p w:rsidR="00300717" w:rsidRPr="004B3F6A" w:rsidRDefault="00300717" w:rsidP="00300717">
            <w:pPr>
              <w:spacing w:after="120"/>
              <w:jc w:val="center"/>
              <w:rPr>
                <w:sz w:val="20"/>
                <w:szCs w:val="20"/>
              </w:rPr>
            </w:pPr>
            <w:r w:rsidRPr="004B3F6A">
              <w:rPr>
                <w:rFonts w:eastAsia="Times New Roman" w:cs="Times New Roman"/>
                <w:bCs/>
                <w:color w:val="000000"/>
                <w:sz w:val="20"/>
                <w:szCs w:val="20"/>
                <w:lang w:val="en-GB" w:eastAsia="en-GB"/>
              </w:rPr>
              <w:t>1648</w:t>
            </w:r>
          </w:p>
        </w:tc>
      </w:tr>
      <w:tr w:rsidR="00300717" w:rsidRPr="004B3F6A" w:rsidTr="00300717">
        <w:tc>
          <w:tcPr>
            <w:tcW w:w="3798" w:type="dxa"/>
          </w:tcPr>
          <w:p w:rsidR="00300717" w:rsidRPr="004B3F6A" w:rsidRDefault="00300717" w:rsidP="00F80A13">
            <w:pPr>
              <w:spacing w:after="120"/>
              <w:jc w:val="both"/>
              <w:rPr>
                <w:sz w:val="20"/>
                <w:szCs w:val="20"/>
              </w:rPr>
            </w:pPr>
            <w:r w:rsidRPr="004B3F6A">
              <w:rPr>
                <w:rFonts w:eastAsia="Times New Roman" w:cs="Arial"/>
                <w:color w:val="000000"/>
                <w:sz w:val="20"/>
                <w:szCs w:val="20"/>
                <w:lang w:eastAsia="en-GB"/>
              </w:rPr>
              <w:t># bénéficiaires formés sur l’alphabétisation (alphabétiseurs)</w:t>
            </w:r>
            <w:r>
              <w:rPr>
                <w:rFonts w:eastAsia="Times New Roman" w:cs="Arial"/>
                <w:color w:val="000000"/>
                <w:sz w:val="20"/>
                <w:szCs w:val="20"/>
                <w:lang w:eastAsia="en-GB"/>
              </w:rPr>
              <w:t xml:space="preserve"> et (participantes)</w:t>
            </w:r>
          </w:p>
        </w:tc>
        <w:tc>
          <w:tcPr>
            <w:tcW w:w="2430" w:type="dxa"/>
          </w:tcPr>
          <w:p w:rsidR="00300717" w:rsidRPr="004B3F6A" w:rsidRDefault="00300717" w:rsidP="00300717">
            <w:pPr>
              <w:spacing w:after="120"/>
              <w:jc w:val="center"/>
              <w:rPr>
                <w:sz w:val="20"/>
                <w:szCs w:val="20"/>
              </w:rPr>
            </w:pPr>
            <w:r w:rsidRPr="004B3F6A">
              <w:rPr>
                <w:rFonts w:eastAsia="Times New Roman" w:cs="Arial"/>
                <w:bCs/>
                <w:color w:val="000000"/>
                <w:sz w:val="20"/>
                <w:szCs w:val="20"/>
                <w:lang w:val="en-GB" w:eastAsia="en-GB"/>
              </w:rPr>
              <w:t>1 700</w:t>
            </w:r>
          </w:p>
        </w:tc>
        <w:tc>
          <w:tcPr>
            <w:tcW w:w="3420" w:type="dxa"/>
          </w:tcPr>
          <w:p w:rsidR="00300717" w:rsidRPr="004B3F6A" w:rsidRDefault="00300717" w:rsidP="00300717">
            <w:pPr>
              <w:spacing w:after="120"/>
              <w:jc w:val="center"/>
              <w:rPr>
                <w:sz w:val="20"/>
                <w:szCs w:val="20"/>
              </w:rPr>
            </w:pPr>
            <w:r w:rsidRPr="004B3F6A">
              <w:rPr>
                <w:rFonts w:eastAsia="Times New Roman" w:cs="Times New Roman"/>
                <w:bCs/>
                <w:color w:val="000000"/>
                <w:sz w:val="20"/>
                <w:szCs w:val="20"/>
                <w:lang w:val="en-GB" w:eastAsia="en-GB"/>
              </w:rPr>
              <w:t>461</w:t>
            </w:r>
          </w:p>
        </w:tc>
      </w:tr>
      <w:tr w:rsidR="00300717" w:rsidRPr="004B3F6A" w:rsidTr="00300717">
        <w:tc>
          <w:tcPr>
            <w:tcW w:w="3798" w:type="dxa"/>
          </w:tcPr>
          <w:p w:rsidR="00300717" w:rsidRPr="004B3F6A" w:rsidRDefault="00300717" w:rsidP="00115EE7">
            <w:pPr>
              <w:spacing w:after="120"/>
              <w:jc w:val="both"/>
              <w:rPr>
                <w:sz w:val="20"/>
                <w:szCs w:val="20"/>
              </w:rPr>
            </w:pPr>
            <w:r w:rsidRPr="004B3F6A">
              <w:rPr>
                <w:rFonts w:eastAsia="Times New Roman" w:cs="Arial"/>
                <w:color w:val="000000"/>
                <w:sz w:val="20"/>
                <w:szCs w:val="20"/>
                <w:lang w:eastAsia="en-GB"/>
              </w:rPr>
              <w:t>#  membres groupements féminins formés sur la comptabilité basique et gestion financière</w:t>
            </w:r>
          </w:p>
        </w:tc>
        <w:tc>
          <w:tcPr>
            <w:tcW w:w="2430" w:type="dxa"/>
          </w:tcPr>
          <w:p w:rsidR="00300717" w:rsidRPr="004B3F6A" w:rsidRDefault="00300717" w:rsidP="00300717">
            <w:pPr>
              <w:spacing w:after="120"/>
              <w:jc w:val="center"/>
              <w:rPr>
                <w:sz w:val="20"/>
                <w:szCs w:val="20"/>
              </w:rPr>
            </w:pPr>
            <w:r w:rsidRPr="004B3F6A">
              <w:rPr>
                <w:rFonts w:eastAsia="Times New Roman" w:cs="Arial"/>
                <w:bCs/>
                <w:color w:val="000000"/>
                <w:sz w:val="20"/>
                <w:szCs w:val="20"/>
                <w:lang w:val="en-GB" w:eastAsia="en-GB"/>
              </w:rPr>
              <w:t>900</w:t>
            </w:r>
          </w:p>
        </w:tc>
        <w:tc>
          <w:tcPr>
            <w:tcW w:w="3420" w:type="dxa"/>
          </w:tcPr>
          <w:p w:rsidR="00300717" w:rsidRPr="004B3F6A" w:rsidRDefault="00300717" w:rsidP="00300717">
            <w:pPr>
              <w:spacing w:after="120"/>
              <w:jc w:val="center"/>
              <w:rPr>
                <w:sz w:val="20"/>
                <w:szCs w:val="20"/>
              </w:rPr>
            </w:pPr>
            <w:r w:rsidRPr="004B3F6A">
              <w:rPr>
                <w:rFonts w:eastAsia="Times New Roman" w:cs="Times New Roman"/>
                <w:bCs/>
                <w:color w:val="000000"/>
                <w:sz w:val="20"/>
                <w:szCs w:val="20"/>
                <w:lang w:val="en-GB" w:eastAsia="en-GB"/>
              </w:rPr>
              <w:t>1648</w:t>
            </w:r>
          </w:p>
        </w:tc>
      </w:tr>
      <w:tr w:rsidR="00300717" w:rsidRPr="004B3F6A" w:rsidTr="00300717">
        <w:tc>
          <w:tcPr>
            <w:tcW w:w="3798" w:type="dxa"/>
          </w:tcPr>
          <w:p w:rsidR="00300717" w:rsidRPr="004B3F6A" w:rsidRDefault="00300717" w:rsidP="00115EE7">
            <w:pPr>
              <w:spacing w:after="120"/>
              <w:jc w:val="both"/>
              <w:rPr>
                <w:sz w:val="20"/>
                <w:szCs w:val="20"/>
              </w:rPr>
            </w:pPr>
            <w:r w:rsidRPr="004B3F6A">
              <w:rPr>
                <w:rFonts w:eastAsia="Times New Roman" w:cs="Arial"/>
                <w:color w:val="000000"/>
                <w:sz w:val="20"/>
                <w:szCs w:val="20"/>
                <w:lang w:eastAsia="en-GB"/>
              </w:rPr>
              <w:t># membres groupements féminins formés sur la gestion et organisation des groupements</w:t>
            </w:r>
          </w:p>
        </w:tc>
        <w:tc>
          <w:tcPr>
            <w:tcW w:w="2430" w:type="dxa"/>
          </w:tcPr>
          <w:p w:rsidR="00300717" w:rsidRPr="004B3F6A" w:rsidRDefault="00300717" w:rsidP="00300717">
            <w:pPr>
              <w:spacing w:after="120"/>
              <w:jc w:val="center"/>
              <w:rPr>
                <w:sz w:val="20"/>
                <w:szCs w:val="20"/>
              </w:rPr>
            </w:pPr>
            <w:r w:rsidRPr="004B3F6A">
              <w:rPr>
                <w:rFonts w:eastAsia="Times New Roman" w:cs="Arial"/>
                <w:bCs/>
                <w:color w:val="000000"/>
                <w:sz w:val="20"/>
                <w:szCs w:val="20"/>
                <w:lang w:val="en-GB" w:eastAsia="en-GB"/>
              </w:rPr>
              <w:t>900</w:t>
            </w:r>
          </w:p>
        </w:tc>
        <w:tc>
          <w:tcPr>
            <w:tcW w:w="3420" w:type="dxa"/>
          </w:tcPr>
          <w:p w:rsidR="00300717" w:rsidRPr="004B3F6A" w:rsidRDefault="00300717" w:rsidP="00300717">
            <w:pPr>
              <w:spacing w:after="120"/>
              <w:jc w:val="center"/>
              <w:rPr>
                <w:sz w:val="20"/>
                <w:szCs w:val="20"/>
              </w:rPr>
            </w:pPr>
            <w:r w:rsidRPr="004B3F6A">
              <w:rPr>
                <w:rFonts w:eastAsia="Times New Roman" w:cs="Times New Roman"/>
                <w:bCs/>
                <w:color w:val="000000"/>
                <w:sz w:val="20"/>
                <w:szCs w:val="20"/>
                <w:lang w:val="en-GB" w:eastAsia="en-GB"/>
              </w:rPr>
              <w:t>1140</w:t>
            </w:r>
          </w:p>
        </w:tc>
      </w:tr>
      <w:tr w:rsidR="00300717" w:rsidRPr="004B3F6A" w:rsidTr="00300717">
        <w:tc>
          <w:tcPr>
            <w:tcW w:w="3798" w:type="dxa"/>
          </w:tcPr>
          <w:p w:rsidR="00300717" w:rsidRPr="004B3F6A" w:rsidRDefault="00300717" w:rsidP="00115EE7">
            <w:pPr>
              <w:spacing w:after="120"/>
              <w:jc w:val="both"/>
              <w:rPr>
                <w:sz w:val="20"/>
                <w:szCs w:val="20"/>
              </w:rPr>
            </w:pPr>
            <w:r w:rsidRPr="004B3F6A">
              <w:rPr>
                <w:rFonts w:eastAsia="Times New Roman" w:cs="Arial"/>
                <w:color w:val="000000"/>
                <w:sz w:val="20"/>
                <w:szCs w:val="20"/>
                <w:lang w:eastAsia="en-GB"/>
              </w:rPr>
              <w:t># membres groupements féminins formés sur les notions de GBV, principes directeurs et le circuit de référencement</w:t>
            </w:r>
          </w:p>
        </w:tc>
        <w:tc>
          <w:tcPr>
            <w:tcW w:w="2430" w:type="dxa"/>
          </w:tcPr>
          <w:p w:rsidR="00300717" w:rsidRPr="004B3F6A" w:rsidRDefault="00300717" w:rsidP="00300717">
            <w:pPr>
              <w:jc w:val="center"/>
              <w:rPr>
                <w:rFonts w:eastAsia="Times New Roman" w:cs="Arial"/>
                <w:bCs/>
                <w:color w:val="000000"/>
                <w:sz w:val="20"/>
                <w:szCs w:val="20"/>
                <w:lang w:val="en-GB" w:eastAsia="en-GB"/>
              </w:rPr>
            </w:pPr>
            <w:r w:rsidRPr="004B3F6A">
              <w:rPr>
                <w:rFonts w:eastAsia="Times New Roman" w:cs="Arial"/>
                <w:bCs/>
                <w:color w:val="000000"/>
                <w:sz w:val="20"/>
                <w:szCs w:val="20"/>
                <w:lang w:val="en-GB" w:eastAsia="en-GB"/>
              </w:rPr>
              <w:t>900</w:t>
            </w:r>
          </w:p>
        </w:tc>
        <w:tc>
          <w:tcPr>
            <w:tcW w:w="3420" w:type="dxa"/>
          </w:tcPr>
          <w:p w:rsidR="00300717" w:rsidRPr="004B3F6A" w:rsidRDefault="00300717" w:rsidP="00300717">
            <w:pPr>
              <w:jc w:val="center"/>
              <w:rPr>
                <w:rFonts w:eastAsia="Times New Roman" w:cs="Times New Roman"/>
                <w:bCs/>
                <w:color w:val="000000"/>
                <w:sz w:val="20"/>
                <w:szCs w:val="20"/>
                <w:lang w:val="en-GB" w:eastAsia="en-GB"/>
              </w:rPr>
            </w:pPr>
            <w:r w:rsidRPr="004B3F6A">
              <w:rPr>
                <w:rFonts w:eastAsia="Times New Roman" w:cs="Times New Roman"/>
                <w:bCs/>
                <w:color w:val="000000"/>
                <w:sz w:val="20"/>
                <w:szCs w:val="20"/>
                <w:lang w:val="en-GB" w:eastAsia="en-GB"/>
              </w:rPr>
              <w:t>280</w:t>
            </w:r>
          </w:p>
        </w:tc>
      </w:tr>
      <w:tr w:rsidR="00300717" w:rsidRPr="004B3F6A" w:rsidTr="00300717">
        <w:tc>
          <w:tcPr>
            <w:tcW w:w="3798" w:type="dxa"/>
          </w:tcPr>
          <w:p w:rsidR="00300717" w:rsidRPr="004B3F6A" w:rsidRDefault="00300717" w:rsidP="00115EE7">
            <w:pPr>
              <w:jc w:val="both"/>
              <w:rPr>
                <w:rFonts w:eastAsia="Times New Roman" w:cs="Arial"/>
                <w:color w:val="000000"/>
                <w:sz w:val="20"/>
                <w:szCs w:val="20"/>
                <w:lang w:eastAsia="en-GB"/>
              </w:rPr>
            </w:pPr>
            <w:r w:rsidRPr="004B3F6A">
              <w:rPr>
                <w:rFonts w:eastAsia="Times New Roman" w:cs="Arial"/>
                <w:color w:val="000000"/>
                <w:sz w:val="20"/>
                <w:szCs w:val="20"/>
                <w:lang w:eastAsia="en-GB"/>
              </w:rPr>
              <w:t># de femmes et jeunes filles  démontrant une augmentation de revenus grâce aux AGR</w:t>
            </w:r>
          </w:p>
        </w:tc>
        <w:tc>
          <w:tcPr>
            <w:tcW w:w="2430" w:type="dxa"/>
          </w:tcPr>
          <w:p w:rsidR="00300717" w:rsidRPr="004B3F6A" w:rsidRDefault="00300717" w:rsidP="00300717">
            <w:pPr>
              <w:jc w:val="center"/>
              <w:rPr>
                <w:rFonts w:eastAsia="Times New Roman" w:cs="Arial"/>
                <w:bCs/>
                <w:color w:val="000000"/>
                <w:sz w:val="20"/>
                <w:szCs w:val="20"/>
                <w:lang w:val="en-GB" w:eastAsia="en-GB"/>
              </w:rPr>
            </w:pPr>
            <w:r w:rsidRPr="004B3F6A">
              <w:rPr>
                <w:rFonts w:eastAsia="Times New Roman" w:cs="Arial"/>
                <w:bCs/>
                <w:color w:val="000000"/>
                <w:sz w:val="20"/>
                <w:szCs w:val="20"/>
                <w:lang w:val="en-GB" w:eastAsia="en-GB"/>
              </w:rPr>
              <w:t>1 020</w:t>
            </w:r>
          </w:p>
        </w:tc>
        <w:tc>
          <w:tcPr>
            <w:tcW w:w="3420" w:type="dxa"/>
          </w:tcPr>
          <w:p w:rsidR="00300717" w:rsidRPr="004B3F6A" w:rsidRDefault="00300717" w:rsidP="00300717">
            <w:pPr>
              <w:jc w:val="center"/>
              <w:rPr>
                <w:rFonts w:eastAsia="Times New Roman" w:cs="Times New Roman"/>
                <w:bCs/>
                <w:color w:val="000000"/>
                <w:sz w:val="20"/>
                <w:szCs w:val="20"/>
                <w:lang w:val="en-GB" w:eastAsia="en-GB"/>
              </w:rPr>
            </w:pPr>
            <w:r w:rsidRPr="004B3F6A">
              <w:rPr>
                <w:rFonts w:eastAsia="Times New Roman" w:cs="Times New Roman"/>
                <w:bCs/>
                <w:color w:val="000000"/>
                <w:sz w:val="20"/>
                <w:szCs w:val="20"/>
                <w:lang w:val="en-GB" w:eastAsia="en-GB"/>
              </w:rPr>
              <w:t>810</w:t>
            </w:r>
          </w:p>
        </w:tc>
      </w:tr>
      <w:tr w:rsidR="00300717" w:rsidRPr="004B3F6A" w:rsidTr="00300717">
        <w:tc>
          <w:tcPr>
            <w:tcW w:w="3798" w:type="dxa"/>
          </w:tcPr>
          <w:p w:rsidR="00300717" w:rsidRPr="004B3F6A" w:rsidRDefault="00300717" w:rsidP="00115EE7">
            <w:pPr>
              <w:jc w:val="both"/>
              <w:rPr>
                <w:rFonts w:eastAsia="Times New Roman" w:cs="Arial"/>
                <w:color w:val="000000"/>
                <w:sz w:val="20"/>
                <w:szCs w:val="20"/>
                <w:lang w:eastAsia="en-GB"/>
              </w:rPr>
            </w:pPr>
            <w:r w:rsidRPr="004B3F6A">
              <w:rPr>
                <w:rFonts w:eastAsia="Times New Roman" w:cs="Arial"/>
                <w:color w:val="000000"/>
                <w:sz w:val="20"/>
                <w:szCs w:val="20"/>
                <w:lang w:eastAsia="en-GB"/>
              </w:rPr>
              <w:t># de bénéficiaires des initiatives menées par les ONG partenaires qui sont satisfaites des services fournis</w:t>
            </w:r>
          </w:p>
        </w:tc>
        <w:tc>
          <w:tcPr>
            <w:tcW w:w="2430" w:type="dxa"/>
          </w:tcPr>
          <w:p w:rsidR="00300717" w:rsidRPr="004B3F6A" w:rsidRDefault="00300717" w:rsidP="00300717">
            <w:pPr>
              <w:jc w:val="center"/>
              <w:rPr>
                <w:rFonts w:eastAsia="Times New Roman" w:cs="Arial"/>
                <w:bCs/>
                <w:color w:val="000000"/>
                <w:sz w:val="20"/>
                <w:szCs w:val="20"/>
                <w:lang w:val="en-GB" w:eastAsia="en-GB"/>
              </w:rPr>
            </w:pPr>
            <w:r w:rsidRPr="004B3F6A">
              <w:rPr>
                <w:rFonts w:eastAsia="Times New Roman" w:cs="Arial"/>
                <w:bCs/>
                <w:color w:val="000000"/>
                <w:sz w:val="20"/>
                <w:szCs w:val="20"/>
                <w:lang w:val="en-GB" w:eastAsia="en-GB"/>
              </w:rPr>
              <w:t>9 858</w:t>
            </w:r>
          </w:p>
        </w:tc>
        <w:tc>
          <w:tcPr>
            <w:tcW w:w="3420" w:type="dxa"/>
          </w:tcPr>
          <w:p w:rsidR="00300717" w:rsidRPr="004B3F6A" w:rsidRDefault="00300717" w:rsidP="00300717">
            <w:pPr>
              <w:jc w:val="center"/>
              <w:rPr>
                <w:rFonts w:eastAsia="Times New Roman" w:cs="Times New Roman"/>
                <w:bCs/>
                <w:color w:val="000000"/>
                <w:sz w:val="20"/>
                <w:szCs w:val="20"/>
                <w:lang w:val="en-GB" w:eastAsia="en-GB"/>
              </w:rPr>
            </w:pPr>
            <w:r w:rsidRPr="004B3F6A">
              <w:rPr>
                <w:rFonts w:eastAsia="Times New Roman" w:cs="Times New Roman"/>
                <w:bCs/>
                <w:color w:val="000000"/>
                <w:sz w:val="20"/>
                <w:szCs w:val="20"/>
                <w:lang w:val="en-GB" w:eastAsia="en-GB"/>
              </w:rPr>
              <w:t>8 850</w:t>
            </w:r>
          </w:p>
        </w:tc>
      </w:tr>
      <w:tr w:rsidR="00300717" w:rsidRPr="004B3F6A" w:rsidTr="00300717">
        <w:tc>
          <w:tcPr>
            <w:tcW w:w="3798" w:type="dxa"/>
          </w:tcPr>
          <w:p w:rsidR="00300717" w:rsidRPr="004B3F6A" w:rsidRDefault="00300717" w:rsidP="00115EE7">
            <w:pPr>
              <w:jc w:val="both"/>
              <w:rPr>
                <w:rFonts w:eastAsia="Times New Roman" w:cs="Arial"/>
                <w:color w:val="000000"/>
                <w:sz w:val="20"/>
                <w:szCs w:val="20"/>
                <w:lang w:eastAsia="en-GB"/>
              </w:rPr>
            </w:pPr>
            <w:r w:rsidRPr="004B3F6A">
              <w:rPr>
                <w:rFonts w:eastAsia="Times New Roman" w:cs="Arial"/>
                <w:color w:val="000000"/>
                <w:sz w:val="20"/>
                <w:szCs w:val="20"/>
                <w:lang w:eastAsia="en-GB"/>
              </w:rPr>
              <w:t># de femmes et filles sélectionnées qui ont identifié des AGR viables grâce au soutien  de l’IRC</w:t>
            </w:r>
          </w:p>
        </w:tc>
        <w:tc>
          <w:tcPr>
            <w:tcW w:w="2430" w:type="dxa"/>
          </w:tcPr>
          <w:p w:rsidR="00300717" w:rsidRPr="004B3F6A" w:rsidRDefault="00300717" w:rsidP="00300717">
            <w:pPr>
              <w:jc w:val="center"/>
              <w:rPr>
                <w:rFonts w:eastAsia="Times New Roman" w:cs="Arial"/>
                <w:bCs/>
                <w:color w:val="000000"/>
                <w:sz w:val="20"/>
                <w:szCs w:val="20"/>
                <w:lang w:val="en-GB" w:eastAsia="en-GB"/>
              </w:rPr>
            </w:pPr>
            <w:r w:rsidRPr="004B3F6A">
              <w:rPr>
                <w:rFonts w:eastAsia="Times New Roman" w:cs="Arial"/>
                <w:bCs/>
                <w:color w:val="000000"/>
                <w:sz w:val="20"/>
                <w:szCs w:val="20"/>
                <w:lang w:val="en-GB" w:eastAsia="en-GB"/>
              </w:rPr>
              <w:t>800</w:t>
            </w:r>
          </w:p>
        </w:tc>
        <w:tc>
          <w:tcPr>
            <w:tcW w:w="3420" w:type="dxa"/>
          </w:tcPr>
          <w:p w:rsidR="00300717" w:rsidRPr="00D4237F" w:rsidRDefault="00300717" w:rsidP="00300717">
            <w:pPr>
              <w:jc w:val="center"/>
              <w:rPr>
                <w:rFonts w:eastAsia="Times New Roman" w:cs="Times New Roman"/>
                <w:bCs/>
                <w:color w:val="000000"/>
                <w:sz w:val="20"/>
                <w:szCs w:val="20"/>
                <w:lang w:eastAsia="en-GB"/>
              </w:rPr>
            </w:pPr>
            <w:r w:rsidRPr="00D4237F">
              <w:rPr>
                <w:rFonts w:eastAsia="Times New Roman" w:cs="Times New Roman"/>
                <w:bCs/>
                <w:color w:val="000000"/>
                <w:sz w:val="20"/>
                <w:szCs w:val="20"/>
                <w:lang w:eastAsia="en-GB"/>
              </w:rPr>
              <w:t>1000(800 femmes et filles et 200 hommes)</w:t>
            </w:r>
          </w:p>
        </w:tc>
      </w:tr>
      <w:tr w:rsidR="00300717" w:rsidRPr="004B3F6A" w:rsidTr="00300717">
        <w:tc>
          <w:tcPr>
            <w:tcW w:w="3798" w:type="dxa"/>
          </w:tcPr>
          <w:p w:rsidR="00300717" w:rsidRPr="004B3F6A" w:rsidRDefault="00300717" w:rsidP="00115EE7">
            <w:pPr>
              <w:jc w:val="both"/>
              <w:rPr>
                <w:rFonts w:eastAsia="Times New Roman" w:cs="Arial"/>
                <w:color w:val="000000"/>
                <w:sz w:val="20"/>
                <w:szCs w:val="20"/>
                <w:lang w:eastAsia="en-GB"/>
              </w:rPr>
            </w:pPr>
            <w:r w:rsidRPr="004B3F6A">
              <w:rPr>
                <w:rFonts w:eastAsia="Times New Roman" w:cs="Arial"/>
                <w:color w:val="000000"/>
                <w:sz w:val="20"/>
                <w:szCs w:val="20"/>
                <w:lang w:eastAsia="en-GB"/>
              </w:rPr>
              <w:t xml:space="preserve"># des femmes/hommes qui participent aux groupes de discussions EA$E </w:t>
            </w:r>
          </w:p>
        </w:tc>
        <w:tc>
          <w:tcPr>
            <w:tcW w:w="2430" w:type="dxa"/>
          </w:tcPr>
          <w:p w:rsidR="00300717" w:rsidRPr="004B3F6A" w:rsidRDefault="00300717" w:rsidP="00300717">
            <w:pPr>
              <w:jc w:val="center"/>
              <w:rPr>
                <w:rFonts w:eastAsia="Times New Roman" w:cs="Arial"/>
                <w:bCs/>
                <w:color w:val="000000"/>
                <w:sz w:val="20"/>
                <w:szCs w:val="20"/>
                <w:lang w:val="en-GB" w:eastAsia="en-GB"/>
              </w:rPr>
            </w:pPr>
            <w:r w:rsidRPr="004B3F6A">
              <w:rPr>
                <w:rFonts w:eastAsia="Times New Roman" w:cs="Arial"/>
                <w:bCs/>
                <w:color w:val="000000"/>
                <w:sz w:val="20"/>
                <w:szCs w:val="20"/>
                <w:lang w:val="en-GB" w:eastAsia="en-GB"/>
              </w:rPr>
              <w:t>900</w:t>
            </w:r>
          </w:p>
        </w:tc>
        <w:tc>
          <w:tcPr>
            <w:tcW w:w="3420" w:type="dxa"/>
          </w:tcPr>
          <w:p w:rsidR="00300717" w:rsidRPr="004B3F6A" w:rsidRDefault="00300717" w:rsidP="00300717">
            <w:pPr>
              <w:jc w:val="center"/>
              <w:rPr>
                <w:rFonts w:eastAsia="Times New Roman" w:cs="Times New Roman"/>
                <w:bCs/>
                <w:color w:val="000000"/>
                <w:sz w:val="20"/>
                <w:szCs w:val="20"/>
                <w:lang w:val="en-GB" w:eastAsia="en-GB"/>
              </w:rPr>
            </w:pPr>
            <w:r>
              <w:rPr>
                <w:rFonts w:eastAsia="Times New Roman" w:cs="Times New Roman"/>
                <w:bCs/>
                <w:color w:val="000000"/>
                <w:sz w:val="20"/>
                <w:szCs w:val="20"/>
                <w:lang w:val="en-GB" w:eastAsia="en-GB"/>
              </w:rPr>
              <w:t>1200 participants</w:t>
            </w:r>
          </w:p>
        </w:tc>
      </w:tr>
    </w:tbl>
    <w:p w:rsidR="009131F7" w:rsidRDefault="009131F7" w:rsidP="000C71EC">
      <w:pPr>
        <w:spacing w:line="240" w:lineRule="auto"/>
        <w:jc w:val="both"/>
        <w:rPr>
          <w:b/>
          <w:color w:val="4F81BD" w:themeColor="accent1"/>
          <w:sz w:val="20"/>
          <w:szCs w:val="20"/>
        </w:rPr>
      </w:pPr>
    </w:p>
    <w:p w:rsidR="00136AF1" w:rsidRPr="004B3F6A" w:rsidRDefault="00A66EF0" w:rsidP="000C71EC">
      <w:pPr>
        <w:spacing w:line="240" w:lineRule="auto"/>
        <w:jc w:val="both"/>
        <w:rPr>
          <w:b/>
          <w:color w:val="4F81BD" w:themeColor="accent1"/>
          <w:sz w:val="20"/>
          <w:szCs w:val="20"/>
        </w:rPr>
      </w:pPr>
      <w:r>
        <w:rPr>
          <w:b/>
          <w:color w:val="4F81BD" w:themeColor="accent1"/>
          <w:sz w:val="20"/>
          <w:szCs w:val="20"/>
        </w:rPr>
        <w:t xml:space="preserve">Au total, </w:t>
      </w:r>
      <w:r w:rsidR="007E780B">
        <w:rPr>
          <w:b/>
          <w:color w:val="4F81BD" w:themeColor="accent1"/>
          <w:sz w:val="20"/>
          <w:szCs w:val="20"/>
        </w:rPr>
        <w:t xml:space="preserve">près de </w:t>
      </w:r>
      <w:r w:rsidR="00450CF5">
        <w:rPr>
          <w:b/>
          <w:color w:val="4F81BD" w:themeColor="accent1"/>
          <w:sz w:val="20"/>
          <w:szCs w:val="20"/>
        </w:rPr>
        <w:t xml:space="preserve">9 000 </w:t>
      </w:r>
      <w:r>
        <w:rPr>
          <w:b/>
          <w:color w:val="4F81BD" w:themeColor="accent1"/>
          <w:sz w:val="20"/>
          <w:szCs w:val="20"/>
        </w:rPr>
        <w:t xml:space="preserve">bénéficiaires ont été appuyés </w:t>
      </w:r>
      <w:r w:rsidR="00450CF5">
        <w:rPr>
          <w:b/>
          <w:color w:val="4F81BD" w:themeColor="accent1"/>
          <w:sz w:val="20"/>
          <w:szCs w:val="20"/>
        </w:rPr>
        <w:t xml:space="preserve">à travers </w:t>
      </w:r>
      <w:r>
        <w:rPr>
          <w:b/>
          <w:color w:val="4F81BD" w:themeColor="accent1"/>
          <w:sz w:val="20"/>
          <w:szCs w:val="20"/>
        </w:rPr>
        <w:t xml:space="preserve">IRC et </w:t>
      </w:r>
      <w:r w:rsidR="00450CF5">
        <w:rPr>
          <w:b/>
          <w:color w:val="4F81BD" w:themeColor="accent1"/>
          <w:sz w:val="20"/>
          <w:szCs w:val="20"/>
        </w:rPr>
        <w:t>les groupements et ONG Locales</w:t>
      </w:r>
    </w:p>
    <w:p w:rsidR="00476645" w:rsidRDefault="00476645">
      <w:pPr>
        <w:rPr>
          <w:b/>
          <w:color w:val="4F81BD" w:themeColor="accent1"/>
          <w:sz w:val="20"/>
          <w:szCs w:val="20"/>
        </w:rPr>
      </w:pPr>
      <w:r>
        <w:rPr>
          <w:b/>
          <w:color w:val="4F81BD" w:themeColor="accent1"/>
          <w:sz w:val="20"/>
          <w:szCs w:val="20"/>
        </w:rPr>
        <w:br w:type="page"/>
      </w:r>
    </w:p>
    <w:p w:rsidR="009131F7" w:rsidRPr="004B3F6A" w:rsidRDefault="009131F7" w:rsidP="000C71EC">
      <w:pPr>
        <w:spacing w:line="240" w:lineRule="auto"/>
        <w:jc w:val="both"/>
        <w:rPr>
          <w:b/>
          <w:color w:val="4F81BD" w:themeColor="accent1"/>
          <w:sz w:val="20"/>
          <w:szCs w:val="20"/>
        </w:rPr>
      </w:pPr>
      <w:r w:rsidRPr="004B3F6A">
        <w:rPr>
          <w:b/>
          <w:color w:val="4F81BD" w:themeColor="accent1"/>
          <w:sz w:val="20"/>
          <w:szCs w:val="20"/>
        </w:rPr>
        <w:lastRenderedPageBreak/>
        <w:t>Leçons apprises :</w:t>
      </w:r>
    </w:p>
    <w:p w:rsidR="00210005" w:rsidRPr="004B3F6A" w:rsidRDefault="00210005" w:rsidP="00210005">
      <w:pPr>
        <w:pStyle w:val="ListParagraph"/>
        <w:numPr>
          <w:ilvl w:val="0"/>
          <w:numId w:val="6"/>
        </w:numPr>
        <w:spacing w:line="240" w:lineRule="auto"/>
        <w:jc w:val="both"/>
        <w:rPr>
          <w:sz w:val="20"/>
          <w:szCs w:val="20"/>
        </w:rPr>
      </w:pPr>
      <w:r w:rsidRPr="004B3F6A">
        <w:rPr>
          <w:sz w:val="20"/>
          <w:szCs w:val="20"/>
        </w:rPr>
        <w:t xml:space="preserve">Renforcement de la cohésion sociale entre les femmes de différentes </w:t>
      </w:r>
      <w:r w:rsidR="004B3F6A" w:rsidRPr="004B3F6A">
        <w:rPr>
          <w:sz w:val="20"/>
          <w:szCs w:val="20"/>
        </w:rPr>
        <w:t>communautés. Par</w:t>
      </w:r>
      <w:r w:rsidRPr="004B3F6A">
        <w:rPr>
          <w:sz w:val="20"/>
          <w:szCs w:val="20"/>
        </w:rPr>
        <w:t xml:space="preserve"> exemple il a été </w:t>
      </w:r>
      <w:r w:rsidR="004B3F6A" w:rsidRPr="004B3F6A">
        <w:rPr>
          <w:sz w:val="20"/>
          <w:szCs w:val="20"/>
        </w:rPr>
        <w:t xml:space="preserve"> </w:t>
      </w:r>
      <w:r w:rsidR="00794DCA" w:rsidRPr="004B3F6A">
        <w:rPr>
          <w:sz w:val="20"/>
          <w:szCs w:val="20"/>
        </w:rPr>
        <w:t>noté</w:t>
      </w:r>
      <w:r w:rsidR="004B3F6A" w:rsidRPr="004B3F6A">
        <w:rPr>
          <w:sz w:val="20"/>
          <w:szCs w:val="20"/>
        </w:rPr>
        <w:t xml:space="preserve"> que certains groupements sont mixtes (m</w:t>
      </w:r>
      <w:r w:rsidR="00794DCA">
        <w:rPr>
          <w:sz w:val="20"/>
          <w:szCs w:val="20"/>
        </w:rPr>
        <w:t>usulmanes</w:t>
      </w:r>
      <w:r w:rsidR="004B3F6A" w:rsidRPr="004B3F6A">
        <w:rPr>
          <w:sz w:val="20"/>
          <w:szCs w:val="20"/>
        </w:rPr>
        <w:t xml:space="preserve"> et chrétien</w:t>
      </w:r>
      <w:r w:rsidR="00794DCA">
        <w:rPr>
          <w:sz w:val="20"/>
          <w:szCs w:val="20"/>
        </w:rPr>
        <w:t>ne</w:t>
      </w:r>
      <w:r w:rsidR="004B3F6A" w:rsidRPr="004B3F6A">
        <w:rPr>
          <w:sz w:val="20"/>
          <w:szCs w:val="20"/>
        </w:rPr>
        <w:t>s</w:t>
      </w:r>
      <w:r w:rsidR="00794DCA">
        <w:rPr>
          <w:sz w:val="20"/>
          <w:szCs w:val="20"/>
        </w:rPr>
        <w:t>).</w:t>
      </w:r>
    </w:p>
    <w:p w:rsidR="00210005" w:rsidRPr="004B3F6A" w:rsidRDefault="00210005" w:rsidP="00210005">
      <w:pPr>
        <w:pStyle w:val="ListParagraph"/>
        <w:numPr>
          <w:ilvl w:val="0"/>
          <w:numId w:val="6"/>
        </w:numPr>
        <w:jc w:val="both"/>
        <w:rPr>
          <w:rFonts w:cs="Arial"/>
          <w:iCs/>
          <w:sz w:val="20"/>
          <w:szCs w:val="20"/>
          <w:lang w:val="fr-FR"/>
        </w:rPr>
      </w:pPr>
      <w:r w:rsidRPr="004B3F6A">
        <w:rPr>
          <w:sz w:val="20"/>
          <w:szCs w:val="20"/>
          <w:lang w:val="fr-FR"/>
        </w:rPr>
        <w:t>Les</w:t>
      </w:r>
      <w:r w:rsidR="004B3F6A" w:rsidRPr="004B3F6A">
        <w:rPr>
          <w:sz w:val="20"/>
          <w:szCs w:val="20"/>
          <w:lang w:val="fr-FR"/>
        </w:rPr>
        <w:t xml:space="preserve"> projets Bekou a renforcé</w:t>
      </w:r>
      <w:r w:rsidRPr="004B3F6A">
        <w:rPr>
          <w:sz w:val="20"/>
          <w:szCs w:val="20"/>
          <w:lang w:val="fr-FR"/>
        </w:rPr>
        <w:t xml:space="preserve"> la collaboration entre IRC et les communautés locales des zones ciblées par </w:t>
      </w:r>
      <w:r w:rsidR="00794DCA">
        <w:rPr>
          <w:sz w:val="20"/>
          <w:szCs w:val="20"/>
          <w:lang w:val="fr-FR"/>
        </w:rPr>
        <w:t>le projet.D</w:t>
      </w:r>
      <w:r w:rsidRPr="004B3F6A">
        <w:rPr>
          <w:sz w:val="20"/>
          <w:szCs w:val="20"/>
          <w:lang w:val="fr-FR"/>
        </w:rPr>
        <w:t>’abord l’implication des leaders communautaires et forte mobilisation des femmes et filles autour des actions mises en œuvre</w:t>
      </w:r>
      <w:r w:rsidR="00794DCA">
        <w:rPr>
          <w:sz w:val="20"/>
          <w:szCs w:val="20"/>
          <w:lang w:val="fr-FR"/>
        </w:rPr>
        <w:t xml:space="preserve"> par le Programme.</w:t>
      </w:r>
      <w:r w:rsidRPr="004B3F6A">
        <w:rPr>
          <w:sz w:val="20"/>
          <w:szCs w:val="20"/>
          <w:lang w:val="fr-FR"/>
        </w:rPr>
        <w:t>Par exemple, l</w:t>
      </w:r>
      <w:r w:rsidRPr="004B3F6A">
        <w:rPr>
          <w:rFonts w:cs="Arial"/>
          <w:iCs/>
          <w:sz w:val="20"/>
          <w:szCs w:val="20"/>
          <w:lang w:val="fr-FR"/>
        </w:rPr>
        <w:t>’ouverture des classes d’alphabétisation a été bien accueillie dans toutes les localités. A Lételé dans la sous-préfecture de Bocaranga, les femmes ont décidé de construire elles-mêmes un hangar pour la tenue de leur classe d’alphabétisation. Cela montre clairement leur intérêt à prendre part à cette activité.</w:t>
      </w:r>
    </w:p>
    <w:p w:rsidR="004B3F6A" w:rsidRPr="004B3F6A" w:rsidRDefault="00210005" w:rsidP="004B3F6A">
      <w:pPr>
        <w:pStyle w:val="BodyText3"/>
        <w:numPr>
          <w:ilvl w:val="0"/>
          <w:numId w:val="6"/>
        </w:numPr>
        <w:pBdr>
          <w:top w:val="none" w:sz="0" w:space="0" w:color="auto"/>
          <w:left w:val="none" w:sz="0" w:space="0" w:color="auto"/>
          <w:bottom w:val="none" w:sz="0" w:space="0" w:color="auto"/>
          <w:right w:val="none" w:sz="0" w:space="0" w:color="auto"/>
        </w:pBdr>
        <w:rPr>
          <w:rFonts w:asciiTheme="minorHAnsi" w:hAnsiTheme="minorHAnsi"/>
          <w:i w:val="0"/>
          <w:sz w:val="20"/>
          <w:lang w:val="fr-FR"/>
        </w:rPr>
      </w:pPr>
      <w:r w:rsidRPr="004B3F6A">
        <w:rPr>
          <w:rFonts w:asciiTheme="minorHAnsi" w:hAnsiTheme="minorHAnsi"/>
          <w:i w:val="0"/>
          <w:sz w:val="20"/>
          <w:lang w:val="fr-FR"/>
        </w:rPr>
        <w:t>Les autorités tant au niveau national que local sont informées des actions menées par le Programme. Sur cette base, un atelier de lancement et présentation du projet a été réalisé au mois de Mars afin de susciter l’appropriation et implication des autorités de Bocaranga et Kaga Bandoro. Des visites de courtoisie et contacts informels auprès du ministre des affaires</w:t>
      </w:r>
      <w:r w:rsidR="00413622">
        <w:rPr>
          <w:rFonts w:asciiTheme="minorHAnsi" w:hAnsiTheme="minorHAnsi"/>
          <w:i w:val="0"/>
          <w:sz w:val="20"/>
          <w:lang w:val="fr-FR"/>
        </w:rPr>
        <w:t xml:space="preserve"> sociales</w:t>
      </w:r>
      <w:r w:rsidRPr="004B3F6A">
        <w:rPr>
          <w:rFonts w:asciiTheme="minorHAnsi" w:hAnsiTheme="minorHAnsi"/>
          <w:i w:val="0"/>
          <w:sz w:val="20"/>
          <w:lang w:val="fr-FR"/>
        </w:rPr>
        <w:t xml:space="preserve">. En effet le fonds Bekou a largement contribué au rapprochement actuel entre IRC et le gouvernement. Cela se manifeste par la </w:t>
      </w:r>
      <w:r w:rsidR="00413622" w:rsidRPr="004B3F6A">
        <w:rPr>
          <w:rFonts w:asciiTheme="minorHAnsi" w:hAnsiTheme="minorHAnsi"/>
          <w:i w:val="0"/>
          <w:sz w:val="20"/>
          <w:lang w:val="fr-FR"/>
        </w:rPr>
        <w:t>facilit</w:t>
      </w:r>
      <w:r w:rsidR="00413622">
        <w:rPr>
          <w:rFonts w:asciiTheme="minorHAnsi" w:hAnsiTheme="minorHAnsi"/>
          <w:i w:val="0"/>
          <w:sz w:val="20"/>
          <w:lang w:val="fr-FR"/>
        </w:rPr>
        <w:t>é</w:t>
      </w:r>
      <w:r w:rsidRPr="004B3F6A">
        <w:rPr>
          <w:rFonts w:asciiTheme="minorHAnsi" w:hAnsiTheme="minorHAnsi"/>
          <w:i w:val="0"/>
          <w:sz w:val="20"/>
          <w:lang w:val="fr-FR"/>
        </w:rPr>
        <w:t xml:space="preserve"> administrative dans l’allocation d’un bâtiment pour la construction de la maison des femmes.</w:t>
      </w:r>
    </w:p>
    <w:p w:rsidR="00210005" w:rsidRPr="004B3F6A" w:rsidRDefault="004B3F6A" w:rsidP="004B3F6A">
      <w:pPr>
        <w:pStyle w:val="BodyText3"/>
        <w:numPr>
          <w:ilvl w:val="0"/>
          <w:numId w:val="6"/>
        </w:numPr>
        <w:pBdr>
          <w:top w:val="none" w:sz="0" w:space="0" w:color="auto"/>
          <w:left w:val="none" w:sz="0" w:space="0" w:color="auto"/>
          <w:bottom w:val="none" w:sz="0" w:space="0" w:color="auto"/>
          <w:right w:val="none" w:sz="0" w:space="0" w:color="auto"/>
        </w:pBdr>
        <w:rPr>
          <w:rFonts w:asciiTheme="minorHAnsi" w:hAnsiTheme="minorHAnsi"/>
          <w:i w:val="0"/>
          <w:sz w:val="20"/>
          <w:lang w:val="fr-FR"/>
        </w:rPr>
      </w:pPr>
      <w:r w:rsidRPr="004B3F6A">
        <w:rPr>
          <w:rFonts w:asciiTheme="minorHAnsi" w:hAnsiTheme="minorHAnsi"/>
          <w:i w:val="0"/>
          <w:sz w:val="20"/>
          <w:lang w:val="fr-FR"/>
        </w:rPr>
        <w:t xml:space="preserve">Il faudra signaler que les groupes de discussions ont  reçu une forte mobilisation des femmes et leurs conjoints surtout dans les communautés musulmanes de Koui et Sangrelim.  En effet, les femmes témoignent que c’est la première fois de  se mettre ensemble avec leurs conjoints pour discuter des questions liées </w:t>
      </w:r>
      <w:r w:rsidRPr="004B3F6A">
        <w:rPr>
          <w:rFonts w:asciiTheme="minorHAnsi" w:hAnsiTheme="minorHAnsi" w:cs="Arial"/>
          <w:i w:val="0"/>
          <w:sz w:val="20"/>
          <w:lang w:val="fr-FR" w:eastAsia="fr-FR"/>
        </w:rPr>
        <w:t>à</w:t>
      </w:r>
      <w:r w:rsidRPr="004B3F6A">
        <w:rPr>
          <w:rFonts w:asciiTheme="minorHAnsi" w:hAnsiTheme="minorHAnsi"/>
          <w:i w:val="0"/>
          <w:sz w:val="20"/>
          <w:lang w:val="fr-FR"/>
        </w:rPr>
        <w:t xml:space="preserve"> la prise de décision au sein des ménages. Les groupes de discussions vont significativement contribuer au changement des normes sociales et au poids de la pesanteur culturelle et  de la religion et </w:t>
      </w:r>
      <w:r w:rsidR="00413622" w:rsidRPr="004B3F6A">
        <w:rPr>
          <w:rFonts w:asciiTheme="minorHAnsi" w:hAnsiTheme="minorHAnsi"/>
          <w:i w:val="0"/>
          <w:sz w:val="20"/>
          <w:lang w:val="fr-FR"/>
        </w:rPr>
        <w:t>partant</w:t>
      </w:r>
      <w:r w:rsidR="00413622">
        <w:rPr>
          <w:rFonts w:asciiTheme="minorHAnsi" w:hAnsiTheme="minorHAnsi"/>
          <w:i w:val="0"/>
          <w:sz w:val="20"/>
          <w:lang w:val="fr-FR"/>
        </w:rPr>
        <w:t>,</w:t>
      </w:r>
      <w:r w:rsidR="00413622" w:rsidRPr="004B3F6A">
        <w:rPr>
          <w:rFonts w:asciiTheme="minorHAnsi" w:hAnsiTheme="minorHAnsi"/>
          <w:i w:val="0"/>
          <w:sz w:val="20"/>
          <w:lang w:val="fr-FR"/>
        </w:rPr>
        <w:t xml:space="preserve"> renforcer</w:t>
      </w:r>
      <w:r w:rsidRPr="004B3F6A">
        <w:rPr>
          <w:rFonts w:asciiTheme="minorHAnsi" w:hAnsiTheme="minorHAnsi"/>
          <w:i w:val="0"/>
          <w:sz w:val="20"/>
          <w:lang w:val="fr-FR"/>
        </w:rPr>
        <w:t xml:space="preserve"> la cohésion sociale au sein des foyers et communautés.</w:t>
      </w:r>
    </w:p>
    <w:p w:rsidR="00885BBC" w:rsidRDefault="004B3F6A" w:rsidP="000C71EC">
      <w:pPr>
        <w:pStyle w:val="BodyText3"/>
        <w:numPr>
          <w:ilvl w:val="0"/>
          <w:numId w:val="6"/>
        </w:numPr>
        <w:pBdr>
          <w:top w:val="none" w:sz="0" w:space="0" w:color="auto"/>
          <w:left w:val="none" w:sz="0" w:space="0" w:color="auto"/>
          <w:bottom w:val="none" w:sz="0" w:space="0" w:color="auto"/>
          <w:right w:val="none" w:sz="0" w:space="0" w:color="auto"/>
        </w:pBdr>
        <w:rPr>
          <w:rFonts w:asciiTheme="minorHAnsi" w:hAnsiTheme="minorHAnsi"/>
          <w:i w:val="0"/>
          <w:sz w:val="20"/>
          <w:lang w:val="fr-FR"/>
        </w:rPr>
      </w:pPr>
      <w:r w:rsidRPr="00A962D0">
        <w:rPr>
          <w:rFonts w:asciiTheme="minorHAnsi" w:hAnsiTheme="minorHAnsi"/>
          <w:i w:val="0"/>
          <w:sz w:val="20"/>
          <w:lang w:val="fr-FR"/>
        </w:rPr>
        <w:t>Présence</w:t>
      </w:r>
      <w:r w:rsidR="00222142" w:rsidRPr="00A962D0">
        <w:rPr>
          <w:rFonts w:asciiTheme="minorHAnsi" w:hAnsiTheme="minorHAnsi"/>
          <w:i w:val="0"/>
          <w:sz w:val="20"/>
          <w:lang w:val="fr-FR"/>
        </w:rPr>
        <w:t xml:space="preserve"> et bonne assise communautaire dans les zones où les partenaires  locaux interviennent. Cela a été visible lors des événements du 29 Septembre 2016.Ces derniers ont maintenu leurs actions sur le terrain quand bien même les organisations internationales n’étant opérationnelles. Ce qui a permis </w:t>
      </w:r>
      <w:r w:rsidR="00413622" w:rsidRPr="00A962D0">
        <w:rPr>
          <w:rFonts w:asciiTheme="minorHAnsi" w:hAnsiTheme="minorHAnsi"/>
          <w:i w:val="0"/>
          <w:sz w:val="20"/>
          <w:lang w:val="fr-FR"/>
        </w:rPr>
        <w:t>à</w:t>
      </w:r>
      <w:r w:rsidR="00222142" w:rsidRPr="00A962D0">
        <w:rPr>
          <w:rFonts w:asciiTheme="minorHAnsi" w:hAnsiTheme="minorHAnsi"/>
          <w:i w:val="0"/>
          <w:sz w:val="20"/>
          <w:lang w:val="fr-FR"/>
        </w:rPr>
        <w:t xml:space="preserve"> l’IRC d’</w:t>
      </w:r>
      <w:r w:rsidR="00413622" w:rsidRPr="00A962D0">
        <w:rPr>
          <w:rFonts w:asciiTheme="minorHAnsi" w:hAnsiTheme="minorHAnsi"/>
          <w:i w:val="0"/>
          <w:sz w:val="20"/>
          <w:lang w:val="fr-FR"/>
        </w:rPr>
        <w:t>avoir des</w:t>
      </w:r>
      <w:r w:rsidR="00222142" w:rsidRPr="00A962D0">
        <w:rPr>
          <w:rFonts w:asciiTheme="minorHAnsi" w:hAnsiTheme="minorHAnsi"/>
          <w:i w:val="0"/>
          <w:sz w:val="20"/>
          <w:lang w:val="fr-FR"/>
        </w:rPr>
        <w:t xml:space="preserve"> informations</w:t>
      </w:r>
      <w:r w:rsidR="00413622" w:rsidRPr="00A962D0">
        <w:rPr>
          <w:rFonts w:asciiTheme="minorHAnsi" w:hAnsiTheme="minorHAnsi"/>
          <w:i w:val="0"/>
          <w:sz w:val="20"/>
          <w:lang w:val="fr-FR"/>
        </w:rPr>
        <w:t xml:space="preserve"> collectées par les partenaires</w:t>
      </w:r>
      <w:r w:rsidR="00222142" w:rsidRPr="00A962D0">
        <w:rPr>
          <w:rFonts w:asciiTheme="minorHAnsi" w:hAnsiTheme="minorHAnsi"/>
          <w:i w:val="0"/>
          <w:sz w:val="20"/>
          <w:lang w:val="fr-FR"/>
        </w:rPr>
        <w:t xml:space="preserve"> et </w:t>
      </w:r>
      <w:r w:rsidR="00413622" w:rsidRPr="00A962D0">
        <w:rPr>
          <w:rFonts w:asciiTheme="minorHAnsi" w:hAnsiTheme="minorHAnsi"/>
          <w:i w:val="0"/>
          <w:sz w:val="20"/>
          <w:lang w:val="fr-FR"/>
        </w:rPr>
        <w:t xml:space="preserve">de les </w:t>
      </w:r>
      <w:r w:rsidR="00222142" w:rsidRPr="00A962D0">
        <w:rPr>
          <w:rFonts w:asciiTheme="minorHAnsi" w:hAnsiTheme="minorHAnsi"/>
          <w:i w:val="0"/>
          <w:sz w:val="20"/>
          <w:lang w:val="fr-FR"/>
        </w:rPr>
        <w:t xml:space="preserve">renseigner au niveau de différents clusters. </w:t>
      </w:r>
    </w:p>
    <w:p w:rsidR="00A962D0" w:rsidRPr="00A962D0" w:rsidRDefault="00A962D0" w:rsidP="00A962D0">
      <w:pPr>
        <w:pStyle w:val="BodyText3"/>
        <w:pBdr>
          <w:top w:val="none" w:sz="0" w:space="0" w:color="auto"/>
          <w:left w:val="none" w:sz="0" w:space="0" w:color="auto"/>
          <w:bottom w:val="none" w:sz="0" w:space="0" w:color="auto"/>
          <w:right w:val="none" w:sz="0" w:space="0" w:color="auto"/>
        </w:pBdr>
        <w:ind w:left="720"/>
        <w:rPr>
          <w:rFonts w:asciiTheme="minorHAnsi" w:hAnsiTheme="minorHAnsi"/>
          <w:i w:val="0"/>
          <w:sz w:val="20"/>
          <w:lang w:val="fr-FR"/>
        </w:rPr>
      </w:pPr>
    </w:p>
    <w:p w:rsidR="00473186" w:rsidRPr="004B3F6A" w:rsidRDefault="00473186" w:rsidP="000C71EC">
      <w:pPr>
        <w:spacing w:line="240" w:lineRule="auto"/>
        <w:jc w:val="both"/>
        <w:rPr>
          <w:b/>
          <w:color w:val="4F81BD" w:themeColor="accent1"/>
          <w:sz w:val="20"/>
          <w:szCs w:val="20"/>
        </w:rPr>
      </w:pPr>
      <w:r w:rsidRPr="004B3F6A">
        <w:rPr>
          <w:b/>
          <w:color w:val="4F81BD" w:themeColor="accent1"/>
          <w:sz w:val="20"/>
          <w:szCs w:val="20"/>
        </w:rPr>
        <w:t>Phase II</w:t>
      </w:r>
    </w:p>
    <w:p w:rsidR="003B24C7" w:rsidRPr="004B3F6A" w:rsidRDefault="003B24C7" w:rsidP="003B24C7">
      <w:pPr>
        <w:spacing w:line="240" w:lineRule="auto"/>
        <w:jc w:val="both"/>
        <w:rPr>
          <w:sz w:val="20"/>
          <w:szCs w:val="20"/>
        </w:rPr>
      </w:pPr>
      <w:r w:rsidRPr="004B3F6A">
        <w:rPr>
          <w:sz w:val="20"/>
          <w:szCs w:val="20"/>
        </w:rPr>
        <w:t xml:space="preserve">Dans un esprit de continuité avec l’action "genre I" et prenant en compte des besoins actuels, cette deuxième phase du programme envisage </w:t>
      </w:r>
      <w:r w:rsidRPr="004B3F6A">
        <w:rPr>
          <w:b/>
          <w:color w:val="4F81BD" w:themeColor="accent1"/>
          <w:sz w:val="20"/>
          <w:szCs w:val="20"/>
        </w:rPr>
        <w:t xml:space="preserve">de poursuivre les activités </w:t>
      </w:r>
      <w:r w:rsidR="00D541AA" w:rsidRPr="004B3F6A">
        <w:rPr>
          <w:sz w:val="20"/>
          <w:szCs w:val="20"/>
        </w:rPr>
        <w:t xml:space="preserve">du projet actuellement en cours, </w:t>
      </w:r>
      <w:r w:rsidRPr="004B3F6A">
        <w:rPr>
          <w:sz w:val="20"/>
          <w:szCs w:val="20"/>
        </w:rPr>
        <w:t xml:space="preserve">mais vise également à </w:t>
      </w:r>
      <w:r w:rsidRPr="004B3F6A">
        <w:rPr>
          <w:b/>
          <w:color w:val="4F81BD" w:themeColor="accent1"/>
          <w:sz w:val="20"/>
          <w:szCs w:val="20"/>
        </w:rPr>
        <w:t>soutenir l'autonomisation et la participation des femmes centrafricaines à la vie politique et sociale du pays</w:t>
      </w:r>
      <w:r w:rsidRPr="004B3F6A">
        <w:rPr>
          <w:sz w:val="20"/>
          <w:szCs w:val="20"/>
        </w:rPr>
        <w:t xml:space="preserve">. </w:t>
      </w:r>
    </w:p>
    <w:p w:rsidR="003B24C7" w:rsidRPr="004B3F6A" w:rsidRDefault="003B24C7" w:rsidP="00D4123B">
      <w:pPr>
        <w:suppressAutoHyphens/>
        <w:spacing w:before="60" w:after="60" w:line="240" w:lineRule="auto"/>
        <w:rPr>
          <w:rFonts w:ascii="Calibri" w:eastAsia="Times New Roman" w:hAnsi="Calibri" w:cs="Calibri"/>
          <w:sz w:val="20"/>
          <w:szCs w:val="20"/>
          <w:lang w:eastAsia="ar-SA"/>
        </w:rPr>
      </w:pPr>
      <w:r w:rsidRPr="004B3F6A">
        <w:rPr>
          <w:rFonts w:ascii="Calibri" w:eastAsia="SimSun" w:hAnsi="Calibri" w:cs="Calibri"/>
          <w:color w:val="00000A"/>
          <w:kern w:val="1"/>
          <w:sz w:val="20"/>
          <w:szCs w:val="20"/>
          <w:lang w:eastAsia="ar-SA"/>
        </w:rPr>
        <w:t xml:space="preserve">Le projet s'articule sur deux composantes: </w:t>
      </w:r>
      <w:r w:rsidR="00D4123B">
        <w:rPr>
          <w:rFonts w:ascii="Calibri" w:eastAsia="SimSun" w:hAnsi="Calibri" w:cs="Calibri"/>
          <w:color w:val="00000A"/>
          <w:kern w:val="1"/>
          <w:sz w:val="20"/>
          <w:szCs w:val="20"/>
          <w:lang w:eastAsia="ar-SA"/>
        </w:rPr>
        <w:br/>
      </w:r>
      <w:r w:rsidRPr="004B3F6A">
        <w:rPr>
          <w:rFonts w:ascii="Calibri" w:eastAsia="SimSun" w:hAnsi="Calibri" w:cs="Calibri"/>
          <w:color w:val="00000A"/>
          <w:kern w:val="1"/>
          <w:sz w:val="20"/>
          <w:szCs w:val="20"/>
          <w:lang w:eastAsia="ar-SA"/>
        </w:rPr>
        <w:t xml:space="preserve">1) renforcement des capacités économiques et politiques des femmes; </w:t>
      </w:r>
      <w:r w:rsidR="00D4123B">
        <w:rPr>
          <w:rFonts w:ascii="Calibri" w:eastAsia="SimSun" w:hAnsi="Calibri" w:cs="Calibri"/>
          <w:color w:val="00000A"/>
          <w:kern w:val="1"/>
          <w:sz w:val="20"/>
          <w:szCs w:val="20"/>
          <w:lang w:eastAsia="ar-SA"/>
        </w:rPr>
        <w:br/>
      </w:r>
      <w:r w:rsidRPr="004B3F6A">
        <w:rPr>
          <w:rFonts w:ascii="Calibri" w:eastAsia="SimSun" w:hAnsi="Calibri" w:cs="Calibri"/>
          <w:color w:val="00000A"/>
          <w:kern w:val="1"/>
          <w:sz w:val="20"/>
          <w:szCs w:val="20"/>
          <w:lang w:eastAsia="ar-SA"/>
        </w:rPr>
        <w:t>2) accompagnement des administrations centrafricaines dans l'intégration de l'approche "genre" dans les politiques sectorielles.</w:t>
      </w:r>
    </w:p>
    <w:p w:rsidR="00D541AA" w:rsidRPr="004B3F6A" w:rsidRDefault="00D541AA" w:rsidP="003B24C7">
      <w:pPr>
        <w:suppressAutoHyphens/>
        <w:spacing w:before="60" w:after="60" w:line="240" w:lineRule="auto"/>
        <w:jc w:val="both"/>
        <w:rPr>
          <w:rFonts w:ascii="Calibri" w:eastAsia="SimSun" w:hAnsi="Calibri" w:cs="Times New Roman"/>
          <w:b/>
          <w:bCs/>
          <w:iCs/>
          <w:sz w:val="20"/>
          <w:szCs w:val="20"/>
          <w:u w:val="single"/>
          <w:lang w:eastAsia="ar-SA"/>
        </w:rPr>
      </w:pPr>
      <w:r w:rsidRPr="004B3F6A">
        <w:rPr>
          <w:rFonts w:ascii="Calibri" w:eastAsia="SimSun" w:hAnsi="Calibri" w:cs="Calibri"/>
          <w:color w:val="00000A"/>
          <w:kern w:val="1"/>
          <w:sz w:val="20"/>
          <w:szCs w:val="20"/>
          <w:lang w:eastAsia="ar-SA"/>
        </w:rPr>
        <w:t>Dans le cadre du premier volet, la réhabilitation d'un bâtiment à Bangui ("</w:t>
      </w:r>
      <w:r w:rsidR="00885BBC">
        <w:rPr>
          <w:rFonts w:ascii="Calibri" w:eastAsia="SimSun" w:hAnsi="Calibri" w:cs="Calibri"/>
          <w:b/>
          <w:color w:val="00000A"/>
          <w:kern w:val="1"/>
          <w:sz w:val="20"/>
          <w:szCs w:val="20"/>
          <w:lang w:eastAsia="ar-SA"/>
        </w:rPr>
        <w:t>Maison de l'Espoir</w:t>
      </w:r>
      <w:r w:rsidR="00187187">
        <w:rPr>
          <w:rFonts w:ascii="Calibri" w:eastAsia="SimSun" w:hAnsi="Calibri" w:cs="Calibri"/>
          <w:b/>
          <w:color w:val="00000A"/>
          <w:kern w:val="1"/>
          <w:sz w:val="20"/>
          <w:szCs w:val="20"/>
          <w:lang w:eastAsia="ar-SA"/>
        </w:rPr>
        <w:t>"</w:t>
      </w:r>
      <w:r w:rsidRPr="004B3F6A">
        <w:rPr>
          <w:rFonts w:ascii="Calibri" w:eastAsia="SimSun" w:hAnsi="Calibri" w:cs="Calibri"/>
          <w:color w:val="00000A"/>
          <w:kern w:val="1"/>
          <w:sz w:val="20"/>
          <w:szCs w:val="20"/>
          <w:lang w:eastAsia="ar-SA"/>
        </w:rPr>
        <w:t>) est envisagée afin d'y réaliser des activités qui renforcent l'égalité homme-femme.</w:t>
      </w:r>
    </w:p>
    <w:p w:rsidR="00D541AA" w:rsidRPr="004B3F6A" w:rsidRDefault="00D541AA" w:rsidP="00D541AA">
      <w:pPr>
        <w:suppressAutoHyphens/>
        <w:spacing w:before="60" w:after="60" w:line="240" w:lineRule="auto"/>
        <w:jc w:val="both"/>
        <w:rPr>
          <w:rFonts w:ascii="Calibri" w:eastAsia="SimSun" w:hAnsi="Calibri" w:cs="Calibri"/>
          <w:color w:val="00000A"/>
          <w:kern w:val="1"/>
          <w:sz w:val="20"/>
          <w:szCs w:val="20"/>
          <w:lang w:eastAsia="ar-SA"/>
        </w:rPr>
      </w:pPr>
      <w:r w:rsidRPr="004B3F6A">
        <w:rPr>
          <w:rFonts w:ascii="Calibri" w:eastAsia="SimSun" w:hAnsi="Calibri" w:cs="Calibri"/>
          <w:color w:val="00000A"/>
          <w:kern w:val="1"/>
          <w:sz w:val="20"/>
          <w:szCs w:val="20"/>
          <w:lang w:eastAsia="ar-SA"/>
        </w:rPr>
        <w:t xml:space="preserve">Un </w:t>
      </w:r>
      <w:r w:rsidRPr="004B3F6A">
        <w:rPr>
          <w:rFonts w:ascii="Calibri" w:eastAsia="SimSun" w:hAnsi="Calibri" w:cs="Calibri"/>
          <w:b/>
          <w:color w:val="00000A"/>
          <w:kern w:val="1"/>
          <w:sz w:val="20"/>
          <w:szCs w:val="20"/>
          <w:lang w:eastAsia="ar-SA"/>
        </w:rPr>
        <w:t>appel à manifestation d'intérêt</w:t>
      </w:r>
      <w:r w:rsidRPr="004B3F6A">
        <w:rPr>
          <w:rFonts w:ascii="Calibri" w:eastAsia="SimSun" w:hAnsi="Calibri" w:cs="Calibri"/>
          <w:color w:val="00000A"/>
          <w:kern w:val="1"/>
          <w:sz w:val="20"/>
          <w:szCs w:val="20"/>
          <w:lang w:eastAsia="ar-SA"/>
        </w:rPr>
        <w:t xml:space="preserve"> est en cours de </w:t>
      </w:r>
      <w:r w:rsidR="00D4123B">
        <w:rPr>
          <w:rFonts w:ascii="Calibri" w:eastAsia="SimSun" w:hAnsi="Calibri" w:cs="Calibri"/>
          <w:color w:val="00000A"/>
          <w:kern w:val="1"/>
          <w:sz w:val="20"/>
          <w:szCs w:val="20"/>
          <w:lang w:eastAsia="ar-SA"/>
        </w:rPr>
        <w:t>lancement et l'</w:t>
      </w:r>
      <w:r w:rsidRPr="004B3F6A">
        <w:rPr>
          <w:rFonts w:ascii="Calibri" w:eastAsia="SimSun" w:hAnsi="Calibri" w:cs="Calibri"/>
          <w:b/>
          <w:color w:val="00000A"/>
          <w:kern w:val="1"/>
          <w:sz w:val="20"/>
          <w:szCs w:val="20"/>
          <w:lang w:eastAsia="ar-SA"/>
        </w:rPr>
        <w:t>Assistance technique</w:t>
      </w:r>
      <w:r w:rsidRPr="004B3F6A">
        <w:rPr>
          <w:rFonts w:ascii="Calibri" w:eastAsia="SimSun" w:hAnsi="Calibri" w:cs="Calibri"/>
          <w:color w:val="00000A"/>
          <w:kern w:val="1"/>
          <w:sz w:val="20"/>
          <w:szCs w:val="20"/>
          <w:lang w:eastAsia="ar-SA"/>
        </w:rPr>
        <w:t xml:space="preserve"> envisagée pour le deuxième volet, sera mise en place </w:t>
      </w:r>
      <w:r w:rsidR="007033A1">
        <w:rPr>
          <w:rFonts w:ascii="Calibri" w:eastAsia="SimSun" w:hAnsi="Calibri" w:cs="Calibri"/>
          <w:color w:val="00000A"/>
          <w:kern w:val="1"/>
          <w:sz w:val="20"/>
          <w:szCs w:val="20"/>
          <w:lang w:eastAsia="ar-SA"/>
        </w:rPr>
        <w:t xml:space="preserve">en </w:t>
      </w:r>
      <w:r w:rsidR="00D4123B">
        <w:rPr>
          <w:rFonts w:ascii="Calibri" w:eastAsia="SimSun" w:hAnsi="Calibri" w:cs="Calibri"/>
          <w:color w:val="00000A"/>
          <w:kern w:val="1"/>
          <w:sz w:val="20"/>
          <w:szCs w:val="20"/>
          <w:lang w:eastAsia="ar-SA"/>
        </w:rPr>
        <w:t xml:space="preserve">concertation </w:t>
      </w:r>
      <w:r w:rsidR="00776724">
        <w:rPr>
          <w:rFonts w:ascii="Calibri" w:eastAsia="SimSun" w:hAnsi="Calibri" w:cs="Calibri"/>
          <w:color w:val="00000A"/>
          <w:kern w:val="1"/>
          <w:sz w:val="20"/>
          <w:szCs w:val="20"/>
          <w:lang w:eastAsia="ar-SA"/>
        </w:rPr>
        <w:t xml:space="preserve">avec le </w:t>
      </w:r>
      <w:r w:rsidR="003A3442">
        <w:rPr>
          <w:rFonts w:ascii="Calibri" w:eastAsia="SimSun" w:hAnsi="Calibri" w:cs="Calibri"/>
          <w:color w:val="00000A"/>
          <w:kern w:val="1"/>
          <w:sz w:val="20"/>
          <w:szCs w:val="20"/>
          <w:lang w:eastAsia="ar-SA"/>
        </w:rPr>
        <w:t>nouveau gouvernement</w:t>
      </w:r>
      <w:r w:rsidRPr="004B3F6A">
        <w:rPr>
          <w:rFonts w:ascii="Calibri" w:eastAsia="SimSun" w:hAnsi="Calibri" w:cs="Calibri"/>
          <w:color w:val="00000A"/>
          <w:kern w:val="1"/>
          <w:sz w:val="20"/>
          <w:szCs w:val="20"/>
          <w:lang w:eastAsia="ar-SA"/>
        </w:rPr>
        <w:t>.</w:t>
      </w:r>
    </w:p>
    <w:p w:rsidR="003B24C7" w:rsidRPr="004B3F6A" w:rsidRDefault="003B24C7" w:rsidP="003B24C7">
      <w:pPr>
        <w:spacing w:line="240" w:lineRule="auto"/>
        <w:rPr>
          <w:sz w:val="20"/>
          <w:szCs w:val="20"/>
        </w:rPr>
      </w:pPr>
    </w:p>
    <w:p w:rsidR="003B24C7" w:rsidRPr="004B3F6A" w:rsidRDefault="003B24C7" w:rsidP="003B24C7">
      <w:pPr>
        <w:spacing w:line="240" w:lineRule="auto"/>
        <w:rPr>
          <w:sz w:val="20"/>
          <w:szCs w:val="20"/>
        </w:rPr>
      </w:pPr>
    </w:p>
    <w:p w:rsidR="003B24C7" w:rsidRDefault="003B24C7" w:rsidP="003B24C7"/>
    <w:p w:rsidR="00473186" w:rsidRPr="00473186" w:rsidRDefault="00473186">
      <w:pPr>
        <w:rPr>
          <w:b/>
          <w:color w:val="4F81BD" w:themeColor="accent1"/>
          <w:sz w:val="24"/>
        </w:rPr>
      </w:pPr>
    </w:p>
    <w:sectPr w:rsidR="00473186" w:rsidRPr="00473186" w:rsidSect="00A37248">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343" w:rsidRDefault="002F2343" w:rsidP="007F4942">
      <w:pPr>
        <w:spacing w:after="0" w:line="240" w:lineRule="auto"/>
      </w:pPr>
      <w:r>
        <w:separator/>
      </w:r>
    </w:p>
  </w:endnote>
  <w:endnote w:type="continuationSeparator" w:id="0">
    <w:p w:rsidR="002F2343" w:rsidRDefault="002F2343" w:rsidP="007F4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343" w:rsidRDefault="002F2343" w:rsidP="007F4942">
      <w:pPr>
        <w:spacing w:after="0" w:line="240" w:lineRule="auto"/>
      </w:pPr>
      <w:r>
        <w:separator/>
      </w:r>
    </w:p>
  </w:footnote>
  <w:footnote w:type="continuationSeparator" w:id="0">
    <w:p w:rsidR="002F2343" w:rsidRDefault="002F2343" w:rsidP="007F49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42" w:rsidRDefault="007F4942" w:rsidP="007F4942">
    <w:pPr>
      <w:pStyle w:val="Header"/>
      <w:jc w:val="center"/>
    </w:pPr>
    <w:r w:rsidRPr="000D74F4">
      <w:rPr>
        <w:rFonts w:eastAsia="Times New Roman"/>
        <w:noProof/>
        <w:lang w:val="en-GB" w:eastAsia="en-GB"/>
      </w:rPr>
      <w:drawing>
        <wp:inline distT="0" distB="0" distL="0" distR="0" wp14:anchorId="1D070F47" wp14:editId="32E1DECD">
          <wp:extent cx="2761049" cy="857250"/>
          <wp:effectExtent l="0" t="0" r="1270" b="0"/>
          <wp:docPr id="3" name="Picture 3" descr="U:\2. Sectors\EU Trust Fund Bêkou\6 - Visibilité &amp; Communication\5 - Matériel de communication\1 - Matériel COMM\2 - LOGO FR et EN\FR\Bekou-color-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2. Sectors\EU Trust Fund Bêkou\6 - Visibilité &amp; Communication\5 - Matériel de communication\1 - Matériel COMM\2 - LOGO FR et EN\FR\Bekou-color-F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67898" cy="859377"/>
                  </a:xfrm>
                  <a:prstGeom prst="rect">
                    <a:avLst/>
                  </a:prstGeom>
                  <a:noFill/>
                  <a:ln>
                    <a:noFill/>
                  </a:ln>
                </pic:spPr>
              </pic:pic>
            </a:graphicData>
          </a:graphic>
        </wp:inline>
      </w:drawing>
    </w:r>
  </w:p>
  <w:p w:rsidR="007F4942" w:rsidRDefault="007F4942" w:rsidP="007F494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BC45C18"/>
    <w:lvl w:ilvl="0">
      <w:start w:val="1"/>
      <w:numFmt w:val="bullet"/>
      <w:lvlText w:val=""/>
      <w:lvlJc w:val="left"/>
      <w:pPr>
        <w:tabs>
          <w:tab w:val="num" w:pos="926"/>
        </w:tabs>
        <w:ind w:left="926" w:hanging="360"/>
      </w:pPr>
      <w:rPr>
        <w:rFonts w:ascii="Symbol" w:hAnsi="Symbol" w:hint="default"/>
      </w:rPr>
    </w:lvl>
  </w:abstractNum>
  <w:abstractNum w:abstractNumId="1">
    <w:nsid w:val="00000008"/>
    <w:multiLevelType w:val="multilevel"/>
    <w:tmpl w:val="00000008"/>
    <w:name w:val="WW8Num7"/>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2">
    <w:nsid w:val="13CD49C2"/>
    <w:multiLevelType w:val="multilevel"/>
    <w:tmpl w:val="9D88FD60"/>
    <w:lvl w:ilvl="0">
      <w:start w:val="1"/>
      <w:numFmt w:val="decimal"/>
      <w:lvlText w:val="%1."/>
      <w:lvlJc w:val="left"/>
      <w:pPr>
        <w:tabs>
          <w:tab w:val="num" w:pos="0"/>
        </w:tabs>
        <w:ind w:left="360" w:hanging="360"/>
      </w:p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3">
    <w:nsid w:val="283231A9"/>
    <w:multiLevelType w:val="hybridMultilevel"/>
    <w:tmpl w:val="4364D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7C3F98"/>
    <w:multiLevelType w:val="hybridMultilevel"/>
    <w:tmpl w:val="4364D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517763"/>
    <w:multiLevelType w:val="multilevel"/>
    <w:tmpl w:val="00000008"/>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6">
    <w:nsid w:val="38765771"/>
    <w:multiLevelType w:val="hybridMultilevel"/>
    <w:tmpl w:val="FF9CBA2A"/>
    <w:lvl w:ilvl="0" w:tplc="77C8BD8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DBD4E6F"/>
    <w:multiLevelType w:val="hybridMultilevel"/>
    <w:tmpl w:val="645C8F42"/>
    <w:lvl w:ilvl="0" w:tplc="77C8BD8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1E52EB1"/>
    <w:multiLevelType w:val="hybridMultilevel"/>
    <w:tmpl w:val="B50E5E3A"/>
    <w:lvl w:ilvl="0" w:tplc="BE007660">
      <w:start w:val="1"/>
      <w:numFmt w:val="bullet"/>
      <w:lvlText w:val="-"/>
      <w:lvlJc w:val="left"/>
      <w:pPr>
        <w:ind w:left="720" w:hanging="360"/>
      </w:pPr>
      <w:rPr>
        <w:rFonts w:ascii="Calibri" w:eastAsia="SimSun"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5"/>
  </w:num>
  <w:num w:numId="5">
    <w:abstractNumId w:val="2"/>
  </w:num>
  <w:num w:numId="6">
    <w:abstractNumId w:val="3"/>
  </w:num>
  <w:num w:numId="7">
    <w:abstractNumId w:val="0"/>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473186"/>
    <w:rsid w:val="00072CDF"/>
    <w:rsid w:val="000C71EC"/>
    <w:rsid w:val="000E6CBD"/>
    <w:rsid w:val="00115EE7"/>
    <w:rsid w:val="00136AF1"/>
    <w:rsid w:val="001526B1"/>
    <w:rsid w:val="00187187"/>
    <w:rsid w:val="0020679D"/>
    <w:rsid w:val="00210005"/>
    <w:rsid w:val="00222142"/>
    <w:rsid w:val="00242D3A"/>
    <w:rsid w:val="00251C69"/>
    <w:rsid w:val="002A422F"/>
    <w:rsid w:val="002F2343"/>
    <w:rsid w:val="00300717"/>
    <w:rsid w:val="0030237F"/>
    <w:rsid w:val="00386AA2"/>
    <w:rsid w:val="003A3442"/>
    <w:rsid w:val="003B24C7"/>
    <w:rsid w:val="003D6BA0"/>
    <w:rsid w:val="003F4F72"/>
    <w:rsid w:val="00413622"/>
    <w:rsid w:val="00450CF5"/>
    <w:rsid w:val="00473186"/>
    <w:rsid w:val="00476645"/>
    <w:rsid w:val="004B3F6A"/>
    <w:rsid w:val="004F32F0"/>
    <w:rsid w:val="004F3BB0"/>
    <w:rsid w:val="006012A5"/>
    <w:rsid w:val="00660F18"/>
    <w:rsid w:val="0067013A"/>
    <w:rsid w:val="007033A1"/>
    <w:rsid w:val="00776724"/>
    <w:rsid w:val="00794DCA"/>
    <w:rsid w:val="007B5682"/>
    <w:rsid w:val="007E780B"/>
    <w:rsid w:val="007F4942"/>
    <w:rsid w:val="00857039"/>
    <w:rsid w:val="00885BBC"/>
    <w:rsid w:val="009131F7"/>
    <w:rsid w:val="009337A3"/>
    <w:rsid w:val="009A1157"/>
    <w:rsid w:val="00A31A45"/>
    <w:rsid w:val="00A37248"/>
    <w:rsid w:val="00A66EF0"/>
    <w:rsid w:val="00A951B4"/>
    <w:rsid w:val="00A962D0"/>
    <w:rsid w:val="00C9467F"/>
    <w:rsid w:val="00CA407F"/>
    <w:rsid w:val="00D4123B"/>
    <w:rsid w:val="00D4237F"/>
    <w:rsid w:val="00D541AA"/>
    <w:rsid w:val="00D87928"/>
    <w:rsid w:val="00DB0445"/>
    <w:rsid w:val="00DF10B1"/>
    <w:rsid w:val="00E92213"/>
    <w:rsid w:val="00EA099F"/>
    <w:rsid w:val="00F80A13"/>
    <w:rsid w:val="00FD5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186"/>
    <w:pPr>
      <w:ind w:left="720"/>
      <w:contextualSpacing/>
    </w:pPr>
  </w:style>
  <w:style w:type="paragraph" w:styleId="BalloonText">
    <w:name w:val="Balloon Text"/>
    <w:basedOn w:val="Normal"/>
    <w:link w:val="BalloonTextChar"/>
    <w:uiPriority w:val="99"/>
    <w:semiHidden/>
    <w:unhideWhenUsed/>
    <w:rsid w:val="004731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186"/>
    <w:rPr>
      <w:rFonts w:ascii="Tahoma" w:hAnsi="Tahoma" w:cs="Tahoma"/>
      <w:sz w:val="16"/>
      <w:szCs w:val="16"/>
    </w:rPr>
  </w:style>
  <w:style w:type="table" w:styleId="TableGrid">
    <w:name w:val="Table Grid"/>
    <w:basedOn w:val="TableNormal"/>
    <w:uiPriority w:val="59"/>
    <w:rsid w:val="00D87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4F32F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BodyText3">
    <w:name w:val="Body Text 3"/>
    <w:basedOn w:val="Normal"/>
    <w:link w:val="BodyText3Char"/>
    <w:rsid w:val="00210005"/>
    <w:pPr>
      <w:pBdr>
        <w:top w:val="single" w:sz="6" w:space="1" w:color="auto"/>
        <w:left w:val="single" w:sz="6" w:space="1" w:color="auto"/>
        <w:bottom w:val="single" w:sz="6" w:space="1" w:color="auto"/>
        <w:right w:val="single" w:sz="6" w:space="1" w:color="auto"/>
      </w:pBdr>
      <w:spacing w:after="0" w:line="240" w:lineRule="auto"/>
      <w:jc w:val="both"/>
    </w:pPr>
    <w:rPr>
      <w:rFonts w:ascii="Times New Roman" w:eastAsia="Times New Roman" w:hAnsi="Times New Roman" w:cs="Times New Roman"/>
      <w:i/>
      <w:iCs/>
      <w:szCs w:val="20"/>
      <w:lang w:val="en-GB"/>
    </w:rPr>
  </w:style>
  <w:style w:type="character" w:customStyle="1" w:styleId="BodyText3Char">
    <w:name w:val="Body Text 3 Char"/>
    <w:basedOn w:val="DefaultParagraphFont"/>
    <w:link w:val="BodyText3"/>
    <w:rsid w:val="00210005"/>
    <w:rPr>
      <w:rFonts w:ascii="Times New Roman" w:eastAsia="Times New Roman" w:hAnsi="Times New Roman" w:cs="Times New Roman"/>
      <w:i/>
      <w:iCs/>
      <w:szCs w:val="20"/>
      <w:lang w:val="en-GB"/>
    </w:rPr>
  </w:style>
  <w:style w:type="character" w:styleId="PageNumber">
    <w:name w:val="page number"/>
    <w:basedOn w:val="DefaultParagraphFont"/>
    <w:rsid w:val="004B3F6A"/>
  </w:style>
  <w:style w:type="paragraph" w:styleId="Header">
    <w:name w:val="header"/>
    <w:basedOn w:val="Normal"/>
    <w:link w:val="HeaderChar"/>
    <w:uiPriority w:val="99"/>
    <w:unhideWhenUsed/>
    <w:rsid w:val="007F49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7F4942"/>
  </w:style>
  <w:style w:type="paragraph" w:styleId="Footer">
    <w:name w:val="footer"/>
    <w:basedOn w:val="Normal"/>
    <w:link w:val="FooterChar"/>
    <w:uiPriority w:val="99"/>
    <w:unhideWhenUsed/>
    <w:rsid w:val="007F49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7F49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186"/>
    <w:pPr>
      <w:ind w:left="720"/>
      <w:contextualSpacing/>
    </w:pPr>
  </w:style>
  <w:style w:type="paragraph" w:styleId="BalloonText">
    <w:name w:val="Balloon Text"/>
    <w:basedOn w:val="Normal"/>
    <w:link w:val="BalloonTextChar"/>
    <w:uiPriority w:val="99"/>
    <w:semiHidden/>
    <w:unhideWhenUsed/>
    <w:rsid w:val="004731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186"/>
    <w:rPr>
      <w:rFonts w:ascii="Tahoma" w:hAnsi="Tahoma" w:cs="Tahoma"/>
      <w:sz w:val="16"/>
      <w:szCs w:val="16"/>
    </w:rPr>
  </w:style>
  <w:style w:type="table" w:styleId="TableGrid">
    <w:name w:val="Table Grid"/>
    <w:basedOn w:val="TableNormal"/>
    <w:uiPriority w:val="59"/>
    <w:rsid w:val="00D87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4F32F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BodyText3">
    <w:name w:val="Body Text 3"/>
    <w:basedOn w:val="Normal"/>
    <w:link w:val="BodyText3Char"/>
    <w:rsid w:val="00210005"/>
    <w:pPr>
      <w:pBdr>
        <w:top w:val="single" w:sz="6" w:space="1" w:color="auto"/>
        <w:left w:val="single" w:sz="6" w:space="1" w:color="auto"/>
        <w:bottom w:val="single" w:sz="6" w:space="1" w:color="auto"/>
        <w:right w:val="single" w:sz="6" w:space="1" w:color="auto"/>
      </w:pBdr>
      <w:spacing w:after="0" w:line="240" w:lineRule="auto"/>
      <w:jc w:val="both"/>
    </w:pPr>
    <w:rPr>
      <w:rFonts w:ascii="Times New Roman" w:eastAsia="Times New Roman" w:hAnsi="Times New Roman" w:cs="Times New Roman"/>
      <w:i/>
      <w:iCs/>
      <w:szCs w:val="20"/>
      <w:lang w:val="en-GB"/>
    </w:rPr>
  </w:style>
  <w:style w:type="character" w:customStyle="1" w:styleId="BodyText3Char">
    <w:name w:val="Body Text 3 Char"/>
    <w:basedOn w:val="DefaultParagraphFont"/>
    <w:link w:val="BodyText3"/>
    <w:rsid w:val="00210005"/>
    <w:rPr>
      <w:rFonts w:ascii="Times New Roman" w:eastAsia="Times New Roman" w:hAnsi="Times New Roman" w:cs="Times New Roman"/>
      <w:i/>
      <w:iCs/>
      <w:szCs w:val="20"/>
      <w:lang w:val="en-GB"/>
    </w:rPr>
  </w:style>
  <w:style w:type="character" w:styleId="PageNumber">
    <w:name w:val="page number"/>
    <w:basedOn w:val="DefaultParagraphFont"/>
    <w:rsid w:val="004B3F6A"/>
  </w:style>
  <w:style w:type="paragraph" w:styleId="Header">
    <w:name w:val="header"/>
    <w:basedOn w:val="Normal"/>
    <w:link w:val="HeaderChar"/>
    <w:uiPriority w:val="99"/>
    <w:unhideWhenUsed/>
    <w:rsid w:val="007F49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7F4942"/>
  </w:style>
  <w:style w:type="paragraph" w:styleId="Footer">
    <w:name w:val="footer"/>
    <w:basedOn w:val="Normal"/>
    <w:link w:val="FooterChar"/>
    <w:uiPriority w:val="99"/>
    <w:unhideWhenUsed/>
    <w:rsid w:val="007F49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7F4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64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1115</Words>
  <Characters>6356</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RIGOLLI Cristina (DEVCO)</dc:creator>
  <cp:lastModifiedBy>KLONSKI Sarah Jee (DEVCO-EXT)</cp:lastModifiedBy>
  <cp:revision>2</cp:revision>
  <cp:lastPrinted>2016-04-13T15:17:00Z</cp:lastPrinted>
  <dcterms:created xsi:type="dcterms:W3CDTF">2016-04-26T09:32:00Z</dcterms:created>
  <dcterms:modified xsi:type="dcterms:W3CDTF">2016-04-26T09:32:00Z</dcterms:modified>
</cp:coreProperties>
</file>