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BCEC54" w14:textId="415EBD9A" w:rsidR="003324EA" w:rsidRDefault="001F7688" w:rsidP="00C03712">
      <w:pPr>
        <w:jc w:val="both"/>
      </w:pPr>
      <w:r w:rsidRPr="00512B65">
        <w:rPr>
          <w:noProof/>
          <w:lang w:val="en-GB" w:eastAsia="en-GB"/>
        </w:rPr>
        <w:drawing>
          <wp:anchor distT="0" distB="0" distL="114300" distR="114300" simplePos="0" relativeHeight="251659264" behindDoc="0" locked="0" layoutInCell="1" allowOverlap="1" wp14:anchorId="25EF88C8" wp14:editId="29770B9E">
            <wp:simplePos x="0" y="0"/>
            <wp:positionH relativeFrom="column">
              <wp:posOffset>2388870</wp:posOffset>
            </wp:positionH>
            <wp:positionV relativeFrom="paragraph">
              <wp:posOffset>0</wp:posOffset>
            </wp:positionV>
            <wp:extent cx="1796415" cy="51625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6415" cy="516255"/>
                    </a:xfrm>
                    <a:prstGeom prst="rect">
                      <a:avLst/>
                    </a:prstGeom>
                    <a:noFill/>
                  </pic:spPr>
                </pic:pic>
              </a:graphicData>
            </a:graphic>
            <wp14:sizeRelH relativeFrom="margin">
              <wp14:pctWidth>0</wp14:pctWidth>
            </wp14:sizeRelH>
          </wp:anchor>
        </w:drawing>
      </w:r>
      <w:r w:rsidRPr="00512B65">
        <w:rPr>
          <w:noProof/>
          <w:lang w:val="en-GB" w:eastAsia="en-GB"/>
        </w:rPr>
        <w:drawing>
          <wp:anchor distT="0" distB="0" distL="114300" distR="114300" simplePos="0" relativeHeight="251660288" behindDoc="0" locked="0" layoutInCell="1" allowOverlap="1" wp14:anchorId="6A20B0AA" wp14:editId="12471337">
            <wp:simplePos x="0" y="0"/>
            <wp:positionH relativeFrom="column">
              <wp:posOffset>551180</wp:posOffset>
            </wp:positionH>
            <wp:positionV relativeFrom="paragraph">
              <wp:posOffset>221</wp:posOffset>
            </wp:positionV>
            <wp:extent cx="1667510" cy="461010"/>
            <wp:effectExtent l="0" t="0" r="8890" b="0"/>
            <wp:wrapSquare wrapText="bothSides"/>
            <wp:docPr id="1027" name="Picture 3" descr="C:\Users\Neves\Documents\1.0 Kagera\fao3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Neves\Documents\1.0 Kagera\fao3line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7510" cy="461010"/>
                    </a:xfrm>
                    <a:prstGeom prst="rect">
                      <a:avLst/>
                    </a:prstGeom>
                    <a:noFill/>
                    <a:extLst/>
                  </pic:spPr>
                </pic:pic>
              </a:graphicData>
            </a:graphic>
          </wp:anchor>
        </w:drawing>
      </w:r>
    </w:p>
    <w:p w14:paraId="65C31294" w14:textId="512AA474" w:rsidR="00512B65" w:rsidRDefault="00512B65" w:rsidP="00C03712">
      <w:pPr>
        <w:jc w:val="both"/>
      </w:pPr>
    </w:p>
    <w:p w14:paraId="69CA112F" w14:textId="77777777" w:rsidR="00553743" w:rsidRPr="00F74835" w:rsidRDefault="00553743" w:rsidP="003D3BF1">
      <w:pPr>
        <w:pStyle w:val="Title"/>
        <w:jc w:val="center"/>
        <w:rPr>
          <w:sz w:val="28"/>
          <w:szCs w:val="48"/>
        </w:rPr>
      </w:pPr>
    </w:p>
    <w:p w14:paraId="281BB01D" w14:textId="77777777" w:rsidR="00795711" w:rsidRDefault="00512B65" w:rsidP="00795711">
      <w:pPr>
        <w:pStyle w:val="Title"/>
        <w:jc w:val="center"/>
        <w:rPr>
          <w:b/>
          <w:sz w:val="36"/>
        </w:rPr>
      </w:pPr>
      <w:r w:rsidRPr="003A232E">
        <w:rPr>
          <w:b/>
          <w:sz w:val="36"/>
        </w:rPr>
        <w:t>FAO Regional Policy Dialogue</w:t>
      </w:r>
      <w:r w:rsidR="00795711">
        <w:rPr>
          <w:b/>
          <w:sz w:val="36"/>
        </w:rPr>
        <w:t xml:space="preserve"> </w:t>
      </w:r>
    </w:p>
    <w:p w14:paraId="1DFA00D8" w14:textId="62A13C41" w:rsidR="00553743" w:rsidRPr="003A232E" w:rsidRDefault="00512B65" w:rsidP="00795711">
      <w:pPr>
        <w:pStyle w:val="Title"/>
        <w:jc w:val="center"/>
        <w:rPr>
          <w:b/>
          <w:sz w:val="36"/>
        </w:rPr>
      </w:pPr>
      <w:r w:rsidRPr="003A232E">
        <w:rPr>
          <w:b/>
          <w:sz w:val="36"/>
        </w:rPr>
        <w:t xml:space="preserve">Ecosystem Services </w:t>
      </w:r>
      <w:r w:rsidR="00795711">
        <w:rPr>
          <w:b/>
          <w:sz w:val="36"/>
        </w:rPr>
        <w:t xml:space="preserve"> </w:t>
      </w:r>
      <w:r w:rsidR="00553743" w:rsidRPr="003A232E">
        <w:rPr>
          <w:b/>
          <w:sz w:val="36"/>
        </w:rPr>
        <w:t>from</w:t>
      </w:r>
      <w:r w:rsidRPr="003A232E">
        <w:rPr>
          <w:b/>
          <w:sz w:val="36"/>
        </w:rPr>
        <w:t xml:space="preserve"> Sustainable Agriculture</w:t>
      </w:r>
    </w:p>
    <w:p w14:paraId="07AC9D39" w14:textId="3CA6D203" w:rsidR="00512B65" w:rsidRPr="003A232E" w:rsidRDefault="00553743" w:rsidP="00FA766C">
      <w:pPr>
        <w:pStyle w:val="Title"/>
        <w:jc w:val="center"/>
        <w:rPr>
          <w:b/>
          <w:sz w:val="36"/>
        </w:rPr>
      </w:pPr>
      <w:r w:rsidRPr="003A232E">
        <w:rPr>
          <w:b/>
          <w:sz w:val="36"/>
        </w:rPr>
        <w:t xml:space="preserve">for </w:t>
      </w:r>
      <w:r w:rsidR="00507F22" w:rsidRPr="003A232E">
        <w:rPr>
          <w:b/>
          <w:sz w:val="36"/>
        </w:rPr>
        <w:t>B</w:t>
      </w:r>
      <w:r w:rsidRPr="003A232E">
        <w:rPr>
          <w:b/>
          <w:sz w:val="36"/>
        </w:rPr>
        <w:t xml:space="preserve">iodiversity </w:t>
      </w:r>
      <w:r w:rsidR="00507F22" w:rsidRPr="003A232E">
        <w:rPr>
          <w:b/>
          <w:sz w:val="36"/>
        </w:rPr>
        <w:t>C</w:t>
      </w:r>
      <w:r w:rsidRPr="003A232E">
        <w:rPr>
          <w:b/>
          <w:sz w:val="36"/>
        </w:rPr>
        <w:t>onservation</w:t>
      </w:r>
    </w:p>
    <w:p w14:paraId="236AE4CF" w14:textId="77777777" w:rsidR="00FA766C" w:rsidRPr="00FA766C" w:rsidRDefault="00FA766C" w:rsidP="00FA766C">
      <w:pPr>
        <w:pStyle w:val="Title"/>
        <w:jc w:val="center"/>
        <w:rPr>
          <w:b/>
          <w:sz w:val="2"/>
          <w:szCs w:val="12"/>
        </w:rPr>
      </w:pPr>
    </w:p>
    <w:p w14:paraId="30D95B66" w14:textId="77777777" w:rsidR="00372BCD" w:rsidRDefault="00372BCD" w:rsidP="00EC184C">
      <w:pPr>
        <w:pStyle w:val="Title"/>
        <w:jc w:val="center"/>
        <w:rPr>
          <w:sz w:val="28"/>
        </w:rPr>
      </w:pPr>
    </w:p>
    <w:p w14:paraId="34F1CF2A" w14:textId="77777777" w:rsidR="00372BCD" w:rsidRPr="003A232E" w:rsidRDefault="00372BCD" w:rsidP="00372BCD">
      <w:pPr>
        <w:pStyle w:val="Title"/>
        <w:jc w:val="center"/>
        <w:rPr>
          <w:sz w:val="28"/>
        </w:rPr>
      </w:pPr>
      <w:r w:rsidRPr="003A232E">
        <w:rPr>
          <w:sz w:val="28"/>
        </w:rPr>
        <w:t>25-2</w:t>
      </w:r>
      <w:r>
        <w:rPr>
          <w:sz w:val="28"/>
        </w:rPr>
        <w:t>6</w:t>
      </w:r>
      <w:r w:rsidRPr="003A232E">
        <w:rPr>
          <w:sz w:val="28"/>
        </w:rPr>
        <w:t xml:space="preserve"> May 2016</w:t>
      </w:r>
    </w:p>
    <w:p w14:paraId="1D9420D0" w14:textId="77777777" w:rsidR="00372BCD" w:rsidRDefault="00372BCD" w:rsidP="00EC184C">
      <w:pPr>
        <w:pStyle w:val="Title"/>
        <w:jc w:val="center"/>
        <w:rPr>
          <w:sz w:val="28"/>
        </w:rPr>
      </w:pPr>
    </w:p>
    <w:p w14:paraId="56BB8D59" w14:textId="77777777" w:rsidR="00372BCD" w:rsidRDefault="00F74835" w:rsidP="00EC184C">
      <w:pPr>
        <w:pStyle w:val="Title"/>
        <w:jc w:val="center"/>
        <w:rPr>
          <w:sz w:val="28"/>
        </w:rPr>
      </w:pPr>
      <w:r w:rsidRPr="003A232E">
        <w:rPr>
          <w:sz w:val="28"/>
        </w:rPr>
        <w:t xml:space="preserve">Nairobi, Kenya  </w:t>
      </w:r>
    </w:p>
    <w:p w14:paraId="43C4A2E2" w14:textId="77777777" w:rsidR="00FA766C" w:rsidRPr="00FA766C" w:rsidRDefault="00FA766C" w:rsidP="00811F01">
      <w:pPr>
        <w:spacing w:after="120" w:line="240" w:lineRule="auto"/>
        <w:jc w:val="both"/>
        <w:rPr>
          <w:sz w:val="12"/>
          <w:szCs w:val="12"/>
        </w:rPr>
      </w:pPr>
    </w:p>
    <w:p w14:paraId="543C1750" w14:textId="4C499AD6" w:rsidR="00811F01" w:rsidRPr="005B3A59" w:rsidRDefault="00811F01" w:rsidP="009F1D12">
      <w:pPr>
        <w:spacing w:after="120" w:line="240" w:lineRule="auto"/>
        <w:jc w:val="both"/>
        <w:rPr>
          <w:rStyle w:val="Normal1"/>
        </w:rPr>
      </w:pPr>
      <w:r w:rsidRPr="005064AF">
        <w:t xml:space="preserve">Ecosystem services in agriculture are the benefits society gets from ecosystems due to interventions by farmers. </w:t>
      </w:r>
      <w:r>
        <w:t>Benefits include n</w:t>
      </w:r>
      <w:r w:rsidRPr="005064AF">
        <w:t>utritious food, clean water, healthy soils, pest and disease control and biodiversity.</w:t>
      </w:r>
      <w:r>
        <w:t xml:space="preserve"> S</w:t>
      </w:r>
      <w:r w:rsidRPr="00A249B6">
        <w:t>ustainable practices</w:t>
      </w:r>
      <w:r>
        <w:t xml:space="preserve"> are agricultural practices that </w:t>
      </w:r>
      <w:r w:rsidRPr="00A249B6">
        <w:t>provide more ecosystem services</w:t>
      </w:r>
      <w:r>
        <w:t>.</w:t>
      </w:r>
      <w:r w:rsidRPr="00A249B6">
        <w:t xml:space="preserve"> </w:t>
      </w:r>
      <w:r w:rsidR="002E0061" w:rsidRPr="00E6295C">
        <w:rPr>
          <w:rFonts w:ascii="Calibri" w:eastAsia="Calibri" w:hAnsi="Calibri" w:cs="Times New Roman"/>
          <w:lang w:eastAsia="en-US"/>
        </w:rPr>
        <w:t xml:space="preserve">Biodiversity and ecosystem services are at the heart of many solutions to sustainable increases in agricultural productivity that deliver not only better outcomes for food and nutrition security but also reduce externalities of production. </w:t>
      </w:r>
      <w:r w:rsidRPr="005B3A59">
        <w:t xml:space="preserve">Ecosystem services </w:t>
      </w:r>
      <w:r w:rsidRPr="005B3A59">
        <w:rPr>
          <w:rStyle w:val="Normal1"/>
        </w:rPr>
        <w:t>may be enhanced to reduce reliance on chemical inputs and other aspects of agriculture</w:t>
      </w:r>
      <w:r w:rsidR="002E0061" w:rsidRPr="005B3A59">
        <w:rPr>
          <w:rStyle w:val="Normal1"/>
        </w:rPr>
        <w:t xml:space="preserve"> that</w:t>
      </w:r>
      <w:r w:rsidRPr="005B3A59">
        <w:rPr>
          <w:rStyle w:val="Normal1"/>
        </w:rPr>
        <w:t xml:space="preserve"> may be detrimental to biodiversity.  </w:t>
      </w:r>
    </w:p>
    <w:p w14:paraId="4D27057E" w14:textId="77777777" w:rsidR="009F1D12" w:rsidRDefault="00811F01" w:rsidP="009F1D12">
      <w:pPr>
        <w:spacing w:after="120" w:line="240" w:lineRule="auto"/>
        <w:jc w:val="both"/>
      </w:pPr>
      <w:r w:rsidRPr="00A249B6">
        <w:t xml:space="preserve">Farmers </w:t>
      </w:r>
      <w:r>
        <w:t xml:space="preserve">often </w:t>
      </w:r>
      <w:r w:rsidRPr="00A249B6">
        <w:t>face barriers in the adoption of</w:t>
      </w:r>
      <w:r>
        <w:t xml:space="preserve"> </w:t>
      </w:r>
      <w:r w:rsidR="0087643E">
        <w:t xml:space="preserve">sustainable </w:t>
      </w:r>
      <w:r>
        <w:t>practices</w:t>
      </w:r>
      <w:r w:rsidRPr="00A249B6">
        <w:t xml:space="preserve">. </w:t>
      </w:r>
      <w:r>
        <w:t xml:space="preserve">Incentives from public policy and private investment can be used to support farmers overcome these barriers. </w:t>
      </w:r>
      <w:r w:rsidRPr="00A249B6">
        <w:t xml:space="preserve">Better coordination and longer-term programming of </w:t>
      </w:r>
      <w:r>
        <w:t>these existing incentives</w:t>
      </w:r>
      <w:r w:rsidRPr="00A249B6">
        <w:t xml:space="preserve"> </w:t>
      </w:r>
      <w:r>
        <w:t xml:space="preserve">are needed </w:t>
      </w:r>
      <w:r w:rsidRPr="00A249B6">
        <w:t xml:space="preserve">to maximize </w:t>
      </w:r>
      <w:r>
        <w:t xml:space="preserve">the adoption of sustainable practices that would result in </w:t>
      </w:r>
      <w:r w:rsidRPr="00A249B6">
        <w:t xml:space="preserve">improvements in ecosystem management and in livelihoods. </w:t>
      </w:r>
    </w:p>
    <w:p w14:paraId="17C178D4" w14:textId="49BC8629" w:rsidR="00811F01" w:rsidRPr="00A249B6" w:rsidRDefault="00A50FE0" w:rsidP="009F1D12">
      <w:pPr>
        <w:spacing w:after="120" w:line="240" w:lineRule="auto"/>
        <w:jc w:val="both"/>
      </w:pPr>
      <w:r w:rsidRPr="005B3A59">
        <w:rPr>
          <w:rStyle w:val="Normal1"/>
        </w:rPr>
        <w:t xml:space="preserve">While the negative influence of agriculture on biodiversity and those ecosystem services that underpin healthy food systems is well recognized, agricultural and environmental </w:t>
      </w:r>
      <w:r w:rsidR="0087643E" w:rsidRPr="005B3A59">
        <w:rPr>
          <w:rStyle w:val="Normal1"/>
        </w:rPr>
        <w:t xml:space="preserve">policies usually don’t consider </w:t>
      </w:r>
      <w:r w:rsidRPr="005B3A59">
        <w:rPr>
          <w:rStyle w:val="Normal1"/>
        </w:rPr>
        <w:t>that the agriculture sector can also be a source of solutions.</w:t>
      </w:r>
      <w:r w:rsidR="005E1123">
        <w:rPr>
          <w:rStyle w:val="Normal1"/>
        </w:rPr>
        <w:t xml:space="preserve"> </w:t>
      </w:r>
      <w:r w:rsidR="00811F01">
        <w:t>T</w:t>
      </w:r>
      <w:r w:rsidR="00811F01" w:rsidRPr="00A249B6">
        <w:t>o offer such an integrated program</w:t>
      </w:r>
      <w:r w:rsidR="00811F01">
        <w:t>,</w:t>
      </w:r>
      <w:r w:rsidR="00811F01" w:rsidRPr="00A249B6">
        <w:t xml:space="preserve"> collaboration across various ministries and with private sector initiatives</w:t>
      </w:r>
      <w:r w:rsidR="00811F01">
        <w:t xml:space="preserve"> is required</w:t>
      </w:r>
      <w:r w:rsidR="00811F01" w:rsidRPr="00A249B6">
        <w:t xml:space="preserve">. The combination of existing public conservation and productivity investments can </w:t>
      </w:r>
      <w:r w:rsidR="00811F01">
        <w:t xml:space="preserve">provide the funds to </w:t>
      </w:r>
      <w:r w:rsidR="00811F01" w:rsidRPr="00A249B6">
        <w:t>assist them in this transition.</w:t>
      </w:r>
      <w:r w:rsidR="00811F01" w:rsidRPr="0003101E">
        <w:rPr>
          <w:noProof/>
        </w:rPr>
        <w:t xml:space="preserve"> </w:t>
      </w:r>
    </w:p>
    <w:p w14:paraId="74451AD4" w14:textId="392B4CC3" w:rsidR="00811F01" w:rsidRDefault="00811F01" w:rsidP="0087643E">
      <w:pPr>
        <w:shd w:val="clear" w:color="auto" w:fill="FFF2CC" w:themeFill="accent4" w:themeFillTint="33"/>
        <w:spacing w:after="120" w:line="240" w:lineRule="auto"/>
        <w:jc w:val="both"/>
      </w:pPr>
      <w:r w:rsidRPr="00A249B6">
        <w:rPr>
          <w:noProof/>
          <w:lang w:val="en-GB" w:eastAsia="en-GB"/>
        </w:rPr>
        <w:drawing>
          <wp:anchor distT="0" distB="0" distL="114300" distR="114300" simplePos="0" relativeHeight="251666432" behindDoc="0" locked="0" layoutInCell="1" allowOverlap="1" wp14:anchorId="769D99DD" wp14:editId="0621A483">
            <wp:simplePos x="0" y="0"/>
            <wp:positionH relativeFrom="margin">
              <wp:posOffset>4895850</wp:posOffset>
            </wp:positionH>
            <wp:positionV relativeFrom="paragraph">
              <wp:posOffset>17145</wp:posOffset>
            </wp:positionV>
            <wp:extent cx="1021080" cy="1503680"/>
            <wp:effectExtent l="0" t="0" r="7620" b="1270"/>
            <wp:wrapSquare wrapText="bothSides"/>
            <wp:docPr id="5" name="Picture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rotWithShape="1">
                    <a:blip r:embed="rId11" cstate="print">
                      <a:extLst>
                        <a:ext uri="{28A0092B-C50C-407E-A947-70E740481C1C}">
                          <a14:useLocalDpi xmlns:a14="http://schemas.microsoft.com/office/drawing/2010/main" val="0"/>
                        </a:ext>
                      </a:extLst>
                    </a:blip>
                    <a:srcRect l="44872" t="7978" r="45192" b="65810"/>
                    <a:stretch/>
                  </pic:blipFill>
                  <pic:spPr bwMode="auto">
                    <a:xfrm>
                      <a:off x="0" y="0"/>
                      <a:ext cx="1021080" cy="1503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The Incentives for Ecosystem Services (IES)</w:t>
      </w:r>
      <w:r w:rsidR="00507F22">
        <w:rPr>
          <w:rStyle w:val="FootnoteReference"/>
        </w:rPr>
        <w:footnoteReference w:id="1"/>
      </w:r>
      <w:r>
        <w:t xml:space="preserve"> project aims to improve institutional and technical conditions to develop, combine and scale-up public and private interventions towards a common objective. The project will facilitate the development of integrated packages of incentives for sustainable agriculture.</w:t>
      </w:r>
    </w:p>
    <w:p w14:paraId="1A23319A" w14:textId="0BD0D65F" w:rsidR="00811F01" w:rsidRDefault="00811F01" w:rsidP="0087643E">
      <w:pPr>
        <w:shd w:val="clear" w:color="auto" w:fill="FFF2CC" w:themeFill="accent4" w:themeFillTint="33"/>
        <w:spacing w:after="120" w:line="240" w:lineRule="auto"/>
        <w:jc w:val="both"/>
        <w:rPr>
          <w:rFonts w:eastAsia="Times New Roman" w:cs="Times New Roman"/>
          <w:bCs/>
        </w:rPr>
      </w:pPr>
      <w:r w:rsidRPr="00DF6DFF">
        <w:rPr>
          <w:rFonts w:eastAsia="Times New Roman" w:cs="Times New Roman"/>
          <w:bCs/>
        </w:rPr>
        <w:t>To identify how to upscale these synergies, avoid overlap and potential barriers within polic</w:t>
      </w:r>
      <w:r>
        <w:rPr>
          <w:rFonts w:eastAsia="Times New Roman" w:cs="Times New Roman"/>
          <w:bCs/>
        </w:rPr>
        <w:t>ies</w:t>
      </w:r>
      <w:r w:rsidRPr="00DF6DFF">
        <w:rPr>
          <w:rFonts w:eastAsia="Times New Roman" w:cs="Times New Roman"/>
          <w:bCs/>
        </w:rPr>
        <w:t>, key policy-makers need to discuss solutions to create a suitable enabling environment for IES. This bring</w:t>
      </w:r>
      <w:r>
        <w:rPr>
          <w:rFonts w:eastAsia="Times New Roman" w:cs="Times New Roman"/>
          <w:bCs/>
        </w:rPr>
        <w:t>s</w:t>
      </w:r>
      <w:r w:rsidRPr="00DF6DFF">
        <w:rPr>
          <w:rFonts w:eastAsia="Times New Roman" w:cs="Times New Roman"/>
          <w:bCs/>
        </w:rPr>
        <w:t xml:space="preserve"> added value by enabling a forum to discuss how different institutions can collaborate to work towards shared objectives to implement landscape restoration and food security activities.</w:t>
      </w:r>
    </w:p>
    <w:p w14:paraId="57663A0B" w14:textId="4C9CB3E0" w:rsidR="00811F01" w:rsidRDefault="00811F01" w:rsidP="00597B23">
      <w:pPr>
        <w:jc w:val="both"/>
        <w:rPr>
          <w:b/>
        </w:rPr>
      </w:pPr>
      <w:r w:rsidRPr="00512B65">
        <w:rPr>
          <w:bCs/>
        </w:rPr>
        <w:t xml:space="preserve">The </w:t>
      </w:r>
      <w:r w:rsidRPr="00EC361F">
        <w:rPr>
          <w:bCs/>
        </w:rPr>
        <w:t>Nairobi Action Agenda on Africa’s Ecosystem Based Adaptation for Food Security</w:t>
      </w:r>
      <w:r>
        <w:rPr>
          <w:rStyle w:val="FootnoteReference"/>
          <w:bCs/>
        </w:rPr>
        <w:footnoteReference w:id="2"/>
      </w:r>
      <w:r w:rsidRPr="00512B65">
        <w:rPr>
          <w:bCs/>
        </w:rPr>
        <w:t xml:space="preserve"> </w:t>
      </w:r>
      <w:r w:rsidR="00704111" w:rsidRPr="00512B65">
        <w:rPr>
          <w:bCs/>
        </w:rPr>
        <w:t>recognized</w:t>
      </w:r>
      <w:r w:rsidRPr="00512B65">
        <w:rPr>
          <w:bCs/>
        </w:rPr>
        <w:t xml:space="preserve"> the importance of restoration and sustainability of ecosystem services for current and future food security, livelihood diversification and economic growth. </w:t>
      </w:r>
      <w:r w:rsidR="00597B23" w:rsidRPr="00553743">
        <w:rPr>
          <w:b/>
          <w:bCs/>
        </w:rPr>
        <w:t>Th</w:t>
      </w:r>
      <w:r w:rsidR="00597B23">
        <w:rPr>
          <w:b/>
          <w:bCs/>
        </w:rPr>
        <w:t>is supports the need to</w:t>
      </w:r>
      <w:r w:rsidR="00597B23" w:rsidRPr="00553743">
        <w:rPr>
          <w:b/>
          <w:bCs/>
        </w:rPr>
        <w:t xml:space="preserve"> increase capacity to </w:t>
      </w:r>
      <w:r w:rsidR="00597B23" w:rsidRPr="00553743">
        <w:rPr>
          <w:b/>
          <w:bCs/>
        </w:rPr>
        <w:lastRenderedPageBreak/>
        <w:t>mainstream and implement CBD National Biodiversity</w:t>
      </w:r>
      <w:r w:rsidR="00A069FA">
        <w:rPr>
          <w:b/>
          <w:bCs/>
        </w:rPr>
        <w:t xml:space="preserve"> Strategies and</w:t>
      </w:r>
      <w:r w:rsidR="00597B23" w:rsidRPr="00553743">
        <w:rPr>
          <w:b/>
          <w:bCs/>
        </w:rPr>
        <w:t xml:space="preserve"> Action Plans</w:t>
      </w:r>
      <w:r w:rsidR="00597B23" w:rsidRPr="00553743">
        <w:rPr>
          <w:rStyle w:val="FootnoteReference"/>
          <w:b/>
          <w:bCs/>
        </w:rPr>
        <w:footnoteReference w:id="3"/>
      </w:r>
      <w:r w:rsidR="00597B23" w:rsidRPr="00553743">
        <w:rPr>
          <w:b/>
          <w:bCs/>
        </w:rPr>
        <w:t xml:space="preserve"> (NBSAPs) into the activities of all those sectors whose activities can impact biodiversity. Key to supporting the NBSAPs will be to develop modalities for coordinated action across the agricultura</w:t>
      </w:r>
      <w:r w:rsidR="00597B23">
        <w:rPr>
          <w:b/>
          <w:bCs/>
        </w:rPr>
        <w:t xml:space="preserve">l and natural resources sectors, that can </w:t>
      </w:r>
      <w:r w:rsidRPr="00553743">
        <w:rPr>
          <w:b/>
        </w:rPr>
        <w:t>reinvest natural resource revenues, engage with private sector investment to up-scale and provide incentives for farmers to adopt more sustainable practices.</w:t>
      </w:r>
    </w:p>
    <w:p w14:paraId="533A3D19" w14:textId="4D06171E" w:rsidR="001515F4" w:rsidRPr="001515F4" w:rsidRDefault="00D71DDB" w:rsidP="00D71DDB">
      <w:pPr>
        <w:shd w:val="clear" w:color="auto" w:fill="D9E2F3" w:themeFill="accent5" w:themeFillTint="33"/>
        <w:jc w:val="both"/>
      </w:pPr>
      <w:r>
        <w:rPr>
          <w:noProof/>
          <w:lang w:val="en-GB" w:eastAsia="en-GB"/>
        </w:rPr>
        <w:drawing>
          <wp:anchor distT="0" distB="0" distL="114300" distR="114300" simplePos="0" relativeHeight="251667456" behindDoc="0" locked="0" layoutInCell="1" allowOverlap="1" wp14:anchorId="77E0C7A9" wp14:editId="5F933B6F">
            <wp:simplePos x="0" y="0"/>
            <wp:positionH relativeFrom="column">
              <wp:posOffset>4955540</wp:posOffset>
            </wp:positionH>
            <wp:positionV relativeFrom="paragraph">
              <wp:posOffset>5080</wp:posOffset>
            </wp:positionV>
            <wp:extent cx="1030605" cy="1468120"/>
            <wp:effectExtent l="0" t="0" r="0" b="0"/>
            <wp:wrapSquare wrapText="bothSides"/>
            <wp:docPr id="1" name="Picture 1" descr="C:\Users\colozza\Desktop\TGD 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lozza\Desktop\TGD cove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0605" cy="1468120"/>
                    </a:xfrm>
                    <a:prstGeom prst="rect">
                      <a:avLst/>
                    </a:prstGeom>
                    <a:noFill/>
                    <a:ln>
                      <a:noFill/>
                    </a:ln>
                  </pic:spPr>
                </pic:pic>
              </a:graphicData>
            </a:graphic>
            <wp14:sizeRelH relativeFrom="page">
              <wp14:pctWidth>0</wp14:pctWidth>
            </wp14:sizeRelH>
            <wp14:sizeRelV relativeFrom="page">
              <wp14:pctHeight>0</wp14:pctHeight>
            </wp14:sizeRelV>
          </wp:anchor>
        </w:drawing>
      </w:r>
      <w:r w:rsidR="001515F4">
        <w:t>The Capacity-Building Related to Multilateral Environmental Agreements (MEAs) in ACP Countries – Phase 2 (ACP/MEAs 2)</w:t>
      </w:r>
      <w:r>
        <w:t xml:space="preserve"> project</w:t>
      </w:r>
      <w:r w:rsidR="001515F4">
        <w:t xml:space="preserve"> seeks to </w:t>
      </w:r>
      <w:r w:rsidR="001515F4" w:rsidRPr="001515F4">
        <w:t>strengthen regional and national institutional capacity for the synergistic implementation of target MEA clusters (on chemicals/wastes and biodiversity).</w:t>
      </w:r>
      <w:r w:rsidR="001515F4">
        <w:t xml:space="preserve"> This is done by working with the Convention for Biological Diversity (CBD) Secretariat</w:t>
      </w:r>
      <w:r>
        <w:t>,</w:t>
      </w:r>
      <w:r w:rsidR="001515F4">
        <w:t xml:space="preserve"> to develop tools and guidance on integrating agriculture into NSBAPs </w:t>
      </w:r>
      <w:r>
        <w:t>and</w:t>
      </w:r>
      <w:r w:rsidR="001515F4">
        <w:t xml:space="preserve"> address selected Aichi targets (e.g. Targets 7, 13 and 14) that are key to the agricultural sector</w:t>
      </w:r>
      <w:r>
        <w:t>;</w:t>
      </w:r>
      <w:r w:rsidR="001515F4">
        <w:t xml:space="preserve"> and by building synergies with measures to eliminate the use of toxic chemicals in agricultural production systems.</w:t>
      </w:r>
    </w:p>
    <w:p w14:paraId="712445E9" w14:textId="60739EA5" w:rsidR="00EC731F" w:rsidRPr="009F1D12" w:rsidRDefault="009F1D12" w:rsidP="00CF76DB">
      <w:pPr>
        <w:spacing w:after="120" w:line="240" w:lineRule="auto"/>
        <w:jc w:val="both"/>
      </w:pPr>
      <w:r>
        <w:t xml:space="preserve">Both projects contribute to the </w:t>
      </w:r>
      <w:r w:rsidRPr="005E1123">
        <w:rPr>
          <w:b/>
          <w:bCs/>
        </w:rPr>
        <w:t xml:space="preserve">FAO Major Area of Work on Ecosystem Services and Bioversity (MAW-ESB), </w:t>
      </w:r>
      <w:r>
        <w:t xml:space="preserve">whose goal is to </w:t>
      </w:r>
      <w:r>
        <w:rPr>
          <w:lang w:eastAsia="en-US"/>
        </w:rPr>
        <w:t>produce a set of guidance documents to demonstrate the importance of Integrated Landscape Management in the protection and enhancement of ESB for Sustainable Food and Agriculture.</w:t>
      </w:r>
      <w:r w:rsidR="005E1123">
        <w:rPr>
          <w:lang w:eastAsia="en-US"/>
        </w:rPr>
        <w:t xml:space="preserve"> </w:t>
      </w:r>
      <w:r w:rsidR="00EC731F" w:rsidRPr="0087643E">
        <w:t xml:space="preserve">FAO </w:t>
      </w:r>
      <w:r w:rsidR="00334A4A">
        <w:t>Kenya, with the support of the Land and Water and Plant</w:t>
      </w:r>
      <w:r w:rsidR="00A069FA">
        <w:t xml:space="preserve"> Production and</w:t>
      </w:r>
      <w:r w:rsidR="00334A4A">
        <w:t xml:space="preserve"> Protection Divisions </w:t>
      </w:r>
      <w:r w:rsidR="00EC731F" w:rsidRPr="0087643E">
        <w:t xml:space="preserve">are organizing this policy dialogue to identify barriers on mainstreaming biodiversity and ecosystems services in policy and decision making and how these can be addressed. </w:t>
      </w:r>
    </w:p>
    <w:p w14:paraId="66C70D96" w14:textId="425DBCE5" w:rsidR="001F7688" w:rsidRPr="009F1D12" w:rsidRDefault="00EC731F" w:rsidP="00334A4A">
      <w:pPr>
        <w:spacing w:after="120" w:line="240" w:lineRule="auto"/>
        <w:jc w:val="both"/>
      </w:pPr>
      <w:r w:rsidRPr="009F1D12">
        <w:t xml:space="preserve">The event also counts on the support of </w:t>
      </w:r>
      <w:r w:rsidR="00334A4A" w:rsidRPr="009F1D12">
        <w:t xml:space="preserve">UNEP, the </w:t>
      </w:r>
      <w:r w:rsidR="001F7688" w:rsidRPr="009F1D12">
        <w:t xml:space="preserve">Kenya Agricultural and Livestock Research </w:t>
      </w:r>
      <w:r w:rsidR="00811F01" w:rsidRPr="009F1D12">
        <w:t>Organization</w:t>
      </w:r>
      <w:r w:rsidR="001F7688" w:rsidRPr="009F1D12">
        <w:t xml:space="preserve"> – KALRO</w:t>
      </w:r>
      <w:r w:rsidRPr="009F1D12">
        <w:t xml:space="preserve"> and</w:t>
      </w:r>
      <w:r w:rsidR="001F7688" w:rsidRPr="009F1D12">
        <w:t xml:space="preserve"> National </w:t>
      </w:r>
      <w:r w:rsidRPr="009F1D12">
        <w:t>Museums of Kenya –NMK.</w:t>
      </w:r>
      <w:bookmarkStart w:id="0" w:name="_GoBack"/>
      <w:bookmarkEnd w:id="0"/>
    </w:p>
    <w:p w14:paraId="32A95927" w14:textId="77777777" w:rsidR="00636D46" w:rsidRDefault="00636D46" w:rsidP="00C03712">
      <w:pPr>
        <w:pStyle w:val="Heading2"/>
      </w:pPr>
      <w:r>
        <w:t>Outcomes of Regional Dialogue</w:t>
      </w:r>
    </w:p>
    <w:p w14:paraId="0CF652A8" w14:textId="2E4913D1" w:rsidR="00FD4BF1" w:rsidRPr="005B3A59" w:rsidRDefault="00CF5765" w:rsidP="00FD4BF1">
      <w:pPr>
        <w:pStyle w:val="ListParagraph"/>
        <w:numPr>
          <w:ilvl w:val="0"/>
          <w:numId w:val="3"/>
        </w:numPr>
        <w:spacing w:after="0" w:line="240" w:lineRule="auto"/>
        <w:rPr>
          <w:rFonts w:eastAsia="Times New Roman"/>
        </w:rPr>
      </w:pPr>
      <w:r>
        <w:rPr>
          <w:rFonts w:eastAsia="Times New Roman"/>
        </w:rPr>
        <w:t>Greater</w:t>
      </w:r>
      <w:r w:rsidR="00FD4BF1" w:rsidRPr="00810870">
        <w:rPr>
          <w:rFonts w:eastAsia="Times New Roman"/>
        </w:rPr>
        <w:t xml:space="preserve"> awareness </w:t>
      </w:r>
      <w:r>
        <w:rPr>
          <w:rFonts w:eastAsia="Times New Roman"/>
        </w:rPr>
        <w:t xml:space="preserve">of environmental institutions </w:t>
      </w:r>
      <w:r w:rsidR="00FD4BF1" w:rsidRPr="00810870">
        <w:rPr>
          <w:rFonts w:eastAsia="Times New Roman"/>
        </w:rPr>
        <w:t xml:space="preserve">of the contribution of ecosystem services and </w:t>
      </w:r>
      <w:r w:rsidR="00FD4BF1" w:rsidRPr="005B3A59">
        <w:rPr>
          <w:rFonts w:eastAsia="Times New Roman"/>
        </w:rPr>
        <w:t>biodiversity to sustainable and healthy agricultural production.</w:t>
      </w:r>
    </w:p>
    <w:p w14:paraId="60CDA556" w14:textId="40552ADC" w:rsidR="00FD4BF1" w:rsidRPr="004931EC" w:rsidRDefault="00FD4BF1" w:rsidP="004931EC">
      <w:pPr>
        <w:pStyle w:val="ListParagraph"/>
        <w:numPr>
          <w:ilvl w:val="0"/>
          <w:numId w:val="3"/>
        </w:numPr>
        <w:spacing w:after="0" w:line="240" w:lineRule="auto"/>
        <w:jc w:val="both"/>
        <w:rPr>
          <w:rFonts w:eastAsia="Times New Roman"/>
          <w:bCs/>
          <w:color w:val="FF0000"/>
        </w:rPr>
      </w:pPr>
      <w:r w:rsidRPr="005B3A59">
        <w:rPr>
          <w:rFonts w:eastAsia="Times New Roman"/>
        </w:rPr>
        <w:t>Provide guidance to decision-makers on developing and implementing NBSAPs</w:t>
      </w:r>
      <w:r w:rsidR="00A069FA" w:rsidRPr="005B3A59">
        <w:rPr>
          <w:rFonts w:eastAsia="Times New Roman"/>
        </w:rPr>
        <w:t xml:space="preserve">, focusing specifically </w:t>
      </w:r>
      <w:r w:rsidR="00A069FA">
        <w:rPr>
          <w:rFonts w:eastAsia="Times New Roman"/>
        </w:rPr>
        <w:t>on the relevance of biodiversity and ecosystem services in agricultural production, and highlighting successful initiatives and best practices already in place in the East African region.</w:t>
      </w:r>
      <w:r w:rsidR="00CF5765" w:rsidRPr="00CF5765">
        <w:rPr>
          <w:rFonts w:eastAsia="Times New Roman"/>
        </w:rPr>
        <w:t xml:space="preserve"> </w:t>
      </w:r>
    </w:p>
    <w:p w14:paraId="63CBE406" w14:textId="5D8532B4" w:rsidR="008B136C" w:rsidRPr="0055554F" w:rsidRDefault="008B136C" w:rsidP="008B136C">
      <w:pPr>
        <w:pStyle w:val="ListParagraph"/>
        <w:numPr>
          <w:ilvl w:val="0"/>
          <w:numId w:val="3"/>
        </w:numPr>
        <w:jc w:val="both"/>
        <w:rPr>
          <w:b/>
        </w:rPr>
      </w:pPr>
      <w:r>
        <w:t>Shared regional experiences in ecosystem services assessment, barriers to adopting sustainable practices, and integrated approaches to support conservation and productivity improvement, including private sector engagement.</w:t>
      </w:r>
    </w:p>
    <w:p w14:paraId="25CDED4F" w14:textId="77777777" w:rsidR="00A017CA" w:rsidRPr="00A017CA" w:rsidRDefault="00A017CA" w:rsidP="00C03712">
      <w:pPr>
        <w:pStyle w:val="ListParagraph"/>
        <w:numPr>
          <w:ilvl w:val="0"/>
          <w:numId w:val="3"/>
        </w:numPr>
        <w:jc w:val="both"/>
        <w:rPr>
          <w:b/>
        </w:rPr>
      </w:pPr>
      <w:r>
        <w:t>Policy recommendations for inter-sectoral and regional collaboration, and improved coordination of public and private co-financing.</w:t>
      </w:r>
    </w:p>
    <w:p w14:paraId="6815B5C1" w14:textId="4D7CF1D1" w:rsidR="00C03712" w:rsidRPr="00A017CA" w:rsidRDefault="00D53A10" w:rsidP="00D53A10">
      <w:pPr>
        <w:pStyle w:val="ListParagraph"/>
        <w:numPr>
          <w:ilvl w:val="0"/>
          <w:numId w:val="3"/>
        </w:numPr>
        <w:jc w:val="both"/>
        <w:rPr>
          <w:b/>
        </w:rPr>
      </w:pPr>
      <w:r>
        <w:t>C</w:t>
      </w:r>
      <w:r w:rsidR="00A017CA">
        <w:t xml:space="preserve">urricula </w:t>
      </w:r>
      <w:r>
        <w:t xml:space="preserve">developed with partner academic institutions to build regional capacity </w:t>
      </w:r>
      <w:r w:rsidR="00A017CA">
        <w:t>to implement this integrated approach.</w:t>
      </w:r>
    </w:p>
    <w:p w14:paraId="307B9F7F" w14:textId="77777777" w:rsidR="00704111" w:rsidRDefault="00704111">
      <w:pPr>
        <w:rPr>
          <w:rFonts w:asciiTheme="majorHAnsi" w:eastAsiaTheme="majorEastAsia" w:hAnsiTheme="majorHAnsi" w:cstheme="majorBidi"/>
          <w:color w:val="2E74B5" w:themeColor="accent1" w:themeShade="BF"/>
          <w:sz w:val="26"/>
          <w:szCs w:val="26"/>
        </w:rPr>
      </w:pPr>
      <w:r>
        <w:br w:type="page"/>
      </w:r>
    </w:p>
    <w:p w14:paraId="498465D6" w14:textId="2CCC30DF" w:rsidR="001F7688" w:rsidRDefault="001F7688" w:rsidP="001F7688">
      <w:pPr>
        <w:pStyle w:val="Heading2"/>
      </w:pPr>
      <w:r>
        <w:lastRenderedPageBreak/>
        <w:t>Agenda</w:t>
      </w:r>
    </w:p>
    <w:p w14:paraId="0647EBA4" w14:textId="5D39ABD3" w:rsidR="00CF76DB" w:rsidRDefault="00F238E7" w:rsidP="00FA766C">
      <w:pPr>
        <w:ind w:left="720" w:hanging="720"/>
        <w:rPr>
          <w:b/>
          <w:sz w:val="24"/>
          <w:szCs w:val="24"/>
        </w:rPr>
      </w:pPr>
      <w:r w:rsidRPr="00F12D35">
        <w:rPr>
          <w:b/>
          <w:sz w:val="24"/>
          <w:szCs w:val="24"/>
        </w:rPr>
        <w:t xml:space="preserve">DAY 1: </w:t>
      </w:r>
      <w:r w:rsidR="00CF76DB">
        <w:rPr>
          <w:b/>
          <w:sz w:val="24"/>
          <w:szCs w:val="24"/>
        </w:rPr>
        <w:t>Wednesday 25 May</w:t>
      </w:r>
    </w:p>
    <w:p w14:paraId="5BB28B9C" w14:textId="1027AD8D" w:rsidR="00F238E7" w:rsidRPr="00FA766C" w:rsidRDefault="00F238E7" w:rsidP="00FA766C">
      <w:pPr>
        <w:ind w:left="720" w:hanging="720"/>
        <w:rPr>
          <w:b/>
          <w:sz w:val="24"/>
          <w:szCs w:val="24"/>
        </w:rPr>
      </w:pPr>
      <w:r w:rsidRPr="00FA766C">
        <w:rPr>
          <w:b/>
          <w:sz w:val="24"/>
          <w:szCs w:val="24"/>
        </w:rPr>
        <w:t xml:space="preserve">Mainstreaming ecosystem services and biodiversity into agricultural production and management: </w:t>
      </w:r>
      <w:r w:rsidR="00FA766C">
        <w:rPr>
          <w:b/>
          <w:sz w:val="24"/>
          <w:szCs w:val="24"/>
        </w:rPr>
        <w:t>G</w:t>
      </w:r>
      <w:r w:rsidRPr="00FA766C">
        <w:rPr>
          <w:b/>
          <w:sz w:val="24"/>
          <w:szCs w:val="24"/>
        </w:rPr>
        <w:t>uidance for NBSAP development and implementation</w:t>
      </w:r>
    </w:p>
    <w:tbl>
      <w:tblPr>
        <w:tblStyle w:val="TableGrid"/>
        <w:tblW w:w="949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96"/>
        <w:gridCol w:w="5812"/>
        <w:gridCol w:w="1985"/>
      </w:tblGrid>
      <w:tr w:rsidR="00FD4BF1" w14:paraId="0A82D3EA" w14:textId="77777777" w:rsidTr="006C6327">
        <w:tc>
          <w:tcPr>
            <w:tcW w:w="1696" w:type="dxa"/>
          </w:tcPr>
          <w:p w14:paraId="7ACBAB80" w14:textId="5A9CD1AB" w:rsidR="00FD4BF1" w:rsidRDefault="005D6342" w:rsidP="00BE044C">
            <w:r>
              <w:t>08.30-9.00</w:t>
            </w:r>
          </w:p>
        </w:tc>
        <w:tc>
          <w:tcPr>
            <w:tcW w:w="5812" w:type="dxa"/>
          </w:tcPr>
          <w:p w14:paraId="727F3E30" w14:textId="2867538A" w:rsidR="00FD4BF1" w:rsidRDefault="005D6342" w:rsidP="00BE044C">
            <w:r>
              <w:t>Welcome, introduction of participants and meeting objectives</w:t>
            </w:r>
          </w:p>
        </w:tc>
        <w:tc>
          <w:tcPr>
            <w:tcW w:w="1985" w:type="dxa"/>
          </w:tcPr>
          <w:p w14:paraId="28FBA945" w14:textId="77777777" w:rsidR="0017382E" w:rsidRDefault="0017382E" w:rsidP="0017382E">
            <w:r>
              <w:t>Min Env</w:t>
            </w:r>
          </w:p>
          <w:p w14:paraId="1681BED6" w14:textId="59998F89" w:rsidR="0017382E" w:rsidRDefault="0017382E" w:rsidP="0017382E">
            <w:r>
              <w:t>Mr Mandando?</w:t>
            </w:r>
          </w:p>
        </w:tc>
      </w:tr>
      <w:tr w:rsidR="00FD4BF1" w14:paraId="18C15639" w14:textId="77777777" w:rsidTr="006C6327">
        <w:tc>
          <w:tcPr>
            <w:tcW w:w="1696" w:type="dxa"/>
          </w:tcPr>
          <w:p w14:paraId="58086603" w14:textId="306F90B8" w:rsidR="00FD4BF1" w:rsidRDefault="0017382E" w:rsidP="00BE044C">
            <w:r>
              <w:t>09.00-10.00</w:t>
            </w:r>
          </w:p>
        </w:tc>
        <w:tc>
          <w:tcPr>
            <w:tcW w:w="5812" w:type="dxa"/>
          </w:tcPr>
          <w:p w14:paraId="553E6F29" w14:textId="5205D33D" w:rsidR="00FD4BF1" w:rsidRDefault="0017382E" w:rsidP="00BE044C">
            <w:r>
              <w:t xml:space="preserve">Session 1- </w:t>
            </w:r>
            <w:r w:rsidR="005D6342">
              <w:t>Review the relevance of NBSAPs for agriculture</w:t>
            </w:r>
          </w:p>
        </w:tc>
        <w:tc>
          <w:tcPr>
            <w:tcW w:w="1985" w:type="dxa"/>
          </w:tcPr>
          <w:p w14:paraId="573B4B37" w14:textId="47B32184" w:rsidR="00FD4BF1" w:rsidRDefault="00FD4BF1" w:rsidP="00BE044C"/>
        </w:tc>
      </w:tr>
      <w:tr w:rsidR="005D6342" w14:paraId="42874EA1" w14:textId="77777777" w:rsidTr="006C6327">
        <w:tc>
          <w:tcPr>
            <w:tcW w:w="1696" w:type="dxa"/>
          </w:tcPr>
          <w:p w14:paraId="099324F5" w14:textId="7E8E340B" w:rsidR="005D6342" w:rsidRDefault="005D6342" w:rsidP="00BE044C"/>
        </w:tc>
        <w:tc>
          <w:tcPr>
            <w:tcW w:w="5812" w:type="dxa"/>
          </w:tcPr>
          <w:p w14:paraId="5E15344C" w14:textId="77777777" w:rsidR="005D6342" w:rsidRPr="006E4A31" w:rsidRDefault="005D6342" w:rsidP="005D6342">
            <w:pPr>
              <w:pStyle w:val="ListParagraph"/>
              <w:numPr>
                <w:ilvl w:val="0"/>
                <w:numId w:val="18"/>
              </w:numPr>
              <w:rPr>
                <w:lang w:val="en-US"/>
              </w:rPr>
            </w:pPr>
            <w:r w:rsidRPr="006E4A31">
              <w:rPr>
                <w:lang w:val="en-US"/>
              </w:rPr>
              <w:t>Scope of NBSAPs: a living document</w:t>
            </w:r>
          </w:p>
          <w:p w14:paraId="6E842784" w14:textId="77777777" w:rsidR="005D6342" w:rsidRDefault="005D6342" w:rsidP="005D6342">
            <w:pPr>
              <w:pStyle w:val="ListParagraph"/>
              <w:numPr>
                <w:ilvl w:val="0"/>
                <w:numId w:val="18"/>
              </w:numPr>
              <w:rPr>
                <w:lang w:val="en-US"/>
              </w:rPr>
            </w:pPr>
            <w:r w:rsidRPr="006E4A31">
              <w:rPr>
                <w:lang w:val="en-US"/>
              </w:rPr>
              <w:t>Analysis of past NBSAPs: trends and gaps</w:t>
            </w:r>
            <w:r w:rsidRPr="00AD405E">
              <w:rPr>
                <w:lang w:val="en-US"/>
              </w:rPr>
              <w:t xml:space="preserve"> </w:t>
            </w:r>
          </w:p>
          <w:p w14:paraId="2977E97B" w14:textId="77777777" w:rsidR="00CF76DB" w:rsidRPr="00195556" w:rsidRDefault="00CF76DB" w:rsidP="00CF76DB">
            <w:pPr>
              <w:pStyle w:val="ListParagraph"/>
              <w:numPr>
                <w:ilvl w:val="0"/>
                <w:numId w:val="18"/>
              </w:numPr>
              <w:rPr>
                <w:lang w:val="en-US"/>
              </w:rPr>
            </w:pPr>
            <w:r w:rsidRPr="00195556">
              <w:rPr>
                <w:lang w:val="en-US"/>
              </w:rPr>
              <w:t xml:space="preserve">Synergies with other Conventions </w:t>
            </w:r>
            <w:r>
              <w:rPr>
                <w:lang w:val="en-US"/>
              </w:rPr>
              <w:t>( chemical Conventions, o</w:t>
            </w:r>
            <w:r w:rsidRPr="00195556">
              <w:rPr>
                <w:lang w:val="en-US"/>
              </w:rPr>
              <w:t>ther biodiversity-related instruments</w:t>
            </w:r>
            <w:r>
              <w:t>)</w:t>
            </w:r>
          </w:p>
          <w:p w14:paraId="3C268CBA" w14:textId="77777777" w:rsidR="00D61008" w:rsidRDefault="00D61008" w:rsidP="004931EC">
            <w:pPr>
              <w:pStyle w:val="ListParagraph"/>
              <w:numPr>
                <w:ilvl w:val="0"/>
                <w:numId w:val="18"/>
              </w:numPr>
            </w:pPr>
            <w:r>
              <w:t>Ecosystem services- based adaptation (ESbA) and climate change: what role for agriculture?</w:t>
            </w:r>
          </w:p>
          <w:p w14:paraId="6CFD74D0" w14:textId="62786664" w:rsidR="005D6342" w:rsidRDefault="005D6342" w:rsidP="00BE044C"/>
        </w:tc>
        <w:tc>
          <w:tcPr>
            <w:tcW w:w="1985" w:type="dxa"/>
          </w:tcPr>
          <w:p w14:paraId="056AD4A8" w14:textId="77777777" w:rsidR="00CF76DB" w:rsidRDefault="00ED0637" w:rsidP="00CF76DB">
            <w:r>
              <w:t xml:space="preserve">FAO </w:t>
            </w:r>
            <w:r w:rsidR="00CF76DB">
              <w:t>HQ</w:t>
            </w:r>
          </w:p>
          <w:p w14:paraId="63BD92EE" w14:textId="77777777" w:rsidR="00CF76DB" w:rsidRDefault="00CF76DB" w:rsidP="00CF76DB"/>
          <w:p w14:paraId="7844E667" w14:textId="77777777" w:rsidR="00CF76DB" w:rsidRDefault="00CF76DB" w:rsidP="00CF76DB"/>
          <w:p w14:paraId="4F329484" w14:textId="77777777" w:rsidR="005E1123" w:rsidRDefault="005E1123" w:rsidP="00CF76DB"/>
          <w:p w14:paraId="74199365" w14:textId="507EC6E1" w:rsidR="00CF76DB" w:rsidRDefault="00ED0637" w:rsidP="00CF76DB">
            <w:r>
              <w:t>UNEP</w:t>
            </w:r>
          </w:p>
          <w:p w14:paraId="5277370A" w14:textId="2AA08DAA" w:rsidR="005D6342" w:rsidRDefault="005D6342" w:rsidP="00CF76DB"/>
        </w:tc>
      </w:tr>
      <w:tr w:rsidR="00CF76DB" w14:paraId="64DD8563" w14:textId="77777777" w:rsidTr="007173AF">
        <w:trPr>
          <w:trHeight w:val="1656"/>
        </w:trPr>
        <w:tc>
          <w:tcPr>
            <w:tcW w:w="1696" w:type="dxa"/>
          </w:tcPr>
          <w:p w14:paraId="54E993E9" w14:textId="6E6CEC99" w:rsidR="00CF76DB" w:rsidRDefault="00CF76DB" w:rsidP="00BE044C">
            <w:r>
              <w:t>10.00-11.00</w:t>
            </w:r>
          </w:p>
        </w:tc>
        <w:tc>
          <w:tcPr>
            <w:tcW w:w="5812" w:type="dxa"/>
          </w:tcPr>
          <w:p w14:paraId="6D0D2D1C" w14:textId="60B28B9E" w:rsidR="00CF76DB" w:rsidRPr="005D6342" w:rsidRDefault="00CF76DB" w:rsidP="005D6342">
            <w:r>
              <w:t xml:space="preserve">Session 2- </w:t>
            </w:r>
            <w:r w:rsidRPr="005D6342">
              <w:t>NBSAP development and Implementation</w:t>
            </w:r>
            <w:r>
              <w:t xml:space="preserve">: </w:t>
            </w:r>
            <w:r w:rsidRPr="005D6342">
              <w:t xml:space="preserve">Review of the ecosystem services provided by agriculture </w:t>
            </w:r>
          </w:p>
          <w:p w14:paraId="6145BA6E" w14:textId="77777777" w:rsidR="00CF76DB" w:rsidRPr="004B0F10" w:rsidRDefault="00CF76DB" w:rsidP="005D6342">
            <w:pPr>
              <w:pStyle w:val="ListParagraph"/>
              <w:numPr>
                <w:ilvl w:val="0"/>
                <w:numId w:val="19"/>
              </w:numPr>
              <w:rPr>
                <w:lang w:val="fr-FR"/>
              </w:rPr>
            </w:pPr>
            <w:r w:rsidRPr="004B0F10">
              <w:rPr>
                <w:lang w:val="fr-FR"/>
              </w:rPr>
              <w:t xml:space="preserve">Pest management/bio-pesticides </w:t>
            </w:r>
          </w:p>
          <w:p w14:paraId="4B0E0792" w14:textId="77777777" w:rsidR="00CF76DB" w:rsidRDefault="00CF76DB" w:rsidP="005D6342">
            <w:pPr>
              <w:pStyle w:val="ListParagraph"/>
              <w:numPr>
                <w:ilvl w:val="0"/>
                <w:numId w:val="19"/>
              </w:numPr>
              <w:rPr>
                <w:lang w:val="en-US"/>
              </w:rPr>
            </w:pPr>
            <w:r>
              <w:rPr>
                <w:lang w:val="en-US"/>
              </w:rPr>
              <w:t>Pollination</w:t>
            </w:r>
            <w:r w:rsidRPr="00195556">
              <w:rPr>
                <w:lang w:val="en-US"/>
              </w:rPr>
              <w:t xml:space="preserve"> </w:t>
            </w:r>
          </w:p>
          <w:p w14:paraId="74453E4F" w14:textId="77777777" w:rsidR="00CF76DB" w:rsidRDefault="00CF76DB" w:rsidP="005D6342">
            <w:pPr>
              <w:pStyle w:val="ListParagraph"/>
              <w:numPr>
                <w:ilvl w:val="0"/>
                <w:numId w:val="19"/>
              </w:numPr>
              <w:rPr>
                <w:lang w:val="en-US"/>
              </w:rPr>
            </w:pPr>
            <w:r>
              <w:rPr>
                <w:lang w:val="en-US"/>
              </w:rPr>
              <w:t xml:space="preserve">Soil management </w:t>
            </w:r>
          </w:p>
          <w:p w14:paraId="1FDC28A3" w14:textId="44774F5C" w:rsidR="00CF76DB" w:rsidRPr="005D6342" w:rsidRDefault="00CF76DB" w:rsidP="005D6342"/>
        </w:tc>
        <w:tc>
          <w:tcPr>
            <w:tcW w:w="1985" w:type="dxa"/>
          </w:tcPr>
          <w:p w14:paraId="5C0FCAA2" w14:textId="6F273BEB" w:rsidR="00CF76DB" w:rsidRDefault="00D2029D" w:rsidP="005E1123">
            <w:r>
              <w:t>FAO guidance doc authors</w:t>
            </w:r>
          </w:p>
        </w:tc>
      </w:tr>
      <w:tr w:rsidR="00704111" w14:paraId="6C402533" w14:textId="77777777" w:rsidTr="00CF0457">
        <w:tc>
          <w:tcPr>
            <w:tcW w:w="1696" w:type="dxa"/>
          </w:tcPr>
          <w:p w14:paraId="5F922DA2" w14:textId="5B1A0829" w:rsidR="00704111" w:rsidRDefault="00704111" w:rsidP="005D6342">
            <w:r>
              <w:t>11.00-11.30</w:t>
            </w:r>
          </w:p>
        </w:tc>
        <w:tc>
          <w:tcPr>
            <w:tcW w:w="7797" w:type="dxa"/>
            <w:gridSpan w:val="2"/>
          </w:tcPr>
          <w:p w14:paraId="05536B18" w14:textId="392E622C" w:rsidR="00704111" w:rsidRDefault="00704111" w:rsidP="00BE044C">
            <w:r>
              <w:rPr>
                <w:lang w:val="fr-FR"/>
              </w:rPr>
              <w:t>Break</w:t>
            </w:r>
          </w:p>
        </w:tc>
      </w:tr>
      <w:tr w:rsidR="005D6342" w14:paraId="4683C30E" w14:textId="77777777" w:rsidTr="006C6327">
        <w:tc>
          <w:tcPr>
            <w:tcW w:w="1696" w:type="dxa"/>
          </w:tcPr>
          <w:p w14:paraId="1C57CC9F" w14:textId="1304A0D0" w:rsidR="005D6342" w:rsidRDefault="005D6342" w:rsidP="005D6342">
            <w:r>
              <w:t>11.30-12.30</w:t>
            </w:r>
          </w:p>
        </w:tc>
        <w:tc>
          <w:tcPr>
            <w:tcW w:w="5812" w:type="dxa"/>
          </w:tcPr>
          <w:p w14:paraId="3FDE4B52" w14:textId="36D28FD8" w:rsidR="00CF76DB" w:rsidRPr="00CF76DB" w:rsidRDefault="00CF76DB" w:rsidP="00C3563C">
            <w:r>
              <w:t xml:space="preserve">Session 2- </w:t>
            </w:r>
            <w:r w:rsidRPr="005D6342">
              <w:t>NBSAP development and Implementation</w:t>
            </w:r>
            <w:r>
              <w:t xml:space="preserve">: </w:t>
            </w:r>
            <w:r w:rsidRPr="005D6342">
              <w:t>Review of the ecosystem services provided by agriculture</w:t>
            </w:r>
            <w:r>
              <w:t xml:space="preserve"> (cont.)</w:t>
            </w:r>
          </w:p>
          <w:p w14:paraId="67881043" w14:textId="57628133" w:rsidR="005D6342" w:rsidRDefault="005D6342" w:rsidP="005D6342">
            <w:pPr>
              <w:pStyle w:val="ListParagraph"/>
              <w:numPr>
                <w:ilvl w:val="0"/>
                <w:numId w:val="19"/>
              </w:numPr>
              <w:rPr>
                <w:lang w:val="en-US"/>
              </w:rPr>
            </w:pPr>
            <w:r>
              <w:rPr>
                <w:lang w:val="en-US"/>
              </w:rPr>
              <w:t xml:space="preserve">Water </w:t>
            </w:r>
            <w:r w:rsidRPr="00195556">
              <w:rPr>
                <w:lang w:val="en-US"/>
              </w:rPr>
              <w:t xml:space="preserve">Review of the ecosystem services and agriculture </w:t>
            </w:r>
          </w:p>
          <w:p w14:paraId="69E4CE54" w14:textId="35A92BF3" w:rsidR="005D6342" w:rsidRDefault="005D6342" w:rsidP="005D6342">
            <w:pPr>
              <w:pStyle w:val="ListParagraph"/>
              <w:numPr>
                <w:ilvl w:val="0"/>
                <w:numId w:val="19"/>
              </w:numPr>
              <w:rPr>
                <w:lang w:val="en-US"/>
              </w:rPr>
            </w:pPr>
            <w:r>
              <w:rPr>
                <w:lang w:val="en-US"/>
              </w:rPr>
              <w:t xml:space="preserve">Livestock and trees </w:t>
            </w:r>
          </w:p>
          <w:p w14:paraId="09CC4D40" w14:textId="61B3EB0C" w:rsidR="005D6342" w:rsidRDefault="005D6342" w:rsidP="005D6342">
            <w:pPr>
              <w:pStyle w:val="ListParagraph"/>
              <w:numPr>
                <w:ilvl w:val="0"/>
                <w:numId w:val="19"/>
              </w:numPr>
              <w:rPr>
                <w:lang w:val="en-US"/>
              </w:rPr>
            </w:pPr>
            <w:r>
              <w:rPr>
                <w:lang w:val="en-US"/>
              </w:rPr>
              <w:t>Indigenous knowledge</w:t>
            </w:r>
          </w:p>
          <w:p w14:paraId="6F51AF60" w14:textId="77777777" w:rsidR="005D6342" w:rsidRDefault="005D6342" w:rsidP="005D6342">
            <w:pPr>
              <w:rPr>
                <w:lang w:val="fr-FR"/>
              </w:rPr>
            </w:pPr>
          </w:p>
        </w:tc>
        <w:tc>
          <w:tcPr>
            <w:tcW w:w="1985" w:type="dxa"/>
          </w:tcPr>
          <w:p w14:paraId="2BC1D7E2" w14:textId="04A00555" w:rsidR="00A069FA" w:rsidRDefault="00D2029D" w:rsidP="00BE044C">
            <w:r>
              <w:t>FAO guidance doc authors</w:t>
            </w:r>
          </w:p>
        </w:tc>
      </w:tr>
      <w:tr w:rsidR="00704111" w14:paraId="1DF3C806" w14:textId="77777777" w:rsidTr="00A12C48">
        <w:tc>
          <w:tcPr>
            <w:tcW w:w="1696" w:type="dxa"/>
          </w:tcPr>
          <w:p w14:paraId="033AB73D" w14:textId="03A403AD" w:rsidR="00704111" w:rsidRDefault="00704111" w:rsidP="00BE044C">
            <w:r>
              <w:t>12.30-13.30</w:t>
            </w:r>
          </w:p>
        </w:tc>
        <w:tc>
          <w:tcPr>
            <w:tcW w:w="7797" w:type="dxa"/>
            <w:gridSpan w:val="2"/>
          </w:tcPr>
          <w:p w14:paraId="19A65ABD" w14:textId="701EAD52" w:rsidR="00704111" w:rsidRDefault="00704111" w:rsidP="00BE044C">
            <w:r>
              <w:t>Lunch</w:t>
            </w:r>
          </w:p>
        </w:tc>
      </w:tr>
      <w:tr w:rsidR="005D6342" w14:paraId="5792674D" w14:textId="77777777" w:rsidTr="006C6327">
        <w:tc>
          <w:tcPr>
            <w:tcW w:w="1696" w:type="dxa"/>
          </w:tcPr>
          <w:p w14:paraId="2D8EDEFD" w14:textId="397D1624" w:rsidR="005D6342" w:rsidRDefault="005D6342" w:rsidP="00BE044C">
            <w:r>
              <w:t>13.30-15.30</w:t>
            </w:r>
          </w:p>
        </w:tc>
        <w:tc>
          <w:tcPr>
            <w:tcW w:w="5812" w:type="dxa"/>
          </w:tcPr>
          <w:p w14:paraId="5D0D5777" w14:textId="14B1DBE3" w:rsidR="005D6342" w:rsidRDefault="005D6342" w:rsidP="005D6342">
            <w:r w:rsidRPr="00543D7C">
              <w:t xml:space="preserve">Group Work on revision of </w:t>
            </w:r>
            <w:r>
              <w:t xml:space="preserve">Kenya </w:t>
            </w:r>
            <w:r w:rsidRPr="00543D7C">
              <w:t>NBSAP</w:t>
            </w:r>
            <w:r>
              <w:t xml:space="preserve"> to better reflect the </w:t>
            </w:r>
            <w:r w:rsidRPr="00810870">
              <w:rPr>
                <w:rFonts w:eastAsia="Times New Roman"/>
              </w:rPr>
              <w:t>contribution of ecosystem services and biodiversity to sustainable and healthy agricultural production</w:t>
            </w:r>
            <w:r>
              <w:t xml:space="preserve"> </w:t>
            </w:r>
            <w:r w:rsidRPr="00543D7C">
              <w:t>(Experience form other countries + technical guidance document)</w:t>
            </w:r>
          </w:p>
        </w:tc>
        <w:tc>
          <w:tcPr>
            <w:tcW w:w="1985" w:type="dxa"/>
          </w:tcPr>
          <w:p w14:paraId="63E15BFA" w14:textId="02F054D0" w:rsidR="005D6342" w:rsidRDefault="00B035C6" w:rsidP="00BE044C">
            <w:r>
              <w:t>All authors of the chapters</w:t>
            </w:r>
          </w:p>
        </w:tc>
      </w:tr>
      <w:tr w:rsidR="00704111" w14:paraId="706F5C84" w14:textId="77777777" w:rsidTr="00CD24DF">
        <w:tc>
          <w:tcPr>
            <w:tcW w:w="1696" w:type="dxa"/>
          </w:tcPr>
          <w:p w14:paraId="2C59032B" w14:textId="51B5BF5C" w:rsidR="00704111" w:rsidRDefault="00704111" w:rsidP="00BE044C">
            <w:r>
              <w:t>15.30-15.45</w:t>
            </w:r>
          </w:p>
        </w:tc>
        <w:tc>
          <w:tcPr>
            <w:tcW w:w="7797" w:type="dxa"/>
            <w:gridSpan w:val="2"/>
          </w:tcPr>
          <w:p w14:paraId="13DBC05D" w14:textId="2A1C2C78" w:rsidR="00704111" w:rsidRDefault="00704111" w:rsidP="00BE044C">
            <w:r>
              <w:t>Break</w:t>
            </w:r>
          </w:p>
        </w:tc>
      </w:tr>
      <w:tr w:rsidR="005D6342" w14:paraId="06F36638" w14:textId="77777777" w:rsidTr="006C6327">
        <w:tc>
          <w:tcPr>
            <w:tcW w:w="1696" w:type="dxa"/>
          </w:tcPr>
          <w:p w14:paraId="6FF74904" w14:textId="7922AB3A" w:rsidR="005D6342" w:rsidRDefault="005D6342" w:rsidP="00BE044C">
            <w:r>
              <w:t>15.45-16.30</w:t>
            </w:r>
          </w:p>
        </w:tc>
        <w:tc>
          <w:tcPr>
            <w:tcW w:w="5812" w:type="dxa"/>
          </w:tcPr>
          <w:p w14:paraId="7CB90913" w14:textId="0E4538A1" w:rsidR="005D6342" w:rsidRDefault="005D6342" w:rsidP="005D6342">
            <w:r>
              <w:t>Presentation of Group Work</w:t>
            </w:r>
          </w:p>
        </w:tc>
        <w:tc>
          <w:tcPr>
            <w:tcW w:w="1985" w:type="dxa"/>
          </w:tcPr>
          <w:p w14:paraId="619E0A06" w14:textId="77777777" w:rsidR="005D6342" w:rsidRDefault="005D6342" w:rsidP="00BE044C"/>
        </w:tc>
      </w:tr>
      <w:tr w:rsidR="005D6342" w14:paraId="17B63357" w14:textId="77777777" w:rsidTr="006C6327">
        <w:tc>
          <w:tcPr>
            <w:tcW w:w="1696" w:type="dxa"/>
          </w:tcPr>
          <w:p w14:paraId="0EB1EBE6" w14:textId="0266DEAE" w:rsidR="005D6342" w:rsidRDefault="005D6342" w:rsidP="00BE044C">
            <w:r>
              <w:t>16.30-17.00</w:t>
            </w:r>
          </w:p>
        </w:tc>
        <w:tc>
          <w:tcPr>
            <w:tcW w:w="5812" w:type="dxa"/>
          </w:tcPr>
          <w:p w14:paraId="5AB39FD5" w14:textId="0C0F5229" w:rsidR="005D6342" w:rsidRDefault="005D6342" w:rsidP="005D6342">
            <w:r>
              <w:t>Discussion and wrap up of the day</w:t>
            </w:r>
          </w:p>
        </w:tc>
        <w:tc>
          <w:tcPr>
            <w:tcW w:w="1985" w:type="dxa"/>
          </w:tcPr>
          <w:p w14:paraId="3807A0F2" w14:textId="77777777" w:rsidR="005D6342" w:rsidRDefault="005D6342" w:rsidP="00BE044C"/>
        </w:tc>
      </w:tr>
    </w:tbl>
    <w:p w14:paraId="21AE0B71" w14:textId="77777777" w:rsidR="00F238E7" w:rsidRDefault="00F238E7" w:rsidP="00F238E7">
      <w:pPr>
        <w:spacing w:after="0" w:line="240" w:lineRule="auto"/>
        <w:rPr>
          <w:b/>
        </w:rPr>
      </w:pPr>
    </w:p>
    <w:p w14:paraId="27BC9B33" w14:textId="77777777" w:rsidR="00704111" w:rsidRDefault="00704111">
      <w:pPr>
        <w:rPr>
          <w:rStyle w:val="Normal1"/>
          <w:b/>
        </w:rPr>
      </w:pPr>
      <w:r>
        <w:rPr>
          <w:rStyle w:val="Normal1"/>
          <w:b/>
        </w:rPr>
        <w:br w:type="page"/>
      </w:r>
    </w:p>
    <w:p w14:paraId="106C10E3" w14:textId="4F809008" w:rsidR="005D6342" w:rsidRPr="008E78A9" w:rsidRDefault="001F7688" w:rsidP="00FA766C">
      <w:pPr>
        <w:widowControl w:val="0"/>
        <w:tabs>
          <w:tab w:val="left" w:pos="220"/>
          <w:tab w:val="left" w:pos="720"/>
        </w:tabs>
        <w:autoSpaceDE w:val="0"/>
        <w:autoSpaceDN w:val="0"/>
        <w:adjustRightInd w:val="0"/>
        <w:spacing w:after="0" w:line="240" w:lineRule="auto"/>
        <w:ind w:left="630" w:hanging="630"/>
        <w:rPr>
          <w:rStyle w:val="Normal1"/>
          <w:b/>
        </w:rPr>
      </w:pPr>
      <w:r w:rsidRPr="008E78A9">
        <w:rPr>
          <w:rStyle w:val="Normal1"/>
          <w:b/>
        </w:rPr>
        <w:lastRenderedPageBreak/>
        <w:t xml:space="preserve">Day 2: </w:t>
      </w:r>
      <w:r w:rsidR="005D6342" w:rsidRPr="008E78A9">
        <w:rPr>
          <w:rFonts w:eastAsia="Times New Roman"/>
          <w:b/>
        </w:rPr>
        <w:t xml:space="preserve">Guidance to decision-makers on developing and implementing </w:t>
      </w:r>
      <w:r w:rsidR="005D6342" w:rsidRPr="008E78A9">
        <w:rPr>
          <w:rStyle w:val="Normal1"/>
          <w:b/>
        </w:rPr>
        <w:t>p</w:t>
      </w:r>
      <w:r w:rsidR="00FD39A9" w:rsidRPr="008E78A9">
        <w:rPr>
          <w:rStyle w:val="Normal1"/>
          <w:b/>
        </w:rPr>
        <w:t xml:space="preserve">olicies to promote ecosystem services </w:t>
      </w:r>
      <w:r w:rsidR="005D6342" w:rsidRPr="008E78A9">
        <w:rPr>
          <w:rStyle w:val="Normal1"/>
          <w:b/>
        </w:rPr>
        <w:t xml:space="preserve">from </w:t>
      </w:r>
      <w:r w:rsidR="00FD39A9" w:rsidRPr="008E78A9">
        <w:rPr>
          <w:rStyle w:val="Normal1"/>
          <w:b/>
        </w:rPr>
        <w:t>agriculture</w:t>
      </w:r>
    </w:p>
    <w:p w14:paraId="42AE74E1" w14:textId="77777777" w:rsidR="005D6342" w:rsidRPr="00FA766C" w:rsidRDefault="005D6342" w:rsidP="004931EC">
      <w:pPr>
        <w:spacing w:after="0" w:line="240" w:lineRule="auto"/>
        <w:rPr>
          <w:sz w:val="12"/>
          <w:szCs w:val="12"/>
        </w:rPr>
      </w:pPr>
    </w:p>
    <w:tbl>
      <w:tblPr>
        <w:tblStyle w:val="TableGrid"/>
        <w:tblW w:w="9493" w:type="dxa"/>
        <w:tblLook w:val="04A0" w:firstRow="1" w:lastRow="0" w:firstColumn="1" w:lastColumn="0" w:noHBand="0" w:noVBand="1"/>
      </w:tblPr>
      <w:tblGrid>
        <w:gridCol w:w="1674"/>
        <w:gridCol w:w="5725"/>
        <w:gridCol w:w="2094"/>
      </w:tblGrid>
      <w:tr w:rsidR="00056398" w14:paraId="59581366" w14:textId="77777777" w:rsidTr="009F1D12">
        <w:tc>
          <w:tcPr>
            <w:tcW w:w="1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C76FF6" w14:textId="77777777" w:rsidR="00056398" w:rsidRDefault="00056398" w:rsidP="00C03712">
            <w:r>
              <w:t>9.00- 9.15</w:t>
            </w:r>
          </w:p>
        </w:tc>
        <w:tc>
          <w:tcPr>
            <w:tcW w:w="57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1ED78E" w14:textId="77777777" w:rsidR="00056398" w:rsidRDefault="00056398" w:rsidP="00C03712">
            <w:r>
              <w:t>Opening and introductions</w:t>
            </w:r>
          </w:p>
        </w:tc>
        <w:tc>
          <w:tcPr>
            <w:tcW w:w="20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403C5A" w14:textId="09F94F4C" w:rsidR="00056398" w:rsidRDefault="0017382E" w:rsidP="00C03712">
            <w:r>
              <w:t>Philip Kiriro, EAFF</w:t>
            </w:r>
          </w:p>
        </w:tc>
      </w:tr>
      <w:tr w:rsidR="00056398" w14:paraId="39E3AF29" w14:textId="77777777" w:rsidTr="009F1D12">
        <w:tc>
          <w:tcPr>
            <w:tcW w:w="1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ED0D91" w14:textId="5A81E4EE" w:rsidR="00056398" w:rsidRDefault="00D61008" w:rsidP="00D61008">
            <w:r>
              <w:t>9.15-9.30</w:t>
            </w:r>
          </w:p>
        </w:tc>
        <w:tc>
          <w:tcPr>
            <w:tcW w:w="57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AB2AB9" w14:textId="77777777" w:rsidR="00D71D83" w:rsidRDefault="00056398" w:rsidP="00FA766C">
            <w:r>
              <w:t>Overview and objectives of workshop</w:t>
            </w:r>
            <w:r w:rsidR="00D71D83">
              <w:t>: strategies to support the implementation of the NBSAPs</w:t>
            </w:r>
          </w:p>
          <w:p w14:paraId="7B2E4186" w14:textId="4A8DE017" w:rsidR="00D71D83" w:rsidRDefault="00D71D83" w:rsidP="009F1D12"/>
        </w:tc>
        <w:tc>
          <w:tcPr>
            <w:tcW w:w="20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94A751" w14:textId="3FDAC1A0" w:rsidR="00056398" w:rsidRDefault="00056398" w:rsidP="009F1D12">
            <w:r>
              <w:t xml:space="preserve">FAO </w:t>
            </w:r>
            <w:r w:rsidR="00D71D83">
              <w:t>HQ</w:t>
            </w:r>
          </w:p>
        </w:tc>
      </w:tr>
      <w:tr w:rsidR="009F1D12" w14:paraId="68345008" w14:textId="77777777" w:rsidTr="00920953">
        <w:trPr>
          <w:trHeight w:val="2464"/>
        </w:trPr>
        <w:tc>
          <w:tcPr>
            <w:tcW w:w="1674" w:type="dxa"/>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6EC37E79" w14:textId="6A92BDD1" w:rsidR="009F1D12" w:rsidRDefault="009F1D12" w:rsidP="008870BC">
            <w:r>
              <w:t>9.30- 10.30</w:t>
            </w:r>
          </w:p>
        </w:tc>
        <w:tc>
          <w:tcPr>
            <w:tcW w:w="5725" w:type="dxa"/>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024B9AC8" w14:textId="0F9EF6DD" w:rsidR="009F1D12" w:rsidRDefault="009F1D12" w:rsidP="00D71D83">
            <w:r>
              <w:rPr>
                <w:b/>
              </w:rPr>
              <w:t xml:space="preserve"> Cost-effective methods to assess and value ecosystem services, from sustainable agriculture </w:t>
            </w:r>
          </w:p>
          <w:p w14:paraId="297D99A3" w14:textId="77777777" w:rsidR="009F1D12" w:rsidRPr="00915915" w:rsidRDefault="009F1D12" w:rsidP="008870BC">
            <w:pPr>
              <w:pStyle w:val="ListParagraph"/>
              <w:numPr>
                <w:ilvl w:val="0"/>
                <w:numId w:val="21"/>
              </w:numPr>
            </w:pPr>
            <w:r>
              <w:t>TEEB for Food and Agriculture</w:t>
            </w:r>
          </w:p>
          <w:p w14:paraId="527BD7C9" w14:textId="74139D0C" w:rsidR="009F1D12" w:rsidRPr="00056398" w:rsidRDefault="009F1D12" w:rsidP="008870BC">
            <w:pPr>
              <w:pStyle w:val="ListParagraph"/>
              <w:numPr>
                <w:ilvl w:val="0"/>
                <w:numId w:val="21"/>
              </w:numPr>
            </w:pPr>
            <w:r>
              <w:t xml:space="preserve">Kenya BGI Ridge to Reef: Status of river basin and coastal ES </w:t>
            </w:r>
          </w:p>
          <w:p w14:paraId="74121521" w14:textId="633F254D" w:rsidR="009F1D12" w:rsidRDefault="009F1D12" w:rsidP="008870BC">
            <w:pPr>
              <w:pStyle w:val="ListParagraph"/>
              <w:numPr>
                <w:ilvl w:val="0"/>
                <w:numId w:val="21"/>
              </w:numPr>
            </w:pPr>
            <w:r>
              <w:t>ASAL Water Towers, Kenya: ES assessment methodologies and early findings</w:t>
            </w:r>
          </w:p>
          <w:p w14:paraId="5CD7EC34" w14:textId="50C9DD74" w:rsidR="009F1D12" w:rsidRDefault="009F1D12" w:rsidP="00915915">
            <w:pPr>
              <w:pStyle w:val="ListParagraph"/>
              <w:numPr>
                <w:ilvl w:val="0"/>
                <w:numId w:val="21"/>
              </w:numPr>
            </w:pPr>
            <w:r w:rsidRPr="00915915">
              <w:rPr>
                <w:bCs/>
              </w:rPr>
              <w:t>Discussion</w:t>
            </w:r>
            <w:r>
              <w:rPr>
                <w:bCs/>
              </w:rPr>
              <w:t>: other examples of cost-effective methods, advice to the future development of FAO MAW ESB</w:t>
            </w:r>
          </w:p>
        </w:tc>
        <w:tc>
          <w:tcPr>
            <w:tcW w:w="2094" w:type="dxa"/>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55854E51" w14:textId="0E0A56A8" w:rsidR="009F1D12" w:rsidRDefault="009F1D12" w:rsidP="009F1D12">
            <w:r>
              <w:t>FAO HQ (MAW-ESB)</w:t>
            </w:r>
          </w:p>
          <w:p w14:paraId="2D5CBFE6" w14:textId="6F56890E" w:rsidR="009F1D12" w:rsidRDefault="009F1D12" w:rsidP="00D71D83"/>
          <w:p w14:paraId="5A3A9ED0" w14:textId="77777777" w:rsidR="009F1D12" w:rsidRDefault="009F1D12" w:rsidP="008870BC">
            <w:r>
              <w:t>TEEB-Alex Muller</w:t>
            </w:r>
          </w:p>
          <w:p w14:paraId="15EB7D9D" w14:textId="77777777" w:rsidR="009F1D12" w:rsidRDefault="009F1D12" w:rsidP="008870BC">
            <w:r>
              <w:t xml:space="preserve">UNEP </w:t>
            </w:r>
          </w:p>
          <w:p w14:paraId="063EA0AB" w14:textId="77777777" w:rsidR="009F1D12" w:rsidRDefault="009F1D12" w:rsidP="008870BC">
            <w:r>
              <w:t xml:space="preserve">FAO Kenya </w:t>
            </w:r>
          </w:p>
          <w:p w14:paraId="628D77A8" w14:textId="7F259AFE" w:rsidR="009F1D12" w:rsidRDefault="009F1D12" w:rsidP="009F1D12"/>
        </w:tc>
      </w:tr>
      <w:tr w:rsidR="008870BC" w14:paraId="4643619B" w14:textId="77777777" w:rsidTr="009F1D12">
        <w:tc>
          <w:tcPr>
            <w:tcW w:w="1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C36DEA" w14:textId="1A555A7C" w:rsidR="008870BC" w:rsidRDefault="008870BC" w:rsidP="008870BC">
            <w:r>
              <w:t>10.30-11.00</w:t>
            </w:r>
          </w:p>
        </w:tc>
        <w:tc>
          <w:tcPr>
            <w:tcW w:w="781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5C8ABE" w14:textId="6DE867B3" w:rsidR="008870BC" w:rsidRDefault="008E78A9" w:rsidP="008870BC">
            <w:r>
              <w:t>Break</w:t>
            </w:r>
          </w:p>
        </w:tc>
      </w:tr>
      <w:tr w:rsidR="008870BC" w14:paraId="3C136C4B" w14:textId="77777777" w:rsidTr="009F1D12">
        <w:tc>
          <w:tcPr>
            <w:tcW w:w="1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045532" w14:textId="16FF6285" w:rsidR="008870BC" w:rsidRDefault="008870BC" w:rsidP="008E78A9">
            <w:r>
              <w:t>11.00-12.</w:t>
            </w:r>
            <w:r w:rsidR="008E78A9">
              <w:t>30</w:t>
            </w:r>
          </w:p>
        </w:tc>
        <w:tc>
          <w:tcPr>
            <w:tcW w:w="57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45297F" w14:textId="65D4D119" w:rsidR="008870BC" w:rsidRPr="0026480F" w:rsidRDefault="008870BC" w:rsidP="008870C6">
            <w:pPr>
              <w:rPr>
                <w:b/>
              </w:rPr>
            </w:pPr>
            <w:r>
              <w:rPr>
                <w:b/>
              </w:rPr>
              <w:t xml:space="preserve">Barriers to adoption of sustainable agricultural practices </w:t>
            </w:r>
            <w:r w:rsidR="008870C6">
              <w:rPr>
                <w:b/>
              </w:rPr>
              <w:t xml:space="preserve">for </w:t>
            </w:r>
            <w:r>
              <w:rPr>
                <w:b/>
              </w:rPr>
              <w:t>biodiversity: What incentives are needed?</w:t>
            </w:r>
          </w:p>
        </w:tc>
        <w:tc>
          <w:tcPr>
            <w:tcW w:w="20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55A7CE" w14:textId="4D4D88BE" w:rsidR="008870BC" w:rsidRDefault="008870BC" w:rsidP="008870BC"/>
        </w:tc>
      </w:tr>
      <w:tr w:rsidR="008870BC" w:rsidRPr="00915915" w14:paraId="77A4095E" w14:textId="77777777" w:rsidTr="009F1D12">
        <w:trPr>
          <w:trHeight w:val="1378"/>
        </w:trPr>
        <w:tc>
          <w:tcPr>
            <w:tcW w:w="1674" w:type="dxa"/>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502E46A5" w14:textId="39860E68" w:rsidR="008870BC" w:rsidRDefault="008870BC" w:rsidP="008870BC"/>
        </w:tc>
        <w:tc>
          <w:tcPr>
            <w:tcW w:w="5725" w:type="dxa"/>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0A9358BB" w14:textId="77777777" w:rsidR="008870BC" w:rsidRPr="00F361DB" w:rsidRDefault="008870BC" w:rsidP="00CC4071">
            <w:pPr>
              <w:pStyle w:val="ListParagraph"/>
              <w:numPr>
                <w:ilvl w:val="0"/>
                <w:numId w:val="21"/>
              </w:numPr>
            </w:pPr>
            <w:r w:rsidRPr="008870BC">
              <w:rPr>
                <w:i/>
              </w:rPr>
              <w:t>Case study</w:t>
            </w:r>
            <w:r>
              <w:t>: Supporting Globally Important Agricultural Heritage Systems (GIAHS) in Engaresero Maasai Pastoralist Heritage Area, Tanzania</w:t>
            </w:r>
          </w:p>
          <w:p w14:paraId="53F70470" w14:textId="77777777" w:rsidR="00CC4071" w:rsidRPr="00F361DB" w:rsidRDefault="00CC4071" w:rsidP="00CC4071">
            <w:pPr>
              <w:pStyle w:val="ListParagraph"/>
              <w:numPr>
                <w:ilvl w:val="0"/>
                <w:numId w:val="21"/>
              </w:numPr>
            </w:pPr>
            <w:r w:rsidRPr="006751E5">
              <w:rPr>
                <w:i/>
              </w:rPr>
              <w:t>Case study</w:t>
            </w:r>
            <w:r>
              <w:t>: Supporting restoration and sustainably enhancing the productivity of landscapes in Rulindo district, Rwanda</w:t>
            </w:r>
          </w:p>
          <w:p w14:paraId="1A591A22" w14:textId="75F1B992" w:rsidR="006751E5" w:rsidRPr="00056398" w:rsidRDefault="006751E5" w:rsidP="00915915">
            <w:pPr>
              <w:pStyle w:val="ListParagraph"/>
              <w:numPr>
                <w:ilvl w:val="0"/>
                <w:numId w:val="21"/>
              </w:numPr>
            </w:pPr>
            <w:r>
              <w:t>Discussion</w:t>
            </w:r>
            <w:r w:rsidR="008870C6">
              <w:t xml:space="preserve">: </w:t>
            </w:r>
            <w:r w:rsidR="008870C6" w:rsidRPr="00915915">
              <w:rPr>
                <w:bCs/>
              </w:rPr>
              <w:t>Barriers to adoption of sustainable agricultural practices for biodiversity: What incentives are needed?</w:t>
            </w:r>
          </w:p>
        </w:tc>
        <w:tc>
          <w:tcPr>
            <w:tcW w:w="2094" w:type="dxa"/>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00222264" w14:textId="679BF336" w:rsidR="008870BC" w:rsidRPr="00915915" w:rsidRDefault="008870BC" w:rsidP="008870BC">
            <w:pPr>
              <w:rPr>
                <w:lang w:val="en-GB"/>
              </w:rPr>
            </w:pPr>
          </w:p>
          <w:p w14:paraId="34691384" w14:textId="77777777" w:rsidR="00680C31" w:rsidRDefault="00C11BD2" w:rsidP="00680C31">
            <w:r>
              <w:rPr>
                <w:lang w:val="it-IT"/>
              </w:rPr>
              <w:t>tbc</w:t>
            </w:r>
            <w:r w:rsidR="00680C31">
              <w:t xml:space="preserve"> </w:t>
            </w:r>
          </w:p>
          <w:p w14:paraId="53ED1200" w14:textId="3E1E716A" w:rsidR="00680C31" w:rsidRDefault="00680C31" w:rsidP="00680C31">
            <w:r>
              <w:t xml:space="preserve">WWF Kenya </w:t>
            </w:r>
          </w:p>
          <w:p w14:paraId="674C5D4C" w14:textId="388E1831" w:rsidR="00C11BD2" w:rsidRPr="001515F4" w:rsidRDefault="00C11BD2" w:rsidP="008870BC">
            <w:pPr>
              <w:rPr>
                <w:lang w:val="it-IT"/>
              </w:rPr>
            </w:pPr>
          </w:p>
        </w:tc>
      </w:tr>
      <w:tr w:rsidR="008870BC" w14:paraId="501325AC" w14:textId="77777777" w:rsidTr="009F1D12">
        <w:tc>
          <w:tcPr>
            <w:tcW w:w="1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70FCB3" w14:textId="332D7D8E" w:rsidR="008870BC" w:rsidRDefault="006751E5" w:rsidP="008E78A9">
            <w:r>
              <w:t>12.</w:t>
            </w:r>
            <w:r w:rsidR="008E78A9">
              <w:t>30</w:t>
            </w:r>
            <w:r w:rsidR="008870BC">
              <w:t>- 13.30</w:t>
            </w:r>
          </w:p>
        </w:tc>
        <w:tc>
          <w:tcPr>
            <w:tcW w:w="781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9B18CC" w14:textId="77777777" w:rsidR="008870BC" w:rsidRDefault="008870BC" w:rsidP="008870BC">
            <w:r>
              <w:t>Lunch</w:t>
            </w:r>
          </w:p>
        </w:tc>
      </w:tr>
      <w:tr w:rsidR="008870BC" w14:paraId="0BBEC693" w14:textId="77777777" w:rsidTr="009F1D12">
        <w:tc>
          <w:tcPr>
            <w:tcW w:w="1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990FFA" w14:textId="2B83EA57" w:rsidR="008870BC" w:rsidRDefault="008870BC" w:rsidP="008E78A9">
            <w:r>
              <w:t xml:space="preserve">13.30- </w:t>
            </w:r>
            <w:r w:rsidR="008E78A9">
              <w:t>14.30</w:t>
            </w:r>
          </w:p>
        </w:tc>
        <w:tc>
          <w:tcPr>
            <w:tcW w:w="57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06B127" w14:textId="4895CA36" w:rsidR="008870BC" w:rsidRPr="0026480F" w:rsidRDefault="006751E5" w:rsidP="008870BC">
            <w:pPr>
              <w:rPr>
                <w:b/>
              </w:rPr>
            </w:pPr>
            <w:r>
              <w:rPr>
                <w:b/>
              </w:rPr>
              <w:t>Sources of incentives – Financing integrated landscape management through IES packages</w:t>
            </w:r>
          </w:p>
        </w:tc>
        <w:tc>
          <w:tcPr>
            <w:tcW w:w="20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C6FC03" w14:textId="3C42DBC0" w:rsidR="008870BC" w:rsidRPr="00F645A2" w:rsidRDefault="008870BC" w:rsidP="008870BC">
            <w:r>
              <w:t>FAO HQ</w:t>
            </w:r>
          </w:p>
        </w:tc>
      </w:tr>
      <w:tr w:rsidR="006751E5" w14:paraId="6FD016B5" w14:textId="77777777" w:rsidTr="009F1D12">
        <w:tc>
          <w:tcPr>
            <w:tcW w:w="1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19B255" w14:textId="77777777" w:rsidR="006751E5" w:rsidRDefault="006751E5" w:rsidP="008870BC"/>
        </w:tc>
        <w:tc>
          <w:tcPr>
            <w:tcW w:w="57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772EB8" w14:textId="77777777" w:rsidR="00680C31" w:rsidRDefault="00680C31" w:rsidP="00680C31">
            <w:pPr>
              <w:pStyle w:val="ListParagraph"/>
              <w:numPr>
                <w:ilvl w:val="0"/>
                <w:numId w:val="22"/>
              </w:numPr>
            </w:pPr>
            <w:r w:rsidRPr="009C5B2D">
              <w:rPr>
                <w:i/>
              </w:rPr>
              <w:t>Case study</w:t>
            </w:r>
            <w:r>
              <w:t>: Key policies to facilitate coordinated public and private investment in the Tana Basin, Kenya</w:t>
            </w:r>
          </w:p>
          <w:p w14:paraId="27D96B1B" w14:textId="77777777" w:rsidR="00E31641" w:rsidRDefault="00E31641" w:rsidP="00E31641">
            <w:pPr>
              <w:pStyle w:val="ListParagraph"/>
              <w:numPr>
                <w:ilvl w:val="0"/>
                <w:numId w:val="22"/>
              </w:numPr>
            </w:pPr>
            <w:r w:rsidRPr="009C5B2D">
              <w:rPr>
                <w:i/>
              </w:rPr>
              <w:t>Case study</w:t>
            </w:r>
            <w:r>
              <w:t xml:space="preserve">: Regulatory mechanisms to integrate private sector investment in </w:t>
            </w:r>
            <w:r w:rsidRPr="009C5B2D">
              <w:rPr>
                <w:i/>
              </w:rPr>
              <w:t>miombe</w:t>
            </w:r>
            <w:r>
              <w:t xml:space="preserve"> forest conservation, Mozambique</w:t>
            </w:r>
          </w:p>
          <w:p w14:paraId="18DB649C" w14:textId="3AAAB50E" w:rsidR="006751E5" w:rsidRPr="00915915" w:rsidRDefault="006751E5" w:rsidP="00915915">
            <w:pPr>
              <w:pStyle w:val="ListParagraph"/>
              <w:numPr>
                <w:ilvl w:val="0"/>
                <w:numId w:val="24"/>
              </w:numPr>
              <w:rPr>
                <w:b/>
                <w:iCs/>
              </w:rPr>
            </w:pPr>
            <w:r w:rsidRPr="00915915">
              <w:rPr>
                <w:iCs/>
              </w:rPr>
              <w:t>Discussion</w:t>
            </w:r>
            <w:r w:rsidR="00915915">
              <w:rPr>
                <w:iCs/>
              </w:rPr>
              <w:t>:</w:t>
            </w:r>
            <w:r w:rsidR="00915915">
              <w:rPr>
                <w:b/>
              </w:rPr>
              <w:t xml:space="preserve"> </w:t>
            </w:r>
            <w:r w:rsidR="00915915" w:rsidRPr="00915915">
              <w:rPr>
                <w:bCs/>
              </w:rPr>
              <w:t>Financing integrated landscape management through IES packages</w:t>
            </w:r>
          </w:p>
        </w:tc>
        <w:tc>
          <w:tcPr>
            <w:tcW w:w="20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06134C" w14:textId="77777777" w:rsidR="00E31641" w:rsidRDefault="00E31641" w:rsidP="008870BC">
            <w:r>
              <w:t>TNC</w:t>
            </w:r>
          </w:p>
          <w:p w14:paraId="33AF86B8" w14:textId="510B456E" w:rsidR="008E78A9" w:rsidRDefault="00680C31" w:rsidP="008870BC">
            <w:r>
              <w:t>FAO Mozambique</w:t>
            </w:r>
          </w:p>
        </w:tc>
      </w:tr>
      <w:tr w:rsidR="00704111" w14:paraId="70A99752" w14:textId="77777777" w:rsidTr="009F1D12">
        <w:tc>
          <w:tcPr>
            <w:tcW w:w="1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AB193D" w14:textId="761F07AC" w:rsidR="00704111" w:rsidRDefault="00704111" w:rsidP="006751E5">
            <w:r>
              <w:t>14.30-15.00</w:t>
            </w:r>
          </w:p>
        </w:tc>
        <w:tc>
          <w:tcPr>
            <w:tcW w:w="781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282895" w14:textId="048918A2" w:rsidR="00704111" w:rsidRDefault="00704111" w:rsidP="006751E5">
            <w:r w:rsidRPr="008E78A9">
              <w:rPr>
                <w:bCs/>
              </w:rPr>
              <w:t>Break</w:t>
            </w:r>
          </w:p>
        </w:tc>
      </w:tr>
      <w:tr w:rsidR="008E78A9" w:rsidRPr="00915915" w14:paraId="3566FA24" w14:textId="77777777" w:rsidTr="00915915">
        <w:tc>
          <w:tcPr>
            <w:tcW w:w="1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themeFill="accent4" w:themeFillTint="33"/>
          </w:tcPr>
          <w:p w14:paraId="351F11A9" w14:textId="4BC2EACB" w:rsidR="008E78A9" w:rsidRDefault="008E78A9" w:rsidP="00915915">
            <w:r>
              <w:t>15.00-16.</w:t>
            </w:r>
            <w:r w:rsidR="00915915">
              <w:t>3</w:t>
            </w:r>
            <w:r>
              <w:t>0</w:t>
            </w:r>
          </w:p>
        </w:tc>
        <w:tc>
          <w:tcPr>
            <w:tcW w:w="5725"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2CC" w:themeFill="accent4" w:themeFillTint="33"/>
          </w:tcPr>
          <w:p w14:paraId="58B9CA87" w14:textId="1B66EA4F" w:rsidR="008E78A9" w:rsidRDefault="00510421" w:rsidP="005E1123">
            <w:pPr>
              <w:rPr>
                <w:b/>
              </w:rPr>
            </w:pPr>
            <w:r>
              <w:rPr>
                <w:b/>
              </w:rPr>
              <w:t xml:space="preserve">Investment in </w:t>
            </w:r>
            <w:r w:rsidR="005E1123">
              <w:rPr>
                <w:b/>
              </w:rPr>
              <w:t xml:space="preserve">Sustainable Agriculture and Bioversity Conservation: </w:t>
            </w:r>
            <w:r w:rsidR="00E31641">
              <w:rPr>
                <w:b/>
              </w:rPr>
              <w:t>Recommendations</w:t>
            </w:r>
          </w:p>
          <w:p w14:paraId="6A9B8D95" w14:textId="37765E7E" w:rsidR="008E78A9" w:rsidRPr="00F645A2" w:rsidRDefault="008E78A9" w:rsidP="005E1123">
            <w:pPr>
              <w:pStyle w:val="ListParagraph"/>
              <w:numPr>
                <w:ilvl w:val="0"/>
                <w:numId w:val="23"/>
              </w:numPr>
            </w:pPr>
            <w:r>
              <w:t>Developing private investment</w:t>
            </w:r>
            <w:r w:rsidR="005E1123">
              <w:t xml:space="preserve"> opportunities</w:t>
            </w:r>
          </w:p>
          <w:p w14:paraId="553255CD" w14:textId="77777777" w:rsidR="00713F3A" w:rsidRDefault="00E31641" w:rsidP="002A4257">
            <w:pPr>
              <w:pStyle w:val="ListParagraph"/>
              <w:numPr>
                <w:ilvl w:val="0"/>
                <w:numId w:val="23"/>
              </w:numPr>
            </w:pPr>
            <w:r w:rsidRPr="00E31641">
              <w:t>Access and benefit sharing regulation: What implications f</w:t>
            </w:r>
            <w:r>
              <w:t>or agri-environmental measures?</w:t>
            </w:r>
          </w:p>
          <w:p w14:paraId="03F55764" w14:textId="4EB01C16" w:rsidR="002A4257" w:rsidRPr="00F361DB" w:rsidRDefault="002A4257" w:rsidP="002A4257">
            <w:pPr>
              <w:pStyle w:val="ListParagraph"/>
              <w:ind w:left="360"/>
            </w:pPr>
          </w:p>
        </w:tc>
        <w:tc>
          <w:tcPr>
            <w:tcW w:w="20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themeFill="accent4" w:themeFillTint="33"/>
          </w:tcPr>
          <w:p w14:paraId="76264661" w14:textId="7D1B689A" w:rsidR="00931145" w:rsidRPr="00915915" w:rsidRDefault="00C9429A" w:rsidP="008E78A9">
            <w:pPr>
              <w:rPr>
                <w:lang w:val="it-IT"/>
              </w:rPr>
            </w:pPr>
            <w:r>
              <w:rPr>
                <w:lang w:val="it-IT"/>
              </w:rPr>
              <w:t>TNC</w:t>
            </w:r>
          </w:p>
        </w:tc>
      </w:tr>
      <w:tr w:rsidR="008E78A9" w14:paraId="7AE16B97" w14:textId="77777777" w:rsidTr="009F1D12">
        <w:tc>
          <w:tcPr>
            <w:tcW w:w="1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6CD90B" w14:textId="5F387369" w:rsidR="008E78A9" w:rsidRDefault="008E78A9" w:rsidP="00915915">
            <w:r>
              <w:t>16.</w:t>
            </w:r>
            <w:r w:rsidR="00915915">
              <w:t>3</w:t>
            </w:r>
            <w:r>
              <w:t>0- 17.00</w:t>
            </w:r>
          </w:p>
        </w:tc>
        <w:tc>
          <w:tcPr>
            <w:tcW w:w="57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CF4806" w14:textId="0BB9AAA7" w:rsidR="008E78A9" w:rsidRPr="00F361DB" w:rsidRDefault="008E78A9" w:rsidP="006B09B2">
            <w:r>
              <w:rPr>
                <w:b/>
              </w:rPr>
              <w:t xml:space="preserve">Summary </w:t>
            </w:r>
            <w:r>
              <w:t xml:space="preserve">of findings </w:t>
            </w:r>
          </w:p>
        </w:tc>
        <w:tc>
          <w:tcPr>
            <w:tcW w:w="20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0ADD87" w14:textId="6E931737" w:rsidR="008E78A9" w:rsidRDefault="008E78A9" w:rsidP="008E78A9">
            <w:r>
              <w:t>FAO Kenya</w:t>
            </w:r>
          </w:p>
        </w:tc>
      </w:tr>
    </w:tbl>
    <w:p w14:paraId="34E9811C" w14:textId="77777777" w:rsidR="00C03712" w:rsidRDefault="00C03712" w:rsidP="00C03712"/>
    <w:sectPr w:rsidR="00C03712" w:rsidSect="00E3662D">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ACCA9" w14:textId="77777777" w:rsidR="007A3F52" w:rsidRDefault="007A3F52" w:rsidP="00512B65">
      <w:pPr>
        <w:spacing w:after="0" w:line="240" w:lineRule="auto"/>
      </w:pPr>
      <w:r>
        <w:separator/>
      </w:r>
    </w:p>
  </w:endnote>
  <w:endnote w:type="continuationSeparator" w:id="0">
    <w:p w14:paraId="40A0578B" w14:textId="77777777" w:rsidR="007A3F52" w:rsidRDefault="007A3F52" w:rsidP="00512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156A9" w14:textId="77777777" w:rsidR="007A3F52" w:rsidRDefault="007A3F52" w:rsidP="00512B65">
      <w:pPr>
        <w:spacing w:after="0" w:line="240" w:lineRule="auto"/>
      </w:pPr>
      <w:r>
        <w:separator/>
      </w:r>
    </w:p>
  </w:footnote>
  <w:footnote w:type="continuationSeparator" w:id="0">
    <w:p w14:paraId="06B01FAD" w14:textId="77777777" w:rsidR="007A3F52" w:rsidRDefault="007A3F52" w:rsidP="00512B65">
      <w:pPr>
        <w:spacing w:after="0" w:line="240" w:lineRule="auto"/>
      </w:pPr>
      <w:r>
        <w:continuationSeparator/>
      </w:r>
    </w:p>
  </w:footnote>
  <w:footnote w:id="1">
    <w:p w14:paraId="4D2CA6D0" w14:textId="614D0299" w:rsidR="00507F22" w:rsidRPr="00507F22" w:rsidRDefault="00507F22" w:rsidP="00507F22">
      <w:pPr>
        <w:spacing w:after="0" w:line="240" w:lineRule="auto"/>
        <w:jc w:val="both"/>
        <w:rPr>
          <w:color w:val="FF0000"/>
          <w:sz w:val="18"/>
          <w:szCs w:val="18"/>
        </w:rPr>
      </w:pPr>
      <w:r w:rsidRPr="00507F22">
        <w:rPr>
          <w:rStyle w:val="FootnoteReference"/>
          <w:sz w:val="18"/>
          <w:szCs w:val="18"/>
        </w:rPr>
        <w:footnoteRef/>
      </w:r>
      <w:r w:rsidRPr="00507F22">
        <w:rPr>
          <w:rFonts w:eastAsia="Times New Roman" w:cs="Times New Roman"/>
          <w:bCs/>
          <w:sz w:val="18"/>
          <w:szCs w:val="18"/>
        </w:rPr>
        <w:t xml:space="preserve"> www.fao.org/ecosystem-services-biodiversity/incentives/en/</w:t>
      </w:r>
    </w:p>
  </w:footnote>
  <w:footnote w:id="2">
    <w:p w14:paraId="5A51B591" w14:textId="7DC6F7E1" w:rsidR="00811F01" w:rsidRPr="00EC361F" w:rsidRDefault="00811F01" w:rsidP="00811F01">
      <w:pPr>
        <w:pStyle w:val="FootnoteText"/>
        <w:rPr>
          <w:rFonts w:eastAsiaTheme="minorEastAsia"/>
          <w:lang w:eastAsia="zh-CN"/>
        </w:rPr>
      </w:pPr>
      <w:r w:rsidRPr="00EC361F">
        <w:rPr>
          <w:rStyle w:val="FootnoteReference"/>
          <w:rFonts w:asciiTheme="minorHAnsi" w:hAnsiTheme="minorHAnsi"/>
          <w:sz w:val="18"/>
          <w:szCs w:val="18"/>
        </w:rPr>
        <w:footnoteRef/>
      </w:r>
      <w:r w:rsidRPr="00EC361F">
        <w:rPr>
          <w:rFonts w:asciiTheme="minorHAnsi" w:hAnsiTheme="minorHAnsi"/>
          <w:sz w:val="18"/>
          <w:szCs w:val="18"/>
        </w:rPr>
        <w:t xml:space="preserve"> www.afsac2.aaknet.org/index.php/conf-outcomes/nairobi-action-agenda</w:t>
      </w:r>
    </w:p>
  </w:footnote>
  <w:footnote w:id="3">
    <w:p w14:paraId="0D7170C1" w14:textId="55207171" w:rsidR="00597B23" w:rsidRPr="00095A53" w:rsidRDefault="00597B23" w:rsidP="00597B23">
      <w:pPr>
        <w:pStyle w:val="FootnoteText"/>
        <w:rPr>
          <w:rFonts w:eastAsiaTheme="minorEastAsia"/>
          <w:lang w:eastAsia="zh-CN"/>
        </w:rPr>
      </w:pPr>
      <w:r w:rsidRPr="00095A53">
        <w:rPr>
          <w:rStyle w:val="FootnoteReference"/>
          <w:rFonts w:asciiTheme="minorHAnsi" w:hAnsiTheme="minorHAnsi"/>
          <w:sz w:val="18"/>
          <w:szCs w:val="18"/>
        </w:rPr>
        <w:footnoteRef/>
      </w:r>
      <w:r w:rsidRPr="00095A53">
        <w:rPr>
          <w:rFonts w:asciiTheme="minorHAnsi" w:hAnsiTheme="minorHAnsi"/>
          <w:sz w:val="18"/>
          <w:szCs w:val="18"/>
        </w:rPr>
        <w:t xml:space="preserve"> www.cbd.int/nbsap/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4254B"/>
    <w:multiLevelType w:val="hybridMultilevel"/>
    <w:tmpl w:val="BE44E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D7D07"/>
    <w:multiLevelType w:val="hybridMultilevel"/>
    <w:tmpl w:val="A2C4D22C"/>
    <w:lvl w:ilvl="0" w:tplc="90A8FA7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335DBE"/>
    <w:multiLevelType w:val="hybridMultilevel"/>
    <w:tmpl w:val="F926A9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DD27B0A"/>
    <w:multiLevelType w:val="hybridMultilevel"/>
    <w:tmpl w:val="019612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7520AFC"/>
    <w:multiLevelType w:val="hybridMultilevel"/>
    <w:tmpl w:val="2146C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6A2303"/>
    <w:multiLevelType w:val="hybridMultilevel"/>
    <w:tmpl w:val="311680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AA7562B"/>
    <w:multiLevelType w:val="hybridMultilevel"/>
    <w:tmpl w:val="1F80D4B0"/>
    <w:lvl w:ilvl="0" w:tplc="B7FA9E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637C32"/>
    <w:multiLevelType w:val="hybridMultilevel"/>
    <w:tmpl w:val="98CA1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100347"/>
    <w:multiLevelType w:val="hybridMultilevel"/>
    <w:tmpl w:val="E1F87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C928E7"/>
    <w:multiLevelType w:val="hybridMultilevel"/>
    <w:tmpl w:val="912CDA14"/>
    <w:lvl w:ilvl="0" w:tplc="B7FA9E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7B6AFC"/>
    <w:multiLevelType w:val="hybridMultilevel"/>
    <w:tmpl w:val="0D7EF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07483E"/>
    <w:multiLevelType w:val="hybridMultilevel"/>
    <w:tmpl w:val="514AD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4F26D6"/>
    <w:multiLevelType w:val="hybridMultilevel"/>
    <w:tmpl w:val="2F5AD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E91779"/>
    <w:multiLevelType w:val="hybridMultilevel"/>
    <w:tmpl w:val="4DBCBE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F43044"/>
    <w:multiLevelType w:val="hybridMultilevel"/>
    <w:tmpl w:val="46F0DE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8B0F75"/>
    <w:multiLevelType w:val="hybridMultilevel"/>
    <w:tmpl w:val="492EDA70"/>
    <w:lvl w:ilvl="0" w:tplc="7E3427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6F1450"/>
    <w:multiLevelType w:val="hybridMultilevel"/>
    <w:tmpl w:val="E1F87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F10C0C"/>
    <w:multiLevelType w:val="hybridMultilevel"/>
    <w:tmpl w:val="46F0DE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513D94"/>
    <w:multiLevelType w:val="hybridMultilevel"/>
    <w:tmpl w:val="3DDA3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637AA3"/>
    <w:multiLevelType w:val="hybridMultilevel"/>
    <w:tmpl w:val="9AA06194"/>
    <w:lvl w:ilvl="0" w:tplc="BE2E5B72">
      <w:start w:val="10"/>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9539B5"/>
    <w:multiLevelType w:val="hybridMultilevel"/>
    <w:tmpl w:val="8EA01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72C2D7F"/>
    <w:multiLevelType w:val="hybridMultilevel"/>
    <w:tmpl w:val="1F80D4B0"/>
    <w:lvl w:ilvl="0" w:tplc="B7FA9E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0D4E56"/>
    <w:multiLevelType w:val="hybridMultilevel"/>
    <w:tmpl w:val="912CDA14"/>
    <w:lvl w:ilvl="0" w:tplc="B7FA9E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5E1D6A"/>
    <w:multiLevelType w:val="hybridMultilevel"/>
    <w:tmpl w:val="2146C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8"/>
  </w:num>
  <w:num w:numId="3">
    <w:abstractNumId w:val="15"/>
  </w:num>
  <w:num w:numId="4">
    <w:abstractNumId w:val="7"/>
  </w:num>
  <w:num w:numId="5">
    <w:abstractNumId w:val="16"/>
  </w:num>
  <w:num w:numId="6">
    <w:abstractNumId w:val="23"/>
  </w:num>
  <w:num w:numId="7">
    <w:abstractNumId w:val="9"/>
  </w:num>
  <w:num w:numId="8">
    <w:abstractNumId w:val="21"/>
  </w:num>
  <w:num w:numId="9">
    <w:abstractNumId w:val="6"/>
  </w:num>
  <w:num w:numId="10">
    <w:abstractNumId w:val="22"/>
  </w:num>
  <w:num w:numId="11">
    <w:abstractNumId w:val="4"/>
  </w:num>
  <w:num w:numId="12">
    <w:abstractNumId w:val="12"/>
  </w:num>
  <w:num w:numId="13">
    <w:abstractNumId w:val="0"/>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
  </w:num>
  <w:num w:numId="17">
    <w:abstractNumId w:val="14"/>
  </w:num>
  <w:num w:numId="18">
    <w:abstractNumId w:val="5"/>
  </w:num>
  <w:num w:numId="19">
    <w:abstractNumId w:val="3"/>
  </w:num>
  <w:num w:numId="20">
    <w:abstractNumId w:val="17"/>
  </w:num>
  <w:num w:numId="21">
    <w:abstractNumId w:val="11"/>
  </w:num>
  <w:num w:numId="22">
    <w:abstractNumId w:val="2"/>
  </w:num>
  <w:num w:numId="23">
    <w:abstractNumId w:val="2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B65"/>
    <w:rsid w:val="00011590"/>
    <w:rsid w:val="00056398"/>
    <w:rsid w:val="00060B0F"/>
    <w:rsid w:val="0009409A"/>
    <w:rsid w:val="00095A53"/>
    <w:rsid w:val="000A171B"/>
    <w:rsid w:val="000B5392"/>
    <w:rsid w:val="00103D3F"/>
    <w:rsid w:val="00130D63"/>
    <w:rsid w:val="001515F4"/>
    <w:rsid w:val="0015300E"/>
    <w:rsid w:val="0017382E"/>
    <w:rsid w:val="001E6788"/>
    <w:rsid w:val="001F1C0D"/>
    <w:rsid w:val="001F7688"/>
    <w:rsid w:val="00237571"/>
    <w:rsid w:val="0026480F"/>
    <w:rsid w:val="002A4257"/>
    <w:rsid w:val="002E0061"/>
    <w:rsid w:val="002E48AC"/>
    <w:rsid w:val="00317D16"/>
    <w:rsid w:val="00334A4A"/>
    <w:rsid w:val="003711F0"/>
    <w:rsid w:val="00372BCD"/>
    <w:rsid w:val="003A232E"/>
    <w:rsid w:val="003D3BF1"/>
    <w:rsid w:val="00400774"/>
    <w:rsid w:val="00405661"/>
    <w:rsid w:val="004529C1"/>
    <w:rsid w:val="004931EC"/>
    <w:rsid w:val="004B56D1"/>
    <w:rsid w:val="004D0281"/>
    <w:rsid w:val="00507F22"/>
    <w:rsid w:val="00510421"/>
    <w:rsid w:val="00512B65"/>
    <w:rsid w:val="00532B3E"/>
    <w:rsid w:val="00553743"/>
    <w:rsid w:val="0055554F"/>
    <w:rsid w:val="00597B23"/>
    <w:rsid w:val="005B0578"/>
    <w:rsid w:val="005B3A59"/>
    <w:rsid w:val="005B4F48"/>
    <w:rsid w:val="005D0E47"/>
    <w:rsid w:val="005D6342"/>
    <w:rsid w:val="005E1123"/>
    <w:rsid w:val="00621F1D"/>
    <w:rsid w:val="006349C3"/>
    <w:rsid w:val="00636D46"/>
    <w:rsid w:val="00650F9B"/>
    <w:rsid w:val="006751E5"/>
    <w:rsid w:val="00680C31"/>
    <w:rsid w:val="006B09B2"/>
    <w:rsid w:val="006C4D0F"/>
    <w:rsid w:val="006C6327"/>
    <w:rsid w:val="00704111"/>
    <w:rsid w:val="00713F3A"/>
    <w:rsid w:val="0076414F"/>
    <w:rsid w:val="00795711"/>
    <w:rsid w:val="007A3F52"/>
    <w:rsid w:val="007C23F1"/>
    <w:rsid w:val="007F3AED"/>
    <w:rsid w:val="00811F01"/>
    <w:rsid w:val="00840972"/>
    <w:rsid w:val="00865A21"/>
    <w:rsid w:val="0087643E"/>
    <w:rsid w:val="008870BC"/>
    <w:rsid w:val="008870C6"/>
    <w:rsid w:val="008A6002"/>
    <w:rsid w:val="008B136C"/>
    <w:rsid w:val="008D6938"/>
    <w:rsid w:val="008E78A9"/>
    <w:rsid w:val="008F5641"/>
    <w:rsid w:val="00915915"/>
    <w:rsid w:val="00931145"/>
    <w:rsid w:val="00986253"/>
    <w:rsid w:val="009B21F9"/>
    <w:rsid w:val="009B22BF"/>
    <w:rsid w:val="009C575C"/>
    <w:rsid w:val="009C5B2D"/>
    <w:rsid w:val="009F1D12"/>
    <w:rsid w:val="00A017CA"/>
    <w:rsid w:val="00A069FA"/>
    <w:rsid w:val="00A50FE0"/>
    <w:rsid w:val="00AC2B9A"/>
    <w:rsid w:val="00B035C6"/>
    <w:rsid w:val="00B16F2E"/>
    <w:rsid w:val="00B36FF8"/>
    <w:rsid w:val="00B7081E"/>
    <w:rsid w:val="00BD4FD1"/>
    <w:rsid w:val="00C03712"/>
    <w:rsid w:val="00C11BD2"/>
    <w:rsid w:val="00C3563C"/>
    <w:rsid w:val="00C9429A"/>
    <w:rsid w:val="00CB0671"/>
    <w:rsid w:val="00CC4071"/>
    <w:rsid w:val="00CC67FA"/>
    <w:rsid w:val="00CE28BE"/>
    <w:rsid w:val="00CE75A2"/>
    <w:rsid w:val="00CF4732"/>
    <w:rsid w:val="00CF5765"/>
    <w:rsid w:val="00CF76DB"/>
    <w:rsid w:val="00D2029D"/>
    <w:rsid w:val="00D52BB9"/>
    <w:rsid w:val="00D532CD"/>
    <w:rsid w:val="00D53A10"/>
    <w:rsid w:val="00D61008"/>
    <w:rsid w:val="00D657AC"/>
    <w:rsid w:val="00D71D83"/>
    <w:rsid w:val="00D71DDB"/>
    <w:rsid w:val="00DA2713"/>
    <w:rsid w:val="00DC5D13"/>
    <w:rsid w:val="00E2427B"/>
    <w:rsid w:val="00E31641"/>
    <w:rsid w:val="00E36246"/>
    <w:rsid w:val="00E3662D"/>
    <w:rsid w:val="00E56A20"/>
    <w:rsid w:val="00E93DE3"/>
    <w:rsid w:val="00EA6F7A"/>
    <w:rsid w:val="00EC184C"/>
    <w:rsid w:val="00EC361F"/>
    <w:rsid w:val="00EC731F"/>
    <w:rsid w:val="00ED0637"/>
    <w:rsid w:val="00EF09B1"/>
    <w:rsid w:val="00F238E7"/>
    <w:rsid w:val="00F361DB"/>
    <w:rsid w:val="00F645A2"/>
    <w:rsid w:val="00F74835"/>
    <w:rsid w:val="00F94D65"/>
    <w:rsid w:val="00FA766C"/>
    <w:rsid w:val="00FB6AA1"/>
    <w:rsid w:val="00FD39A9"/>
    <w:rsid w:val="00FD3F23"/>
    <w:rsid w:val="00FD4811"/>
    <w:rsid w:val="00FD4BF1"/>
    <w:rsid w:val="00FD6E6D"/>
    <w:rsid w:val="00FE03C5"/>
    <w:rsid w:val="00FF0B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63255"/>
  <w15:chartTrackingRefBased/>
  <w15:docId w15:val="{0B43DB99-0C2D-4EC4-92B2-0FEF4B341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BF1"/>
  </w:style>
  <w:style w:type="paragraph" w:styleId="Heading2">
    <w:name w:val="heading 2"/>
    <w:basedOn w:val="Normal"/>
    <w:next w:val="Normal"/>
    <w:link w:val="Heading2Char"/>
    <w:uiPriority w:val="9"/>
    <w:unhideWhenUsed/>
    <w:qFormat/>
    <w:rsid w:val="00C037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0371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2B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B6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12B65"/>
    <w:pPr>
      <w:ind w:left="720"/>
      <w:contextualSpacing/>
    </w:pPr>
    <w:rPr>
      <w:lang w:val="en-GB"/>
    </w:rPr>
  </w:style>
  <w:style w:type="character" w:styleId="Hyperlink">
    <w:name w:val="Hyperlink"/>
    <w:basedOn w:val="DefaultParagraphFont"/>
    <w:uiPriority w:val="99"/>
    <w:unhideWhenUsed/>
    <w:rsid w:val="00512B65"/>
    <w:rPr>
      <w:color w:val="0563C1" w:themeColor="hyperlink"/>
      <w:u w:val="single"/>
    </w:rPr>
  </w:style>
  <w:style w:type="paragraph" w:styleId="FootnoteText">
    <w:name w:val="footnote text"/>
    <w:basedOn w:val="Normal"/>
    <w:link w:val="FootnoteTextChar"/>
    <w:uiPriority w:val="99"/>
    <w:unhideWhenUsed/>
    <w:rsid w:val="00512B65"/>
    <w:pPr>
      <w:spacing w:after="0" w:line="240" w:lineRule="auto"/>
    </w:pPr>
    <w:rPr>
      <w:rFonts w:ascii="Times New Roman" w:eastAsiaTheme="minorHAnsi" w:hAnsi="Times New Roman"/>
      <w:sz w:val="24"/>
      <w:szCs w:val="24"/>
      <w:lang w:val="en-GB" w:eastAsia="en-US"/>
    </w:rPr>
  </w:style>
  <w:style w:type="character" w:customStyle="1" w:styleId="FootnoteTextChar">
    <w:name w:val="Footnote Text Char"/>
    <w:basedOn w:val="DefaultParagraphFont"/>
    <w:link w:val="FootnoteText"/>
    <w:uiPriority w:val="99"/>
    <w:rsid w:val="00512B65"/>
    <w:rPr>
      <w:rFonts w:ascii="Times New Roman" w:eastAsiaTheme="minorHAnsi" w:hAnsi="Times New Roman"/>
      <w:sz w:val="24"/>
      <w:szCs w:val="24"/>
      <w:lang w:val="en-GB" w:eastAsia="en-US"/>
    </w:rPr>
  </w:style>
  <w:style w:type="character" w:styleId="FootnoteReference">
    <w:name w:val="footnote reference"/>
    <w:basedOn w:val="DefaultParagraphFont"/>
    <w:uiPriority w:val="99"/>
    <w:unhideWhenUsed/>
    <w:rsid w:val="00512B65"/>
    <w:rPr>
      <w:vertAlign w:val="superscript"/>
    </w:rPr>
  </w:style>
  <w:style w:type="character" w:customStyle="1" w:styleId="Heading2Char">
    <w:name w:val="Heading 2 Char"/>
    <w:basedOn w:val="DefaultParagraphFont"/>
    <w:link w:val="Heading2"/>
    <w:uiPriority w:val="9"/>
    <w:rsid w:val="00C0371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03712"/>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C03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3DE3"/>
    <w:rPr>
      <w:sz w:val="16"/>
      <w:szCs w:val="16"/>
    </w:rPr>
  </w:style>
  <w:style w:type="paragraph" w:styleId="CommentText">
    <w:name w:val="annotation text"/>
    <w:basedOn w:val="Normal"/>
    <w:link w:val="CommentTextChar"/>
    <w:uiPriority w:val="99"/>
    <w:semiHidden/>
    <w:unhideWhenUsed/>
    <w:rsid w:val="00E93DE3"/>
    <w:pPr>
      <w:spacing w:line="240" w:lineRule="auto"/>
    </w:pPr>
    <w:rPr>
      <w:sz w:val="20"/>
      <w:szCs w:val="20"/>
    </w:rPr>
  </w:style>
  <w:style w:type="character" w:customStyle="1" w:styleId="CommentTextChar">
    <w:name w:val="Comment Text Char"/>
    <w:basedOn w:val="DefaultParagraphFont"/>
    <w:link w:val="CommentText"/>
    <w:uiPriority w:val="99"/>
    <w:semiHidden/>
    <w:rsid w:val="00E93DE3"/>
    <w:rPr>
      <w:sz w:val="20"/>
      <w:szCs w:val="20"/>
    </w:rPr>
  </w:style>
  <w:style w:type="paragraph" w:styleId="CommentSubject">
    <w:name w:val="annotation subject"/>
    <w:basedOn w:val="CommentText"/>
    <w:next w:val="CommentText"/>
    <w:link w:val="CommentSubjectChar"/>
    <w:uiPriority w:val="99"/>
    <w:semiHidden/>
    <w:unhideWhenUsed/>
    <w:rsid w:val="00E93DE3"/>
    <w:rPr>
      <w:b/>
      <w:bCs/>
    </w:rPr>
  </w:style>
  <w:style w:type="character" w:customStyle="1" w:styleId="CommentSubjectChar">
    <w:name w:val="Comment Subject Char"/>
    <w:basedOn w:val="CommentTextChar"/>
    <w:link w:val="CommentSubject"/>
    <w:uiPriority w:val="99"/>
    <w:semiHidden/>
    <w:rsid w:val="00E93DE3"/>
    <w:rPr>
      <w:b/>
      <w:bCs/>
      <w:sz w:val="20"/>
      <w:szCs w:val="20"/>
    </w:rPr>
  </w:style>
  <w:style w:type="paragraph" w:styleId="BalloonText">
    <w:name w:val="Balloon Text"/>
    <w:basedOn w:val="Normal"/>
    <w:link w:val="BalloonTextChar"/>
    <w:uiPriority w:val="99"/>
    <w:semiHidden/>
    <w:unhideWhenUsed/>
    <w:rsid w:val="00E93D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DE3"/>
    <w:rPr>
      <w:rFonts w:ascii="Segoe UI" w:hAnsi="Segoe UI" w:cs="Segoe UI"/>
      <w:sz w:val="18"/>
      <w:szCs w:val="18"/>
    </w:rPr>
  </w:style>
  <w:style w:type="paragraph" w:styleId="Header">
    <w:name w:val="header"/>
    <w:basedOn w:val="Normal"/>
    <w:link w:val="HeaderChar"/>
    <w:uiPriority w:val="99"/>
    <w:unhideWhenUsed/>
    <w:rsid w:val="00FD39A9"/>
    <w:pPr>
      <w:tabs>
        <w:tab w:val="center" w:pos="4819"/>
        <w:tab w:val="right" w:pos="9638"/>
      </w:tabs>
      <w:spacing w:after="0" w:line="240" w:lineRule="auto"/>
    </w:pPr>
  </w:style>
  <w:style w:type="character" w:customStyle="1" w:styleId="HeaderChar">
    <w:name w:val="Header Char"/>
    <w:basedOn w:val="DefaultParagraphFont"/>
    <w:link w:val="Header"/>
    <w:uiPriority w:val="99"/>
    <w:rsid w:val="00FD39A9"/>
  </w:style>
  <w:style w:type="paragraph" w:styleId="Footer">
    <w:name w:val="footer"/>
    <w:basedOn w:val="Normal"/>
    <w:link w:val="FooterChar"/>
    <w:uiPriority w:val="99"/>
    <w:unhideWhenUsed/>
    <w:rsid w:val="00FD39A9"/>
    <w:pPr>
      <w:tabs>
        <w:tab w:val="center" w:pos="4819"/>
        <w:tab w:val="right" w:pos="9638"/>
      </w:tabs>
      <w:spacing w:after="0" w:line="240" w:lineRule="auto"/>
    </w:pPr>
  </w:style>
  <w:style w:type="character" w:customStyle="1" w:styleId="FooterChar">
    <w:name w:val="Footer Char"/>
    <w:basedOn w:val="DefaultParagraphFont"/>
    <w:link w:val="Footer"/>
    <w:uiPriority w:val="99"/>
    <w:rsid w:val="00FD39A9"/>
  </w:style>
  <w:style w:type="character" w:customStyle="1" w:styleId="Normal1">
    <w:name w:val="Normal1"/>
    <w:basedOn w:val="DefaultParagraphFont"/>
    <w:rsid w:val="00FD39A9"/>
  </w:style>
  <w:style w:type="paragraph" w:styleId="Revision">
    <w:name w:val="Revision"/>
    <w:hidden/>
    <w:uiPriority w:val="99"/>
    <w:semiHidden/>
    <w:rsid w:val="00650F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71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www.fao.org/3/a-i4702e.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2C7E6-FF1F-4C4D-A880-8865158B6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1356</Words>
  <Characters>7731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9069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Lucy (NRL)</dc:creator>
  <cp:keywords/>
  <dc:description/>
  <cp:lastModifiedBy>Mancini, Francesca (AGPM)</cp:lastModifiedBy>
  <cp:revision>3</cp:revision>
  <cp:lastPrinted>2016-05-02T17:58:00Z</cp:lastPrinted>
  <dcterms:created xsi:type="dcterms:W3CDTF">2016-05-03T08:35:00Z</dcterms:created>
  <dcterms:modified xsi:type="dcterms:W3CDTF">2016-05-03T08:35:00Z</dcterms:modified>
</cp:coreProperties>
</file>