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69835" w14:textId="77777777" w:rsidR="006613E0" w:rsidRPr="00961561" w:rsidRDefault="006613E0" w:rsidP="001E56A4">
      <w:pPr>
        <w:rPr>
          <w:rFonts w:ascii="Arial" w:hAnsi="Arial" w:cs="Arial"/>
          <w:b/>
          <w:sz w:val="28"/>
          <w:szCs w:val="22"/>
        </w:rPr>
      </w:pPr>
    </w:p>
    <w:p w14:paraId="3EFA2F4D" w14:textId="47296162" w:rsidR="001A6206" w:rsidRPr="001E56A4" w:rsidRDefault="001A6206" w:rsidP="006613E0">
      <w:pPr>
        <w:jc w:val="center"/>
        <w:rPr>
          <w:rFonts w:ascii="Arial" w:hAnsi="Arial" w:cs="Arial"/>
          <w:b/>
          <w:bCs/>
          <w:sz w:val="28"/>
          <w:szCs w:val="22"/>
        </w:rPr>
      </w:pPr>
      <w:r w:rsidRPr="001E56A4">
        <w:rPr>
          <w:rFonts w:ascii="Arial" w:hAnsi="Arial" w:cs="Arial"/>
          <w:b/>
          <w:bCs/>
          <w:sz w:val="28"/>
          <w:szCs w:val="22"/>
        </w:rPr>
        <w:t>S</w:t>
      </w:r>
      <w:r w:rsidR="008602B5" w:rsidRPr="001E56A4">
        <w:rPr>
          <w:rFonts w:ascii="Arial" w:hAnsi="Arial" w:cs="Arial"/>
          <w:b/>
          <w:bCs/>
          <w:sz w:val="28"/>
          <w:szCs w:val="22"/>
        </w:rPr>
        <w:t xml:space="preserve">ession </w:t>
      </w:r>
      <w:r w:rsidR="00264C16">
        <w:rPr>
          <w:rFonts w:ascii="Arial" w:hAnsi="Arial" w:cs="Arial"/>
          <w:b/>
          <w:bCs/>
          <w:sz w:val="28"/>
          <w:szCs w:val="22"/>
        </w:rPr>
        <w:t>2</w:t>
      </w:r>
      <w:r w:rsidR="008602B5" w:rsidRPr="001E56A4">
        <w:rPr>
          <w:rFonts w:ascii="Arial" w:hAnsi="Arial" w:cs="Arial"/>
          <w:b/>
          <w:bCs/>
          <w:sz w:val="28"/>
          <w:szCs w:val="22"/>
        </w:rPr>
        <w:t xml:space="preserve">: </w:t>
      </w:r>
      <w:r w:rsidR="00264C16">
        <w:rPr>
          <w:rFonts w:ascii="Arial" w:hAnsi="Arial" w:cs="Arial"/>
          <w:b/>
          <w:bCs/>
          <w:sz w:val="28"/>
          <w:szCs w:val="22"/>
        </w:rPr>
        <w:t>Case studies on s</w:t>
      </w:r>
      <w:r w:rsidR="0082319B" w:rsidRPr="001E56A4">
        <w:rPr>
          <w:rFonts w:ascii="Arial" w:hAnsi="Arial" w:cs="Arial"/>
          <w:b/>
          <w:bCs/>
          <w:sz w:val="28"/>
          <w:szCs w:val="22"/>
        </w:rPr>
        <w:t xml:space="preserve">coring </w:t>
      </w:r>
      <w:r w:rsidR="00264C16">
        <w:rPr>
          <w:rFonts w:ascii="Arial" w:hAnsi="Arial" w:cs="Arial"/>
          <w:b/>
          <w:bCs/>
          <w:sz w:val="28"/>
          <w:szCs w:val="22"/>
        </w:rPr>
        <w:t>i</w:t>
      </w:r>
      <w:r w:rsidRPr="001E56A4">
        <w:rPr>
          <w:rFonts w:ascii="Arial" w:hAnsi="Arial" w:cs="Arial"/>
          <w:b/>
          <w:bCs/>
          <w:sz w:val="28"/>
          <w:szCs w:val="22"/>
        </w:rPr>
        <w:t>ndicators</w:t>
      </w:r>
      <w:r w:rsidR="006613E0" w:rsidRPr="001E56A4">
        <w:rPr>
          <w:rFonts w:ascii="Arial" w:hAnsi="Arial" w:cs="Arial"/>
          <w:b/>
          <w:bCs/>
          <w:sz w:val="28"/>
          <w:szCs w:val="22"/>
        </w:rPr>
        <w:t xml:space="preserve"> </w:t>
      </w:r>
    </w:p>
    <w:p w14:paraId="1EF5752A" w14:textId="77777777" w:rsidR="0067270E" w:rsidRPr="001E56A4" w:rsidRDefault="0067270E" w:rsidP="006613E0">
      <w:pPr>
        <w:rPr>
          <w:rFonts w:ascii="Arial" w:hAnsi="Arial" w:cs="Arial"/>
          <w:b/>
          <w:sz w:val="22"/>
          <w:szCs w:val="22"/>
          <w:u w:val="single"/>
        </w:rPr>
      </w:pPr>
    </w:p>
    <w:p w14:paraId="499C9E14" w14:textId="77777777" w:rsidR="0067270E" w:rsidRPr="001E56A4" w:rsidRDefault="0067270E" w:rsidP="006613E0">
      <w:pPr>
        <w:jc w:val="both"/>
        <w:rPr>
          <w:rFonts w:ascii="Arial" w:hAnsi="Arial" w:cs="Arial"/>
          <w:sz w:val="22"/>
          <w:szCs w:val="22"/>
        </w:rPr>
      </w:pPr>
    </w:p>
    <w:p w14:paraId="18694C98" w14:textId="77777777" w:rsidR="00751580" w:rsidRPr="001E56A4" w:rsidRDefault="00751580" w:rsidP="006613E0">
      <w:pPr>
        <w:rPr>
          <w:rFonts w:ascii="Arial" w:hAnsi="Arial" w:cs="Arial"/>
          <w:b/>
          <w:bCs/>
          <w:szCs w:val="22"/>
        </w:rPr>
      </w:pPr>
      <w:r w:rsidRPr="001E56A4">
        <w:rPr>
          <w:rFonts w:ascii="Arial" w:hAnsi="Arial" w:cs="Arial"/>
          <w:b/>
          <w:bCs/>
          <w:szCs w:val="22"/>
        </w:rPr>
        <w:t>Objective of th</w:t>
      </w:r>
      <w:r w:rsidR="00B6590C" w:rsidRPr="001E56A4">
        <w:rPr>
          <w:rFonts w:ascii="Arial" w:hAnsi="Arial" w:cs="Arial"/>
          <w:b/>
          <w:bCs/>
          <w:szCs w:val="22"/>
        </w:rPr>
        <w:t>e exercise</w:t>
      </w:r>
      <w:r w:rsidRPr="001E56A4">
        <w:rPr>
          <w:rFonts w:ascii="Arial" w:hAnsi="Arial" w:cs="Arial"/>
          <w:b/>
          <w:bCs/>
          <w:szCs w:val="22"/>
        </w:rPr>
        <w:t>:</w:t>
      </w:r>
    </w:p>
    <w:p w14:paraId="1AAC2934" w14:textId="77777777" w:rsidR="006613E0" w:rsidRPr="001E56A4" w:rsidRDefault="006613E0" w:rsidP="006613E0">
      <w:pPr>
        <w:rPr>
          <w:rFonts w:ascii="Arial" w:hAnsi="Arial" w:cs="Arial"/>
          <w:b/>
          <w:bCs/>
          <w:sz w:val="22"/>
          <w:szCs w:val="22"/>
        </w:rPr>
      </w:pPr>
    </w:p>
    <w:p w14:paraId="59B57C64" w14:textId="12CD5862" w:rsidR="006F1ED5" w:rsidRPr="001E56A4" w:rsidRDefault="00252D6E" w:rsidP="006613E0">
      <w:pPr>
        <w:rPr>
          <w:rFonts w:ascii="Arial" w:hAnsi="Arial" w:cs="Arial"/>
          <w:sz w:val="22"/>
          <w:szCs w:val="22"/>
        </w:rPr>
      </w:pPr>
      <w:r w:rsidRPr="001E56A4">
        <w:rPr>
          <w:rFonts w:ascii="Arial" w:hAnsi="Arial" w:cs="Arial"/>
          <w:sz w:val="22"/>
          <w:szCs w:val="22"/>
        </w:rPr>
        <w:t xml:space="preserve">The following </w:t>
      </w:r>
      <w:r w:rsidR="00FE522F" w:rsidRPr="001E56A4">
        <w:rPr>
          <w:rFonts w:ascii="Arial" w:hAnsi="Arial" w:cs="Arial"/>
          <w:sz w:val="22"/>
          <w:szCs w:val="22"/>
        </w:rPr>
        <w:t>cases to illustrate common problems in the scoring of i</w:t>
      </w:r>
      <w:r w:rsidR="002F7CC7" w:rsidRPr="001E56A4">
        <w:rPr>
          <w:rFonts w:ascii="Arial" w:hAnsi="Arial" w:cs="Arial"/>
          <w:sz w:val="22"/>
          <w:szCs w:val="22"/>
        </w:rPr>
        <w:t>ndicators PI-1, 4</w:t>
      </w:r>
      <w:r w:rsidR="000D77C1" w:rsidRPr="001E56A4">
        <w:rPr>
          <w:rFonts w:ascii="Arial" w:hAnsi="Arial" w:cs="Arial"/>
          <w:sz w:val="22"/>
          <w:szCs w:val="22"/>
        </w:rPr>
        <w:t xml:space="preserve">, </w:t>
      </w:r>
      <w:r w:rsidR="002F7CC7" w:rsidRPr="001E56A4">
        <w:rPr>
          <w:rFonts w:ascii="Arial" w:hAnsi="Arial" w:cs="Arial"/>
          <w:sz w:val="22"/>
          <w:szCs w:val="22"/>
        </w:rPr>
        <w:t>9</w:t>
      </w:r>
      <w:r w:rsidR="003A4C30" w:rsidRPr="001E56A4">
        <w:rPr>
          <w:rFonts w:ascii="Arial" w:hAnsi="Arial" w:cs="Arial"/>
          <w:sz w:val="22"/>
          <w:szCs w:val="22"/>
        </w:rPr>
        <w:t xml:space="preserve">, </w:t>
      </w:r>
      <w:r w:rsidR="00B510DA">
        <w:rPr>
          <w:rFonts w:ascii="Arial" w:hAnsi="Arial" w:cs="Arial"/>
          <w:sz w:val="22"/>
          <w:szCs w:val="22"/>
        </w:rPr>
        <w:t>14</w:t>
      </w:r>
      <w:r w:rsidR="004A2B59">
        <w:rPr>
          <w:rFonts w:ascii="Arial" w:hAnsi="Arial" w:cs="Arial"/>
          <w:sz w:val="22"/>
          <w:szCs w:val="22"/>
        </w:rPr>
        <w:t>.2</w:t>
      </w:r>
      <w:r w:rsidR="00B510DA">
        <w:rPr>
          <w:rFonts w:ascii="Arial" w:hAnsi="Arial" w:cs="Arial"/>
          <w:sz w:val="22"/>
          <w:szCs w:val="22"/>
        </w:rPr>
        <w:t>, 17</w:t>
      </w:r>
      <w:r w:rsidR="00E46F94">
        <w:rPr>
          <w:rFonts w:ascii="Arial" w:hAnsi="Arial" w:cs="Arial"/>
          <w:sz w:val="22"/>
          <w:szCs w:val="22"/>
        </w:rPr>
        <w:t>.2</w:t>
      </w:r>
      <w:r w:rsidR="000D77C1" w:rsidRPr="001E56A4">
        <w:rPr>
          <w:rFonts w:ascii="Arial" w:hAnsi="Arial" w:cs="Arial"/>
          <w:sz w:val="22"/>
          <w:szCs w:val="22"/>
        </w:rPr>
        <w:t xml:space="preserve">, </w:t>
      </w:r>
      <w:r w:rsidR="000C5428">
        <w:rPr>
          <w:rFonts w:ascii="Arial" w:hAnsi="Arial" w:cs="Arial"/>
          <w:sz w:val="22"/>
          <w:szCs w:val="22"/>
        </w:rPr>
        <w:t>21</w:t>
      </w:r>
      <w:r w:rsidR="00E46F94">
        <w:rPr>
          <w:rFonts w:ascii="Arial" w:hAnsi="Arial" w:cs="Arial"/>
          <w:sz w:val="22"/>
          <w:szCs w:val="22"/>
        </w:rPr>
        <w:t>.1</w:t>
      </w:r>
      <w:r w:rsidR="000C5428">
        <w:rPr>
          <w:rFonts w:ascii="Arial" w:hAnsi="Arial" w:cs="Arial"/>
          <w:sz w:val="22"/>
          <w:szCs w:val="22"/>
        </w:rPr>
        <w:t>, 26</w:t>
      </w:r>
      <w:r w:rsidR="00E46F94">
        <w:rPr>
          <w:rFonts w:ascii="Arial" w:hAnsi="Arial" w:cs="Arial"/>
          <w:sz w:val="22"/>
          <w:szCs w:val="22"/>
        </w:rPr>
        <w:t>.1</w:t>
      </w:r>
      <w:r w:rsidR="00555F7C" w:rsidRPr="001E56A4">
        <w:rPr>
          <w:rFonts w:ascii="Arial" w:hAnsi="Arial" w:cs="Arial"/>
          <w:sz w:val="22"/>
          <w:szCs w:val="22"/>
        </w:rPr>
        <w:t xml:space="preserve">, </w:t>
      </w:r>
      <w:r w:rsidR="000C5428">
        <w:rPr>
          <w:rFonts w:ascii="Arial" w:hAnsi="Arial" w:cs="Arial"/>
          <w:sz w:val="22"/>
          <w:szCs w:val="22"/>
        </w:rPr>
        <w:t>28</w:t>
      </w:r>
      <w:r w:rsidR="004A2B59">
        <w:rPr>
          <w:rFonts w:ascii="Arial" w:hAnsi="Arial" w:cs="Arial"/>
          <w:sz w:val="22"/>
          <w:szCs w:val="22"/>
        </w:rPr>
        <w:t>.1</w:t>
      </w:r>
      <w:r w:rsidR="003A4C30" w:rsidRPr="001E56A4">
        <w:rPr>
          <w:rFonts w:ascii="Arial" w:hAnsi="Arial" w:cs="Arial"/>
          <w:sz w:val="22"/>
          <w:szCs w:val="22"/>
        </w:rPr>
        <w:t xml:space="preserve">, </w:t>
      </w:r>
      <w:r w:rsidR="000C5428">
        <w:rPr>
          <w:rFonts w:ascii="Arial" w:hAnsi="Arial" w:cs="Arial"/>
          <w:sz w:val="22"/>
          <w:szCs w:val="22"/>
        </w:rPr>
        <w:t>28</w:t>
      </w:r>
      <w:r w:rsidR="004A2B59">
        <w:rPr>
          <w:rFonts w:ascii="Arial" w:hAnsi="Arial" w:cs="Arial"/>
          <w:sz w:val="22"/>
          <w:szCs w:val="22"/>
        </w:rPr>
        <w:t>.2</w:t>
      </w:r>
      <w:r w:rsidR="00B62B84" w:rsidRPr="001E56A4">
        <w:rPr>
          <w:rFonts w:ascii="Arial" w:hAnsi="Arial" w:cs="Arial"/>
          <w:sz w:val="22"/>
          <w:szCs w:val="22"/>
        </w:rPr>
        <w:t xml:space="preserve"> </w:t>
      </w:r>
      <w:r w:rsidR="00A63CCD" w:rsidRPr="001E56A4">
        <w:rPr>
          <w:rFonts w:ascii="Arial" w:hAnsi="Arial" w:cs="Arial"/>
          <w:sz w:val="22"/>
          <w:szCs w:val="22"/>
        </w:rPr>
        <w:t xml:space="preserve">and </w:t>
      </w:r>
      <w:r w:rsidR="000C5428">
        <w:rPr>
          <w:rFonts w:ascii="Arial" w:hAnsi="Arial" w:cs="Arial"/>
          <w:sz w:val="22"/>
          <w:szCs w:val="22"/>
        </w:rPr>
        <w:t>31</w:t>
      </w:r>
      <w:r w:rsidR="00A63CCD" w:rsidRPr="001E56A4">
        <w:rPr>
          <w:rFonts w:ascii="Arial" w:hAnsi="Arial" w:cs="Arial"/>
          <w:sz w:val="22"/>
          <w:szCs w:val="22"/>
        </w:rPr>
        <w:t>.</w:t>
      </w:r>
      <w:r w:rsidR="00E46F94">
        <w:rPr>
          <w:rFonts w:ascii="Arial" w:hAnsi="Arial" w:cs="Arial"/>
          <w:sz w:val="22"/>
          <w:szCs w:val="22"/>
        </w:rPr>
        <w:t>1</w:t>
      </w:r>
    </w:p>
    <w:p w14:paraId="2271F3A1" w14:textId="77777777" w:rsidR="00FE522F" w:rsidRPr="001E56A4" w:rsidRDefault="00FE522F" w:rsidP="006613E0">
      <w:pPr>
        <w:rPr>
          <w:rFonts w:ascii="Arial" w:hAnsi="Arial" w:cs="Arial"/>
          <w:sz w:val="22"/>
          <w:szCs w:val="22"/>
        </w:rPr>
      </w:pPr>
    </w:p>
    <w:p w14:paraId="089C1F2A" w14:textId="1BB425CC" w:rsidR="00B6590C" w:rsidRPr="001E56A4" w:rsidRDefault="00B6590C" w:rsidP="006613E0">
      <w:pPr>
        <w:rPr>
          <w:rFonts w:ascii="Arial" w:hAnsi="Arial" w:cs="Arial"/>
          <w:sz w:val="22"/>
          <w:szCs w:val="22"/>
        </w:rPr>
      </w:pPr>
      <w:r w:rsidRPr="001E56A4">
        <w:rPr>
          <w:rFonts w:ascii="Arial" w:hAnsi="Arial" w:cs="Arial"/>
          <w:sz w:val="22"/>
          <w:szCs w:val="22"/>
        </w:rPr>
        <w:t xml:space="preserve">For each indicator, information is provided on the state of affairs as found in a typical PFM Performance Report. </w:t>
      </w:r>
      <w:r w:rsidR="00B62B84" w:rsidRPr="001E56A4">
        <w:rPr>
          <w:rFonts w:ascii="Arial" w:hAnsi="Arial" w:cs="Arial"/>
          <w:sz w:val="22"/>
          <w:szCs w:val="22"/>
        </w:rPr>
        <w:t xml:space="preserve"> </w:t>
      </w:r>
      <w:r w:rsidRPr="001E56A4">
        <w:rPr>
          <w:rFonts w:ascii="Arial" w:hAnsi="Arial" w:cs="Arial"/>
          <w:sz w:val="22"/>
          <w:szCs w:val="22"/>
        </w:rPr>
        <w:t>The group will assess the relevance and adequacy of the information provided, and agree on the score for each indicator</w:t>
      </w:r>
      <w:r w:rsidR="00F66888" w:rsidRPr="001E56A4">
        <w:rPr>
          <w:rFonts w:ascii="Arial" w:hAnsi="Arial" w:cs="Arial"/>
          <w:sz w:val="22"/>
          <w:szCs w:val="22"/>
        </w:rPr>
        <w:t xml:space="preserve"> or dimension</w:t>
      </w:r>
      <w:r w:rsidRPr="001E56A4">
        <w:rPr>
          <w:rFonts w:ascii="Arial" w:hAnsi="Arial" w:cs="Arial"/>
          <w:sz w:val="22"/>
          <w:szCs w:val="22"/>
        </w:rPr>
        <w:t xml:space="preserve"> in accordance with the requirements of the </w:t>
      </w:r>
      <w:r w:rsidR="0082319B" w:rsidRPr="001E56A4">
        <w:rPr>
          <w:rFonts w:ascii="Arial" w:hAnsi="Arial" w:cs="Arial"/>
          <w:i/>
          <w:sz w:val="22"/>
          <w:szCs w:val="22"/>
        </w:rPr>
        <w:t>Upgraded</w:t>
      </w:r>
      <w:r w:rsidRPr="001E56A4">
        <w:rPr>
          <w:rFonts w:ascii="Arial" w:hAnsi="Arial" w:cs="Arial"/>
          <w:i/>
          <w:sz w:val="22"/>
          <w:szCs w:val="22"/>
        </w:rPr>
        <w:t xml:space="preserve"> Performance Measurement Framework</w:t>
      </w:r>
      <w:r w:rsidR="0082319B" w:rsidRPr="001E56A4">
        <w:rPr>
          <w:rFonts w:ascii="Arial" w:hAnsi="Arial" w:cs="Arial"/>
          <w:sz w:val="22"/>
          <w:szCs w:val="22"/>
        </w:rPr>
        <w:t xml:space="preserve"> (</w:t>
      </w:r>
      <w:r w:rsidR="004A2B59">
        <w:rPr>
          <w:rFonts w:ascii="Arial" w:hAnsi="Arial" w:cs="Arial"/>
          <w:sz w:val="22"/>
          <w:szCs w:val="22"/>
        </w:rPr>
        <w:t>Feb</w:t>
      </w:r>
      <w:r w:rsidR="0082319B" w:rsidRPr="001E56A4">
        <w:rPr>
          <w:rFonts w:ascii="Arial" w:hAnsi="Arial" w:cs="Arial"/>
          <w:sz w:val="22"/>
          <w:szCs w:val="22"/>
        </w:rPr>
        <w:t xml:space="preserve"> 2016</w:t>
      </w:r>
      <w:r w:rsidRPr="001E56A4">
        <w:rPr>
          <w:rFonts w:ascii="Arial" w:hAnsi="Arial" w:cs="Arial"/>
          <w:sz w:val="22"/>
          <w:szCs w:val="22"/>
        </w:rPr>
        <w:t xml:space="preserve">), </w:t>
      </w:r>
    </w:p>
    <w:p w14:paraId="68644028" w14:textId="77777777" w:rsidR="00B6590C" w:rsidRPr="001E56A4" w:rsidRDefault="00B6590C" w:rsidP="006613E0">
      <w:pPr>
        <w:jc w:val="both"/>
        <w:rPr>
          <w:rFonts w:ascii="Arial" w:hAnsi="Arial" w:cs="Arial"/>
          <w:b/>
          <w:sz w:val="22"/>
          <w:szCs w:val="22"/>
          <w:u w:val="single"/>
        </w:rPr>
      </w:pPr>
    </w:p>
    <w:p w14:paraId="68FE3DAF" w14:textId="77777777" w:rsidR="006613E0" w:rsidRPr="001E56A4" w:rsidRDefault="006613E0" w:rsidP="006613E0">
      <w:pPr>
        <w:jc w:val="both"/>
        <w:rPr>
          <w:rFonts w:ascii="Arial" w:hAnsi="Arial" w:cs="Arial"/>
          <w:b/>
          <w:sz w:val="22"/>
          <w:szCs w:val="22"/>
          <w:u w:val="single"/>
        </w:rPr>
      </w:pPr>
    </w:p>
    <w:p w14:paraId="7C9145C7" w14:textId="77777777" w:rsidR="00B6590C" w:rsidRPr="001E56A4" w:rsidRDefault="00B6590C" w:rsidP="006613E0">
      <w:pPr>
        <w:jc w:val="both"/>
        <w:rPr>
          <w:rFonts w:ascii="Arial" w:hAnsi="Arial" w:cs="Arial"/>
          <w:b/>
          <w:sz w:val="22"/>
          <w:szCs w:val="22"/>
        </w:rPr>
      </w:pPr>
      <w:r w:rsidRPr="001E56A4">
        <w:rPr>
          <w:rFonts w:ascii="Arial" w:hAnsi="Arial" w:cs="Arial"/>
          <w:b/>
          <w:sz w:val="22"/>
          <w:szCs w:val="22"/>
        </w:rPr>
        <w:t>Required:</w:t>
      </w:r>
    </w:p>
    <w:p w14:paraId="6C2ED003" w14:textId="77777777" w:rsidR="006613E0" w:rsidRPr="001E56A4" w:rsidRDefault="006613E0" w:rsidP="006613E0">
      <w:pPr>
        <w:jc w:val="both"/>
        <w:rPr>
          <w:rFonts w:ascii="Arial" w:hAnsi="Arial" w:cs="Arial"/>
          <w:b/>
          <w:sz w:val="22"/>
          <w:szCs w:val="22"/>
        </w:rPr>
      </w:pPr>
    </w:p>
    <w:p w14:paraId="5AEEF282" w14:textId="77777777" w:rsidR="00FE68AB" w:rsidRPr="001E56A4" w:rsidRDefault="00FE68AB" w:rsidP="006613E0">
      <w:pPr>
        <w:rPr>
          <w:rFonts w:ascii="Arial" w:hAnsi="Arial" w:cs="Arial"/>
          <w:sz w:val="22"/>
          <w:szCs w:val="22"/>
        </w:rPr>
      </w:pPr>
      <w:r w:rsidRPr="001E56A4">
        <w:rPr>
          <w:rFonts w:ascii="Arial" w:hAnsi="Arial" w:cs="Arial"/>
          <w:sz w:val="22"/>
          <w:szCs w:val="22"/>
        </w:rPr>
        <w:t>Each group needs to:</w:t>
      </w:r>
    </w:p>
    <w:p w14:paraId="1BDA42F7" w14:textId="77777777" w:rsidR="0038145B" w:rsidRPr="001E56A4" w:rsidRDefault="0038145B" w:rsidP="006613E0">
      <w:pPr>
        <w:rPr>
          <w:rFonts w:ascii="Arial" w:hAnsi="Arial" w:cs="Arial"/>
          <w:sz w:val="22"/>
          <w:szCs w:val="22"/>
        </w:rPr>
      </w:pPr>
    </w:p>
    <w:p w14:paraId="1F47BA20" w14:textId="77777777" w:rsidR="00FE68AB" w:rsidRPr="001E56A4" w:rsidRDefault="00FE68AB" w:rsidP="0038145B">
      <w:pPr>
        <w:numPr>
          <w:ilvl w:val="0"/>
          <w:numId w:val="21"/>
        </w:numPr>
        <w:tabs>
          <w:tab w:val="clear" w:pos="720"/>
          <w:tab w:val="num" w:pos="360"/>
        </w:tabs>
        <w:ind w:left="360"/>
        <w:rPr>
          <w:rFonts w:ascii="Arial" w:hAnsi="Arial" w:cs="Arial"/>
          <w:sz w:val="22"/>
          <w:szCs w:val="22"/>
        </w:rPr>
      </w:pPr>
      <w:r w:rsidRPr="001E56A4">
        <w:rPr>
          <w:rFonts w:ascii="Arial" w:hAnsi="Arial" w:cs="Arial"/>
          <w:sz w:val="22"/>
          <w:szCs w:val="22"/>
        </w:rPr>
        <w:t>Judge if the information provided is sufficient for scoring of each dimension and indicator and identify any information gaps;</w:t>
      </w:r>
    </w:p>
    <w:p w14:paraId="1DBC208A" w14:textId="77777777" w:rsidR="0038145B" w:rsidRPr="001E56A4" w:rsidRDefault="0038145B" w:rsidP="0038145B">
      <w:pPr>
        <w:rPr>
          <w:rFonts w:ascii="Arial" w:hAnsi="Arial" w:cs="Arial"/>
          <w:sz w:val="22"/>
          <w:szCs w:val="22"/>
        </w:rPr>
      </w:pPr>
    </w:p>
    <w:p w14:paraId="5539097A" w14:textId="77777777" w:rsidR="00FE68AB" w:rsidRPr="001E56A4" w:rsidRDefault="00FE68AB" w:rsidP="0038145B">
      <w:pPr>
        <w:numPr>
          <w:ilvl w:val="0"/>
          <w:numId w:val="21"/>
        </w:numPr>
        <w:tabs>
          <w:tab w:val="clear" w:pos="720"/>
          <w:tab w:val="num" w:pos="360"/>
        </w:tabs>
        <w:ind w:left="360"/>
        <w:rPr>
          <w:rFonts w:ascii="Arial" w:hAnsi="Arial" w:cs="Arial"/>
          <w:sz w:val="22"/>
          <w:szCs w:val="22"/>
        </w:rPr>
      </w:pPr>
      <w:r w:rsidRPr="001E56A4">
        <w:rPr>
          <w:rFonts w:ascii="Arial" w:hAnsi="Arial" w:cs="Arial"/>
          <w:sz w:val="22"/>
          <w:szCs w:val="22"/>
        </w:rPr>
        <w:t>Make its assessment of the score for each indicator, citing the evidence for that score.</w:t>
      </w:r>
    </w:p>
    <w:p w14:paraId="082D61C5" w14:textId="77777777" w:rsidR="00FE68AB" w:rsidRPr="001E56A4" w:rsidRDefault="00FE68AB" w:rsidP="006613E0">
      <w:pPr>
        <w:rPr>
          <w:rFonts w:ascii="Arial" w:hAnsi="Arial" w:cs="Arial"/>
          <w:sz w:val="22"/>
          <w:szCs w:val="22"/>
        </w:rPr>
      </w:pPr>
    </w:p>
    <w:p w14:paraId="500C6AE1" w14:textId="77777777" w:rsidR="00FE68AB" w:rsidRPr="001E56A4" w:rsidRDefault="00FE68AB" w:rsidP="006613E0">
      <w:pPr>
        <w:rPr>
          <w:rFonts w:ascii="Arial" w:hAnsi="Arial" w:cs="Arial"/>
          <w:sz w:val="22"/>
          <w:szCs w:val="22"/>
        </w:rPr>
      </w:pPr>
      <w:r w:rsidRPr="001E56A4">
        <w:rPr>
          <w:rFonts w:ascii="Arial" w:hAnsi="Arial" w:cs="Arial"/>
          <w:sz w:val="22"/>
          <w:szCs w:val="22"/>
        </w:rPr>
        <w:t xml:space="preserve">One person in each group should be chosen to report the findings of the group back to the plenary session. </w:t>
      </w:r>
      <w:r w:rsidR="00297CFD" w:rsidRPr="001E56A4">
        <w:rPr>
          <w:rFonts w:ascii="Arial" w:hAnsi="Arial" w:cs="Arial"/>
          <w:sz w:val="22"/>
          <w:szCs w:val="22"/>
        </w:rPr>
        <w:t xml:space="preserve"> </w:t>
      </w:r>
      <w:r w:rsidRPr="001E56A4">
        <w:rPr>
          <w:rFonts w:ascii="Arial" w:hAnsi="Arial" w:cs="Arial"/>
          <w:sz w:val="22"/>
          <w:szCs w:val="22"/>
        </w:rPr>
        <w:t xml:space="preserve">All cases should be </w:t>
      </w:r>
      <w:r w:rsidR="00297CFD" w:rsidRPr="001E56A4">
        <w:rPr>
          <w:rFonts w:ascii="Arial" w:hAnsi="Arial" w:cs="Arial"/>
          <w:sz w:val="22"/>
          <w:szCs w:val="22"/>
        </w:rPr>
        <w:t>read</w:t>
      </w:r>
      <w:r w:rsidRPr="001E56A4">
        <w:rPr>
          <w:rFonts w:ascii="Arial" w:hAnsi="Arial" w:cs="Arial"/>
          <w:sz w:val="22"/>
          <w:szCs w:val="22"/>
        </w:rPr>
        <w:t>, as reports will be made in turn by each group, indicator by indicator, and other groups will be invited to comment.</w:t>
      </w:r>
    </w:p>
    <w:p w14:paraId="076D08F1" w14:textId="77777777" w:rsidR="00202F36" w:rsidRPr="001E56A4" w:rsidRDefault="00202F36" w:rsidP="006613E0">
      <w:pPr>
        <w:rPr>
          <w:rFonts w:ascii="Arial" w:hAnsi="Arial" w:cs="Arial"/>
          <w:sz w:val="22"/>
          <w:szCs w:val="22"/>
        </w:rPr>
      </w:pPr>
    </w:p>
    <w:p w14:paraId="7CFCB8CC" w14:textId="77777777" w:rsidR="006613E0" w:rsidRPr="001E56A4" w:rsidRDefault="006613E0" w:rsidP="006613E0">
      <w:pPr>
        <w:rPr>
          <w:rFonts w:ascii="Arial" w:hAnsi="Arial" w:cs="Arial"/>
          <w:sz w:val="22"/>
          <w:szCs w:val="22"/>
        </w:rPr>
      </w:pPr>
    </w:p>
    <w:p w14:paraId="064A739B" w14:textId="77777777" w:rsidR="00333E7E" w:rsidRPr="001E56A4" w:rsidRDefault="006613E0" w:rsidP="00297CFD">
      <w:pPr>
        <w:rPr>
          <w:rFonts w:ascii="Arial" w:hAnsi="Arial" w:cs="Arial"/>
          <w:b/>
          <w:szCs w:val="22"/>
        </w:rPr>
      </w:pPr>
      <w:r w:rsidRPr="001E56A4">
        <w:rPr>
          <w:rFonts w:ascii="Arial" w:hAnsi="Arial" w:cs="Arial"/>
          <w:b/>
          <w:szCs w:val="22"/>
        </w:rPr>
        <w:t xml:space="preserve">Note: Government fiscal year is </w:t>
      </w:r>
      <w:r w:rsidR="00202F36" w:rsidRPr="001E56A4">
        <w:rPr>
          <w:rFonts w:ascii="Arial" w:hAnsi="Arial" w:cs="Arial"/>
          <w:b/>
          <w:szCs w:val="22"/>
        </w:rPr>
        <w:t xml:space="preserve">January </w:t>
      </w:r>
      <w:r w:rsidR="00333E7E" w:rsidRPr="001E56A4">
        <w:rPr>
          <w:rFonts w:ascii="Arial" w:hAnsi="Arial" w:cs="Arial"/>
          <w:b/>
          <w:szCs w:val="22"/>
        </w:rPr>
        <w:t>1</w:t>
      </w:r>
      <w:r w:rsidR="00333E7E" w:rsidRPr="001E56A4">
        <w:rPr>
          <w:rFonts w:ascii="Arial" w:hAnsi="Arial" w:cs="Arial"/>
          <w:b/>
          <w:szCs w:val="22"/>
          <w:vertAlign w:val="superscript"/>
        </w:rPr>
        <w:t>st</w:t>
      </w:r>
      <w:r w:rsidR="00333E7E" w:rsidRPr="001E56A4">
        <w:rPr>
          <w:rFonts w:ascii="Arial" w:hAnsi="Arial" w:cs="Arial"/>
          <w:b/>
          <w:szCs w:val="22"/>
        </w:rPr>
        <w:t xml:space="preserve"> to December 31</w:t>
      </w:r>
    </w:p>
    <w:p w14:paraId="7141C0C5" w14:textId="77777777" w:rsidR="00324A73" w:rsidRPr="001E56A4" w:rsidRDefault="00CF250A" w:rsidP="006613E0">
      <w:pPr>
        <w:jc w:val="both"/>
        <w:rPr>
          <w:rFonts w:ascii="Arial" w:hAnsi="Arial" w:cs="Arial"/>
          <w:b/>
          <w:sz w:val="22"/>
          <w:szCs w:val="22"/>
          <w:u w:val="single"/>
        </w:rPr>
      </w:pPr>
      <w:r w:rsidRPr="001E56A4">
        <w:rPr>
          <w:rFonts w:ascii="Arial" w:hAnsi="Arial" w:cs="Arial"/>
          <w:b/>
          <w:sz w:val="22"/>
          <w:szCs w:val="22"/>
          <w:u w:val="single"/>
        </w:rPr>
        <w:br w:type="page"/>
      </w:r>
    </w:p>
    <w:p w14:paraId="028D4001" w14:textId="12A0C55C" w:rsidR="007B4501" w:rsidRPr="001E56A4" w:rsidRDefault="007B4501" w:rsidP="006613E0">
      <w:pPr>
        <w:jc w:val="both"/>
        <w:rPr>
          <w:rFonts w:ascii="Arial" w:hAnsi="Arial" w:cs="Arial"/>
          <w:b/>
          <w:szCs w:val="22"/>
        </w:rPr>
      </w:pPr>
      <w:r w:rsidRPr="001E56A4">
        <w:rPr>
          <w:rFonts w:ascii="Arial" w:hAnsi="Arial" w:cs="Arial"/>
          <w:b/>
          <w:szCs w:val="22"/>
        </w:rPr>
        <w:lastRenderedPageBreak/>
        <w:t xml:space="preserve">PI-1: Aggregate expenditure outturn </w:t>
      </w:r>
    </w:p>
    <w:p w14:paraId="7FDD1258" w14:textId="77777777" w:rsidR="007B4501" w:rsidRPr="001E56A4" w:rsidRDefault="007B4501" w:rsidP="006613E0">
      <w:pPr>
        <w:jc w:val="both"/>
        <w:rPr>
          <w:rFonts w:ascii="Arial" w:hAnsi="Arial" w:cs="Arial"/>
          <w:b/>
          <w:sz w:val="22"/>
          <w:szCs w:val="22"/>
        </w:rPr>
      </w:pPr>
    </w:p>
    <w:p w14:paraId="5F15ABB6" w14:textId="39E3667D" w:rsidR="006121FC" w:rsidRPr="001E56A4" w:rsidRDefault="006121FC" w:rsidP="006613E0">
      <w:pPr>
        <w:pStyle w:val="xl28"/>
        <w:spacing w:before="0" w:beforeAutospacing="0" w:after="0" w:afterAutospacing="0"/>
        <w:rPr>
          <w:rFonts w:eastAsia="Times New Roman"/>
          <w:b w:val="0"/>
          <w:sz w:val="22"/>
          <w:szCs w:val="22"/>
        </w:rPr>
      </w:pPr>
      <w:r w:rsidRPr="001E56A4">
        <w:rPr>
          <w:rFonts w:eastAsia="Times New Roman"/>
          <w:b w:val="0"/>
          <w:bCs w:val="0"/>
          <w:sz w:val="22"/>
          <w:szCs w:val="22"/>
        </w:rPr>
        <w:t>The overall deviation of primary expenditure from the budget amounted to</w:t>
      </w:r>
      <w:r w:rsidRPr="001E56A4">
        <w:rPr>
          <w:rFonts w:eastAsia="Times New Roman"/>
          <w:b w:val="0"/>
          <w:sz w:val="22"/>
          <w:szCs w:val="22"/>
        </w:rPr>
        <w:t xml:space="preserve"> </w:t>
      </w:r>
      <w:r w:rsidR="0067270E" w:rsidRPr="001E56A4">
        <w:rPr>
          <w:rFonts w:eastAsia="Times New Roman"/>
          <w:b w:val="0"/>
          <w:sz w:val="22"/>
          <w:szCs w:val="22"/>
        </w:rPr>
        <w:t>1</w:t>
      </w:r>
      <w:r w:rsidRPr="001E56A4">
        <w:rPr>
          <w:rFonts w:eastAsia="Times New Roman"/>
          <w:b w:val="0"/>
          <w:sz w:val="22"/>
          <w:szCs w:val="22"/>
        </w:rPr>
        <w:t xml:space="preserve">4.7% </w:t>
      </w:r>
      <w:r w:rsidR="00773A72" w:rsidRPr="001E56A4">
        <w:rPr>
          <w:rFonts w:eastAsia="Times New Roman"/>
          <w:b w:val="0"/>
          <w:sz w:val="22"/>
          <w:szCs w:val="22"/>
        </w:rPr>
        <w:t>in 200</w:t>
      </w:r>
      <w:r w:rsidR="0082319B" w:rsidRPr="001E56A4">
        <w:rPr>
          <w:rFonts w:eastAsia="Times New Roman"/>
          <w:b w:val="0"/>
          <w:sz w:val="22"/>
          <w:szCs w:val="22"/>
        </w:rPr>
        <w:t>12</w:t>
      </w:r>
      <w:r w:rsidRPr="001E56A4">
        <w:rPr>
          <w:rFonts w:eastAsia="Times New Roman"/>
          <w:b w:val="0"/>
          <w:sz w:val="22"/>
          <w:szCs w:val="22"/>
        </w:rPr>
        <w:t xml:space="preserve">, 27.8% </w:t>
      </w:r>
      <w:r w:rsidR="0082319B" w:rsidRPr="001E56A4">
        <w:rPr>
          <w:rFonts w:eastAsia="Times New Roman"/>
          <w:b w:val="0"/>
          <w:sz w:val="22"/>
          <w:szCs w:val="22"/>
        </w:rPr>
        <w:t>in 2013</w:t>
      </w:r>
      <w:r w:rsidRPr="001E56A4">
        <w:rPr>
          <w:rFonts w:eastAsia="Times New Roman"/>
          <w:b w:val="0"/>
          <w:sz w:val="22"/>
          <w:szCs w:val="22"/>
        </w:rPr>
        <w:t xml:space="preserve"> and 1</w:t>
      </w:r>
      <w:r w:rsidR="004122A2" w:rsidRPr="001E56A4">
        <w:rPr>
          <w:rFonts w:eastAsia="Times New Roman"/>
          <w:b w:val="0"/>
          <w:sz w:val="22"/>
          <w:szCs w:val="22"/>
        </w:rPr>
        <w:t>3</w:t>
      </w:r>
      <w:r w:rsidR="0067270E" w:rsidRPr="001E56A4">
        <w:rPr>
          <w:rFonts w:eastAsia="Times New Roman"/>
          <w:b w:val="0"/>
          <w:sz w:val="22"/>
          <w:szCs w:val="22"/>
        </w:rPr>
        <w:t>.9</w:t>
      </w:r>
      <w:r w:rsidRPr="001E56A4">
        <w:rPr>
          <w:rFonts w:eastAsia="Times New Roman"/>
          <w:b w:val="0"/>
          <w:sz w:val="22"/>
          <w:szCs w:val="22"/>
        </w:rPr>
        <w:t xml:space="preserve">% </w:t>
      </w:r>
      <w:r w:rsidR="00773A72" w:rsidRPr="001E56A4">
        <w:rPr>
          <w:rFonts w:eastAsia="Times New Roman"/>
          <w:b w:val="0"/>
          <w:sz w:val="22"/>
          <w:szCs w:val="22"/>
        </w:rPr>
        <w:t>in 20</w:t>
      </w:r>
      <w:r w:rsidR="0082319B" w:rsidRPr="001E56A4">
        <w:rPr>
          <w:rFonts w:eastAsia="Times New Roman"/>
          <w:b w:val="0"/>
          <w:sz w:val="22"/>
          <w:szCs w:val="22"/>
        </w:rPr>
        <w:t>15</w:t>
      </w:r>
      <w:r w:rsidRPr="001E56A4">
        <w:rPr>
          <w:rFonts w:eastAsia="Times New Roman"/>
          <w:b w:val="0"/>
          <w:sz w:val="22"/>
          <w:szCs w:val="22"/>
        </w:rPr>
        <w:t xml:space="preserve">. It went as high as 43.3% </w:t>
      </w:r>
      <w:r w:rsidR="0082319B" w:rsidRPr="001E56A4">
        <w:rPr>
          <w:rFonts w:eastAsia="Times New Roman"/>
          <w:b w:val="0"/>
          <w:sz w:val="22"/>
          <w:szCs w:val="22"/>
        </w:rPr>
        <w:t>in 2014</w:t>
      </w:r>
      <w:r w:rsidRPr="001E56A4">
        <w:rPr>
          <w:rFonts w:eastAsia="Times New Roman"/>
          <w:b w:val="0"/>
          <w:sz w:val="22"/>
          <w:szCs w:val="22"/>
        </w:rPr>
        <w:t xml:space="preserve">, but this was caused by a political crisis that paralyzed the government for 5 months in the wake of general elections. </w:t>
      </w:r>
      <w:r w:rsidR="001963A5" w:rsidRPr="001E56A4">
        <w:rPr>
          <w:rFonts w:eastAsia="Times New Roman"/>
          <w:b w:val="0"/>
          <w:sz w:val="22"/>
          <w:szCs w:val="22"/>
        </w:rPr>
        <w:t xml:space="preserve"> </w:t>
      </w:r>
      <w:r w:rsidRPr="001E56A4">
        <w:rPr>
          <w:rFonts w:eastAsia="Times New Roman"/>
          <w:b w:val="0"/>
          <w:sz w:val="22"/>
          <w:szCs w:val="22"/>
        </w:rPr>
        <w:t>During this period hardly any revenue could be collected, public servants were generally not paid and only the defense and other security sector expenditure</w:t>
      </w:r>
      <w:r w:rsidR="0067270E" w:rsidRPr="001E56A4">
        <w:rPr>
          <w:rFonts w:eastAsia="Times New Roman"/>
          <w:b w:val="0"/>
          <w:sz w:val="22"/>
          <w:szCs w:val="22"/>
        </w:rPr>
        <w:t>s</w:t>
      </w:r>
      <w:r w:rsidRPr="001E56A4">
        <w:rPr>
          <w:rFonts w:eastAsia="Times New Roman"/>
          <w:b w:val="0"/>
          <w:sz w:val="22"/>
          <w:szCs w:val="22"/>
        </w:rPr>
        <w:t xml:space="preserve"> </w:t>
      </w:r>
      <w:r w:rsidR="0067270E" w:rsidRPr="001E56A4">
        <w:rPr>
          <w:rFonts w:eastAsia="Times New Roman"/>
          <w:b w:val="0"/>
          <w:sz w:val="22"/>
          <w:szCs w:val="22"/>
        </w:rPr>
        <w:t>were made at anywhere near budget estimates.</w:t>
      </w:r>
    </w:p>
    <w:p w14:paraId="5D694BB1" w14:textId="77777777" w:rsidR="00880160" w:rsidRPr="001E56A4" w:rsidRDefault="00880160" w:rsidP="006613E0">
      <w:pPr>
        <w:pStyle w:val="xl28"/>
        <w:spacing w:before="0" w:beforeAutospacing="0" w:after="0" w:afterAutospacing="0"/>
        <w:rPr>
          <w:rFonts w:eastAsia="Times New Roman"/>
          <w:b w:val="0"/>
          <w:sz w:val="22"/>
          <w:szCs w:val="22"/>
        </w:rPr>
      </w:pPr>
    </w:p>
    <w:p w14:paraId="2B89B8B1" w14:textId="77777777" w:rsidR="007B4501" w:rsidRPr="001E56A4" w:rsidRDefault="007B4501" w:rsidP="006613E0">
      <w:pPr>
        <w:jc w:val="both"/>
        <w:rPr>
          <w:rFonts w:ascii="Arial" w:hAnsi="Arial" w:cs="Arial"/>
          <w:sz w:val="22"/>
          <w:szCs w:val="22"/>
        </w:rPr>
      </w:pPr>
    </w:p>
    <w:p w14:paraId="5D7F2DA6" w14:textId="77777777" w:rsidR="006121FC" w:rsidRPr="001E56A4" w:rsidRDefault="006121FC" w:rsidP="006613E0">
      <w:pPr>
        <w:jc w:val="both"/>
        <w:rPr>
          <w:rFonts w:ascii="Arial" w:hAnsi="Arial" w:cs="Arial"/>
          <w:b/>
          <w:sz w:val="22"/>
          <w:szCs w:val="22"/>
        </w:rPr>
      </w:pPr>
      <w:r w:rsidRPr="001E56A4">
        <w:rPr>
          <w:rFonts w:ascii="Arial" w:hAnsi="Arial" w:cs="Arial"/>
          <w:b/>
          <w:sz w:val="22"/>
          <w:szCs w:val="22"/>
        </w:rPr>
        <w:t>Budget execution rates for primary expenditure in recent years.</w:t>
      </w:r>
    </w:p>
    <w:p w14:paraId="730720DA" w14:textId="77777777" w:rsidR="006121FC" w:rsidRPr="001E56A4" w:rsidRDefault="006121FC" w:rsidP="006613E0">
      <w:pPr>
        <w:jc w:val="both"/>
        <w:rPr>
          <w:rFonts w:ascii="Arial" w:hAnsi="Arial" w:cs="Arial"/>
          <w:b/>
          <w:sz w:val="22"/>
          <w:szCs w:val="22"/>
        </w:rPr>
      </w:pPr>
    </w:p>
    <w:tbl>
      <w:tblPr>
        <w:tblpPr w:leftFromText="180" w:rightFromText="180" w:vertAnchor="text" w:tblpX="846" w:tblpY="1"/>
        <w:tblOverlap w:val="never"/>
        <w:tblW w:w="3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
        <w:gridCol w:w="2673"/>
      </w:tblGrid>
      <w:tr w:rsidR="006121FC" w:rsidRPr="001E56A4" w14:paraId="7C321130" w14:textId="77777777" w:rsidTr="00DB4CA1">
        <w:trPr>
          <w:trHeight w:val="255"/>
        </w:trPr>
        <w:tc>
          <w:tcPr>
            <w:tcW w:w="940" w:type="dxa"/>
            <w:shd w:val="clear" w:color="auto" w:fill="auto"/>
            <w:noWrap/>
            <w:vAlign w:val="bottom"/>
          </w:tcPr>
          <w:p w14:paraId="73844C72" w14:textId="77777777" w:rsidR="006121FC" w:rsidRPr="001E56A4" w:rsidRDefault="006121FC" w:rsidP="006613E0">
            <w:pPr>
              <w:jc w:val="center"/>
              <w:rPr>
                <w:rFonts w:ascii="Arial" w:hAnsi="Arial" w:cs="Arial"/>
                <w:b/>
                <w:sz w:val="22"/>
                <w:szCs w:val="22"/>
              </w:rPr>
            </w:pPr>
            <w:r w:rsidRPr="001E56A4">
              <w:rPr>
                <w:rFonts w:ascii="Arial" w:hAnsi="Arial" w:cs="Arial"/>
                <w:b/>
                <w:sz w:val="22"/>
                <w:szCs w:val="22"/>
              </w:rPr>
              <w:t>Fiscal year</w:t>
            </w:r>
          </w:p>
          <w:p w14:paraId="357597FE" w14:textId="77777777" w:rsidR="000C6C18" w:rsidRPr="001E56A4" w:rsidRDefault="000C6C18" w:rsidP="006613E0">
            <w:pPr>
              <w:jc w:val="center"/>
              <w:rPr>
                <w:rFonts w:ascii="Arial" w:hAnsi="Arial" w:cs="Arial"/>
                <w:b/>
                <w:sz w:val="22"/>
                <w:szCs w:val="22"/>
              </w:rPr>
            </w:pPr>
          </w:p>
        </w:tc>
        <w:tc>
          <w:tcPr>
            <w:tcW w:w="2673" w:type="dxa"/>
            <w:shd w:val="clear" w:color="auto" w:fill="auto"/>
            <w:noWrap/>
            <w:vAlign w:val="bottom"/>
          </w:tcPr>
          <w:p w14:paraId="7B54B85F" w14:textId="77777777" w:rsidR="006121FC" w:rsidRPr="001E56A4" w:rsidRDefault="006121FC" w:rsidP="006613E0">
            <w:pPr>
              <w:jc w:val="center"/>
              <w:rPr>
                <w:rFonts w:ascii="Arial" w:hAnsi="Arial" w:cs="Arial"/>
                <w:b/>
                <w:sz w:val="22"/>
                <w:szCs w:val="22"/>
              </w:rPr>
            </w:pPr>
            <w:r w:rsidRPr="001E56A4">
              <w:rPr>
                <w:rFonts w:ascii="Arial" w:hAnsi="Arial" w:cs="Arial"/>
                <w:b/>
                <w:sz w:val="22"/>
                <w:szCs w:val="22"/>
              </w:rPr>
              <w:t xml:space="preserve">Actual primary expenditure as </w:t>
            </w:r>
            <w:r w:rsidR="000C6C18" w:rsidRPr="001E56A4">
              <w:rPr>
                <w:rFonts w:ascii="Arial" w:hAnsi="Arial" w:cs="Arial"/>
                <w:b/>
                <w:sz w:val="22"/>
                <w:szCs w:val="22"/>
              </w:rPr>
              <w:t>%</w:t>
            </w:r>
            <w:r w:rsidRPr="001E56A4">
              <w:rPr>
                <w:rFonts w:ascii="Arial" w:hAnsi="Arial" w:cs="Arial"/>
                <w:b/>
                <w:sz w:val="22"/>
                <w:szCs w:val="22"/>
              </w:rPr>
              <w:t xml:space="preserve"> of budgeted</w:t>
            </w:r>
          </w:p>
        </w:tc>
      </w:tr>
      <w:tr w:rsidR="006121FC" w:rsidRPr="001E56A4" w14:paraId="6F2BC183" w14:textId="77777777" w:rsidTr="00DB4CA1">
        <w:trPr>
          <w:trHeight w:val="255"/>
        </w:trPr>
        <w:tc>
          <w:tcPr>
            <w:tcW w:w="940" w:type="dxa"/>
            <w:shd w:val="clear" w:color="auto" w:fill="auto"/>
            <w:noWrap/>
            <w:vAlign w:val="bottom"/>
          </w:tcPr>
          <w:p w14:paraId="27CA683C" w14:textId="6EFD7C72" w:rsidR="006121FC" w:rsidRPr="001E56A4" w:rsidRDefault="00880160" w:rsidP="006613E0">
            <w:pPr>
              <w:rPr>
                <w:rFonts w:ascii="Arial" w:hAnsi="Arial" w:cs="Arial"/>
                <w:sz w:val="22"/>
                <w:szCs w:val="22"/>
              </w:rPr>
            </w:pPr>
            <w:r w:rsidRPr="001E56A4">
              <w:rPr>
                <w:rFonts w:ascii="Arial" w:hAnsi="Arial" w:cs="Arial"/>
                <w:sz w:val="22"/>
                <w:szCs w:val="22"/>
              </w:rPr>
              <w:t>20</w:t>
            </w:r>
            <w:r w:rsidR="0082319B" w:rsidRPr="001E56A4">
              <w:rPr>
                <w:rFonts w:ascii="Arial" w:hAnsi="Arial" w:cs="Arial"/>
                <w:sz w:val="22"/>
                <w:szCs w:val="22"/>
              </w:rPr>
              <w:t>09</w:t>
            </w:r>
          </w:p>
        </w:tc>
        <w:tc>
          <w:tcPr>
            <w:tcW w:w="2673" w:type="dxa"/>
            <w:shd w:val="clear" w:color="auto" w:fill="auto"/>
            <w:noWrap/>
            <w:vAlign w:val="bottom"/>
          </w:tcPr>
          <w:p w14:paraId="1B0D7AC6" w14:textId="77777777" w:rsidR="006121FC" w:rsidRPr="001E56A4" w:rsidRDefault="006121FC" w:rsidP="006613E0">
            <w:pPr>
              <w:jc w:val="center"/>
              <w:rPr>
                <w:rFonts w:ascii="Arial" w:hAnsi="Arial" w:cs="Arial"/>
                <w:sz w:val="22"/>
                <w:szCs w:val="22"/>
              </w:rPr>
            </w:pPr>
            <w:r w:rsidRPr="001E56A4">
              <w:rPr>
                <w:rFonts w:ascii="Arial" w:hAnsi="Arial" w:cs="Arial"/>
                <w:sz w:val="22"/>
                <w:szCs w:val="22"/>
              </w:rPr>
              <w:t>84.2%</w:t>
            </w:r>
          </w:p>
        </w:tc>
      </w:tr>
      <w:tr w:rsidR="006121FC" w:rsidRPr="001E56A4" w14:paraId="02732E2D" w14:textId="77777777" w:rsidTr="00DB4CA1">
        <w:trPr>
          <w:trHeight w:val="255"/>
        </w:trPr>
        <w:tc>
          <w:tcPr>
            <w:tcW w:w="940" w:type="dxa"/>
            <w:shd w:val="clear" w:color="auto" w:fill="auto"/>
            <w:noWrap/>
            <w:vAlign w:val="bottom"/>
          </w:tcPr>
          <w:p w14:paraId="7CABB8A5" w14:textId="50B006E7" w:rsidR="006121FC" w:rsidRPr="001E56A4" w:rsidRDefault="00880160" w:rsidP="006613E0">
            <w:pPr>
              <w:rPr>
                <w:rFonts w:ascii="Arial" w:hAnsi="Arial" w:cs="Arial"/>
                <w:sz w:val="22"/>
                <w:szCs w:val="22"/>
              </w:rPr>
            </w:pPr>
            <w:r w:rsidRPr="001E56A4">
              <w:rPr>
                <w:rFonts w:ascii="Arial" w:hAnsi="Arial" w:cs="Arial"/>
                <w:sz w:val="22"/>
                <w:szCs w:val="22"/>
              </w:rPr>
              <w:t>20</w:t>
            </w:r>
            <w:r w:rsidR="0082319B" w:rsidRPr="001E56A4">
              <w:rPr>
                <w:rFonts w:ascii="Arial" w:hAnsi="Arial" w:cs="Arial"/>
                <w:sz w:val="22"/>
                <w:szCs w:val="22"/>
              </w:rPr>
              <w:t>10</w:t>
            </w:r>
          </w:p>
        </w:tc>
        <w:tc>
          <w:tcPr>
            <w:tcW w:w="2673" w:type="dxa"/>
            <w:shd w:val="clear" w:color="auto" w:fill="auto"/>
            <w:noWrap/>
            <w:vAlign w:val="bottom"/>
          </w:tcPr>
          <w:p w14:paraId="62D78E19" w14:textId="77777777" w:rsidR="006121FC" w:rsidRPr="001E56A4" w:rsidRDefault="006121FC" w:rsidP="006613E0">
            <w:pPr>
              <w:jc w:val="center"/>
              <w:rPr>
                <w:rFonts w:ascii="Arial" w:hAnsi="Arial" w:cs="Arial"/>
                <w:sz w:val="22"/>
                <w:szCs w:val="22"/>
              </w:rPr>
            </w:pPr>
            <w:r w:rsidRPr="001E56A4">
              <w:rPr>
                <w:rFonts w:ascii="Arial" w:hAnsi="Arial" w:cs="Arial"/>
                <w:sz w:val="22"/>
                <w:szCs w:val="22"/>
              </w:rPr>
              <w:t>96.3%</w:t>
            </w:r>
          </w:p>
        </w:tc>
      </w:tr>
      <w:tr w:rsidR="006121FC" w:rsidRPr="001E56A4" w14:paraId="7A9E7B2E" w14:textId="77777777" w:rsidTr="00DB4CA1">
        <w:trPr>
          <w:trHeight w:val="255"/>
        </w:trPr>
        <w:tc>
          <w:tcPr>
            <w:tcW w:w="940" w:type="dxa"/>
            <w:shd w:val="clear" w:color="auto" w:fill="auto"/>
            <w:noWrap/>
            <w:vAlign w:val="bottom"/>
          </w:tcPr>
          <w:p w14:paraId="17BF26B4" w14:textId="55B26772" w:rsidR="006121FC" w:rsidRPr="001E56A4" w:rsidRDefault="00880160" w:rsidP="006613E0">
            <w:pPr>
              <w:rPr>
                <w:rFonts w:ascii="Arial" w:hAnsi="Arial" w:cs="Arial"/>
                <w:sz w:val="22"/>
                <w:szCs w:val="22"/>
              </w:rPr>
            </w:pPr>
            <w:r w:rsidRPr="001E56A4">
              <w:rPr>
                <w:rFonts w:ascii="Arial" w:hAnsi="Arial" w:cs="Arial"/>
                <w:sz w:val="22"/>
                <w:szCs w:val="22"/>
              </w:rPr>
              <w:t>20</w:t>
            </w:r>
            <w:r w:rsidR="0082319B" w:rsidRPr="001E56A4">
              <w:rPr>
                <w:rFonts w:ascii="Arial" w:hAnsi="Arial" w:cs="Arial"/>
                <w:sz w:val="22"/>
                <w:szCs w:val="22"/>
              </w:rPr>
              <w:t>11</w:t>
            </w:r>
          </w:p>
        </w:tc>
        <w:tc>
          <w:tcPr>
            <w:tcW w:w="2673" w:type="dxa"/>
            <w:shd w:val="clear" w:color="auto" w:fill="auto"/>
            <w:noWrap/>
            <w:vAlign w:val="bottom"/>
          </w:tcPr>
          <w:p w14:paraId="1B3C7D45" w14:textId="77777777" w:rsidR="006121FC" w:rsidRPr="001E56A4" w:rsidRDefault="006121FC" w:rsidP="006613E0">
            <w:pPr>
              <w:jc w:val="center"/>
              <w:rPr>
                <w:rFonts w:ascii="Arial" w:hAnsi="Arial" w:cs="Arial"/>
                <w:sz w:val="22"/>
                <w:szCs w:val="22"/>
              </w:rPr>
            </w:pPr>
            <w:r w:rsidRPr="001E56A4">
              <w:rPr>
                <w:rFonts w:ascii="Arial" w:hAnsi="Arial" w:cs="Arial"/>
                <w:sz w:val="22"/>
                <w:szCs w:val="22"/>
              </w:rPr>
              <w:t>79.8%</w:t>
            </w:r>
          </w:p>
        </w:tc>
      </w:tr>
      <w:tr w:rsidR="006121FC" w:rsidRPr="001E56A4" w14:paraId="15830A00" w14:textId="77777777" w:rsidTr="00DB4CA1">
        <w:trPr>
          <w:trHeight w:val="255"/>
        </w:trPr>
        <w:tc>
          <w:tcPr>
            <w:tcW w:w="940" w:type="dxa"/>
            <w:shd w:val="clear" w:color="auto" w:fill="auto"/>
            <w:noWrap/>
            <w:vAlign w:val="bottom"/>
          </w:tcPr>
          <w:p w14:paraId="2CE89FFA" w14:textId="273218EC" w:rsidR="006121FC" w:rsidRPr="001E56A4" w:rsidRDefault="00880160" w:rsidP="006613E0">
            <w:pPr>
              <w:rPr>
                <w:rFonts w:ascii="Arial" w:hAnsi="Arial" w:cs="Arial"/>
                <w:sz w:val="22"/>
                <w:szCs w:val="22"/>
              </w:rPr>
            </w:pPr>
            <w:r w:rsidRPr="001E56A4">
              <w:rPr>
                <w:rFonts w:ascii="Arial" w:hAnsi="Arial" w:cs="Arial"/>
                <w:sz w:val="22"/>
                <w:szCs w:val="22"/>
              </w:rPr>
              <w:t>20</w:t>
            </w:r>
            <w:r w:rsidR="0082319B" w:rsidRPr="001E56A4">
              <w:rPr>
                <w:rFonts w:ascii="Arial" w:hAnsi="Arial" w:cs="Arial"/>
                <w:sz w:val="22"/>
                <w:szCs w:val="22"/>
              </w:rPr>
              <w:t>12</w:t>
            </w:r>
          </w:p>
        </w:tc>
        <w:tc>
          <w:tcPr>
            <w:tcW w:w="2673" w:type="dxa"/>
            <w:shd w:val="clear" w:color="auto" w:fill="auto"/>
            <w:noWrap/>
            <w:vAlign w:val="bottom"/>
          </w:tcPr>
          <w:p w14:paraId="734E14DB" w14:textId="77777777" w:rsidR="006121FC" w:rsidRPr="001E56A4" w:rsidRDefault="0067270E" w:rsidP="006613E0">
            <w:pPr>
              <w:jc w:val="center"/>
              <w:rPr>
                <w:rFonts w:ascii="Arial" w:hAnsi="Arial" w:cs="Arial"/>
                <w:sz w:val="22"/>
                <w:szCs w:val="22"/>
              </w:rPr>
            </w:pPr>
            <w:r w:rsidRPr="001E56A4">
              <w:rPr>
                <w:rFonts w:ascii="Arial" w:hAnsi="Arial" w:cs="Arial"/>
                <w:sz w:val="22"/>
                <w:szCs w:val="22"/>
              </w:rPr>
              <w:t>85.3</w:t>
            </w:r>
            <w:r w:rsidR="006121FC" w:rsidRPr="001E56A4">
              <w:rPr>
                <w:rFonts w:ascii="Arial" w:hAnsi="Arial" w:cs="Arial"/>
                <w:sz w:val="22"/>
                <w:szCs w:val="22"/>
              </w:rPr>
              <w:t>%</w:t>
            </w:r>
          </w:p>
        </w:tc>
      </w:tr>
      <w:tr w:rsidR="006121FC" w:rsidRPr="001E56A4" w14:paraId="1535A45C" w14:textId="77777777" w:rsidTr="00DB4CA1">
        <w:trPr>
          <w:trHeight w:val="255"/>
        </w:trPr>
        <w:tc>
          <w:tcPr>
            <w:tcW w:w="940" w:type="dxa"/>
            <w:shd w:val="clear" w:color="auto" w:fill="auto"/>
            <w:noWrap/>
            <w:vAlign w:val="bottom"/>
          </w:tcPr>
          <w:p w14:paraId="5F235FF7" w14:textId="4BC9E400" w:rsidR="006121FC" w:rsidRPr="001E56A4" w:rsidRDefault="00880160" w:rsidP="006613E0">
            <w:pPr>
              <w:rPr>
                <w:rFonts w:ascii="Arial" w:hAnsi="Arial" w:cs="Arial"/>
                <w:sz w:val="22"/>
                <w:szCs w:val="22"/>
              </w:rPr>
            </w:pPr>
            <w:r w:rsidRPr="001E56A4">
              <w:rPr>
                <w:rFonts w:ascii="Arial" w:hAnsi="Arial" w:cs="Arial"/>
                <w:sz w:val="22"/>
                <w:szCs w:val="22"/>
              </w:rPr>
              <w:t>20</w:t>
            </w:r>
            <w:r w:rsidR="0082319B" w:rsidRPr="001E56A4">
              <w:rPr>
                <w:rFonts w:ascii="Arial" w:hAnsi="Arial" w:cs="Arial"/>
                <w:sz w:val="22"/>
                <w:szCs w:val="22"/>
              </w:rPr>
              <w:t>13</w:t>
            </w:r>
          </w:p>
        </w:tc>
        <w:tc>
          <w:tcPr>
            <w:tcW w:w="2673" w:type="dxa"/>
            <w:shd w:val="clear" w:color="auto" w:fill="auto"/>
            <w:noWrap/>
            <w:vAlign w:val="bottom"/>
          </w:tcPr>
          <w:p w14:paraId="6B2568E2" w14:textId="77777777" w:rsidR="006121FC" w:rsidRPr="001E56A4" w:rsidRDefault="006121FC" w:rsidP="006613E0">
            <w:pPr>
              <w:jc w:val="center"/>
              <w:rPr>
                <w:rFonts w:ascii="Arial" w:hAnsi="Arial" w:cs="Arial"/>
                <w:sz w:val="22"/>
                <w:szCs w:val="22"/>
              </w:rPr>
            </w:pPr>
            <w:r w:rsidRPr="001E56A4">
              <w:rPr>
                <w:rFonts w:ascii="Arial" w:hAnsi="Arial" w:cs="Arial"/>
                <w:sz w:val="22"/>
                <w:szCs w:val="22"/>
              </w:rPr>
              <w:t>7</w:t>
            </w:r>
            <w:r w:rsidR="0067270E" w:rsidRPr="001E56A4">
              <w:rPr>
                <w:rFonts w:ascii="Arial" w:hAnsi="Arial" w:cs="Arial"/>
                <w:sz w:val="22"/>
                <w:szCs w:val="22"/>
              </w:rPr>
              <w:t>2.2</w:t>
            </w:r>
            <w:r w:rsidRPr="001E56A4">
              <w:rPr>
                <w:rFonts w:ascii="Arial" w:hAnsi="Arial" w:cs="Arial"/>
                <w:sz w:val="22"/>
                <w:szCs w:val="22"/>
              </w:rPr>
              <w:t>%</w:t>
            </w:r>
          </w:p>
        </w:tc>
      </w:tr>
      <w:tr w:rsidR="006121FC" w:rsidRPr="001E56A4" w14:paraId="7CF6AFBD" w14:textId="77777777" w:rsidTr="00DB4CA1">
        <w:trPr>
          <w:trHeight w:val="255"/>
        </w:trPr>
        <w:tc>
          <w:tcPr>
            <w:tcW w:w="940" w:type="dxa"/>
            <w:shd w:val="clear" w:color="auto" w:fill="auto"/>
            <w:noWrap/>
            <w:vAlign w:val="bottom"/>
          </w:tcPr>
          <w:p w14:paraId="45EF1372" w14:textId="16EF78B8" w:rsidR="006121FC" w:rsidRPr="001E56A4" w:rsidRDefault="00880160" w:rsidP="006613E0">
            <w:pPr>
              <w:rPr>
                <w:rFonts w:ascii="Arial" w:hAnsi="Arial" w:cs="Arial"/>
                <w:sz w:val="22"/>
                <w:szCs w:val="22"/>
              </w:rPr>
            </w:pPr>
            <w:r w:rsidRPr="001E56A4">
              <w:rPr>
                <w:rFonts w:ascii="Arial" w:hAnsi="Arial" w:cs="Arial"/>
                <w:sz w:val="22"/>
                <w:szCs w:val="22"/>
              </w:rPr>
              <w:t>20</w:t>
            </w:r>
            <w:r w:rsidR="0082319B" w:rsidRPr="001E56A4">
              <w:rPr>
                <w:rFonts w:ascii="Arial" w:hAnsi="Arial" w:cs="Arial"/>
                <w:sz w:val="22"/>
                <w:szCs w:val="22"/>
              </w:rPr>
              <w:t>14</w:t>
            </w:r>
          </w:p>
        </w:tc>
        <w:tc>
          <w:tcPr>
            <w:tcW w:w="2673" w:type="dxa"/>
            <w:shd w:val="clear" w:color="auto" w:fill="auto"/>
            <w:noWrap/>
            <w:vAlign w:val="bottom"/>
          </w:tcPr>
          <w:p w14:paraId="7FC9D4D3" w14:textId="77777777" w:rsidR="006121FC" w:rsidRPr="001E56A4" w:rsidRDefault="006121FC" w:rsidP="006613E0">
            <w:pPr>
              <w:jc w:val="center"/>
              <w:rPr>
                <w:rFonts w:ascii="Arial" w:hAnsi="Arial" w:cs="Arial"/>
                <w:sz w:val="22"/>
                <w:szCs w:val="22"/>
              </w:rPr>
            </w:pPr>
            <w:r w:rsidRPr="001E56A4">
              <w:rPr>
                <w:rFonts w:ascii="Arial" w:hAnsi="Arial" w:cs="Arial"/>
                <w:sz w:val="22"/>
                <w:szCs w:val="22"/>
              </w:rPr>
              <w:t>56.7%</w:t>
            </w:r>
          </w:p>
        </w:tc>
      </w:tr>
      <w:tr w:rsidR="006121FC" w:rsidRPr="001E56A4" w14:paraId="1A49AE84" w14:textId="77777777" w:rsidTr="00DB4CA1">
        <w:trPr>
          <w:trHeight w:val="255"/>
        </w:trPr>
        <w:tc>
          <w:tcPr>
            <w:tcW w:w="940" w:type="dxa"/>
            <w:shd w:val="clear" w:color="auto" w:fill="auto"/>
            <w:noWrap/>
            <w:vAlign w:val="bottom"/>
          </w:tcPr>
          <w:p w14:paraId="1EC0E710" w14:textId="61ADDA79" w:rsidR="006121FC" w:rsidRPr="001E56A4" w:rsidRDefault="00880160" w:rsidP="006613E0">
            <w:pPr>
              <w:rPr>
                <w:rFonts w:ascii="Arial" w:hAnsi="Arial" w:cs="Arial"/>
                <w:sz w:val="22"/>
                <w:szCs w:val="22"/>
              </w:rPr>
            </w:pPr>
            <w:r w:rsidRPr="001E56A4">
              <w:rPr>
                <w:rFonts w:ascii="Arial" w:hAnsi="Arial" w:cs="Arial"/>
                <w:sz w:val="22"/>
                <w:szCs w:val="22"/>
              </w:rPr>
              <w:t>20</w:t>
            </w:r>
            <w:r w:rsidR="000C6C18" w:rsidRPr="001E56A4">
              <w:rPr>
                <w:rFonts w:ascii="Arial" w:hAnsi="Arial" w:cs="Arial"/>
                <w:sz w:val="22"/>
                <w:szCs w:val="22"/>
              </w:rPr>
              <w:t>1</w:t>
            </w:r>
            <w:r w:rsidR="0082319B" w:rsidRPr="001E56A4">
              <w:rPr>
                <w:rFonts w:ascii="Arial" w:hAnsi="Arial" w:cs="Arial"/>
                <w:sz w:val="22"/>
                <w:szCs w:val="22"/>
              </w:rPr>
              <w:t>5</w:t>
            </w:r>
          </w:p>
        </w:tc>
        <w:tc>
          <w:tcPr>
            <w:tcW w:w="2673" w:type="dxa"/>
            <w:shd w:val="clear" w:color="auto" w:fill="auto"/>
            <w:noWrap/>
            <w:vAlign w:val="bottom"/>
          </w:tcPr>
          <w:p w14:paraId="696D1EF6" w14:textId="77777777" w:rsidR="006121FC" w:rsidRPr="001E56A4" w:rsidRDefault="0067270E" w:rsidP="006613E0">
            <w:pPr>
              <w:jc w:val="center"/>
              <w:rPr>
                <w:rFonts w:ascii="Arial" w:hAnsi="Arial" w:cs="Arial"/>
                <w:sz w:val="22"/>
                <w:szCs w:val="22"/>
              </w:rPr>
            </w:pPr>
            <w:r w:rsidRPr="001E56A4">
              <w:rPr>
                <w:rFonts w:ascii="Arial" w:hAnsi="Arial" w:cs="Arial"/>
                <w:sz w:val="22"/>
                <w:szCs w:val="22"/>
              </w:rPr>
              <w:t>8</w:t>
            </w:r>
            <w:r w:rsidR="004122A2" w:rsidRPr="001E56A4">
              <w:rPr>
                <w:rFonts w:ascii="Arial" w:hAnsi="Arial" w:cs="Arial"/>
                <w:sz w:val="22"/>
                <w:szCs w:val="22"/>
              </w:rPr>
              <w:t>6</w:t>
            </w:r>
            <w:r w:rsidRPr="001E56A4">
              <w:rPr>
                <w:rFonts w:ascii="Arial" w:hAnsi="Arial" w:cs="Arial"/>
                <w:sz w:val="22"/>
                <w:szCs w:val="22"/>
              </w:rPr>
              <w:t>.1</w:t>
            </w:r>
            <w:r w:rsidR="006121FC" w:rsidRPr="001E56A4">
              <w:rPr>
                <w:rFonts w:ascii="Arial" w:hAnsi="Arial" w:cs="Arial"/>
                <w:sz w:val="22"/>
                <w:szCs w:val="22"/>
              </w:rPr>
              <w:t>%</w:t>
            </w:r>
          </w:p>
        </w:tc>
      </w:tr>
    </w:tbl>
    <w:p w14:paraId="17B8CE0E" w14:textId="77777777" w:rsidR="00751580" w:rsidRPr="001E56A4" w:rsidRDefault="00751580" w:rsidP="006613E0">
      <w:pPr>
        <w:ind w:left="360"/>
        <w:rPr>
          <w:rFonts w:ascii="Arial" w:hAnsi="Arial" w:cs="Arial"/>
          <w:sz w:val="22"/>
          <w:szCs w:val="22"/>
        </w:rPr>
      </w:pPr>
    </w:p>
    <w:p w14:paraId="27C5A93B" w14:textId="77777777" w:rsidR="00773A72" w:rsidRPr="001E56A4" w:rsidRDefault="00773A72" w:rsidP="006613E0">
      <w:pPr>
        <w:autoSpaceDE w:val="0"/>
        <w:autoSpaceDN w:val="0"/>
        <w:adjustRightInd w:val="0"/>
        <w:rPr>
          <w:rFonts w:ascii="Arial" w:hAnsi="Arial" w:cs="Arial"/>
          <w:b/>
          <w:bCs/>
          <w:sz w:val="22"/>
          <w:szCs w:val="22"/>
        </w:rPr>
      </w:pPr>
    </w:p>
    <w:p w14:paraId="64FA1479" w14:textId="77777777" w:rsidR="00773A72" w:rsidRPr="001E56A4" w:rsidRDefault="00773A72" w:rsidP="006613E0">
      <w:pPr>
        <w:autoSpaceDE w:val="0"/>
        <w:autoSpaceDN w:val="0"/>
        <w:adjustRightInd w:val="0"/>
        <w:rPr>
          <w:rFonts w:ascii="Arial" w:hAnsi="Arial" w:cs="Arial"/>
          <w:b/>
          <w:bCs/>
          <w:sz w:val="22"/>
          <w:szCs w:val="22"/>
        </w:rPr>
      </w:pPr>
    </w:p>
    <w:p w14:paraId="68F05034" w14:textId="77777777" w:rsidR="00773A72" w:rsidRPr="001E56A4" w:rsidRDefault="00773A72" w:rsidP="006613E0">
      <w:pPr>
        <w:autoSpaceDE w:val="0"/>
        <w:autoSpaceDN w:val="0"/>
        <w:adjustRightInd w:val="0"/>
        <w:rPr>
          <w:rFonts w:ascii="Arial" w:hAnsi="Arial" w:cs="Arial"/>
          <w:b/>
          <w:bCs/>
          <w:sz w:val="22"/>
          <w:szCs w:val="22"/>
        </w:rPr>
      </w:pPr>
    </w:p>
    <w:p w14:paraId="6641CA75" w14:textId="77777777" w:rsidR="00773A72" w:rsidRPr="001E56A4" w:rsidRDefault="00773A72" w:rsidP="006613E0">
      <w:pPr>
        <w:autoSpaceDE w:val="0"/>
        <w:autoSpaceDN w:val="0"/>
        <w:adjustRightInd w:val="0"/>
        <w:rPr>
          <w:rFonts w:ascii="Arial" w:hAnsi="Arial" w:cs="Arial"/>
          <w:b/>
          <w:bCs/>
          <w:sz w:val="22"/>
          <w:szCs w:val="22"/>
        </w:rPr>
      </w:pPr>
    </w:p>
    <w:p w14:paraId="0500D61B" w14:textId="77777777" w:rsidR="00773A72" w:rsidRPr="001E56A4" w:rsidRDefault="00773A72" w:rsidP="006613E0">
      <w:pPr>
        <w:autoSpaceDE w:val="0"/>
        <w:autoSpaceDN w:val="0"/>
        <w:adjustRightInd w:val="0"/>
        <w:rPr>
          <w:rFonts w:ascii="Arial" w:hAnsi="Arial" w:cs="Arial"/>
          <w:b/>
          <w:bCs/>
          <w:sz w:val="22"/>
          <w:szCs w:val="22"/>
        </w:rPr>
      </w:pPr>
    </w:p>
    <w:p w14:paraId="0C2276FE" w14:textId="77777777" w:rsidR="00773A72" w:rsidRPr="001E56A4" w:rsidRDefault="00773A72" w:rsidP="006613E0">
      <w:pPr>
        <w:autoSpaceDE w:val="0"/>
        <w:autoSpaceDN w:val="0"/>
        <w:adjustRightInd w:val="0"/>
        <w:rPr>
          <w:rFonts w:ascii="Arial" w:hAnsi="Arial" w:cs="Arial"/>
          <w:b/>
          <w:bCs/>
          <w:sz w:val="22"/>
          <w:szCs w:val="22"/>
        </w:rPr>
      </w:pPr>
    </w:p>
    <w:p w14:paraId="213BB60F" w14:textId="77777777" w:rsidR="00773A72" w:rsidRPr="001E56A4" w:rsidRDefault="00773A72" w:rsidP="006613E0">
      <w:pPr>
        <w:autoSpaceDE w:val="0"/>
        <w:autoSpaceDN w:val="0"/>
        <w:adjustRightInd w:val="0"/>
        <w:rPr>
          <w:rFonts w:ascii="Arial" w:hAnsi="Arial" w:cs="Arial"/>
          <w:b/>
          <w:bCs/>
          <w:sz w:val="22"/>
          <w:szCs w:val="22"/>
        </w:rPr>
      </w:pPr>
    </w:p>
    <w:p w14:paraId="0AC41161" w14:textId="77777777" w:rsidR="00773A72" w:rsidRPr="001E56A4" w:rsidRDefault="00773A72" w:rsidP="006613E0">
      <w:pPr>
        <w:autoSpaceDE w:val="0"/>
        <w:autoSpaceDN w:val="0"/>
        <w:adjustRightInd w:val="0"/>
        <w:rPr>
          <w:rFonts w:ascii="Arial" w:hAnsi="Arial" w:cs="Arial"/>
          <w:b/>
          <w:bCs/>
          <w:sz w:val="22"/>
          <w:szCs w:val="22"/>
        </w:rPr>
      </w:pPr>
    </w:p>
    <w:p w14:paraId="1EDB64FF" w14:textId="77777777" w:rsidR="00773A72" w:rsidRPr="001E56A4" w:rsidRDefault="00773A72" w:rsidP="006613E0">
      <w:pPr>
        <w:autoSpaceDE w:val="0"/>
        <w:autoSpaceDN w:val="0"/>
        <w:adjustRightInd w:val="0"/>
        <w:rPr>
          <w:rFonts w:ascii="Arial" w:hAnsi="Arial" w:cs="Arial"/>
          <w:b/>
          <w:bCs/>
          <w:sz w:val="22"/>
          <w:szCs w:val="22"/>
        </w:rPr>
      </w:pPr>
    </w:p>
    <w:p w14:paraId="61BE4B4C" w14:textId="77777777" w:rsidR="006613E0" w:rsidRPr="001E56A4" w:rsidRDefault="006613E0" w:rsidP="006613E0">
      <w:pPr>
        <w:autoSpaceDE w:val="0"/>
        <w:autoSpaceDN w:val="0"/>
        <w:adjustRightInd w:val="0"/>
        <w:rPr>
          <w:rFonts w:ascii="Arial" w:hAnsi="Arial" w:cs="Arial"/>
          <w:b/>
          <w:bCs/>
          <w:sz w:val="22"/>
          <w:szCs w:val="22"/>
        </w:rPr>
      </w:pPr>
    </w:p>
    <w:p w14:paraId="5C5B9972" w14:textId="77777777" w:rsidR="006613E0" w:rsidRPr="001E56A4" w:rsidRDefault="006613E0" w:rsidP="006613E0">
      <w:pPr>
        <w:autoSpaceDE w:val="0"/>
        <w:autoSpaceDN w:val="0"/>
        <w:adjustRightInd w:val="0"/>
        <w:rPr>
          <w:rFonts w:ascii="Arial" w:hAnsi="Arial" w:cs="Arial"/>
          <w:b/>
          <w:bCs/>
          <w:sz w:val="22"/>
          <w:szCs w:val="22"/>
        </w:rPr>
      </w:pPr>
    </w:p>
    <w:p w14:paraId="411A8766" w14:textId="77777777" w:rsidR="0038145B" w:rsidRPr="001E56A4" w:rsidRDefault="0038145B" w:rsidP="006613E0">
      <w:pPr>
        <w:autoSpaceDE w:val="0"/>
        <w:autoSpaceDN w:val="0"/>
        <w:adjustRightInd w:val="0"/>
        <w:rPr>
          <w:rFonts w:ascii="Arial" w:hAnsi="Arial" w:cs="Arial"/>
          <w:b/>
          <w:bCs/>
          <w:sz w:val="22"/>
          <w:szCs w:val="22"/>
        </w:rPr>
      </w:pPr>
    </w:p>
    <w:p w14:paraId="31C93DDB" w14:textId="77777777" w:rsidR="0038145B" w:rsidRPr="001E56A4" w:rsidRDefault="0038145B" w:rsidP="0038145B">
      <w:pPr>
        <w:autoSpaceDE w:val="0"/>
        <w:autoSpaceDN w:val="0"/>
        <w:adjustRightInd w:val="0"/>
        <w:rPr>
          <w:rFonts w:ascii="Arial" w:hAnsi="Arial" w:cs="Arial"/>
          <w:b/>
          <w:bCs/>
          <w:sz w:val="22"/>
          <w:szCs w:val="22"/>
        </w:rPr>
      </w:pPr>
      <w:bookmarkStart w:id="0" w:name="_Toc107826124"/>
      <w:r w:rsidRPr="001E56A4">
        <w:rPr>
          <w:rFonts w:ascii="Arial" w:hAnsi="Arial" w:cs="Arial"/>
          <w:b/>
          <w:bCs/>
          <w:sz w:val="22"/>
          <w:szCs w:val="22"/>
        </w:rPr>
        <w:t>Required</w:t>
      </w:r>
    </w:p>
    <w:p w14:paraId="1056C052" w14:textId="77777777" w:rsidR="0038145B" w:rsidRPr="001E56A4" w:rsidRDefault="0038145B" w:rsidP="0038145B">
      <w:pPr>
        <w:autoSpaceDE w:val="0"/>
        <w:autoSpaceDN w:val="0"/>
        <w:adjustRightInd w:val="0"/>
        <w:rPr>
          <w:rFonts w:ascii="Arial" w:hAnsi="Arial" w:cs="Arial"/>
          <w:sz w:val="22"/>
          <w:szCs w:val="22"/>
        </w:rPr>
      </w:pPr>
    </w:p>
    <w:p w14:paraId="6B1CC162" w14:textId="77777777" w:rsidR="0038145B" w:rsidRPr="001E56A4" w:rsidRDefault="0038145B" w:rsidP="0038145B">
      <w:pPr>
        <w:tabs>
          <w:tab w:val="left" w:pos="360"/>
        </w:tabs>
        <w:ind w:left="360" w:hanging="360"/>
        <w:rPr>
          <w:rFonts w:ascii="Arial" w:hAnsi="Arial" w:cs="Arial"/>
          <w:sz w:val="22"/>
          <w:szCs w:val="22"/>
        </w:rPr>
      </w:pPr>
      <w:r w:rsidRPr="001E56A4">
        <w:rPr>
          <w:rFonts w:ascii="Arial" w:hAnsi="Arial" w:cs="Arial"/>
          <w:sz w:val="22"/>
          <w:szCs w:val="22"/>
        </w:rPr>
        <w:t>1.</w:t>
      </w:r>
      <w:r w:rsidRPr="001E56A4">
        <w:rPr>
          <w:rFonts w:ascii="Arial" w:hAnsi="Arial" w:cs="Arial"/>
          <w:sz w:val="22"/>
          <w:szCs w:val="22"/>
        </w:rPr>
        <w:tab/>
        <w:t>Is it possible to rate this indicator?  Is there sufficient evidence?  If not, what additional evidence should be obtained?</w:t>
      </w:r>
    </w:p>
    <w:p w14:paraId="4933C443" w14:textId="77777777" w:rsidR="0038145B" w:rsidRPr="001E56A4" w:rsidRDefault="0038145B" w:rsidP="0038145B">
      <w:pPr>
        <w:tabs>
          <w:tab w:val="left" w:pos="360"/>
        </w:tabs>
        <w:rPr>
          <w:rFonts w:ascii="Arial" w:hAnsi="Arial" w:cs="Arial"/>
          <w:sz w:val="22"/>
          <w:szCs w:val="22"/>
        </w:rPr>
      </w:pPr>
    </w:p>
    <w:p w14:paraId="61FD1B53" w14:textId="77777777" w:rsidR="0038145B" w:rsidRPr="001E56A4" w:rsidRDefault="0038145B" w:rsidP="0038145B">
      <w:pPr>
        <w:tabs>
          <w:tab w:val="left" w:pos="360"/>
        </w:tabs>
        <w:rPr>
          <w:rFonts w:ascii="Arial" w:hAnsi="Arial" w:cs="Arial"/>
          <w:b/>
          <w:bCs/>
          <w:sz w:val="22"/>
          <w:szCs w:val="22"/>
        </w:rPr>
      </w:pPr>
      <w:r w:rsidRPr="001E56A4">
        <w:rPr>
          <w:rFonts w:ascii="Arial" w:hAnsi="Arial" w:cs="Arial"/>
          <w:sz w:val="22"/>
          <w:szCs w:val="22"/>
        </w:rPr>
        <w:t>2.</w:t>
      </w:r>
      <w:r w:rsidRPr="001E56A4">
        <w:rPr>
          <w:rFonts w:ascii="Arial" w:hAnsi="Arial" w:cs="Arial"/>
          <w:sz w:val="22"/>
          <w:szCs w:val="22"/>
        </w:rPr>
        <w:tab/>
        <w:t xml:space="preserve">If the evidence is sufficient, what is your rating? </w:t>
      </w:r>
    </w:p>
    <w:p w14:paraId="460E28F3" w14:textId="77777777" w:rsidR="0038145B" w:rsidRPr="001E56A4" w:rsidRDefault="0038145B" w:rsidP="0038145B">
      <w:pPr>
        <w:rPr>
          <w:rFonts w:ascii="Arial" w:hAnsi="Arial" w:cs="Arial"/>
          <w:sz w:val="22"/>
          <w:szCs w:val="22"/>
        </w:rPr>
      </w:pPr>
    </w:p>
    <w:p w14:paraId="2845DE67" w14:textId="77777777" w:rsidR="007C224F" w:rsidRPr="001E56A4" w:rsidRDefault="007C224F" w:rsidP="006613E0">
      <w:pPr>
        <w:rPr>
          <w:rFonts w:ascii="Arial" w:hAnsi="Arial" w:cs="Arial"/>
          <w:sz w:val="22"/>
          <w:szCs w:val="22"/>
        </w:rPr>
      </w:pPr>
    </w:p>
    <w:p w14:paraId="1B71CD04" w14:textId="77777777" w:rsidR="007C224F" w:rsidRPr="001E56A4" w:rsidRDefault="007C224F" w:rsidP="006613E0">
      <w:pPr>
        <w:rPr>
          <w:rFonts w:ascii="Arial" w:hAnsi="Arial" w:cs="Arial"/>
          <w:sz w:val="22"/>
          <w:szCs w:val="22"/>
        </w:rPr>
      </w:pPr>
    </w:p>
    <w:p w14:paraId="77D2E3BF" w14:textId="77777777" w:rsidR="007C224F" w:rsidRPr="001E56A4" w:rsidRDefault="007C224F" w:rsidP="006613E0">
      <w:pPr>
        <w:rPr>
          <w:rFonts w:ascii="Arial" w:hAnsi="Arial" w:cs="Arial"/>
          <w:sz w:val="22"/>
          <w:szCs w:val="22"/>
        </w:rPr>
      </w:pPr>
    </w:p>
    <w:p w14:paraId="707819A9" w14:textId="77777777" w:rsidR="007C224F" w:rsidRPr="001E56A4" w:rsidRDefault="007C224F" w:rsidP="006613E0">
      <w:pPr>
        <w:rPr>
          <w:rFonts w:ascii="Arial" w:hAnsi="Arial" w:cs="Arial"/>
          <w:sz w:val="22"/>
          <w:szCs w:val="22"/>
        </w:rPr>
      </w:pPr>
    </w:p>
    <w:p w14:paraId="4A7D4B3A" w14:textId="77777777" w:rsidR="007C224F" w:rsidRPr="001E56A4" w:rsidRDefault="007C224F" w:rsidP="006613E0">
      <w:pPr>
        <w:rPr>
          <w:rFonts w:ascii="Arial" w:hAnsi="Arial" w:cs="Arial"/>
          <w:sz w:val="22"/>
          <w:szCs w:val="22"/>
        </w:rPr>
      </w:pPr>
    </w:p>
    <w:p w14:paraId="43BBBA06" w14:textId="77777777" w:rsidR="007C224F" w:rsidRPr="001E56A4" w:rsidRDefault="007C224F" w:rsidP="006613E0">
      <w:pPr>
        <w:rPr>
          <w:rFonts w:ascii="Arial" w:hAnsi="Arial" w:cs="Arial"/>
          <w:sz w:val="22"/>
          <w:szCs w:val="22"/>
        </w:rPr>
      </w:pPr>
    </w:p>
    <w:p w14:paraId="13DC5CBD" w14:textId="77777777" w:rsidR="007C224F" w:rsidRPr="001E56A4" w:rsidRDefault="007C224F" w:rsidP="006613E0">
      <w:pPr>
        <w:rPr>
          <w:rFonts w:ascii="Arial" w:hAnsi="Arial" w:cs="Arial"/>
          <w:sz w:val="22"/>
          <w:szCs w:val="22"/>
        </w:rPr>
      </w:pPr>
    </w:p>
    <w:p w14:paraId="07DE6900" w14:textId="77777777" w:rsidR="007C224F" w:rsidRPr="001E56A4" w:rsidRDefault="007C224F" w:rsidP="006613E0">
      <w:pPr>
        <w:rPr>
          <w:rFonts w:ascii="Arial" w:hAnsi="Arial" w:cs="Arial"/>
          <w:sz w:val="22"/>
          <w:szCs w:val="22"/>
        </w:rPr>
      </w:pPr>
    </w:p>
    <w:p w14:paraId="7A6ECA29" w14:textId="77777777" w:rsidR="007C224F" w:rsidRPr="001E56A4" w:rsidRDefault="007C224F" w:rsidP="006613E0">
      <w:pPr>
        <w:rPr>
          <w:rFonts w:ascii="Arial" w:hAnsi="Arial" w:cs="Arial"/>
          <w:sz w:val="22"/>
          <w:szCs w:val="22"/>
        </w:rPr>
      </w:pPr>
    </w:p>
    <w:p w14:paraId="074E8AB2" w14:textId="77777777" w:rsidR="007C224F" w:rsidRPr="001E56A4" w:rsidRDefault="007C224F" w:rsidP="006613E0">
      <w:pPr>
        <w:rPr>
          <w:rFonts w:ascii="Arial" w:hAnsi="Arial" w:cs="Arial"/>
          <w:sz w:val="22"/>
          <w:szCs w:val="22"/>
        </w:rPr>
      </w:pPr>
    </w:p>
    <w:p w14:paraId="6B2B959E" w14:textId="77777777" w:rsidR="007C224F" w:rsidRPr="001E56A4" w:rsidRDefault="007C224F" w:rsidP="006613E0">
      <w:pPr>
        <w:rPr>
          <w:rFonts w:ascii="Arial" w:hAnsi="Arial" w:cs="Arial"/>
          <w:sz w:val="22"/>
          <w:szCs w:val="22"/>
        </w:rPr>
      </w:pPr>
    </w:p>
    <w:p w14:paraId="0217CF21" w14:textId="77777777" w:rsidR="007C224F" w:rsidRPr="001E56A4" w:rsidRDefault="007C224F" w:rsidP="006613E0">
      <w:pPr>
        <w:rPr>
          <w:rFonts w:ascii="Arial" w:hAnsi="Arial" w:cs="Arial"/>
          <w:sz w:val="22"/>
          <w:szCs w:val="22"/>
        </w:rPr>
      </w:pPr>
    </w:p>
    <w:p w14:paraId="6671DADC" w14:textId="77777777" w:rsidR="0038145B" w:rsidRPr="001E56A4" w:rsidRDefault="0038145B">
      <w:pPr>
        <w:rPr>
          <w:rFonts w:ascii="Arial" w:hAnsi="Arial" w:cs="Arial"/>
          <w:b/>
          <w:bCs/>
          <w:szCs w:val="22"/>
        </w:rPr>
      </w:pPr>
      <w:r w:rsidRPr="001E56A4">
        <w:rPr>
          <w:rFonts w:ascii="Arial" w:hAnsi="Arial" w:cs="Arial"/>
          <w:b/>
          <w:bCs/>
          <w:szCs w:val="22"/>
        </w:rPr>
        <w:br w:type="page"/>
      </w:r>
    </w:p>
    <w:p w14:paraId="38E61AC4" w14:textId="0793DA5C" w:rsidR="007A00C4" w:rsidRPr="001E56A4" w:rsidRDefault="0082319B" w:rsidP="006613E0">
      <w:pPr>
        <w:rPr>
          <w:rFonts w:ascii="Arial" w:hAnsi="Arial" w:cs="Arial"/>
          <w:b/>
          <w:bCs/>
          <w:szCs w:val="22"/>
        </w:rPr>
      </w:pPr>
      <w:r w:rsidRPr="001E56A4">
        <w:rPr>
          <w:rFonts w:ascii="Arial" w:hAnsi="Arial" w:cs="Arial"/>
          <w:b/>
          <w:bCs/>
          <w:szCs w:val="22"/>
        </w:rPr>
        <w:lastRenderedPageBreak/>
        <w:t>PI-4</w:t>
      </w:r>
      <w:r w:rsidR="00BA69E3">
        <w:rPr>
          <w:rFonts w:ascii="Arial" w:hAnsi="Arial" w:cs="Arial"/>
          <w:b/>
          <w:bCs/>
          <w:szCs w:val="22"/>
        </w:rPr>
        <w:t>: Budget c</w:t>
      </w:r>
      <w:r w:rsidR="007A00C4" w:rsidRPr="001E56A4">
        <w:rPr>
          <w:rFonts w:ascii="Arial" w:hAnsi="Arial" w:cs="Arial"/>
          <w:b/>
          <w:bCs/>
          <w:szCs w:val="22"/>
        </w:rPr>
        <w:t>lassification</w:t>
      </w:r>
      <w:bookmarkEnd w:id="0"/>
    </w:p>
    <w:p w14:paraId="6E9DB0CF" w14:textId="77777777" w:rsidR="007A00C4" w:rsidRPr="001E56A4" w:rsidRDefault="007A00C4" w:rsidP="006613E0">
      <w:pPr>
        <w:autoSpaceDE w:val="0"/>
        <w:autoSpaceDN w:val="0"/>
        <w:adjustRightInd w:val="0"/>
        <w:jc w:val="both"/>
        <w:rPr>
          <w:rFonts w:ascii="Arial" w:hAnsi="Arial" w:cs="Arial"/>
          <w:sz w:val="22"/>
          <w:szCs w:val="22"/>
        </w:rPr>
      </w:pPr>
    </w:p>
    <w:p w14:paraId="3294ECB6" w14:textId="405EE93F" w:rsidR="007A00C4" w:rsidRPr="001E56A4" w:rsidRDefault="007A00C4" w:rsidP="006613E0">
      <w:pPr>
        <w:pStyle w:val="Body"/>
        <w:numPr>
          <w:ilvl w:val="0"/>
          <w:numId w:val="0"/>
        </w:numPr>
        <w:spacing w:before="0" w:after="0"/>
        <w:jc w:val="left"/>
        <w:rPr>
          <w:rFonts w:ascii="Arial" w:hAnsi="Arial" w:cs="Arial"/>
        </w:rPr>
      </w:pPr>
      <w:r w:rsidRPr="001E56A4">
        <w:rPr>
          <w:rFonts w:ascii="Arial" w:hAnsi="Arial" w:cs="Arial"/>
        </w:rPr>
        <w:t xml:space="preserve">Spending classification in the budget appropriations is formulated by major economic code for each budget entity.  </w:t>
      </w:r>
      <w:r w:rsidR="003B3D7B" w:rsidRPr="001E56A4">
        <w:rPr>
          <w:rFonts w:ascii="Arial" w:hAnsi="Arial" w:cs="Arial"/>
        </w:rPr>
        <w:t>T</w:t>
      </w:r>
      <w:r w:rsidRPr="001E56A4">
        <w:rPr>
          <w:rFonts w:ascii="Arial" w:hAnsi="Arial" w:cs="Arial"/>
        </w:rPr>
        <w:t xml:space="preserve">he classification </w:t>
      </w:r>
      <w:r w:rsidR="003B3D7B" w:rsidRPr="001E56A4">
        <w:rPr>
          <w:rFonts w:ascii="Arial" w:hAnsi="Arial" w:cs="Arial"/>
        </w:rPr>
        <w:t xml:space="preserve">of recorded expenditure </w:t>
      </w:r>
      <w:r w:rsidRPr="001E56A4">
        <w:rPr>
          <w:rFonts w:ascii="Arial" w:hAnsi="Arial" w:cs="Arial"/>
        </w:rPr>
        <w:t xml:space="preserve">is made for both </w:t>
      </w:r>
      <w:r w:rsidR="003B3D7B" w:rsidRPr="001E56A4">
        <w:rPr>
          <w:rFonts w:ascii="Arial" w:hAnsi="Arial" w:cs="Arial"/>
        </w:rPr>
        <w:t>recurrent</w:t>
      </w:r>
      <w:r w:rsidRPr="001E56A4">
        <w:rPr>
          <w:rFonts w:ascii="Arial" w:hAnsi="Arial" w:cs="Arial"/>
        </w:rPr>
        <w:t xml:space="preserve"> expenditures and development expenditures at the level of the organizational unit, source of funding and specific contract, expenditure detail (economic classification), and location (province). </w:t>
      </w:r>
      <w:r w:rsidR="001963A5" w:rsidRPr="001E56A4">
        <w:rPr>
          <w:rFonts w:ascii="Arial" w:hAnsi="Arial" w:cs="Arial"/>
        </w:rPr>
        <w:t xml:space="preserve"> </w:t>
      </w:r>
      <w:r w:rsidRPr="001E56A4">
        <w:rPr>
          <w:rFonts w:ascii="Arial" w:hAnsi="Arial" w:cs="Arial"/>
        </w:rPr>
        <w:t>The economic classificati</w:t>
      </w:r>
      <w:r w:rsidR="0082319B" w:rsidRPr="001E56A4">
        <w:rPr>
          <w:rFonts w:ascii="Arial" w:hAnsi="Arial" w:cs="Arial"/>
        </w:rPr>
        <w:t>on is bridged to support GFS 20</w:t>
      </w:r>
      <w:r w:rsidRPr="001E56A4">
        <w:rPr>
          <w:rFonts w:ascii="Arial" w:hAnsi="Arial" w:cs="Arial"/>
        </w:rPr>
        <w:t>1</w:t>
      </w:r>
      <w:r w:rsidR="0082319B" w:rsidRPr="001E56A4">
        <w:rPr>
          <w:rFonts w:ascii="Arial" w:hAnsi="Arial" w:cs="Arial"/>
        </w:rPr>
        <w:t>4</w:t>
      </w:r>
      <w:r w:rsidRPr="001E56A4">
        <w:rPr>
          <w:rFonts w:ascii="Arial" w:hAnsi="Arial" w:cs="Arial"/>
        </w:rPr>
        <w:t xml:space="preserve"> </w:t>
      </w:r>
      <w:r w:rsidR="004122A2" w:rsidRPr="001E56A4">
        <w:rPr>
          <w:rFonts w:ascii="Arial" w:hAnsi="Arial" w:cs="Arial"/>
        </w:rPr>
        <w:t xml:space="preserve">standard of </w:t>
      </w:r>
      <w:r w:rsidRPr="001E56A4">
        <w:rPr>
          <w:rFonts w:ascii="Arial" w:hAnsi="Arial" w:cs="Arial"/>
        </w:rPr>
        <w:t xml:space="preserve">reporting. </w:t>
      </w:r>
      <w:r w:rsidR="004122A2" w:rsidRPr="001E56A4">
        <w:rPr>
          <w:rFonts w:ascii="Arial" w:hAnsi="Arial" w:cs="Arial"/>
        </w:rPr>
        <w:t>Bridging tables from the organizational unit classification to the functional (COFOG)</w:t>
      </w:r>
      <w:r w:rsidR="00751580" w:rsidRPr="001E56A4">
        <w:rPr>
          <w:rFonts w:ascii="Arial" w:hAnsi="Arial" w:cs="Arial"/>
        </w:rPr>
        <w:t xml:space="preserve"> classification are being used, but some</w:t>
      </w:r>
      <w:r w:rsidRPr="001E56A4">
        <w:rPr>
          <w:rFonts w:ascii="Arial" w:hAnsi="Arial" w:cs="Arial"/>
        </w:rPr>
        <w:t xml:space="preserve"> </w:t>
      </w:r>
      <w:r w:rsidR="00751580" w:rsidRPr="001E56A4">
        <w:rPr>
          <w:rFonts w:ascii="Arial" w:hAnsi="Arial" w:cs="Arial"/>
        </w:rPr>
        <w:t>budget entities cover</w:t>
      </w:r>
      <w:r w:rsidRPr="001E56A4">
        <w:rPr>
          <w:rFonts w:ascii="Arial" w:hAnsi="Arial" w:cs="Arial"/>
        </w:rPr>
        <w:t xml:space="preserve"> more than one function (e.g. Ministry of Interior, which encompasses both security and local government)</w:t>
      </w:r>
      <w:r w:rsidR="00AE4522" w:rsidRPr="001E56A4">
        <w:rPr>
          <w:rFonts w:ascii="Arial" w:hAnsi="Arial" w:cs="Arial"/>
        </w:rPr>
        <w:t xml:space="preserve">. </w:t>
      </w:r>
      <w:r w:rsidR="001963A5" w:rsidRPr="001E56A4">
        <w:rPr>
          <w:rFonts w:ascii="Arial" w:hAnsi="Arial" w:cs="Arial"/>
        </w:rPr>
        <w:t xml:space="preserve"> </w:t>
      </w:r>
      <w:r w:rsidR="00AE4522" w:rsidRPr="001E56A4">
        <w:rPr>
          <w:rFonts w:ascii="Arial" w:hAnsi="Arial" w:cs="Arial"/>
        </w:rPr>
        <w:t xml:space="preserve">Such cases are of important magnitude, and sub-dividing of expenditure according to function has to be done </w:t>
      </w:r>
      <w:r w:rsidRPr="001E56A4">
        <w:rPr>
          <w:rFonts w:ascii="Arial" w:hAnsi="Arial" w:cs="Arial"/>
        </w:rPr>
        <w:t>manually</w:t>
      </w:r>
      <w:r w:rsidR="004122A2" w:rsidRPr="001E56A4">
        <w:rPr>
          <w:rFonts w:ascii="Arial" w:hAnsi="Arial" w:cs="Arial"/>
        </w:rPr>
        <w:t>, which has proven to be problematic</w:t>
      </w:r>
      <w:r w:rsidRPr="001E56A4">
        <w:rPr>
          <w:rFonts w:ascii="Arial" w:hAnsi="Arial" w:cs="Arial"/>
        </w:rPr>
        <w:t>.</w:t>
      </w:r>
      <w:r w:rsidR="00B676C3" w:rsidRPr="001E56A4">
        <w:rPr>
          <w:rFonts w:ascii="Arial" w:hAnsi="Arial" w:cs="Arial"/>
        </w:rPr>
        <w:t xml:space="preserve"> </w:t>
      </w:r>
    </w:p>
    <w:p w14:paraId="1649D12B" w14:textId="77777777" w:rsidR="0038145B" w:rsidRPr="001E56A4" w:rsidRDefault="0038145B" w:rsidP="006613E0">
      <w:pPr>
        <w:pStyle w:val="Body"/>
        <w:numPr>
          <w:ilvl w:val="0"/>
          <w:numId w:val="0"/>
        </w:numPr>
        <w:spacing w:before="0" w:after="0"/>
        <w:jc w:val="left"/>
        <w:rPr>
          <w:rFonts w:ascii="Arial" w:hAnsi="Arial" w:cs="Arial"/>
        </w:rPr>
      </w:pPr>
    </w:p>
    <w:p w14:paraId="28EA2A4D" w14:textId="77777777" w:rsidR="005915B6" w:rsidRPr="001E56A4" w:rsidRDefault="006613E0" w:rsidP="006613E0">
      <w:pPr>
        <w:pStyle w:val="Body"/>
        <w:numPr>
          <w:ilvl w:val="0"/>
          <w:numId w:val="0"/>
        </w:numPr>
        <w:spacing w:before="0" w:after="0"/>
        <w:jc w:val="left"/>
        <w:rPr>
          <w:rFonts w:ascii="Arial" w:hAnsi="Arial" w:cs="Arial"/>
        </w:rPr>
      </w:pPr>
      <w:r w:rsidRPr="001E56A4">
        <w:rPr>
          <w:rFonts w:ascii="Arial" w:hAnsi="Arial" w:cs="Arial"/>
          <w:b/>
        </w:rPr>
        <w:t>This indicator has been</w:t>
      </w:r>
      <w:r w:rsidR="00751580" w:rsidRPr="001E56A4">
        <w:rPr>
          <w:rFonts w:ascii="Arial" w:hAnsi="Arial" w:cs="Arial"/>
          <w:b/>
        </w:rPr>
        <w:t xml:space="preserve"> rated B</w:t>
      </w:r>
      <w:r w:rsidR="00751580" w:rsidRPr="001E56A4">
        <w:rPr>
          <w:rFonts w:ascii="Arial" w:hAnsi="Arial" w:cs="Arial"/>
        </w:rPr>
        <w:t>.</w:t>
      </w:r>
    </w:p>
    <w:p w14:paraId="3A6590FB" w14:textId="77777777" w:rsidR="00751580" w:rsidRPr="001E56A4" w:rsidRDefault="00751580" w:rsidP="006613E0">
      <w:pPr>
        <w:pStyle w:val="Body"/>
        <w:numPr>
          <w:ilvl w:val="0"/>
          <w:numId w:val="0"/>
        </w:numPr>
        <w:spacing w:before="0" w:after="0"/>
        <w:jc w:val="left"/>
        <w:rPr>
          <w:rFonts w:ascii="Arial" w:hAnsi="Arial" w:cs="Arial"/>
        </w:rPr>
      </w:pPr>
    </w:p>
    <w:p w14:paraId="6577D22F" w14:textId="77777777" w:rsidR="0038145B" w:rsidRPr="001E56A4" w:rsidRDefault="0038145B" w:rsidP="006613E0">
      <w:pPr>
        <w:pStyle w:val="Body"/>
        <w:numPr>
          <w:ilvl w:val="0"/>
          <w:numId w:val="0"/>
        </w:numPr>
        <w:spacing w:before="0" w:after="0"/>
        <w:jc w:val="left"/>
        <w:rPr>
          <w:rFonts w:ascii="Arial" w:hAnsi="Arial" w:cs="Arial"/>
        </w:rPr>
      </w:pPr>
    </w:p>
    <w:p w14:paraId="40C74F95" w14:textId="77777777" w:rsidR="0038145B" w:rsidRPr="001E56A4" w:rsidRDefault="0038145B" w:rsidP="0038145B">
      <w:pPr>
        <w:autoSpaceDE w:val="0"/>
        <w:autoSpaceDN w:val="0"/>
        <w:adjustRightInd w:val="0"/>
        <w:rPr>
          <w:rFonts w:ascii="Arial" w:hAnsi="Arial" w:cs="Arial"/>
          <w:b/>
          <w:bCs/>
          <w:sz w:val="22"/>
          <w:szCs w:val="22"/>
        </w:rPr>
      </w:pPr>
      <w:r w:rsidRPr="001E56A4">
        <w:rPr>
          <w:rFonts w:ascii="Arial" w:hAnsi="Arial" w:cs="Arial"/>
          <w:b/>
          <w:bCs/>
          <w:sz w:val="22"/>
          <w:szCs w:val="22"/>
        </w:rPr>
        <w:t>Required</w:t>
      </w:r>
    </w:p>
    <w:p w14:paraId="3944E04B" w14:textId="77777777" w:rsidR="0038145B" w:rsidRPr="001E56A4" w:rsidRDefault="0038145B" w:rsidP="0038145B">
      <w:pPr>
        <w:autoSpaceDE w:val="0"/>
        <w:autoSpaceDN w:val="0"/>
        <w:adjustRightInd w:val="0"/>
        <w:rPr>
          <w:rFonts w:ascii="Arial" w:hAnsi="Arial" w:cs="Arial"/>
          <w:sz w:val="22"/>
          <w:szCs w:val="22"/>
        </w:rPr>
      </w:pPr>
    </w:p>
    <w:p w14:paraId="225D7CEF" w14:textId="77777777" w:rsidR="0038145B" w:rsidRPr="001E56A4" w:rsidRDefault="0038145B" w:rsidP="0038145B">
      <w:pPr>
        <w:tabs>
          <w:tab w:val="left" w:pos="360"/>
        </w:tabs>
        <w:ind w:left="360" w:hanging="360"/>
        <w:rPr>
          <w:rFonts w:ascii="Arial" w:hAnsi="Arial" w:cs="Arial"/>
          <w:sz w:val="22"/>
          <w:szCs w:val="22"/>
        </w:rPr>
      </w:pPr>
      <w:r w:rsidRPr="001E56A4">
        <w:rPr>
          <w:rFonts w:ascii="Arial" w:hAnsi="Arial" w:cs="Arial"/>
          <w:sz w:val="22"/>
          <w:szCs w:val="22"/>
        </w:rPr>
        <w:t>1.</w:t>
      </w:r>
      <w:r w:rsidRPr="001E56A4">
        <w:rPr>
          <w:rFonts w:ascii="Arial" w:hAnsi="Arial" w:cs="Arial"/>
          <w:sz w:val="22"/>
          <w:szCs w:val="22"/>
        </w:rPr>
        <w:tab/>
        <w:t>Is it possible to rate this indicator?  Is there sufficient evidence?  If not, what additional evidence should be obtained?</w:t>
      </w:r>
    </w:p>
    <w:p w14:paraId="778E8E93" w14:textId="77777777" w:rsidR="0038145B" w:rsidRPr="001E56A4" w:rsidRDefault="0038145B" w:rsidP="0038145B">
      <w:pPr>
        <w:tabs>
          <w:tab w:val="left" w:pos="360"/>
        </w:tabs>
        <w:rPr>
          <w:rFonts w:ascii="Arial" w:hAnsi="Arial" w:cs="Arial"/>
          <w:sz w:val="22"/>
          <w:szCs w:val="22"/>
        </w:rPr>
      </w:pPr>
    </w:p>
    <w:p w14:paraId="33008E9F" w14:textId="77777777" w:rsidR="0038145B" w:rsidRPr="001E56A4" w:rsidRDefault="0038145B" w:rsidP="0038145B">
      <w:pPr>
        <w:tabs>
          <w:tab w:val="left" w:pos="360"/>
        </w:tabs>
        <w:rPr>
          <w:rFonts w:ascii="Arial" w:hAnsi="Arial" w:cs="Arial"/>
          <w:b/>
          <w:bCs/>
          <w:sz w:val="22"/>
          <w:szCs w:val="22"/>
        </w:rPr>
      </w:pPr>
      <w:r w:rsidRPr="001E56A4">
        <w:rPr>
          <w:rFonts w:ascii="Arial" w:hAnsi="Arial" w:cs="Arial"/>
          <w:sz w:val="22"/>
          <w:szCs w:val="22"/>
        </w:rPr>
        <w:t>2.</w:t>
      </w:r>
      <w:r w:rsidRPr="001E56A4">
        <w:rPr>
          <w:rFonts w:ascii="Arial" w:hAnsi="Arial" w:cs="Arial"/>
          <w:sz w:val="22"/>
          <w:szCs w:val="22"/>
        </w:rPr>
        <w:tab/>
        <w:t xml:space="preserve">If the evidence is sufficient, what is your rating? </w:t>
      </w:r>
    </w:p>
    <w:p w14:paraId="376C2EEC" w14:textId="77777777" w:rsidR="003A4C30" w:rsidRPr="001E56A4" w:rsidRDefault="003A4C30" w:rsidP="006613E0">
      <w:pPr>
        <w:rPr>
          <w:rFonts w:ascii="Arial" w:hAnsi="Arial" w:cs="Arial"/>
          <w:b/>
          <w:sz w:val="22"/>
          <w:szCs w:val="22"/>
        </w:rPr>
      </w:pPr>
      <w:r w:rsidRPr="001E56A4">
        <w:rPr>
          <w:rFonts w:ascii="Arial" w:hAnsi="Arial" w:cs="Arial"/>
          <w:b/>
          <w:sz w:val="22"/>
          <w:szCs w:val="22"/>
        </w:rPr>
        <w:br w:type="page"/>
      </w:r>
    </w:p>
    <w:p w14:paraId="4C50E050" w14:textId="40C1335F" w:rsidR="003A4C30" w:rsidRPr="001E56A4" w:rsidRDefault="0082319B" w:rsidP="006613E0">
      <w:pPr>
        <w:pStyle w:val="Heading3"/>
        <w:jc w:val="both"/>
        <w:rPr>
          <w:rFonts w:ascii="Arial" w:hAnsi="Arial" w:cs="Arial"/>
          <w:sz w:val="24"/>
          <w:szCs w:val="22"/>
        </w:rPr>
      </w:pPr>
      <w:r w:rsidRPr="001E56A4">
        <w:rPr>
          <w:rFonts w:ascii="Arial" w:hAnsi="Arial" w:cs="Arial"/>
          <w:sz w:val="24"/>
          <w:szCs w:val="22"/>
        </w:rPr>
        <w:lastRenderedPageBreak/>
        <w:t>PI-9</w:t>
      </w:r>
      <w:r w:rsidR="003A4C30" w:rsidRPr="001E56A4">
        <w:rPr>
          <w:rFonts w:ascii="Arial" w:hAnsi="Arial" w:cs="Arial"/>
          <w:sz w:val="24"/>
          <w:szCs w:val="22"/>
        </w:rPr>
        <w:t>: Public access to fiscal information</w:t>
      </w:r>
    </w:p>
    <w:p w14:paraId="55BA28F7" w14:textId="77777777" w:rsidR="003A4C30" w:rsidRPr="001E56A4" w:rsidRDefault="003A4C30" w:rsidP="006613E0">
      <w:pPr>
        <w:rPr>
          <w:rFonts w:ascii="Arial" w:hAnsi="Arial" w:cs="Arial"/>
          <w:b/>
          <w:sz w:val="22"/>
          <w:szCs w:val="22"/>
        </w:rPr>
      </w:pPr>
    </w:p>
    <w:p w14:paraId="61C265A5" w14:textId="77777777" w:rsidR="003A4C30" w:rsidRPr="001E56A4" w:rsidRDefault="003A4C30" w:rsidP="006613E0">
      <w:pPr>
        <w:rPr>
          <w:rFonts w:ascii="Arial" w:hAnsi="Arial" w:cs="Arial"/>
          <w:sz w:val="22"/>
          <w:szCs w:val="22"/>
        </w:rPr>
      </w:pPr>
      <w:r w:rsidRPr="001E56A4">
        <w:rPr>
          <w:rFonts w:ascii="Arial" w:hAnsi="Arial" w:cs="Arial"/>
          <w:sz w:val="22"/>
          <w:szCs w:val="22"/>
        </w:rPr>
        <w:t>Information on the annual budget law</w:t>
      </w:r>
      <w:r w:rsidRPr="001E56A4">
        <w:rPr>
          <w:rStyle w:val="FootnoteReference"/>
          <w:rFonts w:ascii="Arial" w:hAnsi="Arial" w:cs="Arial"/>
          <w:sz w:val="22"/>
          <w:szCs w:val="22"/>
        </w:rPr>
        <w:footnoteReference w:id="1"/>
      </w:r>
      <w:r w:rsidRPr="001E56A4">
        <w:rPr>
          <w:rFonts w:ascii="Arial" w:hAnsi="Arial" w:cs="Arial"/>
          <w:sz w:val="22"/>
          <w:szCs w:val="22"/>
        </w:rPr>
        <w:t xml:space="preserve"> and the financial statements is publicized in the government gazette immediately upon the President’s assent to the law and the submission of the statements for audit. The in-year budget execution reports are distributed among the government’s administrative units and made available to the donor agencies on request. It was noted in the recent CFAA report that the non-publication of the reports of the National Audit Office constitutes a major transparency problem. Certain documents are posted on the website of the Ministry of Finance at the same time that they are submitted to the Parliament for debate, for example the proposed annual budget, the annual economic and financial review, and the Poverty Reduction Support Program. The information is publicized in its original format. </w:t>
      </w:r>
    </w:p>
    <w:p w14:paraId="79C24394" w14:textId="77777777" w:rsidR="003A4C30" w:rsidRPr="001E56A4" w:rsidRDefault="003A4C30" w:rsidP="006613E0">
      <w:pPr>
        <w:rPr>
          <w:rFonts w:ascii="Arial" w:hAnsi="Arial" w:cs="Arial"/>
          <w:sz w:val="22"/>
          <w:szCs w:val="22"/>
        </w:rPr>
      </w:pPr>
    </w:p>
    <w:p w14:paraId="2CA78066" w14:textId="77777777" w:rsidR="003A4C30" w:rsidRPr="001E56A4" w:rsidRDefault="003A4C30" w:rsidP="006613E0">
      <w:pPr>
        <w:rPr>
          <w:rFonts w:ascii="Arial" w:hAnsi="Arial" w:cs="Arial"/>
          <w:sz w:val="22"/>
          <w:szCs w:val="22"/>
        </w:rPr>
      </w:pPr>
      <w:r w:rsidRPr="001E56A4">
        <w:rPr>
          <w:rFonts w:ascii="Arial" w:hAnsi="Arial" w:cs="Arial"/>
          <w:sz w:val="22"/>
          <w:szCs w:val="22"/>
        </w:rPr>
        <w:t xml:space="preserve">In certain sectors (health and education), the service units are encouraged to post on their notice boards the amount of funds they have received from the government, but this is not systematically implemented. </w:t>
      </w:r>
    </w:p>
    <w:p w14:paraId="30F597CE" w14:textId="77777777" w:rsidR="003A4C30" w:rsidRPr="001E56A4" w:rsidRDefault="003A4C30" w:rsidP="006613E0">
      <w:pPr>
        <w:rPr>
          <w:rFonts w:ascii="Arial" w:hAnsi="Arial" w:cs="Arial"/>
          <w:b/>
          <w:sz w:val="22"/>
          <w:szCs w:val="22"/>
        </w:rPr>
      </w:pPr>
    </w:p>
    <w:p w14:paraId="58CD9001" w14:textId="77777777" w:rsidR="003A4C30" w:rsidRPr="001E56A4" w:rsidRDefault="003A4C30" w:rsidP="006613E0">
      <w:pPr>
        <w:rPr>
          <w:rFonts w:ascii="Arial" w:hAnsi="Arial" w:cs="Arial"/>
          <w:sz w:val="22"/>
          <w:szCs w:val="22"/>
        </w:rPr>
      </w:pPr>
      <w:r w:rsidRPr="001E56A4">
        <w:rPr>
          <w:rFonts w:ascii="Arial" w:hAnsi="Arial" w:cs="Arial"/>
          <w:sz w:val="22"/>
          <w:szCs w:val="22"/>
        </w:rPr>
        <w:t>For contracts for goods and works, the regulations provide for open competition through advertisement in the newspaper.  The regulation provides for the publication of large contract awards.  These awards, however, are not made public by the central procurement unit.</w:t>
      </w:r>
    </w:p>
    <w:p w14:paraId="611A4BDB" w14:textId="77777777" w:rsidR="003A4C30" w:rsidRPr="001E56A4" w:rsidRDefault="003A4C30" w:rsidP="006613E0">
      <w:pPr>
        <w:rPr>
          <w:rFonts w:ascii="Arial" w:hAnsi="Arial" w:cs="Arial"/>
          <w:b/>
          <w:sz w:val="22"/>
          <w:szCs w:val="22"/>
        </w:rPr>
      </w:pPr>
    </w:p>
    <w:p w14:paraId="48DCF410" w14:textId="77777777" w:rsidR="0038145B" w:rsidRPr="001E56A4" w:rsidRDefault="0038145B" w:rsidP="006613E0">
      <w:pPr>
        <w:rPr>
          <w:rFonts w:ascii="Arial" w:hAnsi="Arial" w:cs="Arial"/>
          <w:b/>
          <w:sz w:val="22"/>
          <w:szCs w:val="22"/>
        </w:rPr>
      </w:pPr>
    </w:p>
    <w:p w14:paraId="5F8BEC0B" w14:textId="77777777" w:rsidR="0038145B" w:rsidRPr="001E56A4" w:rsidRDefault="0038145B" w:rsidP="0038145B">
      <w:pPr>
        <w:autoSpaceDE w:val="0"/>
        <w:autoSpaceDN w:val="0"/>
        <w:adjustRightInd w:val="0"/>
        <w:rPr>
          <w:rFonts w:ascii="Arial" w:hAnsi="Arial" w:cs="Arial"/>
          <w:b/>
          <w:bCs/>
          <w:sz w:val="22"/>
          <w:szCs w:val="22"/>
        </w:rPr>
      </w:pPr>
      <w:r w:rsidRPr="001E56A4">
        <w:rPr>
          <w:rFonts w:ascii="Arial" w:hAnsi="Arial" w:cs="Arial"/>
          <w:b/>
          <w:bCs/>
          <w:sz w:val="22"/>
          <w:szCs w:val="22"/>
        </w:rPr>
        <w:t>Required</w:t>
      </w:r>
    </w:p>
    <w:p w14:paraId="15EB40DC" w14:textId="77777777" w:rsidR="0038145B" w:rsidRPr="001E56A4" w:rsidRDefault="0038145B" w:rsidP="0038145B">
      <w:pPr>
        <w:autoSpaceDE w:val="0"/>
        <w:autoSpaceDN w:val="0"/>
        <w:adjustRightInd w:val="0"/>
        <w:rPr>
          <w:rFonts w:ascii="Arial" w:hAnsi="Arial" w:cs="Arial"/>
          <w:sz w:val="22"/>
          <w:szCs w:val="22"/>
        </w:rPr>
      </w:pPr>
    </w:p>
    <w:p w14:paraId="7D23E9BF" w14:textId="77777777" w:rsidR="0038145B" w:rsidRPr="001E56A4" w:rsidRDefault="0038145B" w:rsidP="0038145B">
      <w:pPr>
        <w:tabs>
          <w:tab w:val="left" w:pos="360"/>
        </w:tabs>
        <w:ind w:left="360" w:hanging="360"/>
        <w:rPr>
          <w:rFonts w:ascii="Arial" w:hAnsi="Arial" w:cs="Arial"/>
          <w:sz w:val="22"/>
          <w:szCs w:val="22"/>
        </w:rPr>
      </w:pPr>
      <w:r w:rsidRPr="001E56A4">
        <w:rPr>
          <w:rFonts w:ascii="Arial" w:hAnsi="Arial" w:cs="Arial"/>
          <w:sz w:val="22"/>
          <w:szCs w:val="22"/>
        </w:rPr>
        <w:t>1.</w:t>
      </w:r>
      <w:r w:rsidRPr="001E56A4">
        <w:rPr>
          <w:rFonts w:ascii="Arial" w:hAnsi="Arial" w:cs="Arial"/>
          <w:sz w:val="22"/>
          <w:szCs w:val="22"/>
        </w:rPr>
        <w:tab/>
        <w:t>Is it possible to rate this indicator?  Is there sufficient evidence?  If not, what additional evidence should be obtained?</w:t>
      </w:r>
    </w:p>
    <w:p w14:paraId="65CB3C92" w14:textId="77777777" w:rsidR="0038145B" w:rsidRPr="001E56A4" w:rsidRDefault="0038145B" w:rsidP="0038145B">
      <w:pPr>
        <w:tabs>
          <w:tab w:val="left" w:pos="360"/>
        </w:tabs>
        <w:rPr>
          <w:rFonts w:ascii="Arial" w:hAnsi="Arial" w:cs="Arial"/>
          <w:sz w:val="22"/>
          <w:szCs w:val="22"/>
        </w:rPr>
      </w:pPr>
    </w:p>
    <w:p w14:paraId="40DF945E" w14:textId="77777777" w:rsidR="0038145B" w:rsidRPr="001E56A4" w:rsidRDefault="0038145B" w:rsidP="0038145B">
      <w:pPr>
        <w:tabs>
          <w:tab w:val="left" w:pos="360"/>
        </w:tabs>
        <w:rPr>
          <w:rFonts w:ascii="Arial" w:hAnsi="Arial" w:cs="Arial"/>
          <w:b/>
          <w:bCs/>
          <w:sz w:val="22"/>
          <w:szCs w:val="22"/>
        </w:rPr>
      </w:pPr>
      <w:r w:rsidRPr="001E56A4">
        <w:rPr>
          <w:rFonts w:ascii="Arial" w:hAnsi="Arial" w:cs="Arial"/>
          <w:sz w:val="22"/>
          <w:szCs w:val="22"/>
        </w:rPr>
        <w:t>2.</w:t>
      </w:r>
      <w:r w:rsidRPr="001E56A4">
        <w:rPr>
          <w:rFonts w:ascii="Arial" w:hAnsi="Arial" w:cs="Arial"/>
          <w:sz w:val="22"/>
          <w:szCs w:val="22"/>
        </w:rPr>
        <w:tab/>
        <w:t xml:space="preserve">If the evidence is sufficient, what is your rating? </w:t>
      </w:r>
    </w:p>
    <w:p w14:paraId="5C4BA021" w14:textId="77777777" w:rsidR="003A4C30" w:rsidRPr="001E56A4" w:rsidRDefault="003A4C30" w:rsidP="006613E0">
      <w:pPr>
        <w:jc w:val="both"/>
        <w:rPr>
          <w:rFonts w:ascii="Arial" w:hAnsi="Arial" w:cs="Arial"/>
          <w:b/>
          <w:sz w:val="22"/>
          <w:szCs w:val="22"/>
        </w:rPr>
      </w:pPr>
    </w:p>
    <w:p w14:paraId="7A401321" w14:textId="748C9E29" w:rsidR="00A23B7E" w:rsidRPr="001E56A4" w:rsidRDefault="004122A2" w:rsidP="001E56A4">
      <w:pPr>
        <w:pStyle w:val="Heading3"/>
        <w:jc w:val="both"/>
        <w:rPr>
          <w:rFonts w:ascii="Arial" w:hAnsi="Arial" w:cs="Arial"/>
          <w:bCs w:val="0"/>
          <w:sz w:val="24"/>
          <w:szCs w:val="22"/>
        </w:rPr>
      </w:pPr>
      <w:r w:rsidRPr="001E56A4">
        <w:rPr>
          <w:rFonts w:ascii="Arial" w:hAnsi="Arial" w:cs="Arial"/>
          <w:sz w:val="22"/>
          <w:szCs w:val="22"/>
        </w:rPr>
        <w:br w:type="page"/>
      </w:r>
      <w:r w:rsidR="004A2B59">
        <w:rPr>
          <w:rFonts w:ascii="Arial" w:hAnsi="Arial" w:cs="Arial"/>
          <w:sz w:val="24"/>
          <w:szCs w:val="22"/>
        </w:rPr>
        <w:lastRenderedPageBreak/>
        <w:t>PI-14</w:t>
      </w:r>
      <w:r w:rsidR="00D05CC8" w:rsidRPr="001E56A4">
        <w:rPr>
          <w:rFonts w:ascii="Arial" w:hAnsi="Arial" w:cs="Arial"/>
          <w:sz w:val="24"/>
          <w:szCs w:val="22"/>
        </w:rPr>
        <w:t xml:space="preserve">: </w:t>
      </w:r>
      <w:r w:rsidR="004A2B59" w:rsidRPr="004A2B59">
        <w:rPr>
          <w:rFonts w:ascii="Arial" w:hAnsi="Arial" w:cs="Arial"/>
          <w:iCs/>
          <w:sz w:val="24"/>
        </w:rPr>
        <w:t>Macroeconomic and fiscal forecasting</w:t>
      </w:r>
    </w:p>
    <w:p w14:paraId="75D7554D" w14:textId="77777777" w:rsidR="00777E3A" w:rsidRPr="001E56A4" w:rsidRDefault="00777E3A" w:rsidP="00777E3A">
      <w:pPr>
        <w:jc w:val="both"/>
      </w:pPr>
    </w:p>
    <w:p w14:paraId="62116B0A" w14:textId="54ADBF7E" w:rsidR="00777E3A" w:rsidRPr="001E56A4" w:rsidRDefault="004A2B59" w:rsidP="00777E3A">
      <w:pPr>
        <w:rPr>
          <w:rFonts w:ascii="Arial" w:hAnsi="Arial" w:cs="Arial"/>
          <w:b/>
          <w:iCs/>
          <w:sz w:val="22"/>
        </w:rPr>
      </w:pPr>
      <w:r>
        <w:rPr>
          <w:rFonts w:ascii="Arial" w:hAnsi="Arial" w:cs="Arial"/>
          <w:b/>
          <w:iCs/>
          <w:sz w:val="22"/>
        </w:rPr>
        <w:t>14.2: F</w:t>
      </w:r>
      <w:r w:rsidR="00777E3A" w:rsidRPr="001E56A4">
        <w:rPr>
          <w:rFonts w:ascii="Arial" w:hAnsi="Arial" w:cs="Arial"/>
          <w:b/>
          <w:iCs/>
          <w:sz w:val="22"/>
        </w:rPr>
        <w:t xml:space="preserve">iscal </w:t>
      </w:r>
      <w:r>
        <w:rPr>
          <w:rFonts w:ascii="Arial" w:hAnsi="Arial" w:cs="Arial"/>
          <w:b/>
          <w:iCs/>
          <w:sz w:val="22"/>
        </w:rPr>
        <w:t>forecasts</w:t>
      </w:r>
    </w:p>
    <w:p w14:paraId="671CC588" w14:textId="77777777" w:rsidR="00777E3A" w:rsidRPr="001E56A4" w:rsidRDefault="00777E3A" w:rsidP="00777E3A">
      <w:pPr>
        <w:rPr>
          <w:rFonts w:ascii="Arial" w:hAnsi="Arial" w:cs="Arial"/>
          <w:b/>
          <w:iCs/>
          <w:sz w:val="22"/>
        </w:rPr>
      </w:pPr>
    </w:p>
    <w:p w14:paraId="60F06D7F" w14:textId="4CF61AA8" w:rsidR="00777E3A" w:rsidRPr="001E56A4" w:rsidRDefault="00777E3A" w:rsidP="00777E3A">
      <w:pPr>
        <w:rPr>
          <w:rFonts w:ascii="Arial" w:hAnsi="Arial" w:cs="Arial"/>
          <w:sz w:val="22"/>
        </w:rPr>
      </w:pPr>
      <w:r w:rsidRPr="001E56A4">
        <w:rPr>
          <w:rFonts w:ascii="Arial" w:hAnsi="Arial" w:cs="Arial"/>
          <w:sz w:val="22"/>
        </w:rPr>
        <w:t xml:space="preserve">The </w:t>
      </w:r>
      <w:r w:rsidRPr="001E56A4">
        <w:rPr>
          <w:rFonts w:ascii="Arial" w:hAnsi="Arial" w:cs="Arial"/>
          <w:sz w:val="22"/>
          <w:lang w:val="sw-KE"/>
        </w:rPr>
        <w:t xml:space="preserve">Central Bank </w:t>
      </w:r>
      <w:r w:rsidRPr="001E56A4">
        <w:rPr>
          <w:rFonts w:ascii="Arial" w:hAnsi="Arial" w:cs="Arial"/>
          <w:sz w:val="22"/>
        </w:rPr>
        <w:t>chairs a macroeconomic group which also comprises the Economic Affairs Unit</w:t>
      </w:r>
      <w:r w:rsidR="002F7CC7" w:rsidRPr="001E56A4">
        <w:rPr>
          <w:rFonts w:ascii="Arial" w:hAnsi="Arial" w:cs="Arial"/>
          <w:sz w:val="22"/>
        </w:rPr>
        <w:t>,</w:t>
      </w:r>
      <w:r w:rsidRPr="001E56A4">
        <w:rPr>
          <w:rFonts w:ascii="Arial" w:hAnsi="Arial" w:cs="Arial"/>
          <w:sz w:val="22"/>
        </w:rPr>
        <w:t xml:space="preserve"> Tax </w:t>
      </w:r>
      <w:r w:rsidR="002F7CC7" w:rsidRPr="001E56A4">
        <w:rPr>
          <w:rFonts w:ascii="Arial" w:hAnsi="Arial" w:cs="Arial"/>
          <w:sz w:val="22"/>
        </w:rPr>
        <w:t>Directorate and</w:t>
      </w:r>
      <w:r w:rsidRPr="001E56A4">
        <w:rPr>
          <w:rFonts w:ascii="Arial" w:hAnsi="Arial" w:cs="Arial"/>
          <w:sz w:val="22"/>
          <w:lang w:val="sw-KE"/>
        </w:rPr>
        <w:t xml:space="preserve"> Debt Management Office </w:t>
      </w:r>
      <w:r w:rsidR="002F7CC7" w:rsidRPr="001E56A4">
        <w:rPr>
          <w:rFonts w:ascii="Arial" w:hAnsi="Arial" w:cs="Arial"/>
          <w:sz w:val="22"/>
          <w:lang w:val="sw-KE"/>
        </w:rPr>
        <w:t xml:space="preserve">from the MoF, </w:t>
      </w:r>
      <w:r w:rsidRPr="001E56A4">
        <w:rPr>
          <w:rFonts w:ascii="Arial" w:hAnsi="Arial" w:cs="Arial"/>
          <w:sz w:val="22"/>
        </w:rPr>
        <w:t xml:space="preserve">the Planning Ministry, </w:t>
      </w:r>
      <w:r w:rsidR="002F7CC7" w:rsidRPr="001E56A4">
        <w:rPr>
          <w:rFonts w:ascii="Arial" w:hAnsi="Arial" w:cs="Arial"/>
          <w:sz w:val="22"/>
        </w:rPr>
        <w:t>and the Bureau of Statistics: this</w:t>
      </w:r>
      <w:r w:rsidRPr="001E56A4">
        <w:rPr>
          <w:rFonts w:ascii="Arial" w:hAnsi="Arial" w:cs="Arial"/>
          <w:sz w:val="22"/>
        </w:rPr>
        <w:t xml:space="preserve"> meets twice a month. The macroeconomic group uses the IMF macroeconomic accounting framework for its projections, which focus on the fiscal deficit of budgetary central government</w:t>
      </w:r>
      <w:r w:rsidRPr="001E56A4">
        <w:rPr>
          <w:rStyle w:val="FootnoteReference"/>
          <w:rFonts w:ascii="Arial" w:hAnsi="Arial" w:cs="Arial"/>
          <w:sz w:val="22"/>
        </w:rPr>
        <w:footnoteReference w:id="2"/>
      </w:r>
      <w:r w:rsidR="002F7CC7" w:rsidRPr="001E56A4">
        <w:rPr>
          <w:rFonts w:ascii="Arial" w:hAnsi="Arial" w:cs="Arial"/>
          <w:sz w:val="22"/>
        </w:rPr>
        <w:t>: this should not exceed</w:t>
      </w:r>
      <w:r w:rsidRPr="001E56A4">
        <w:rPr>
          <w:rFonts w:ascii="Arial" w:hAnsi="Arial" w:cs="Arial"/>
          <w:sz w:val="22"/>
        </w:rPr>
        <w:t xml:space="preserve"> 4%. </w:t>
      </w:r>
    </w:p>
    <w:p w14:paraId="437C058C" w14:textId="77777777" w:rsidR="00777E3A" w:rsidRPr="001E56A4" w:rsidRDefault="00777E3A" w:rsidP="002F7CC7">
      <w:pPr>
        <w:rPr>
          <w:rFonts w:ascii="Arial" w:hAnsi="Arial" w:cs="Arial"/>
          <w:b/>
          <w:i/>
          <w:iCs/>
          <w:sz w:val="22"/>
        </w:rPr>
      </w:pPr>
    </w:p>
    <w:p w14:paraId="07EDB54A" w14:textId="5F8C371B" w:rsidR="00777E3A" w:rsidRPr="001E56A4" w:rsidRDefault="002F7CC7" w:rsidP="00777E3A">
      <w:pPr>
        <w:rPr>
          <w:rFonts w:ascii="Arial" w:hAnsi="Arial" w:cs="Arial"/>
          <w:bCs/>
          <w:sz w:val="22"/>
        </w:rPr>
      </w:pPr>
      <w:r w:rsidRPr="001E56A4">
        <w:rPr>
          <w:rFonts w:ascii="Arial" w:hAnsi="Arial" w:cs="Arial"/>
          <w:bCs/>
          <w:sz w:val="22"/>
        </w:rPr>
        <w:t>E</w:t>
      </w:r>
      <w:r w:rsidR="00777E3A" w:rsidRPr="001E56A4">
        <w:rPr>
          <w:rFonts w:ascii="Arial" w:hAnsi="Arial" w:cs="Arial"/>
          <w:bCs/>
          <w:sz w:val="22"/>
        </w:rPr>
        <w:t xml:space="preserve">ach </w:t>
      </w:r>
      <w:r w:rsidRPr="001E56A4">
        <w:rPr>
          <w:rFonts w:ascii="Arial" w:hAnsi="Arial" w:cs="Arial"/>
          <w:bCs/>
          <w:sz w:val="22"/>
        </w:rPr>
        <w:t xml:space="preserve">of the 12 </w:t>
      </w:r>
      <w:r w:rsidR="00777E3A" w:rsidRPr="001E56A4">
        <w:rPr>
          <w:rFonts w:ascii="Arial" w:hAnsi="Arial" w:cs="Arial"/>
          <w:bCs/>
          <w:sz w:val="22"/>
        </w:rPr>
        <w:t>line ministr</w:t>
      </w:r>
      <w:r w:rsidRPr="001E56A4">
        <w:rPr>
          <w:rFonts w:ascii="Arial" w:hAnsi="Arial" w:cs="Arial"/>
          <w:bCs/>
          <w:sz w:val="22"/>
        </w:rPr>
        <w:t>ies has a budget</w:t>
      </w:r>
      <w:r w:rsidR="00777E3A" w:rsidRPr="001E56A4">
        <w:rPr>
          <w:rFonts w:ascii="Arial" w:hAnsi="Arial" w:cs="Arial"/>
          <w:bCs/>
          <w:sz w:val="22"/>
        </w:rPr>
        <w:t xml:space="preserve"> </w:t>
      </w:r>
      <w:r w:rsidRPr="001E56A4">
        <w:rPr>
          <w:rFonts w:ascii="Arial" w:hAnsi="Arial" w:cs="Arial"/>
          <w:bCs/>
          <w:sz w:val="22"/>
        </w:rPr>
        <w:t xml:space="preserve">includes transfers for the AGAs under its supervision (but </w:t>
      </w:r>
      <w:r w:rsidRPr="001E56A4">
        <w:rPr>
          <w:rFonts w:ascii="Arial" w:hAnsi="Arial" w:cs="Arial"/>
          <w:b/>
          <w:bCs/>
          <w:i/>
          <w:sz w:val="22"/>
        </w:rPr>
        <w:t>not</w:t>
      </w:r>
      <w:r w:rsidRPr="001E56A4">
        <w:rPr>
          <w:rFonts w:ascii="Arial" w:hAnsi="Arial" w:cs="Arial"/>
          <w:bCs/>
          <w:sz w:val="22"/>
        </w:rPr>
        <w:t xml:space="preserve"> the financial operations of the AGA) </w:t>
      </w:r>
      <w:r w:rsidR="00777E3A" w:rsidRPr="001E56A4">
        <w:rPr>
          <w:rFonts w:ascii="Arial" w:hAnsi="Arial" w:cs="Arial"/>
          <w:bCs/>
          <w:sz w:val="22"/>
        </w:rPr>
        <w:t>and these are presented to the legislature</w:t>
      </w:r>
      <w:r w:rsidRPr="001E56A4">
        <w:rPr>
          <w:rFonts w:ascii="Arial" w:hAnsi="Arial" w:cs="Arial"/>
          <w:bCs/>
          <w:sz w:val="22"/>
        </w:rPr>
        <w:t xml:space="preserve"> separately, hence</w:t>
      </w:r>
      <w:r w:rsidR="00777E3A" w:rsidRPr="001E56A4">
        <w:rPr>
          <w:rFonts w:ascii="Arial" w:hAnsi="Arial" w:cs="Arial"/>
          <w:bCs/>
          <w:sz w:val="22"/>
        </w:rPr>
        <w:t xml:space="preserve"> there is no single consolidated budget document. </w:t>
      </w:r>
    </w:p>
    <w:p w14:paraId="45507ACD" w14:textId="77777777" w:rsidR="00777E3A" w:rsidRPr="001E56A4" w:rsidRDefault="00777E3A" w:rsidP="00777E3A">
      <w:pPr>
        <w:ind w:left="1080"/>
        <w:rPr>
          <w:rFonts w:ascii="Arial" w:hAnsi="Arial" w:cs="Arial"/>
          <w:bCs/>
          <w:sz w:val="22"/>
        </w:rPr>
      </w:pPr>
    </w:p>
    <w:p w14:paraId="3B83D6AD" w14:textId="55486463" w:rsidR="00777E3A" w:rsidRPr="001E56A4" w:rsidRDefault="00777E3A" w:rsidP="00777E3A">
      <w:pPr>
        <w:rPr>
          <w:rFonts w:ascii="Arial" w:hAnsi="Arial" w:cs="Arial"/>
          <w:bCs/>
          <w:i/>
          <w:iCs/>
          <w:sz w:val="22"/>
        </w:rPr>
      </w:pPr>
      <w:r w:rsidRPr="001E56A4">
        <w:rPr>
          <w:rFonts w:ascii="Arial" w:hAnsi="Arial" w:cs="Arial"/>
          <w:bCs/>
          <w:sz w:val="22"/>
        </w:rPr>
        <w:t>The budget documentation</w:t>
      </w:r>
      <w:r w:rsidR="002F7CC7" w:rsidRPr="001E56A4">
        <w:rPr>
          <w:rFonts w:ascii="Arial" w:hAnsi="Arial" w:cs="Arial"/>
          <w:bCs/>
          <w:sz w:val="22"/>
        </w:rPr>
        <w:t xml:space="preserve"> presented by the MoF to the legislature</w:t>
      </w:r>
      <w:r w:rsidRPr="001E56A4">
        <w:rPr>
          <w:rFonts w:ascii="Arial" w:hAnsi="Arial" w:cs="Arial"/>
          <w:bCs/>
          <w:sz w:val="22"/>
        </w:rPr>
        <w:t xml:space="preserve"> includes a </w:t>
      </w:r>
      <w:r w:rsidRPr="001E56A4">
        <w:rPr>
          <w:rFonts w:ascii="Arial" w:hAnsi="Arial" w:cs="Arial"/>
          <w:bCs/>
          <w:i/>
          <w:sz w:val="22"/>
        </w:rPr>
        <w:t>Financial Note</w:t>
      </w:r>
      <w:r w:rsidRPr="001E56A4">
        <w:rPr>
          <w:rFonts w:ascii="Arial" w:hAnsi="Arial" w:cs="Arial"/>
          <w:bCs/>
          <w:sz w:val="22"/>
        </w:rPr>
        <w:t xml:space="preserve">, </w:t>
      </w:r>
      <w:r w:rsidR="002F7CC7" w:rsidRPr="001E56A4">
        <w:rPr>
          <w:rFonts w:ascii="Arial" w:hAnsi="Arial" w:cs="Arial"/>
          <w:bCs/>
          <w:sz w:val="22"/>
        </w:rPr>
        <w:t>from</w:t>
      </w:r>
      <w:r w:rsidRPr="001E56A4">
        <w:rPr>
          <w:rFonts w:ascii="Arial" w:hAnsi="Arial" w:cs="Arial"/>
          <w:bCs/>
          <w:sz w:val="22"/>
        </w:rPr>
        <w:t xml:space="preserve"> the</w:t>
      </w:r>
      <w:r w:rsidRPr="001E56A4">
        <w:rPr>
          <w:rFonts w:ascii="Arial" w:hAnsi="Arial" w:cs="Arial"/>
          <w:sz w:val="22"/>
        </w:rPr>
        <w:t xml:space="preserve"> Economic Affairs Department </w:t>
      </w:r>
      <w:r w:rsidR="002F7CC7" w:rsidRPr="001E56A4">
        <w:rPr>
          <w:rFonts w:ascii="Arial" w:hAnsi="Arial" w:cs="Arial"/>
          <w:sz w:val="22"/>
        </w:rPr>
        <w:t>(</w:t>
      </w:r>
      <w:r w:rsidRPr="001E56A4">
        <w:rPr>
          <w:rFonts w:ascii="Arial" w:hAnsi="Arial" w:cs="Arial"/>
          <w:sz w:val="22"/>
        </w:rPr>
        <w:t>not req</w:t>
      </w:r>
      <w:r w:rsidR="002F7CC7" w:rsidRPr="001E56A4">
        <w:rPr>
          <w:rFonts w:ascii="Arial" w:hAnsi="Arial" w:cs="Arial"/>
          <w:sz w:val="22"/>
        </w:rPr>
        <w:t xml:space="preserve">uired by </w:t>
      </w:r>
      <w:r w:rsidRPr="001E56A4">
        <w:rPr>
          <w:rFonts w:ascii="Arial" w:hAnsi="Arial" w:cs="Arial"/>
          <w:sz w:val="22"/>
        </w:rPr>
        <w:t>legislation</w:t>
      </w:r>
      <w:r w:rsidR="002F7CC7" w:rsidRPr="001E56A4">
        <w:rPr>
          <w:rFonts w:ascii="Arial" w:hAnsi="Arial" w:cs="Arial"/>
          <w:sz w:val="22"/>
        </w:rPr>
        <w:t>)</w:t>
      </w:r>
      <w:r w:rsidRPr="001E56A4">
        <w:rPr>
          <w:rFonts w:ascii="Arial" w:hAnsi="Arial" w:cs="Arial"/>
          <w:sz w:val="22"/>
        </w:rPr>
        <w:t>, which p</w:t>
      </w:r>
      <w:r w:rsidRPr="001E56A4">
        <w:rPr>
          <w:rFonts w:ascii="Arial" w:hAnsi="Arial" w:cs="Arial"/>
          <w:bCs/>
          <w:sz w:val="22"/>
        </w:rPr>
        <w:t xml:space="preserve">resents a detailed macroeconomic forecast with a medium Term Fiscal Framework (budget year plus 3 years). In the </w:t>
      </w:r>
      <w:r w:rsidR="002F7CC7" w:rsidRPr="001E56A4">
        <w:rPr>
          <w:rFonts w:ascii="Arial" w:hAnsi="Arial" w:cs="Arial"/>
          <w:bCs/>
          <w:i/>
          <w:sz w:val="22"/>
        </w:rPr>
        <w:t>Financial Note</w:t>
      </w:r>
      <w:r w:rsidRPr="001E56A4">
        <w:rPr>
          <w:rFonts w:ascii="Arial" w:hAnsi="Arial" w:cs="Arial"/>
          <w:bCs/>
          <w:sz w:val="22"/>
        </w:rPr>
        <w:t>, budget data of the 12 ministries are consolidated in administrative and economic categories and the scope is the Budgetary Central Government. There are no financial data on the operations of the 20 AGAs.</w:t>
      </w:r>
    </w:p>
    <w:p w14:paraId="6B86B24E" w14:textId="77777777" w:rsidR="005B04A1" w:rsidRPr="001E56A4" w:rsidRDefault="005B04A1" w:rsidP="00777E3A">
      <w:pPr>
        <w:pStyle w:val="MainParawithChapter"/>
        <w:spacing w:after="0"/>
        <w:jc w:val="left"/>
        <w:rPr>
          <w:rFonts w:ascii="Arial" w:hAnsi="Arial" w:cs="Arial"/>
          <w:sz w:val="22"/>
          <w:szCs w:val="22"/>
        </w:rPr>
      </w:pPr>
    </w:p>
    <w:p w14:paraId="29734077" w14:textId="77777777" w:rsidR="0038145B" w:rsidRPr="001E56A4" w:rsidRDefault="0038145B" w:rsidP="00777E3A">
      <w:pPr>
        <w:pStyle w:val="MainParawithChapter"/>
        <w:spacing w:after="0"/>
        <w:jc w:val="left"/>
        <w:rPr>
          <w:rFonts w:ascii="Arial" w:hAnsi="Arial" w:cs="Arial"/>
          <w:sz w:val="22"/>
          <w:szCs w:val="22"/>
        </w:rPr>
      </w:pPr>
    </w:p>
    <w:p w14:paraId="457CDEE3" w14:textId="77777777" w:rsidR="0038145B" w:rsidRPr="001E56A4" w:rsidRDefault="0038145B" w:rsidP="00777E3A">
      <w:pPr>
        <w:autoSpaceDE w:val="0"/>
        <w:autoSpaceDN w:val="0"/>
        <w:adjustRightInd w:val="0"/>
        <w:rPr>
          <w:rFonts w:ascii="Arial" w:hAnsi="Arial" w:cs="Arial"/>
          <w:b/>
          <w:bCs/>
          <w:sz w:val="22"/>
          <w:szCs w:val="22"/>
        </w:rPr>
      </w:pPr>
      <w:r w:rsidRPr="001E56A4">
        <w:rPr>
          <w:rFonts w:ascii="Arial" w:hAnsi="Arial" w:cs="Arial"/>
          <w:b/>
          <w:bCs/>
          <w:sz w:val="22"/>
          <w:szCs w:val="22"/>
        </w:rPr>
        <w:t>Required</w:t>
      </w:r>
    </w:p>
    <w:p w14:paraId="627F7325" w14:textId="77777777" w:rsidR="0038145B" w:rsidRPr="001E56A4" w:rsidRDefault="0038145B" w:rsidP="00777E3A">
      <w:pPr>
        <w:autoSpaceDE w:val="0"/>
        <w:autoSpaceDN w:val="0"/>
        <w:adjustRightInd w:val="0"/>
        <w:rPr>
          <w:rFonts w:ascii="Arial" w:hAnsi="Arial" w:cs="Arial"/>
          <w:sz w:val="22"/>
          <w:szCs w:val="22"/>
        </w:rPr>
      </w:pPr>
    </w:p>
    <w:p w14:paraId="4E71339F" w14:textId="77777777" w:rsidR="0038145B" w:rsidRPr="001E56A4" w:rsidRDefault="0038145B" w:rsidP="00777E3A">
      <w:pPr>
        <w:tabs>
          <w:tab w:val="left" w:pos="360"/>
        </w:tabs>
        <w:ind w:left="360" w:hanging="360"/>
        <w:rPr>
          <w:rFonts w:ascii="Arial" w:hAnsi="Arial" w:cs="Arial"/>
          <w:sz w:val="22"/>
          <w:szCs w:val="22"/>
        </w:rPr>
      </w:pPr>
      <w:r w:rsidRPr="001E56A4">
        <w:rPr>
          <w:rFonts w:ascii="Arial" w:hAnsi="Arial" w:cs="Arial"/>
          <w:sz w:val="22"/>
          <w:szCs w:val="22"/>
        </w:rPr>
        <w:t>1.</w:t>
      </w:r>
      <w:r w:rsidRPr="001E56A4">
        <w:rPr>
          <w:rFonts w:ascii="Arial" w:hAnsi="Arial" w:cs="Arial"/>
          <w:sz w:val="22"/>
          <w:szCs w:val="22"/>
        </w:rPr>
        <w:tab/>
        <w:t>Is it possible to rate this indicator?  Is there sufficient evidence?  If not, what additional evidence should be obtained?</w:t>
      </w:r>
    </w:p>
    <w:p w14:paraId="67D64B27" w14:textId="77777777" w:rsidR="0038145B" w:rsidRPr="001E56A4" w:rsidRDefault="0038145B" w:rsidP="00777E3A">
      <w:pPr>
        <w:tabs>
          <w:tab w:val="left" w:pos="360"/>
        </w:tabs>
        <w:rPr>
          <w:rFonts w:ascii="Arial" w:hAnsi="Arial" w:cs="Arial"/>
          <w:sz w:val="22"/>
          <w:szCs w:val="22"/>
        </w:rPr>
      </w:pPr>
    </w:p>
    <w:p w14:paraId="230E02B1" w14:textId="77777777" w:rsidR="0038145B" w:rsidRPr="001E56A4" w:rsidRDefault="0038145B" w:rsidP="00777E3A">
      <w:pPr>
        <w:tabs>
          <w:tab w:val="left" w:pos="360"/>
        </w:tabs>
        <w:rPr>
          <w:rFonts w:ascii="Arial" w:hAnsi="Arial" w:cs="Arial"/>
          <w:b/>
          <w:bCs/>
          <w:sz w:val="22"/>
          <w:szCs w:val="22"/>
        </w:rPr>
      </w:pPr>
      <w:r w:rsidRPr="001E56A4">
        <w:rPr>
          <w:rFonts w:ascii="Arial" w:hAnsi="Arial" w:cs="Arial"/>
          <w:sz w:val="22"/>
          <w:szCs w:val="22"/>
        </w:rPr>
        <w:t>2.</w:t>
      </w:r>
      <w:r w:rsidRPr="001E56A4">
        <w:rPr>
          <w:rFonts w:ascii="Arial" w:hAnsi="Arial" w:cs="Arial"/>
          <w:sz w:val="22"/>
          <w:szCs w:val="22"/>
        </w:rPr>
        <w:tab/>
        <w:t xml:space="preserve">If the evidence is sufficient, what is your rating? </w:t>
      </w:r>
    </w:p>
    <w:p w14:paraId="3D134DF4" w14:textId="77777777" w:rsidR="001E56A4" w:rsidRPr="001E56A4" w:rsidRDefault="00C1699D" w:rsidP="006613E0">
      <w:pPr>
        <w:rPr>
          <w:rFonts w:ascii="Arial" w:hAnsi="Arial" w:cs="Arial"/>
          <w:sz w:val="22"/>
          <w:szCs w:val="22"/>
        </w:rPr>
      </w:pPr>
      <w:r w:rsidRPr="001E56A4">
        <w:rPr>
          <w:rFonts w:ascii="Arial" w:hAnsi="Arial" w:cs="Arial"/>
          <w:sz w:val="22"/>
          <w:szCs w:val="22"/>
        </w:rPr>
        <w:br w:type="page"/>
      </w:r>
    </w:p>
    <w:p w14:paraId="350301F5" w14:textId="7E22850A" w:rsidR="001E56A4" w:rsidRPr="001E56A4" w:rsidRDefault="001E56A4" w:rsidP="001E56A4">
      <w:pPr>
        <w:pStyle w:val="Heading3"/>
        <w:jc w:val="both"/>
        <w:rPr>
          <w:rFonts w:ascii="Arial" w:hAnsi="Arial" w:cs="Arial"/>
          <w:b w:val="0"/>
          <w:sz w:val="24"/>
          <w:szCs w:val="22"/>
        </w:rPr>
      </w:pPr>
      <w:r w:rsidRPr="001E56A4">
        <w:rPr>
          <w:rFonts w:ascii="Arial" w:hAnsi="Arial" w:cs="Arial"/>
          <w:sz w:val="24"/>
          <w:szCs w:val="22"/>
        </w:rPr>
        <w:lastRenderedPageBreak/>
        <w:t xml:space="preserve">PI-17: </w:t>
      </w:r>
      <w:r w:rsidR="004A2B59">
        <w:rPr>
          <w:rFonts w:ascii="Arial" w:hAnsi="Arial" w:cs="Arial"/>
          <w:sz w:val="24"/>
          <w:szCs w:val="22"/>
        </w:rPr>
        <w:t>B</w:t>
      </w:r>
      <w:r w:rsidRPr="001E56A4">
        <w:rPr>
          <w:rFonts w:ascii="Arial" w:hAnsi="Arial" w:cs="Arial"/>
          <w:sz w:val="24"/>
          <w:szCs w:val="22"/>
        </w:rPr>
        <w:t>udget preparation process</w:t>
      </w:r>
    </w:p>
    <w:p w14:paraId="4F6EF689" w14:textId="77777777" w:rsidR="001E56A4" w:rsidRPr="001E56A4" w:rsidRDefault="001E56A4" w:rsidP="001E56A4">
      <w:pPr>
        <w:rPr>
          <w:rFonts w:ascii="Arial" w:hAnsi="Arial" w:cs="Arial"/>
          <w:b/>
          <w:sz w:val="22"/>
          <w:szCs w:val="22"/>
        </w:rPr>
      </w:pPr>
    </w:p>
    <w:p w14:paraId="6EF4BA23" w14:textId="20C2829F" w:rsidR="001E56A4" w:rsidRPr="001E56A4" w:rsidRDefault="004A2B59" w:rsidP="001E56A4">
      <w:pPr>
        <w:rPr>
          <w:rFonts w:ascii="Arial" w:hAnsi="Arial" w:cs="Arial"/>
          <w:b/>
          <w:sz w:val="22"/>
          <w:szCs w:val="22"/>
        </w:rPr>
      </w:pPr>
      <w:r>
        <w:rPr>
          <w:rFonts w:ascii="Arial" w:hAnsi="Arial" w:cs="Arial"/>
          <w:b/>
          <w:sz w:val="22"/>
          <w:szCs w:val="22"/>
        </w:rPr>
        <w:t>17.2</w:t>
      </w:r>
      <w:r w:rsidR="001E56A4" w:rsidRPr="001E56A4">
        <w:rPr>
          <w:rFonts w:ascii="Arial" w:hAnsi="Arial" w:cs="Arial"/>
          <w:b/>
          <w:sz w:val="22"/>
          <w:szCs w:val="22"/>
        </w:rPr>
        <w:t xml:space="preserve">: </w:t>
      </w:r>
      <w:r>
        <w:rPr>
          <w:rFonts w:ascii="Arial" w:hAnsi="Arial" w:cs="Arial"/>
          <w:b/>
          <w:sz w:val="22"/>
          <w:szCs w:val="22"/>
        </w:rPr>
        <w:t>G</w:t>
      </w:r>
      <w:r w:rsidR="001E56A4" w:rsidRPr="001E56A4">
        <w:rPr>
          <w:rFonts w:ascii="Arial" w:hAnsi="Arial" w:cs="Arial"/>
          <w:b/>
          <w:sz w:val="22"/>
          <w:szCs w:val="22"/>
        </w:rPr>
        <w:t xml:space="preserve">uidance on </w:t>
      </w:r>
      <w:r w:rsidRPr="001E56A4">
        <w:rPr>
          <w:rFonts w:ascii="Arial" w:hAnsi="Arial" w:cs="Arial"/>
          <w:b/>
          <w:sz w:val="22"/>
          <w:szCs w:val="22"/>
        </w:rPr>
        <w:t xml:space="preserve">budget </w:t>
      </w:r>
      <w:r w:rsidR="001E56A4" w:rsidRPr="001E56A4">
        <w:rPr>
          <w:rFonts w:ascii="Arial" w:hAnsi="Arial" w:cs="Arial"/>
          <w:b/>
          <w:sz w:val="22"/>
          <w:szCs w:val="22"/>
        </w:rPr>
        <w:t xml:space="preserve">preparation </w:t>
      </w:r>
    </w:p>
    <w:p w14:paraId="3D95BEC9" w14:textId="77777777" w:rsidR="001E56A4" w:rsidRPr="001E56A4" w:rsidRDefault="001E56A4" w:rsidP="001E56A4">
      <w:pPr>
        <w:rPr>
          <w:rFonts w:ascii="Arial" w:hAnsi="Arial" w:cs="Arial"/>
          <w:sz w:val="22"/>
          <w:szCs w:val="22"/>
        </w:rPr>
      </w:pPr>
    </w:p>
    <w:p w14:paraId="34C4F86A" w14:textId="77777777" w:rsidR="001E56A4" w:rsidRPr="001E56A4" w:rsidRDefault="001E56A4" w:rsidP="001E56A4">
      <w:pPr>
        <w:pStyle w:val="Heading3"/>
        <w:jc w:val="left"/>
        <w:rPr>
          <w:rFonts w:ascii="Arial" w:hAnsi="Arial" w:cs="Arial"/>
          <w:b w:val="0"/>
          <w:sz w:val="22"/>
          <w:szCs w:val="22"/>
        </w:rPr>
      </w:pPr>
      <w:r w:rsidRPr="001E56A4">
        <w:rPr>
          <w:rFonts w:ascii="Arial" w:hAnsi="Arial" w:cs="Arial"/>
          <w:b w:val="0"/>
          <w:sz w:val="22"/>
          <w:szCs w:val="22"/>
        </w:rPr>
        <w:t>At the operational level, the budget circular, issued by Ministry of Finance prior to the beginning of the annual budget process, is intended to guide the annual budget process.  Whilst it discusses the general policy of the upcoming budget, the specific budget timetable and various budgetary procedures to be followed, it does not contain ministry/sector ceilings to guide line ministries in planning their budget proposals.</w:t>
      </w:r>
    </w:p>
    <w:p w14:paraId="037ADAB8" w14:textId="77777777" w:rsidR="001E56A4" w:rsidRPr="001E56A4" w:rsidRDefault="001E56A4" w:rsidP="001E56A4">
      <w:pPr>
        <w:rPr>
          <w:rFonts w:ascii="Arial" w:hAnsi="Arial" w:cs="Arial"/>
          <w:sz w:val="22"/>
          <w:szCs w:val="22"/>
        </w:rPr>
      </w:pPr>
    </w:p>
    <w:p w14:paraId="1B258104" w14:textId="77777777" w:rsidR="001E56A4" w:rsidRPr="001E56A4" w:rsidRDefault="001E56A4" w:rsidP="001E56A4">
      <w:pPr>
        <w:pStyle w:val="Heading3"/>
        <w:jc w:val="left"/>
        <w:rPr>
          <w:rFonts w:ascii="Arial" w:hAnsi="Arial" w:cs="Arial"/>
          <w:b w:val="0"/>
          <w:bCs w:val="0"/>
          <w:sz w:val="22"/>
          <w:szCs w:val="22"/>
        </w:rPr>
      </w:pPr>
      <w:r w:rsidRPr="001E56A4">
        <w:rPr>
          <w:rFonts w:ascii="Arial" w:hAnsi="Arial" w:cs="Arial"/>
          <w:b w:val="0"/>
          <w:sz w:val="22"/>
          <w:szCs w:val="22"/>
        </w:rPr>
        <w:t>The Cabinet reviews the budget at least twice before it is presented to the legislature, and there appears to be adequate time allotted to incorporate suggested changes by Cabinet.  The Cabinet Subcommittee on the Budget (comprising the largest ministries) scrutinizes and suggests adjustments to the draft budget a number of times over a period of two months.</w:t>
      </w:r>
    </w:p>
    <w:p w14:paraId="08D32476" w14:textId="77777777" w:rsidR="001E56A4" w:rsidRPr="001E56A4" w:rsidRDefault="001E56A4" w:rsidP="001E56A4">
      <w:pPr>
        <w:jc w:val="both"/>
        <w:rPr>
          <w:rFonts w:ascii="Arial" w:hAnsi="Arial" w:cs="Arial"/>
          <w:sz w:val="22"/>
          <w:szCs w:val="22"/>
        </w:rPr>
      </w:pPr>
    </w:p>
    <w:p w14:paraId="272A8A93" w14:textId="77777777" w:rsidR="001E56A4" w:rsidRPr="001E56A4" w:rsidRDefault="001E56A4" w:rsidP="001E56A4">
      <w:pPr>
        <w:jc w:val="both"/>
        <w:rPr>
          <w:rFonts w:ascii="Arial" w:hAnsi="Arial" w:cs="Arial"/>
          <w:sz w:val="22"/>
          <w:szCs w:val="22"/>
        </w:rPr>
      </w:pPr>
    </w:p>
    <w:p w14:paraId="2612FCB9" w14:textId="77777777" w:rsidR="001E56A4" w:rsidRPr="001E56A4" w:rsidRDefault="001E56A4" w:rsidP="001E56A4">
      <w:pPr>
        <w:autoSpaceDE w:val="0"/>
        <w:autoSpaceDN w:val="0"/>
        <w:adjustRightInd w:val="0"/>
        <w:rPr>
          <w:rFonts w:ascii="Arial" w:hAnsi="Arial" w:cs="Arial"/>
          <w:b/>
          <w:bCs/>
          <w:sz w:val="22"/>
          <w:szCs w:val="22"/>
        </w:rPr>
      </w:pPr>
      <w:r w:rsidRPr="001E56A4">
        <w:rPr>
          <w:rFonts w:ascii="Arial" w:hAnsi="Arial" w:cs="Arial"/>
          <w:b/>
          <w:bCs/>
          <w:sz w:val="22"/>
          <w:szCs w:val="22"/>
        </w:rPr>
        <w:t>Required</w:t>
      </w:r>
    </w:p>
    <w:p w14:paraId="41761E72" w14:textId="77777777" w:rsidR="001E56A4" w:rsidRPr="001E56A4" w:rsidRDefault="001E56A4" w:rsidP="001E56A4">
      <w:pPr>
        <w:autoSpaceDE w:val="0"/>
        <w:autoSpaceDN w:val="0"/>
        <w:adjustRightInd w:val="0"/>
        <w:rPr>
          <w:rFonts w:ascii="Arial" w:hAnsi="Arial" w:cs="Arial"/>
          <w:sz w:val="22"/>
          <w:szCs w:val="22"/>
        </w:rPr>
      </w:pPr>
    </w:p>
    <w:p w14:paraId="6B7AE210" w14:textId="77777777" w:rsidR="001E56A4" w:rsidRPr="001E56A4" w:rsidRDefault="001E56A4" w:rsidP="001E56A4">
      <w:pPr>
        <w:tabs>
          <w:tab w:val="left" w:pos="360"/>
        </w:tabs>
        <w:ind w:left="360" w:hanging="360"/>
        <w:rPr>
          <w:rFonts w:ascii="Arial" w:hAnsi="Arial" w:cs="Arial"/>
          <w:sz w:val="22"/>
          <w:szCs w:val="22"/>
        </w:rPr>
      </w:pPr>
      <w:r w:rsidRPr="001E56A4">
        <w:rPr>
          <w:rFonts w:ascii="Arial" w:hAnsi="Arial" w:cs="Arial"/>
          <w:sz w:val="22"/>
          <w:szCs w:val="22"/>
        </w:rPr>
        <w:t>1.</w:t>
      </w:r>
      <w:r w:rsidRPr="001E56A4">
        <w:rPr>
          <w:rFonts w:ascii="Arial" w:hAnsi="Arial" w:cs="Arial"/>
          <w:sz w:val="22"/>
          <w:szCs w:val="22"/>
        </w:rPr>
        <w:tab/>
        <w:t>Is it possible to rate this indicator?  Is there sufficient evidence?  If not, what additional evidence should be obtained?</w:t>
      </w:r>
    </w:p>
    <w:p w14:paraId="643F7A2B" w14:textId="77777777" w:rsidR="001E56A4" w:rsidRPr="001E56A4" w:rsidRDefault="001E56A4" w:rsidP="001E56A4">
      <w:pPr>
        <w:tabs>
          <w:tab w:val="left" w:pos="360"/>
        </w:tabs>
        <w:rPr>
          <w:rFonts w:ascii="Arial" w:hAnsi="Arial" w:cs="Arial"/>
          <w:sz w:val="22"/>
          <w:szCs w:val="22"/>
        </w:rPr>
      </w:pPr>
    </w:p>
    <w:p w14:paraId="723EB549" w14:textId="77777777" w:rsidR="001E56A4" w:rsidRPr="001E56A4" w:rsidRDefault="001E56A4" w:rsidP="001E56A4">
      <w:pPr>
        <w:tabs>
          <w:tab w:val="left" w:pos="360"/>
        </w:tabs>
        <w:rPr>
          <w:rFonts w:ascii="Arial" w:hAnsi="Arial" w:cs="Arial"/>
          <w:b/>
          <w:bCs/>
          <w:sz w:val="22"/>
          <w:szCs w:val="22"/>
        </w:rPr>
      </w:pPr>
      <w:r w:rsidRPr="001E56A4">
        <w:rPr>
          <w:rFonts w:ascii="Arial" w:hAnsi="Arial" w:cs="Arial"/>
          <w:sz w:val="22"/>
          <w:szCs w:val="22"/>
        </w:rPr>
        <w:t>2.</w:t>
      </w:r>
      <w:r w:rsidRPr="001E56A4">
        <w:rPr>
          <w:rFonts w:ascii="Arial" w:hAnsi="Arial" w:cs="Arial"/>
          <w:sz w:val="22"/>
          <w:szCs w:val="22"/>
        </w:rPr>
        <w:tab/>
        <w:t xml:space="preserve">If the evidence is sufficient, what is your rating? </w:t>
      </w:r>
    </w:p>
    <w:p w14:paraId="771D2AE1" w14:textId="77777777" w:rsidR="001E56A4" w:rsidRPr="001E56A4" w:rsidRDefault="001E56A4" w:rsidP="006613E0">
      <w:pPr>
        <w:rPr>
          <w:rFonts w:ascii="Arial" w:hAnsi="Arial" w:cs="Arial"/>
          <w:sz w:val="22"/>
          <w:szCs w:val="22"/>
        </w:rPr>
      </w:pPr>
    </w:p>
    <w:p w14:paraId="07BFD5C2" w14:textId="77777777" w:rsidR="001E56A4" w:rsidRPr="001E56A4" w:rsidRDefault="001E56A4">
      <w:pPr>
        <w:rPr>
          <w:rFonts w:ascii="Arial" w:hAnsi="Arial" w:cs="Arial"/>
          <w:b/>
          <w:szCs w:val="22"/>
        </w:rPr>
      </w:pPr>
      <w:r w:rsidRPr="001E56A4">
        <w:rPr>
          <w:rFonts w:ascii="Arial" w:hAnsi="Arial" w:cs="Arial"/>
          <w:b/>
          <w:szCs w:val="22"/>
        </w:rPr>
        <w:br w:type="page"/>
      </w:r>
    </w:p>
    <w:p w14:paraId="36AC3517" w14:textId="77777777" w:rsidR="004A2B59" w:rsidRDefault="0082319B" w:rsidP="006613E0">
      <w:pPr>
        <w:rPr>
          <w:rFonts w:ascii="Arial" w:hAnsi="Arial" w:cs="Arial"/>
          <w:b/>
          <w:szCs w:val="22"/>
        </w:rPr>
      </w:pPr>
      <w:r w:rsidRPr="001E56A4">
        <w:rPr>
          <w:rFonts w:ascii="Arial" w:hAnsi="Arial" w:cs="Arial"/>
          <w:b/>
          <w:szCs w:val="22"/>
        </w:rPr>
        <w:lastRenderedPageBreak/>
        <w:t>PI-21</w:t>
      </w:r>
      <w:r w:rsidR="00CF250A" w:rsidRPr="001E56A4">
        <w:rPr>
          <w:rFonts w:ascii="Arial" w:hAnsi="Arial" w:cs="Arial"/>
          <w:b/>
          <w:szCs w:val="22"/>
        </w:rPr>
        <w:t xml:space="preserve">: </w:t>
      </w:r>
      <w:r w:rsidR="00B3626D" w:rsidRPr="001E56A4">
        <w:rPr>
          <w:rFonts w:ascii="Arial" w:hAnsi="Arial" w:cs="Arial"/>
          <w:b/>
          <w:szCs w:val="22"/>
        </w:rPr>
        <w:t xml:space="preserve">Predictability </w:t>
      </w:r>
      <w:r w:rsidR="004A2B59">
        <w:rPr>
          <w:rFonts w:ascii="Arial" w:hAnsi="Arial" w:cs="Arial"/>
          <w:b/>
          <w:szCs w:val="22"/>
        </w:rPr>
        <w:t>of in-year resource allocation</w:t>
      </w:r>
    </w:p>
    <w:p w14:paraId="2A1CDFA4" w14:textId="77777777" w:rsidR="00961561" w:rsidRPr="001E56A4" w:rsidRDefault="00961561" w:rsidP="006613E0">
      <w:pPr>
        <w:rPr>
          <w:rFonts w:ascii="Arial" w:hAnsi="Arial" w:cs="Arial"/>
          <w:b/>
          <w:sz w:val="22"/>
          <w:szCs w:val="22"/>
        </w:rPr>
      </w:pPr>
    </w:p>
    <w:p w14:paraId="30BC7091" w14:textId="1F1DBCD2" w:rsidR="00CF250A" w:rsidRPr="001E56A4" w:rsidRDefault="00E46F94" w:rsidP="006613E0">
      <w:pPr>
        <w:rPr>
          <w:rFonts w:ascii="Arial" w:hAnsi="Arial" w:cs="Arial"/>
          <w:b/>
          <w:sz w:val="22"/>
          <w:szCs w:val="22"/>
        </w:rPr>
      </w:pPr>
      <w:r>
        <w:rPr>
          <w:rFonts w:ascii="Arial" w:hAnsi="Arial" w:cs="Arial"/>
          <w:b/>
          <w:sz w:val="22"/>
          <w:szCs w:val="22"/>
        </w:rPr>
        <w:t>21.1 C</w:t>
      </w:r>
      <w:r w:rsidR="005915B6" w:rsidRPr="001E56A4">
        <w:rPr>
          <w:rFonts w:ascii="Arial" w:hAnsi="Arial" w:cs="Arial"/>
          <w:b/>
          <w:sz w:val="22"/>
          <w:szCs w:val="22"/>
        </w:rPr>
        <w:t>onsolidation of cash balances</w:t>
      </w:r>
    </w:p>
    <w:p w14:paraId="48374A49" w14:textId="77777777" w:rsidR="00CF250A" w:rsidRPr="001E56A4" w:rsidRDefault="00CF250A" w:rsidP="006613E0">
      <w:pPr>
        <w:jc w:val="both"/>
        <w:rPr>
          <w:rFonts w:ascii="Arial" w:hAnsi="Arial" w:cs="Arial"/>
          <w:sz w:val="22"/>
          <w:szCs w:val="22"/>
        </w:rPr>
      </w:pPr>
    </w:p>
    <w:p w14:paraId="0C29A3AC" w14:textId="77777777" w:rsidR="009150CD" w:rsidRPr="001E56A4" w:rsidRDefault="009150CD" w:rsidP="006613E0">
      <w:pPr>
        <w:pStyle w:val="ParagraphNumbering"/>
        <w:numPr>
          <w:ilvl w:val="0"/>
          <w:numId w:val="0"/>
        </w:numPr>
        <w:spacing w:after="0"/>
        <w:jc w:val="left"/>
        <w:rPr>
          <w:rFonts w:ascii="Arial" w:hAnsi="Arial" w:cs="Arial"/>
          <w:sz w:val="22"/>
          <w:szCs w:val="22"/>
        </w:rPr>
      </w:pPr>
      <w:r w:rsidRPr="001E56A4">
        <w:rPr>
          <w:rFonts w:ascii="Arial" w:hAnsi="Arial" w:cs="Arial"/>
          <w:sz w:val="22"/>
          <w:szCs w:val="22"/>
        </w:rPr>
        <w:t>All Treasury operations are managed through the Single Treasury Account</w:t>
      </w:r>
      <w:r w:rsidR="00324A73" w:rsidRPr="001E56A4">
        <w:rPr>
          <w:rFonts w:ascii="Arial" w:hAnsi="Arial" w:cs="Arial"/>
          <w:sz w:val="22"/>
          <w:szCs w:val="22"/>
        </w:rPr>
        <w:t xml:space="preserve"> (STA).</w:t>
      </w:r>
      <w:r w:rsidRPr="001E56A4">
        <w:rPr>
          <w:rFonts w:ascii="Arial" w:hAnsi="Arial" w:cs="Arial"/>
          <w:sz w:val="22"/>
          <w:szCs w:val="22"/>
        </w:rPr>
        <w:t xml:space="preserve"> </w:t>
      </w:r>
      <w:r w:rsidR="001963A5" w:rsidRPr="001E56A4">
        <w:rPr>
          <w:rFonts w:ascii="Arial" w:hAnsi="Arial" w:cs="Arial"/>
          <w:sz w:val="22"/>
          <w:szCs w:val="22"/>
        </w:rPr>
        <w:t xml:space="preserve"> </w:t>
      </w:r>
      <w:r w:rsidRPr="001E56A4">
        <w:rPr>
          <w:rFonts w:ascii="Arial" w:hAnsi="Arial" w:cs="Arial"/>
          <w:sz w:val="22"/>
          <w:szCs w:val="22"/>
        </w:rPr>
        <w:t xml:space="preserve">In line with this, the </w:t>
      </w:r>
      <w:r w:rsidR="00324A73" w:rsidRPr="001E56A4">
        <w:rPr>
          <w:rFonts w:ascii="Arial" w:hAnsi="Arial" w:cs="Arial"/>
          <w:sz w:val="22"/>
          <w:szCs w:val="22"/>
        </w:rPr>
        <w:t>STA</w:t>
      </w:r>
      <w:r w:rsidRPr="001E56A4">
        <w:rPr>
          <w:rFonts w:ascii="Arial" w:hAnsi="Arial" w:cs="Arial"/>
          <w:sz w:val="22"/>
          <w:szCs w:val="22"/>
        </w:rPr>
        <w:t xml:space="preserve"> is composed of </w:t>
      </w:r>
      <w:r w:rsidR="00C1699D" w:rsidRPr="001E56A4">
        <w:rPr>
          <w:rFonts w:ascii="Arial" w:hAnsi="Arial" w:cs="Arial"/>
          <w:sz w:val="22"/>
          <w:szCs w:val="22"/>
        </w:rPr>
        <w:t xml:space="preserve">all </w:t>
      </w:r>
      <w:r w:rsidR="00324A73" w:rsidRPr="001E56A4">
        <w:rPr>
          <w:rFonts w:ascii="Arial" w:hAnsi="Arial" w:cs="Arial"/>
          <w:sz w:val="22"/>
          <w:szCs w:val="22"/>
        </w:rPr>
        <w:t>the Treasury’s</w:t>
      </w:r>
      <w:r w:rsidRPr="001E56A4">
        <w:rPr>
          <w:rFonts w:ascii="Arial" w:hAnsi="Arial" w:cs="Arial"/>
          <w:sz w:val="22"/>
          <w:szCs w:val="22"/>
        </w:rPr>
        <w:t xml:space="preserve"> principal accounts </w:t>
      </w:r>
      <w:r w:rsidR="00324A73" w:rsidRPr="001E56A4">
        <w:rPr>
          <w:rFonts w:ascii="Arial" w:hAnsi="Arial" w:cs="Arial"/>
          <w:sz w:val="22"/>
          <w:szCs w:val="22"/>
        </w:rPr>
        <w:t>with</w:t>
      </w:r>
      <w:r w:rsidRPr="001E56A4">
        <w:rPr>
          <w:rFonts w:ascii="Arial" w:hAnsi="Arial" w:cs="Arial"/>
          <w:sz w:val="22"/>
          <w:szCs w:val="22"/>
        </w:rPr>
        <w:t xml:space="preserve"> the Central Bank and a number of auxiliary accounts (for revenue collections) located in the </w:t>
      </w:r>
      <w:r w:rsidR="00324A73" w:rsidRPr="001E56A4">
        <w:rPr>
          <w:rFonts w:ascii="Arial" w:hAnsi="Arial" w:cs="Arial"/>
          <w:sz w:val="22"/>
          <w:szCs w:val="22"/>
        </w:rPr>
        <w:t xml:space="preserve">commercial </w:t>
      </w:r>
      <w:r w:rsidRPr="001E56A4">
        <w:rPr>
          <w:rFonts w:ascii="Arial" w:hAnsi="Arial" w:cs="Arial"/>
          <w:sz w:val="22"/>
          <w:szCs w:val="22"/>
        </w:rPr>
        <w:t xml:space="preserve">banking sector. </w:t>
      </w:r>
      <w:r w:rsidR="001963A5" w:rsidRPr="001E56A4">
        <w:rPr>
          <w:rFonts w:ascii="Arial" w:hAnsi="Arial" w:cs="Arial"/>
          <w:sz w:val="22"/>
          <w:szCs w:val="22"/>
        </w:rPr>
        <w:t xml:space="preserve"> </w:t>
      </w:r>
      <w:r w:rsidRPr="001E56A4">
        <w:rPr>
          <w:rFonts w:ascii="Arial" w:hAnsi="Arial" w:cs="Arial"/>
          <w:sz w:val="22"/>
          <w:szCs w:val="22"/>
        </w:rPr>
        <w:t>The revenue accounts work as zero-balance accounts, with monies transferred from them on a daily basis.</w:t>
      </w:r>
      <w:r w:rsidR="00324A73" w:rsidRPr="001E56A4">
        <w:rPr>
          <w:rFonts w:ascii="Arial" w:hAnsi="Arial" w:cs="Arial"/>
          <w:sz w:val="22"/>
          <w:szCs w:val="22"/>
        </w:rPr>
        <w:t xml:space="preserve"> </w:t>
      </w:r>
      <w:r w:rsidR="001963A5" w:rsidRPr="001E56A4">
        <w:rPr>
          <w:rFonts w:ascii="Arial" w:hAnsi="Arial" w:cs="Arial"/>
          <w:sz w:val="22"/>
          <w:szCs w:val="22"/>
        </w:rPr>
        <w:t xml:space="preserve"> </w:t>
      </w:r>
      <w:r w:rsidRPr="001E56A4">
        <w:rPr>
          <w:rFonts w:ascii="Arial" w:hAnsi="Arial" w:cs="Arial"/>
          <w:sz w:val="22"/>
          <w:szCs w:val="22"/>
        </w:rPr>
        <w:t xml:space="preserve">Through the </w:t>
      </w:r>
      <w:r w:rsidR="00324A73" w:rsidRPr="001E56A4">
        <w:rPr>
          <w:rFonts w:ascii="Arial" w:hAnsi="Arial" w:cs="Arial"/>
          <w:sz w:val="22"/>
          <w:szCs w:val="22"/>
        </w:rPr>
        <w:t>STA</w:t>
      </w:r>
      <w:r w:rsidRPr="001E56A4">
        <w:rPr>
          <w:rFonts w:ascii="Arial" w:hAnsi="Arial" w:cs="Arial"/>
          <w:sz w:val="22"/>
          <w:szCs w:val="22"/>
        </w:rPr>
        <w:t xml:space="preserve">, </w:t>
      </w:r>
      <w:r w:rsidR="00324A73" w:rsidRPr="001E56A4">
        <w:rPr>
          <w:rFonts w:ascii="Arial" w:hAnsi="Arial" w:cs="Arial"/>
          <w:sz w:val="22"/>
          <w:szCs w:val="22"/>
        </w:rPr>
        <w:t xml:space="preserve">the </w:t>
      </w:r>
      <w:r w:rsidRPr="001E56A4">
        <w:rPr>
          <w:rFonts w:ascii="Arial" w:hAnsi="Arial" w:cs="Arial"/>
          <w:sz w:val="22"/>
          <w:szCs w:val="22"/>
        </w:rPr>
        <w:t>T</w:t>
      </w:r>
      <w:r w:rsidR="00324A73" w:rsidRPr="001E56A4">
        <w:rPr>
          <w:rFonts w:ascii="Arial" w:hAnsi="Arial" w:cs="Arial"/>
          <w:sz w:val="22"/>
          <w:szCs w:val="22"/>
        </w:rPr>
        <w:t>reasury</w:t>
      </w:r>
      <w:r w:rsidRPr="001E56A4">
        <w:rPr>
          <w:rFonts w:ascii="Arial" w:hAnsi="Arial" w:cs="Arial"/>
          <w:sz w:val="22"/>
          <w:szCs w:val="22"/>
        </w:rPr>
        <w:t xml:space="preserve"> manages payments on behalf of </w:t>
      </w:r>
      <w:r w:rsidR="00C1699D" w:rsidRPr="001E56A4">
        <w:rPr>
          <w:rFonts w:ascii="Arial" w:hAnsi="Arial" w:cs="Arial"/>
          <w:sz w:val="22"/>
          <w:szCs w:val="22"/>
        </w:rPr>
        <w:t xml:space="preserve">all </w:t>
      </w:r>
      <w:r w:rsidRPr="001E56A4">
        <w:rPr>
          <w:rFonts w:ascii="Arial" w:hAnsi="Arial" w:cs="Arial"/>
          <w:sz w:val="22"/>
          <w:szCs w:val="22"/>
        </w:rPr>
        <w:t>6</w:t>
      </w:r>
      <w:r w:rsidR="00C1699D" w:rsidRPr="001E56A4">
        <w:rPr>
          <w:rFonts w:ascii="Arial" w:hAnsi="Arial" w:cs="Arial"/>
          <w:sz w:val="22"/>
          <w:szCs w:val="22"/>
        </w:rPr>
        <w:t>0</w:t>
      </w:r>
      <w:r w:rsidRPr="001E56A4">
        <w:rPr>
          <w:rFonts w:ascii="Arial" w:hAnsi="Arial" w:cs="Arial"/>
          <w:sz w:val="22"/>
          <w:szCs w:val="22"/>
        </w:rPr>
        <w:t xml:space="preserve"> central government entities. </w:t>
      </w:r>
      <w:r w:rsidR="001963A5" w:rsidRPr="001E56A4">
        <w:rPr>
          <w:rFonts w:ascii="Arial" w:hAnsi="Arial" w:cs="Arial"/>
          <w:sz w:val="22"/>
          <w:szCs w:val="22"/>
        </w:rPr>
        <w:t xml:space="preserve"> </w:t>
      </w:r>
      <w:r w:rsidR="00C1699D" w:rsidRPr="001E56A4">
        <w:rPr>
          <w:rFonts w:ascii="Arial" w:hAnsi="Arial" w:cs="Arial"/>
          <w:sz w:val="22"/>
          <w:szCs w:val="22"/>
        </w:rPr>
        <w:t>U</w:t>
      </w:r>
      <w:r w:rsidRPr="001E56A4">
        <w:rPr>
          <w:rFonts w:ascii="Arial" w:hAnsi="Arial" w:cs="Arial"/>
          <w:sz w:val="22"/>
          <w:szCs w:val="22"/>
        </w:rPr>
        <w:t xml:space="preserve">nder the </w:t>
      </w:r>
      <w:r w:rsidR="00324A73" w:rsidRPr="001E56A4">
        <w:rPr>
          <w:rFonts w:ascii="Arial" w:hAnsi="Arial" w:cs="Arial"/>
          <w:sz w:val="22"/>
          <w:szCs w:val="22"/>
        </w:rPr>
        <w:t xml:space="preserve">Financial </w:t>
      </w:r>
      <w:r w:rsidR="00C1699D" w:rsidRPr="001E56A4">
        <w:rPr>
          <w:rFonts w:ascii="Arial" w:hAnsi="Arial" w:cs="Arial"/>
          <w:sz w:val="22"/>
          <w:szCs w:val="22"/>
        </w:rPr>
        <w:t>Management Act</w:t>
      </w:r>
      <w:r w:rsidRPr="001E56A4">
        <w:rPr>
          <w:rFonts w:ascii="Arial" w:hAnsi="Arial" w:cs="Arial"/>
          <w:sz w:val="22"/>
          <w:szCs w:val="22"/>
        </w:rPr>
        <w:t>, the T</w:t>
      </w:r>
      <w:r w:rsidR="00324A73" w:rsidRPr="001E56A4">
        <w:rPr>
          <w:rFonts w:ascii="Arial" w:hAnsi="Arial" w:cs="Arial"/>
          <w:sz w:val="22"/>
          <w:szCs w:val="22"/>
        </w:rPr>
        <w:t>reasury</w:t>
      </w:r>
      <w:r w:rsidRPr="001E56A4">
        <w:rPr>
          <w:rFonts w:ascii="Arial" w:hAnsi="Arial" w:cs="Arial"/>
          <w:sz w:val="22"/>
          <w:szCs w:val="22"/>
        </w:rPr>
        <w:t xml:space="preserve"> may authorize the devolution of payment responsibilities, </w:t>
      </w:r>
      <w:r w:rsidR="00C1699D" w:rsidRPr="001E56A4">
        <w:rPr>
          <w:rFonts w:ascii="Arial" w:hAnsi="Arial" w:cs="Arial"/>
          <w:sz w:val="22"/>
          <w:szCs w:val="22"/>
        </w:rPr>
        <w:t>but</w:t>
      </w:r>
      <w:r w:rsidRPr="001E56A4">
        <w:rPr>
          <w:rFonts w:ascii="Arial" w:hAnsi="Arial" w:cs="Arial"/>
          <w:sz w:val="22"/>
          <w:szCs w:val="22"/>
        </w:rPr>
        <w:t xml:space="preserve"> this has not been done in practice.  The implementation of the </w:t>
      </w:r>
      <w:r w:rsidR="00324A73" w:rsidRPr="001E56A4">
        <w:rPr>
          <w:rFonts w:ascii="Arial" w:hAnsi="Arial" w:cs="Arial"/>
          <w:sz w:val="22"/>
          <w:szCs w:val="22"/>
        </w:rPr>
        <w:t>STA</w:t>
      </w:r>
      <w:r w:rsidRPr="001E56A4">
        <w:rPr>
          <w:rFonts w:ascii="Arial" w:hAnsi="Arial" w:cs="Arial"/>
          <w:sz w:val="22"/>
          <w:szCs w:val="22"/>
        </w:rPr>
        <w:t xml:space="preserve"> has resulted in significant administrative benefits for the government</w:t>
      </w:r>
      <w:r w:rsidR="00324A73" w:rsidRPr="001E56A4">
        <w:rPr>
          <w:rFonts w:ascii="Arial" w:hAnsi="Arial" w:cs="Arial"/>
          <w:sz w:val="22"/>
          <w:szCs w:val="22"/>
        </w:rPr>
        <w:t xml:space="preserve"> such as (i) s</w:t>
      </w:r>
      <w:r w:rsidRPr="001E56A4">
        <w:rPr>
          <w:rFonts w:ascii="Arial" w:hAnsi="Arial" w:cs="Arial"/>
          <w:sz w:val="22"/>
          <w:szCs w:val="22"/>
        </w:rPr>
        <w:t>avings on commissions and bank charges for revenue collection and funds transfer</w:t>
      </w:r>
      <w:r w:rsidR="00324A73" w:rsidRPr="001E56A4">
        <w:rPr>
          <w:rFonts w:ascii="Arial" w:hAnsi="Arial" w:cs="Arial"/>
          <w:sz w:val="22"/>
          <w:szCs w:val="22"/>
        </w:rPr>
        <w:t>; (ii) r</w:t>
      </w:r>
      <w:r w:rsidRPr="001E56A4">
        <w:rPr>
          <w:rFonts w:ascii="Arial" w:hAnsi="Arial" w:cs="Arial"/>
          <w:sz w:val="22"/>
          <w:szCs w:val="22"/>
        </w:rPr>
        <w:t>eduction of internal or floating debt (arrears) due to more efficient cash management and programming</w:t>
      </w:r>
      <w:r w:rsidR="00324A73" w:rsidRPr="001E56A4">
        <w:rPr>
          <w:rFonts w:ascii="Arial" w:hAnsi="Arial" w:cs="Arial"/>
          <w:sz w:val="22"/>
          <w:szCs w:val="22"/>
        </w:rPr>
        <w:t>; and (iii) saving</w:t>
      </w:r>
      <w:r w:rsidRPr="001E56A4">
        <w:rPr>
          <w:rFonts w:ascii="Arial" w:hAnsi="Arial" w:cs="Arial"/>
          <w:sz w:val="22"/>
          <w:szCs w:val="22"/>
        </w:rPr>
        <w:t>s on internal debt interest payments through cash pooling and account rationalization</w:t>
      </w:r>
      <w:r w:rsidR="00324A73" w:rsidRPr="001E56A4">
        <w:rPr>
          <w:rFonts w:ascii="Arial" w:hAnsi="Arial" w:cs="Arial"/>
          <w:sz w:val="22"/>
          <w:szCs w:val="22"/>
        </w:rPr>
        <w:t>.</w:t>
      </w:r>
    </w:p>
    <w:p w14:paraId="3478A619" w14:textId="77777777" w:rsidR="0038145B" w:rsidRPr="001E56A4" w:rsidRDefault="0038145B" w:rsidP="006613E0">
      <w:pPr>
        <w:pStyle w:val="ParagraphNumbering"/>
        <w:numPr>
          <w:ilvl w:val="0"/>
          <w:numId w:val="0"/>
        </w:numPr>
        <w:spacing w:after="0"/>
        <w:jc w:val="left"/>
        <w:rPr>
          <w:rFonts w:ascii="Arial" w:hAnsi="Arial" w:cs="Arial"/>
          <w:sz w:val="22"/>
          <w:szCs w:val="22"/>
        </w:rPr>
      </w:pPr>
    </w:p>
    <w:p w14:paraId="1388D1CB" w14:textId="08277900" w:rsidR="00005415" w:rsidRPr="001E56A4" w:rsidRDefault="00005415" w:rsidP="006613E0">
      <w:pPr>
        <w:pStyle w:val="ParagraphNumbering"/>
        <w:numPr>
          <w:ilvl w:val="0"/>
          <w:numId w:val="0"/>
        </w:numPr>
        <w:spacing w:after="0"/>
        <w:jc w:val="left"/>
        <w:rPr>
          <w:rFonts w:ascii="Arial" w:hAnsi="Arial" w:cs="Arial"/>
          <w:b/>
          <w:sz w:val="22"/>
          <w:szCs w:val="22"/>
        </w:rPr>
      </w:pPr>
      <w:r w:rsidRPr="001E56A4">
        <w:rPr>
          <w:rFonts w:ascii="Arial" w:hAnsi="Arial" w:cs="Arial"/>
          <w:b/>
          <w:sz w:val="22"/>
          <w:szCs w:val="22"/>
        </w:rPr>
        <w:t xml:space="preserve">The </w:t>
      </w:r>
      <w:r w:rsidR="00B3626D" w:rsidRPr="001E56A4">
        <w:rPr>
          <w:rFonts w:ascii="Arial" w:hAnsi="Arial" w:cs="Arial"/>
          <w:b/>
          <w:sz w:val="22"/>
          <w:szCs w:val="22"/>
        </w:rPr>
        <w:t>four</w:t>
      </w:r>
      <w:r w:rsidRPr="001E56A4">
        <w:rPr>
          <w:rFonts w:ascii="Arial" w:hAnsi="Arial" w:cs="Arial"/>
          <w:b/>
          <w:sz w:val="22"/>
          <w:szCs w:val="22"/>
        </w:rPr>
        <w:t xml:space="preserve"> dimensions are rated C, A</w:t>
      </w:r>
      <w:r w:rsidR="00B3626D" w:rsidRPr="001E56A4">
        <w:rPr>
          <w:rFonts w:ascii="Arial" w:hAnsi="Arial" w:cs="Arial"/>
          <w:b/>
          <w:sz w:val="22"/>
          <w:szCs w:val="22"/>
        </w:rPr>
        <w:t>, B</w:t>
      </w:r>
      <w:r w:rsidRPr="001E56A4">
        <w:rPr>
          <w:rFonts w:ascii="Arial" w:hAnsi="Arial" w:cs="Arial"/>
          <w:b/>
          <w:sz w:val="22"/>
          <w:szCs w:val="22"/>
        </w:rPr>
        <w:t xml:space="preserve"> and C, and the overall indicator is rated B. </w:t>
      </w:r>
    </w:p>
    <w:p w14:paraId="02E521E1" w14:textId="77777777" w:rsidR="0038145B" w:rsidRPr="001E56A4" w:rsidRDefault="0038145B" w:rsidP="006613E0">
      <w:pPr>
        <w:autoSpaceDE w:val="0"/>
        <w:autoSpaceDN w:val="0"/>
        <w:adjustRightInd w:val="0"/>
        <w:rPr>
          <w:rFonts w:ascii="Arial" w:hAnsi="Arial" w:cs="Arial"/>
          <w:b/>
          <w:bCs/>
          <w:sz w:val="22"/>
          <w:szCs w:val="22"/>
        </w:rPr>
      </w:pPr>
    </w:p>
    <w:p w14:paraId="2B517301" w14:textId="77777777" w:rsidR="0038145B" w:rsidRPr="001E56A4" w:rsidRDefault="0038145B" w:rsidP="006613E0">
      <w:pPr>
        <w:autoSpaceDE w:val="0"/>
        <w:autoSpaceDN w:val="0"/>
        <w:adjustRightInd w:val="0"/>
        <w:rPr>
          <w:rFonts w:ascii="Arial" w:hAnsi="Arial" w:cs="Arial"/>
          <w:b/>
          <w:bCs/>
          <w:sz w:val="22"/>
          <w:szCs w:val="22"/>
        </w:rPr>
      </w:pPr>
    </w:p>
    <w:p w14:paraId="6EB5C507" w14:textId="77777777" w:rsidR="00DE3F77" w:rsidRPr="001E56A4" w:rsidRDefault="00DE3F77" w:rsidP="006613E0">
      <w:pPr>
        <w:autoSpaceDE w:val="0"/>
        <w:autoSpaceDN w:val="0"/>
        <w:adjustRightInd w:val="0"/>
        <w:rPr>
          <w:rFonts w:ascii="Arial" w:hAnsi="Arial" w:cs="Arial"/>
          <w:b/>
          <w:bCs/>
          <w:sz w:val="22"/>
          <w:szCs w:val="22"/>
        </w:rPr>
      </w:pPr>
      <w:r w:rsidRPr="001E56A4">
        <w:rPr>
          <w:rFonts w:ascii="Arial" w:hAnsi="Arial" w:cs="Arial"/>
          <w:b/>
          <w:bCs/>
          <w:sz w:val="22"/>
          <w:szCs w:val="22"/>
        </w:rPr>
        <w:t>Required</w:t>
      </w:r>
    </w:p>
    <w:p w14:paraId="4E54A251" w14:textId="77777777" w:rsidR="0038145B" w:rsidRPr="001E56A4" w:rsidRDefault="0038145B" w:rsidP="006613E0">
      <w:pPr>
        <w:autoSpaceDE w:val="0"/>
        <w:autoSpaceDN w:val="0"/>
        <w:adjustRightInd w:val="0"/>
        <w:rPr>
          <w:rFonts w:ascii="Arial" w:hAnsi="Arial" w:cs="Arial"/>
          <w:sz w:val="22"/>
          <w:szCs w:val="22"/>
        </w:rPr>
      </w:pPr>
    </w:p>
    <w:p w14:paraId="1FE3D22C" w14:textId="35C5CA1F" w:rsidR="00DE3F77" w:rsidRPr="001E56A4" w:rsidRDefault="00DE3F77" w:rsidP="0038145B">
      <w:pPr>
        <w:numPr>
          <w:ilvl w:val="0"/>
          <w:numId w:val="27"/>
        </w:numPr>
        <w:tabs>
          <w:tab w:val="clear" w:pos="720"/>
          <w:tab w:val="num" w:pos="360"/>
        </w:tabs>
        <w:ind w:left="360"/>
        <w:rPr>
          <w:rFonts w:ascii="Arial" w:hAnsi="Arial" w:cs="Arial"/>
          <w:sz w:val="22"/>
          <w:szCs w:val="22"/>
        </w:rPr>
      </w:pPr>
      <w:r w:rsidRPr="001E56A4">
        <w:rPr>
          <w:rFonts w:ascii="Arial" w:hAnsi="Arial" w:cs="Arial"/>
          <w:sz w:val="22"/>
          <w:szCs w:val="22"/>
        </w:rPr>
        <w:t>Is i</w:t>
      </w:r>
      <w:r w:rsidR="001C6CD6">
        <w:rPr>
          <w:rFonts w:ascii="Arial" w:hAnsi="Arial" w:cs="Arial"/>
          <w:sz w:val="22"/>
          <w:szCs w:val="22"/>
        </w:rPr>
        <w:t>t possible to rate dimension (i</w:t>
      </w:r>
      <w:bookmarkStart w:id="1" w:name="_GoBack"/>
      <w:bookmarkEnd w:id="1"/>
      <w:r w:rsidRPr="001E56A4">
        <w:rPr>
          <w:rFonts w:ascii="Arial" w:hAnsi="Arial" w:cs="Arial"/>
          <w:sz w:val="22"/>
          <w:szCs w:val="22"/>
        </w:rPr>
        <w:t xml:space="preserve">)? </w:t>
      </w:r>
      <w:r w:rsidR="001963A5" w:rsidRPr="001E56A4">
        <w:rPr>
          <w:rFonts w:ascii="Arial" w:hAnsi="Arial" w:cs="Arial"/>
          <w:sz w:val="22"/>
          <w:szCs w:val="22"/>
        </w:rPr>
        <w:t xml:space="preserve"> </w:t>
      </w:r>
      <w:r w:rsidRPr="001E56A4">
        <w:rPr>
          <w:rFonts w:ascii="Arial" w:hAnsi="Arial" w:cs="Arial"/>
          <w:sz w:val="22"/>
          <w:szCs w:val="22"/>
        </w:rPr>
        <w:t>Is there sufficient evidence?</w:t>
      </w:r>
      <w:r w:rsidR="00EB34EF" w:rsidRPr="001E56A4">
        <w:rPr>
          <w:rFonts w:ascii="Arial" w:hAnsi="Arial" w:cs="Arial"/>
          <w:sz w:val="22"/>
          <w:szCs w:val="22"/>
        </w:rPr>
        <w:t xml:space="preserve"> </w:t>
      </w:r>
      <w:r w:rsidRPr="001E56A4">
        <w:rPr>
          <w:rFonts w:ascii="Arial" w:hAnsi="Arial" w:cs="Arial"/>
          <w:sz w:val="22"/>
          <w:szCs w:val="22"/>
        </w:rPr>
        <w:t xml:space="preserve"> If not, what additional evidence should be obtained?</w:t>
      </w:r>
    </w:p>
    <w:p w14:paraId="0202A62C" w14:textId="77777777" w:rsidR="0038145B" w:rsidRPr="001E56A4" w:rsidRDefault="0038145B" w:rsidP="0038145B">
      <w:pPr>
        <w:ind w:left="360"/>
        <w:rPr>
          <w:rFonts w:ascii="Arial" w:hAnsi="Arial" w:cs="Arial"/>
          <w:sz w:val="22"/>
          <w:szCs w:val="22"/>
        </w:rPr>
      </w:pPr>
    </w:p>
    <w:p w14:paraId="3AADA4B3" w14:textId="77777777" w:rsidR="00DE3F77" w:rsidRPr="001E56A4" w:rsidRDefault="00DE3F77" w:rsidP="0038145B">
      <w:pPr>
        <w:numPr>
          <w:ilvl w:val="0"/>
          <w:numId w:val="27"/>
        </w:numPr>
        <w:tabs>
          <w:tab w:val="clear" w:pos="720"/>
          <w:tab w:val="num" w:pos="360"/>
        </w:tabs>
        <w:ind w:left="360"/>
        <w:rPr>
          <w:rFonts w:ascii="Arial" w:hAnsi="Arial" w:cs="Arial"/>
          <w:sz w:val="22"/>
          <w:szCs w:val="22"/>
        </w:rPr>
      </w:pPr>
      <w:r w:rsidRPr="001E56A4">
        <w:rPr>
          <w:rFonts w:ascii="Arial" w:hAnsi="Arial" w:cs="Arial"/>
          <w:sz w:val="22"/>
          <w:szCs w:val="22"/>
        </w:rPr>
        <w:t>Assuming that dimensions (i) and (iii) are correctly rated, do you agree with an A rating of dimension (ii) and an overall B? Give reasons for your answer.</w:t>
      </w:r>
    </w:p>
    <w:p w14:paraId="32944225" w14:textId="0A729CF6" w:rsidR="00A23B7E" w:rsidRPr="001E56A4" w:rsidRDefault="007C65E1" w:rsidP="006613E0">
      <w:pPr>
        <w:rPr>
          <w:rFonts w:ascii="Arial" w:hAnsi="Arial" w:cs="Arial"/>
          <w:b/>
          <w:bCs/>
          <w:szCs w:val="22"/>
        </w:rPr>
      </w:pPr>
      <w:r w:rsidRPr="001E56A4">
        <w:rPr>
          <w:rFonts w:ascii="Arial" w:hAnsi="Arial" w:cs="Arial"/>
          <w:b/>
          <w:sz w:val="22"/>
          <w:szCs w:val="22"/>
        </w:rPr>
        <w:br w:type="page"/>
      </w:r>
      <w:r w:rsidR="000C5428">
        <w:rPr>
          <w:rFonts w:ascii="Arial" w:hAnsi="Arial" w:cs="Arial"/>
          <w:b/>
          <w:szCs w:val="22"/>
        </w:rPr>
        <w:lastRenderedPageBreak/>
        <w:t>PI-26</w:t>
      </w:r>
      <w:r w:rsidRPr="001E56A4">
        <w:rPr>
          <w:rFonts w:ascii="Arial" w:hAnsi="Arial" w:cs="Arial"/>
          <w:b/>
          <w:szCs w:val="22"/>
        </w:rPr>
        <w:t xml:space="preserve">: </w:t>
      </w:r>
      <w:r w:rsidR="00E46F94">
        <w:rPr>
          <w:rFonts w:ascii="Arial" w:hAnsi="Arial" w:cs="Arial"/>
          <w:b/>
          <w:bCs/>
          <w:szCs w:val="22"/>
        </w:rPr>
        <w:t>I</w:t>
      </w:r>
      <w:r w:rsidRPr="001E56A4">
        <w:rPr>
          <w:rFonts w:ascii="Arial" w:hAnsi="Arial" w:cs="Arial"/>
          <w:b/>
          <w:bCs/>
          <w:szCs w:val="22"/>
        </w:rPr>
        <w:t>nternal audit</w:t>
      </w:r>
    </w:p>
    <w:p w14:paraId="7CBA4B1F" w14:textId="77777777" w:rsidR="007C224F" w:rsidRPr="001E56A4" w:rsidRDefault="007C224F" w:rsidP="006613E0">
      <w:pPr>
        <w:rPr>
          <w:rFonts w:ascii="Arial" w:hAnsi="Arial" w:cs="Arial"/>
          <w:b/>
          <w:bCs/>
          <w:sz w:val="22"/>
          <w:szCs w:val="22"/>
        </w:rPr>
      </w:pPr>
    </w:p>
    <w:p w14:paraId="11E0E19F" w14:textId="27606AF9" w:rsidR="007C65E1" w:rsidRPr="001E56A4" w:rsidRDefault="00E46F94" w:rsidP="006613E0">
      <w:pPr>
        <w:rPr>
          <w:rFonts w:ascii="Arial" w:hAnsi="Arial" w:cs="Arial"/>
          <w:b/>
          <w:bCs/>
          <w:sz w:val="22"/>
          <w:szCs w:val="22"/>
        </w:rPr>
      </w:pPr>
      <w:r>
        <w:rPr>
          <w:rFonts w:ascii="Arial" w:hAnsi="Arial" w:cs="Arial"/>
          <w:b/>
          <w:bCs/>
          <w:sz w:val="22"/>
          <w:szCs w:val="22"/>
        </w:rPr>
        <w:t>26.1</w:t>
      </w:r>
      <w:r w:rsidR="00B85D10" w:rsidRPr="001E56A4">
        <w:rPr>
          <w:rFonts w:ascii="Arial" w:hAnsi="Arial" w:cs="Arial"/>
          <w:b/>
          <w:bCs/>
          <w:sz w:val="22"/>
          <w:szCs w:val="22"/>
        </w:rPr>
        <w:t xml:space="preserve"> Coverage</w:t>
      </w:r>
      <w:r w:rsidR="00005415" w:rsidRPr="001E56A4">
        <w:rPr>
          <w:rFonts w:ascii="Arial" w:hAnsi="Arial" w:cs="Arial"/>
          <w:b/>
          <w:bCs/>
          <w:sz w:val="22"/>
          <w:szCs w:val="22"/>
        </w:rPr>
        <w:t xml:space="preserve"> of internal audit </w:t>
      </w:r>
    </w:p>
    <w:p w14:paraId="7B3C3FE3" w14:textId="77777777" w:rsidR="007C65E1" w:rsidRPr="001E56A4" w:rsidRDefault="007C65E1" w:rsidP="006613E0">
      <w:pPr>
        <w:autoSpaceDE w:val="0"/>
        <w:autoSpaceDN w:val="0"/>
        <w:adjustRightInd w:val="0"/>
        <w:rPr>
          <w:rFonts w:ascii="Arial" w:hAnsi="Arial" w:cs="Arial"/>
          <w:color w:val="000000"/>
          <w:sz w:val="22"/>
          <w:szCs w:val="22"/>
        </w:rPr>
      </w:pPr>
    </w:p>
    <w:p w14:paraId="516BF155" w14:textId="77777777" w:rsidR="007C65E1" w:rsidRPr="001E56A4" w:rsidRDefault="007C65E1" w:rsidP="0038145B">
      <w:pPr>
        <w:autoSpaceDE w:val="0"/>
        <w:autoSpaceDN w:val="0"/>
        <w:adjustRightInd w:val="0"/>
        <w:ind w:left="360" w:hanging="360"/>
        <w:rPr>
          <w:rFonts w:ascii="Arial" w:hAnsi="Arial" w:cs="Arial"/>
          <w:sz w:val="22"/>
          <w:szCs w:val="22"/>
        </w:rPr>
      </w:pPr>
      <w:r w:rsidRPr="001E56A4">
        <w:rPr>
          <w:rFonts w:ascii="Arial" w:hAnsi="Arial" w:cs="Arial"/>
          <w:sz w:val="22"/>
          <w:szCs w:val="22"/>
        </w:rPr>
        <w:t xml:space="preserve">1. </w:t>
      </w:r>
      <w:r w:rsidR="0038145B" w:rsidRPr="001E56A4">
        <w:rPr>
          <w:rFonts w:ascii="Arial" w:hAnsi="Arial" w:cs="Arial"/>
          <w:sz w:val="22"/>
          <w:szCs w:val="22"/>
        </w:rPr>
        <w:tab/>
      </w:r>
      <w:r w:rsidRPr="001E56A4">
        <w:rPr>
          <w:rFonts w:ascii="Arial" w:hAnsi="Arial" w:cs="Arial"/>
          <w:sz w:val="22"/>
          <w:szCs w:val="22"/>
        </w:rPr>
        <w:t xml:space="preserve">The Internal Audit (IA) function covers the majority of central government entities (if measured by the value of expenditure that they represent on the state budget). </w:t>
      </w:r>
      <w:r w:rsidR="001963A5" w:rsidRPr="001E56A4">
        <w:rPr>
          <w:rFonts w:ascii="Arial" w:hAnsi="Arial" w:cs="Arial"/>
          <w:sz w:val="22"/>
          <w:szCs w:val="22"/>
        </w:rPr>
        <w:t xml:space="preserve"> </w:t>
      </w:r>
      <w:r w:rsidRPr="001E56A4">
        <w:rPr>
          <w:rFonts w:ascii="Arial" w:hAnsi="Arial" w:cs="Arial"/>
          <w:sz w:val="22"/>
          <w:szCs w:val="22"/>
        </w:rPr>
        <w:t>However, many of these internal audits are performed directly by the Inspector General of Fina</w:t>
      </w:r>
      <w:r w:rsidR="00A23B7E" w:rsidRPr="001E56A4">
        <w:rPr>
          <w:rFonts w:ascii="Arial" w:hAnsi="Arial" w:cs="Arial"/>
          <w:sz w:val="22"/>
          <w:szCs w:val="22"/>
        </w:rPr>
        <w:t>nce (IGF) and only a few</w:t>
      </w:r>
      <w:r w:rsidRPr="001E56A4">
        <w:rPr>
          <w:rFonts w:ascii="Arial" w:hAnsi="Arial" w:cs="Arial"/>
          <w:sz w:val="22"/>
          <w:szCs w:val="22"/>
        </w:rPr>
        <w:t xml:space="preserve"> ministries have operational IA units of their own. </w:t>
      </w:r>
      <w:r w:rsidR="001963A5" w:rsidRPr="001E56A4">
        <w:rPr>
          <w:rFonts w:ascii="Arial" w:hAnsi="Arial" w:cs="Arial"/>
          <w:sz w:val="22"/>
          <w:szCs w:val="22"/>
        </w:rPr>
        <w:t xml:space="preserve"> </w:t>
      </w:r>
      <w:r w:rsidRPr="001E56A4">
        <w:rPr>
          <w:rFonts w:ascii="Arial" w:hAnsi="Arial" w:cs="Arial"/>
          <w:sz w:val="22"/>
          <w:szCs w:val="22"/>
        </w:rPr>
        <w:t xml:space="preserve">Nevertheless, in aggregate, more than 50% of central government expenditure is covered. </w:t>
      </w:r>
    </w:p>
    <w:p w14:paraId="35162C1C" w14:textId="77777777" w:rsidR="0038145B" w:rsidRPr="001E56A4" w:rsidRDefault="0038145B" w:rsidP="0038145B">
      <w:pPr>
        <w:autoSpaceDE w:val="0"/>
        <w:autoSpaceDN w:val="0"/>
        <w:adjustRightInd w:val="0"/>
        <w:ind w:left="360" w:hanging="360"/>
        <w:rPr>
          <w:rFonts w:ascii="Arial" w:hAnsi="Arial" w:cs="Arial"/>
          <w:sz w:val="22"/>
          <w:szCs w:val="22"/>
        </w:rPr>
      </w:pPr>
    </w:p>
    <w:p w14:paraId="2EA70D08" w14:textId="1018ACDC" w:rsidR="007C65E1" w:rsidRPr="001E56A4" w:rsidRDefault="007C65E1" w:rsidP="0038145B">
      <w:pPr>
        <w:autoSpaceDE w:val="0"/>
        <w:autoSpaceDN w:val="0"/>
        <w:adjustRightInd w:val="0"/>
        <w:ind w:left="360" w:hanging="360"/>
        <w:rPr>
          <w:rFonts w:ascii="Arial" w:hAnsi="Arial" w:cs="Arial"/>
          <w:color w:val="000000"/>
          <w:sz w:val="22"/>
          <w:szCs w:val="22"/>
        </w:rPr>
      </w:pPr>
      <w:r w:rsidRPr="001E56A4">
        <w:rPr>
          <w:rFonts w:ascii="Arial" w:hAnsi="Arial" w:cs="Arial"/>
          <w:sz w:val="22"/>
          <w:szCs w:val="22"/>
        </w:rPr>
        <w:t xml:space="preserve">2. </w:t>
      </w:r>
      <w:r w:rsidR="0038145B" w:rsidRPr="001E56A4">
        <w:rPr>
          <w:rFonts w:ascii="Arial" w:hAnsi="Arial" w:cs="Arial"/>
          <w:sz w:val="22"/>
          <w:szCs w:val="22"/>
        </w:rPr>
        <w:tab/>
      </w:r>
      <w:r w:rsidRPr="001E56A4">
        <w:rPr>
          <w:rFonts w:ascii="Arial" w:hAnsi="Arial" w:cs="Arial"/>
          <w:sz w:val="22"/>
          <w:szCs w:val="22"/>
        </w:rPr>
        <w:t>Internal audits focus on systemic issues</w:t>
      </w:r>
      <w:r w:rsidRPr="001E56A4">
        <w:rPr>
          <w:rFonts w:ascii="Arial" w:hAnsi="Arial" w:cs="Arial"/>
          <w:color w:val="000000"/>
          <w:sz w:val="22"/>
          <w:szCs w:val="22"/>
        </w:rPr>
        <w:t xml:space="preserve"> </w:t>
      </w:r>
      <w:r w:rsidRPr="001E56A4">
        <w:rPr>
          <w:rFonts w:ascii="Arial" w:hAnsi="Arial" w:cs="Arial"/>
          <w:sz w:val="22"/>
          <w:szCs w:val="22"/>
        </w:rPr>
        <w:t>and generally meet</w:t>
      </w:r>
      <w:r w:rsidR="00F56C12" w:rsidRPr="001E56A4">
        <w:rPr>
          <w:rFonts w:ascii="Arial" w:hAnsi="Arial" w:cs="Arial"/>
          <w:sz w:val="22"/>
          <w:szCs w:val="22"/>
        </w:rPr>
        <w:t xml:space="preserve"> professional standards. In 20</w:t>
      </w:r>
      <w:r w:rsidR="00EB34EF" w:rsidRPr="001E56A4">
        <w:rPr>
          <w:rFonts w:ascii="Arial" w:hAnsi="Arial" w:cs="Arial"/>
          <w:sz w:val="22"/>
          <w:szCs w:val="22"/>
        </w:rPr>
        <w:t>1</w:t>
      </w:r>
      <w:r w:rsidR="0082319B" w:rsidRPr="001E56A4">
        <w:rPr>
          <w:rFonts w:ascii="Arial" w:hAnsi="Arial" w:cs="Arial"/>
          <w:sz w:val="22"/>
          <w:szCs w:val="22"/>
        </w:rPr>
        <w:t>5</w:t>
      </w:r>
      <w:r w:rsidRPr="001E56A4">
        <w:rPr>
          <w:rFonts w:ascii="Arial" w:hAnsi="Arial" w:cs="Arial"/>
          <w:sz w:val="22"/>
          <w:szCs w:val="22"/>
        </w:rPr>
        <w:t>, 73% of all inspections planned</w:t>
      </w:r>
      <w:r w:rsidRPr="001E56A4">
        <w:rPr>
          <w:rFonts w:ascii="Arial" w:hAnsi="Arial" w:cs="Arial"/>
          <w:color w:val="000000"/>
          <w:sz w:val="22"/>
          <w:szCs w:val="22"/>
        </w:rPr>
        <w:t xml:space="preserve"> </w:t>
      </w:r>
      <w:r w:rsidRPr="001E56A4">
        <w:rPr>
          <w:rFonts w:ascii="Arial" w:hAnsi="Arial" w:cs="Arial"/>
          <w:sz w:val="22"/>
          <w:szCs w:val="22"/>
        </w:rPr>
        <w:t>by IGF were carr</w:t>
      </w:r>
      <w:r w:rsidR="00005415" w:rsidRPr="001E56A4">
        <w:rPr>
          <w:rFonts w:ascii="Arial" w:hAnsi="Arial" w:cs="Arial"/>
          <w:sz w:val="22"/>
          <w:szCs w:val="22"/>
        </w:rPr>
        <w:t xml:space="preserve">ied out. </w:t>
      </w:r>
      <w:r w:rsidR="001963A5" w:rsidRPr="001E56A4">
        <w:rPr>
          <w:rFonts w:ascii="Arial" w:hAnsi="Arial" w:cs="Arial"/>
          <w:sz w:val="22"/>
          <w:szCs w:val="22"/>
        </w:rPr>
        <w:t xml:space="preserve"> </w:t>
      </w:r>
      <w:r w:rsidR="00005415" w:rsidRPr="001E56A4">
        <w:rPr>
          <w:rFonts w:ascii="Arial" w:hAnsi="Arial" w:cs="Arial"/>
          <w:sz w:val="22"/>
          <w:szCs w:val="22"/>
        </w:rPr>
        <w:t>(A total of 12,</w:t>
      </w:r>
      <w:r w:rsidRPr="001E56A4">
        <w:rPr>
          <w:rFonts w:ascii="Arial" w:hAnsi="Arial" w:cs="Arial"/>
          <w:sz w:val="22"/>
          <w:szCs w:val="22"/>
        </w:rPr>
        <w:t>092 inspection days were used in 20</w:t>
      </w:r>
      <w:r w:rsidR="00EB34EF" w:rsidRPr="001E56A4">
        <w:rPr>
          <w:rFonts w:ascii="Arial" w:hAnsi="Arial" w:cs="Arial"/>
          <w:sz w:val="22"/>
          <w:szCs w:val="22"/>
        </w:rPr>
        <w:t>1</w:t>
      </w:r>
      <w:r w:rsidR="0082319B" w:rsidRPr="001E56A4">
        <w:rPr>
          <w:rFonts w:ascii="Arial" w:hAnsi="Arial" w:cs="Arial"/>
          <w:sz w:val="22"/>
          <w:szCs w:val="22"/>
        </w:rPr>
        <w:t>5</w:t>
      </w:r>
      <w:r w:rsidRPr="001E56A4">
        <w:rPr>
          <w:rFonts w:ascii="Arial" w:hAnsi="Arial" w:cs="Arial"/>
          <w:sz w:val="22"/>
          <w:szCs w:val="22"/>
        </w:rPr>
        <w:t>, with 94</w:t>
      </w:r>
      <w:r w:rsidRPr="001E56A4">
        <w:rPr>
          <w:rFonts w:ascii="Arial" w:hAnsi="Arial" w:cs="Arial"/>
          <w:color w:val="000000"/>
          <w:sz w:val="22"/>
          <w:szCs w:val="22"/>
        </w:rPr>
        <w:t xml:space="preserve"> </w:t>
      </w:r>
      <w:r w:rsidRPr="001E56A4">
        <w:rPr>
          <w:rFonts w:ascii="Arial" w:hAnsi="Arial" w:cs="Arial"/>
          <w:sz w:val="22"/>
          <w:szCs w:val="22"/>
        </w:rPr>
        <w:t>inspection ac</w:t>
      </w:r>
      <w:r w:rsidR="00F56C12" w:rsidRPr="001E56A4">
        <w:rPr>
          <w:rFonts w:ascii="Arial" w:hAnsi="Arial" w:cs="Arial"/>
          <w:sz w:val="22"/>
          <w:szCs w:val="22"/>
        </w:rPr>
        <w:t>tivities brought forward to 20</w:t>
      </w:r>
      <w:r w:rsidR="00773A72" w:rsidRPr="001E56A4">
        <w:rPr>
          <w:rFonts w:ascii="Arial" w:hAnsi="Arial" w:cs="Arial"/>
          <w:sz w:val="22"/>
          <w:szCs w:val="22"/>
        </w:rPr>
        <w:t>1</w:t>
      </w:r>
      <w:r w:rsidR="0082319B" w:rsidRPr="001E56A4">
        <w:rPr>
          <w:rFonts w:ascii="Arial" w:hAnsi="Arial" w:cs="Arial"/>
          <w:sz w:val="22"/>
          <w:szCs w:val="22"/>
        </w:rPr>
        <w:t>6</w:t>
      </w:r>
      <w:r w:rsidRPr="001E56A4">
        <w:rPr>
          <w:rFonts w:ascii="Arial" w:hAnsi="Arial" w:cs="Arial"/>
          <w:sz w:val="22"/>
          <w:szCs w:val="22"/>
        </w:rPr>
        <w:t xml:space="preserve">.) </w:t>
      </w:r>
      <w:r w:rsidR="001963A5" w:rsidRPr="001E56A4">
        <w:rPr>
          <w:rFonts w:ascii="Arial" w:hAnsi="Arial" w:cs="Arial"/>
          <w:sz w:val="22"/>
          <w:szCs w:val="22"/>
        </w:rPr>
        <w:t xml:space="preserve"> </w:t>
      </w:r>
      <w:r w:rsidRPr="001E56A4">
        <w:rPr>
          <w:rFonts w:ascii="Arial" w:hAnsi="Arial" w:cs="Arial"/>
          <w:sz w:val="22"/>
          <w:szCs w:val="22"/>
        </w:rPr>
        <w:t>Activities planned and carried out did not</w:t>
      </w:r>
      <w:r w:rsidRPr="001E56A4">
        <w:rPr>
          <w:rFonts w:ascii="Arial" w:hAnsi="Arial" w:cs="Arial"/>
          <w:color w:val="000000"/>
          <w:sz w:val="22"/>
          <w:szCs w:val="22"/>
        </w:rPr>
        <w:t xml:space="preserve"> </w:t>
      </w:r>
      <w:r w:rsidRPr="001E56A4">
        <w:rPr>
          <w:rFonts w:ascii="Arial" w:hAnsi="Arial" w:cs="Arial"/>
          <w:sz w:val="22"/>
          <w:szCs w:val="22"/>
        </w:rPr>
        <w:t>reach a 100% level due to (i) the performance of activities not originally planned and (ii) time</w:t>
      </w:r>
      <w:r w:rsidRPr="001E56A4">
        <w:rPr>
          <w:rFonts w:ascii="Arial" w:hAnsi="Arial" w:cs="Arial"/>
          <w:color w:val="000000"/>
          <w:sz w:val="22"/>
          <w:szCs w:val="22"/>
        </w:rPr>
        <w:t xml:space="preserve"> </w:t>
      </w:r>
      <w:r w:rsidRPr="001E56A4">
        <w:rPr>
          <w:rFonts w:ascii="Arial" w:hAnsi="Arial" w:cs="Arial"/>
          <w:sz w:val="22"/>
          <w:szCs w:val="22"/>
        </w:rPr>
        <w:t xml:space="preserve">allocations exceeded in the planned inspections. </w:t>
      </w:r>
      <w:r w:rsidR="001963A5" w:rsidRPr="001E56A4">
        <w:rPr>
          <w:rFonts w:ascii="Arial" w:hAnsi="Arial" w:cs="Arial"/>
          <w:sz w:val="22"/>
          <w:szCs w:val="22"/>
        </w:rPr>
        <w:t xml:space="preserve"> </w:t>
      </w:r>
      <w:r w:rsidRPr="001E56A4">
        <w:rPr>
          <w:rFonts w:ascii="Arial" w:hAnsi="Arial" w:cs="Arial"/>
          <w:sz w:val="22"/>
          <w:szCs w:val="22"/>
        </w:rPr>
        <w:t>Such adjustments are quite normal in</w:t>
      </w:r>
      <w:r w:rsidRPr="001E56A4">
        <w:rPr>
          <w:rFonts w:ascii="Arial" w:hAnsi="Arial" w:cs="Arial"/>
          <w:color w:val="000000"/>
          <w:sz w:val="22"/>
          <w:szCs w:val="22"/>
        </w:rPr>
        <w:t xml:space="preserve"> </w:t>
      </w:r>
      <w:r w:rsidRPr="001E56A4">
        <w:rPr>
          <w:rFonts w:ascii="Arial" w:hAnsi="Arial" w:cs="Arial"/>
          <w:sz w:val="22"/>
          <w:szCs w:val="22"/>
        </w:rPr>
        <w:t>internal audit operations and, in general, we woul</w:t>
      </w:r>
      <w:r w:rsidR="00751580" w:rsidRPr="001E56A4">
        <w:rPr>
          <w:rFonts w:ascii="Arial" w:hAnsi="Arial" w:cs="Arial"/>
          <w:sz w:val="22"/>
          <w:szCs w:val="22"/>
        </w:rPr>
        <w:t>d judge the planning and organiz</w:t>
      </w:r>
      <w:r w:rsidRPr="001E56A4">
        <w:rPr>
          <w:rFonts w:ascii="Arial" w:hAnsi="Arial" w:cs="Arial"/>
          <w:sz w:val="22"/>
          <w:szCs w:val="22"/>
        </w:rPr>
        <w:t>ation of IA</w:t>
      </w:r>
      <w:r w:rsidRPr="001E56A4">
        <w:rPr>
          <w:rFonts w:ascii="Arial" w:hAnsi="Arial" w:cs="Arial"/>
          <w:color w:val="000000"/>
          <w:sz w:val="22"/>
          <w:szCs w:val="22"/>
        </w:rPr>
        <w:t xml:space="preserve"> </w:t>
      </w:r>
      <w:r w:rsidRPr="001E56A4">
        <w:rPr>
          <w:rFonts w:ascii="Arial" w:hAnsi="Arial" w:cs="Arial"/>
          <w:sz w:val="22"/>
          <w:szCs w:val="22"/>
        </w:rPr>
        <w:t>activities to be of a high quality, given the evident capacity constraints.</w:t>
      </w:r>
      <w:r w:rsidRPr="001E56A4">
        <w:rPr>
          <w:rFonts w:ascii="Arial" w:hAnsi="Arial" w:cs="Arial"/>
          <w:color w:val="000000"/>
          <w:sz w:val="22"/>
          <w:szCs w:val="22"/>
        </w:rPr>
        <w:t xml:space="preserve"> </w:t>
      </w:r>
    </w:p>
    <w:p w14:paraId="59ABC418" w14:textId="77777777" w:rsidR="00751580" w:rsidRPr="001E56A4" w:rsidRDefault="00751580" w:rsidP="006613E0">
      <w:pPr>
        <w:autoSpaceDE w:val="0"/>
        <w:autoSpaceDN w:val="0"/>
        <w:adjustRightInd w:val="0"/>
        <w:rPr>
          <w:rFonts w:ascii="Arial" w:hAnsi="Arial" w:cs="Arial"/>
          <w:color w:val="000000"/>
          <w:sz w:val="22"/>
          <w:szCs w:val="22"/>
        </w:rPr>
      </w:pPr>
    </w:p>
    <w:p w14:paraId="2D8EC4E8" w14:textId="77777777" w:rsidR="0038145B" w:rsidRPr="001E56A4" w:rsidRDefault="0038145B" w:rsidP="006613E0">
      <w:pPr>
        <w:autoSpaceDE w:val="0"/>
        <w:autoSpaceDN w:val="0"/>
        <w:adjustRightInd w:val="0"/>
        <w:rPr>
          <w:rFonts w:ascii="Arial" w:hAnsi="Arial" w:cs="Arial"/>
          <w:color w:val="000000"/>
          <w:sz w:val="22"/>
          <w:szCs w:val="22"/>
        </w:rPr>
      </w:pPr>
    </w:p>
    <w:p w14:paraId="5924B93E" w14:textId="77777777" w:rsidR="0038145B" w:rsidRPr="001E56A4" w:rsidRDefault="0038145B" w:rsidP="0038145B">
      <w:pPr>
        <w:autoSpaceDE w:val="0"/>
        <w:autoSpaceDN w:val="0"/>
        <w:adjustRightInd w:val="0"/>
        <w:rPr>
          <w:rFonts w:ascii="Arial" w:hAnsi="Arial" w:cs="Arial"/>
          <w:b/>
          <w:bCs/>
          <w:sz w:val="22"/>
          <w:szCs w:val="22"/>
        </w:rPr>
      </w:pPr>
      <w:r w:rsidRPr="001E56A4">
        <w:rPr>
          <w:rFonts w:ascii="Arial" w:hAnsi="Arial" w:cs="Arial"/>
          <w:b/>
          <w:bCs/>
          <w:sz w:val="22"/>
          <w:szCs w:val="22"/>
        </w:rPr>
        <w:t>Required</w:t>
      </w:r>
    </w:p>
    <w:p w14:paraId="70E36BDE" w14:textId="77777777" w:rsidR="0038145B" w:rsidRPr="001E56A4" w:rsidRDefault="0038145B" w:rsidP="0038145B">
      <w:pPr>
        <w:autoSpaceDE w:val="0"/>
        <w:autoSpaceDN w:val="0"/>
        <w:adjustRightInd w:val="0"/>
        <w:rPr>
          <w:rFonts w:ascii="Arial" w:hAnsi="Arial" w:cs="Arial"/>
          <w:sz w:val="22"/>
          <w:szCs w:val="22"/>
        </w:rPr>
      </w:pPr>
    </w:p>
    <w:p w14:paraId="5FAE1683" w14:textId="77777777" w:rsidR="0038145B" w:rsidRPr="001E56A4" w:rsidRDefault="0038145B" w:rsidP="0038145B">
      <w:pPr>
        <w:tabs>
          <w:tab w:val="left" w:pos="360"/>
        </w:tabs>
        <w:ind w:left="360" w:hanging="360"/>
        <w:rPr>
          <w:rFonts w:ascii="Arial" w:hAnsi="Arial" w:cs="Arial"/>
          <w:sz w:val="22"/>
          <w:szCs w:val="22"/>
        </w:rPr>
      </w:pPr>
      <w:r w:rsidRPr="001E56A4">
        <w:rPr>
          <w:rFonts w:ascii="Arial" w:hAnsi="Arial" w:cs="Arial"/>
          <w:sz w:val="22"/>
          <w:szCs w:val="22"/>
        </w:rPr>
        <w:t>1.</w:t>
      </w:r>
      <w:r w:rsidRPr="001E56A4">
        <w:rPr>
          <w:rFonts w:ascii="Arial" w:hAnsi="Arial" w:cs="Arial"/>
          <w:sz w:val="22"/>
          <w:szCs w:val="22"/>
        </w:rPr>
        <w:tab/>
        <w:t>Is it possible to rate this indicator?  Is there sufficient evidence?  If not, what additional evidence should be obtained?</w:t>
      </w:r>
    </w:p>
    <w:p w14:paraId="34A28AF7" w14:textId="77777777" w:rsidR="0038145B" w:rsidRPr="001E56A4" w:rsidRDefault="0038145B" w:rsidP="0038145B">
      <w:pPr>
        <w:tabs>
          <w:tab w:val="left" w:pos="360"/>
        </w:tabs>
        <w:rPr>
          <w:rFonts w:ascii="Arial" w:hAnsi="Arial" w:cs="Arial"/>
          <w:sz w:val="22"/>
          <w:szCs w:val="22"/>
        </w:rPr>
      </w:pPr>
    </w:p>
    <w:p w14:paraId="5AB9E45F" w14:textId="77777777" w:rsidR="0038145B" w:rsidRPr="001E56A4" w:rsidRDefault="0038145B" w:rsidP="0038145B">
      <w:pPr>
        <w:tabs>
          <w:tab w:val="left" w:pos="360"/>
        </w:tabs>
        <w:rPr>
          <w:rFonts w:ascii="Arial" w:hAnsi="Arial" w:cs="Arial"/>
          <w:b/>
          <w:bCs/>
          <w:sz w:val="22"/>
          <w:szCs w:val="22"/>
        </w:rPr>
      </w:pPr>
      <w:r w:rsidRPr="001E56A4">
        <w:rPr>
          <w:rFonts w:ascii="Arial" w:hAnsi="Arial" w:cs="Arial"/>
          <w:sz w:val="22"/>
          <w:szCs w:val="22"/>
        </w:rPr>
        <w:t>2.</w:t>
      </w:r>
      <w:r w:rsidRPr="001E56A4">
        <w:rPr>
          <w:rFonts w:ascii="Arial" w:hAnsi="Arial" w:cs="Arial"/>
          <w:sz w:val="22"/>
          <w:szCs w:val="22"/>
        </w:rPr>
        <w:tab/>
        <w:t xml:space="preserve">If the evidence is sufficient, what is your rating? </w:t>
      </w:r>
    </w:p>
    <w:p w14:paraId="287AE4A8" w14:textId="77777777" w:rsidR="00CF250A" w:rsidRPr="001E56A4" w:rsidRDefault="00CF250A" w:rsidP="006613E0">
      <w:pPr>
        <w:jc w:val="both"/>
        <w:rPr>
          <w:rFonts w:ascii="Arial" w:hAnsi="Arial" w:cs="Arial"/>
          <w:sz w:val="22"/>
          <w:szCs w:val="22"/>
        </w:rPr>
      </w:pPr>
    </w:p>
    <w:p w14:paraId="0DA2DA33" w14:textId="4FFAE051" w:rsidR="0051331E" w:rsidRPr="001E56A4" w:rsidRDefault="00C1699D" w:rsidP="006613E0">
      <w:pPr>
        <w:pStyle w:val="HeadingItalic"/>
        <w:spacing w:before="0" w:after="0"/>
        <w:ind w:left="0"/>
        <w:rPr>
          <w:rFonts w:ascii="Arial" w:hAnsi="Arial" w:cs="Arial"/>
          <w:b/>
          <w:bCs/>
          <w:i w:val="0"/>
          <w:iCs/>
          <w:sz w:val="24"/>
          <w:szCs w:val="22"/>
        </w:rPr>
      </w:pPr>
      <w:r w:rsidRPr="001E56A4">
        <w:rPr>
          <w:rFonts w:ascii="Arial" w:hAnsi="Arial" w:cs="Arial"/>
          <w:szCs w:val="22"/>
        </w:rPr>
        <w:br w:type="page"/>
      </w:r>
      <w:r w:rsidR="000C5428">
        <w:rPr>
          <w:rFonts w:ascii="Arial" w:hAnsi="Arial" w:cs="Arial"/>
          <w:b/>
          <w:bCs/>
          <w:i w:val="0"/>
          <w:iCs/>
          <w:sz w:val="24"/>
          <w:szCs w:val="22"/>
        </w:rPr>
        <w:lastRenderedPageBreak/>
        <w:t>PI-28</w:t>
      </w:r>
      <w:r w:rsidR="00173F5B" w:rsidRPr="001E56A4">
        <w:rPr>
          <w:rFonts w:ascii="Arial" w:hAnsi="Arial" w:cs="Arial"/>
          <w:b/>
          <w:bCs/>
          <w:i w:val="0"/>
          <w:iCs/>
          <w:sz w:val="24"/>
          <w:szCs w:val="22"/>
        </w:rPr>
        <w:t>:</w:t>
      </w:r>
      <w:r w:rsidR="0051331E" w:rsidRPr="001E56A4">
        <w:rPr>
          <w:rFonts w:ascii="Arial" w:hAnsi="Arial" w:cs="Arial"/>
          <w:b/>
          <w:bCs/>
          <w:i w:val="0"/>
          <w:iCs/>
          <w:sz w:val="24"/>
          <w:szCs w:val="22"/>
        </w:rPr>
        <w:t xml:space="preserve"> </w:t>
      </w:r>
      <w:r w:rsidR="00E46F94">
        <w:rPr>
          <w:rFonts w:ascii="Arial" w:hAnsi="Arial" w:cs="Arial"/>
          <w:b/>
          <w:bCs/>
          <w:i w:val="0"/>
          <w:iCs/>
          <w:sz w:val="24"/>
          <w:szCs w:val="22"/>
        </w:rPr>
        <w:t>I</w:t>
      </w:r>
      <w:r w:rsidR="0051331E" w:rsidRPr="001E56A4">
        <w:rPr>
          <w:rFonts w:ascii="Arial" w:hAnsi="Arial" w:cs="Arial"/>
          <w:b/>
          <w:bCs/>
          <w:i w:val="0"/>
          <w:iCs/>
          <w:sz w:val="24"/>
          <w:szCs w:val="22"/>
        </w:rPr>
        <w:t>n-year budget reports</w:t>
      </w:r>
    </w:p>
    <w:p w14:paraId="3B998FD9" w14:textId="77777777" w:rsidR="007C224F" w:rsidRPr="001E56A4" w:rsidRDefault="007C224F" w:rsidP="006613E0">
      <w:pPr>
        <w:pStyle w:val="Heading3"/>
        <w:jc w:val="left"/>
        <w:rPr>
          <w:rFonts w:ascii="Arial" w:hAnsi="Arial" w:cs="Arial"/>
          <w:bCs w:val="0"/>
          <w:sz w:val="22"/>
          <w:szCs w:val="22"/>
        </w:rPr>
      </w:pPr>
    </w:p>
    <w:p w14:paraId="0D304FF3" w14:textId="1F8B3FBA" w:rsidR="0051331E" w:rsidRPr="001E56A4" w:rsidRDefault="00E46F94" w:rsidP="006613E0">
      <w:pPr>
        <w:pStyle w:val="Heading3"/>
        <w:jc w:val="left"/>
        <w:rPr>
          <w:rFonts w:ascii="Arial" w:hAnsi="Arial" w:cs="Arial"/>
          <w:bCs w:val="0"/>
          <w:sz w:val="22"/>
          <w:szCs w:val="22"/>
        </w:rPr>
      </w:pPr>
      <w:r>
        <w:rPr>
          <w:rFonts w:ascii="Arial" w:hAnsi="Arial" w:cs="Arial"/>
          <w:bCs w:val="0"/>
          <w:sz w:val="22"/>
          <w:szCs w:val="22"/>
        </w:rPr>
        <w:t>28.1</w:t>
      </w:r>
      <w:r w:rsidR="00482D0C" w:rsidRPr="001E56A4">
        <w:rPr>
          <w:rFonts w:ascii="Arial" w:hAnsi="Arial" w:cs="Arial"/>
          <w:bCs w:val="0"/>
          <w:sz w:val="22"/>
          <w:szCs w:val="22"/>
        </w:rPr>
        <w:t xml:space="preserve"> C</w:t>
      </w:r>
      <w:r w:rsidR="004510A8" w:rsidRPr="001E56A4">
        <w:rPr>
          <w:rFonts w:ascii="Arial" w:hAnsi="Arial" w:cs="Arial"/>
          <w:bCs w:val="0"/>
          <w:sz w:val="22"/>
          <w:szCs w:val="22"/>
        </w:rPr>
        <w:t>overage and compa</w:t>
      </w:r>
      <w:r>
        <w:rPr>
          <w:rFonts w:ascii="Arial" w:hAnsi="Arial" w:cs="Arial"/>
          <w:bCs w:val="0"/>
          <w:sz w:val="22"/>
          <w:szCs w:val="22"/>
        </w:rPr>
        <w:t>ra</w:t>
      </w:r>
      <w:r w:rsidR="004510A8" w:rsidRPr="001E56A4">
        <w:rPr>
          <w:rFonts w:ascii="Arial" w:hAnsi="Arial" w:cs="Arial"/>
          <w:bCs w:val="0"/>
          <w:sz w:val="22"/>
          <w:szCs w:val="22"/>
        </w:rPr>
        <w:t xml:space="preserve">bility </w:t>
      </w:r>
      <w:r w:rsidR="00482D0C" w:rsidRPr="001E56A4">
        <w:rPr>
          <w:rFonts w:ascii="Arial" w:hAnsi="Arial" w:cs="Arial"/>
          <w:bCs w:val="0"/>
          <w:sz w:val="22"/>
          <w:szCs w:val="22"/>
        </w:rPr>
        <w:t>of reports</w:t>
      </w:r>
    </w:p>
    <w:p w14:paraId="1177E822" w14:textId="77777777" w:rsidR="004510A8" w:rsidRPr="001E56A4" w:rsidRDefault="004510A8" w:rsidP="006613E0">
      <w:pPr>
        <w:rPr>
          <w:rFonts w:ascii="Arial" w:hAnsi="Arial" w:cs="Arial"/>
          <w:sz w:val="22"/>
          <w:szCs w:val="22"/>
        </w:rPr>
      </w:pPr>
    </w:p>
    <w:p w14:paraId="40112570" w14:textId="78BFC4E2" w:rsidR="0051331E" w:rsidRPr="001E56A4" w:rsidRDefault="0051331E" w:rsidP="006613E0">
      <w:pPr>
        <w:pStyle w:val="Heading3"/>
        <w:keepNext w:val="0"/>
        <w:numPr>
          <w:ilvl w:val="2"/>
          <w:numId w:val="0"/>
        </w:numPr>
        <w:tabs>
          <w:tab w:val="num" w:pos="720"/>
        </w:tabs>
        <w:autoSpaceDE/>
        <w:autoSpaceDN/>
        <w:adjustRightInd/>
        <w:ind w:right="0"/>
        <w:jc w:val="left"/>
        <w:rPr>
          <w:rFonts w:ascii="Arial" w:hAnsi="Arial" w:cs="Arial"/>
          <w:b w:val="0"/>
          <w:bCs w:val="0"/>
          <w:sz w:val="22"/>
          <w:szCs w:val="22"/>
        </w:rPr>
      </w:pPr>
      <w:r w:rsidRPr="001E56A4">
        <w:rPr>
          <w:rFonts w:ascii="Arial" w:hAnsi="Arial" w:cs="Arial"/>
          <w:b w:val="0"/>
          <w:bCs w:val="0"/>
          <w:sz w:val="22"/>
          <w:szCs w:val="22"/>
        </w:rPr>
        <w:t xml:space="preserve">The Government has improved its reporting requirements in recent years.  Recent amendments to the Public Finances (Management) Act require provincial and local level governments to submit annual financial statements.  The Treasury has also improved its in-year budget monitoring and reporting recently, with the introduction of a quarterly budget review </w:t>
      </w:r>
      <w:r w:rsidR="00F56C12" w:rsidRPr="001E56A4">
        <w:rPr>
          <w:rFonts w:ascii="Arial" w:hAnsi="Arial" w:cs="Arial"/>
          <w:b w:val="0"/>
          <w:bCs w:val="0"/>
          <w:sz w:val="22"/>
          <w:szCs w:val="22"/>
        </w:rPr>
        <w:t>process at the beginning of 20</w:t>
      </w:r>
      <w:r w:rsidR="00EB34EF" w:rsidRPr="001E56A4">
        <w:rPr>
          <w:rFonts w:ascii="Arial" w:hAnsi="Arial" w:cs="Arial"/>
          <w:b w:val="0"/>
          <w:bCs w:val="0"/>
          <w:sz w:val="22"/>
          <w:szCs w:val="22"/>
        </w:rPr>
        <w:t>1</w:t>
      </w:r>
      <w:r w:rsidR="0082319B" w:rsidRPr="001E56A4">
        <w:rPr>
          <w:rFonts w:ascii="Arial" w:hAnsi="Arial" w:cs="Arial"/>
          <w:b w:val="0"/>
          <w:bCs w:val="0"/>
          <w:sz w:val="22"/>
          <w:szCs w:val="22"/>
        </w:rPr>
        <w:t>5</w:t>
      </w:r>
      <w:r w:rsidRPr="001E56A4">
        <w:rPr>
          <w:rFonts w:ascii="Arial" w:hAnsi="Arial" w:cs="Arial"/>
          <w:b w:val="0"/>
          <w:bCs w:val="0"/>
          <w:sz w:val="22"/>
          <w:szCs w:val="22"/>
        </w:rPr>
        <w:t xml:space="preserve">.  These internal quarterly budget reports, submitted to the Central Agencies Coordinating Committee (CACC), are compiled by the Treasury and show the performance of budget implementation. </w:t>
      </w:r>
      <w:r w:rsidR="00B62B84" w:rsidRPr="001E56A4">
        <w:rPr>
          <w:rFonts w:ascii="Arial" w:hAnsi="Arial" w:cs="Arial"/>
          <w:b w:val="0"/>
          <w:bCs w:val="0"/>
          <w:sz w:val="22"/>
          <w:szCs w:val="22"/>
        </w:rPr>
        <w:t xml:space="preserve"> </w:t>
      </w:r>
      <w:r w:rsidRPr="001E56A4">
        <w:rPr>
          <w:rFonts w:ascii="Arial" w:hAnsi="Arial" w:cs="Arial"/>
          <w:b w:val="0"/>
          <w:bCs w:val="0"/>
          <w:sz w:val="22"/>
          <w:szCs w:val="22"/>
        </w:rPr>
        <w:t xml:space="preserve">Data contained in the in-year budget reports are shown for the main budget heads at the payment stages, but not also at the commitment stage. </w:t>
      </w:r>
      <w:r w:rsidR="00B62B84" w:rsidRPr="001E56A4">
        <w:rPr>
          <w:rFonts w:ascii="Arial" w:hAnsi="Arial" w:cs="Arial"/>
          <w:b w:val="0"/>
          <w:bCs w:val="0"/>
          <w:sz w:val="22"/>
          <w:szCs w:val="22"/>
        </w:rPr>
        <w:t xml:space="preserve"> </w:t>
      </w:r>
    </w:p>
    <w:p w14:paraId="6CD5FF4B" w14:textId="77777777" w:rsidR="0038145B" w:rsidRPr="001E56A4" w:rsidRDefault="0038145B" w:rsidP="0038145B"/>
    <w:p w14:paraId="68AFD6A1" w14:textId="77777777" w:rsidR="0051331E" w:rsidRPr="001E56A4" w:rsidRDefault="0051331E" w:rsidP="006613E0">
      <w:pPr>
        <w:pStyle w:val="Heading3"/>
        <w:keepNext w:val="0"/>
        <w:numPr>
          <w:ilvl w:val="2"/>
          <w:numId w:val="0"/>
        </w:numPr>
        <w:tabs>
          <w:tab w:val="num" w:pos="720"/>
        </w:tabs>
        <w:autoSpaceDE/>
        <w:autoSpaceDN/>
        <w:adjustRightInd/>
        <w:ind w:right="0"/>
        <w:jc w:val="left"/>
        <w:rPr>
          <w:rFonts w:ascii="Arial" w:hAnsi="Arial" w:cs="Arial"/>
          <w:b w:val="0"/>
          <w:bCs w:val="0"/>
          <w:sz w:val="22"/>
          <w:szCs w:val="22"/>
        </w:rPr>
      </w:pPr>
      <w:r w:rsidRPr="001E56A4">
        <w:rPr>
          <w:rFonts w:ascii="Arial" w:hAnsi="Arial" w:cs="Arial"/>
          <w:b w:val="0"/>
          <w:bCs w:val="0"/>
          <w:sz w:val="22"/>
          <w:szCs w:val="22"/>
        </w:rPr>
        <w:t>There are limited analytical capacities at all levels, particularly in departments and sub-national governments, to undertake analysis of budgetary expenditures.</w:t>
      </w:r>
    </w:p>
    <w:p w14:paraId="3CC9DE64" w14:textId="77777777" w:rsidR="00751580" w:rsidRPr="001E56A4" w:rsidRDefault="00751580" w:rsidP="006613E0">
      <w:pPr>
        <w:rPr>
          <w:rFonts w:ascii="Arial" w:hAnsi="Arial" w:cs="Arial"/>
          <w:sz w:val="22"/>
          <w:szCs w:val="22"/>
        </w:rPr>
      </w:pPr>
    </w:p>
    <w:p w14:paraId="27657E7E" w14:textId="77777777" w:rsidR="0038145B" w:rsidRPr="001E56A4" w:rsidRDefault="0038145B" w:rsidP="0038145B">
      <w:pPr>
        <w:autoSpaceDE w:val="0"/>
        <w:autoSpaceDN w:val="0"/>
        <w:adjustRightInd w:val="0"/>
        <w:rPr>
          <w:rFonts w:ascii="Arial" w:hAnsi="Arial" w:cs="Arial"/>
          <w:b/>
          <w:bCs/>
          <w:sz w:val="22"/>
          <w:szCs w:val="22"/>
        </w:rPr>
      </w:pPr>
      <w:r w:rsidRPr="001E56A4">
        <w:rPr>
          <w:rFonts w:ascii="Arial" w:hAnsi="Arial" w:cs="Arial"/>
          <w:b/>
          <w:bCs/>
          <w:sz w:val="22"/>
          <w:szCs w:val="22"/>
        </w:rPr>
        <w:t>Required</w:t>
      </w:r>
    </w:p>
    <w:p w14:paraId="7BB26B48" w14:textId="77777777" w:rsidR="0038145B" w:rsidRPr="001E56A4" w:rsidRDefault="0038145B" w:rsidP="0038145B">
      <w:pPr>
        <w:autoSpaceDE w:val="0"/>
        <w:autoSpaceDN w:val="0"/>
        <w:adjustRightInd w:val="0"/>
        <w:rPr>
          <w:rFonts w:ascii="Arial" w:hAnsi="Arial" w:cs="Arial"/>
          <w:sz w:val="22"/>
          <w:szCs w:val="22"/>
        </w:rPr>
      </w:pPr>
    </w:p>
    <w:p w14:paraId="06CA9C40" w14:textId="77777777" w:rsidR="0038145B" w:rsidRPr="001E56A4" w:rsidRDefault="0038145B" w:rsidP="0038145B">
      <w:pPr>
        <w:tabs>
          <w:tab w:val="left" w:pos="360"/>
        </w:tabs>
        <w:ind w:left="360" w:hanging="360"/>
        <w:rPr>
          <w:rFonts w:ascii="Arial" w:hAnsi="Arial" w:cs="Arial"/>
          <w:sz w:val="22"/>
          <w:szCs w:val="22"/>
        </w:rPr>
      </w:pPr>
      <w:r w:rsidRPr="001E56A4">
        <w:rPr>
          <w:rFonts w:ascii="Arial" w:hAnsi="Arial" w:cs="Arial"/>
          <w:sz w:val="22"/>
          <w:szCs w:val="22"/>
        </w:rPr>
        <w:t>1.</w:t>
      </w:r>
      <w:r w:rsidRPr="001E56A4">
        <w:rPr>
          <w:rFonts w:ascii="Arial" w:hAnsi="Arial" w:cs="Arial"/>
          <w:sz w:val="22"/>
          <w:szCs w:val="22"/>
        </w:rPr>
        <w:tab/>
        <w:t>Is it possible to rate this indicator?  Is there sufficient evidence?  If not, what additional evidence should be obtained?</w:t>
      </w:r>
    </w:p>
    <w:p w14:paraId="25D8F6BA" w14:textId="77777777" w:rsidR="0038145B" w:rsidRPr="001E56A4" w:rsidRDefault="0038145B" w:rsidP="0038145B">
      <w:pPr>
        <w:tabs>
          <w:tab w:val="left" w:pos="360"/>
        </w:tabs>
        <w:rPr>
          <w:rFonts w:ascii="Arial" w:hAnsi="Arial" w:cs="Arial"/>
          <w:sz w:val="22"/>
          <w:szCs w:val="22"/>
        </w:rPr>
      </w:pPr>
    </w:p>
    <w:p w14:paraId="0F7E0F3F" w14:textId="77777777" w:rsidR="0038145B" w:rsidRPr="001E56A4" w:rsidRDefault="0038145B" w:rsidP="0038145B">
      <w:pPr>
        <w:tabs>
          <w:tab w:val="left" w:pos="360"/>
        </w:tabs>
        <w:rPr>
          <w:rFonts w:ascii="Arial" w:hAnsi="Arial" w:cs="Arial"/>
          <w:b/>
          <w:bCs/>
          <w:sz w:val="22"/>
          <w:szCs w:val="22"/>
        </w:rPr>
      </w:pPr>
      <w:r w:rsidRPr="001E56A4">
        <w:rPr>
          <w:rFonts w:ascii="Arial" w:hAnsi="Arial" w:cs="Arial"/>
          <w:sz w:val="22"/>
          <w:szCs w:val="22"/>
        </w:rPr>
        <w:t>2.</w:t>
      </w:r>
      <w:r w:rsidRPr="001E56A4">
        <w:rPr>
          <w:rFonts w:ascii="Arial" w:hAnsi="Arial" w:cs="Arial"/>
          <w:sz w:val="22"/>
          <w:szCs w:val="22"/>
        </w:rPr>
        <w:tab/>
        <w:t xml:space="preserve">If the evidence is sufficient, what is your rating? </w:t>
      </w:r>
    </w:p>
    <w:p w14:paraId="721B96E9" w14:textId="77777777" w:rsidR="003A4C30" w:rsidRPr="001E56A4" w:rsidRDefault="003A4C30" w:rsidP="006613E0">
      <w:pPr>
        <w:rPr>
          <w:rFonts w:ascii="Arial" w:hAnsi="Arial" w:cs="Arial"/>
          <w:b/>
          <w:bCs/>
          <w:iCs/>
          <w:sz w:val="22"/>
          <w:szCs w:val="22"/>
          <w:lang w:val="en-GB"/>
        </w:rPr>
      </w:pPr>
      <w:r w:rsidRPr="001E56A4">
        <w:rPr>
          <w:rFonts w:ascii="Arial" w:hAnsi="Arial" w:cs="Arial"/>
          <w:b/>
          <w:bCs/>
          <w:i/>
          <w:iCs/>
          <w:szCs w:val="22"/>
        </w:rPr>
        <w:br w:type="page"/>
      </w:r>
    </w:p>
    <w:p w14:paraId="27795D3C" w14:textId="42B39663" w:rsidR="003A4C30" w:rsidRPr="001E56A4" w:rsidRDefault="000C5428" w:rsidP="006613E0">
      <w:pPr>
        <w:pStyle w:val="HeadingItalic"/>
        <w:spacing w:before="0" w:after="0"/>
        <w:ind w:left="0"/>
        <w:rPr>
          <w:rFonts w:ascii="Arial" w:hAnsi="Arial" w:cs="Arial"/>
          <w:b/>
          <w:bCs/>
          <w:i w:val="0"/>
          <w:iCs/>
          <w:sz w:val="24"/>
          <w:szCs w:val="22"/>
        </w:rPr>
      </w:pPr>
      <w:r>
        <w:rPr>
          <w:rFonts w:ascii="Arial" w:hAnsi="Arial" w:cs="Arial"/>
          <w:b/>
          <w:bCs/>
          <w:i w:val="0"/>
          <w:iCs/>
          <w:sz w:val="24"/>
          <w:szCs w:val="22"/>
        </w:rPr>
        <w:lastRenderedPageBreak/>
        <w:t>PI-28</w:t>
      </w:r>
      <w:r w:rsidR="003A4C30" w:rsidRPr="001E56A4">
        <w:rPr>
          <w:rFonts w:ascii="Arial" w:hAnsi="Arial" w:cs="Arial"/>
          <w:b/>
          <w:bCs/>
          <w:i w:val="0"/>
          <w:iCs/>
          <w:sz w:val="24"/>
          <w:szCs w:val="22"/>
        </w:rPr>
        <w:t xml:space="preserve">: </w:t>
      </w:r>
      <w:r w:rsidR="00E46F94">
        <w:rPr>
          <w:rFonts w:ascii="Arial" w:hAnsi="Arial" w:cs="Arial"/>
          <w:b/>
          <w:bCs/>
          <w:i w:val="0"/>
          <w:iCs/>
          <w:sz w:val="24"/>
          <w:szCs w:val="22"/>
        </w:rPr>
        <w:t>I</w:t>
      </w:r>
      <w:r w:rsidR="003A4C30" w:rsidRPr="001E56A4">
        <w:rPr>
          <w:rFonts w:ascii="Arial" w:hAnsi="Arial" w:cs="Arial"/>
          <w:b/>
          <w:bCs/>
          <w:i w:val="0"/>
          <w:iCs/>
          <w:sz w:val="24"/>
          <w:szCs w:val="22"/>
        </w:rPr>
        <w:t>n-year budget reports</w:t>
      </w:r>
      <w:r w:rsidR="00482D0C" w:rsidRPr="001E56A4">
        <w:rPr>
          <w:rFonts w:ascii="Arial" w:hAnsi="Arial" w:cs="Arial"/>
          <w:b/>
          <w:bCs/>
          <w:i w:val="0"/>
          <w:iCs/>
          <w:sz w:val="24"/>
          <w:szCs w:val="22"/>
        </w:rPr>
        <w:t xml:space="preserve"> </w:t>
      </w:r>
    </w:p>
    <w:p w14:paraId="75FA928C" w14:textId="77777777" w:rsidR="003A4C30" w:rsidRPr="001E56A4" w:rsidRDefault="003A4C30" w:rsidP="006613E0">
      <w:pPr>
        <w:pStyle w:val="Heading3"/>
        <w:jc w:val="left"/>
        <w:rPr>
          <w:rFonts w:ascii="Arial" w:hAnsi="Arial" w:cs="Arial"/>
          <w:bCs w:val="0"/>
          <w:sz w:val="22"/>
          <w:szCs w:val="22"/>
        </w:rPr>
      </w:pPr>
    </w:p>
    <w:p w14:paraId="28D4F734" w14:textId="36DFC0CF" w:rsidR="003A4C30" w:rsidRPr="001E56A4" w:rsidRDefault="00E46F94" w:rsidP="006613E0">
      <w:pPr>
        <w:pStyle w:val="Heading3"/>
        <w:jc w:val="left"/>
        <w:rPr>
          <w:rFonts w:ascii="Arial" w:hAnsi="Arial" w:cs="Arial"/>
          <w:bCs w:val="0"/>
          <w:sz w:val="22"/>
          <w:szCs w:val="22"/>
        </w:rPr>
      </w:pPr>
      <w:r>
        <w:rPr>
          <w:rFonts w:ascii="Arial" w:hAnsi="Arial" w:cs="Arial"/>
          <w:bCs w:val="0"/>
          <w:sz w:val="22"/>
          <w:szCs w:val="22"/>
        </w:rPr>
        <w:t>28.2 Tim</w:t>
      </w:r>
      <w:r w:rsidR="003A4C30" w:rsidRPr="001E56A4">
        <w:rPr>
          <w:rFonts w:ascii="Arial" w:hAnsi="Arial" w:cs="Arial"/>
          <w:bCs w:val="0"/>
          <w:sz w:val="22"/>
          <w:szCs w:val="22"/>
        </w:rPr>
        <w:t>in</w:t>
      </w:r>
      <w:r>
        <w:rPr>
          <w:rFonts w:ascii="Arial" w:hAnsi="Arial" w:cs="Arial"/>
          <w:bCs w:val="0"/>
          <w:sz w:val="22"/>
          <w:szCs w:val="22"/>
        </w:rPr>
        <w:t>g of</w:t>
      </w:r>
      <w:r w:rsidR="003A4C30" w:rsidRPr="001E56A4">
        <w:rPr>
          <w:rFonts w:ascii="Arial" w:hAnsi="Arial" w:cs="Arial"/>
          <w:bCs w:val="0"/>
          <w:sz w:val="22"/>
          <w:szCs w:val="22"/>
        </w:rPr>
        <w:t xml:space="preserve"> i</w:t>
      </w:r>
      <w:r>
        <w:rPr>
          <w:rFonts w:ascii="Arial" w:hAnsi="Arial" w:cs="Arial"/>
          <w:bCs w:val="0"/>
          <w:sz w:val="22"/>
          <w:szCs w:val="22"/>
        </w:rPr>
        <w:t>n-year budget</w:t>
      </w:r>
      <w:r w:rsidR="003A4C30" w:rsidRPr="001E56A4">
        <w:rPr>
          <w:rFonts w:ascii="Arial" w:hAnsi="Arial" w:cs="Arial"/>
          <w:bCs w:val="0"/>
          <w:sz w:val="22"/>
          <w:szCs w:val="22"/>
        </w:rPr>
        <w:t xml:space="preserve"> reports </w:t>
      </w:r>
    </w:p>
    <w:p w14:paraId="0D1C4090" w14:textId="77777777" w:rsidR="003A4C30" w:rsidRPr="001E56A4" w:rsidRDefault="003A4C30" w:rsidP="006613E0">
      <w:pPr>
        <w:rPr>
          <w:rFonts w:ascii="Arial" w:hAnsi="Arial" w:cs="Arial"/>
          <w:sz w:val="22"/>
          <w:szCs w:val="22"/>
        </w:rPr>
      </w:pPr>
    </w:p>
    <w:p w14:paraId="0FE59069" w14:textId="729574FB" w:rsidR="006613E0" w:rsidRPr="001E56A4" w:rsidRDefault="003A4C30" w:rsidP="006613E0">
      <w:pPr>
        <w:pStyle w:val="Heading3"/>
        <w:keepNext w:val="0"/>
        <w:numPr>
          <w:ilvl w:val="2"/>
          <w:numId w:val="0"/>
        </w:numPr>
        <w:tabs>
          <w:tab w:val="num" w:pos="720"/>
        </w:tabs>
        <w:autoSpaceDE/>
        <w:autoSpaceDN/>
        <w:adjustRightInd/>
        <w:ind w:right="0"/>
        <w:jc w:val="left"/>
        <w:rPr>
          <w:rFonts w:ascii="Arial" w:hAnsi="Arial" w:cs="Arial"/>
          <w:b w:val="0"/>
          <w:bCs w:val="0"/>
          <w:sz w:val="22"/>
          <w:szCs w:val="22"/>
        </w:rPr>
      </w:pPr>
      <w:r w:rsidRPr="001E56A4">
        <w:rPr>
          <w:rFonts w:ascii="Arial" w:hAnsi="Arial" w:cs="Arial"/>
          <w:b w:val="0"/>
          <w:bCs w:val="0"/>
          <w:sz w:val="22"/>
          <w:szCs w:val="22"/>
        </w:rPr>
        <w:t xml:space="preserve">The Treasury has improved its in-year budget monitoring and reporting recently, with the introduction of a quarterly budget review </w:t>
      </w:r>
      <w:r w:rsidR="0005486E" w:rsidRPr="001E56A4">
        <w:rPr>
          <w:rFonts w:ascii="Arial" w:hAnsi="Arial" w:cs="Arial"/>
          <w:b w:val="0"/>
          <w:bCs w:val="0"/>
          <w:sz w:val="22"/>
          <w:szCs w:val="22"/>
        </w:rPr>
        <w:t>process at the beginning of 2015</w:t>
      </w:r>
      <w:r w:rsidRPr="001E56A4">
        <w:rPr>
          <w:rFonts w:ascii="Arial" w:hAnsi="Arial" w:cs="Arial"/>
          <w:b w:val="0"/>
          <w:bCs w:val="0"/>
          <w:sz w:val="22"/>
          <w:szCs w:val="22"/>
        </w:rPr>
        <w:t xml:space="preserve">.  These internal quarterly budget reports, submitted to the Central Agencies Coordinating Committee (CACC), are compiled by the Treasury and show the performance of budget implementation. </w:t>
      </w:r>
      <w:r w:rsidR="006613E0" w:rsidRPr="001E56A4">
        <w:rPr>
          <w:rFonts w:ascii="Arial" w:hAnsi="Arial" w:cs="Arial"/>
          <w:b w:val="0"/>
          <w:bCs w:val="0"/>
          <w:sz w:val="22"/>
          <w:szCs w:val="22"/>
        </w:rPr>
        <w:t xml:space="preserve"> </w:t>
      </w:r>
    </w:p>
    <w:p w14:paraId="74E1B32E" w14:textId="77777777" w:rsidR="0038145B" w:rsidRPr="001E56A4" w:rsidRDefault="0038145B" w:rsidP="0038145B"/>
    <w:p w14:paraId="11A3DDE8" w14:textId="557336A1" w:rsidR="003A4C30" w:rsidRPr="001E56A4" w:rsidRDefault="003A4C30" w:rsidP="006613E0">
      <w:pPr>
        <w:pStyle w:val="Heading3"/>
        <w:keepNext w:val="0"/>
        <w:numPr>
          <w:ilvl w:val="2"/>
          <w:numId w:val="0"/>
        </w:numPr>
        <w:tabs>
          <w:tab w:val="num" w:pos="720"/>
        </w:tabs>
        <w:autoSpaceDE/>
        <w:autoSpaceDN/>
        <w:adjustRightInd/>
        <w:ind w:right="0"/>
        <w:jc w:val="left"/>
        <w:rPr>
          <w:rFonts w:ascii="Arial" w:hAnsi="Arial" w:cs="Arial"/>
          <w:b w:val="0"/>
          <w:bCs w:val="0"/>
          <w:sz w:val="22"/>
          <w:szCs w:val="22"/>
        </w:rPr>
      </w:pPr>
      <w:r w:rsidRPr="001E56A4">
        <w:rPr>
          <w:rFonts w:ascii="Arial" w:hAnsi="Arial" w:cs="Arial"/>
          <w:b w:val="0"/>
          <w:bCs w:val="0"/>
          <w:sz w:val="22"/>
          <w:szCs w:val="22"/>
        </w:rPr>
        <w:t>The most recent quarter report (third quarter 201</w:t>
      </w:r>
      <w:r w:rsidR="0005486E" w:rsidRPr="001E56A4">
        <w:rPr>
          <w:rFonts w:ascii="Arial" w:hAnsi="Arial" w:cs="Arial"/>
          <w:b w:val="0"/>
          <w:bCs w:val="0"/>
          <w:sz w:val="22"/>
          <w:szCs w:val="22"/>
        </w:rPr>
        <w:t>5</w:t>
      </w:r>
      <w:r w:rsidRPr="001E56A4">
        <w:rPr>
          <w:rFonts w:ascii="Arial" w:hAnsi="Arial" w:cs="Arial"/>
          <w:b w:val="0"/>
          <w:bCs w:val="0"/>
          <w:sz w:val="22"/>
          <w:szCs w:val="22"/>
        </w:rPr>
        <w:t xml:space="preserve">) was issued two months </w:t>
      </w:r>
      <w:r w:rsidR="006613E0" w:rsidRPr="001E56A4">
        <w:rPr>
          <w:rFonts w:ascii="Arial" w:hAnsi="Arial" w:cs="Arial"/>
          <w:b w:val="0"/>
          <w:bCs w:val="0"/>
          <w:sz w:val="22"/>
          <w:szCs w:val="22"/>
        </w:rPr>
        <w:t xml:space="preserve">after the end of the quarter; </w:t>
      </w:r>
      <w:r w:rsidRPr="001E56A4">
        <w:rPr>
          <w:rFonts w:ascii="Arial" w:hAnsi="Arial" w:cs="Arial"/>
          <w:b w:val="0"/>
          <w:bCs w:val="0"/>
          <w:sz w:val="22"/>
          <w:szCs w:val="22"/>
        </w:rPr>
        <w:t>T</w:t>
      </w:r>
      <w:r w:rsidR="006613E0" w:rsidRPr="001E56A4">
        <w:rPr>
          <w:rFonts w:ascii="Arial" w:hAnsi="Arial" w:cs="Arial"/>
          <w:b w:val="0"/>
          <w:bCs w:val="0"/>
          <w:sz w:val="22"/>
          <w:szCs w:val="22"/>
        </w:rPr>
        <w:t>reasury</w:t>
      </w:r>
      <w:r w:rsidRPr="001E56A4">
        <w:rPr>
          <w:rFonts w:ascii="Arial" w:hAnsi="Arial" w:cs="Arial"/>
          <w:b w:val="0"/>
          <w:bCs w:val="0"/>
          <w:sz w:val="22"/>
          <w:szCs w:val="22"/>
        </w:rPr>
        <w:t xml:space="preserve"> has planned that the fourth quarter report will be issued within two months of the quarter-end.  </w:t>
      </w:r>
      <w:r w:rsidR="006613E0" w:rsidRPr="001E56A4">
        <w:rPr>
          <w:rFonts w:ascii="Arial" w:hAnsi="Arial" w:cs="Arial"/>
          <w:b w:val="0"/>
          <w:bCs w:val="0"/>
          <w:sz w:val="22"/>
          <w:szCs w:val="22"/>
        </w:rPr>
        <w:t>However</w:t>
      </w:r>
      <w:r w:rsidRPr="001E56A4">
        <w:rPr>
          <w:rFonts w:ascii="Arial" w:hAnsi="Arial" w:cs="Arial"/>
          <w:b w:val="0"/>
          <w:bCs w:val="0"/>
          <w:sz w:val="22"/>
          <w:szCs w:val="22"/>
          <w:lang w:val="en-AU"/>
        </w:rPr>
        <w:t>, the quality of the reports could be improved.  In particular, it is not clear how CACC is making use of the quarterly budget reports in order to increase accountability for implementation of the budget</w:t>
      </w:r>
      <w:r w:rsidR="006613E0" w:rsidRPr="001E56A4">
        <w:rPr>
          <w:rFonts w:ascii="Arial" w:hAnsi="Arial" w:cs="Arial"/>
          <w:b w:val="0"/>
          <w:bCs w:val="0"/>
          <w:sz w:val="22"/>
          <w:szCs w:val="22"/>
          <w:lang w:val="en-AU"/>
        </w:rPr>
        <w:t xml:space="preserve">, and </w:t>
      </w:r>
      <w:r w:rsidRPr="001E56A4">
        <w:rPr>
          <w:rFonts w:ascii="Arial" w:hAnsi="Arial" w:cs="Arial"/>
          <w:b w:val="0"/>
          <w:bCs w:val="0"/>
          <w:sz w:val="22"/>
          <w:szCs w:val="22"/>
        </w:rPr>
        <w:t xml:space="preserve">there is no clear line linking budget plans, warrant release and cash allocations so that significant divergences may be identified and investigated.  Timely and accurate reporting by provincial and local governments and by statutory agencies is not yet taking place. </w:t>
      </w:r>
    </w:p>
    <w:p w14:paraId="5684B9DD" w14:textId="77777777" w:rsidR="003A4C30" w:rsidRPr="001E56A4" w:rsidRDefault="003A4C30" w:rsidP="006613E0">
      <w:pPr>
        <w:rPr>
          <w:rFonts w:ascii="Arial" w:hAnsi="Arial" w:cs="Arial"/>
          <w:sz w:val="22"/>
          <w:szCs w:val="22"/>
        </w:rPr>
      </w:pPr>
    </w:p>
    <w:p w14:paraId="3CDB300C" w14:textId="77777777" w:rsidR="00633A8E" w:rsidRPr="001E56A4" w:rsidRDefault="00633A8E" w:rsidP="006613E0">
      <w:pPr>
        <w:rPr>
          <w:rFonts w:ascii="Arial" w:hAnsi="Arial" w:cs="Arial"/>
          <w:sz w:val="22"/>
          <w:szCs w:val="22"/>
        </w:rPr>
      </w:pPr>
    </w:p>
    <w:p w14:paraId="3FCF1141" w14:textId="77777777" w:rsidR="0038145B" w:rsidRPr="001E56A4" w:rsidRDefault="0038145B" w:rsidP="0038145B">
      <w:pPr>
        <w:autoSpaceDE w:val="0"/>
        <w:autoSpaceDN w:val="0"/>
        <w:adjustRightInd w:val="0"/>
        <w:rPr>
          <w:rFonts w:ascii="Arial" w:hAnsi="Arial" w:cs="Arial"/>
          <w:b/>
          <w:bCs/>
          <w:sz w:val="22"/>
          <w:szCs w:val="22"/>
        </w:rPr>
      </w:pPr>
      <w:r w:rsidRPr="001E56A4">
        <w:rPr>
          <w:rFonts w:ascii="Arial" w:hAnsi="Arial" w:cs="Arial"/>
          <w:b/>
          <w:bCs/>
          <w:sz w:val="22"/>
          <w:szCs w:val="22"/>
        </w:rPr>
        <w:t>Required</w:t>
      </w:r>
    </w:p>
    <w:p w14:paraId="05D5BCBD" w14:textId="77777777" w:rsidR="0038145B" w:rsidRPr="001E56A4" w:rsidRDefault="0038145B" w:rsidP="0038145B">
      <w:pPr>
        <w:autoSpaceDE w:val="0"/>
        <w:autoSpaceDN w:val="0"/>
        <w:adjustRightInd w:val="0"/>
        <w:rPr>
          <w:rFonts w:ascii="Arial" w:hAnsi="Arial" w:cs="Arial"/>
          <w:sz w:val="22"/>
          <w:szCs w:val="22"/>
        </w:rPr>
      </w:pPr>
    </w:p>
    <w:p w14:paraId="73B65521" w14:textId="77777777" w:rsidR="0038145B" w:rsidRPr="001E56A4" w:rsidRDefault="0038145B" w:rsidP="0038145B">
      <w:pPr>
        <w:tabs>
          <w:tab w:val="left" w:pos="360"/>
        </w:tabs>
        <w:ind w:left="360" w:hanging="360"/>
        <w:rPr>
          <w:rFonts w:ascii="Arial" w:hAnsi="Arial" w:cs="Arial"/>
          <w:sz w:val="22"/>
          <w:szCs w:val="22"/>
        </w:rPr>
      </w:pPr>
      <w:r w:rsidRPr="001E56A4">
        <w:rPr>
          <w:rFonts w:ascii="Arial" w:hAnsi="Arial" w:cs="Arial"/>
          <w:sz w:val="22"/>
          <w:szCs w:val="22"/>
        </w:rPr>
        <w:t>1.</w:t>
      </w:r>
      <w:r w:rsidRPr="001E56A4">
        <w:rPr>
          <w:rFonts w:ascii="Arial" w:hAnsi="Arial" w:cs="Arial"/>
          <w:sz w:val="22"/>
          <w:szCs w:val="22"/>
        </w:rPr>
        <w:tab/>
        <w:t>Is it possible to rate this indicator?  Is there sufficient evidence?  If not, what additional evidence should be obtained?</w:t>
      </w:r>
    </w:p>
    <w:p w14:paraId="34ECD537" w14:textId="77777777" w:rsidR="0038145B" w:rsidRPr="001E56A4" w:rsidRDefault="0038145B" w:rsidP="0038145B">
      <w:pPr>
        <w:tabs>
          <w:tab w:val="left" w:pos="360"/>
        </w:tabs>
        <w:rPr>
          <w:rFonts w:ascii="Arial" w:hAnsi="Arial" w:cs="Arial"/>
          <w:sz w:val="22"/>
          <w:szCs w:val="22"/>
        </w:rPr>
      </w:pPr>
    </w:p>
    <w:p w14:paraId="7CBC6D21" w14:textId="77777777" w:rsidR="0038145B" w:rsidRPr="001E56A4" w:rsidRDefault="0038145B" w:rsidP="0038145B">
      <w:pPr>
        <w:tabs>
          <w:tab w:val="left" w:pos="360"/>
        </w:tabs>
        <w:rPr>
          <w:rFonts w:ascii="Arial" w:hAnsi="Arial" w:cs="Arial"/>
          <w:b/>
          <w:bCs/>
          <w:sz w:val="22"/>
          <w:szCs w:val="22"/>
        </w:rPr>
      </w:pPr>
      <w:r w:rsidRPr="001E56A4">
        <w:rPr>
          <w:rFonts w:ascii="Arial" w:hAnsi="Arial" w:cs="Arial"/>
          <w:sz w:val="22"/>
          <w:szCs w:val="22"/>
        </w:rPr>
        <w:t>2.</w:t>
      </w:r>
      <w:r w:rsidRPr="001E56A4">
        <w:rPr>
          <w:rFonts w:ascii="Arial" w:hAnsi="Arial" w:cs="Arial"/>
          <w:sz w:val="22"/>
          <w:szCs w:val="22"/>
        </w:rPr>
        <w:tab/>
        <w:t xml:space="preserve">If the evidence is sufficient, what is your rating? </w:t>
      </w:r>
    </w:p>
    <w:p w14:paraId="63B37622" w14:textId="40F48EB4" w:rsidR="00A23B7E" w:rsidRPr="001E56A4" w:rsidRDefault="00CF250A" w:rsidP="006613E0">
      <w:pPr>
        <w:rPr>
          <w:rFonts w:ascii="Arial" w:hAnsi="Arial" w:cs="Arial"/>
          <w:b/>
          <w:szCs w:val="22"/>
        </w:rPr>
      </w:pPr>
      <w:r w:rsidRPr="001E56A4">
        <w:rPr>
          <w:rFonts w:ascii="Arial" w:hAnsi="Arial" w:cs="Arial"/>
          <w:sz w:val="22"/>
          <w:szCs w:val="22"/>
        </w:rPr>
        <w:br w:type="page"/>
      </w:r>
      <w:r w:rsidR="000C5428">
        <w:rPr>
          <w:rFonts w:ascii="Arial" w:hAnsi="Arial" w:cs="Arial"/>
          <w:b/>
          <w:szCs w:val="22"/>
        </w:rPr>
        <w:lastRenderedPageBreak/>
        <w:t>PI-31</w:t>
      </w:r>
      <w:r w:rsidRPr="001E56A4">
        <w:rPr>
          <w:rFonts w:ascii="Arial" w:hAnsi="Arial" w:cs="Arial"/>
          <w:b/>
          <w:szCs w:val="22"/>
        </w:rPr>
        <w:t>: Legislative scrutiny of audit reports</w:t>
      </w:r>
    </w:p>
    <w:p w14:paraId="76C7ECF6" w14:textId="77777777" w:rsidR="007C224F" w:rsidRPr="001E56A4" w:rsidRDefault="007C224F" w:rsidP="006613E0">
      <w:pPr>
        <w:rPr>
          <w:rFonts w:ascii="Arial" w:hAnsi="Arial" w:cs="Arial"/>
          <w:b/>
          <w:sz w:val="22"/>
          <w:szCs w:val="22"/>
        </w:rPr>
      </w:pPr>
    </w:p>
    <w:p w14:paraId="33E4D0CC" w14:textId="749EFFEF" w:rsidR="00E46F94" w:rsidRDefault="00E46F94" w:rsidP="006613E0">
      <w:pPr>
        <w:rPr>
          <w:rFonts w:ascii="Arial" w:hAnsi="Arial" w:cs="Arial"/>
          <w:b/>
          <w:sz w:val="22"/>
          <w:szCs w:val="22"/>
        </w:rPr>
      </w:pPr>
      <w:r>
        <w:rPr>
          <w:rFonts w:ascii="Arial" w:hAnsi="Arial" w:cs="Arial"/>
          <w:b/>
          <w:sz w:val="22"/>
          <w:szCs w:val="22"/>
        </w:rPr>
        <w:t>31.1 Tim</w:t>
      </w:r>
      <w:r w:rsidR="00005415" w:rsidRPr="001E56A4">
        <w:rPr>
          <w:rFonts w:ascii="Arial" w:hAnsi="Arial" w:cs="Arial"/>
          <w:b/>
          <w:sz w:val="22"/>
          <w:szCs w:val="22"/>
        </w:rPr>
        <w:t>in</w:t>
      </w:r>
      <w:r>
        <w:rPr>
          <w:rFonts w:ascii="Arial" w:hAnsi="Arial" w:cs="Arial"/>
          <w:b/>
          <w:sz w:val="22"/>
          <w:szCs w:val="22"/>
        </w:rPr>
        <w:t>g</w:t>
      </w:r>
      <w:r w:rsidR="00005415" w:rsidRPr="001E56A4">
        <w:rPr>
          <w:rFonts w:ascii="Arial" w:hAnsi="Arial" w:cs="Arial"/>
          <w:b/>
          <w:sz w:val="22"/>
          <w:szCs w:val="22"/>
        </w:rPr>
        <w:t xml:space="preserve"> of audit report</w:t>
      </w:r>
      <w:r>
        <w:rPr>
          <w:rFonts w:ascii="Arial" w:hAnsi="Arial" w:cs="Arial"/>
          <w:b/>
          <w:sz w:val="22"/>
          <w:szCs w:val="22"/>
        </w:rPr>
        <w:t xml:space="preserve"> </w:t>
      </w:r>
      <w:r w:rsidR="00005415" w:rsidRPr="001E56A4">
        <w:rPr>
          <w:rFonts w:ascii="Arial" w:hAnsi="Arial" w:cs="Arial"/>
          <w:b/>
          <w:sz w:val="22"/>
          <w:szCs w:val="22"/>
        </w:rPr>
        <w:t>s</w:t>
      </w:r>
      <w:r>
        <w:rPr>
          <w:rFonts w:ascii="Arial" w:hAnsi="Arial" w:cs="Arial"/>
          <w:b/>
          <w:sz w:val="22"/>
          <w:szCs w:val="22"/>
        </w:rPr>
        <w:t>crutiny</w:t>
      </w:r>
    </w:p>
    <w:p w14:paraId="50990683" w14:textId="77777777" w:rsidR="007C224F" w:rsidRPr="001E56A4" w:rsidRDefault="007C224F" w:rsidP="006613E0">
      <w:pPr>
        <w:rPr>
          <w:rFonts w:ascii="Arial" w:hAnsi="Arial" w:cs="Arial"/>
          <w:b/>
          <w:sz w:val="22"/>
          <w:szCs w:val="22"/>
        </w:rPr>
      </w:pPr>
    </w:p>
    <w:p w14:paraId="199BA23D" w14:textId="77777777" w:rsidR="005F6581" w:rsidRPr="001E56A4" w:rsidRDefault="00A04BFF" w:rsidP="006613E0">
      <w:pPr>
        <w:pStyle w:val="MainParawithChapter"/>
        <w:spacing w:after="0"/>
        <w:jc w:val="left"/>
        <w:rPr>
          <w:rFonts w:ascii="Arial" w:hAnsi="Arial" w:cs="Arial"/>
          <w:sz w:val="22"/>
          <w:szCs w:val="22"/>
        </w:rPr>
      </w:pPr>
      <w:r w:rsidRPr="001E56A4">
        <w:rPr>
          <w:rFonts w:ascii="Arial" w:hAnsi="Arial" w:cs="Arial"/>
          <w:sz w:val="22"/>
          <w:szCs w:val="22"/>
        </w:rPr>
        <w:t xml:space="preserve">The </w:t>
      </w:r>
      <w:r w:rsidR="005F6581" w:rsidRPr="001E56A4">
        <w:rPr>
          <w:rFonts w:ascii="Arial" w:hAnsi="Arial" w:cs="Arial"/>
          <w:sz w:val="22"/>
          <w:szCs w:val="22"/>
        </w:rPr>
        <w:t>Public Accounts Committee (PAC) is responsible for revi</w:t>
      </w:r>
      <w:r w:rsidRPr="001E56A4">
        <w:rPr>
          <w:rFonts w:ascii="Arial" w:hAnsi="Arial" w:cs="Arial"/>
          <w:sz w:val="22"/>
          <w:szCs w:val="22"/>
        </w:rPr>
        <w:t>ewing the National Audit Office</w:t>
      </w:r>
      <w:r w:rsidR="005F6581" w:rsidRPr="001E56A4">
        <w:rPr>
          <w:rFonts w:ascii="Arial" w:hAnsi="Arial" w:cs="Arial"/>
          <w:sz w:val="22"/>
          <w:szCs w:val="22"/>
        </w:rPr>
        <w:t xml:space="preserve"> report for all central government accounts. </w:t>
      </w:r>
    </w:p>
    <w:p w14:paraId="02ABBF0D" w14:textId="77777777" w:rsidR="00633A8E" w:rsidRPr="001E56A4" w:rsidRDefault="00633A8E" w:rsidP="006613E0">
      <w:pPr>
        <w:pStyle w:val="MainParawithChapter"/>
        <w:spacing w:after="0"/>
        <w:jc w:val="left"/>
        <w:rPr>
          <w:rFonts w:ascii="Arial" w:hAnsi="Arial" w:cs="Arial"/>
          <w:sz w:val="22"/>
          <w:szCs w:val="22"/>
        </w:rPr>
      </w:pPr>
    </w:p>
    <w:p w14:paraId="11CD14BE" w14:textId="2ACD4940" w:rsidR="00A04BFF" w:rsidRPr="001E56A4" w:rsidRDefault="00A04BFF" w:rsidP="006613E0">
      <w:pPr>
        <w:pStyle w:val="MainParawithChapter"/>
        <w:spacing w:after="0"/>
        <w:jc w:val="left"/>
        <w:rPr>
          <w:rFonts w:ascii="Arial" w:hAnsi="Arial" w:cs="Arial"/>
          <w:sz w:val="22"/>
          <w:szCs w:val="22"/>
        </w:rPr>
      </w:pPr>
      <w:r w:rsidRPr="001E56A4">
        <w:rPr>
          <w:rFonts w:ascii="Arial" w:hAnsi="Arial" w:cs="Arial"/>
          <w:sz w:val="22"/>
          <w:szCs w:val="22"/>
        </w:rPr>
        <w:t xml:space="preserve">Reports received by PAC include (i) the unaudited financial statements of individual ministries, departments and autonomous agencies and the annual accounts of the Accountant General; (ii) the detailed audit reports from the National Audit Office. </w:t>
      </w:r>
      <w:r w:rsidR="00B62B84" w:rsidRPr="001E56A4">
        <w:rPr>
          <w:rFonts w:ascii="Arial" w:hAnsi="Arial" w:cs="Arial"/>
          <w:sz w:val="22"/>
          <w:szCs w:val="22"/>
        </w:rPr>
        <w:t xml:space="preserve"> </w:t>
      </w:r>
      <w:r w:rsidRPr="001E56A4">
        <w:rPr>
          <w:rFonts w:ascii="Arial" w:hAnsi="Arial" w:cs="Arial"/>
          <w:sz w:val="22"/>
          <w:szCs w:val="22"/>
        </w:rPr>
        <w:t>The PAC received the NAO audit report on t</w:t>
      </w:r>
      <w:r w:rsidR="0005486E" w:rsidRPr="001E56A4">
        <w:rPr>
          <w:rFonts w:ascii="Arial" w:hAnsi="Arial" w:cs="Arial"/>
          <w:sz w:val="22"/>
          <w:szCs w:val="22"/>
        </w:rPr>
        <w:t>he financial statements for FY13</w:t>
      </w:r>
      <w:r w:rsidR="00371141" w:rsidRPr="001E56A4">
        <w:rPr>
          <w:rFonts w:ascii="Arial" w:hAnsi="Arial" w:cs="Arial"/>
          <w:sz w:val="22"/>
          <w:szCs w:val="22"/>
        </w:rPr>
        <w:t xml:space="preserve"> in March 20</w:t>
      </w:r>
      <w:r w:rsidR="00EB34EF" w:rsidRPr="001E56A4">
        <w:rPr>
          <w:rFonts w:ascii="Arial" w:hAnsi="Arial" w:cs="Arial"/>
          <w:sz w:val="22"/>
          <w:szCs w:val="22"/>
        </w:rPr>
        <w:t>1</w:t>
      </w:r>
      <w:r w:rsidR="0005486E" w:rsidRPr="001E56A4">
        <w:rPr>
          <w:rFonts w:ascii="Arial" w:hAnsi="Arial" w:cs="Arial"/>
          <w:sz w:val="22"/>
          <w:szCs w:val="22"/>
        </w:rPr>
        <w:t>5 (for FY12 in July 2014</w:t>
      </w:r>
      <w:r w:rsidRPr="001E56A4">
        <w:rPr>
          <w:rFonts w:ascii="Arial" w:hAnsi="Arial" w:cs="Arial"/>
          <w:sz w:val="22"/>
          <w:szCs w:val="22"/>
        </w:rPr>
        <w:t xml:space="preserve">) and completed its </w:t>
      </w:r>
      <w:r w:rsidR="00371141" w:rsidRPr="001E56A4">
        <w:rPr>
          <w:rFonts w:ascii="Arial" w:hAnsi="Arial" w:cs="Arial"/>
          <w:sz w:val="22"/>
          <w:szCs w:val="22"/>
        </w:rPr>
        <w:t>review of the report in May 20</w:t>
      </w:r>
      <w:r w:rsidR="00EB34EF" w:rsidRPr="001E56A4">
        <w:rPr>
          <w:rFonts w:ascii="Arial" w:hAnsi="Arial" w:cs="Arial"/>
          <w:sz w:val="22"/>
          <w:szCs w:val="22"/>
        </w:rPr>
        <w:t>1</w:t>
      </w:r>
      <w:r w:rsidR="0005486E" w:rsidRPr="001E56A4">
        <w:rPr>
          <w:rFonts w:ascii="Arial" w:hAnsi="Arial" w:cs="Arial"/>
          <w:sz w:val="22"/>
          <w:szCs w:val="22"/>
        </w:rPr>
        <w:t>5 (for FY12 in October 2014</w:t>
      </w:r>
      <w:r w:rsidRPr="001E56A4">
        <w:rPr>
          <w:rFonts w:ascii="Arial" w:hAnsi="Arial" w:cs="Arial"/>
          <w:sz w:val="22"/>
          <w:szCs w:val="22"/>
        </w:rPr>
        <w:t xml:space="preserve">). </w:t>
      </w:r>
      <w:r w:rsidR="00B62B84" w:rsidRPr="001E56A4">
        <w:rPr>
          <w:rFonts w:ascii="Arial" w:hAnsi="Arial" w:cs="Arial"/>
          <w:sz w:val="22"/>
          <w:szCs w:val="22"/>
        </w:rPr>
        <w:t xml:space="preserve"> </w:t>
      </w:r>
      <w:r w:rsidRPr="001E56A4">
        <w:rPr>
          <w:rFonts w:ascii="Arial" w:hAnsi="Arial" w:cs="Arial"/>
          <w:sz w:val="22"/>
          <w:szCs w:val="22"/>
        </w:rPr>
        <w:t xml:space="preserve">All PAC reports have been tabled in the full Parliament and approved during the session following their completion. </w:t>
      </w:r>
    </w:p>
    <w:p w14:paraId="03A1674A" w14:textId="77777777" w:rsidR="0038145B" w:rsidRPr="001E56A4" w:rsidRDefault="0038145B" w:rsidP="006613E0">
      <w:pPr>
        <w:autoSpaceDE w:val="0"/>
        <w:autoSpaceDN w:val="0"/>
        <w:adjustRightInd w:val="0"/>
        <w:rPr>
          <w:rFonts w:ascii="Arial" w:hAnsi="Arial" w:cs="Arial"/>
          <w:b/>
          <w:bCs/>
          <w:sz w:val="22"/>
          <w:szCs w:val="22"/>
        </w:rPr>
      </w:pPr>
    </w:p>
    <w:p w14:paraId="62043715" w14:textId="77777777" w:rsidR="0038145B" w:rsidRPr="001E56A4" w:rsidRDefault="0038145B" w:rsidP="006613E0">
      <w:pPr>
        <w:autoSpaceDE w:val="0"/>
        <w:autoSpaceDN w:val="0"/>
        <w:adjustRightInd w:val="0"/>
        <w:rPr>
          <w:rFonts w:ascii="Arial" w:hAnsi="Arial" w:cs="Arial"/>
          <w:b/>
          <w:bCs/>
          <w:sz w:val="22"/>
          <w:szCs w:val="22"/>
        </w:rPr>
      </w:pPr>
    </w:p>
    <w:p w14:paraId="56C1F91E" w14:textId="77777777" w:rsidR="0038145B" w:rsidRPr="001E56A4" w:rsidRDefault="0038145B" w:rsidP="0038145B">
      <w:pPr>
        <w:autoSpaceDE w:val="0"/>
        <w:autoSpaceDN w:val="0"/>
        <w:adjustRightInd w:val="0"/>
        <w:rPr>
          <w:rFonts w:ascii="Arial" w:hAnsi="Arial" w:cs="Arial"/>
          <w:b/>
          <w:bCs/>
          <w:sz w:val="22"/>
          <w:szCs w:val="22"/>
        </w:rPr>
      </w:pPr>
      <w:r w:rsidRPr="001E56A4">
        <w:rPr>
          <w:rFonts w:ascii="Arial" w:hAnsi="Arial" w:cs="Arial"/>
          <w:b/>
          <w:bCs/>
          <w:sz w:val="22"/>
          <w:szCs w:val="22"/>
        </w:rPr>
        <w:t>Required</w:t>
      </w:r>
    </w:p>
    <w:p w14:paraId="6A7EE197" w14:textId="77777777" w:rsidR="0038145B" w:rsidRPr="001E56A4" w:rsidRDefault="0038145B" w:rsidP="0038145B">
      <w:pPr>
        <w:autoSpaceDE w:val="0"/>
        <w:autoSpaceDN w:val="0"/>
        <w:adjustRightInd w:val="0"/>
        <w:rPr>
          <w:rFonts w:ascii="Arial" w:hAnsi="Arial" w:cs="Arial"/>
          <w:sz w:val="22"/>
          <w:szCs w:val="22"/>
        </w:rPr>
      </w:pPr>
    </w:p>
    <w:p w14:paraId="20A15B10" w14:textId="77777777" w:rsidR="0038145B" w:rsidRPr="001E56A4" w:rsidRDefault="0038145B" w:rsidP="0038145B">
      <w:pPr>
        <w:tabs>
          <w:tab w:val="left" w:pos="360"/>
        </w:tabs>
        <w:ind w:left="360" w:hanging="360"/>
        <w:rPr>
          <w:rFonts w:ascii="Arial" w:hAnsi="Arial" w:cs="Arial"/>
          <w:sz w:val="22"/>
          <w:szCs w:val="22"/>
        </w:rPr>
      </w:pPr>
      <w:r w:rsidRPr="001E56A4">
        <w:rPr>
          <w:rFonts w:ascii="Arial" w:hAnsi="Arial" w:cs="Arial"/>
          <w:sz w:val="22"/>
          <w:szCs w:val="22"/>
        </w:rPr>
        <w:t>1.</w:t>
      </w:r>
      <w:r w:rsidRPr="001E56A4">
        <w:rPr>
          <w:rFonts w:ascii="Arial" w:hAnsi="Arial" w:cs="Arial"/>
          <w:sz w:val="22"/>
          <w:szCs w:val="22"/>
        </w:rPr>
        <w:tab/>
        <w:t>Is it possible to rate this indicator?  Is there sufficient evidence?  If not, what additional evidence should be obtained?</w:t>
      </w:r>
    </w:p>
    <w:p w14:paraId="692F3C4B" w14:textId="77777777" w:rsidR="0038145B" w:rsidRPr="001E56A4" w:rsidRDefault="0038145B" w:rsidP="0038145B">
      <w:pPr>
        <w:tabs>
          <w:tab w:val="left" w:pos="360"/>
        </w:tabs>
        <w:rPr>
          <w:rFonts w:ascii="Arial" w:hAnsi="Arial" w:cs="Arial"/>
          <w:sz w:val="22"/>
          <w:szCs w:val="22"/>
        </w:rPr>
      </w:pPr>
    </w:p>
    <w:p w14:paraId="5428EE06" w14:textId="77777777" w:rsidR="0038145B" w:rsidRPr="006613E0" w:rsidRDefault="0038145B" w:rsidP="0038145B">
      <w:pPr>
        <w:tabs>
          <w:tab w:val="left" w:pos="360"/>
        </w:tabs>
        <w:rPr>
          <w:rFonts w:ascii="Arial" w:hAnsi="Arial" w:cs="Arial"/>
          <w:b/>
          <w:bCs/>
          <w:sz w:val="22"/>
          <w:szCs w:val="22"/>
        </w:rPr>
      </w:pPr>
      <w:r w:rsidRPr="001E56A4">
        <w:rPr>
          <w:rFonts w:ascii="Arial" w:hAnsi="Arial" w:cs="Arial"/>
          <w:sz w:val="22"/>
          <w:szCs w:val="22"/>
        </w:rPr>
        <w:t>2.</w:t>
      </w:r>
      <w:r w:rsidRPr="001E56A4">
        <w:rPr>
          <w:rFonts w:ascii="Arial" w:hAnsi="Arial" w:cs="Arial"/>
          <w:sz w:val="22"/>
          <w:szCs w:val="22"/>
        </w:rPr>
        <w:tab/>
        <w:t>If the evidence is sufficient, what is your rating?</w:t>
      </w:r>
      <w:r w:rsidRPr="006613E0">
        <w:rPr>
          <w:rFonts w:ascii="Arial" w:hAnsi="Arial" w:cs="Arial"/>
          <w:sz w:val="22"/>
          <w:szCs w:val="22"/>
        </w:rPr>
        <w:t xml:space="preserve"> </w:t>
      </w:r>
    </w:p>
    <w:p w14:paraId="414041C8" w14:textId="77777777" w:rsidR="00DE3F77" w:rsidRPr="00961561" w:rsidRDefault="00DE3F77" w:rsidP="0038145B">
      <w:pPr>
        <w:autoSpaceDE w:val="0"/>
        <w:autoSpaceDN w:val="0"/>
        <w:adjustRightInd w:val="0"/>
        <w:rPr>
          <w:rFonts w:ascii="Arial" w:hAnsi="Arial" w:cs="Arial"/>
          <w:sz w:val="22"/>
          <w:szCs w:val="22"/>
        </w:rPr>
      </w:pPr>
    </w:p>
    <w:sectPr w:rsidR="00DE3F77" w:rsidRPr="00961561" w:rsidSect="00FE522F">
      <w:footerReference w:type="even" r:id="rId7"/>
      <w:footerReference w:type="default" r:id="rId8"/>
      <w:pgSz w:w="12240" w:h="15840"/>
      <w:pgMar w:top="1440" w:right="1230" w:bottom="1440" w:left="179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71778" w14:textId="77777777" w:rsidR="00FE2818" w:rsidRDefault="00FE2818">
      <w:r>
        <w:separator/>
      </w:r>
    </w:p>
  </w:endnote>
  <w:endnote w:type="continuationSeparator" w:id="0">
    <w:p w14:paraId="45ACABE7" w14:textId="77777777" w:rsidR="00FE2818" w:rsidRDefault="00FE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123D2" w14:textId="77777777" w:rsidR="00252D6E" w:rsidRDefault="008D2B31" w:rsidP="001D556E">
    <w:pPr>
      <w:pStyle w:val="Footer"/>
      <w:framePr w:wrap="around" w:vAnchor="text" w:hAnchor="margin" w:xAlign="right" w:y="1"/>
      <w:rPr>
        <w:rStyle w:val="PageNumber"/>
      </w:rPr>
    </w:pPr>
    <w:r>
      <w:rPr>
        <w:rStyle w:val="PageNumber"/>
      </w:rPr>
      <w:fldChar w:fldCharType="begin"/>
    </w:r>
    <w:r w:rsidR="00252D6E">
      <w:rPr>
        <w:rStyle w:val="PageNumber"/>
      </w:rPr>
      <w:instrText xml:space="preserve">PAGE  </w:instrText>
    </w:r>
    <w:r>
      <w:rPr>
        <w:rStyle w:val="PageNumber"/>
      </w:rPr>
      <w:fldChar w:fldCharType="end"/>
    </w:r>
  </w:p>
  <w:p w14:paraId="3817ED41" w14:textId="77777777" w:rsidR="00252D6E" w:rsidRDefault="00252D6E" w:rsidP="001D556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91659"/>
      <w:docPartObj>
        <w:docPartGallery w:val="Page Numbers (Bottom of Page)"/>
        <w:docPartUnique/>
      </w:docPartObj>
    </w:sdtPr>
    <w:sdtEndPr>
      <w:rPr>
        <w:rFonts w:ascii="Arial" w:hAnsi="Arial" w:cs="Arial"/>
        <w:sz w:val="18"/>
      </w:rPr>
    </w:sdtEndPr>
    <w:sdtContent>
      <w:p w14:paraId="55BE40EC" w14:textId="77777777" w:rsidR="0072305B" w:rsidRDefault="008D2B31">
        <w:pPr>
          <w:pStyle w:val="Footer"/>
          <w:jc w:val="center"/>
        </w:pPr>
        <w:r w:rsidRPr="0072305B">
          <w:rPr>
            <w:rFonts w:ascii="Arial" w:hAnsi="Arial" w:cs="Arial"/>
            <w:sz w:val="18"/>
          </w:rPr>
          <w:fldChar w:fldCharType="begin"/>
        </w:r>
        <w:r w:rsidR="0072305B" w:rsidRPr="0072305B">
          <w:rPr>
            <w:rFonts w:ascii="Arial" w:hAnsi="Arial" w:cs="Arial"/>
            <w:sz w:val="18"/>
          </w:rPr>
          <w:instrText xml:space="preserve"> PAGE   \* MERGEFORMAT </w:instrText>
        </w:r>
        <w:r w:rsidRPr="0072305B">
          <w:rPr>
            <w:rFonts w:ascii="Arial" w:hAnsi="Arial" w:cs="Arial"/>
            <w:sz w:val="18"/>
          </w:rPr>
          <w:fldChar w:fldCharType="separate"/>
        </w:r>
        <w:r w:rsidR="001C6CD6">
          <w:rPr>
            <w:rFonts w:ascii="Arial" w:hAnsi="Arial" w:cs="Arial"/>
            <w:noProof/>
            <w:sz w:val="18"/>
          </w:rPr>
          <w:t>9</w:t>
        </w:r>
        <w:r w:rsidRPr="0072305B">
          <w:rPr>
            <w:rFonts w:ascii="Arial" w:hAnsi="Arial" w:cs="Arial"/>
            <w:sz w:val="18"/>
          </w:rPr>
          <w:fldChar w:fldCharType="end"/>
        </w:r>
      </w:p>
    </w:sdtContent>
  </w:sdt>
  <w:p w14:paraId="7ECD7206" w14:textId="01463399" w:rsidR="00252D6E" w:rsidRPr="0072305B" w:rsidRDefault="00326220" w:rsidP="0072305B">
    <w:pPr>
      <w:pStyle w:val="Footer"/>
      <w:jc w:val="center"/>
      <w:rPr>
        <w:rFonts w:ascii="Arial" w:hAnsi="Arial" w:cs="Arial"/>
        <w:i/>
        <w:sz w:val="20"/>
      </w:rPr>
    </w:pPr>
    <w:r>
      <w:rPr>
        <w:rFonts w:ascii="Arial" w:hAnsi="Arial" w:cs="Arial"/>
        <w:i/>
        <w:sz w:val="20"/>
      </w:rPr>
      <w:t>EU</w:t>
    </w:r>
    <w:r w:rsidR="009465B7">
      <w:rPr>
        <w:rFonts w:ascii="Arial" w:hAnsi="Arial" w:cs="Arial"/>
        <w:i/>
        <w:sz w:val="20"/>
      </w:rPr>
      <w:t xml:space="preserve"> </w:t>
    </w:r>
    <w:r w:rsidR="0072305B">
      <w:rPr>
        <w:rFonts w:ascii="Arial" w:hAnsi="Arial" w:cs="Arial"/>
        <w:i/>
        <w:sz w:val="20"/>
      </w:rPr>
      <w:t xml:space="preserve">Workshop on the PEFA Framework, </w:t>
    </w:r>
    <w:r w:rsidR="002F3635">
      <w:rPr>
        <w:rFonts w:ascii="Arial" w:hAnsi="Arial" w:cs="Arial"/>
        <w:i/>
        <w:sz w:val="20"/>
      </w:rPr>
      <w:t>March</w:t>
    </w:r>
    <w:r w:rsidR="0072305B">
      <w:rPr>
        <w:rFonts w:ascii="Arial" w:hAnsi="Arial" w:cs="Arial"/>
        <w:i/>
        <w:sz w:val="20"/>
      </w:rPr>
      <w:t xml:space="preserve"> 201</w:t>
    </w:r>
    <w:r>
      <w:rPr>
        <w:rFonts w:ascii="Arial" w:hAnsi="Arial" w:cs="Arial"/>
        <w:i/>
        <w:sz w:val="20"/>
      </w:rPr>
      <w:t>6</w:t>
    </w:r>
    <w:r w:rsidR="0072305B">
      <w:rPr>
        <w:rFonts w:ascii="Arial" w:hAnsi="Arial" w:cs="Arial"/>
        <w:i/>
        <w:sz w:val="20"/>
      </w:rPr>
      <w:t xml:space="preserve">: Session </w:t>
    </w:r>
    <w:r w:rsidR="00264C16">
      <w:rPr>
        <w:rFonts w:ascii="Arial" w:hAnsi="Arial" w:cs="Arial"/>
        <w:i/>
        <w:sz w:val="20"/>
      </w:rPr>
      <w:t>2 Case studies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0D80E" w14:textId="77777777" w:rsidR="00FE2818" w:rsidRDefault="00FE2818">
      <w:r>
        <w:separator/>
      </w:r>
    </w:p>
  </w:footnote>
  <w:footnote w:type="continuationSeparator" w:id="0">
    <w:p w14:paraId="3DCFF0B7" w14:textId="77777777" w:rsidR="00FE2818" w:rsidRDefault="00FE2818">
      <w:r>
        <w:continuationSeparator/>
      </w:r>
    </w:p>
  </w:footnote>
  <w:footnote w:id="1">
    <w:p w14:paraId="4AA95D28" w14:textId="16C2CC14" w:rsidR="003A4C30" w:rsidRPr="003A4C30" w:rsidRDefault="003A4C30" w:rsidP="003A4C30">
      <w:pPr>
        <w:pStyle w:val="FootnoteText"/>
        <w:rPr>
          <w:lang w:val="en-GB"/>
        </w:rPr>
      </w:pPr>
      <w:r w:rsidRPr="003A4C30">
        <w:rPr>
          <w:rStyle w:val="FootnoteReference"/>
        </w:rPr>
        <w:footnoteRef/>
      </w:r>
      <w:r w:rsidRPr="003A4C30">
        <w:t xml:space="preserve"> </w:t>
      </w:r>
      <w:r w:rsidRPr="003A4C30">
        <w:rPr>
          <w:lang w:val="en-GB"/>
        </w:rPr>
        <w:t>For the purposes of this case, it can be assumed that the budget documentation me</w:t>
      </w:r>
      <w:r w:rsidR="0082319B">
        <w:rPr>
          <w:lang w:val="en-GB"/>
        </w:rPr>
        <w:t>ets all the requirements of PI-5</w:t>
      </w:r>
      <w:r w:rsidRPr="003A4C30">
        <w:rPr>
          <w:lang w:val="en-GB"/>
        </w:rPr>
        <w:t>.</w:t>
      </w:r>
    </w:p>
  </w:footnote>
  <w:footnote w:id="2">
    <w:p w14:paraId="1FCE2C43" w14:textId="14BB70B8" w:rsidR="00777E3A" w:rsidRPr="00316831" w:rsidRDefault="00777E3A" w:rsidP="00777E3A">
      <w:pPr>
        <w:pStyle w:val="FootnoteText"/>
        <w:jc w:val="both"/>
      </w:pPr>
      <w:r w:rsidRPr="00316831">
        <w:rPr>
          <w:rStyle w:val="FootnoteReference"/>
        </w:rPr>
        <w:footnoteRef/>
      </w:r>
      <w:r w:rsidRPr="00316831">
        <w:t xml:space="preserve"> </w:t>
      </w:r>
      <w:r w:rsidRPr="005D472D">
        <w:t>There are 20 AGAs who report to the MOF and to their respective ministry (from which they receive a subsidy included in the ministry’s budget). Their financial operations are not included in the ministry’s budget and there is no consolidated data on their revenue and expenditure. As a result there are no financial data on C</w:t>
      </w:r>
      <w:r w:rsidR="002F7CC7">
        <w:t>entral Government operations</w:t>
      </w:r>
      <w:r w:rsidRPr="005D472D">
        <w:t>.</w:t>
      </w:r>
      <w:r>
        <w:t xml:space="preserve">   </w:t>
      </w:r>
      <w:r w:rsidRPr="00316831">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17F21512"/>
    <w:lvl w:ilvl="0">
      <w:start w:val="1"/>
      <w:numFmt w:val="bullet"/>
      <w:pStyle w:val="ListBullet4"/>
      <w:lvlText w:val=""/>
      <w:lvlJc w:val="left"/>
      <w:pPr>
        <w:tabs>
          <w:tab w:val="num" w:pos="1080"/>
        </w:tabs>
        <w:ind w:left="1080" w:hanging="360"/>
      </w:pPr>
      <w:rPr>
        <w:rFonts w:ascii="Symbol" w:hAnsi="Symbol" w:hint="default"/>
      </w:rPr>
    </w:lvl>
  </w:abstractNum>
  <w:abstractNum w:abstractNumId="1">
    <w:nsid w:val="FFFFFF88"/>
    <w:multiLevelType w:val="singleLevel"/>
    <w:tmpl w:val="4C028088"/>
    <w:lvl w:ilvl="0">
      <w:start w:val="1"/>
      <w:numFmt w:val="decimal"/>
      <w:pStyle w:val="ListNumber"/>
      <w:lvlText w:val="%1."/>
      <w:lvlJc w:val="left"/>
      <w:pPr>
        <w:tabs>
          <w:tab w:val="num" w:pos="360"/>
        </w:tabs>
        <w:ind w:left="360" w:hanging="360"/>
      </w:pPr>
      <w:rPr>
        <w:rFonts w:hint="default"/>
        <w:b w:val="0"/>
        <w:i w:val="0"/>
      </w:rPr>
    </w:lvl>
  </w:abstractNum>
  <w:abstractNum w:abstractNumId="2">
    <w:nsid w:val="04264444"/>
    <w:multiLevelType w:val="hybridMultilevel"/>
    <w:tmpl w:val="756C20E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A785AA3"/>
    <w:multiLevelType w:val="hybridMultilevel"/>
    <w:tmpl w:val="D47E66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4105CA9"/>
    <w:multiLevelType w:val="hybridMultilevel"/>
    <w:tmpl w:val="3A88CC42"/>
    <w:lvl w:ilvl="0" w:tplc="DB70E92E">
      <w:start w:val="1"/>
      <w:numFmt w:val="decimal"/>
      <w:pStyle w:val="ParagraphNumbering"/>
      <w:lvlText w:val="%1.     "/>
      <w:lvlJc w:val="left"/>
      <w:pPr>
        <w:tabs>
          <w:tab w:val="num" w:pos="900"/>
        </w:tabs>
        <w:ind w:left="180" w:firstLine="0"/>
      </w:pPr>
      <w:rPr>
        <w:rFonts w:ascii="Times New Roman" w:hAnsi="Times New Roman" w:cs="Times New Roman" w:hint="default"/>
        <w:b w:val="0"/>
        <w:i w:val="0"/>
        <w:sz w:val="24"/>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340"/>
        </w:tabs>
        <w:ind w:left="2340" w:hanging="360"/>
      </w:pPr>
      <w:rPr>
        <w:rFonts w:ascii="Wingdings" w:hAnsi="Wingding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5B11F8E"/>
    <w:multiLevelType w:val="hybridMultilevel"/>
    <w:tmpl w:val="CF98B0F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6A53849"/>
    <w:multiLevelType w:val="hybridMultilevel"/>
    <w:tmpl w:val="0382F8DE"/>
    <w:lvl w:ilvl="0" w:tplc="FC866694">
      <w:start w:val="1"/>
      <w:numFmt w:val="decimal"/>
      <w:pStyle w:val="Body"/>
      <w:lvlText w:val="%1."/>
      <w:lvlJc w:val="left"/>
      <w:pPr>
        <w:tabs>
          <w:tab w:val="num" w:pos="900"/>
        </w:tabs>
        <w:ind w:left="54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6A36DB"/>
    <w:multiLevelType w:val="multilevel"/>
    <w:tmpl w:val="9AEA8F1E"/>
    <w:lvl w:ilvl="0">
      <w:start w:val="2"/>
      <w:numFmt w:val="decimal"/>
      <w:lvlText w:val="%1."/>
      <w:lvlJc w:val="left"/>
      <w:pPr>
        <w:tabs>
          <w:tab w:val="num" w:pos="432"/>
        </w:tabs>
        <w:ind w:left="0" w:firstLine="0"/>
      </w:pPr>
      <w:rPr>
        <w:rFonts w:ascii="Times New Roman" w:eastAsia="Times New Roman" w:hAnsi="Times New Roman" w:cs="Times New Roman"/>
      </w:rPr>
    </w:lvl>
    <w:lvl w:ilvl="1">
      <w:start w:val="1"/>
      <w:numFmt w:val="decimal"/>
      <w:lvlText w:val="%2."/>
      <w:lvlJc w:val="left"/>
      <w:pPr>
        <w:tabs>
          <w:tab w:val="num" w:pos="576"/>
        </w:tabs>
        <w:ind w:left="0" w:firstLine="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83075E3"/>
    <w:multiLevelType w:val="hybridMultilevel"/>
    <w:tmpl w:val="130E6580"/>
    <w:lvl w:ilvl="0" w:tplc="712ABE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11D14"/>
    <w:multiLevelType w:val="hybridMultilevel"/>
    <w:tmpl w:val="03EE0CB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A360A7A"/>
    <w:multiLevelType w:val="hybridMultilevel"/>
    <w:tmpl w:val="2990D958"/>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17B67A4"/>
    <w:multiLevelType w:val="hybridMultilevel"/>
    <w:tmpl w:val="D92ABA40"/>
    <w:lvl w:ilvl="0" w:tplc="4D6CC01E">
      <w:start w:val="1"/>
      <w:numFmt w:val="lowerRoman"/>
      <w:lvlText w:val="(%1)"/>
      <w:lvlJc w:val="left"/>
      <w:pPr>
        <w:tabs>
          <w:tab w:val="num" w:pos="1080"/>
        </w:tabs>
        <w:ind w:left="1080" w:hanging="720"/>
      </w:pPr>
      <w:rPr>
        <w:rFonts w:hint="default"/>
      </w:rPr>
    </w:lvl>
    <w:lvl w:ilvl="1" w:tplc="3D8EC398">
      <w:start w:val="1"/>
      <w:numFmt w:val="bullet"/>
      <w:lvlText w:val=""/>
      <w:lvlJc w:val="left"/>
      <w:pPr>
        <w:tabs>
          <w:tab w:val="num" w:pos="1440"/>
        </w:tabs>
        <w:ind w:left="1420"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BA6BD7"/>
    <w:multiLevelType w:val="hybridMultilevel"/>
    <w:tmpl w:val="FC0850F4"/>
    <w:lvl w:ilvl="0" w:tplc="1FCC55FE">
      <w:start w:val="1"/>
      <w:numFmt w:val="decimal"/>
      <w:lvlText w:val="%1."/>
      <w:lvlJc w:val="left"/>
      <w:pPr>
        <w:tabs>
          <w:tab w:val="num" w:pos="2880"/>
        </w:tabs>
        <w:ind w:left="2880" w:hanging="360"/>
      </w:pPr>
      <w:rPr>
        <w:rFonts w:hint="default"/>
        <w:sz w:val="24"/>
        <w:szCs w:val="24"/>
      </w:rPr>
    </w:lvl>
    <w:lvl w:ilvl="1" w:tplc="55307CBA">
      <w:start w:val="1"/>
      <w:numFmt w:val="bullet"/>
      <w:lvlText w:val=""/>
      <w:lvlJc w:val="left"/>
      <w:pPr>
        <w:tabs>
          <w:tab w:val="num" w:pos="1440"/>
        </w:tabs>
        <w:ind w:left="1440" w:hanging="360"/>
      </w:pPr>
      <w:rPr>
        <w:rFonts w:ascii="Symbol" w:hAnsi="Symbol" w:hint="default"/>
        <w:b w:val="0"/>
        <w:i w:val="0"/>
        <w:sz w:val="20"/>
        <w:szCs w:val="20"/>
      </w:rPr>
    </w:lvl>
    <w:lvl w:ilvl="2" w:tplc="21EEF53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615C31"/>
    <w:multiLevelType w:val="hybridMultilevel"/>
    <w:tmpl w:val="D47044A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01B1458"/>
    <w:multiLevelType w:val="hybridMultilevel"/>
    <w:tmpl w:val="20F224B6"/>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17E366D"/>
    <w:multiLevelType w:val="hybridMultilevel"/>
    <w:tmpl w:val="CD0E49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B3F6BA9"/>
    <w:multiLevelType w:val="hybridMultilevel"/>
    <w:tmpl w:val="756C20E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50C02AB0"/>
    <w:multiLevelType w:val="hybridMultilevel"/>
    <w:tmpl w:val="B33C9EA4"/>
    <w:lvl w:ilvl="0" w:tplc="04CEABF4">
      <w:start w:val="1"/>
      <w:numFmt w:val="bullet"/>
      <w:lvlText w:val=""/>
      <w:lvlJc w:val="left"/>
      <w:pPr>
        <w:tabs>
          <w:tab w:val="num" w:pos="720"/>
        </w:tabs>
        <w:ind w:left="720" w:hanging="360"/>
      </w:pPr>
      <w:rPr>
        <w:rFonts w:ascii="Symbol" w:hAnsi="Symbol" w:hint="default"/>
      </w:rPr>
    </w:lvl>
    <w:lvl w:ilvl="1" w:tplc="43E04B4C" w:tentative="1">
      <w:start w:val="1"/>
      <w:numFmt w:val="bullet"/>
      <w:lvlText w:val="o"/>
      <w:lvlJc w:val="left"/>
      <w:pPr>
        <w:tabs>
          <w:tab w:val="num" w:pos="1440"/>
        </w:tabs>
        <w:ind w:left="1440" w:hanging="360"/>
      </w:pPr>
      <w:rPr>
        <w:rFonts w:ascii="Courier New" w:hAnsi="Courier New" w:cs="Courier New" w:hint="default"/>
      </w:rPr>
    </w:lvl>
    <w:lvl w:ilvl="2" w:tplc="163A10D0" w:tentative="1">
      <w:start w:val="1"/>
      <w:numFmt w:val="bullet"/>
      <w:lvlText w:val=""/>
      <w:lvlJc w:val="left"/>
      <w:pPr>
        <w:tabs>
          <w:tab w:val="num" w:pos="2160"/>
        </w:tabs>
        <w:ind w:left="2160" w:hanging="360"/>
      </w:pPr>
      <w:rPr>
        <w:rFonts w:ascii="Wingdings" w:hAnsi="Wingdings" w:hint="default"/>
      </w:rPr>
    </w:lvl>
    <w:lvl w:ilvl="3" w:tplc="6310F040" w:tentative="1">
      <w:start w:val="1"/>
      <w:numFmt w:val="bullet"/>
      <w:lvlText w:val=""/>
      <w:lvlJc w:val="left"/>
      <w:pPr>
        <w:tabs>
          <w:tab w:val="num" w:pos="2880"/>
        </w:tabs>
        <w:ind w:left="2880" w:hanging="360"/>
      </w:pPr>
      <w:rPr>
        <w:rFonts w:ascii="Symbol" w:hAnsi="Symbol" w:hint="default"/>
      </w:rPr>
    </w:lvl>
    <w:lvl w:ilvl="4" w:tplc="60AE65B6" w:tentative="1">
      <w:start w:val="1"/>
      <w:numFmt w:val="bullet"/>
      <w:lvlText w:val="o"/>
      <w:lvlJc w:val="left"/>
      <w:pPr>
        <w:tabs>
          <w:tab w:val="num" w:pos="3600"/>
        </w:tabs>
        <w:ind w:left="3600" w:hanging="360"/>
      </w:pPr>
      <w:rPr>
        <w:rFonts w:ascii="Courier New" w:hAnsi="Courier New" w:cs="Courier New" w:hint="default"/>
      </w:rPr>
    </w:lvl>
    <w:lvl w:ilvl="5" w:tplc="7618EA78" w:tentative="1">
      <w:start w:val="1"/>
      <w:numFmt w:val="bullet"/>
      <w:lvlText w:val=""/>
      <w:lvlJc w:val="left"/>
      <w:pPr>
        <w:tabs>
          <w:tab w:val="num" w:pos="4320"/>
        </w:tabs>
        <w:ind w:left="4320" w:hanging="360"/>
      </w:pPr>
      <w:rPr>
        <w:rFonts w:ascii="Wingdings" w:hAnsi="Wingdings" w:hint="default"/>
      </w:rPr>
    </w:lvl>
    <w:lvl w:ilvl="6" w:tplc="94DE7FCA" w:tentative="1">
      <w:start w:val="1"/>
      <w:numFmt w:val="bullet"/>
      <w:lvlText w:val=""/>
      <w:lvlJc w:val="left"/>
      <w:pPr>
        <w:tabs>
          <w:tab w:val="num" w:pos="5040"/>
        </w:tabs>
        <w:ind w:left="5040" w:hanging="360"/>
      </w:pPr>
      <w:rPr>
        <w:rFonts w:ascii="Symbol" w:hAnsi="Symbol" w:hint="default"/>
      </w:rPr>
    </w:lvl>
    <w:lvl w:ilvl="7" w:tplc="F27AF372" w:tentative="1">
      <w:start w:val="1"/>
      <w:numFmt w:val="bullet"/>
      <w:lvlText w:val="o"/>
      <w:lvlJc w:val="left"/>
      <w:pPr>
        <w:tabs>
          <w:tab w:val="num" w:pos="5760"/>
        </w:tabs>
        <w:ind w:left="5760" w:hanging="360"/>
      </w:pPr>
      <w:rPr>
        <w:rFonts w:ascii="Courier New" w:hAnsi="Courier New" w:cs="Courier New" w:hint="default"/>
      </w:rPr>
    </w:lvl>
    <w:lvl w:ilvl="8" w:tplc="26F04338" w:tentative="1">
      <w:start w:val="1"/>
      <w:numFmt w:val="bullet"/>
      <w:lvlText w:val=""/>
      <w:lvlJc w:val="left"/>
      <w:pPr>
        <w:tabs>
          <w:tab w:val="num" w:pos="6480"/>
        </w:tabs>
        <w:ind w:left="6480" w:hanging="360"/>
      </w:pPr>
      <w:rPr>
        <w:rFonts w:ascii="Wingdings" w:hAnsi="Wingdings" w:hint="default"/>
      </w:rPr>
    </w:lvl>
  </w:abstractNum>
  <w:abstractNum w:abstractNumId="18">
    <w:nsid w:val="529D19CE"/>
    <w:multiLevelType w:val="hybridMultilevel"/>
    <w:tmpl w:val="2788D7E6"/>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2CA4349"/>
    <w:multiLevelType w:val="hybridMultilevel"/>
    <w:tmpl w:val="E272F1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57564143"/>
    <w:multiLevelType w:val="multilevel"/>
    <w:tmpl w:val="B7D0340E"/>
    <w:lvl w:ilvl="0">
      <w:start w:val="7"/>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D9D1D17"/>
    <w:multiLevelType w:val="hybridMultilevel"/>
    <w:tmpl w:val="DC98371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63934BA8"/>
    <w:multiLevelType w:val="hybridMultilevel"/>
    <w:tmpl w:val="BF9675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657046FB"/>
    <w:multiLevelType w:val="hybridMultilevel"/>
    <w:tmpl w:val="135CF05A"/>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6D1A481A"/>
    <w:multiLevelType w:val="hybridMultilevel"/>
    <w:tmpl w:val="8488D2B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724F183A"/>
    <w:multiLevelType w:val="hybridMultilevel"/>
    <w:tmpl w:val="7F1CD054"/>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6E1587D"/>
    <w:multiLevelType w:val="hybridMultilevel"/>
    <w:tmpl w:val="E1B0B7B4"/>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77C1769C"/>
    <w:multiLevelType w:val="hybridMultilevel"/>
    <w:tmpl w:val="71DC6F1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781E73EA"/>
    <w:multiLevelType w:val="hybridMultilevel"/>
    <w:tmpl w:val="DCD2F206"/>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785109E7"/>
    <w:multiLevelType w:val="hybridMultilevel"/>
    <w:tmpl w:val="99CA898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7BC21185"/>
    <w:multiLevelType w:val="hybridMultilevel"/>
    <w:tmpl w:val="8EEC7BCA"/>
    <w:lvl w:ilvl="0" w:tplc="D1E4ABDC">
      <w:start w:val="1"/>
      <w:numFmt w:val="lowerLetter"/>
      <w:lvlText w:val="%1."/>
      <w:lvlJc w:val="left"/>
      <w:pPr>
        <w:tabs>
          <w:tab w:val="num" w:pos="1080"/>
        </w:tabs>
        <w:ind w:left="1080" w:hanging="720"/>
      </w:pPr>
      <w:rPr>
        <w:rFonts w:hint="default"/>
      </w:rPr>
    </w:lvl>
    <w:lvl w:ilvl="1" w:tplc="98D82DA8" w:tentative="1">
      <w:start w:val="1"/>
      <w:numFmt w:val="lowerLetter"/>
      <w:lvlText w:val="%2."/>
      <w:lvlJc w:val="left"/>
      <w:pPr>
        <w:tabs>
          <w:tab w:val="num" w:pos="1440"/>
        </w:tabs>
        <w:ind w:left="1440" w:hanging="360"/>
      </w:pPr>
    </w:lvl>
    <w:lvl w:ilvl="2" w:tplc="D0CA54B2" w:tentative="1">
      <w:start w:val="1"/>
      <w:numFmt w:val="lowerRoman"/>
      <w:lvlText w:val="%3."/>
      <w:lvlJc w:val="right"/>
      <w:pPr>
        <w:tabs>
          <w:tab w:val="num" w:pos="2160"/>
        </w:tabs>
        <w:ind w:left="2160" w:hanging="180"/>
      </w:pPr>
    </w:lvl>
    <w:lvl w:ilvl="3" w:tplc="A4D8950E" w:tentative="1">
      <w:start w:val="1"/>
      <w:numFmt w:val="decimal"/>
      <w:lvlText w:val="%4."/>
      <w:lvlJc w:val="left"/>
      <w:pPr>
        <w:tabs>
          <w:tab w:val="num" w:pos="2880"/>
        </w:tabs>
        <w:ind w:left="2880" w:hanging="360"/>
      </w:pPr>
    </w:lvl>
    <w:lvl w:ilvl="4" w:tplc="E63877F8" w:tentative="1">
      <w:start w:val="1"/>
      <w:numFmt w:val="lowerLetter"/>
      <w:lvlText w:val="%5."/>
      <w:lvlJc w:val="left"/>
      <w:pPr>
        <w:tabs>
          <w:tab w:val="num" w:pos="3600"/>
        </w:tabs>
        <w:ind w:left="3600" w:hanging="360"/>
      </w:pPr>
    </w:lvl>
    <w:lvl w:ilvl="5" w:tplc="03A89582" w:tentative="1">
      <w:start w:val="1"/>
      <w:numFmt w:val="lowerRoman"/>
      <w:lvlText w:val="%6."/>
      <w:lvlJc w:val="right"/>
      <w:pPr>
        <w:tabs>
          <w:tab w:val="num" w:pos="4320"/>
        </w:tabs>
        <w:ind w:left="4320" w:hanging="180"/>
      </w:pPr>
    </w:lvl>
    <w:lvl w:ilvl="6" w:tplc="2F6EFF0A" w:tentative="1">
      <w:start w:val="1"/>
      <w:numFmt w:val="decimal"/>
      <w:lvlText w:val="%7."/>
      <w:lvlJc w:val="left"/>
      <w:pPr>
        <w:tabs>
          <w:tab w:val="num" w:pos="5040"/>
        </w:tabs>
        <w:ind w:left="5040" w:hanging="360"/>
      </w:pPr>
    </w:lvl>
    <w:lvl w:ilvl="7" w:tplc="EF448F5C" w:tentative="1">
      <w:start w:val="1"/>
      <w:numFmt w:val="lowerLetter"/>
      <w:lvlText w:val="%8."/>
      <w:lvlJc w:val="left"/>
      <w:pPr>
        <w:tabs>
          <w:tab w:val="num" w:pos="5760"/>
        </w:tabs>
        <w:ind w:left="5760" w:hanging="360"/>
      </w:pPr>
    </w:lvl>
    <w:lvl w:ilvl="8" w:tplc="59046C1C" w:tentative="1">
      <w:start w:val="1"/>
      <w:numFmt w:val="lowerRoman"/>
      <w:lvlText w:val="%9."/>
      <w:lvlJc w:val="right"/>
      <w:pPr>
        <w:tabs>
          <w:tab w:val="num" w:pos="6480"/>
        </w:tabs>
        <w:ind w:left="6480" w:hanging="180"/>
      </w:pPr>
    </w:lvl>
  </w:abstractNum>
  <w:abstractNum w:abstractNumId="31">
    <w:nsid w:val="7C8F5605"/>
    <w:multiLevelType w:val="hybridMultilevel"/>
    <w:tmpl w:val="20DC203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7FE30505"/>
    <w:multiLevelType w:val="hybridMultilevel"/>
    <w:tmpl w:val="41F49316"/>
    <w:lvl w:ilvl="0" w:tplc="F28CA07E">
      <w:start w:val="1"/>
      <w:numFmt w:val="bullet"/>
      <w:pStyle w:val="Bullet"/>
      <w:lvlText w:val=""/>
      <w:lvlJc w:val="left"/>
      <w:pPr>
        <w:tabs>
          <w:tab w:val="num" w:pos="432"/>
        </w:tabs>
        <w:ind w:left="432" w:hanging="432"/>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32"/>
  </w:num>
  <w:num w:numId="4">
    <w:abstractNumId w:val="20"/>
  </w:num>
  <w:num w:numId="5">
    <w:abstractNumId w:val="4"/>
  </w:num>
  <w:num w:numId="6">
    <w:abstractNumId w:val="0"/>
  </w:num>
  <w:num w:numId="7">
    <w:abstractNumId w:val="3"/>
  </w:num>
  <w:num w:numId="8">
    <w:abstractNumId w:val="30"/>
  </w:num>
  <w:num w:numId="9">
    <w:abstractNumId w:val="17"/>
  </w:num>
  <w:num w:numId="10">
    <w:abstractNumId w:val="7"/>
  </w:num>
  <w:num w:numId="11">
    <w:abstractNumId w:val="1"/>
  </w:num>
  <w:num w:numId="12">
    <w:abstractNumId w:val="12"/>
  </w:num>
  <w:num w:numId="13">
    <w:abstractNumId w:val="26"/>
  </w:num>
  <w:num w:numId="14">
    <w:abstractNumId w:val="28"/>
  </w:num>
  <w:num w:numId="15">
    <w:abstractNumId w:val="14"/>
  </w:num>
  <w:num w:numId="16">
    <w:abstractNumId w:val="25"/>
  </w:num>
  <w:num w:numId="17">
    <w:abstractNumId w:val="23"/>
  </w:num>
  <w:num w:numId="18">
    <w:abstractNumId w:val="9"/>
  </w:num>
  <w:num w:numId="19">
    <w:abstractNumId w:val="18"/>
  </w:num>
  <w:num w:numId="20">
    <w:abstractNumId w:val="10"/>
  </w:num>
  <w:num w:numId="21">
    <w:abstractNumId w:val="15"/>
  </w:num>
  <w:num w:numId="22">
    <w:abstractNumId w:val="22"/>
  </w:num>
  <w:num w:numId="23">
    <w:abstractNumId w:val="19"/>
  </w:num>
  <w:num w:numId="24">
    <w:abstractNumId w:val="31"/>
  </w:num>
  <w:num w:numId="25">
    <w:abstractNumId w:val="13"/>
  </w:num>
  <w:num w:numId="26">
    <w:abstractNumId w:val="27"/>
  </w:num>
  <w:num w:numId="27">
    <w:abstractNumId w:val="24"/>
  </w:num>
  <w:num w:numId="28">
    <w:abstractNumId w:val="21"/>
  </w:num>
  <w:num w:numId="29">
    <w:abstractNumId w:val="29"/>
  </w:num>
  <w:num w:numId="30">
    <w:abstractNumId w:val="16"/>
  </w:num>
  <w:num w:numId="31">
    <w:abstractNumId w:val="5"/>
  </w:num>
  <w:num w:numId="32">
    <w:abstractNumId w:val="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FB"/>
    <w:rsid w:val="00005415"/>
    <w:rsid w:val="0005486E"/>
    <w:rsid w:val="00060A39"/>
    <w:rsid w:val="0006571A"/>
    <w:rsid w:val="00071B90"/>
    <w:rsid w:val="00076C19"/>
    <w:rsid w:val="00082C89"/>
    <w:rsid w:val="000C5428"/>
    <w:rsid w:val="000C6C18"/>
    <w:rsid w:val="000D52DE"/>
    <w:rsid w:val="000D77C1"/>
    <w:rsid w:val="00133E83"/>
    <w:rsid w:val="001626EC"/>
    <w:rsid w:val="00173F5B"/>
    <w:rsid w:val="001963A5"/>
    <w:rsid w:val="001A6206"/>
    <w:rsid w:val="001B009E"/>
    <w:rsid w:val="001C6CD6"/>
    <w:rsid w:val="001D556E"/>
    <w:rsid w:val="001E56A4"/>
    <w:rsid w:val="001E7CE0"/>
    <w:rsid w:val="00202F36"/>
    <w:rsid w:val="0021699E"/>
    <w:rsid w:val="00232D56"/>
    <w:rsid w:val="00252D6E"/>
    <w:rsid w:val="002534E9"/>
    <w:rsid w:val="00264C16"/>
    <w:rsid w:val="002730C7"/>
    <w:rsid w:val="0027665D"/>
    <w:rsid w:val="00297CFD"/>
    <w:rsid w:val="002A5481"/>
    <w:rsid w:val="002A6515"/>
    <w:rsid w:val="002C323D"/>
    <w:rsid w:val="002F3635"/>
    <w:rsid w:val="002F7CC7"/>
    <w:rsid w:val="00304B07"/>
    <w:rsid w:val="00324A73"/>
    <w:rsid w:val="00326220"/>
    <w:rsid w:val="00331B94"/>
    <w:rsid w:val="00333E7E"/>
    <w:rsid w:val="00343B84"/>
    <w:rsid w:val="00356144"/>
    <w:rsid w:val="00360396"/>
    <w:rsid w:val="00371141"/>
    <w:rsid w:val="00371AB0"/>
    <w:rsid w:val="0038145B"/>
    <w:rsid w:val="003A17B7"/>
    <w:rsid w:val="003A3370"/>
    <w:rsid w:val="003A4086"/>
    <w:rsid w:val="003A4C30"/>
    <w:rsid w:val="003B0F58"/>
    <w:rsid w:val="003B331C"/>
    <w:rsid w:val="003B3D7B"/>
    <w:rsid w:val="003B578C"/>
    <w:rsid w:val="003B60B7"/>
    <w:rsid w:val="003C4F49"/>
    <w:rsid w:val="003D1052"/>
    <w:rsid w:val="003D7FEB"/>
    <w:rsid w:val="004122A2"/>
    <w:rsid w:val="00435182"/>
    <w:rsid w:val="004510A8"/>
    <w:rsid w:val="00465424"/>
    <w:rsid w:val="00477006"/>
    <w:rsid w:val="004816BB"/>
    <w:rsid w:val="00482D0C"/>
    <w:rsid w:val="0048558D"/>
    <w:rsid w:val="00493B9E"/>
    <w:rsid w:val="00496E60"/>
    <w:rsid w:val="004A2B59"/>
    <w:rsid w:val="004D357E"/>
    <w:rsid w:val="004E0D36"/>
    <w:rsid w:val="004F1AB3"/>
    <w:rsid w:val="004F5113"/>
    <w:rsid w:val="0051331E"/>
    <w:rsid w:val="00527485"/>
    <w:rsid w:val="00545C0F"/>
    <w:rsid w:val="00555F7C"/>
    <w:rsid w:val="005915B6"/>
    <w:rsid w:val="005B04A1"/>
    <w:rsid w:val="005C04AF"/>
    <w:rsid w:val="005F6581"/>
    <w:rsid w:val="006121FC"/>
    <w:rsid w:val="00624AB9"/>
    <w:rsid w:val="00633A8E"/>
    <w:rsid w:val="00637EB8"/>
    <w:rsid w:val="00645AA4"/>
    <w:rsid w:val="00653D2E"/>
    <w:rsid w:val="006551FB"/>
    <w:rsid w:val="00657BE7"/>
    <w:rsid w:val="006613E0"/>
    <w:rsid w:val="0067270E"/>
    <w:rsid w:val="006826A2"/>
    <w:rsid w:val="006B633A"/>
    <w:rsid w:val="006F1ED5"/>
    <w:rsid w:val="0072305B"/>
    <w:rsid w:val="00724DA4"/>
    <w:rsid w:val="00751580"/>
    <w:rsid w:val="007528E3"/>
    <w:rsid w:val="00755F25"/>
    <w:rsid w:val="007649DB"/>
    <w:rsid w:val="00773A72"/>
    <w:rsid w:val="00777E3A"/>
    <w:rsid w:val="00780B97"/>
    <w:rsid w:val="00785C84"/>
    <w:rsid w:val="007A00C4"/>
    <w:rsid w:val="007B4501"/>
    <w:rsid w:val="007C224F"/>
    <w:rsid w:val="007C65E1"/>
    <w:rsid w:val="007E0925"/>
    <w:rsid w:val="007F35E8"/>
    <w:rsid w:val="0082319B"/>
    <w:rsid w:val="0082425D"/>
    <w:rsid w:val="008602B5"/>
    <w:rsid w:val="00880160"/>
    <w:rsid w:val="008804FF"/>
    <w:rsid w:val="008A7E65"/>
    <w:rsid w:val="008D2B31"/>
    <w:rsid w:val="00901A94"/>
    <w:rsid w:val="009150CD"/>
    <w:rsid w:val="00922D25"/>
    <w:rsid w:val="009465B7"/>
    <w:rsid w:val="00961561"/>
    <w:rsid w:val="00997A52"/>
    <w:rsid w:val="009C712A"/>
    <w:rsid w:val="009D21B2"/>
    <w:rsid w:val="009D4289"/>
    <w:rsid w:val="009E335A"/>
    <w:rsid w:val="009E735E"/>
    <w:rsid w:val="00A04BFF"/>
    <w:rsid w:val="00A23B7E"/>
    <w:rsid w:val="00A42DEE"/>
    <w:rsid w:val="00A444B7"/>
    <w:rsid w:val="00A63CCD"/>
    <w:rsid w:val="00A901C3"/>
    <w:rsid w:val="00AB220E"/>
    <w:rsid w:val="00AD3D64"/>
    <w:rsid w:val="00AE4522"/>
    <w:rsid w:val="00B3626D"/>
    <w:rsid w:val="00B42DB2"/>
    <w:rsid w:val="00B510DA"/>
    <w:rsid w:val="00B62B84"/>
    <w:rsid w:val="00B6590C"/>
    <w:rsid w:val="00B676C3"/>
    <w:rsid w:val="00B71DBB"/>
    <w:rsid w:val="00B85D10"/>
    <w:rsid w:val="00B92167"/>
    <w:rsid w:val="00B9470E"/>
    <w:rsid w:val="00BA69E3"/>
    <w:rsid w:val="00BC144A"/>
    <w:rsid w:val="00BD2258"/>
    <w:rsid w:val="00BF50F7"/>
    <w:rsid w:val="00C1699D"/>
    <w:rsid w:val="00C32EC1"/>
    <w:rsid w:val="00C449E9"/>
    <w:rsid w:val="00C522D1"/>
    <w:rsid w:val="00C74F38"/>
    <w:rsid w:val="00C96EFB"/>
    <w:rsid w:val="00CA6DA5"/>
    <w:rsid w:val="00CD2362"/>
    <w:rsid w:val="00CF250A"/>
    <w:rsid w:val="00D05CC8"/>
    <w:rsid w:val="00D1150D"/>
    <w:rsid w:val="00D31948"/>
    <w:rsid w:val="00D47111"/>
    <w:rsid w:val="00D614BD"/>
    <w:rsid w:val="00D649BD"/>
    <w:rsid w:val="00D9160F"/>
    <w:rsid w:val="00DB0700"/>
    <w:rsid w:val="00DB4764"/>
    <w:rsid w:val="00DB4CA1"/>
    <w:rsid w:val="00DC1C5F"/>
    <w:rsid w:val="00DC66AE"/>
    <w:rsid w:val="00DE3F77"/>
    <w:rsid w:val="00E46F94"/>
    <w:rsid w:val="00E6148D"/>
    <w:rsid w:val="00E84765"/>
    <w:rsid w:val="00E949E4"/>
    <w:rsid w:val="00EB34EF"/>
    <w:rsid w:val="00ED314C"/>
    <w:rsid w:val="00EF191B"/>
    <w:rsid w:val="00F0596E"/>
    <w:rsid w:val="00F4395B"/>
    <w:rsid w:val="00F56C12"/>
    <w:rsid w:val="00F57110"/>
    <w:rsid w:val="00F66888"/>
    <w:rsid w:val="00F86CAA"/>
    <w:rsid w:val="00FB78F0"/>
    <w:rsid w:val="00FC6971"/>
    <w:rsid w:val="00FC7700"/>
    <w:rsid w:val="00FD1A74"/>
    <w:rsid w:val="00FD66B7"/>
    <w:rsid w:val="00FE0ECB"/>
    <w:rsid w:val="00FE2818"/>
    <w:rsid w:val="00FE522F"/>
    <w:rsid w:val="00FE6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DA24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DB2"/>
    <w:rPr>
      <w:sz w:val="24"/>
      <w:szCs w:val="24"/>
    </w:rPr>
  </w:style>
  <w:style w:type="paragraph" w:styleId="Heading1">
    <w:name w:val="heading 1"/>
    <w:aliases w:val="(Text)"/>
    <w:basedOn w:val="Normal"/>
    <w:next w:val="Heading2"/>
    <w:qFormat/>
    <w:rsid w:val="0051331E"/>
    <w:pPr>
      <w:tabs>
        <w:tab w:val="num" w:pos="360"/>
      </w:tabs>
      <w:spacing w:before="360" w:after="120"/>
      <w:jc w:val="center"/>
      <w:outlineLvl w:val="0"/>
    </w:pPr>
    <w:rPr>
      <w:b/>
      <w:kern w:val="28"/>
      <w:sz w:val="28"/>
      <w:szCs w:val="20"/>
      <w:lang w:val="en-GB"/>
    </w:rPr>
  </w:style>
  <w:style w:type="paragraph" w:styleId="Heading2">
    <w:name w:val="heading 2"/>
    <w:aliases w:val="Text"/>
    <w:basedOn w:val="Normal"/>
    <w:next w:val="Normal"/>
    <w:qFormat/>
    <w:rsid w:val="00A444B7"/>
    <w:pPr>
      <w:keepNext/>
      <w:spacing w:before="240" w:after="60"/>
      <w:outlineLvl w:val="1"/>
    </w:pPr>
    <w:rPr>
      <w:rFonts w:ascii="Arial" w:hAnsi="Arial" w:cs="Arial"/>
      <w:b/>
      <w:bCs/>
      <w:i/>
      <w:iCs/>
      <w:sz w:val="28"/>
      <w:szCs w:val="28"/>
    </w:rPr>
  </w:style>
  <w:style w:type="paragraph" w:styleId="Heading3">
    <w:name w:val="heading 3"/>
    <w:aliases w:val="(text)"/>
    <w:basedOn w:val="Normal"/>
    <w:next w:val="Normal"/>
    <w:qFormat/>
    <w:rsid w:val="007A00C4"/>
    <w:pPr>
      <w:keepNext/>
      <w:autoSpaceDE w:val="0"/>
      <w:autoSpaceDN w:val="0"/>
      <w:adjustRightInd w:val="0"/>
      <w:ind w:right="-180"/>
      <w:jc w:val="center"/>
      <w:outlineLvl w:val="2"/>
    </w:pPr>
    <w:rPr>
      <w:b/>
      <w:bCs/>
      <w:sz w:val="32"/>
      <w:szCs w:val="26"/>
    </w:rPr>
  </w:style>
  <w:style w:type="paragraph" w:styleId="Heading4">
    <w:name w:val="heading 4"/>
    <w:basedOn w:val="Normal"/>
    <w:next w:val="Normal"/>
    <w:qFormat/>
    <w:rsid w:val="00997A52"/>
    <w:pPr>
      <w:keepNext/>
      <w:spacing w:before="240" w:after="60"/>
      <w:outlineLvl w:val="3"/>
    </w:pPr>
    <w:rPr>
      <w:b/>
      <w:bCs/>
      <w:sz w:val="28"/>
      <w:szCs w:val="28"/>
    </w:rPr>
  </w:style>
  <w:style w:type="paragraph" w:styleId="Heading5">
    <w:name w:val="heading 5"/>
    <w:aliases w:val="Boxes"/>
    <w:basedOn w:val="Normal"/>
    <w:next w:val="Normal"/>
    <w:qFormat/>
    <w:rsid w:val="0051331E"/>
    <w:pPr>
      <w:tabs>
        <w:tab w:val="num" w:pos="1008"/>
      </w:tabs>
      <w:spacing w:before="240" w:after="60"/>
      <w:ind w:left="1008" w:hanging="1008"/>
      <w:outlineLvl w:val="4"/>
    </w:pPr>
    <w:rPr>
      <w:sz w:val="22"/>
      <w:szCs w:val="20"/>
      <w:lang w:val="en-GB"/>
    </w:rPr>
  </w:style>
  <w:style w:type="paragraph" w:styleId="Heading6">
    <w:name w:val="heading 6"/>
    <w:basedOn w:val="Normal"/>
    <w:next w:val="Normal"/>
    <w:qFormat/>
    <w:rsid w:val="0051331E"/>
    <w:pPr>
      <w:tabs>
        <w:tab w:val="num" w:pos="1152"/>
      </w:tabs>
      <w:spacing w:before="240" w:after="60"/>
      <w:ind w:left="1152" w:hanging="1152"/>
      <w:outlineLvl w:val="5"/>
    </w:pPr>
    <w:rPr>
      <w:i/>
      <w:sz w:val="22"/>
      <w:szCs w:val="20"/>
      <w:lang w:val="en-GB"/>
    </w:rPr>
  </w:style>
  <w:style w:type="paragraph" w:styleId="Heading7">
    <w:name w:val="heading 7"/>
    <w:basedOn w:val="Normal"/>
    <w:next w:val="Normal"/>
    <w:qFormat/>
    <w:rsid w:val="0051331E"/>
    <w:pPr>
      <w:tabs>
        <w:tab w:val="num" w:pos="1296"/>
      </w:tabs>
      <w:spacing w:before="240" w:after="60"/>
      <w:ind w:left="1296" w:hanging="1296"/>
      <w:outlineLvl w:val="6"/>
    </w:pPr>
    <w:rPr>
      <w:rFonts w:ascii="Arial" w:hAnsi="Arial"/>
      <w:sz w:val="20"/>
      <w:szCs w:val="20"/>
      <w:lang w:val="en-GB"/>
    </w:rPr>
  </w:style>
  <w:style w:type="paragraph" w:styleId="Heading8">
    <w:name w:val="heading 8"/>
    <w:basedOn w:val="Normal"/>
    <w:next w:val="Normal"/>
    <w:qFormat/>
    <w:rsid w:val="0051331E"/>
    <w:pPr>
      <w:tabs>
        <w:tab w:val="num" w:pos="1440"/>
      </w:tabs>
      <w:spacing w:before="240" w:after="60"/>
      <w:ind w:left="1440" w:hanging="1440"/>
      <w:outlineLvl w:val="7"/>
    </w:pPr>
    <w:rPr>
      <w:rFonts w:ascii="Arial" w:hAnsi="Arial"/>
      <w:i/>
      <w:sz w:val="20"/>
      <w:szCs w:val="20"/>
      <w:lang w:val="en-GB"/>
    </w:rPr>
  </w:style>
  <w:style w:type="paragraph" w:styleId="Heading9">
    <w:name w:val="heading 9"/>
    <w:basedOn w:val="Normal"/>
    <w:next w:val="Normal"/>
    <w:qFormat/>
    <w:rsid w:val="0051331E"/>
    <w:pPr>
      <w:tabs>
        <w:tab w:val="num" w:pos="1584"/>
      </w:tabs>
      <w:spacing w:before="240" w:after="60"/>
      <w:ind w:left="1584" w:hanging="1584"/>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8">
    <w:name w:val="xl28"/>
    <w:basedOn w:val="Normal"/>
    <w:rsid w:val="006121FC"/>
    <w:pPr>
      <w:spacing w:before="100" w:beforeAutospacing="1" w:after="100" w:afterAutospacing="1"/>
    </w:pPr>
    <w:rPr>
      <w:rFonts w:ascii="Arial" w:eastAsia="Arial Unicode MS" w:hAnsi="Arial" w:cs="Arial"/>
      <w:b/>
      <w:bCs/>
    </w:rPr>
  </w:style>
  <w:style w:type="paragraph" w:customStyle="1" w:styleId="Body">
    <w:name w:val="Body"/>
    <w:basedOn w:val="Normal"/>
    <w:rsid w:val="007A00C4"/>
    <w:pPr>
      <w:numPr>
        <w:numId w:val="1"/>
      </w:numPr>
      <w:tabs>
        <w:tab w:val="clear" w:pos="900"/>
        <w:tab w:val="left" w:pos="360"/>
      </w:tabs>
      <w:autoSpaceDE w:val="0"/>
      <w:autoSpaceDN w:val="0"/>
      <w:adjustRightInd w:val="0"/>
      <w:spacing w:before="60" w:after="60"/>
      <w:ind w:left="0"/>
      <w:jc w:val="both"/>
    </w:pPr>
    <w:rPr>
      <w:bCs/>
      <w:color w:val="000000"/>
      <w:sz w:val="22"/>
      <w:szCs w:val="22"/>
    </w:rPr>
  </w:style>
  <w:style w:type="paragraph" w:styleId="BodyTextIndent">
    <w:name w:val="Body Text Indent"/>
    <w:basedOn w:val="Normal"/>
    <w:rsid w:val="00B676C3"/>
    <w:pPr>
      <w:ind w:left="360"/>
    </w:pPr>
  </w:style>
  <w:style w:type="paragraph" w:customStyle="1" w:styleId="HeadingItalic">
    <w:name w:val="Heading Italic"/>
    <w:basedOn w:val="Normal"/>
    <w:next w:val="Heading2"/>
    <w:rsid w:val="00A444B7"/>
    <w:pPr>
      <w:keepNext/>
      <w:spacing w:before="120" w:after="60"/>
      <w:ind w:left="360"/>
    </w:pPr>
    <w:rPr>
      <w:i/>
      <w:sz w:val="22"/>
      <w:szCs w:val="20"/>
      <w:lang w:val="en-GB"/>
    </w:rPr>
  </w:style>
  <w:style w:type="paragraph" w:customStyle="1" w:styleId="MainParawithChapter">
    <w:name w:val="Main Para with Chapter#"/>
    <w:basedOn w:val="Normal"/>
    <w:rsid w:val="005F6581"/>
    <w:pPr>
      <w:spacing w:after="240"/>
      <w:jc w:val="both"/>
      <w:outlineLvl w:val="1"/>
    </w:pPr>
  </w:style>
  <w:style w:type="paragraph" w:customStyle="1" w:styleId="Bullet">
    <w:name w:val="Bullet"/>
    <w:basedOn w:val="Normal"/>
    <w:rsid w:val="005F6581"/>
    <w:pPr>
      <w:numPr>
        <w:numId w:val="3"/>
      </w:numPr>
    </w:pPr>
  </w:style>
  <w:style w:type="paragraph" w:styleId="Caption">
    <w:name w:val="caption"/>
    <w:basedOn w:val="Normal"/>
    <w:next w:val="Normal"/>
    <w:qFormat/>
    <w:rsid w:val="005F6581"/>
    <w:pPr>
      <w:spacing w:before="120" w:after="120"/>
      <w:jc w:val="center"/>
    </w:pPr>
    <w:rPr>
      <w:b/>
      <w:bCs/>
      <w:sz w:val="22"/>
      <w:szCs w:val="22"/>
    </w:rPr>
  </w:style>
  <w:style w:type="paragraph" w:styleId="FootnoteText">
    <w:name w:val="footnote text"/>
    <w:aliases w:val="single space,footnote text,fn,Footnote Text Char,Footnote Text Char Car Char,single space1,footnote text1,fn1,FOOTNOTES,ALTS FOOTNOTE,Footnote Text Char2 Char,Footnote Text Char2 Char Char Char,ADB,ft,f,Fußnote,Footnote Text Char2"/>
    <w:basedOn w:val="Normal"/>
    <w:link w:val="FootnoteTextChar1"/>
    <w:autoRedefine/>
    <w:rsid w:val="003A4C30"/>
    <w:pPr>
      <w:spacing w:before="40" w:after="40"/>
    </w:pPr>
    <w:rPr>
      <w:rFonts w:ascii="Arial" w:hAnsi="Arial" w:cs="Arial"/>
      <w:sz w:val="20"/>
      <w:szCs w:val="20"/>
    </w:rPr>
  </w:style>
  <w:style w:type="character" w:styleId="FootnoteReference">
    <w:name w:val="footnote reference"/>
    <w:aliases w:val="ftref, Car1, Char Char,Car1,Footnote Reference Number,Footnote Reference_LVL6,Footnote Reference_LVL61,Footnote Reference_LVL62,Footnote Reference_LVL63,Footnote Reference_LVL64,16 Point,Superscript 6 Point,Знак сноски-FN,BVI fnr"/>
    <w:basedOn w:val="DefaultParagraphFont"/>
    <w:link w:val="CarattereCarattereCharCharCharChar"/>
    <w:uiPriority w:val="99"/>
    <w:rsid w:val="005F6581"/>
    <w:rPr>
      <w:vertAlign w:val="superscript"/>
    </w:rPr>
  </w:style>
  <w:style w:type="paragraph" w:customStyle="1" w:styleId="StyleBulletJustified4">
    <w:name w:val="Style Bullet + Justified4"/>
    <w:basedOn w:val="Bullet"/>
    <w:next w:val="Normal"/>
    <w:autoRedefine/>
    <w:rsid w:val="005F6581"/>
    <w:pPr>
      <w:tabs>
        <w:tab w:val="left" w:pos="720"/>
      </w:tabs>
      <w:jc w:val="both"/>
    </w:pPr>
    <w:rPr>
      <w:lang w:val="en-GB"/>
    </w:rPr>
  </w:style>
  <w:style w:type="paragraph" w:customStyle="1" w:styleId="ParagraphNumbering">
    <w:name w:val="Paragraph Numbering"/>
    <w:basedOn w:val="Normal"/>
    <w:rsid w:val="00997A52"/>
    <w:pPr>
      <w:numPr>
        <w:numId w:val="5"/>
      </w:numPr>
      <w:spacing w:after="240"/>
      <w:jc w:val="both"/>
    </w:pPr>
  </w:style>
  <w:style w:type="paragraph" w:styleId="ListBullet4">
    <w:name w:val="List Bullet 4"/>
    <w:basedOn w:val="Normal"/>
    <w:rsid w:val="009150CD"/>
    <w:pPr>
      <w:numPr>
        <w:numId w:val="6"/>
      </w:numPr>
      <w:tabs>
        <w:tab w:val="clear" w:pos="1080"/>
        <w:tab w:val="num" w:pos="1440"/>
      </w:tabs>
      <w:spacing w:after="240"/>
      <w:ind w:left="1440"/>
      <w:jc w:val="both"/>
    </w:pPr>
  </w:style>
  <w:style w:type="paragraph" w:styleId="Header">
    <w:name w:val="header"/>
    <w:basedOn w:val="Normal"/>
    <w:rsid w:val="00496E60"/>
    <w:pPr>
      <w:tabs>
        <w:tab w:val="center" w:pos="4320"/>
        <w:tab w:val="right" w:pos="8640"/>
      </w:tabs>
    </w:pPr>
  </w:style>
  <w:style w:type="paragraph" w:styleId="Footer">
    <w:name w:val="footer"/>
    <w:basedOn w:val="Normal"/>
    <w:link w:val="FooterChar"/>
    <w:rsid w:val="00496E60"/>
    <w:pPr>
      <w:tabs>
        <w:tab w:val="center" w:pos="4320"/>
        <w:tab w:val="right" w:pos="8640"/>
      </w:tabs>
    </w:pPr>
  </w:style>
  <w:style w:type="character" w:styleId="PageNumber">
    <w:name w:val="page number"/>
    <w:basedOn w:val="DefaultParagraphFont"/>
    <w:rsid w:val="001D556E"/>
  </w:style>
  <w:style w:type="paragraph" w:styleId="BalloonText">
    <w:name w:val="Balloon Text"/>
    <w:basedOn w:val="Normal"/>
    <w:semiHidden/>
    <w:rsid w:val="00AE4522"/>
    <w:rPr>
      <w:rFonts w:ascii="Tahoma" w:hAnsi="Tahoma" w:cs="Tahoma"/>
      <w:sz w:val="16"/>
      <w:szCs w:val="16"/>
    </w:rPr>
  </w:style>
  <w:style w:type="paragraph" w:styleId="ListNumber">
    <w:name w:val="List Number"/>
    <w:basedOn w:val="Normal"/>
    <w:rsid w:val="00173F5B"/>
    <w:pPr>
      <w:numPr>
        <w:numId w:val="11"/>
      </w:numPr>
    </w:pPr>
  </w:style>
  <w:style w:type="paragraph" w:customStyle="1" w:styleId="HeadingBold">
    <w:name w:val="Heading Bold"/>
    <w:basedOn w:val="Normal"/>
    <w:next w:val="Heading2"/>
    <w:rsid w:val="0051331E"/>
    <w:pPr>
      <w:keepNext/>
      <w:spacing w:before="240" w:after="120"/>
    </w:pPr>
    <w:rPr>
      <w:b/>
      <w:sz w:val="22"/>
      <w:szCs w:val="20"/>
      <w:lang w:val="en-GB"/>
    </w:rPr>
  </w:style>
  <w:style w:type="character" w:customStyle="1" w:styleId="FootnoteTextChar1">
    <w:name w:val="Footnote Text Char1"/>
    <w:aliases w:val="single space Char,footnote text Char,fn Char,Footnote Text Char Char,Footnote Text Char Car Char Char,single space1 Char,footnote text1 Char,fn1 Char,FOOTNOTES Char,ALTS FOOTNOTE Char,Footnote Text Char2 Char Char,ADB Char,ft Char"/>
    <w:basedOn w:val="DefaultParagraphFont"/>
    <w:link w:val="FootnoteText"/>
    <w:rsid w:val="003A4C30"/>
    <w:rPr>
      <w:rFonts w:ascii="Arial" w:hAnsi="Arial" w:cs="Arial"/>
    </w:rPr>
  </w:style>
  <w:style w:type="character" w:customStyle="1" w:styleId="FooterChar">
    <w:name w:val="Footer Char"/>
    <w:basedOn w:val="DefaultParagraphFont"/>
    <w:link w:val="Footer"/>
    <w:rsid w:val="0072305B"/>
    <w:rPr>
      <w:sz w:val="24"/>
      <w:szCs w:val="24"/>
    </w:rPr>
  </w:style>
  <w:style w:type="paragraph" w:styleId="ListParagraph">
    <w:name w:val="List Paragraph"/>
    <w:basedOn w:val="Normal"/>
    <w:uiPriority w:val="34"/>
    <w:qFormat/>
    <w:rsid w:val="00777E3A"/>
    <w:pPr>
      <w:ind w:left="720"/>
      <w:contextualSpacing/>
    </w:pPr>
  </w:style>
  <w:style w:type="paragraph" w:customStyle="1" w:styleId="CarattereCarattereCharCharCharChar">
    <w:name w:val="Carattere Carattere Char Char Char Char"/>
    <w:aliases w:val="ftref Char Char Char Char,Char Char Char Char Char Char,Char Char Char1 Car Car Char Char Char Char Char Char Char Char Char Char Char Char Char Char Char Char Char Char Char Char,ftref Char Cha"/>
    <w:basedOn w:val="Normal"/>
    <w:next w:val="Normal"/>
    <w:link w:val="FootnoteReference"/>
    <w:uiPriority w:val="99"/>
    <w:rsid w:val="00777E3A"/>
    <w:pPr>
      <w:spacing w:after="160" w:line="240" w:lineRule="exact"/>
      <w:ind w:left="288"/>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2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2027</Words>
  <Characters>11554</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PEFA Workshop on</vt:lpstr>
    </vt:vector>
  </TitlesOfParts>
  <Company>The World Bank Group</Company>
  <LinksUpToDate>false</LinksUpToDate>
  <CharactersWithSpaces>13554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PEFA Workshop on</dc:title>
  <dc:creator>wb266355</dc:creator>
  <cp:lastModifiedBy>Philip Sinnett</cp:lastModifiedBy>
  <cp:revision>5</cp:revision>
  <cp:lastPrinted>2007-09-10T12:17:00Z</cp:lastPrinted>
  <dcterms:created xsi:type="dcterms:W3CDTF">2016-02-25T08:41:00Z</dcterms:created>
  <dcterms:modified xsi:type="dcterms:W3CDTF">2016-03-05T22:14:00Z</dcterms:modified>
</cp:coreProperties>
</file>