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880" w:rsidRDefault="00E97880" w:rsidP="00523E45">
      <w:pPr>
        <w:jc w:val="center"/>
        <w:rPr>
          <w:rFonts w:ascii="Gill Sans" w:hAnsi="Gill Sans"/>
          <w:b/>
        </w:rPr>
      </w:pPr>
      <w:bookmarkStart w:id="0" w:name="_GoBack"/>
      <w:bookmarkEnd w:id="0"/>
    </w:p>
    <w:p w:rsidR="00060DA0" w:rsidRDefault="00060DA0" w:rsidP="00410BE3">
      <w:pPr>
        <w:widowControl/>
        <w:jc w:val="center"/>
        <w:rPr>
          <w:rFonts w:asciiTheme="majorHAnsi" w:hAnsiTheme="majorHAnsi"/>
          <w:color w:val="1F497D" w:themeColor="text2"/>
          <w:sz w:val="52"/>
          <w:szCs w:val="52"/>
        </w:rPr>
      </w:pPr>
    </w:p>
    <w:p w:rsidR="00060DA0" w:rsidRDefault="00060DA0" w:rsidP="00060DA0">
      <w:pPr>
        <w:widowControl/>
        <w:jc w:val="center"/>
        <w:rPr>
          <w:rFonts w:asciiTheme="majorHAnsi" w:hAnsiTheme="majorHAnsi"/>
          <w:color w:val="1F497D" w:themeColor="text2"/>
          <w:sz w:val="52"/>
          <w:szCs w:val="52"/>
        </w:rPr>
      </w:pPr>
    </w:p>
    <w:p w:rsidR="00060DA0" w:rsidRDefault="00060DA0" w:rsidP="00060DA0">
      <w:pPr>
        <w:widowControl/>
        <w:jc w:val="center"/>
        <w:rPr>
          <w:rFonts w:asciiTheme="majorHAnsi" w:hAnsiTheme="majorHAnsi"/>
          <w:color w:val="1F497D" w:themeColor="text2"/>
          <w:sz w:val="52"/>
          <w:szCs w:val="52"/>
        </w:rPr>
      </w:pPr>
    </w:p>
    <w:p w:rsidR="00060DA0" w:rsidRDefault="00060DA0" w:rsidP="00060DA0">
      <w:pPr>
        <w:widowControl/>
        <w:jc w:val="center"/>
        <w:rPr>
          <w:rFonts w:asciiTheme="majorHAnsi" w:hAnsiTheme="majorHAnsi"/>
          <w:color w:val="1F497D" w:themeColor="text2"/>
          <w:sz w:val="52"/>
          <w:szCs w:val="52"/>
        </w:rPr>
      </w:pPr>
    </w:p>
    <w:p w:rsidR="00060DA0" w:rsidRPr="00060DA0" w:rsidRDefault="00410BE3" w:rsidP="00060DA0">
      <w:pPr>
        <w:widowControl/>
        <w:spacing w:line="360" w:lineRule="auto"/>
        <w:jc w:val="center"/>
        <w:rPr>
          <w:rFonts w:asciiTheme="majorHAnsi" w:hAnsiTheme="majorHAnsi"/>
          <w:color w:val="1F497D" w:themeColor="text2"/>
          <w:sz w:val="52"/>
          <w:szCs w:val="52"/>
        </w:rPr>
      </w:pPr>
      <w:r w:rsidRPr="00060DA0">
        <w:rPr>
          <w:rFonts w:asciiTheme="majorHAnsi" w:hAnsiTheme="majorHAnsi"/>
          <w:color w:val="1F497D" w:themeColor="text2"/>
          <w:sz w:val="52"/>
          <w:szCs w:val="52"/>
        </w:rPr>
        <w:t>Concept Note</w:t>
      </w:r>
    </w:p>
    <w:p w:rsidR="00060DA0" w:rsidRDefault="00410BE3" w:rsidP="00060DA0">
      <w:pPr>
        <w:widowControl/>
        <w:jc w:val="center"/>
        <w:rPr>
          <w:rFonts w:asciiTheme="majorHAnsi" w:hAnsiTheme="majorHAnsi"/>
          <w:color w:val="1F497D" w:themeColor="text2"/>
          <w:sz w:val="52"/>
          <w:szCs w:val="52"/>
        </w:rPr>
      </w:pPr>
      <w:r w:rsidRPr="00060DA0">
        <w:rPr>
          <w:rFonts w:asciiTheme="majorHAnsi" w:hAnsiTheme="majorHAnsi"/>
          <w:color w:val="1F497D" w:themeColor="text2"/>
          <w:sz w:val="52"/>
          <w:szCs w:val="52"/>
        </w:rPr>
        <w:t>Towards an Improved Delivery of Development Aid through Digitalisation</w:t>
      </w:r>
    </w:p>
    <w:p w:rsidR="00060DA0" w:rsidRPr="00060DA0" w:rsidRDefault="00060DA0" w:rsidP="00060DA0">
      <w:pPr>
        <w:widowControl/>
        <w:jc w:val="center"/>
        <w:rPr>
          <w:rFonts w:asciiTheme="majorHAnsi" w:hAnsiTheme="majorHAnsi"/>
          <w:color w:val="1F497D" w:themeColor="text2"/>
          <w:sz w:val="40"/>
          <w:szCs w:val="40"/>
        </w:rPr>
        <w:sectPr w:rsidR="00060DA0" w:rsidRPr="00060DA0" w:rsidSect="008D1FC6">
          <w:footerReference w:type="default" r:id="rId9"/>
          <w:pgSz w:w="11906" w:h="16838"/>
          <w:pgMar w:top="1417" w:right="1417" w:bottom="1276" w:left="1417" w:header="708" w:footer="708" w:gutter="0"/>
          <w:cols w:space="708"/>
          <w:docGrid w:linePitch="360"/>
        </w:sectPr>
      </w:pPr>
      <w:r>
        <w:rPr>
          <w:rFonts w:asciiTheme="majorHAnsi" w:hAnsiTheme="majorHAnsi"/>
          <w:color w:val="1F497D" w:themeColor="text2"/>
          <w:sz w:val="40"/>
          <w:szCs w:val="40"/>
        </w:rPr>
        <w:t>June 2016</w:t>
      </w:r>
    </w:p>
    <w:p w:rsidR="002348BB" w:rsidRDefault="002348BB" w:rsidP="00C549A3">
      <w:pPr>
        <w:pStyle w:val="TOCHeading"/>
        <w:spacing w:after="240"/>
        <w:rPr>
          <w:rFonts w:asciiTheme="minorHAnsi" w:eastAsiaTheme="minorEastAsia" w:hAnsiTheme="minorHAnsi" w:cstheme="minorBidi"/>
          <w:b w:val="0"/>
          <w:bCs w:val="0"/>
          <w:color w:val="auto"/>
          <w:sz w:val="22"/>
          <w:szCs w:val="22"/>
          <w:lang w:val="en-GB" w:eastAsia="zh-CN"/>
        </w:rPr>
      </w:pPr>
    </w:p>
    <w:sdt>
      <w:sdtPr>
        <w:rPr>
          <w:rFonts w:asciiTheme="minorHAnsi" w:eastAsiaTheme="minorEastAsia" w:hAnsiTheme="minorHAnsi" w:cstheme="minorBidi"/>
          <w:b w:val="0"/>
          <w:bCs w:val="0"/>
          <w:color w:val="auto"/>
          <w:sz w:val="22"/>
          <w:szCs w:val="22"/>
          <w:lang w:val="en-GB" w:eastAsia="zh-CN"/>
        </w:rPr>
        <w:id w:val="1879425680"/>
        <w:docPartObj>
          <w:docPartGallery w:val="Table of Contents"/>
          <w:docPartUnique/>
        </w:docPartObj>
      </w:sdtPr>
      <w:sdtEndPr>
        <w:rPr>
          <w:rFonts w:asciiTheme="minorBidi" w:hAnsiTheme="minorBidi"/>
          <w:noProof/>
          <w:sz w:val="21"/>
          <w:szCs w:val="21"/>
        </w:rPr>
      </w:sdtEndPr>
      <w:sdtContent>
        <w:p w:rsidR="004A74A6" w:rsidRPr="001E6D00" w:rsidRDefault="004A74A6" w:rsidP="00C549A3">
          <w:pPr>
            <w:pStyle w:val="TOCHeading"/>
            <w:spacing w:after="240"/>
            <w:rPr>
              <w:rFonts w:asciiTheme="minorBidi" w:hAnsiTheme="minorBidi" w:cstheme="minorBidi"/>
            </w:rPr>
          </w:pPr>
          <w:r w:rsidRPr="001E6D00">
            <w:rPr>
              <w:rFonts w:asciiTheme="minorBidi" w:hAnsiTheme="minorBidi" w:cstheme="minorBidi"/>
            </w:rPr>
            <w:t>Contents</w:t>
          </w:r>
        </w:p>
        <w:p w:rsidR="00CC289E" w:rsidRDefault="004A74A6">
          <w:pPr>
            <w:pStyle w:val="TOC1"/>
            <w:tabs>
              <w:tab w:val="left" w:pos="440"/>
              <w:tab w:val="right" w:leader="dot" w:pos="9062"/>
            </w:tabs>
            <w:rPr>
              <w:rFonts w:asciiTheme="minorHAnsi" w:hAnsiTheme="minorHAnsi"/>
              <w:noProof/>
              <w:sz w:val="22"/>
              <w:szCs w:val="22"/>
              <w:lang w:eastAsia="en-GB"/>
            </w:rPr>
          </w:pPr>
          <w:r w:rsidRPr="001E6D00">
            <w:fldChar w:fldCharType="begin"/>
          </w:r>
          <w:r w:rsidRPr="001E6D00">
            <w:instrText xml:space="preserve"> TOC \o "1-3" \h \z \u </w:instrText>
          </w:r>
          <w:r w:rsidRPr="001E6D00">
            <w:fldChar w:fldCharType="separate"/>
          </w:r>
          <w:hyperlink w:anchor="_Toc454294886" w:history="1">
            <w:r w:rsidR="00CC289E" w:rsidRPr="00B261D5">
              <w:rPr>
                <w:rStyle w:val="Hyperlink"/>
                <w:noProof/>
              </w:rPr>
              <w:t>1</w:t>
            </w:r>
            <w:r w:rsidR="00CC289E">
              <w:rPr>
                <w:rFonts w:asciiTheme="minorHAnsi" w:hAnsiTheme="minorHAnsi"/>
                <w:noProof/>
                <w:sz w:val="22"/>
                <w:szCs w:val="22"/>
                <w:lang w:eastAsia="en-GB"/>
              </w:rPr>
              <w:tab/>
            </w:r>
            <w:r w:rsidR="00CC289E" w:rsidRPr="00B261D5">
              <w:rPr>
                <w:rStyle w:val="Hyperlink"/>
                <w:noProof/>
              </w:rPr>
              <w:t>Introduction</w:t>
            </w:r>
            <w:r w:rsidR="00CC289E">
              <w:rPr>
                <w:noProof/>
                <w:webHidden/>
              </w:rPr>
              <w:tab/>
            </w:r>
            <w:r w:rsidR="00CC289E">
              <w:rPr>
                <w:noProof/>
                <w:webHidden/>
              </w:rPr>
              <w:fldChar w:fldCharType="begin"/>
            </w:r>
            <w:r w:rsidR="00CC289E">
              <w:rPr>
                <w:noProof/>
                <w:webHidden/>
              </w:rPr>
              <w:instrText xml:space="preserve"> PAGEREF _Toc454294886 \h </w:instrText>
            </w:r>
            <w:r w:rsidR="00CC289E">
              <w:rPr>
                <w:noProof/>
                <w:webHidden/>
              </w:rPr>
            </w:r>
            <w:r w:rsidR="00CC289E">
              <w:rPr>
                <w:noProof/>
                <w:webHidden/>
              </w:rPr>
              <w:fldChar w:fldCharType="separate"/>
            </w:r>
            <w:r w:rsidR="007870E2">
              <w:rPr>
                <w:noProof/>
                <w:webHidden/>
              </w:rPr>
              <w:t>1</w:t>
            </w:r>
            <w:r w:rsidR="00CC289E">
              <w:rPr>
                <w:noProof/>
                <w:webHidden/>
              </w:rPr>
              <w:fldChar w:fldCharType="end"/>
            </w:r>
          </w:hyperlink>
        </w:p>
        <w:p w:rsidR="00CC289E" w:rsidRDefault="00267338">
          <w:pPr>
            <w:pStyle w:val="TOC1"/>
            <w:tabs>
              <w:tab w:val="left" w:pos="440"/>
              <w:tab w:val="right" w:leader="dot" w:pos="9062"/>
            </w:tabs>
            <w:rPr>
              <w:rFonts w:asciiTheme="minorHAnsi" w:hAnsiTheme="minorHAnsi"/>
              <w:noProof/>
              <w:sz w:val="22"/>
              <w:szCs w:val="22"/>
              <w:lang w:eastAsia="en-GB"/>
            </w:rPr>
          </w:pPr>
          <w:hyperlink w:anchor="_Toc454294887" w:history="1">
            <w:r w:rsidR="00CC289E" w:rsidRPr="00B261D5">
              <w:rPr>
                <w:rStyle w:val="Hyperlink"/>
                <w:noProof/>
              </w:rPr>
              <w:t>2</w:t>
            </w:r>
            <w:r w:rsidR="00CC289E">
              <w:rPr>
                <w:rFonts w:asciiTheme="minorHAnsi" w:hAnsiTheme="minorHAnsi"/>
                <w:noProof/>
                <w:sz w:val="22"/>
                <w:szCs w:val="22"/>
                <w:lang w:eastAsia="en-GB"/>
              </w:rPr>
              <w:tab/>
            </w:r>
            <w:r w:rsidR="00CC289E" w:rsidRPr="00B261D5">
              <w:rPr>
                <w:rStyle w:val="Hyperlink"/>
                <w:noProof/>
              </w:rPr>
              <w:t>Rationale</w:t>
            </w:r>
            <w:r w:rsidR="00CC289E">
              <w:rPr>
                <w:noProof/>
                <w:webHidden/>
              </w:rPr>
              <w:tab/>
            </w:r>
            <w:r w:rsidR="00CC289E">
              <w:rPr>
                <w:noProof/>
                <w:webHidden/>
              </w:rPr>
              <w:fldChar w:fldCharType="begin"/>
            </w:r>
            <w:r w:rsidR="00CC289E">
              <w:rPr>
                <w:noProof/>
                <w:webHidden/>
              </w:rPr>
              <w:instrText xml:space="preserve"> PAGEREF _Toc454294887 \h </w:instrText>
            </w:r>
            <w:r w:rsidR="00CC289E">
              <w:rPr>
                <w:noProof/>
                <w:webHidden/>
              </w:rPr>
            </w:r>
            <w:r w:rsidR="00CC289E">
              <w:rPr>
                <w:noProof/>
                <w:webHidden/>
              </w:rPr>
              <w:fldChar w:fldCharType="separate"/>
            </w:r>
            <w:r w:rsidR="007870E2">
              <w:rPr>
                <w:noProof/>
                <w:webHidden/>
              </w:rPr>
              <w:t>1</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888" w:history="1">
            <w:r w:rsidR="00CC289E" w:rsidRPr="00B261D5">
              <w:rPr>
                <w:rStyle w:val="Hyperlink"/>
                <w:noProof/>
              </w:rPr>
              <w:t>2.1</w:t>
            </w:r>
            <w:r w:rsidR="00CC289E">
              <w:rPr>
                <w:rFonts w:asciiTheme="minorHAnsi" w:hAnsiTheme="minorHAnsi"/>
                <w:noProof/>
                <w:sz w:val="22"/>
                <w:szCs w:val="22"/>
                <w:lang w:eastAsia="en-GB"/>
              </w:rPr>
              <w:tab/>
            </w:r>
            <w:r w:rsidR="00CC289E" w:rsidRPr="00B261D5">
              <w:rPr>
                <w:rStyle w:val="Hyperlink"/>
                <w:noProof/>
              </w:rPr>
              <w:t>Context: Digitalisation in the 21st century</w:t>
            </w:r>
            <w:r w:rsidR="00CC289E">
              <w:rPr>
                <w:noProof/>
                <w:webHidden/>
              </w:rPr>
              <w:tab/>
            </w:r>
            <w:r w:rsidR="00CC289E">
              <w:rPr>
                <w:noProof/>
                <w:webHidden/>
              </w:rPr>
              <w:fldChar w:fldCharType="begin"/>
            </w:r>
            <w:r w:rsidR="00CC289E">
              <w:rPr>
                <w:noProof/>
                <w:webHidden/>
              </w:rPr>
              <w:instrText xml:space="preserve"> PAGEREF _Toc454294888 \h </w:instrText>
            </w:r>
            <w:r w:rsidR="00CC289E">
              <w:rPr>
                <w:noProof/>
                <w:webHidden/>
              </w:rPr>
            </w:r>
            <w:r w:rsidR="00CC289E">
              <w:rPr>
                <w:noProof/>
                <w:webHidden/>
              </w:rPr>
              <w:fldChar w:fldCharType="separate"/>
            </w:r>
            <w:r w:rsidR="007870E2">
              <w:rPr>
                <w:noProof/>
                <w:webHidden/>
              </w:rPr>
              <w:t>1</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889" w:history="1">
            <w:r w:rsidR="00CC289E" w:rsidRPr="00B261D5">
              <w:rPr>
                <w:rStyle w:val="Hyperlink"/>
                <w:noProof/>
              </w:rPr>
              <w:t>2.1.1</w:t>
            </w:r>
            <w:r w:rsidR="00CC289E">
              <w:rPr>
                <w:rFonts w:asciiTheme="minorHAnsi" w:hAnsiTheme="minorHAnsi"/>
                <w:noProof/>
                <w:sz w:val="22"/>
                <w:szCs w:val="22"/>
                <w:lang w:eastAsia="en-GB"/>
              </w:rPr>
              <w:tab/>
            </w:r>
            <w:r w:rsidR="00CC289E" w:rsidRPr="00B261D5">
              <w:rPr>
                <w:rStyle w:val="Hyperlink"/>
                <w:noProof/>
              </w:rPr>
              <w:t>The opportunities and the divides</w:t>
            </w:r>
            <w:r w:rsidR="00CC289E">
              <w:rPr>
                <w:noProof/>
                <w:webHidden/>
              </w:rPr>
              <w:tab/>
            </w:r>
            <w:r w:rsidR="00CC289E">
              <w:rPr>
                <w:noProof/>
                <w:webHidden/>
              </w:rPr>
              <w:fldChar w:fldCharType="begin"/>
            </w:r>
            <w:r w:rsidR="00CC289E">
              <w:rPr>
                <w:noProof/>
                <w:webHidden/>
              </w:rPr>
              <w:instrText xml:space="preserve"> PAGEREF _Toc454294889 \h </w:instrText>
            </w:r>
            <w:r w:rsidR="00CC289E">
              <w:rPr>
                <w:noProof/>
                <w:webHidden/>
              </w:rPr>
            </w:r>
            <w:r w:rsidR="00CC289E">
              <w:rPr>
                <w:noProof/>
                <w:webHidden/>
              </w:rPr>
              <w:fldChar w:fldCharType="separate"/>
            </w:r>
            <w:r w:rsidR="007870E2">
              <w:rPr>
                <w:noProof/>
                <w:webHidden/>
              </w:rPr>
              <w:t>2</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890" w:history="1">
            <w:r w:rsidR="00CC289E" w:rsidRPr="00B261D5">
              <w:rPr>
                <w:rStyle w:val="Hyperlink"/>
                <w:noProof/>
              </w:rPr>
              <w:t>2.1.2</w:t>
            </w:r>
            <w:r w:rsidR="00CC289E">
              <w:rPr>
                <w:rFonts w:asciiTheme="minorHAnsi" w:hAnsiTheme="minorHAnsi"/>
                <w:noProof/>
                <w:sz w:val="22"/>
                <w:szCs w:val="22"/>
                <w:lang w:eastAsia="en-GB"/>
              </w:rPr>
              <w:tab/>
            </w:r>
            <w:r w:rsidR="00CC289E" w:rsidRPr="00B261D5">
              <w:rPr>
                <w:rStyle w:val="Hyperlink"/>
                <w:noProof/>
              </w:rPr>
              <w:t>Digital tools as powerful transformers</w:t>
            </w:r>
            <w:r w:rsidR="00CC289E">
              <w:rPr>
                <w:noProof/>
                <w:webHidden/>
              </w:rPr>
              <w:tab/>
            </w:r>
            <w:r w:rsidR="00CC289E">
              <w:rPr>
                <w:noProof/>
                <w:webHidden/>
              </w:rPr>
              <w:fldChar w:fldCharType="begin"/>
            </w:r>
            <w:r w:rsidR="00CC289E">
              <w:rPr>
                <w:noProof/>
                <w:webHidden/>
              </w:rPr>
              <w:instrText xml:space="preserve"> PAGEREF _Toc454294890 \h </w:instrText>
            </w:r>
            <w:r w:rsidR="00CC289E">
              <w:rPr>
                <w:noProof/>
                <w:webHidden/>
              </w:rPr>
            </w:r>
            <w:r w:rsidR="00CC289E">
              <w:rPr>
                <w:noProof/>
                <w:webHidden/>
              </w:rPr>
              <w:fldChar w:fldCharType="separate"/>
            </w:r>
            <w:r w:rsidR="007870E2">
              <w:rPr>
                <w:noProof/>
                <w:webHidden/>
              </w:rPr>
              <w:t>3</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891" w:history="1">
            <w:r w:rsidR="00CC289E" w:rsidRPr="00B261D5">
              <w:rPr>
                <w:rStyle w:val="Hyperlink"/>
                <w:noProof/>
              </w:rPr>
              <w:t>2.2</w:t>
            </w:r>
            <w:r w:rsidR="00CC289E">
              <w:rPr>
                <w:rFonts w:asciiTheme="minorHAnsi" w:hAnsiTheme="minorHAnsi"/>
                <w:noProof/>
                <w:sz w:val="22"/>
                <w:szCs w:val="22"/>
                <w:lang w:eastAsia="en-GB"/>
              </w:rPr>
              <w:tab/>
            </w:r>
            <w:r w:rsidR="00CC289E" w:rsidRPr="00B261D5">
              <w:rPr>
                <w:rStyle w:val="Hyperlink"/>
                <w:noProof/>
              </w:rPr>
              <w:t>The United Nation’s Sustainable Development Goals</w:t>
            </w:r>
            <w:r w:rsidR="00CC289E">
              <w:rPr>
                <w:noProof/>
                <w:webHidden/>
              </w:rPr>
              <w:tab/>
            </w:r>
            <w:r w:rsidR="00CC289E">
              <w:rPr>
                <w:noProof/>
                <w:webHidden/>
              </w:rPr>
              <w:fldChar w:fldCharType="begin"/>
            </w:r>
            <w:r w:rsidR="00CC289E">
              <w:rPr>
                <w:noProof/>
                <w:webHidden/>
              </w:rPr>
              <w:instrText xml:space="preserve"> PAGEREF _Toc454294891 \h </w:instrText>
            </w:r>
            <w:r w:rsidR="00CC289E">
              <w:rPr>
                <w:noProof/>
                <w:webHidden/>
              </w:rPr>
            </w:r>
            <w:r w:rsidR="00CC289E">
              <w:rPr>
                <w:noProof/>
                <w:webHidden/>
              </w:rPr>
              <w:fldChar w:fldCharType="separate"/>
            </w:r>
            <w:r w:rsidR="007870E2">
              <w:rPr>
                <w:noProof/>
                <w:webHidden/>
              </w:rPr>
              <w:t>4</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892" w:history="1">
            <w:r w:rsidR="00CC289E" w:rsidRPr="00B261D5">
              <w:rPr>
                <w:rStyle w:val="Hyperlink"/>
                <w:noProof/>
              </w:rPr>
              <w:t>2.2.1</w:t>
            </w:r>
            <w:r w:rsidR="00CC289E">
              <w:rPr>
                <w:rFonts w:asciiTheme="minorHAnsi" w:hAnsiTheme="minorHAnsi"/>
                <w:noProof/>
                <w:sz w:val="22"/>
                <w:szCs w:val="22"/>
                <w:lang w:eastAsia="en-GB"/>
              </w:rPr>
              <w:tab/>
            </w:r>
            <w:r w:rsidR="00CC289E" w:rsidRPr="00B261D5">
              <w:rPr>
                <w:rStyle w:val="Hyperlink"/>
                <w:noProof/>
              </w:rPr>
              <w:t>Other UN initiatives</w:t>
            </w:r>
            <w:r w:rsidR="00CC289E">
              <w:rPr>
                <w:noProof/>
                <w:webHidden/>
              </w:rPr>
              <w:tab/>
            </w:r>
            <w:r w:rsidR="00CC289E">
              <w:rPr>
                <w:noProof/>
                <w:webHidden/>
              </w:rPr>
              <w:fldChar w:fldCharType="begin"/>
            </w:r>
            <w:r w:rsidR="00CC289E">
              <w:rPr>
                <w:noProof/>
                <w:webHidden/>
              </w:rPr>
              <w:instrText xml:space="preserve"> PAGEREF _Toc454294892 \h </w:instrText>
            </w:r>
            <w:r w:rsidR="00CC289E">
              <w:rPr>
                <w:noProof/>
                <w:webHidden/>
              </w:rPr>
            </w:r>
            <w:r w:rsidR="00CC289E">
              <w:rPr>
                <w:noProof/>
                <w:webHidden/>
              </w:rPr>
              <w:fldChar w:fldCharType="separate"/>
            </w:r>
            <w:r w:rsidR="007870E2">
              <w:rPr>
                <w:noProof/>
                <w:webHidden/>
              </w:rPr>
              <w:t>5</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893" w:history="1">
            <w:r w:rsidR="00CC289E" w:rsidRPr="00B261D5">
              <w:rPr>
                <w:rStyle w:val="Hyperlink"/>
                <w:noProof/>
              </w:rPr>
              <w:t>2.3</w:t>
            </w:r>
            <w:r w:rsidR="00CC289E">
              <w:rPr>
                <w:rFonts w:asciiTheme="minorHAnsi" w:hAnsiTheme="minorHAnsi"/>
                <w:noProof/>
                <w:sz w:val="22"/>
                <w:szCs w:val="22"/>
                <w:lang w:eastAsia="en-GB"/>
              </w:rPr>
              <w:tab/>
            </w:r>
            <w:r w:rsidR="00CC289E" w:rsidRPr="00B261D5">
              <w:rPr>
                <w:rStyle w:val="Hyperlink"/>
                <w:noProof/>
              </w:rPr>
              <w:t>The European Digital Single Market</w:t>
            </w:r>
            <w:r w:rsidR="00CC289E">
              <w:rPr>
                <w:noProof/>
                <w:webHidden/>
              </w:rPr>
              <w:tab/>
            </w:r>
            <w:r w:rsidR="00CC289E">
              <w:rPr>
                <w:noProof/>
                <w:webHidden/>
              </w:rPr>
              <w:fldChar w:fldCharType="begin"/>
            </w:r>
            <w:r w:rsidR="00CC289E">
              <w:rPr>
                <w:noProof/>
                <w:webHidden/>
              </w:rPr>
              <w:instrText xml:space="preserve"> PAGEREF _Toc454294893 \h </w:instrText>
            </w:r>
            <w:r w:rsidR="00CC289E">
              <w:rPr>
                <w:noProof/>
                <w:webHidden/>
              </w:rPr>
            </w:r>
            <w:r w:rsidR="00CC289E">
              <w:rPr>
                <w:noProof/>
                <w:webHidden/>
              </w:rPr>
              <w:fldChar w:fldCharType="separate"/>
            </w:r>
            <w:r w:rsidR="007870E2">
              <w:rPr>
                <w:noProof/>
                <w:webHidden/>
              </w:rPr>
              <w:t>5</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894" w:history="1">
            <w:r w:rsidR="00CC289E" w:rsidRPr="00B261D5">
              <w:rPr>
                <w:rStyle w:val="Hyperlink"/>
                <w:noProof/>
              </w:rPr>
              <w:t>2.4</w:t>
            </w:r>
            <w:r w:rsidR="00CC289E">
              <w:rPr>
                <w:rFonts w:asciiTheme="minorHAnsi" w:hAnsiTheme="minorHAnsi"/>
                <w:noProof/>
                <w:sz w:val="22"/>
                <w:szCs w:val="22"/>
                <w:lang w:eastAsia="en-GB"/>
              </w:rPr>
              <w:tab/>
            </w:r>
            <w:r w:rsidR="00CC289E" w:rsidRPr="00B261D5">
              <w:rPr>
                <w:rStyle w:val="Hyperlink"/>
                <w:noProof/>
              </w:rPr>
              <w:t>EU ICT for development policy</w:t>
            </w:r>
            <w:r w:rsidR="00CC289E">
              <w:rPr>
                <w:noProof/>
                <w:webHidden/>
              </w:rPr>
              <w:tab/>
            </w:r>
            <w:r w:rsidR="00CC289E">
              <w:rPr>
                <w:noProof/>
                <w:webHidden/>
              </w:rPr>
              <w:fldChar w:fldCharType="begin"/>
            </w:r>
            <w:r w:rsidR="00CC289E">
              <w:rPr>
                <w:noProof/>
                <w:webHidden/>
              </w:rPr>
              <w:instrText xml:space="preserve"> PAGEREF _Toc454294894 \h </w:instrText>
            </w:r>
            <w:r w:rsidR="00CC289E">
              <w:rPr>
                <w:noProof/>
                <w:webHidden/>
              </w:rPr>
            </w:r>
            <w:r w:rsidR="00CC289E">
              <w:rPr>
                <w:noProof/>
                <w:webHidden/>
              </w:rPr>
              <w:fldChar w:fldCharType="separate"/>
            </w:r>
            <w:r w:rsidR="007870E2">
              <w:rPr>
                <w:noProof/>
                <w:webHidden/>
              </w:rPr>
              <w:t>6</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895" w:history="1">
            <w:r w:rsidR="00CC289E" w:rsidRPr="00B261D5">
              <w:rPr>
                <w:rStyle w:val="Hyperlink"/>
                <w:noProof/>
              </w:rPr>
              <w:t>2.5</w:t>
            </w:r>
            <w:r w:rsidR="00CC289E">
              <w:rPr>
                <w:rFonts w:asciiTheme="minorHAnsi" w:hAnsiTheme="minorHAnsi"/>
                <w:noProof/>
                <w:sz w:val="22"/>
                <w:szCs w:val="22"/>
                <w:lang w:eastAsia="en-GB"/>
              </w:rPr>
              <w:tab/>
            </w:r>
            <w:r w:rsidR="00CC289E" w:rsidRPr="00B261D5">
              <w:rPr>
                <w:rStyle w:val="Hyperlink"/>
                <w:noProof/>
              </w:rPr>
              <w:t>European Union stakeholders</w:t>
            </w:r>
            <w:r w:rsidR="00CC289E">
              <w:rPr>
                <w:noProof/>
                <w:webHidden/>
              </w:rPr>
              <w:tab/>
            </w:r>
            <w:r w:rsidR="00CC289E">
              <w:rPr>
                <w:noProof/>
                <w:webHidden/>
              </w:rPr>
              <w:fldChar w:fldCharType="begin"/>
            </w:r>
            <w:r w:rsidR="00CC289E">
              <w:rPr>
                <w:noProof/>
                <w:webHidden/>
              </w:rPr>
              <w:instrText xml:space="preserve"> PAGEREF _Toc454294895 \h </w:instrText>
            </w:r>
            <w:r w:rsidR="00CC289E">
              <w:rPr>
                <w:noProof/>
                <w:webHidden/>
              </w:rPr>
            </w:r>
            <w:r w:rsidR="00CC289E">
              <w:rPr>
                <w:noProof/>
                <w:webHidden/>
              </w:rPr>
              <w:fldChar w:fldCharType="separate"/>
            </w:r>
            <w:r w:rsidR="007870E2">
              <w:rPr>
                <w:noProof/>
                <w:webHidden/>
              </w:rPr>
              <w:t>7</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896" w:history="1">
            <w:r w:rsidR="00CC289E" w:rsidRPr="00B261D5">
              <w:rPr>
                <w:rStyle w:val="Hyperlink"/>
                <w:noProof/>
              </w:rPr>
              <w:t>2.5.1</w:t>
            </w:r>
            <w:r w:rsidR="00CC289E">
              <w:rPr>
                <w:rFonts w:asciiTheme="minorHAnsi" w:hAnsiTheme="minorHAnsi"/>
                <w:noProof/>
                <w:sz w:val="22"/>
                <w:szCs w:val="22"/>
                <w:lang w:eastAsia="en-GB"/>
              </w:rPr>
              <w:tab/>
            </w:r>
            <w:r w:rsidR="00CC289E" w:rsidRPr="00B261D5">
              <w:rPr>
                <w:rStyle w:val="Hyperlink"/>
                <w:noProof/>
              </w:rPr>
              <w:t>H2020 programme</w:t>
            </w:r>
            <w:r w:rsidR="00CC289E">
              <w:rPr>
                <w:noProof/>
                <w:webHidden/>
              </w:rPr>
              <w:tab/>
            </w:r>
            <w:r w:rsidR="00CC289E">
              <w:rPr>
                <w:noProof/>
                <w:webHidden/>
              </w:rPr>
              <w:fldChar w:fldCharType="begin"/>
            </w:r>
            <w:r w:rsidR="00CC289E">
              <w:rPr>
                <w:noProof/>
                <w:webHidden/>
              </w:rPr>
              <w:instrText xml:space="preserve"> PAGEREF _Toc454294896 \h </w:instrText>
            </w:r>
            <w:r w:rsidR="00CC289E">
              <w:rPr>
                <w:noProof/>
                <w:webHidden/>
              </w:rPr>
            </w:r>
            <w:r w:rsidR="00CC289E">
              <w:rPr>
                <w:noProof/>
                <w:webHidden/>
              </w:rPr>
              <w:fldChar w:fldCharType="separate"/>
            </w:r>
            <w:r w:rsidR="007870E2">
              <w:rPr>
                <w:noProof/>
                <w:webHidden/>
              </w:rPr>
              <w:t>10</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897" w:history="1">
            <w:r w:rsidR="00CC289E" w:rsidRPr="00B261D5">
              <w:rPr>
                <w:rStyle w:val="Hyperlink"/>
                <w:noProof/>
              </w:rPr>
              <w:t>2.6</w:t>
            </w:r>
            <w:r w:rsidR="00CC289E">
              <w:rPr>
                <w:rFonts w:asciiTheme="minorHAnsi" w:hAnsiTheme="minorHAnsi"/>
                <w:noProof/>
                <w:sz w:val="22"/>
                <w:szCs w:val="22"/>
                <w:lang w:eastAsia="en-GB"/>
              </w:rPr>
              <w:tab/>
            </w:r>
            <w:r w:rsidR="00CC289E" w:rsidRPr="00B261D5">
              <w:rPr>
                <w:rStyle w:val="Hyperlink"/>
                <w:noProof/>
              </w:rPr>
              <w:t>Policy frameworks and initiatives by EU MS</w:t>
            </w:r>
            <w:r w:rsidR="00CC289E">
              <w:rPr>
                <w:noProof/>
                <w:webHidden/>
              </w:rPr>
              <w:tab/>
            </w:r>
            <w:r w:rsidR="00CC289E">
              <w:rPr>
                <w:noProof/>
                <w:webHidden/>
              </w:rPr>
              <w:fldChar w:fldCharType="begin"/>
            </w:r>
            <w:r w:rsidR="00CC289E">
              <w:rPr>
                <w:noProof/>
                <w:webHidden/>
              </w:rPr>
              <w:instrText xml:space="preserve"> PAGEREF _Toc454294897 \h </w:instrText>
            </w:r>
            <w:r w:rsidR="00CC289E">
              <w:rPr>
                <w:noProof/>
                <w:webHidden/>
              </w:rPr>
            </w:r>
            <w:r w:rsidR="00CC289E">
              <w:rPr>
                <w:noProof/>
                <w:webHidden/>
              </w:rPr>
              <w:fldChar w:fldCharType="separate"/>
            </w:r>
            <w:r w:rsidR="007870E2">
              <w:rPr>
                <w:noProof/>
                <w:webHidden/>
              </w:rPr>
              <w:t>11</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898" w:history="1">
            <w:r w:rsidR="00CC289E" w:rsidRPr="00B261D5">
              <w:rPr>
                <w:rStyle w:val="Hyperlink"/>
                <w:noProof/>
              </w:rPr>
              <w:t>2.7</w:t>
            </w:r>
            <w:r w:rsidR="00CC289E">
              <w:rPr>
                <w:rFonts w:asciiTheme="minorHAnsi" w:hAnsiTheme="minorHAnsi"/>
                <w:noProof/>
                <w:sz w:val="22"/>
                <w:szCs w:val="22"/>
                <w:lang w:eastAsia="en-GB"/>
              </w:rPr>
              <w:tab/>
            </w:r>
            <w:r w:rsidR="00CC289E" w:rsidRPr="00B261D5">
              <w:rPr>
                <w:rStyle w:val="Hyperlink"/>
                <w:noProof/>
              </w:rPr>
              <w:t>Other donors and development actors</w:t>
            </w:r>
            <w:r w:rsidR="00CC289E">
              <w:rPr>
                <w:noProof/>
                <w:webHidden/>
              </w:rPr>
              <w:tab/>
            </w:r>
            <w:r w:rsidR="00CC289E">
              <w:rPr>
                <w:noProof/>
                <w:webHidden/>
              </w:rPr>
              <w:fldChar w:fldCharType="begin"/>
            </w:r>
            <w:r w:rsidR="00CC289E">
              <w:rPr>
                <w:noProof/>
                <w:webHidden/>
              </w:rPr>
              <w:instrText xml:space="preserve"> PAGEREF _Toc454294898 \h </w:instrText>
            </w:r>
            <w:r w:rsidR="00CC289E">
              <w:rPr>
                <w:noProof/>
                <w:webHidden/>
              </w:rPr>
            </w:r>
            <w:r w:rsidR="00CC289E">
              <w:rPr>
                <w:noProof/>
                <w:webHidden/>
              </w:rPr>
              <w:fldChar w:fldCharType="separate"/>
            </w:r>
            <w:r w:rsidR="007870E2">
              <w:rPr>
                <w:noProof/>
                <w:webHidden/>
              </w:rPr>
              <w:t>13</w:t>
            </w:r>
            <w:r w:rsidR="00CC289E">
              <w:rPr>
                <w:noProof/>
                <w:webHidden/>
              </w:rPr>
              <w:fldChar w:fldCharType="end"/>
            </w:r>
          </w:hyperlink>
        </w:p>
        <w:p w:rsidR="00CC289E" w:rsidRDefault="00267338">
          <w:pPr>
            <w:pStyle w:val="TOC1"/>
            <w:tabs>
              <w:tab w:val="left" w:pos="440"/>
              <w:tab w:val="right" w:leader="dot" w:pos="9062"/>
            </w:tabs>
            <w:rPr>
              <w:rFonts w:asciiTheme="minorHAnsi" w:hAnsiTheme="minorHAnsi"/>
              <w:noProof/>
              <w:sz w:val="22"/>
              <w:szCs w:val="22"/>
              <w:lang w:eastAsia="en-GB"/>
            </w:rPr>
          </w:pPr>
          <w:hyperlink w:anchor="_Toc454294899" w:history="1">
            <w:r w:rsidR="00CC289E" w:rsidRPr="00B261D5">
              <w:rPr>
                <w:rStyle w:val="Hyperlink"/>
                <w:noProof/>
              </w:rPr>
              <w:t>3</w:t>
            </w:r>
            <w:r w:rsidR="00CC289E">
              <w:rPr>
                <w:rFonts w:asciiTheme="minorHAnsi" w:hAnsiTheme="minorHAnsi"/>
                <w:noProof/>
                <w:sz w:val="22"/>
                <w:szCs w:val="22"/>
                <w:lang w:eastAsia="en-GB"/>
              </w:rPr>
              <w:tab/>
            </w:r>
            <w:r w:rsidR="00CC289E" w:rsidRPr="00B261D5">
              <w:rPr>
                <w:rStyle w:val="Hyperlink"/>
                <w:noProof/>
              </w:rPr>
              <w:t>Situation Analysis</w:t>
            </w:r>
            <w:r w:rsidR="00CC289E">
              <w:rPr>
                <w:noProof/>
                <w:webHidden/>
              </w:rPr>
              <w:tab/>
            </w:r>
            <w:r w:rsidR="00CC289E">
              <w:rPr>
                <w:noProof/>
                <w:webHidden/>
              </w:rPr>
              <w:fldChar w:fldCharType="begin"/>
            </w:r>
            <w:r w:rsidR="00CC289E">
              <w:rPr>
                <w:noProof/>
                <w:webHidden/>
              </w:rPr>
              <w:instrText xml:space="preserve"> PAGEREF _Toc454294899 \h </w:instrText>
            </w:r>
            <w:r w:rsidR="00CC289E">
              <w:rPr>
                <w:noProof/>
                <w:webHidden/>
              </w:rPr>
            </w:r>
            <w:r w:rsidR="00CC289E">
              <w:rPr>
                <w:noProof/>
                <w:webHidden/>
              </w:rPr>
              <w:fldChar w:fldCharType="separate"/>
            </w:r>
            <w:r w:rsidR="007870E2">
              <w:rPr>
                <w:noProof/>
                <w:webHidden/>
              </w:rPr>
              <w:t>15</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00" w:history="1">
            <w:r w:rsidR="00CC289E" w:rsidRPr="00B261D5">
              <w:rPr>
                <w:rStyle w:val="Hyperlink"/>
                <w:noProof/>
              </w:rPr>
              <w:t>3.1</w:t>
            </w:r>
            <w:r w:rsidR="00CC289E">
              <w:rPr>
                <w:rFonts w:asciiTheme="minorHAnsi" w:hAnsiTheme="minorHAnsi"/>
                <w:noProof/>
                <w:sz w:val="22"/>
                <w:szCs w:val="22"/>
                <w:lang w:eastAsia="en-GB"/>
              </w:rPr>
              <w:tab/>
            </w:r>
            <w:r w:rsidR="00CC289E" w:rsidRPr="00B261D5">
              <w:rPr>
                <w:rStyle w:val="Hyperlink"/>
                <w:noProof/>
              </w:rPr>
              <w:t>ICT sector components</w:t>
            </w:r>
            <w:r w:rsidR="00CC289E">
              <w:rPr>
                <w:noProof/>
                <w:webHidden/>
              </w:rPr>
              <w:tab/>
            </w:r>
            <w:r w:rsidR="00CC289E">
              <w:rPr>
                <w:noProof/>
                <w:webHidden/>
              </w:rPr>
              <w:fldChar w:fldCharType="begin"/>
            </w:r>
            <w:r w:rsidR="00CC289E">
              <w:rPr>
                <w:noProof/>
                <w:webHidden/>
              </w:rPr>
              <w:instrText xml:space="preserve"> PAGEREF _Toc454294900 \h </w:instrText>
            </w:r>
            <w:r w:rsidR="00CC289E">
              <w:rPr>
                <w:noProof/>
                <w:webHidden/>
              </w:rPr>
            </w:r>
            <w:r w:rsidR="00CC289E">
              <w:rPr>
                <w:noProof/>
                <w:webHidden/>
              </w:rPr>
              <w:fldChar w:fldCharType="separate"/>
            </w:r>
            <w:r w:rsidR="007870E2">
              <w:rPr>
                <w:noProof/>
                <w:webHidden/>
              </w:rPr>
              <w:t>15</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901" w:history="1">
            <w:r w:rsidR="00CC289E" w:rsidRPr="00B261D5">
              <w:rPr>
                <w:rStyle w:val="Hyperlink"/>
                <w:noProof/>
              </w:rPr>
              <w:t>3.1.1</w:t>
            </w:r>
            <w:r w:rsidR="00CC289E">
              <w:rPr>
                <w:rFonts w:asciiTheme="minorHAnsi" w:hAnsiTheme="minorHAnsi"/>
                <w:noProof/>
                <w:sz w:val="22"/>
                <w:szCs w:val="22"/>
                <w:lang w:eastAsia="en-GB"/>
              </w:rPr>
              <w:tab/>
            </w:r>
            <w:r w:rsidR="00CC289E" w:rsidRPr="00B261D5">
              <w:rPr>
                <w:rStyle w:val="Hyperlink"/>
                <w:noProof/>
              </w:rPr>
              <w:t>Supporting a digital economy</w:t>
            </w:r>
            <w:r w:rsidR="00CC289E">
              <w:rPr>
                <w:noProof/>
                <w:webHidden/>
              </w:rPr>
              <w:tab/>
            </w:r>
            <w:r w:rsidR="00CC289E">
              <w:rPr>
                <w:noProof/>
                <w:webHidden/>
              </w:rPr>
              <w:fldChar w:fldCharType="begin"/>
            </w:r>
            <w:r w:rsidR="00CC289E">
              <w:rPr>
                <w:noProof/>
                <w:webHidden/>
              </w:rPr>
              <w:instrText xml:space="preserve"> PAGEREF _Toc454294901 \h </w:instrText>
            </w:r>
            <w:r w:rsidR="00CC289E">
              <w:rPr>
                <w:noProof/>
                <w:webHidden/>
              </w:rPr>
            </w:r>
            <w:r w:rsidR="00CC289E">
              <w:rPr>
                <w:noProof/>
                <w:webHidden/>
              </w:rPr>
              <w:fldChar w:fldCharType="separate"/>
            </w:r>
            <w:r w:rsidR="007870E2">
              <w:rPr>
                <w:noProof/>
                <w:webHidden/>
              </w:rPr>
              <w:t>15</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902" w:history="1">
            <w:r w:rsidR="00CC289E" w:rsidRPr="00B261D5">
              <w:rPr>
                <w:rStyle w:val="Hyperlink"/>
                <w:noProof/>
              </w:rPr>
              <w:t>3.1.2</w:t>
            </w:r>
            <w:r w:rsidR="00CC289E">
              <w:rPr>
                <w:rFonts w:asciiTheme="minorHAnsi" w:hAnsiTheme="minorHAnsi"/>
                <w:noProof/>
                <w:sz w:val="22"/>
                <w:szCs w:val="22"/>
                <w:lang w:eastAsia="en-GB"/>
              </w:rPr>
              <w:tab/>
            </w:r>
            <w:r w:rsidR="00CC289E" w:rsidRPr="00B261D5">
              <w:rPr>
                <w:rStyle w:val="Hyperlink"/>
                <w:noProof/>
              </w:rPr>
              <w:t>ICT as a cross-sectoral enabler:</w:t>
            </w:r>
            <w:r w:rsidR="00CC289E">
              <w:rPr>
                <w:noProof/>
                <w:webHidden/>
              </w:rPr>
              <w:tab/>
            </w:r>
            <w:r w:rsidR="00CC289E">
              <w:rPr>
                <w:noProof/>
                <w:webHidden/>
              </w:rPr>
              <w:fldChar w:fldCharType="begin"/>
            </w:r>
            <w:r w:rsidR="00CC289E">
              <w:rPr>
                <w:noProof/>
                <w:webHidden/>
              </w:rPr>
              <w:instrText xml:space="preserve"> PAGEREF _Toc454294902 \h </w:instrText>
            </w:r>
            <w:r w:rsidR="00CC289E">
              <w:rPr>
                <w:noProof/>
                <w:webHidden/>
              </w:rPr>
            </w:r>
            <w:r w:rsidR="00CC289E">
              <w:rPr>
                <w:noProof/>
                <w:webHidden/>
              </w:rPr>
              <w:fldChar w:fldCharType="separate"/>
            </w:r>
            <w:r w:rsidR="007870E2">
              <w:rPr>
                <w:noProof/>
                <w:webHidden/>
              </w:rPr>
              <w:t>15</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903" w:history="1">
            <w:r w:rsidR="00CC289E" w:rsidRPr="00B261D5">
              <w:rPr>
                <w:rStyle w:val="Hyperlink"/>
                <w:noProof/>
              </w:rPr>
              <w:t>3.1.3</w:t>
            </w:r>
            <w:r w:rsidR="00CC289E">
              <w:rPr>
                <w:rFonts w:asciiTheme="minorHAnsi" w:hAnsiTheme="minorHAnsi"/>
                <w:noProof/>
                <w:sz w:val="22"/>
                <w:szCs w:val="22"/>
                <w:lang w:eastAsia="en-GB"/>
              </w:rPr>
              <w:tab/>
            </w:r>
            <w:r w:rsidR="00CC289E" w:rsidRPr="00B261D5">
              <w:rPr>
                <w:rStyle w:val="Hyperlink"/>
                <w:noProof/>
              </w:rPr>
              <w:t>ICT as an internal tool within development cooperation institutions</w:t>
            </w:r>
            <w:r w:rsidR="00CC289E">
              <w:rPr>
                <w:noProof/>
                <w:webHidden/>
              </w:rPr>
              <w:tab/>
            </w:r>
            <w:r w:rsidR="00CC289E">
              <w:rPr>
                <w:noProof/>
                <w:webHidden/>
              </w:rPr>
              <w:fldChar w:fldCharType="begin"/>
            </w:r>
            <w:r w:rsidR="00CC289E">
              <w:rPr>
                <w:noProof/>
                <w:webHidden/>
              </w:rPr>
              <w:instrText xml:space="preserve"> PAGEREF _Toc454294903 \h </w:instrText>
            </w:r>
            <w:r w:rsidR="00CC289E">
              <w:rPr>
                <w:noProof/>
                <w:webHidden/>
              </w:rPr>
            </w:r>
            <w:r w:rsidR="00CC289E">
              <w:rPr>
                <w:noProof/>
                <w:webHidden/>
              </w:rPr>
              <w:fldChar w:fldCharType="separate"/>
            </w:r>
            <w:r w:rsidR="007870E2">
              <w:rPr>
                <w:noProof/>
                <w:webHidden/>
              </w:rPr>
              <w:t>16</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04" w:history="1">
            <w:r w:rsidR="00CC289E" w:rsidRPr="00B261D5">
              <w:rPr>
                <w:rStyle w:val="Hyperlink"/>
                <w:noProof/>
              </w:rPr>
              <w:t>3.2</w:t>
            </w:r>
            <w:r w:rsidR="00CC289E">
              <w:rPr>
                <w:rFonts w:asciiTheme="minorHAnsi" w:hAnsiTheme="minorHAnsi"/>
                <w:noProof/>
                <w:sz w:val="22"/>
                <w:szCs w:val="22"/>
                <w:lang w:eastAsia="en-GB"/>
              </w:rPr>
              <w:tab/>
            </w:r>
            <w:r w:rsidR="00CC289E" w:rsidRPr="00B261D5">
              <w:rPr>
                <w:rStyle w:val="Hyperlink"/>
                <w:noProof/>
              </w:rPr>
              <w:t>Conclusions regarding the progress of the Commission and other EUMS</w:t>
            </w:r>
            <w:r w:rsidR="00CC289E">
              <w:rPr>
                <w:noProof/>
                <w:webHidden/>
              </w:rPr>
              <w:tab/>
            </w:r>
            <w:r w:rsidR="00CC289E">
              <w:rPr>
                <w:noProof/>
                <w:webHidden/>
              </w:rPr>
              <w:fldChar w:fldCharType="begin"/>
            </w:r>
            <w:r w:rsidR="00CC289E">
              <w:rPr>
                <w:noProof/>
                <w:webHidden/>
              </w:rPr>
              <w:instrText xml:space="preserve"> PAGEREF _Toc454294904 \h </w:instrText>
            </w:r>
            <w:r w:rsidR="00CC289E">
              <w:rPr>
                <w:noProof/>
                <w:webHidden/>
              </w:rPr>
            </w:r>
            <w:r w:rsidR="00CC289E">
              <w:rPr>
                <w:noProof/>
                <w:webHidden/>
              </w:rPr>
              <w:fldChar w:fldCharType="separate"/>
            </w:r>
            <w:r w:rsidR="007870E2">
              <w:rPr>
                <w:noProof/>
                <w:webHidden/>
              </w:rPr>
              <w:t>16</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905" w:history="1">
            <w:r w:rsidR="00CC289E" w:rsidRPr="00B261D5">
              <w:rPr>
                <w:rStyle w:val="Hyperlink"/>
                <w:noProof/>
              </w:rPr>
              <w:t>3.2.1</w:t>
            </w:r>
            <w:r w:rsidR="00CC289E">
              <w:rPr>
                <w:rFonts w:asciiTheme="minorHAnsi" w:hAnsiTheme="minorHAnsi"/>
                <w:noProof/>
                <w:sz w:val="22"/>
                <w:szCs w:val="22"/>
                <w:lang w:eastAsia="en-GB"/>
              </w:rPr>
              <w:tab/>
            </w:r>
            <w:r w:rsidR="00CC289E" w:rsidRPr="00B261D5">
              <w:rPr>
                <w:rStyle w:val="Hyperlink"/>
                <w:noProof/>
              </w:rPr>
              <w:t>The Commission</w:t>
            </w:r>
            <w:r w:rsidR="00CC289E">
              <w:rPr>
                <w:noProof/>
                <w:webHidden/>
              </w:rPr>
              <w:tab/>
            </w:r>
            <w:r w:rsidR="00CC289E">
              <w:rPr>
                <w:noProof/>
                <w:webHidden/>
              </w:rPr>
              <w:fldChar w:fldCharType="begin"/>
            </w:r>
            <w:r w:rsidR="00CC289E">
              <w:rPr>
                <w:noProof/>
                <w:webHidden/>
              </w:rPr>
              <w:instrText xml:space="preserve"> PAGEREF _Toc454294905 \h </w:instrText>
            </w:r>
            <w:r w:rsidR="00CC289E">
              <w:rPr>
                <w:noProof/>
                <w:webHidden/>
              </w:rPr>
            </w:r>
            <w:r w:rsidR="00CC289E">
              <w:rPr>
                <w:noProof/>
                <w:webHidden/>
              </w:rPr>
              <w:fldChar w:fldCharType="separate"/>
            </w:r>
            <w:r w:rsidR="007870E2">
              <w:rPr>
                <w:noProof/>
                <w:webHidden/>
              </w:rPr>
              <w:t>16</w:t>
            </w:r>
            <w:r w:rsidR="00CC289E">
              <w:rPr>
                <w:noProof/>
                <w:webHidden/>
              </w:rPr>
              <w:fldChar w:fldCharType="end"/>
            </w:r>
          </w:hyperlink>
        </w:p>
        <w:p w:rsidR="00CC289E" w:rsidRDefault="00267338">
          <w:pPr>
            <w:pStyle w:val="TOC3"/>
            <w:tabs>
              <w:tab w:val="left" w:pos="1100"/>
              <w:tab w:val="right" w:leader="dot" w:pos="9062"/>
            </w:tabs>
            <w:rPr>
              <w:rFonts w:asciiTheme="minorHAnsi" w:hAnsiTheme="minorHAnsi"/>
              <w:noProof/>
              <w:sz w:val="22"/>
              <w:szCs w:val="22"/>
              <w:lang w:eastAsia="en-GB"/>
            </w:rPr>
          </w:pPr>
          <w:hyperlink w:anchor="_Toc454294906" w:history="1">
            <w:r w:rsidR="00CC289E" w:rsidRPr="00B261D5">
              <w:rPr>
                <w:rStyle w:val="Hyperlink"/>
                <w:noProof/>
              </w:rPr>
              <w:t>3.2.2</w:t>
            </w:r>
            <w:r w:rsidR="00CC289E">
              <w:rPr>
                <w:rFonts w:asciiTheme="minorHAnsi" w:hAnsiTheme="minorHAnsi"/>
                <w:noProof/>
                <w:sz w:val="22"/>
                <w:szCs w:val="22"/>
                <w:lang w:eastAsia="en-GB"/>
              </w:rPr>
              <w:tab/>
            </w:r>
            <w:r w:rsidR="00CC289E" w:rsidRPr="00B261D5">
              <w:rPr>
                <w:rStyle w:val="Hyperlink"/>
                <w:noProof/>
              </w:rPr>
              <w:t>EU MS</w:t>
            </w:r>
            <w:r w:rsidR="00CC289E">
              <w:rPr>
                <w:noProof/>
                <w:webHidden/>
              </w:rPr>
              <w:tab/>
            </w:r>
            <w:r w:rsidR="00CC289E">
              <w:rPr>
                <w:noProof/>
                <w:webHidden/>
              </w:rPr>
              <w:fldChar w:fldCharType="begin"/>
            </w:r>
            <w:r w:rsidR="00CC289E">
              <w:rPr>
                <w:noProof/>
                <w:webHidden/>
              </w:rPr>
              <w:instrText xml:space="preserve"> PAGEREF _Toc454294906 \h </w:instrText>
            </w:r>
            <w:r w:rsidR="00CC289E">
              <w:rPr>
                <w:noProof/>
                <w:webHidden/>
              </w:rPr>
            </w:r>
            <w:r w:rsidR="00CC289E">
              <w:rPr>
                <w:noProof/>
                <w:webHidden/>
              </w:rPr>
              <w:fldChar w:fldCharType="separate"/>
            </w:r>
            <w:r w:rsidR="007870E2">
              <w:rPr>
                <w:noProof/>
                <w:webHidden/>
              </w:rPr>
              <w:t>17</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07" w:history="1">
            <w:r w:rsidR="00CC289E" w:rsidRPr="00B261D5">
              <w:rPr>
                <w:rStyle w:val="Hyperlink"/>
                <w:noProof/>
              </w:rPr>
              <w:t>3.3</w:t>
            </w:r>
            <w:r w:rsidR="00CC289E">
              <w:rPr>
                <w:rFonts w:asciiTheme="minorHAnsi" w:hAnsiTheme="minorHAnsi"/>
                <w:noProof/>
                <w:sz w:val="22"/>
                <w:szCs w:val="22"/>
                <w:lang w:eastAsia="en-GB"/>
              </w:rPr>
              <w:tab/>
            </w:r>
            <w:r w:rsidR="00CC289E" w:rsidRPr="00B261D5">
              <w:rPr>
                <w:rStyle w:val="Hyperlink"/>
                <w:noProof/>
              </w:rPr>
              <w:t>The role of monitoring</w:t>
            </w:r>
            <w:r w:rsidR="00CC289E">
              <w:rPr>
                <w:noProof/>
                <w:webHidden/>
              </w:rPr>
              <w:tab/>
            </w:r>
            <w:r w:rsidR="00CC289E">
              <w:rPr>
                <w:noProof/>
                <w:webHidden/>
              </w:rPr>
              <w:fldChar w:fldCharType="begin"/>
            </w:r>
            <w:r w:rsidR="00CC289E">
              <w:rPr>
                <w:noProof/>
                <w:webHidden/>
              </w:rPr>
              <w:instrText xml:space="preserve"> PAGEREF _Toc454294907 \h </w:instrText>
            </w:r>
            <w:r w:rsidR="00CC289E">
              <w:rPr>
                <w:noProof/>
                <w:webHidden/>
              </w:rPr>
            </w:r>
            <w:r w:rsidR="00CC289E">
              <w:rPr>
                <w:noProof/>
                <w:webHidden/>
              </w:rPr>
              <w:fldChar w:fldCharType="separate"/>
            </w:r>
            <w:r w:rsidR="007870E2">
              <w:rPr>
                <w:noProof/>
                <w:webHidden/>
              </w:rPr>
              <w:t>18</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08" w:history="1">
            <w:r w:rsidR="00CC289E" w:rsidRPr="00B261D5">
              <w:rPr>
                <w:rStyle w:val="Hyperlink"/>
                <w:noProof/>
              </w:rPr>
              <w:t>3.4</w:t>
            </w:r>
            <w:r w:rsidR="00CC289E">
              <w:rPr>
                <w:rFonts w:asciiTheme="minorHAnsi" w:hAnsiTheme="minorHAnsi"/>
                <w:noProof/>
                <w:sz w:val="22"/>
                <w:szCs w:val="22"/>
                <w:lang w:eastAsia="en-GB"/>
              </w:rPr>
              <w:tab/>
            </w:r>
            <w:r w:rsidR="00CC289E" w:rsidRPr="00B261D5">
              <w:rPr>
                <w:rStyle w:val="Hyperlink"/>
                <w:noProof/>
              </w:rPr>
              <w:t>The risks: ICT as a disabler</w:t>
            </w:r>
            <w:r w:rsidR="00CC289E">
              <w:rPr>
                <w:noProof/>
                <w:webHidden/>
              </w:rPr>
              <w:tab/>
            </w:r>
            <w:r w:rsidR="00CC289E">
              <w:rPr>
                <w:noProof/>
                <w:webHidden/>
              </w:rPr>
              <w:fldChar w:fldCharType="begin"/>
            </w:r>
            <w:r w:rsidR="00CC289E">
              <w:rPr>
                <w:noProof/>
                <w:webHidden/>
              </w:rPr>
              <w:instrText xml:space="preserve"> PAGEREF _Toc454294908 \h </w:instrText>
            </w:r>
            <w:r w:rsidR="00CC289E">
              <w:rPr>
                <w:noProof/>
                <w:webHidden/>
              </w:rPr>
            </w:r>
            <w:r w:rsidR="00CC289E">
              <w:rPr>
                <w:noProof/>
                <w:webHidden/>
              </w:rPr>
              <w:fldChar w:fldCharType="separate"/>
            </w:r>
            <w:r w:rsidR="007870E2">
              <w:rPr>
                <w:noProof/>
                <w:webHidden/>
              </w:rPr>
              <w:t>18</w:t>
            </w:r>
            <w:r w:rsidR="00CC289E">
              <w:rPr>
                <w:noProof/>
                <w:webHidden/>
              </w:rPr>
              <w:fldChar w:fldCharType="end"/>
            </w:r>
          </w:hyperlink>
        </w:p>
        <w:p w:rsidR="00CC289E" w:rsidRDefault="00267338">
          <w:pPr>
            <w:pStyle w:val="TOC1"/>
            <w:tabs>
              <w:tab w:val="left" w:pos="440"/>
              <w:tab w:val="right" w:leader="dot" w:pos="9062"/>
            </w:tabs>
            <w:rPr>
              <w:rFonts w:asciiTheme="minorHAnsi" w:hAnsiTheme="minorHAnsi"/>
              <w:noProof/>
              <w:sz w:val="22"/>
              <w:szCs w:val="22"/>
              <w:lang w:eastAsia="en-GB"/>
            </w:rPr>
          </w:pPr>
          <w:hyperlink w:anchor="_Toc454294909" w:history="1">
            <w:r w:rsidR="00CC289E" w:rsidRPr="00B261D5">
              <w:rPr>
                <w:rStyle w:val="Hyperlink"/>
                <w:noProof/>
              </w:rPr>
              <w:t>4</w:t>
            </w:r>
            <w:r w:rsidR="00CC289E">
              <w:rPr>
                <w:rFonts w:asciiTheme="minorHAnsi" w:hAnsiTheme="minorHAnsi"/>
                <w:noProof/>
                <w:sz w:val="22"/>
                <w:szCs w:val="22"/>
                <w:lang w:eastAsia="en-GB"/>
              </w:rPr>
              <w:tab/>
            </w:r>
            <w:r w:rsidR="00CC289E" w:rsidRPr="00B261D5">
              <w:rPr>
                <w:rStyle w:val="Hyperlink"/>
                <w:noProof/>
              </w:rPr>
              <w:t>Recommendations</w:t>
            </w:r>
            <w:r w:rsidR="00CC289E">
              <w:rPr>
                <w:noProof/>
                <w:webHidden/>
              </w:rPr>
              <w:tab/>
            </w:r>
            <w:r w:rsidR="00CC289E">
              <w:rPr>
                <w:noProof/>
                <w:webHidden/>
              </w:rPr>
              <w:fldChar w:fldCharType="begin"/>
            </w:r>
            <w:r w:rsidR="00CC289E">
              <w:rPr>
                <w:noProof/>
                <w:webHidden/>
              </w:rPr>
              <w:instrText xml:space="preserve"> PAGEREF _Toc454294909 \h </w:instrText>
            </w:r>
            <w:r w:rsidR="00CC289E">
              <w:rPr>
                <w:noProof/>
                <w:webHidden/>
              </w:rPr>
            </w:r>
            <w:r w:rsidR="00CC289E">
              <w:rPr>
                <w:noProof/>
                <w:webHidden/>
              </w:rPr>
              <w:fldChar w:fldCharType="separate"/>
            </w:r>
            <w:r w:rsidR="007870E2">
              <w:rPr>
                <w:noProof/>
                <w:webHidden/>
              </w:rPr>
              <w:t>19</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10" w:history="1">
            <w:r w:rsidR="00CC289E" w:rsidRPr="00B261D5">
              <w:rPr>
                <w:rStyle w:val="Hyperlink"/>
                <w:noProof/>
              </w:rPr>
              <w:t>4.1</w:t>
            </w:r>
            <w:r w:rsidR="00CC289E">
              <w:rPr>
                <w:rFonts w:asciiTheme="minorHAnsi" w:hAnsiTheme="minorHAnsi"/>
                <w:noProof/>
                <w:sz w:val="22"/>
                <w:szCs w:val="22"/>
                <w:lang w:eastAsia="en-GB"/>
              </w:rPr>
              <w:tab/>
            </w:r>
            <w:r w:rsidR="00CC289E" w:rsidRPr="00B261D5">
              <w:rPr>
                <w:rStyle w:val="Hyperlink"/>
                <w:noProof/>
              </w:rPr>
              <w:t>Review of high level strategic frameworks</w:t>
            </w:r>
            <w:r w:rsidR="00CC289E">
              <w:rPr>
                <w:noProof/>
                <w:webHidden/>
              </w:rPr>
              <w:tab/>
            </w:r>
            <w:r w:rsidR="00CC289E">
              <w:rPr>
                <w:noProof/>
                <w:webHidden/>
              </w:rPr>
              <w:fldChar w:fldCharType="begin"/>
            </w:r>
            <w:r w:rsidR="00CC289E">
              <w:rPr>
                <w:noProof/>
                <w:webHidden/>
              </w:rPr>
              <w:instrText xml:space="preserve"> PAGEREF _Toc454294910 \h </w:instrText>
            </w:r>
            <w:r w:rsidR="00CC289E">
              <w:rPr>
                <w:noProof/>
                <w:webHidden/>
              </w:rPr>
            </w:r>
            <w:r w:rsidR="00CC289E">
              <w:rPr>
                <w:noProof/>
                <w:webHidden/>
              </w:rPr>
              <w:fldChar w:fldCharType="separate"/>
            </w:r>
            <w:r w:rsidR="007870E2">
              <w:rPr>
                <w:noProof/>
                <w:webHidden/>
              </w:rPr>
              <w:t>19</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11" w:history="1">
            <w:r w:rsidR="00CC289E" w:rsidRPr="00B261D5">
              <w:rPr>
                <w:rStyle w:val="Hyperlink"/>
                <w:noProof/>
              </w:rPr>
              <w:t>4.2</w:t>
            </w:r>
            <w:r w:rsidR="00CC289E">
              <w:rPr>
                <w:rFonts w:asciiTheme="minorHAnsi" w:hAnsiTheme="minorHAnsi"/>
                <w:noProof/>
                <w:sz w:val="22"/>
                <w:szCs w:val="22"/>
                <w:lang w:eastAsia="en-GB"/>
              </w:rPr>
              <w:tab/>
            </w:r>
            <w:r w:rsidR="00CC289E" w:rsidRPr="00B261D5">
              <w:rPr>
                <w:rStyle w:val="Hyperlink"/>
                <w:noProof/>
              </w:rPr>
              <w:t>Assessing the state of the digital economy to ensure the effectiveness of cross-sectoral ICT</w:t>
            </w:r>
            <w:r w:rsidR="00CC289E">
              <w:rPr>
                <w:noProof/>
                <w:webHidden/>
              </w:rPr>
              <w:tab/>
            </w:r>
            <w:r w:rsidR="00CC289E">
              <w:rPr>
                <w:noProof/>
                <w:webHidden/>
              </w:rPr>
              <w:fldChar w:fldCharType="begin"/>
            </w:r>
            <w:r w:rsidR="00CC289E">
              <w:rPr>
                <w:noProof/>
                <w:webHidden/>
              </w:rPr>
              <w:instrText xml:space="preserve"> PAGEREF _Toc454294911 \h </w:instrText>
            </w:r>
            <w:r w:rsidR="00CC289E">
              <w:rPr>
                <w:noProof/>
                <w:webHidden/>
              </w:rPr>
            </w:r>
            <w:r w:rsidR="00CC289E">
              <w:rPr>
                <w:noProof/>
                <w:webHidden/>
              </w:rPr>
              <w:fldChar w:fldCharType="separate"/>
            </w:r>
            <w:r w:rsidR="007870E2">
              <w:rPr>
                <w:noProof/>
                <w:webHidden/>
              </w:rPr>
              <w:t>20</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12" w:history="1">
            <w:r w:rsidR="00CC289E" w:rsidRPr="00B261D5">
              <w:rPr>
                <w:rStyle w:val="Hyperlink"/>
                <w:noProof/>
              </w:rPr>
              <w:t>4.3</w:t>
            </w:r>
            <w:r w:rsidR="00CC289E">
              <w:rPr>
                <w:rFonts w:asciiTheme="minorHAnsi" w:hAnsiTheme="minorHAnsi"/>
                <w:noProof/>
                <w:sz w:val="22"/>
                <w:szCs w:val="22"/>
                <w:lang w:eastAsia="en-GB"/>
              </w:rPr>
              <w:tab/>
            </w:r>
            <w:r w:rsidR="00CC289E" w:rsidRPr="00B261D5">
              <w:rPr>
                <w:rStyle w:val="Hyperlink"/>
                <w:noProof/>
              </w:rPr>
              <w:t>Launching ICT as a cross-sectoral enabling tool</w:t>
            </w:r>
            <w:r w:rsidR="00CC289E">
              <w:rPr>
                <w:noProof/>
                <w:webHidden/>
              </w:rPr>
              <w:tab/>
            </w:r>
            <w:r w:rsidR="00CC289E">
              <w:rPr>
                <w:noProof/>
                <w:webHidden/>
              </w:rPr>
              <w:fldChar w:fldCharType="begin"/>
            </w:r>
            <w:r w:rsidR="00CC289E">
              <w:rPr>
                <w:noProof/>
                <w:webHidden/>
              </w:rPr>
              <w:instrText xml:space="preserve"> PAGEREF _Toc454294912 \h </w:instrText>
            </w:r>
            <w:r w:rsidR="00CC289E">
              <w:rPr>
                <w:noProof/>
                <w:webHidden/>
              </w:rPr>
            </w:r>
            <w:r w:rsidR="00CC289E">
              <w:rPr>
                <w:noProof/>
                <w:webHidden/>
              </w:rPr>
              <w:fldChar w:fldCharType="separate"/>
            </w:r>
            <w:r w:rsidR="007870E2">
              <w:rPr>
                <w:noProof/>
                <w:webHidden/>
              </w:rPr>
              <w:t>21</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13" w:history="1">
            <w:r w:rsidR="00CC289E" w:rsidRPr="00B261D5">
              <w:rPr>
                <w:rStyle w:val="Hyperlink"/>
                <w:noProof/>
              </w:rPr>
              <w:t>4.4</w:t>
            </w:r>
            <w:r w:rsidR="00CC289E">
              <w:rPr>
                <w:rFonts w:asciiTheme="minorHAnsi" w:hAnsiTheme="minorHAnsi"/>
                <w:noProof/>
                <w:sz w:val="22"/>
                <w:szCs w:val="22"/>
                <w:lang w:eastAsia="en-GB"/>
              </w:rPr>
              <w:tab/>
            </w:r>
            <w:r w:rsidR="00CC289E" w:rsidRPr="00B261D5">
              <w:rPr>
                <w:rStyle w:val="Hyperlink"/>
                <w:noProof/>
              </w:rPr>
              <w:t>Promoting the establishment of indicators for cross-sectoral ICT</w:t>
            </w:r>
            <w:r w:rsidR="00CC289E">
              <w:rPr>
                <w:noProof/>
                <w:webHidden/>
              </w:rPr>
              <w:tab/>
            </w:r>
            <w:r w:rsidR="00CC289E">
              <w:rPr>
                <w:noProof/>
                <w:webHidden/>
              </w:rPr>
              <w:fldChar w:fldCharType="begin"/>
            </w:r>
            <w:r w:rsidR="00CC289E">
              <w:rPr>
                <w:noProof/>
                <w:webHidden/>
              </w:rPr>
              <w:instrText xml:space="preserve"> PAGEREF _Toc454294913 \h </w:instrText>
            </w:r>
            <w:r w:rsidR="00CC289E">
              <w:rPr>
                <w:noProof/>
                <w:webHidden/>
              </w:rPr>
            </w:r>
            <w:r w:rsidR="00CC289E">
              <w:rPr>
                <w:noProof/>
                <w:webHidden/>
              </w:rPr>
              <w:fldChar w:fldCharType="separate"/>
            </w:r>
            <w:r w:rsidR="007870E2">
              <w:rPr>
                <w:noProof/>
                <w:webHidden/>
              </w:rPr>
              <w:t>21</w:t>
            </w:r>
            <w:r w:rsidR="00CC289E">
              <w:rPr>
                <w:noProof/>
                <w:webHidden/>
              </w:rPr>
              <w:fldChar w:fldCharType="end"/>
            </w:r>
          </w:hyperlink>
        </w:p>
        <w:p w:rsidR="00CC289E" w:rsidRDefault="00267338">
          <w:pPr>
            <w:pStyle w:val="TOC2"/>
            <w:rPr>
              <w:rFonts w:asciiTheme="minorHAnsi" w:hAnsiTheme="minorHAnsi"/>
              <w:noProof/>
              <w:sz w:val="22"/>
              <w:szCs w:val="22"/>
              <w:lang w:eastAsia="en-GB"/>
            </w:rPr>
          </w:pPr>
          <w:hyperlink w:anchor="_Toc454294914" w:history="1">
            <w:r w:rsidR="00CC289E" w:rsidRPr="00B261D5">
              <w:rPr>
                <w:rStyle w:val="Hyperlink"/>
                <w:noProof/>
              </w:rPr>
              <w:t>4.5</w:t>
            </w:r>
            <w:r w:rsidR="00CC289E">
              <w:rPr>
                <w:rFonts w:asciiTheme="minorHAnsi" w:hAnsiTheme="minorHAnsi"/>
                <w:noProof/>
                <w:sz w:val="22"/>
                <w:szCs w:val="22"/>
                <w:lang w:eastAsia="en-GB"/>
              </w:rPr>
              <w:tab/>
            </w:r>
            <w:r w:rsidR="00CC289E" w:rsidRPr="00B261D5">
              <w:rPr>
                <w:rStyle w:val="Hyperlink"/>
                <w:noProof/>
              </w:rPr>
              <w:t>Intra-EU ICT-coordination</w:t>
            </w:r>
            <w:r w:rsidR="00CC289E">
              <w:rPr>
                <w:noProof/>
                <w:webHidden/>
              </w:rPr>
              <w:tab/>
            </w:r>
            <w:r w:rsidR="00CC289E">
              <w:rPr>
                <w:noProof/>
                <w:webHidden/>
              </w:rPr>
              <w:fldChar w:fldCharType="begin"/>
            </w:r>
            <w:r w:rsidR="00CC289E">
              <w:rPr>
                <w:noProof/>
                <w:webHidden/>
              </w:rPr>
              <w:instrText xml:space="preserve"> PAGEREF _Toc454294914 \h </w:instrText>
            </w:r>
            <w:r w:rsidR="00CC289E">
              <w:rPr>
                <w:noProof/>
                <w:webHidden/>
              </w:rPr>
            </w:r>
            <w:r w:rsidR="00CC289E">
              <w:rPr>
                <w:noProof/>
                <w:webHidden/>
              </w:rPr>
              <w:fldChar w:fldCharType="separate"/>
            </w:r>
            <w:r w:rsidR="007870E2">
              <w:rPr>
                <w:noProof/>
                <w:webHidden/>
              </w:rPr>
              <w:t>22</w:t>
            </w:r>
            <w:r w:rsidR="00CC289E">
              <w:rPr>
                <w:noProof/>
                <w:webHidden/>
              </w:rPr>
              <w:fldChar w:fldCharType="end"/>
            </w:r>
          </w:hyperlink>
        </w:p>
        <w:p w:rsidR="004A74A6" w:rsidRPr="009A001A" w:rsidRDefault="004A74A6" w:rsidP="008926C9">
          <w:pPr>
            <w:pStyle w:val="TOC2"/>
            <w:rPr>
              <w:rFonts w:asciiTheme="minorHAnsi" w:hAnsiTheme="minorHAnsi"/>
              <w:noProof/>
              <w:sz w:val="22"/>
              <w:szCs w:val="22"/>
              <w:lang w:eastAsia="en-GB"/>
            </w:rPr>
          </w:pPr>
          <w:r w:rsidRPr="001E6D00">
            <w:rPr>
              <w:b/>
              <w:bCs/>
              <w:noProof/>
            </w:rPr>
            <w:fldChar w:fldCharType="end"/>
          </w:r>
        </w:p>
      </w:sdtContent>
    </w:sdt>
    <w:p w:rsidR="004A74A6" w:rsidRDefault="004A74A6" w:rsidP="00E24C43"/>
    <w:p w:rsidR="0048008D" w:rsidRDefault="0048008D" w:rsidP="00E04FDB">
      <w:pPr>
        <w:pStyle w:val="Heading1"/>
        <w:numPr>
          <w:ilvl w:val="0"/>
          <w:numId w:val="0"/>
        </w:numPr>
        <w:ind w:left="360"/>
        <w:sectPr w:rsidR="0048008D" w:rsidSect="008D1FC6">
          <w:footerReference w:type="default" r:id="rId10"/>
          <w:pgSz w:w="11906" w:h="16838"/>
          <w:pgMar w:top="1417" w:right="1417" w:bottom="1276" w:left="1417" w:header="708" w:footer="708" w:gutter="0"/>
          <w:cols w:space="708"/>
          <w:docGrid w:linePitch="360"/>
        </w:sectPr>
      </w:pPr>
    </w:p>
    <w:p w:rsidR="002348BB" w:rsidRDefault="002348BB" w:rsidP="002348BB">
      <w:pPr>
        <w:pStyle w:val="Heading1"/>
        <w:spacing w:before="0"/>
      </w:pPr>
      <w:bookmarkStart w:id="1" w:name="_Toc447554838"/>
      <w:bookmarkStart w:id="2" w:name="_Toc454294886"/>
      <w:r>
        <w:lastRenderedPageBreak/>
        <w:t>Introduction</w:t>
      </w:r>
      <w:bookmarkEnd w:id="1"/>
      <w:bookmarkEnd w:id="2"/>
    </w:p>
    <w:p w:rsidR="00DF46B8" w:rsidRDefault="00DF46B8" w:rsidP="00DF46B8">
      <w:r w:rsidRPr="00DF46B8">
        <w:t xml:space="preserve">In 2015 and 2016 a number of important </w:t>
      </w:r>
      <w:r w:rsidR="00E94C11">
        <w:t>consecutive</w:t>
      </w:r>
      <w:r w:rsidR="00E94C11" w:rsidRPr="00DF46B8">
        <w:t xml:space="preserve"> </w:t>
      </w:r>
      <w:r w:rsidR="00003B38">
        <w:t xml:space="preserve">international development </w:t>
      </w:r>
      <w:r w:rsidR="00E94C11" w:rsidRPr="00DF46B8">
        <w:t xml:space="preserve">events organised both globally, between and within regions </w:t>
      </w:r>
      <w:r w:rsidRPr="00DF46B8">
        <w:t>p</w:t>
      </w:r>
      <w:r w:rsidR="00E94C11">
        <w:t>ut</w:t>
      </w:r>
      <w:r w:rsidRPr="00DF46B8">
        <w:t xml:space="preserve"> the spotlight on ICT. </w:t>
      </w:r>
      <w:r>
        <w:t>They</w:t>
      </w:r>
      <w:r w:rsidRPr="00DF46B8">
        <w:t xml:space="preserve"> set the scene for the launch of a</w:t>
      </w:r>
      <w:r>
        <w:t xml:space="preserve">n </w:t>
      </w:r>
      <w:r w:rsidRPr="00DF46B8">
        <w:t xml:space="preserve">initiative which strives to mainstream digitalisation in the development activities of the </w:t>
      </w:r>
      <w:r w:rsidR="00F70C94">
        <w:t>European Union (</w:t>
      </w:r>
      <w:r w:rsidRPr="00DF46B8">
        <w:t>EU</w:t>
      </w:r>
      <w:r w:rsidR="00F70C94">
        <w:t>)</w:t>
      </w:r>
      <w:r w:rsidRPr="00DF46B8">
        <w:t xml:space="preserve"> and its Member States</w:t>
      </w:r>
      <w:r w:rsidR="00F70C94">
        <w:t xml:space="preserve"> (MS)</w:t>
      </w:r>
      <w:r w:rsidRPr="00DF46B8">
        <w:t>.</w:t>
      </w:r>
    </w:p>
    <w:p w:rsidR="002348BB" w:rsidRDefault="002348BB" w:rsidP="00983961">
      <w:r>
        <w:t>On 9</w:t>
      </w:r>
      <w:r w:rsidR="00E94C11">
        <w:t>th</w:t>
      </w:r>
      <w:r>
        <w:t xml:space="preserve"> and 10</w:t>
      </w:r>
      <w:r w:rsidR="00E94C11">
        <w:t>th</w:t>
      </w:r>
      <w:r>
        <w:t xml:space="preserve"> July 2015</w:t>
      </w:r>
      <w:r w:rsidR="00B04099">
        <w:t>,</w:t>
      </w:r>
      <w:r>
        <w:t xml:space="preserve"> request</w:t>
      </w:r>
      <w:r w:rsidR="00983961">
        <w:t>s from both</w:t>
      </w:r>
      <w:r>
        <w:t xml:space="preserve"> the Belgian Deputy Prime Minister Alexander de Croo and Ministers/State Secretaries from 14 other EU </w:t>
      </w:r>
      <w:r w:rsidR="00BA145B">
        <w:t>MS</w:t>
      </w:r>
      <w:r>
        <w:t xml:space="preserve"> (FR, EE, NL, HU, FI, MT, ES, PL, LV, DE, SE, SL, AT, GR) </w:t>
      </w:r>
      <w:r w:rsidR="00983961">
        <w:t>were</w:t>
      </w:r>
      <w:r>
        <w:t xml:space="preserve"> forwarded to Commissioner Mimica and High Representative Vice President Mogherini, proposing </w:t>
      </w:r>
      <w:r w:rsidR="003543D7">
        <w:t xml:space="preserve">that </w:t>
      </w:r>
      <w:r w:rsidR="00983961">
        <w:t xml:space="preserve">the </w:t>
      </w:r>
      <w:r>
        <w:t xml:space="preserve">European External Action Service (EEAS) and the Commission </w:t>
      </w:r>
      <w:r w:rsidR="009B02DA">
        <w:t>prepare</w:t>
      </w:r>
      <w:r>
        <w:t xml:space="preserve"> a staff working document (SWD) on the impact o</w:t>
      </w:r>
      <w:r w:rsidR="00983961">
        <w:t>f digitalisation on development</w:t>
      </w:r>
      <w:r>
        <w:t xml:space="preserve"> to be presented </w:t>
      </w:r>
      <w:r w:rsidR="00983961">
        <w:t>in</w:t>
      </w:r>
      <w:r>
        <w:t xml:space="preserve"> the first semester</w:t>
      </w:r>
      <w:r w:rsidR="00983961">
        <w:t xml:space="preserve"> of 2016.</w:t>
      </w:r>
    </w:p>
    <w:p w:rsidR="0039627C" w:rsidRDefault="008A4851" w:rsidP="0039627C">
      <w:r>
        <w:t xml:space="preserve">This note </w:t>
      </w:r>
      <w:r w:rsidR="00BA145B">
        <w:t>was drafted</w:t>
      </w:r>
      <w:r>
        <w:t xml:space="preserve"> in response to </w:t>
      </w:r>
      <w:r w:rsidR="006B6CF2">
        <w:t xml:space="preserve">the above request and in line with </w:t>
      </w:r>
      <w:r w:rsidR="007E16C6">
        <w:t>the growing attention that digital development continues to attract</w:t>
      </w:r>
      <w:r w:rsidR="00EF1D4F">
        <w:t xml:space="preserve">. </w:t>
      </w:r>
      <w:r w:rsidR="004A69A1">
        <w:t xml:space="preserve">The note broadly </w:t>
      </w:r>
      <w:r w:rsidR="00EF1D4F">
        <w:t>assess</w:t>
      </w:r>
      <w:r w:rsidR="00F249B2">
        <w:t>es</w:t>
      </w:r>
      <w:r w:rsidR="00EF1D4F">
        <w:t xml:space="preserve"> the current situation and provide</w:t>
      </w:r>
      <w:r w:rsidR="00F249B2">
        <w:t>s</w:t>
      </w:r>
      <w:r w:rsidR="0039627C" w:rsidRPr="001E15CE">
        <w:t xml:space="preserve"> an overview of the impact and opportunities </w:t>
      </w:r>
      <w:r w:rsidR="00F70C94">
        <w:t>that digitalisation offers</w:t>
      </w:r>
      <w:r w:rsidR="006B6CF2">
        <w:t xml:space="preserve">. </w:t>
      </w:r>
      <w:r w:rsidR="00EC0C97">
        <w:t>It</w:t>
      </w:r>
      <w:r w:rsidR="006B6CF2">
        <w:t xml:space="preserve"> is a</w:t>
      </w:r>
      <w:r w:rsidR="00F70C94" w:rsidRPr="0039627C">
        <w:t xml:space="preserve"> first step </w:t>
      </w:r>
      <w:r w:rsidR="00F70C94">
        <w:t xml:space="preserve">towards reaching a common understanding </w:t>
      </w:r>
      <w:r w:rsidR="00B431D2">
        <w:t xml:space="preserve">between the EU and </w:t>
      </w:r>
      <w:r w:rsidR="00394A3B">
        <w:t xml:space="preserve">EU </w:t>
      </w:r>
      <w:r w:rsidR="00B431D2">
        <w:t xml:space="preserve">MS </w:t>
      </w:r>
      <w:r w:rsidR="00F70C94">
        <w:t xml:space="preserve">of </w:t>
      </w:r>
      <w:r w:rsidR="00F249B2">
        <w:t xml:space="preserve">the definition of </w:t>
      </w:r>
      <w:r w:rsidR="00F70C94">
        <w:t xml:space="preserve">digital development and associated strategies. </w:t>
      </w:r>
      <w:r w:rsidR="006B6CF2">
        <w:t xml:space="preserve">In addition to identifying the current role of ICT </w:t>
      </w:r>
      <w:r w:rsidR="006B6CF2" w:rsidRPr="001E15CE">
        <w:t>within</w:t>
      </w:r>
      <w:r w:rsidR="006B6CF2">
        <w:t xml:space="preserve"> the EU external actions framework, </w:t>
      </w:r>
      <w:r w:rsidR="0039627C">
        <w:t xml:space="preserve">including the importance of </w:t>
      </w:r>
      <w:r w:rsidR="004A69A1">
        <w:t>having</w:t>
      </w:r>
      <w:r w:rsidR="0039627C">
        <w:t xml:space="preserve"> a harmonised framework</w:t>
      </w:r>
      <w:r w:rsidR="004A69A1">
        <w:t xml:space="preserve"> at the EU level</w:t>
      </w:r>
      <w:r w:rsidR="0039627C">
        <w:t xml:space="preserve">, it also looks at how </w:t>
      </w:r>
      <w:r w:rsidR="005C273F">
        <w:t xml:space="preserve">some </w:t>
      </w:r>
      <w:r w:rsidR="0039627C">
        <w:t xml:space="preserve">individual Member States </w:t>
      </w:r>
      <w:r w:rsidR="000C0385">
        <w:t>include</w:t>
      </w:r>
      <w:r w:rsidR="0039627C">
        <w:t xml:space="preserve"> ICT within </w:t>
      </w:r>
      <w:r w:rsidR="00B431D2">
        <w:t xml:space="preserve">their </w:t>
      </w:r>
      <w:r w:rsidR="0039627C">
        <w:t xml:space="preserve">development </w:t>
      </w:r>
      <w:r w:rsidR="00F70C94">
        <w:t>cooperation</w:t>
      </w:r>
      <w:r w:rsidR="00B431D2">
        <w:t xml:space="preserve"> frameworks</w:t>
      </w:r>
      <w:r w:rsidR="0039627C">
        <w:t xml:space="preserve">. </w:t>
      </w:r>
      <w:r w:rsidR="009E6224">
        <w:t>I</w:t>
      </w:r>
      <w:r w:rsidR="00B431D2">
        <w:t>t i</w:t>
      </w:r>
      <w:r w:rsidR="0039627C">
        <w:t>s intended that th</w:t>
      </w:r>
      <w:r w:rsidR="000C0385">
        <w:t>is</w:t>
      </w:r>
      <w:r w:rsidR="0039627C">
        <w:t xml:space="preserve"> note may serve </w:t>
      </w:r>
      <w:r w:rsidR="000C0385">
        <w:t>to guide</w:t>
      </w:r>
      <w:r w:rsidR="0039627C">
        <w:t xml:space="preserve"> the strategic direction of the EU</w:t>
      </w:r>
      <w:r w:rsidR="000C0385">
        <w:t>'s</w:t>
      </w:r>
      <w:r w:rsidR="0039627C">
        <w:t xml:space="preserve"> work </w:t>
      </w:r>
      <w:r w:rsidR="000C0385">
        <w:t xml:space="preserve">on </w:t>
      </w:r>
      <w:r w:rsidR="0039627C">
        <w:t>digital development</w:t>
      </w:r>
      <w:r w:rsidR="000C0385">
        <w:t xml:space="preserve"> within development cooperation</w:t>
      </w:r>
      <w:r w:rsidR="0039627C">
        <w:t>.</w:t>
      </w:r>
    </w:p>
    <w:p w:rsidR="007E16C6" w:rsidRDefault="007E16C6" w:rsidP="007E16C6">
      <w:r>
        <w:t xml:space="preserve">For the purpose of </w:t>
      </w:r>
      <w:r w:rsidR="00821B0A">
        <w:t xml:space="preserve">producing </w:t>
      </w:r>
      <w:r>
        <w:t xml:space="preserve">this </w:t>
      </w:r>
      <w:r w:rsidR="005D6CE1">
        <w:t>paper</w:t>
      </w:r>
      <w:r>
        <w:t>, the EU</w:t>
      </w:r>
      <w:r w:rsidR="000C0385">
        <w:t>'s</w:t>
      </w:r>
      <w:r>
        <w:t xml:space="preserve"> main activities within the sector have been mapped</w:t>
      </w:r>
      <w:r w:rsidR="008A0A80">
        <w:t xml:space="preserve"> and to some </w:t>
      </w:r>
      <w:r w:rsidR="00453B98">
        <w:t>extent analysed</w:t>
      </w:r>
      <w:r>
        <w:t xml:space="preserve">, although </w:t>
      </w:r>
      <w:r w:rsidR="00391048">
        <w:t>as emphasised above,</w:t>
      </w:r>
      <w:r w:rsidR="0039627C">
        <w:t xml:space="preserve"> </w:t>
      </w:r>
      <w:r w:rsidR="005D6CE1">
        <w:t xml:space="preserve">the scope is broad and </w:t>
      </w:r>
      <w:r>
        <w:t xml:space="preserve">this is not a complete mapping study. A large number of consultative meetings have been held with the </w:t>
      </w:r>
      <w:r w:rsidR="002348BB">
        <w:t>Commission services</w:t>
      </w:r>
      <w:r>
        <w:t xml:space="preserve">, the EEAS, </w:t>
      </w:r>
      <w:r w:rsidR="000447C5">
        <w:t xml:space="preserve">EU MS </w:t>
      </w:r>
      <w:r>
        <w:t xml:space="preserve">representatives, </w:t>
      </w:r>
      <w:r w:rsidR="002348BB">
        <w:t xml:space="preserve">as well as with </w:t>
      </w:r>
      <w:r>
        <w:t>representatives from the private sector</w:t>
      </w:r>
      <w:r w:rsidR="00394A3B">
        <w:t>,</w:t>
      </w:r>
      <w:r>
        <w:t xml:space="preserve"> civil society</w:t>
      </w:r>
      <w:r w:rsidR="00394A3B">
        <w:t xml:space="preserve"> and academia</w:t>
      </w:r>
      <w:r>
        <w:t>.</w:t>
      </w:r>
      <w:r w:rsidR="005C273F">
        <w:t xml:space="preserve"> </w:t>
      </w:r>
      <w:r w:rsidR="005D6CE1">
        <w:t>T</w:t>
      </w:r>
      <w:r w:rsidR="005C273F">
        <w:t>his is a first step towards d</w:t>
      </w:r>
      <w:r w:rsidR="005D6CE1">
        <w:t xml:space="preserve">eveloping a strategic response and therefore </w:t>
      </w:r>
      <w:r w:rsidR="005C273F">
        <w:t xml:space="preserve">it is expected that </w:t>
      </w:r>
      <w:r w:rsidR="00B029F5">
        <w:t xml:space="preserve">there will be forthcoming </w:t>
      </w:r>
      <w:r w:rsidR="005C273F">
        <w:t xml:space="preserve">initiatives </w:t>
      </w:r>
      <w:r w:rsidR="00B029F5">
        <w:t>which will</w:t>
      </w:r>
      <w:r w:rsidR="005C273F">
        <w:t xml:space="preserve"> further </w:t>
      </w:r>
      <w:r w:rsidR="00561AEA">
        <w:t>define the focus of this paper.</w:t>
      </w:r>
    </w:p>
    <w:p w:rsidR="00561AEA" w:rsidRDefault="002348BB" w:rsidP="00B43E42">
      <w:r w:rsidRPr="007811F0">
        <w:t>Th</w:t>
      </w:r>
      <w:r w:rsidR="003E7B14">
        <w:t xml:space="preserve">e document is </w:t>
      </w:r>
      <w:r w:rsidR="00561AEA">
        <w:t>organised in the following way.</w:t>
      </w:r>
    </w:p>
    <w:p w:rsidR="00561AEA" w:rsidRDefault="003E7B14" w:rsidP="007E5D4D">
      <w:pPr>
        <w:pStyle w:val="ListParagraph"/>
        <w:numPr>
          <w:ilvl w:val="0"/>
          <w:numId w:val="13"/>
        </w:numPr>
      </w:pPr>
      <w:r>
        <w:t xml:space="preserve">Section 2 </w:t>
      </w:r>
      <w:r w:rsidR="002348BB" w:rsidRPr="007811F0">
        <w:t xml:space="preserve">provides </w:t>
      </w:r>
      <w:r w:rsidR="007811F0" w:rsidRPr="007811F0">
        <w:t xml:space="preserve">an overview of the impact and potential of </w:t>
      </w:r>
      <w:r w:rsidR="0066453B">
        <w:t>digitalisation</w:t>
      </w:r>
      <w:r w:rsidR="007811F0" w:rsidRPr="007811F0">
        <w:t xml:space="preserve"> </w:t>
      </w:r>
      <w:r w:rsidR="0066453B">
        <w:t>on</w:t>
      </w:r>
      <w:r w:rsidR="007811F0" w:rsidRPr="007811F0">
        <w:t xml:space="preserve"> development</w:t>
      </w:r>
      <w:r w:rsidR="00B43E42">
        <w:t xml:space="preserve"> and</w:t>
      </w:r>
      <w:r w:rsidR="007811F0" w:rsidRPr="007811F0">
        <w:t xml:space="preserve"> then goes on to describe the relevant policy frameworks of the EU and other donors as well as mapping </w:t>
      </w:r>
      <w:r w:rsidR="002348BB" w:rsidRPr="007811F0">
        <w:t>key recent initiatives</w:t>
      </w:r>
      <w:r w:rsidR="007811F0" w:rsidRPr="007811F0">
        <w:t xml:space="preserve"> and </w:t>
      </w:r>
      <w:r w:rsidR="00F3109C">
        <w:t xml:space="preserve">the main </w:t>
      </w:r>
      <w:r w:rsidR="007811F0" w:rsidRPr="007811F0">
        <w:t>Commission stakeholders</w:t>
      </w:r>
      <w:r w:rsidR="00561AEA">
        <w:t>.</w:t>
      </w:r>
    </w:p>
    <w:p w:rsidR="00561AEA" w:rsidRDefault="00B43E42" w:rsidP="007E5D4D">
      <w:pPr>
        <w:pStyle w:val="ListParagraph"/>
        <w:numPr>
          <w:ilvl w:val="0"/>
          <w:numId w:val="13"/>
        </w:numPr>
      </w:pPr>
      <w:r>
        <w:t>Section 3</w:t>
      </w:r>
      <w:r w:rsidR="002348BB" w:rsidRPr="007811F0">
        <w:t xml:space="preserve"> analyse</w:t>
      </w:r>
      <w:r>
        <w:t>s</w:t>
      </w:r>
      <w:r w:rsidR="002348BB" w:rsidRPr="007811F0">
        <w:t xml:space="preserve"> the role and achievements </w:t>
      </w:r>
      <w:r w:rsidR="000C0385">
        <w:t xml:space="preserve">of the </w:t>
      </w:r>
      <w:r w:rsidR="000C0385" w:rsidRPr="007811F0">
        <w:t xml:space="preserve">EU </w:t>
      </w:r>
      <w:r w:rsidR="000C0385">
        <w:t xml:space="preserve">and its Member States </w:t>
      </w:r>
      <w:r w:rsidR="00D15E34">
        <w:t>in the digitalisation field.</w:t>
      </w:r>
    </w:p>
    <w:p w:rsidR="002348BB" w:rsidRPr="002B661B" w:rsidRDefault="00B43E42" w:rsidP="007E5D4D">
      <w:pPr>
        <w:pStyle w:val="ListParagraph"/>
        <w:numPr>
          <w:ilvl w:val="0"/>
          <w:numId w:val="13"/>
        </w:numPr>
      </w:pPr>
      <w:r>
        <w:t xml:space="preserve">Section 4 provides </w:t>
      </w:r>
      <w:r w:rsidR="000C0385">
        <w:t xml:space="preserve">some </w:t>
      </w:r>
      <w:r w:rsidR="00F07CCC">
        <w:t xml:space="preserve">recommendations </w:t>
      </w:r>
      <w:r w:rsidR="000C0385">
        <w:t>on going forward</w:t>
      </w:r>
      <w:r w:rsidR="002348BB" w:rsidRPr="007811F0">
        <w:t>.</w:t>
      </w:r>
    </w:p>
    <w:p w:rsidR="00D83E89" w:rsidRDefault="00D83E89" w:rsidP="009B7D84">
      <w:pPr>
        <w:pStyle w:val="Heading1"/>
        <w:keepNext/>
      </w:pPr>
      <w:bookmarkStart w:id="3" w:name="_Toc454294887"/>
      <w:bookmarkStart w:id="4" w:name="_Toc447554839"/>
      <w:r>
        <w:t>Rationale</w:t>
      </w:r>
      <w:bookmarkEnd w:id="3"/>
    </w:p>
    <w:p w:rsidR="002348BB" w:rsidRPr="006E30ED" w:rsidRDefault="00D83E89" w:rsidP="00F94903">
      <w:pPr>
        <w:pStyle w:val="Heading2"/>
      </w:pPr>
      <w:bookmarkStart w:id="5" w:name="_Toc454294888"/>
      <w:r>
        <w:t xml:space="preserve">Context: </w:t>
      </w:r>
      <w:r w:rsidR="002348BB" w:rsidRPr="00DF696B">
        <w:t>Digitalisation in the 21st centur</w:t>
      </w:r>
      <w:r w:rsidR="002348BB" w:rsidRPr="006E30ED">
        <w:t>y</w:t>
      </w:r>
      <w:bookmarkEnd w:id="4"/>
      <w:bookmarkEnd w:id="5"/>
    </w:p>
    <w:p w:rsidR="00B707FE" w:rsidRDefault="000C0385" w:rsidP="005F1B76">
      <w:r>
        <w:t>As a result of</w:t>
      </w:r>
      <w:r w:rsidRPr="008456C6">
        <w:t xml:space="preserve"> </w:t>
      </w:r>
      <w:r w:rsidR="002348BB" w:rsidRPr="008456C6">
        <w:t xml:space="preserve">innovation, investment and </w:t>
      </w:r>
      <w:r w:rsidR="00F1549B">
        <w:t xml:space="preserve">technological </w:t>
      </w:r>
      <w:r w:rsidR="002348BB" w:rsidRPr="008456C6">
        <w:t xml:space="preserve">progress, digital technologies </w:t>
      </w:r>
      <w:r w:rsidR="002348BB">
        <w:t xml:space="preserve">are spreading </w:t>
      </w:r>
      <w:r w:rsidR="005F1B76">
        <w:t>rapidly</w:t>
      </w:r>
      <w:r w:rsidR="00195B27">
        <w:t xml:space="preserve"> </w:t>
      </w:r>
      <w:r w:rsidR="002348BB">
        <w:t xml:space="preserve">and </w:t>
      </w:r>
      <w:r w:rsidR="002348BB" w:rsidRPr="008456C6">
        <w:t xml:space="preserve">now occupy an </w:t>
      </w:r>
      <w:r w:rsidR="00195B27">
        <w:t>exceptional</w:t>
      </w:r>
      <w:r w:rsidR="002348BB" w:rsidRPr="008456C6">
        <w:t xml:space="preserve"> place in today’s society</w:t>
      </w:r>
      <w:r w:rsidR="003439EE">
        <w:t>. Digital technologies</w:t>
      </w:r>
      <w:r w:rsidR="004966BF">
        <w:t>,</w:t>
      </w:r>
      <w:r w:rsidR="003439EE">
        <w:t xml:space="preserve"> including the </w:t>
      </w:r>
      <w:r>
        <w:t>i</w:t>
      </w:r>
      <w:r w:rsidR="003439EE">
        <w:t>nternet</w:t>
      </w:r>
      <w:r w:rsidR="004966BF">
        <w:t>,</w:t>
      </w:r>
      <w:r w:rsidR="003439EE">
        <w:t xml:space="preserve"> are being adopted in the developing world at an unprecedented rate – faster than any other technologies in the past. For example, </w:t>
      </w:r>
      <w:r>
        <w:t>it took 60 years for electr</w:t>
      </w:r>
      <w:r w:rsidR="00EB7C1F">
        <w:t xml:space="preserve">icity to be rolled-out in Kenya </w:t>
      </w:r>
      <w:r>
        <w:t>compared to just a few years for</w:t>
      </w:r>
      <w:r w:rsidR="003439EE">
        <w:t xml:space="preserve"> the introduction of mobile phones and the</w:t>
      </w:r>
      <w:r w:rsidR="006E5545">
        <w:t xml:space="preserve"> </w:t>
      </w:r>
      <w:r w:rsidR="006E5545">
        <w:lastRenderedPageBreak/>
        <w:t>i</w:t>
      </w:r>
      <w:r w:rsidR="003439EE">
        <w:t>nternet. There are more households in developing countries</w:t>
      </w:r>
      <w:r w:rsidR="009E3D16">
        <w:t xml:space="preserve"> </w:t>
      </w:r>
      <w:r w:rsidR="003439EE">
        <w:t xml:space="preserve">that </w:t>
      </w:r>
      <w:r w:rsidR="009E3D16">
        <w:t xml:space="preserve">own </w:t>
      </w:r>
      <w:r w:rsidR="003439EE">
        <w:t xml:space="preserve">a mobile phone </w:t>
      </w:r>
      <w:r w:rsidR="009E3D16">
        <w:t xml:space="preserve">- on average 8 </w:t>
      </w:r>
      <w:r w:rsidR="00EB7C1F">
        <w:t>out of</w:t>
      </w:r>
      <w:r w:rsidR="009E3D16">
        <w:t xml:space="preserve"> 10 people </w:t>
      </w:r>
      <w:r w:rsidR="00EB7C1F">
        <w:t>–</w:t>
      </w:r>
      <w:r w:rsidR="009E3D16">
        <w:t xml:space="preserve"> </w:t>
      </w:r>
      <w:r w:rsidR="00EB7C1F">
        <w:t>compared to having</w:t>
      </w:r>
      <w:r w:rsidR="003439EE">
        <w:t xml:space="preserve"> access to electricity or clean water</w:t>
      </w:r>
      <w:r w:rsidR="009E3D16">
        <w:t xml:space="preserve">. </w:t>
      </w:r>
      <w:r w:rsidR="003439EE">
        <w:t>The number of internet users has tripled in the last decade moving from 1 billion in 2005 to 3.2 billion in 2015.</w:t>
      </w:r>
      <w:r w:rsidR="009E3D16">
        <w:t xml:space="preserve"> Increasingly, governments are also going digital, offering public e-services, and the business sector increasingly benefit</w:t>
      </w:r>
      <w:r w:rsidR="00EB7C1F">
        <w:t>ing</w:t>
      </w:r>
      <w:r w:rsidR="009E3D16">
        <w:t xml:space="preserve"> from broadband internet connections</w:t>
      </w:r>
      <w:r w:rsidR="00C01763">
        <w:rPr>
          <w:rStyle w:val="FootnoteReference"/>
        </w:rPr>
        <w:footnoteReference w:id="1"/>
      </w:r>
      <w:r w:rsidR="009E3D16">
        <w:t>.</w:t>
      </w:r>
    </w:p>
    <w:p w:rsidR="00B707FE" w:rsidRPr="00705F94" w:rsidRDefault="00D43500" w:rsidP="00F94903">
      <w:pPr>
        <w:pStyle w:val="Heading3"/>
      </w:pPr>
      <w:bookmarkStart w:id="6" w:name="_Toc454294889"/>
      <w:r>
        <w:t xml:space="preserve">The </w:t>
      </w:r>
      <w:r w:rsidR="00274266">
        <w:t>opportunities</w:t>
      </w:r>
      <w:r>
        <w:t xml:space="preserve"> and the divide</w:t>
      </w:r>
      <w:r w:rsidR="00A21269">
        <w:t>s</w:t>
      </w:r>
      <w:bookmarkEnd w:id="6"/>
    </w:p>
    <w:p w:rsidR="00550EA0" w:rsidRDefault="00961EB1" w:rsidP="00E823A2">
      <w:r>
        <w:t xml:space="preserve">The impact of digitalisation on development was most recently measured </w:t>
      </w:r>
      <w:r w:rsidR="00062C54">
        <w:t xml:space="preserve">and comprehensively mapped </w:t>
      </w:r>
      <w:r>
        <w:t xml:space="preserve">in the </w:t>
      </w:r>
      <w:r w:rsidR="008E60CB">
        <w:t xml:space="preserve">World Development Report </w:t>
      </w:r>
      <w:r w:rsidR="0050590C">
        <w:t xml:space="preserve">(WDR) </w:t>
      </w:r>
      <w:r w:rsidR="00AF6393">
        <w:t>of 2016</w:t>
      </w:r>
      <w:r w:rsidR="00FD22C0">
        <w:rPr>
          <w:rStyle w:val="FootnoteReference"/>
        </w:rPr>
        <w:footnoteReference w:id="2"/>
      </w:r>
      <w:r>
        <w:t xml:space="preserve">. </w:t>
      </w:r>
      <w:r w:rsidR="0050590C">
        <w:t xml:space="preserve">The following section summarises the key arguments of the report. </w:t>
      </w:r>
      <w:r>
        <w:t xml:space="preserve">The </w:t>
      </w:r>
      <w:r w:rsidR="0050590C">
        <w:t>WDR</w:t>
      </w:r>
      <w:r w:rsidR="00AF6393">
        <w:t xml:space="preserve"> </w:t>
      </w:r>
      <w:r w:rsidR="008E60CB">
        <w:t>argues that the Internet promotes development in three major ways</w:t>
      </w:r>
      <w:r w:rsidR="00AF6393">
        <w:t xml:space="preserve"> by way of </w:t>
      </w:r>
      <w:r w:rsidR="00AF6393" w:rsidRPr="00080A0B">
        <w:rPr>
          <w:i/>
          <w:iCs/>
        </w:rPr>
        <w:t>inclusion</w:t>
      </w:r>
      <w:r w:rsidR="00AF6393">
        <w:t xml:space="preserve">, </w:t>
      </w:r>
      <w:r w:rsidR="00AF6393" w:rsidRPr="00080A0B">
        <w:rPr>
          <w:i/>
          <w:iCs/>
        </w:rPr>
        <w:t>efficiency</w:t>
      </w:r>
      <w:r w:rsidR="00AF6393">
        <w:t xml:space="preserve"> and </w:t>
      </w:r>
      <w:r w:rsidR="00AF6393" w:rsidRPr="00080A0B">
        <w:rPr>
          <w:i/>
          <w:iCs/>
        </w:rPr>
        <w:t>innovation</w:t>
      </w:r>
      <w:r w:rsidR="008E60CB">
        <w:t>.</w:t>
      </w:r>
    </w:p>
    <w:p w:rsidR="00695999" w:rsidRDefault="00AF6393" w:rsidP="00E823A2">
      <w:r>
        <w:t xml:space="preserve">Firstly, </w:t>
      </w:r>
      <w:r w:rsidR="00E823A2">
        <w:t xml:space="preserve">more economic agents are </w:t>
      </w:r>
      <w:r w:rsidR="00E823A2" w:rsidRPr="00080A0B">
        <w:rPr>
          <w:i/>
          <w:iCs/>
        </w:rPr>
        <w:t>included</w:t>
      </w:r>
      <w:r w:rsidR="00E823A2">
        <w:t xml:space="preserve"> through reduced transaction </w:t>
      </w:r>
      <w:r w:rsidR="00EB7C1F">
        <w:t xml:space="preserve">costs </w:t>
      </w:r>
      <w:r w:rsidR="00E823A2">
        <w:t xml:space="preserve">which </w:t>
      </w:r>
      <w:r w:rsidR="00EB7C1F">
        <w:t>facilitate</w:t>
      </w:r>
      <w:r w:rsidR="00E823A2">
        <w:t xml:space="preserve"> access </w:t>
      </w:r>
      <w:r w:rsidR="00EB7C1F">
        <w:t xml:space="preserve">to </w:t>
      </w:r>
      <w:r w:rsidR="00E823A2">
        <w:t>information for economic transaction</w:t>
      </w:r>
      <w:r w:rsidR="00EB7C1F">
        <w:t>s</w:t>
      </w:r>
      <w:r w:rsidR="00E823A2">
        <w:t xml:space="preserve"> to take place</w:t>
      </w:r>
      <w:r>
        <w:t xml:space="preserve">. This allows </w:t>
      </w:r>
      <w:r w:rsidR="00C63DE1">
        <w:t xml:space="preserve">parties to connect to one another in a way that was previously </w:t>
      </w:r>
      <w:r>
        <w:t>not possible</w:t>
      </w:r>
      <w:r w:rsidR="00921DED">
        <w:t xml:space="preserve">. </w:t>
      </w:r>
      <w:r>
        <w:t>Examples include: increased possibiliti</w:t>
      </w:r>
      <w:r w:rsidR="00FF2F09">
        <w:t>es for lenders to assess credit</w:t>
      </w:r>
      <w:r>
        <w:t xml:space="preserve">worthiness of small-scale borrowers, small businesses connecting with remote </w:t>
      </w:r>
      <w:r w:rsidR="009640B8">
        <w:t>customers</w:t>
      </w:r>
      <w:r>
        <w:t xml:space="preserve"> or business partners</w:t>
      </w:r>
      <w:r w:rsidR="00550EA0">
        <w:t>;</w:t>
      </w:r>
      <w:r>
        <w:t xml:space="preserve"> or remotely located citizens accessing government services</w:t>
      </w:r>
      <w:r w:rsidR="00080A0B">
        <w:t xml:space="preserve"> that were previously out of range</w:t>
      </w:r>
      <w:r>
        <w:t>.</w:t>
      </w:r>
      <w:r w:rsidR="00695999">
        <w:t xml:space="preserve"> </w:t>
      </w:r>
      <w:r w:rsidR="00080A0B">
        <w:t>This also addresses situation</w:t>
      </w:r>
      <w:r w:rsidR="00C63DE1">
        <w:t>s</w:t>
      </w:r>
      <w:r w:rsidR="00080A0B">
        <w:t xml:space="preserve"> </w:t>
      </w:r>
      <w:r w:rsidR="008D0DFD">
        <w:t xml:space="preserve">of information asymmetry </w:t>
      </w:r>
      <w:r w:rsidR="00080A0B">
        <w:t>where one party ha</w:t>
      </w:r>
      <w:r w:rsidR="008D0DFD">
        <w:t xml:space="preserve">s more information than another </w:t>
      </w:r>
      <w:r w:rsidR="00695999">
        <w:t xml:space="preserve">e.g. a </w:t>
      </w:r>
      <w:r w:rsidR="00F44B0A">
        <w:t>farmer in Africa can within minutes</w:t>
      </w:r>
      <w:r w:rsidR="00695999" w:rsidRPr="00FD6214">
        <w:t xml:space="preserve"> check the market price of coffee on his mobile phone in order to ensure that he receives a fair price from his trader.</w:t>
      </w:r>
    </w:p>
    <w:p w:rsidR="00D15E34" w:rsidRDefault="00AF6393" w:rsidP="00D81487">
      <w:r>
        <w:t xml:space="preserve">Secondly, the </w:t>
      </w:r>
      <w:r w:rsidR="00394A3B">
        <w:t>I</w:t>
      </w:r>
      <w:r>
        <w:t xml:space="preserve">nternet promotes </w:t>
      </w:r>
      <w:r w:rsidRPr="00080A0B">
        <w:rPr>
          <w:i/>
          <w:iCs/>
        </w:rPr>
        <w:t>efficiency</w:t>
      </w:r>
      <w:r>
        <w:t xml:space="preserve"> by making transactions quicker, cheaper and easier to carry out. </w:t>
      </w:r>
      <w:r w:rsidR="00560CA7">
        <w:t>Allocating r</w:t>
      </w:r>
      <w:r w:rsidR="00560CA7" w:rsidRPr="005829C3">
        <w:t>esource</w:t>
      </w:r>
      <w:r w:rsidR="00560CA7">
        <w:t>s in an optimal way al</w:t>
      </w:r>
      <w:r w:rsidR="00FF2F09">
        <w:t>lows work</w:t>
      </w:r>
      <w:r w:rsidR="00560CA7">
        <w:t xml:space="preserve">place </w:t>
      </w:r>
      <w:r w:rsidR="00CA5159">
        <w:t xml:space="preserve">activities </w:t>
      </w:r>
      <w:r w:rsidR="00560CA7">
        <w:t>to be</w:t>
      </w:r>
      <w:r w:rsidR="001C526D">
        <w:t xml:space="preserve"> </w:t>
      </w:r>
      <w:r w:rsidR="00497FAC">
        <w:t>automat</w:t>
      </w:r>
      <w:r w:rsidR="00560CA7">
        <w:t>ed</w:t>
      </w:r>
      <w:r w:rsidR="00D15E34">
        <w:t>,</w:t>
      </w:r>
      <w:r w:rsidR="00E115C3">
        <w:t xml:space="preserve"> for example through</w:t>
      </w:r>
      <w:r w:rsidR="00560CA7">
        <w:t xml:space="preserve"> </w:t>
      </w:r>
      <w:r w:rsidR="00497FAC">
        <w:t>online booking</w:t>
      </w:r>
      <w:r w:rsidR="001C526D">
        <w:t xml:space="preserve"> facilitie</w:t>
      </w:r>
      <w:r w:rsidR="00497FAC">
        <w:t>s</w:t>
      </w:r>
      <w:r w:rsidR="008E2470">
        <w:t xml:space="preserve"> and banking</w:t>
      </w:r>
      <w:r w:rsidR="00E115C3">
        <w:t xml:space="preserve">. This </w:t>
      </w:r>
      <w:r w:rsidR="00B538EF">
        <w:t>allows</w:t>
      </w:r>
      <w:r w:rsidR="00497FAC">
        <w:t xml:space="preserve"> </w:t>
      </w:r>
      <w:r w:rsidR="00D15E34">
        <w:t xml:space="preserve">for </w:t>
      </w:r>
      <w:r w:rsidR="00497FAC">
        <w:t>more time to</w:t>
      </w:r>
      <w:r w:rsidR="005829C3">
        <w:t xml:space="preserve"> carry out activities which add</w:t>
      </w:r>
      <w:r w:rsidR="00E115C3">
        <w:t xml:space="preserve"> more value.</w:t>
      </w:r>
      <w:r w:rsidR="00CA5159">
        <w:t xml:space="preserve"> </w:t>
      </w:r>
    </w:p>
    <w:p w:rsidR="008E60CB" w:rsidRDefault="00497FAC" w:rsidP="00D81487">
      <w:r>
        <w:t xml:space="preserve">Thirdly, </w:t>
      </w:r>
      <w:r w:rsidR="00CA5159">
        <w:t xml:space="preserve">when </w:t>
      </w:r>
      <w:r>
        <w:t xml:space="preserve">transaction costs </w:t>
      </w:r>
      <w:r w:rsidR="00B75D4B">
        <w:t>diminish and finally disappear</w:t>
      </w:r>
      <w:r w:rsidR="00CA5159">
        <w:t xml:space="preserve"> this in-turn fosters the </w:t>
      </w:r>
      <w:r w:rsidR="00BF32E9">
        <w:t xml:space="preserve">creation of </w:t>
      </w:r>
      <w:r w:rsidR="00B538EF" w:rsidRPr="00914645">
        <w:t>innovation</w:t>
      </w:r>
      <w:r w:rsidR="00B538EF">
        <w:t xml:space="preserve"> </w:t>
      </w:r>
      <w:r w:rsidR="00695999">
        <w:t>s</w:t>
      </w:r>
      <w:r w:rsidR="00695999" w:rsidRPr="00FD6214">
        <w:t xml:space="preserve">ervices </w:t>
      </w:r>
      <w:r w:rsidR="00F74FDD">
        <w:t xml:space="preserve">and information goods </w:t>
      </w:r>
      <w:r w:rsidR="00695999" w:rsidRPr="00FD6214">
        <w:t xml:space="preserve">such as online entertainment, commerce and information platforms. </w:t>
      </w:r>
      <w:r w:rsidR="001572E3">
        <w:t>The emergence of new business models and markets and new production models bring smarter value chains and may encourage traditional businesses to undergo reform.</w:t>
      </w:r>
      <w:r w:rsidR="007F4C7D">
        <w:t xml:space="preserve"> </w:t>
      </w:r>
      <w:r w:rsidR="00BF32E9">
        <w:t xml:space="preserve">The </w:t>
      </w:r>
      <w:r w:rsidR="00507B35">
        <w:t xml:space="preserve">extremely </w:t>
      </w:r>
      <w:r w:rsidR="00BF32E9">
        <w:t>low marginal costs</w:t>
      </w:r>
      <w:r w:rsidR="00695999" w:rsidRPr="00FD6214">
        <w:t xml:space="preserve"> foster </w:t>
      </w:r>
      <w:r w:rsidR="00695999" w:rsidRPr="00914645">
        <w:rPr>
          <w:i/>
          <w:iCs/>
        </w:rPr>
        <w:t>innovation</w:t>
      </w:r>
      <w:r w:rsidR="00695999" w:rsidRPr="00FD6214">
        <w:t xml:space="preserve"> and high levels of growth.</w:t>
      </w:r>
    </w:p>
    <w:p w:rsidR="00D0079F" w:rsidRDefault="00B707FE" w:rsidP="00E65258">
      <w:r>
        <w:t xml:space="preserve">Despite </w:t>
      </w:r>
      <w:r w:rsidRPr="007D657B">
        <w:t>the success of digital technologies</w:t>
      </w:r>
      <w:r>
        <w:t>, c</w:t>
      </w:r>
      <w:r w:rsidRPr="007D657B">
        <w:t xml:space="preserve">onnectivity and affordability </w:t>
      </w:r>
      <w:r w:rsidR="00CA5159" w:rsidRPr="007D657B">
        <w:t>remain a problem both across and within regions</w:t>
      </w:r>
      <w:r w:rsidR="00CA5159">
        <w:t xml:space="preserve"> </w:t>
      </w:r>
      <w:r w:rsidR="002819A2">
        <w:t>along with the required skills to adopt technology</w:t>
      </w:r>
      <w:r w:rsidRPr="007D657B">
        <w:t xml:space="preserve">. In Europe as well as in Africa, there are large variations </w:t>
      </w:r>
      <w:r w:rsidR="00D0079F">
        <w:t xml:space="preserve">in connectivity </w:t>
      </w:r>
      <w:r w:rsidRPr="007D657B">
        <w:t>between high</w:t>
      </w:r>
      <w:r w:rsidR="00CA5159">
        <w:t xml:space="preserve"> </w:t>
      </w:r>
      <w:r w:rsidRPr="007D657B">
        <w:t xml:space="preserve">and lower income countries and </w:t>
      </w:r>
      <w:r>
        <w:t xml:space="preserve">between cities and rural areas. </w:t>
      </w:r>
      <w:r w:rsidR="005B3329">
        <w:t>Worldwide</w:t>
      </w:r>
      <w:r w:rsidR="00DF2798">
        <w:t>,</w:t>
      </w:r>
      <w:r w:rsidR="005B3329">
        <w:t xml:space="preserve"> nearly six</w:t>
      </w:r>
      <w:r w:rsidR="00567E5E">
        <w:t xml:space="preserve"> billion </w:t>
      </w:r>
      <w:r w:rsidR="005B3329" w:rsidRPr="00387C5D">
        <w:t xml:space="preserve">people do not have access to high speed </w:t>
      </w:r>
      <w:r w:rsidR="00F74251">
        <w:t>I</w:t>
      </w:r>
      <w:r w:rsidR="005B3329" w:rsidRPr="00387C5D">
        <w:t>nternet connection</w:t>
      </w:r>
      <w:r w:rsidR="00CA5159">
        <w:t>s</w:t>
      </w:r>
      <w:r w:rsidR="005B3329" w:rsidRPr="00387C5D">
        <w:t xml:space="preserve">, about four billion people lack access to the Internet, two billion people do not use a mobile phone and about </w:t>
      </w:r>
      <w:r w:rsidR="004A1778" w:rsidRPr="00387C5D">
        <w:t>half</w:t>
      </w:r>
      <w:r w:rsidR="005B3329" w:rsidRPr="00387C5D">
        <w:t xml:space="preserve"> a billion </w:t>
      </w:r>
      <w:r w:rsidR="00CA5159">
        <w:t xml:space="preserve">people </w:t>
      </w:r>
      <w:r w:rsidR="005B3329" w:rsidRPr="00387C5D">
        <w:t xml:space="preserve">live in areas without </w:t>
      </w:r>
      <w:r w:rsidR="00CA5159">
        <w:t xml:space="preserve">a </w:t>
      </w:r>
      <w:r w:rsidR="005B3329" w:rsidRPr="00387C5D">
        <w:t>mobile signal</w:t>
      </w:r>
      <w:r w:rsidR="004D3DCA">
        <w:rPr>
          <w:rStyle w:val="FootnoteReference"/>
        </w:rPr>
        <w:footnoteReference w:id="3"/>
      </w:r>
      <w:r w:rsidR="005B3329" w:rsidRPr="00387C5D">
        <w:t xml:space="preserve">. </w:t>
      </w:r>
      <w:r>
        <w:t>A</w:t>
      </w:r>
      <w:r w:rsidRPr="007D657B">
        <w:t xml:space="preserve">ccess to ICT </w:t>
      </w:r>
      <w:r w:rsidR="00CA5159">
        <w:t xml:space="preserve">worldwide </w:t>
      </w:r>
      <w:r w:rsidRPr="007D657B">
        <w:t xml:space="preserve">is </w:t>
      </w:r>
      <w:r w:rsidR="00CA5159">
        <w:t xml:space="preserve">therefore </w:t>
      </w:r>
      <w:r>
        <w:t xml:space="preserve">still </w:t>
      </w:r>
      <w:r w:rsidR="00E51DAD">
        <w:t xml:space="preserve">significantly </w:t>
      </w:r>
      <w:r>
        <w:t xml:space="preserve">restricted </w:t>
      </w:r>
      <w:r w:rsidR="00E65258">
        <w:t xml:space="preserve">and </w:t>
      </w:r>
      <w:r w:rsidR="00235B4D">
        <w:t xml:space="preserve">there is clear evidence </w:t>
      </w:r>
      <w:r w:rsidR="00992C2B">
        <w:t>that digital gains are not being distributed equally</w:t>
      </w:r>
      <w:r w:rsidR="00D0079F">
        <w:t>.</w:t>
      </w:r>
      <w:r w:rsidR="00235B4D">
        <w:t xml:space="preserve"> </w:t>
      </w:r>
      <w:r w:rsidR="00DA039A">
        <w:t xml:space="preserve">Global indicators for </w:t>
      </w:r>
      <w:r w:rsidR="00235B4D" w:rsidRPr="007D657B">
        <w:t xml:space="preserve">equality and democracy </w:t>
      </w:r>
      <w:r w:rsidR="00235B4D">
        <w:t>are</w:t>
      </w:r>
      <w:r w:rsidR="00235B4D" w:rsidRPr="007D657B">
        <w:t xml:space="preserve"> </w:t>
      </w:r>
      <w:r w:rsidR="00235B4D">
        <w:t>demonstrating</w:t>
      </w:r>
      <w:r w:rsidR="00DA039A">
        <w:t xml:space="preserve"> less than satisfactory results.</w:t>
      </w:r>
      <w:r w:rsidR="00F16E5F">
        <w:t xml:space="preserve"> On the </w:t>
      </w:r>
      <w:r w:rsidR="00D66840">
        <w:t>production</w:t>
      </w:r>
      <w:r w:rsidR="00F16E5F">
        <w:t xml:space="preserve"> side, </w:t>
      </w:r>
      <w:r w:rsidR="00EE4122">
        <w:t xml:space="preserve">despite businesses </w:t>
      </w:r>
      <w:r w:rsidR="00CA5159">
        <w:t xml:space="preserve">being </w:t>
      </w:r>
      <w:r w:rsidR="0071031C">
        <w:t>better</w:t>
      </w:r>
      <w:r w:rsidR="00EE4122">
        <w:t xml:space="preserve"> connected than </w:t>
      </w:r>
      <w:r w:rsidR="0071031C">
        <w:t>ever</w:t>
      </w:r>
      <w:r w:rsidR="00EE4122">
        <w:t>, global productivity has slowed</w:t>
      </w:r>
      <w:r w:rsidR="00D66840">
        <w:t xml:space="preserve"> thus demonstrating that the </w:t>
      </w:r>
      <w:r w:rsidR="00815562">
        <w:t xml:space="preserve">aggregate </w:t>
      </w:r>
      <w:r w:rsidR="00D66840">
        <w:t>impact of digitalisation has not been as</w:t>
      </w:r>
      <w:r w:rsidR="00E01633">
        <w:t xml:space="preserve"> high as</w:t>
      </w:r>
      <w:r w:rsidR="00D66840">
        <w:t xml:space="preserve"> expected.</w:t>
      </w:r>
    </w:p>
    <w:p w:rsidR="00B707FE" w:rsidRDefault="00B707FE" w:rsidP="00D00186">
      <w:r w:rsidRPr="00FD6214">
        <w:t xml:space="preserve">In order to fully reap the benefits of digitalisation, </w:t>
      </w:r>
      <w:r w:rsidR="0049375D">
        <w:t>it is argued</w:t>
      </w:r>
      <w:r w:rsidR="00D0079F">
        <w:t xml:space="preserve"> that </w:t>
      </w:r>
      <w:r w:rsidR="0049375D">
        <w:t xml:space="preserve">the </w:t>
      </w:r>
      <w:r w:rsidRPr="00FD6214">
        <w:t xml:space="preserve">adoption and use of ICT needs to be accompanied by appropriate </w:t>
      </w:r>
      <w:r w:rsidR="00D00186" w:rsidRPr="00D00186">
        <w:t xml:space="preserve">policy and regulatory </w:t>
      </w:r>
      <w:r w:rsidRPr="00FD6214">
        <w:t>framework</w:t>
      </w:r>
      <w:r>
        <w:t>s. For instance,</w:t>
      </w:r>
      <w:r w:rsidRPr="00FD6214">
        <w:t xml:space="preserve"> </w:t>
      </w:r>
      <w:r w:rsidR="002923F2">
        <w:t>if</w:t>
      </w:r>
      <w:r w:rsidRPr="00FD6214">
        <w:t xml:space="preserve"> market regulation and labour market supply do not keep up with </w:t>
      </w:r>
      <w:r w:rsidR="002923F2">
        <w:t xml:space="preserve">the </w:t>
      </w:r>
      <w:r w:rsidR="00D0079F">
        <w:t xml:space="preserve">progress of </w:t>
      </w:r>
      <w:r w:rsidR="00890A8F">
        <w:t>digitalisation</w:t>
      </w:r>
      <w:r w:rsidR="00D00186">
        <w:t xml:space="preserve"> this </w:t>
      </w:r>
      <w:r w:rsidR="002923F2">
        <w:t xml:space="preserve">may </w:t>
      </w:r>
      <w:r w:rsidR="00890A8F">
        <w:t xml:space="preserve">result in gains being </w:t>
      </w:r>
      <w:r w:rsidRPr="00FD6214">
        <w:t>concentrat</w:t>
      </w:r>
      <w:r w:rsidR="00890A8F">
        <w:t>ed</w:t>
      </w:r>
      <w:r w:rsidRPr="00FD6214">
        <w:t xml:space="preserve"> </w:t>
      </w:r>
      <w:r w:rsidR="00373B0B" w:rsidRPr="00FD6214">
        <w:t>among</w:t>
      </w:r>
      <w:r w:rsidR="00373B0B">
        <w:t xml:space="preserve"> </w:t>
      </w:r>
      <w:r w:rsidRPr="00FD6214">
        <w:t>minority elite</w:t>
      </w:r>
      <w:r w:rsidR="0014018B">
        <w:t xml:space="preserve"> thus reinforcing existing inequalities</w:t>
      </w:r>
      <w:r w:rsidRPr="00FD6214">
        <w:t xml:space="preserve">. This requires </w:t>
      </w:r>
      <w:r w:rsidR="00CA5159">
        <w:t xml:space="preserve">a </w:t>
      </w:r>
      <w:r w:rsidRPr="00FD6214">
        <w:t xml:space="preserve">better understanding of how technology interacts with other factors of development </w:t>
      </w:r>
      <w:r w:rsidR="00AE31F7">
        <w:t xml:space="preserve">named as </w:t>
      </w:r>
      <w:r w:rsidR="00CF5FF8">
        <w:t>‘analogue complements’</w:t>
      </w:r>
      <w:r w:rsidRPr="00FD6214">
        <w:t xml:space="preserve"> </w:t>
      </w:r>
      <w:r w:rsidR="00D00186">
        <w:t>notably regulations, s</w:t>
      </w:r>
      <w:r w:rsidR="00F80B13">
        <w:t xml:space="preserve">kills and institutions. </w:t>
      </w:r>
      <w:r w:rsidR="00F80B13" w:rsidRPr="002F0154">
        <w:rPr>
          <w:i/>
          <w:iCs/>
        </w:rPr>
        <w:t>Regulations</w:t>
      </w:r>
      <w:r w:rsidR="00F80B13">
        <w:t xml:space="preserve"> guarantee a sound competition </w:t>
      </w:r>
      <w:r w:rsidR="002F0154">
        <w:t>framework for the private sector;</w:t>
      </w:r>
      <w:r w:rsidR="00F80B13">
        <w:t xml:space="preserve"> </w:t>
      </w:r>
      <w:r w:rsidR="00CA5159">
        <w:rPr>
          <w:i/>
          <w:iCs/>
        </w:rPr>
        <w:t>s</w:t>
      </w:r>
      <w:r w:rsidR="00F80B13" w:rsidRPr="002F0154">
        <w:rPr>
          <w:i/>
          <w:iCs/>
        </w:rPr>
        <w:t>kills</w:t>
      </w:r>
      <w:r w:rsidR="00F80B13">
        <w:t xml:space="preserve"> ensure that people ca</w:t>
      </w:r>
      <w:r w:rsidR="002F0154">
        <w:t>n</w:t>
      </w:r>
      <w:r w:rsidR="00F80B13">
        <w:t xml:space="preserve"> take advantage of the opportunities on offer and </w:t>
      </w:r>
      <w:r w:rsidR="002F0154">
        <w:rPr>
          <w:i/>
          <w:iCs/>
        </w:rPr>
        <w:t>I</w:t>
      </w:r>
      <w:r w:rsidR="00373B0B" w:rsidRPr="002F0154">
        <w:rPr>
          <w:i/>
          <w:iCs/>
        </w:rPr>
        <w:t>nstitutions</w:t>
      </w:r>
      <w:r w:rsidR="00C93619">
        <w:t xml:space="preserve"> </w:t>
      </w:r>
      <w:r w:rsidR="002F0154">
        <w:t>can be held</w:t>
      </w:r>
      <w:r w:rsidR="00F80B13" w:rsidRPr="00FD6214">
        <w:t xml:space="preserve"> </w:t>
      </w:r>
      <w:r w:rsidR="00F80B13">
        <w:t>accountab</w:t>
      </w:r>
      <w:r w:rsidR="002F0154">
        <w:t>le</w:t>
      </w:r>
      <w:r w:rsidR="00F80B13">
        <w:t xml:space="preserve"> </w:t>
      </w:r>
      <w:r w:rsidR="002F0154">
        <w:t>by citizens</w:t>
      </w:r>
      <w:r w:rsidR="00373B0B">
        <w:t>.</w:t>
      </w:r>
    </w:p>
    <w:p w:rsidR="00C7102D" w:rsidRDefault="00C7102D" w:rsidP="00D00186">
      <w:r w:rsidRPr="00C7102D">
        <w:t xml:space="preserve">Additionally, threats to cybersecurity are undermining confidence in the Internet and increasing the costs to businesses and governments, resulting in economic losses as well as higher </w:t>
      </w:r>
      <w:r w:rsidR="00CA5159" w:rsidRPr="00C7102D">
        <w:t xml:space="preserve">security </w:t>
      </w:r>
      <w:r w:rsidRPr="00C7102D">
        <w:t xml:space="preserve">spending. These costs and losses are to date </w:t>
      </w:r>
      <w:r>
        <w:t>primarily</w:t>
      </w:r>
      <w:r w:rsidRPr="00C7102D">
        <w:t xml:space="preserve"> affecting</w:t>
      </w:r>
      <w:r>
        <w:t xml:space="preserve"> developed countries but will </w:t>
      </w:r>
      <w:r w:rsidR="00CA5159">
        <w:t xml:space="preserve">increasingly </w:t>
      </w:r>
      <w:r>
        <w:t>affect the developing world in the coming years.</w:t>
      </w:r>
    </w:p>
    <w:p w:rsidR="00E20BDA" w:rsidRDefault="00E20BDA" w:rsidP="00F94903">
      <w:pPr>
        <w:pStyle w:val="Heading3"/>
      </w:pPr>
      <w:bookmarkStart w:id="7" w:name="_Toc454294890"/>
      <w:r>
        <w:t>Digital tool</w:t>
      </w:r>
      <w:r w:rsidR="002C294C">
        <w:t>s</w:t>
      </w:r>
      <w:r>
        <w:t xml:space="preserve"> as powerful transformers</w:t>
      </w:r>
      <w:bookmarkEnd w:id="7"/>
    </w:p>
    <w:p w:rsidR="00CF5FF8" w:rsidRDefault="00CF5FF8" w:rsidP="007811F0">
      <w:r w:rsidRPr="00CF5FF8">
        <w:t>An</w:t>
      </w:r>
      <w:r>
        <w:t xml:space="preserve"> important feature of</w:t>
      </w:r>
      <w:r w:rsidR="00656A3C">
        <w:t xml:space="preserve"> ICT is </w:t>
      </w:r>
      <w:r w:rsidR="00F74251">
        <w:t xml:space="preserve">its </w:t>
      </w:r>
      <w:r w:rsidR="00656A3C">
        <w:t>ability to act as cross-sectoral multipliers or enablers</w:t>
      </w:r>
      <w:r w:rsidR="00F9463F">
        <w:t xml:space="preserve"> that can be applied</w:t>
      </w:r>
      <w:r w:rsidR="007811F0" w:rsidRPr="007811F0">
        <w:t xml:space="preserve"> </w:t>
      </w:r>
      <w:r w:rsidR="007811F0">
        <w:t>to a wide range of situations</w:t>
      </w:r>
      <w:r w:rsidR="00656A3C">
        <w:t xml:space="preserve">. </w:t>
      </w:r>
      <w:r w:rsidR="00D81D98">
        <w:t>A</w:t>
      </w:r>
      <w:r w:rsidR="00622EEA">
        <w:t>s discussed in the previous section, a</w:t>
      </w:r>
      <w:r w:rsidR="00D81D98">
        <w:t xml:space="preserve"> functioning digital economy </w:t>
      </w:r>
      <w:r w:rsidR="00622EEA">
        <w:t xml:space="preserve">contributes to </w:t>
      </w:r>
      <w:r w:rsidR="00D81D98">
        <w:t xml:space="preserve">an </w:t>
      </w:r>
      <w:r w:rsidR="00656A3C">
        <w:t xml:space="preserve">innovation </w:t>
      </w:r>
      <w:r w:rsidR="00D81D98">
        <w:t xml:space="preserve">climate and in </w:t>
      </w:r>
      <w:r w:rsidR="00F74251">
        <w:t xml:space="preserve">such </w:t>
      </w:r>
      <w:r w:rsidR="00D81D98">
        <w:t>environment</w:t>
      </w:r>
      <w:r w:rsidR="00656A3C">
        <w:t xml:space="preserve"> </w:t>
      </w:r>
      <w:r w:rsidR="002819A2">
        <w:t xml:space="preserve">specific </w:t>
      </w:r>
      <w:r w:rsidR="00656A3C">
        <w:t xml:space="preserve">mechanisms, tools and services emerge that </w:t>
      </w:r>
      <w:r w:rsidR="00F9463F">
        <w:t>are usually referred to as ‘digital tools’.</w:t>
      </w:r>
    </w:p>
    <w:p w:rsidR="00850548" w:rsidRDefault="00F74251" w:rsidP="004C22EF">
      <w:r>
        <w:t>If</w:t>
      </w:r>
      <w:r w:rsidR="00C61F1A">
        <w:t xml:space="preserve"> applied together with the right skills,</w:t>
      </w:r>
      <w:r w:rsidR="00EA1C1B" w:rsidRPr="00EA1C1B">
        <w:t xml:space="preserve"> </w:t>
      </w:r>
      <w:r>
        <w:t xml:space="preserve">digital tools </w:t>
      </w:r>
      <w:r w:rsidR="00EA1C1B">
        <w:t xml:space="preserve">can </w:t>
      </w:r>
      <w:r w:rsidR="00EA1C1B" w:rsidRPr="00EA1C1B">
        <w:t xml:space="preserve">improve </w:t>
      </w:r>
      <w:r w:rsidR="00EA1C1B">
        <w:t>access</w:t>
      </w:r>
      <w:r w:rsidR="00EA1C1B" w:rsidRPr="00EA1C1B">
        <w:t xml:space="preserve"> </w:t>
      </w:r>
      <w:r w:rsidR="00EA1C1B">
        <w:t xml:space="preserve">to </w:t>
      </w:r>
      <w:r w:rsidR="00550EA0">
        <w:t>information as described above</w:t>
      </w:r>
      <w:r>
        <w:t xml:space="preserve">. </w:t>
      </w:r>
      <w:r w:rsidR="00550EA0">
        <w:t xml:space="preserve"> I</w:t>
      </w:r>
      <w:r w:rsidR="00EA1C1B">
        <w:t xml:space="preserve">n the agricultural sector, farmers can use </w:t>
      </w:r>
      <w:r w:rsidR="0034159D">
        <w:t>mobile technologies</w:t>
      </w:r>
      <w:r w:rsidR="00EA1C1B">
        <w:t xml:space="preserve"> to improve their crop yields</w:t>
      </w:r>
      <w:r w:rsidR="00D20EF7">
        <w:t>, obtain information on</w:t>
      </w:r>
      <w:r w:rsidR="00EA1C1B">
        <w:t xml:space="preserve"> </w:t>
      </w:r>
      <w:r w:rsidR="00D20EF7">
        <w:t xml:space="preserve">crop disease and spread </w:t>
      </w:r>
      <w:r w:rsidR="00EA1C1B">
        <w:t xml:space="preserve">and get </w:t>
      </w:r>
      <w:r w:rsidR="00D20EF7">
        <w:t>a fair</w:t>
      </w:r>
      <w:r w:rsidR="00EA1C1B">
        <w:t xml:space="preserve"> price for their produce</w:t>
      </w:r>
      <w:r w:rsidR="00D20EF7">
        <w:t>. Health workers in remote areas can use mobile communication and information for</w:t>
      </w:r>
      <w:r w:rsidR="00C402E2">
        <w:t xml:space="preserve"> maternity related car</w:t>
      </w:r>
      <w:r w:rsidR="00FE5136">
        <w:t>e</w:t>
      </w:r>
      <w:r w:rsidR="00D20EF7">
        <w:t>. When access to data is difficult</w:t>
      </w:r>
      <w:r w:rsidR="0034159D">
        <w:t>,</w:t>
      </w:r>
      <w:r w:rsidR="00D20EF7">
        <w:t xml:space="preserve"> such as in disaster situations, tracking mobile data can assist. </w:t>
      </w:r>
      <w:r w:rsidR="009A63AC">
        <w:t xml:space="preserve">During the recent Ebola crisis, relief organisations were able to map data to track the spread of </w:t>
      </w:r>
      <w:r w:rsidR="00C668FC">
        <w:t>disease</w:t>
      </w:r>
      <w:r w:rsidR="009A63AC">
        <w:t xml:space="preserve"> outbreak </w:t>
      </w:r>
      <w:r w:rsidR="00CA5159">
        <w:t xml:space="preserve">using </w:t>
      </w:r>
      <w:r w:rsidR="009A63AC">
        <w:t>reports coming through apps</w:t>
      </w:r>
      <w:r w:rsidR="0034159D">
        <w:t xml:space="preserve"> designed </w:t>
      </w:r>
      <w:r w:rsidR="009C2D32">
        <w:t xml:space="preserve">specifically </w:t>
      </w:r>
      <w:r w:rsidR="0034159D">
        <w:t>for this purpose.</w:t>
      </w:r>
      <w:r w:rsidR="009A63AC">
        <w:t xml:space="preserve"> </w:t>
      </w:r>
      <w:r w:rsidR="0034159D">
        <w:t>C</w:t>
      </w:r>
      <w:r w:rsidR="00D20EF7">
        <w:t xml:space="preserve">itizens can use digital technology to better understand what their governments do and improve transparency and </w:t>
      </w:r>
      <w:r w:rsidR="0034159D">
        <w:t xml:space="preserve">institutional </w:t>
      </w:r>
      <w:r w:rsidR="00D20EF7">
        <w:t>accountability</w:t>
      </w:r>
      <w:r w:rsidR="0034159D">
        <w:t>.</w:t>
      </w:r>
      <w:r w:rsidR="00680AF4">
        <w:t xml:space="preserve"> </w:t>
      </w:r>
      <w:r w:rsidR="00DB22BF">
        <w:t xml:space="preserve">For example, </w:t>
      </w:r>
      <w:r w:rsidR="00DB22BF" w:rsidRPr="00DB22BF">
        <w:t xml:space="preserve">the UNICEF Innovation hub has created a RapidSMS mechanism used in Uganda to alert the local </w:t>
      </w:r>
      <w:r w:rsidR="00CA5159">
        <w:t>g</w:t>
      </w:r>
      <w:r w:rsidR="00DB22BF" w:rsidRPr="00DB22BF">
        <w:t xml:space="preserve">overnment when the local health centre is not respecting official opening hours. </w:t>
      </w:r>
      <w:r w:rsidR="0034159D" w:rsidRPr="00DB22BF">
        <w:t>Education</w:t>
      </w:r>
      <w:r w:rsidR="0034159D">
        <w:t xml:space="preserve"> online</w:t>
      </w:r>
      <w:r w:rsidR="00EA1C1B">
        <w:t xml:space="preserve"> tools can open access to free educatio</w:t>
      </w:r>
      <w:r w:rsidR="00680AF4">
        <w:t xml:space="preserve">n via </w:t>
      </w:r>
      <w:r w:rsidR="0034159D">
        <w:t>Massive Open Online C</w:t>
      </w:r>
      <w:r w:rsidR="00680AF4">
        <w:t>ourses</w:t>
      </w:r>
      <w:r w:rsidR="0034159D">
        <w:t xml:space="preserve"> (MOOCS).</w:t>
      </w:r>
    </w:p>
    <w:p w:rsidR="00EA1C1B" w:rsidRDefault="00850548" w:rsidP="00850548">
      <w:r>
        <w:t>T</w:t>
      </w:r>
      <w:r w:rsidRPr="00850548">
        <w:t xml:space="preserve">he development of digital tools in the financial system, such as mobile banking, has dramatically reduced the number of </w:t>
      </w:r>
      <w:r>
        <w:t>people without access to banking services</w:t>
      </w:r>
      <w:r w:rsidR="00F74251">
        <w:t xml:space="preserve"> in</w:t>
      </w:r>
      <w:r>
        <w:t xml:space="preserve"> Africa. </w:t>
      </w:r>
      <w:r w:rsidRPr="00850548">
        <w:t xml:space="preserve">Digital financial inclusion reduces the risks of loss, theft, and other financial crimes posed by cash based transactions, as well as the costs associated with cash </w:t>
      </w:r>
      <w:r w:rsidR="006E431E" w:rsidRPr="00850548">
        <w:t>transacti</w:t>
      </w:r>
      <w:r w:rsidR="006E431E">
        <w:t>ons</w:t>
      </w:r>
      <w:r w:rsidRPr="00850548">
        <w:t xml:space="preserve"> and using informal </w:t>
      </w:r>
      <w:r w:rsidR="006E431E">
        <w:t xml:space="preserve">credit </w:t>
      </w:r>
      <w:r w:rsidRPr="00850548">
        <w:t>providers.</w:t>
      </w:r>
      <w:r>
        <w:t xml:space="preserve"> </w:t>
      </w:r>
      <w:r w:rsidR="00B029D2" w:rsidRPr="00B029D2">
        <w:t xml:space="preserve">In Kenya, </w:t>
      </w:r>
      <w:r w:rsidR="00567E5E" w:rsidRPr="00B029D2">
        <w:t>the cost of sending remittances dropped by up to 90 percent after the introduction of M-Pesa, a digital payment system.</w:t>
      </w:r>
    </w:p>
    <w:p w:rsidR="001018B3" w:rsidRDefault="001018B3" w:rsidP="00850548">
      <w:r>
        <w:t>ICT can be a powerful tool for social transformation and gender equality. Development practitioners have often championed the investment in women as the most direct and effective way to promote economic growth, peace, and prosperity. One of the ways ICT enable</w:t>
      </w:r>
      <w:r w:rsidR="00F74251">
        <w:t>s</w:t>
      </w:r>
      <w:r>
        <w:t xml:space="preserve"> empowerment is by providing accurate information – a </w:t>
      </w:r>
      <w:r w:rsidRPr="006E5545">
        <w:t>critical</w:t>
      </w:r>
      <w:r w:rsidR="006E5545">
        <w:t xml:space="preserve"> enabler of </w:t>
      </w:r>
      <w:r>
        <w:t xml:space="preserve">good decision-making </w:t>
      </w:r>
      <w:r w:rsidR="000270F8">
        <w:t>which is</w:t>
      </w:r>
      <w:r>
        <w:t xml:space="preserve"> widely accessible.</w:t>
      </w:r>
      <w:r w:rsidRPr="001018B3">
        <w:t xml:space="preserve"> </w:t>
      </w:r>
      <w:r>
        <w:t>ICT can play a</w:t>
      </w:r>
      <w:r w:rsidR="00F74251">
        <w:t xml:space="preserve"> crucial </w:t>
      </w:r>
      <w:r>
        <w:t>role in breaking up gender segregation patterns through facilitating the delivery of services and information to women with mobility constraints or limited access to public places. ICT can amplify women’s voices, and help publicise women’s experiences and perspectives.</w:t>
      </w:r>
    </w:p>
    <w:p w:rsidR="002C294C" w:rsidRDefault="002C294C" w:rsidP="000843C1">
      <w:r>
        <w:t xml:space="preserve">In the context of digital tools, the </w:t>
      </w:r>
      <w:r w:rsidR="003107E6">
        <w:t>potential of ‘</w:t>
      </w:r>
      <w:r>
        <w:t xml:space="preserve">big data’ should be mentioned as a catalyst for digital transformation and a game changer. Big data refers to the massive sets </w:t>
      </w:r>
      <w:r w:rsidR="002350C0">
        <w:t xml:space="preserve">of data </w:t>
      </w:r>
      <w:r w:rsidR="004B0E90">
        <w:t xml:space="preserve">produced today </w:t>
      </w:r>
      <w:r w:rsidR="00080631">
        <w:t>across the world by anyone using digital technologies.</w:t>
      </w:r>
      <w:r w:rsidR="005D7D70">
        <w:t xml:space="preserve"> Voluminous, real-time and </w:t>
      </w:r>
      <w:r w:rsidR="00080631">
        <w:t>readily accessible</w:t>
      </w:r>
      <w:r>
        <w:t xml:space="preserve"> </w:t>
      </w:r>
      <w:r w:rsidR="00C402E2">
        <w:t>through mobile technology</w:t>
      </w:r>
      <w:r w:rsidR="004B0E90">
        <w:t>, big data</w:t>
      </w:r>
      <w:r w:rsidR="00C402E2">
        <w:t xml:space="preserve"> </w:t>
      </w:r>
      <w:r w:rsidR="004B0E90">
        <w:t xml:space="preserve">technologies </w:t>
      </w:r>
      <w:r w:rsidR="00C402E2">
        <w:t xml:space="preserve">can predict trends </w:t>
      </w:r>
      <w:r w:rsidR="002350C0">
        <w:t>with</w:t>
      </w:r>
      <w:r w:rsidR="00C402E2">
        <w:t xml:space="preserve"> a </w:t>
      </w:r>
      <w:r w:rsidR="00C402E2" w:rsidRPr="00E01633">
        <w:t>completely different level of accuracy</w:t>
      </w:r>
      <w:r w:rsidRPr="00E01633">
        <w:t xml:space="preserve"> </w:t>
      </w:r>
      <w:r w:rsidR="00E01633" w:rsidRPr="00E01633">
        <w:t xml:space="preserve">than what was possible before. </w:t>
      </w:r>
      <w:r w:rsidR="00F57110">
        <w:t xml:space="preserve">As highlighted in a 2014 UN report: </w:t>
      </w:r>
      <w:r w:rsidR="006E5545">
        <w:t>"</w:t>
      </w:r>
      <w:r w:rsidR="00E01633">
        <w:t>N</w:t>
      </w:r>
      <w:r w:rsidR="00E01633" w:rsidRPr="00E01633">
        <w:t>ew technologies</w:t>
      </w:r>
      <w:r w:rsidR="00E01633">
        <w:t xml:space="preserve"> have led to</w:t>
      </w:r>
      <w:r w:rsidR="00E01633" w:rsidRPr="00E01633">
        <w:t xml:space="preserve"> an exponential increase in the volume and types of data available, creating unprecedented possibilities for inf</w:t>
      </w:r>
      <w:r w:rsidR="00E01633">
        <w:t>orming and transforming society</w:t>
      </w:r>
      <w:r w:rsidR="003107E6">
        <w:t xml:space="preserve"> including new ways of protecting the environment</w:t>
      </w:r>
      <w:r w:rsidR="006E5545">
        <w:t>"</w:t>
      </w:r>
      <w:r w:rsidR="00E01633">
        <w:rPr>
          <w:rStyle w:val="FootnoteReference"/>
        </w:rPr>
        <w:footnoteReference w:id="4"/>
      </w:r>
      <w:r w:rsidR="009861B8">
        <w:t>.</w:t>
      </w:r>
      <w:r w:rsidR="003107E6">
        <w:t xml:space="preserve"> </w:t>
      </w:r>
      <w:r w:rsidR="00C402E2">
        <w:t>The example above relating to the Ebola outbreak is an example of the application of big data. Big data can be used within urban development in planning for transport networks and in many other areas such as healthcare, energy and farming.</w:t>
      </w:r>
      <w:r w:rsidR="00B03C92">
        <w:t xml:space="preserve"> It brings</w:t>
      </w:r>
      <w:r w:rsidR="00B03C92" w:rsidRPr="00B03C92">
        <w:t xml:space="preserve"> a wide range of innovative opportunities both for </w:t>
      </w:r>
      <w:r w:rsidR="00B03C92">
        <w:t xml:space="preserve">the </w:t>
      </w:r>
      <w:r w:rsidR="00B03C92" w:rsidRPr="00B03C92">
        <w:t xml:space="preserve">business </w:t>
      </w:r>
      <w:r w:rsidR="00B03C92">
        <w:t>community a</w:t>
      </w:r>
      <w:r w:rsidR="00B03C92" w:rsidRPr="00B03C92">
        <w:t xml:space="preserve">s well as for </w:t>
      </w:r>
      <w:r w:rsidR="000843C1">
        <w:t>public</w:t>
      </w:r>
      <w:r w:rsidR="00B03C92">
        <w:t xml:space="preserve"> services</w:t>
      </w:r>
      <w:r w:rsidR="00B03C92" w:rsidRPr="00B03C92">
        <w:t>.</w:t>
      </w:r>
      <w:r w:rsidR="009B7505">
        <w:t xml:space="preserve"> For development agencies, big data can bring improved p</w:t>
      </w:r>
      <w:r w:rsidR="009B7505" w:rsidRPr="009B7505">
        <w:t>roject monitoring</w:t>
      </w:r>
      <w:r w:rsidR="009B7505">
        <w:t xml:space="preserve">, a more accurate </w:t>
      </w:r>
      <w:r w:rsidR="009B7505" w:rsidRPr="009B7505">
        <w:t>allocation of funds</w:t>
      </w:r>
      <w:r w:rsidR="009B7505">
        <w:t xml:space="preserve"> since targeted impact can be measured in real time </w:t>
      </w:r>
      <w:r w:rsidR="009861B8">
        <w:t xml:space="preserve">and </w:t>
      </w:r>
      <w:r w:rsidR="009B7505">
        <w:t>improved needs assessment</w:t>
      </w:r>
      <w:r w:rsidR="007316F1">
        <w:t>s</w:t>
      </w:r>
      <w:r w:rsidR="009861B8">
        <w:t xml:space="preserve"> amongst others. </w:t>
      </w:r>
    </w:p>
    <w:p w:rsidR="002348BB" w:rsidRPr="00565E5E" w:rsidRDefault="002348BB" w:rsidP="00F94903">
      <w:pPr>
        <w:pStyle w:val="Heading2"/>
      </w:pPr>
      <w:bookmarkStart w:id="8" w:name="_Toc454294891"/>
      <w:r w:rsidRPr="003D22D1">
        <w:t>The United Nation’s Sustainable Development Goals</w:t>
      </w:r>
      <w:bookmarkEnd w:id="8"/>
    </w:p>
    <w:p w:rsidR="002348BB" w:rsidRDefault="002348BB" w:rsidP="005E4A90">
      <w:r w:rsidRPr="008456C6">
        <w:t>UN 2030 Agenda for Sus</w:t>
      </w:r>
      <w:r w:rsidR="008172D2">
        <w:t>tainable Development which contains</w:t>
      </w:r>
      <w:r w:rsidRPr="008456C6">
        <w:t xml:space="preserve"> a set of 17 broad Sustainable Development Goals (SDGs) was adopted in September 2015. </w:t>
      </w:r>
      <w:r w:rsidR="0087062D">
        <w:t>The SDG framework contains 169 targets and 230 indicators</w:t>
      </w:r>
      <w:r w:rsidR="0076260C">
        <w:t xml:space="preserve">. </w:t>
      </w:r>
      <w:r w:rsidRPr="008456C6">
        <w:t xml:space="preserve">Access to ICT is mentioned </w:t>
      </w:r>
      <w:r w:rsidR="007B6EF3">
        <w:t>within</w:t>
      </w:r>
      <w:r w:rsidR="007B6EF3" w:rsidRPr="00EB0E64">
        <w:t xml:space="preserve"> </w:t>
      </w:r>
      <w:r w:rsidR="007B6EF3">
        <w:t>SDG 4 (Target 4.b)</w:t>
      </w:r>
      <w:r w:rsidR="007B6EF3" w:rsidRPr="00EB0E64">
        <w:t>, SDG 5 (Targ</w:t>
      </w:r>
      <w:r w:rsidR="007B6EF3">
        <w:t xml:space="preserve">et 5.b) SDG 17 (Target 17.8), and </w:t>
      </w:r>
      <w:r w:rsidR="007B6EF3" w:rsidRPr="008456C6">
        <w:t xml:space="preserve">specifically </w:t>
      </w:r>
      <w:r w:rsidRPr="008456C6">
        <w:t>within SDG9, which focuses on infrastructure, industrialisation and innovation. Target 9c is set to: ‘Significantly increase access to information and communications technology and strive to provide universal and affordable access to the Internet in least developed countries by 2020’. As such the overall development mandate to provide equitable access to ICT services on a global scale is contained within this intergovernmental framework.</w:t>
      </w:r>
      <w:r w:rsidR="00D51AF7">
        <w:t xml:space="preserve"> In line with this principle, various countries have started recognising </w:t>
      </w:r>
      <w:r w:rsidR="00683FBB">
        <w:t>the right to Internet</w:t>
      </w:r>
      <w:r w:rsidR="005E4A90">
        <w:t xml:space="preserve"> </w:t>
      </w:r>
      <w:r w:rsidR="007B6EF3">
        <w:t xml:space="preserve">access </w:t>
      </w:r>
      <w:r w:rsidR="005E4A90">
        <w:t>and have adopted laws to this effect</w:t>
      </w:r>
      <w:r w:rsidR="00683FBB">
        <w:t>.</w:t>
      </w:r>
    </w:p>
    <w:p w:rsidR="006A6047" w:rsidRPr="008456C6" w:rsidRDefault="00DC1FFC" w:rsidP="00DC1FFC">
      <w:r>
        <w:t>B</w:t>
      </w:r>
      <w:r w:rsidR="006A6047" w:rsidRPr="00664901">
        <w:t>roadband connectivity has become a basic infrastructure of modern society</w:t>
      </w:r>
      <w:r w:rsidR="006A6047">
        <w:rPr>
          <w:rStyle w:val="FootnoteReference"/>
        </w:rPr>
        <w:footnoteReference w:id="5"/>
      </w:r>
      <w:r w:rsidR="006A6047" w:rsidRPr="00664901">
        <w:t xml:space="preserve">, </w:t>
      </w:r>
      <w:r w:rsidR="006A6047">
        <w:t>comparable to</w:t>
      </w:r>
      <w:r w:rsidR="006A6047" w:rsidRPr="00664901">
        <w:t xml:space="preserve"> </w:t>
      </w:r>
      <w:r>
        <w:t xml:space="preserve">conventional infrastructure such as transport networks, electricity, </w:t>
      </w:r>
      <w:r w:rsidR="006A6047" w:rsidRPr="00664901">
        <w:t>water</w:t>
      </w:r>
      <w:r>
        <w:t xml:space="preserve"> and sanitation. </w:t>
      </w:r>
      <w:r w:rsidR="006A6047">
        <w:t>ICT</w:t>
      </w:r>
      <w:r w:rsidR="003F53BE">
        <w:t xml:space="preserve"> enable</w:t>
      </w:r>
      <w:r w:rsidR="007B6EF3">
        <w:t>s</w:t>
      </w:r>
      <w:r w:rsidR="003F53BE">
        <w:t xml:space="preserve"> economic growth, social inclusion and environmental protection - they are key </w:t>
      </w:r>
      <w:r w:rsidR="006A6047">
        <w:t>contributor</w:t>
      </w:r>
      <w:r w:rsidR="003F53BE">
        <w:t>s</w:t>
      </w:r>
      <w:r w:rsidR="006A6047">
        <w:t xml:space="preserve"> </w:t>
      </w:r>
      <w:r w:rsidR="0000166F">
        <w:t xml:space="preserve">to </w:t>
      </w:r>
      <w:r w:rsidR="006A6047" w:rsidRPr="00664901">
        <w:t xml:space="preserve">the </w:t>
      </w:r>
      <w:r w:rsidR="006A6047">
        <w:t>Sustainable Development Goals (SDGs).</w:t>
      </w:r>
    </w:p>
    <w:p w:rsidR="0076260C" w:rsidRDefault="007B6EF3" w:rsidP="00D57103">
      <w:r>
        <w:t xml:space="preserve">Furthermore, </w:t>
      </w:r>
      <w:r w:rsidR="002348BB" w:rsidRPr="008456C6">
        <w:t>ICT acts as an accelerator and enabler of many, perhaps all of the SDGs</w:t>
      </w:r>
      <w:r w:rsidR="00C63E9D">
        <w:t>. In order to mention a few examples, t</w:t>
      </w:r>
      <w:r w:rsidR="00CB457C">
        <w:t xml:space="preserve">here are </w:t>
      </w:r>
      <w:r w:rsidR="00AA4889">
        <w:t>various</w:t>
      </w:r>
      <w:r>
        <w:t xml:space="preserve"> </w:t>
      </w:r>
      <w:r w:rsidR="00CB457C">
        <w:t xml:space="preserve">benefits of ICT for example within Health (SDG3): </w:t>
      </w:r>
      <w:r>
        <w:t>e</w:t>
      </w:r>
      <w:r w:rsidR="00CB457C">
        <w:t>-health applications</w:t>
      </w:r>
      <w:r>
        <w:t xml:space="preserve"> quickly transmit data between medical units and also provide the opportunity for rural patients to benefit from remote diagnosis</w:t>
      </w:r>
      <w:r w:rsidR="00CB457C">
        <w:t xml:space="preserve">; </w:t>
      </w:r>
      <w:r>
        <w:t xml:space="preserve">in </w:t>
      </w:r>
      <w:r w:rsidR="006E5545">
        <w:t>Education (SDG4),</w:t>
      </w:r>
      <w:r w:rsidR="00CB457C">
        <w:t xml:space="preserve"> </w:t>
      </w:r>
      <w:r>
        <w:t>e</w:t>
      </w:r>
      <w:r w:rsidR="006448C8">
        <w:t>-</w:t>
      </w:r>
      <w:r w:rsidR="00CB457C">
        <w:t xml:space="preserve">teaching and </w:t>
      </w:r>
      <w:r w:rsidR="006448C8">
        <w:t>e-learning</w:t>
      </w:r>
      <w:r w:rsidR="00CB457C">
        <w:t xml:space="preserve"> </w:t>
      </w:r>
      <w:r w:rsidR="006448C8">
        <w:t xml:space="preserve">provide for flexibility </w:t>
      </w:r>
      <w:r w:rsidR="00CB457C">
        <w:t xml:space="preserve">and the opportunity to access teaching material provided by leading education institutes; </w:t>
      </w:r>
      <w:r>
        <w:t xml:space="preserve">regarding </w:t>
      </w:r>
      <w:r w:rsidR="00D57103" w:rsidRPr="00D57103">
        <w:t>Gender equality (SDG5)</w:t>
      </w:r>
      <w:r>
        <w:t xml:space="preserve">, </w:t>
      </w:r>
      <w:r w:rsidR="00D57103" w:rsidRPr="00D57103">
        <w:t xml:space="preserve">new communication channels enhance women’s participation in </w:t>
      </w:r>
      <w:r w:rsidR="00D57103">
        <w:t xml:space="preserve">the work force and everyday </w:t>
      </w:r>
      <w:r w:rsidR="00D57103" w:rsidRPr="00D57103">
        <w:t xml:space="preserve">life and </w:t>
      </w:r>
      <w:r w:rsidR="004B0E90">
        <w:t xml:space="preserve">provide </w:t>
      </w:r>
      <w:r w:rsidR="00D57103">
        <w:t>access to education, finance</w:t>
      </w:r>
      <w:r w:rsidR="00D57103" w:rsidRPr="00D57103">
        <w:t xml:space="preserve"> and </w:t>
      </w:r>
      <w:r w:rsidR="00AE353A">
        <w:t xml:space="preserve">social </w:t>
      </w:r>
      <w:r w:rsidR="00D57103" w:rsidRPr="00D57103">
        <w:t>networks</w:t>
      </w:r>
      <w:r w:rsidR="00D57103">
        <w:t>;</w:t>
      </w:r>
      <w:r w:rsidR="00D57103" w:rsidRPr="00D57103">
        <w:t xml:space="preserve"> </w:t>
      </w:r>
      <w:r w:rsidR="00AA4889">
        <w:t xml:space="preserve">for </w:t>
      </w:r>
      <w:r w:rsidR="00CB457C">
        <w:t xml:space="preserve">Jobs and Growth (SDG8): </w:t>
      </w:r>
      <w:r w:rsidR="00AA4889">
        <w:t xml:space="preserve">the generation </w:t>
      </w:r>
      <w:r w:rsidR="00CB457C">
        <w:t>of new online services contribute</w:t>
      </w:r>
      <w:r w:rsidR="00AA4889">
        <w:t>s</w:t>
      </w:r>
      <w:r w:rsidR="00CB457C">
        <w:t xml:space="preserve"> to job </w:t>
      </w:r>
      <w:r w:rsidR="00CB457C" w:rsidRPr="006E5545">
        <w:t>creation</w:t>
      </w:r>
      <w:r w:rsidR="00CB457C">
        <w:t xml:space="preserve">; </w:t>
      </w:r>
      <w:r w:rsidR="00AA4889">
        <w:t xml:space="preserve">in </w:t>
      </w:r>
      <w:r w:rsidR="00CB457C">
        <w:t>Environment and Climate Change (SDGs 13, 14 and 15)</w:t>
      </w:r>
      <w:r w:rsidR="006E5545">
        <w:t>,</w:t>
      </w:r>
      <w:r w:rsidR="00CB457C">
        <w:t xml:space="preserve"> </w:t>
      </w:r>
      <w:r w:rsidR="00AA4889">
        <w:t>d</w:t>
      </w:r>
      <w:r w:rsidR="00CB457C">
        <w:t xml:space="preserve">igital technologies provide global data on weather, water flows, forest reserves and climate; </w:t>
      </w:r>
      <w:r w:rsidR="00AA4889">
        <w:t xml:space="preserve">as to </w:t>
      </w:r>
      <w:r w:rsidR="00CB457C">
        <w:t>Peace, Justi</w:t>
      </w:r>
      <w:r w:rsidR="00D72245">
        <w:t>ce and Strong Institutions (SDG</w:t>
      </w:r>
      <w:r w:rsidR="00CB457C">
        <w:t xml:space="preserve">17) </w:t>
      </w:r>
      <w:r w:rsidR="00AA4889">
        <w:t xml:space="preserve">ICT helps </w:t>
      </w:r>
      <w:r w:rsidR="00CB457C">
        <w:t>increas</w:t>
      </w:r>
      <w:r w:rsidR="00AA4889">
        <w:t>e</w:t>
      </w:r>
      <w:r w:rsidR="00CB457C">
        <w:t xml:space="preserve"> the accountability of public service providers</w:t>
      </w:r>
      <w:r w:rsidR="000C3567">
        <w:t xml:space="preserve"> e.g. </w:t>
      </w:r>
      <w:r w:rsidR="000C3567" w:rsidRPr="000C3567">
        <w:t>through transparent dashboards on citizens’ feedback</w:t>
      </w:r>
      <w:r w:rsidR="00CB457C">
        <w:t>.</w:t>
      </w:r>
      <w:r w:rsidR="0076260C">
        <w:t xml:space="preserve"> ICT also plays a key role in ensuring that progress towards the SDGs can be tracked.</w:t>
      </w:r>
    </w:p>
    <w:p w:rsidR="002B1E84" w:rsidRDefault="002B1E84" w:rsidP="00F94903">
      <w:pPr>
        <w:pStyle w:val="Heading3"/>
      </w:pPr>
      <w:bookmarkStart w:id="9" w:name="_Toc454294892"/>
      <w:r>
        <w:t xml:space="preserve">Other UN </w:t>
      </w:r>
      <w:r w:rsidR="002819A2">
        <w:t>initiatives</w:t>
      </w:r>
      <w:bookmarkEnd w:id="9"/>
    </w:p>
    <w:p w:rsidR="002348BB" w:rsidRDefault="002348BB" w:rsidP="003B696C">
      <w:r>
        <w:t>I</w:t>
      </w:r>
      <w:r w:rsidRPr="008456C6">
        <w:t>n December 2015</w:t>
      </w:r>
      <w:r>
        <w:t xml:space="preserve">, </w:t>
      </w:r>
      <w:r w:rsidR="00DB4282">
        <w:t xml:space="preserve">the </w:t>
      </w:r>
      <w:r w:rsidR="00AA4889">
        <w:t>UN</w:t>
      </w:r>
      <w:r w:rsidR="00A00F16" w:rsidRPr="00A00F16">
        <w:t xml:space="preserve"> sponsored </w:t>
      </w:r>
      <w:r w:rsidR="00AA4889">
        <w:t xml:space="preserve">the </w:t>
      </w:r>
      <w:r w:rsidR="00A00F16" w:rsidRPr="00A00F16">
        <w:t>World Summit on the Information Society (WSIS) ten year review (WS</w:t>
      </w:r>
      <w:r w:rsidR="00A00F16">
        <w:t>I</w:t>
      </w:r>
      <w:r w:rsidR="00A00F16" w:rsidRPr="00A00F16">
        <w:t xml:space="preserve">S+10) </w:t>
      </w:r>
      <w:r w:rsidR="00AA4889">
        <w:t xml:space="preserve">which </w:t>
      </w:r>
      <w:r w:rsidR="00A00F16" w:rsidRPr="00A00F16">
        <w:t>concluded in the United Nations General Assembly</w:t>
      </w:r>
      <w:r w:rsidR="00A00F16">
        <w:t>.</w:t>
      </w:r>
      <w:r w:rsidR="00A00F16" w:rsidRPr="00A00F16">
        <w:t xml:space="preserve"> </w:t>
      </w:r>
      <w:r>
        <w:t xml:space="preserve">The </w:t>
      </w:r>
      <w:r w:rsidR="004B0E90">
        <w:t>h</w:t>
      </w:r>
      <w:r w:rsidR="00A00F16">
        <w:t>igh-level meeting</w:t>
      </w:r>
      <w:r>
        <w:t xml:space="preserve"> provided </w:t>
      </w:r>
      <w:r w:rsidRPr="008456C6">
        <w:t>a review of the implementation of the WSIS goals with</w:t>
      </w:r>
      <w:r w:rsidR="004B0E90">
        <w:t>in</w:t>
      </w:r>
      <w:r w:rsidRPr="008456C6">
        <w:t xml:space="preserve"> the overall aim </w:t>
      </w:r>
      <w:r>
        <w:t>to</w:t>
      </w:r>
      <w:r w:rsidRPr="008456C6">
        <w:t xml:space="preserve"> promot</w:t>
      </w:r>
      <w:r>
        <w:t>e</w:t>
      </w:r>
      <w:r w:rsidRPr="008456C6">
        <w:t xml:space="preserve"> the use of ICT within development a</w:t>
      </w:r>
      <w:r w:rsidR="00D43500">
        <w:t>nd bridg</w:t>
      </w:r>
      <w:r w:rsidR="004B0E90">
        <w:t>e</w:t>
      </w:r>
      <w:r w:rsidR="00D43500">
        <w:t xml:space="preserve"> the digital divide. </w:t>
      </w:r>
      <w:r w:rsidR="00DC5507" w:rsidRPr="00DC5507">
        <w:t>The WSIS process originate</w:t>
      </w:r>
      <w:r w:rsidR="00AA4889">
        <w:t>d</w:t>
      </w:r>
      <w:r w:rsidR="00DC5507" w:rsidRPr="00DC5507">
        <w:t xml:space="preserve"> from a </w:t>
      </w:r>
      <w:r w:rsidR="00AA4889">
        <w:t xml:space="preserve">two-part </w:t>
      </w:r>
      <w:r w:rsidR="00DC5507" w:rsidRPr="00DC5507">
        <w:t xml:space="preserve">Summit, the first in Geneva </w:t>
      </w:r>
      <w:r w:rsidR="00B707D7">
        <w:t>(</w:t>
      </w:r>
      <w:r w:rsidR="00DC5507" w:rsidRPr="00DC5507">
        <w:t>2003</w:t>
      </w:r>
      <w:r w:rsidR="00B707D7">
        <w:t>)</w:t>
      </w:r>
      <w:r w:rsidR="00DC5507" w:rsidRPr="00DC5507">
        <w:t xml:space="preserve"> and the second in Tunis </w:t>
      </w:r>
      <w:r w:rsidR="00B707D7">
        <w:t>(</w:t>
      </w:r>
      <w:r w:rsidR="00DC5507" w:rsidRPr="00DC5507">
        <w:t>2005</w:t>
      </w:r>
      <w:r w:rsidR="00B707D7">
        <w:t>)</w:t>
      </w:r>
      <w:r w:rsidR="00DC5507" w:rsidRPr="00DC5507">
        <w:t xml:space="preserve"> which led to </w:t>
      </w:r>
      <w:r w:rsidR="00B707D7">
        <w:t xml:space="preserve">the </w:t>
      </w:r>
      <w:r w:rsidR="00DC5507" w:rsidRPr="00DC5507">
        <w:t>adoption of the Geneva Plan of Action and the Tunis Agenda for the Information Society.</w:t>
      </w:r>
      <w:r w:rsidRPr="00E82ACC">
        <w:t xml:space="preserve"> One of the </w:t>
      </w:r>
      <w:r w:rsidR="00DC5507">
        <w:t>action lines</w:t>
      </w:r>
      <w:r w:rsidR="00035FB8">
        <w:t xml:space="preserve"> </w:t>
      </w:r>
      <w:r w:rsidR="00DC5507">
        <w:t xml:space="preserve">emanating from </w:t>
      </w:r>
      <w:r w:rsidR="00035FB8">
        <w:t xml:space="preserve">this process </w:t>
      </w:r>
      <w:r w:rsidRPr="00E82ACC">
        <w:t xml:space="preserve">was to </w:t>
      </w:r>
      <w:r>
        <w:t>raise awareness of and address the</w:t>
      </w:r>
      <w:r w:rsidRPr="00E82ACC">
        <w:t xml:space="preserve"> digital divide</w:t>
      </w:r>
      <w:r w:rsidR="003B4D44">
        <w:t>s</w:t>
      </w:r>
      <w:r w:rsidRPr="00E82ACC">
        <w:t xml:space="preserve"> between countries and regions. The Tunis Summit conclusions argued that internet access should be universal and affordable on the basis that the</w:t>
      </w:r>
      <w:r w:rsidR="004B0E90">
        <w:t xml:space="preserve"> </w:t>
      </w:r>
      <w:r w:rsidR="00B707D7">
        <w:t>I</w:t>
      </w:r>
      <w:r w:rsidRPr="00E82ACC">
        <w:t>nternet is a global public space and should be seen a</w:t>
      </w:r>
      <w:r>
        <w:t>s global public infrastructure</w:t>
      </w:r>
      <w:r w:rsidR="003B696C">
        <w:t xml:space="preserve"> to be</w:t>
      </w:r>
      <w:r w:rsidR="003B696C" w:rsidRPr="003B696C">
        <w:t xml:space="preserve"> effectively governed through a multi-stakeholder approach</w:t>
      </w:r>
      <w:r>
        <w:t>.</w:t>
      </w:r>
    </w:p>
    <w:p w:rsidR="00035FB8" w:rsidRDefault="00CA61C6" w:rsidP="00CA61C6">
      <w:r>
        <w:t xml:space="preserve">Another example is the </w:t>
      </w:r>
      <w:r w:rsidR="00035FB8">
        <w:t xml:space="preserve">UNESCO multi-stakeholder conference </w:t>
      </w:r>
      <w:r>
        <w:t>organised in March 2015</w:t>
      </w:r>
      <w:r w:rsidR="004B0E90">
        <w:t xml:space="preserve"> organised</w:t>
      </w:r>
      <w:r>
        <w:t xml:space="preserve"> </w:t>
      </w:r>
      <w:r w:rsidR="00035FB8">
        <w:t xml:space="preserve">in response to a request from </w:t>
      </w:r>
      <w:r w:rsidR="00035FB8" w:rsidRPr="001F546E">
        <w:t>Member States for a comprehensive and consultative study on Internet related issues within UNESCO's fields of competence. The study examine</w:t>
      </w:r>
      <w:r w:rsidR="001F546E" w:rsidRPr="001F546E">
        <w:t>d</w:t>
      </w:r>
      <w:r w:rsidR="00035FB8" w:rsidRPr="001F546E">
        <w:t xml:space="preserve"> current and emerging inter-related trends, challenges and opportunities around access to information and knowledge, freedom of expression, privacy, and ethical dimensi</w:t>
      </w:r>
      <w:r w:rsidR="001F546E" w:rsidRPr="001F546E">
        <w:t>ons of the information society.</w:t>
      </w:r>
    </w:p>
    <w:p w:rsidR="00035FB8" w:rsidRDefault="002348BB" w:rsidP="001F546E">
      <w:r w:rsidRPr="008456C6">
        <w:t>A</w:t>
      </w:r>
      <w:r>
        <w:t>dditionally,</w:t>
      </w:r>
      <w:r w:rsidRPr="008456C6">
        <w:t xml:space="preserve"> in December 2015, UNESCO reviewed the impact of digital technologies on cultural consumption and creative industries on the basis that digitalisation has fundamentally altered the way in which cultural goods and services are produced, distributed and accessed.</w:t>
      </w:r>
      <w:r w:rsidRPr="008456C6">
        <w:rPr>
          <w:rStyle w:val="FootnoteReference"/>
        </w:rPr>
        <w:footnoteReference w:id="6"/>
      </w:r>
    </w:p>
    <w:p w:rsidR="00F94903" w:rsidRPr="00565E5E" w:rsidRDefault="00F94903" w:rsidP="00F94903">
      <w:pPr>
        <w:pStyle w:val="Heading2"/>
      </w:pPr>
      <w:bookmarkStart w:id="10" w:name="_Toc454294893"/>
      <w:r w:rsidRPr="003D22D1">
        <w:t>The European Digital Single Market</w:t>
      </w:r>
      <w:bookmarkEnd w:id="10"/>
    </w:p>
    <w:p w:rsidR="00F94903" w:rsidRDefault="00F94903" w:rsidP="00F94903">
      <w:r>
        <w:t>T</w:t>
      </w:r>
      <w:r w:rsidRPr="008456C6">
        <w:t xml:space="preserve">he Digital Single Market </w:t>
      </w:r>
      <w:r>
        <w:t xml:space="preserve">(DSM) </w:t>
      </w:r>
      <w:r w:rsidRPr="008456C6">
        <w:t>strategy</w:t>
      </w:r>
      <w:r>
        <w:t xml:space="preserve"> </w:t>
      </w:r>
      <w:r w:rsidRPr="008456C6">
        <w:t>was launched</w:t>
      </w:r>
      <w:r>
        <w:t xml:space="preserve"> and adopted in May 2015 in recognition of the significant impact that digitalisation has on growth and job creation within the economy</w:t>
      </w:r>
      <w:r w:rsidRPr="008456C6">
        <w:t xml:space="preserve">. </w:t>
      </w:r>
      <w:r w:rsidR="004B0E90">
        <w:t>Given that t</w:t>
      </w:r>
      <w:r>
        <w:t>he free movement of digital services within the EU has not yet been achieved</w:t>
      </w:r>
      <w:r w:rsidRPr="008456C6">
        <w:t xml:space="preserve"> </w:t>
      </w:r>
      <w:r>
        <w:t xml:space="preserve">despite the overarching principle of free movement, </w:t>
      </w:r>
      <w:r w:rsidRPr="008456C6">
        <w:t xml:space="preserve">businesses </w:t>
      </w:r>
      <w:r>
        <w:t xml:space="preserve">operating online </w:t>
      </w:r>
      <w:r w:rsidRPr="008456C6">
        <w:t xml:space="preserve">are able to discriminate between markets </w:t>
      </w:r>
      <w:r>
        <w:t>and across countries.</w:t>
      </w:r>
      <w:r w:rsidR="004B0E90" w:rsidRPr="004B0E90">
        <w:t xml:space="preserve"> </w:t>
      </w:r>
      <w:r w:rsidR="00B0255E">
        <w:t xml:space="preserve">The DSM is therefore </w:t>
      </w:r>
      <w:r w:rsidR="004B0E90">
        <w:t>an important step towards achieving a fully-fledged single market encompassing digital tools and services</w:t>
      </w:r>
      <w:r w:rsidR="004B0E90" w:rsidRPr="008456C6">
        <w:t>.</w:t>
      </w:r>
    </w:p>
    <w:p w:rsidR="00F94903" w:rsidRDefault="00F94903" w:rsidP="00F94903">
      <w:r>
        <w:t xml:space="preserve">The </w:t>
      </w:r>
      <w:r w:rsidRPr="00531A63">
        <w:t>Digital Single Market strategy</w:t>
      </w:r>
      <w:r>
        <w:t xml:space="preserve"> includes 16 initiatives to be delivered by the end of 2016. The achievement of </w:t>
      </w:r>
      <w:r w:rsidR="00B707D7">
        <w:t>the</w:t>
      </w:r>
      <w:r>
        <w:t xml:space="preserve"> </w:t>
      </w:r>
      <w:r w:rsidR="00B707D7">
        <w:t>DSM</w:t>
      </w:r>
      <w:r>
        <w:t xml:space="preserve"> is estimated to potentially contribute </w:t>
      </w:r>
      <w:r w:rsidR="00B0255E">
        <w:t xml:space="preserve">by €415 billion per year </w:t>
      </w:r>
      <w:r w:rsidR="00B707D7">
        <w:t>to Europe's economy</w:t>
      </w:r>
      <w:r>
        <w:t>. It is expected to contribute significantly to job creation and transform public services. However, it is important to consider that the skills and competencies of the work force also need to be aligned with the digital economy in order to take full advantage of the available opportunities.</w:t>
      </w:r>
      <w:r w:rsidRPr="008456C6">
        <w:rPr>
          <w:rStyle w:val="FootnoteReference"/>
        </w:rPr>
        <w:footnoteReference w:id="7"/>
      </w:r>
    </w:p>
    <w:p w:rsidR="00F94903" w:rsidRDefault="00F94903" w:rsidP="00F94903">
      <w:r>
        <w:t>The EU has been successful in formulating a comprehensive strategy for digitalisation at home. The DSM</w:t>
      </w:r>
      <w:r w:rsidRPr="008456C6">
        <w:t xml:space="preserve"> strategy </w:t>
      </w:r>
      <w:r>
        <w:t xml:space="preserve">is mainstreamed </w:t>
      </w:r>
      <w:r w:rsidR="00B0255E">
        <w:t>(</w:t>
      </w:r>
      <w:r>
        <w:t>to some extent with the external relations framework</w:t>
      </w:r>
      <w:r w:rsidR="00B0255E">
        <w:t>)</w:t>
      </w:r>
      <w:r>
        <w:t xml:space="preserve"> through its links with the Eastern Partnership and Eastern Neighbourhood cooperation frameworks. There is great scope for translating the key principles of the DSM to wider development cooperation policy by promoting digital economies in the rest of the world. </w:t>
      </w:r>
      <w:r w:rsidR="00B707D7">
        <w:t xml:space="preserve">The </w:t>
      </w:r>
      <w:r w:rsidRPr="00AD3268">
        <w:t xml:space="preserve">Tunisian Data Protection Act </w:t>
      </w:r>
      <w:r>
        <w:t xml:space="preserve">which </w:t>
      </w:r>
      <w:r w:rsidRPr="00AD3268">
        <w:t>was based on the E</w:t>
      </w:r>
      <w:r w:rsidR="00D52632">
        <w:t>U</w:t>
      </w:r>
      <w:r w:rsidRPr="00AD3268">
        <w:t xml:space="preserve"> Data Protection Directive</w:t>
      </w:r>
      <w:r w:rsidR="00542984">
        <w:rPr>
          <w:rStyle w:val="FootnoteReference"/>
        </w:rPr>
        <w:footnoteReference w:id="8"/>
      </w:r>
      <w:r w:rsidR="00B707D7">
        <w:t xml:space="preserve"> is one successful example</w:t>
      </w:r>
      <w:r>
        <w:t>.</w:t>
      </w:r>
    </w:p>
    <w:p w:rsidR="00992C2B" w:rsidRDefault="00992C2B" w:rsidP="00F94903">
      <w:pPr>
        <w:pStyle w:val="Heading2"/>
      </w:pPr>
      <w:bookmarkStart w:id="11" w:name="_Toc454294894"/>
      <w:r>
        <w:t xml:space="preserve">EU ICT </w:t>
      </w:r>
      <w:r w:rsidR="002B1E84">
        <w:t xml:space="preserve">for </w:t>
      </w:r>
      <w:r>
        <w:t>development policy</w:t>
      </w:r>
      <w:bookmarkEnd w:id="11"/>
    </w:p>
    <w:p w:rsidR="002348BB" w:rsidRDefault="002348BB" w:rsidP="00727D1F">
      <w:r>
        <w:t xml:space="preserve">The </w:t>
      </w:r>
      <w:r w:rsidR="00503599">
        <w:t xml:space="preserve">2001 Commission Communication: </w:t>
      </w:r>
      <w:r>
        <w:t>Information and Communication Technologies in Development - The role of ICTs in EC development policy</w:t>
      </w:r>
      <w:r w:rsidR="00503599">
        <w:rPr>
          <w:rStyle w:val="FootnoteReference"/>
        </w:rPr>
        <w:footnoteReference w:id="9"/>
      </w:r>
      <w:r>
        <w:t xml:space="preserve"> </w:t>
      </w:r>
      <w:r w:rsidR="007B308C">
        <w:t>states that: '</w:t>
      </w:r>
      <w:r>
        <w:t>while ICTs are not to be seen as a priority sector as such for Community development cooperation, they do provide an important tool for more efficient</w:t>
      </w:r>
      <w:r w:rsidR="007B308C">
        <w:t xml:space="preserve"> and effective aid delivery’</w:t>
      </w:r>
      <w:r>
        <w:t xml:space="preserve">. </w:t>
      </w:r>
      <w:r w:rsidR="00C949B8">
        <w:t>Along</w:t>
      </w:r>
      <w:r w:rsidR="00727D1F">
        <w:t xml:space="preserve"> a similar line, </w:t>
      </w:r>
      <w:r>
        <w:t xml:space="preserve">the 2011 </w:t>
      </w:r>
      <w:r w:rsidR="00864AEE">
        <w:t>EU Agenda for Change</w:t>
      </w:r>
      <w:r w:rsidR="00864AEE">
        <w:rPr>
          <w:rStyle w:val="FootnoteReference"/>
        </w:rPr>
        <w:footnoteReference w:id="10"/>
      </w:r>
      <w:r w:rsidR="00864AEE">
        <w:t xml:space="preserve"> considers</w:t>
      </w:r>
      <w:r>
        <w:t xml:space="preserve"> electronic communications </w:t>
      </w:r>
      <w:r w:rsidR="00864AEE">
        <w:t xml:space="preserve">as a </w:t>
      </w:r>
      <w:r>
        <w:t xml:space="preserve">tool to support growth across all </w:t>
      </w:r>
      <w:r w:rsidR="00864AEE">
        <w:t>sectors</w:t>
      </w:r>
      <w:r w:rsidR="00E52A21">
        <w:t>.</w:t>
      </w:r>
    </w:p>
    <w:p w:rsidR="00E70D1C" w:rsidRDefault="00727D1F" w:rsidP="00E70D1C">
      <w:r>
        <w:t xml:space="preserve">At present, </w:t>
      </w:r>
      <w:r w:rsidR="00992C2B">
        <w:t xml:space="preserve">ICT is not considered </w:t>
      </w:r>
      <w:r w:rsidR="002348BB">
        <w:t xml:space="preserve">a priority sector </w:t>
      </w:r>
      <w:r>
        <w:t>in its own right with</w:t>
      </w:r>
      <w:r w:rsidR="002348BB">
        <w:t>in EU development cooperation agend</w:t>
      </w:r>
      <w:r w:rsidR="002348BB" w:rsidRPr="00727D1F">
        <w:t xml:space="preserve">a. In addition, </w:t>
      </w:r>
      <w:r w:rsidR="00DA275D">
        <w:t>there are no</w:t>
      </w:r>
      <w:r>
        <w:t xml:space="preserve"> EU partner countries </w:t>
      </w:r>
      <w:r w:rsidR="00DA275D">
        <w:t xml:space="preserve">which </w:t>
      </w:r>
      <w:r>
        <w:t xml:space="preserve">have identified </w:t>
      </w:r>
      <w:r w:rsidRPr="00727D1F">
        <w:t xml:space="preserve">ICT as a </w:t>
      </w:r>
      <w:r>
        <w:t xml:space="preserve">specific </w:t>
      </w:r>
      <w:r w:rsidR="00DA275D">
        <w:t>focal sector</w:t>
      </w:r>
      <w:r w:rsidRPr="00727D1F">
        <w:t>.</w:t>
      </w:r>
      <w:r>
        <w:t xml:space="preserve"> </w:t>
      </w:r>
      <w:r w:rsidR="00E52A21">
        <w:t xml:space="preserve">Based on lessons learned emerging from the EU development programmes, the view has been taken that the private sector is the most appropriately placed stakeholder to support ICT connectivity and infrastructure initiatives. </w:t>
      </w:r>
      <w:r w:rsidR="00B0255E">
        <w:t xml:space="preserve">Although </w:t>
      </w:r>
      <w:r w:rsidR="00347E97">
        <w:t>i</w:t>
      </w:r>
      <w:r w:rsidR="004E28CF">
        <w:t xml:space="preserve">t is difficult to assess the magnitude of committed funds </w:t>
      </w:r>
      <w:r w:rsidR="00646D13">
        <w:t>for</w:t>
      </w:r>
      <w:r w:rsidR="00665D21">
        <w:t xml:space="preserve"> other </w:t>
      </w:r>
      <w:r w:rsidR="00646D13">
        <w:t xml:space="preserve">areas of </w:t>
      </w:r>
      <w:r w:rsidR="004E28CF">
        <w:t xml:space="preserve">ICT </w:t>
      </w:r>
      <w:r w:rsidR="00665D21">
        <w:t xml:space="preserve">and specifically for cross-sectoral </w:t>
      </w:r>
      <w:r w:rsidR="00D6519F">
        <w:t>activities</w:t>
      </w:r>
      <w:r w:rsidR="00665D21">
        <w:t xml:space="preserve"> </w:t>
      </w:r>
      <w:r w:rsidR="00B0255E">
        <w:t>(</w:t>
      </w:r>
      <w:r w:rsidR="005A2078">
        <w:t xml:space="preserve">as the ICT </w:t>
      </w:r>
      <w:r w:rsidR="00F75271">
        <w:t>component</w:t>
      </w:r>
      <w:r w:rsidR="00870C60">
        <w:t xml:space="preserve"> </w:t>
      </w:r>
      <w:r w:rsidR="00646D13">
        <w:t>has often</w:t>
      </w:r>
      <w:r w:rsidR="005A2078">
        <w:t xml:space="preserve"> been mainstreamed into </w:t>
      </w:r>
      <w:r w:rsidR="00870C60">
        <w:t xml:space="preserve">other </w:t>
      </w:r>
      <w:r w:rsidR="00A304D5">
        <w:t>programme areas</w:t>
      </w:r>
      <w:r w:rsidR="00B0255E">
        <w:t>),</w:t>
      </w:r>
      <w:r w:rsidR="00870C60">
        <w:t xml:space="preserve"> </w:t>
      </w:r>
      <w:r w:rsidR="00B0255E">
        <w:t>i</w:t>
      </w:r>
      <w:r w:rsidR="00D6519F">
        <w:t>n general</w:t>
      </w:r>
      <w:r w:rsidR="004E28CF">
        <w:t>,</w:t>
      </w:r>
      <w:r w:rsidR="00D6519F">
        <w:t xml:space="preserve"> p</w:t>
      </w:r>
      <w:r w:rsidR="00E52A21">
        <w:t>rogrammes in health, education and agriculture</w:t>
      </w:r>
      <w:r w:rsidR="00B0255E">
        <w:t xml:space="preserve"> for instance</w:t>
      </w:r>
      <w:r w:rsidR="00E52A21">
        <w:t xml:space="preserve"> have often contained significant ICT components</w:t>
      </w:r>
      <w:r w:rsidR="002348BB">
        <w:t>.</w:t>
      </w:r>
    </w:p>
    <w:p w:rsidR="00E70D1C" w:rsidRDefault="00665D21" w:rsidP="00E70D1C">
      <w:r>
        <w:t>Some individual strategies</w:t>
      </w:r>
      <w:r w:rsidRPr="00DF1A23">
        <w:t xml:space="preserve"> </w:t>
      </w:r>
      <w:r>
        <w:t>for ICT exist w</w:t>
      </w:r>
      <w:r w:rsidR="00E70D1C">
        <w:t>ithin specific a</w:t>
      </w:r>
      <w:r>
        <w:t xml:space="preserve">reas of EU development cooperation. </w:t>
      </w:r>
      <w:r w:rsidR="00E70D1C">
        <w:t xml:space="preserve">The 2013 Joint Communication of the EU Cybersecurity Strategy identified that the EU would work towards closing </w:t>
      </w:r>
      <w:r w:rsidR="00084D41">
        <w:t xml:space="preserve">the digital divide and would actively </w:t>
      </w:r>
      <w:r w:rsidR="00E70D1C">
        <w:t>participat</w:t>
      </w:r>
      <w:r w:rsidR="00B0255E">
        <w:t>e</w:t>
      </w:r>
      <w:r w:rsidR="00E70D1C">
        <w:t xml:space="preserve"> in international efforts to build cybersecurity capacity. The strategy's accompanying Council Conclusions called upon the Commission, the High Representative and Member States in cooperation with relevant private organisation</w:t>
      </w:r>
      <w:r w:rsidR="00B07531">
        <w:t>s</w:t>
      </w:r>
      <w:r w:rsidR="00E70D1C">
        <w:t xml:space="preserve"> and civil society to make full </w:t>
      </w:r>
      <w:r w:rsidR="00E70D1C" w:rsidRPr="008E2470">
        <w:t>use of relevant EU aid instrument</w:t>
      </w:r>
      <w:r w:rsidR="00B0255E" w:rsidRPr="008E2470">
        <w:t>s</w:t>
      </w:r>
      <w:r w:rsidR="00E70D1C" w:rsidRPr="008E2470">
        <w:t xml:space="preserve"> for ICT capacity building. The 2015 Council Conclusions on Cyber</w:t>
      </w:r>
      <w:r w:rsidR="00E70D1C">
        <w:t xml:space="preserve"> Diplomacy further identified 'cyber capacity building and development' as one of six pillars, emphasising the importance of access to and use of open and secure ICT for enabling economic growth and innovation, accelerating progress and driving political, social and economic development worldwide.</w:t>
      </w:r>
    </w:p>
    <w:p w:rsidR="006A1666" w:rsidRDefault="007D2020" w:rsidP="006A1666">
      <w:r>
        <w:t>W</w:t>
      </w:r>
      <w:r w:rsidRPr="008456C6">
        <w:t xml:space="preserve">ithin the EU cooperation </w:t>
      </w:r>
      <w:r>
        <w:t xml:space="preserve">framework </w:t>
      </w:r>
      <w:r w:rsidRPr="008456C6">
        <w:t xml:space="preserve">with Africa, </w:t>
      </w:r>
      <w:r>
        <w:t xml:space="preserve">there is a specific ICT approach contained within </w:t>
      </w:r>
      <w:r w:rsidR="0000010B">
        <w:t>the three-pronged ‘Connecting Africa’</w:t>
      </w:r>
      <w:r w:rsidRPr="008456C6">
        <w:t xml:space="preserve"> strategy aimed at: a) the harmonisation and alignment of the appropriate aspects of е-communications policies and regulatory frameworks between Africa and the EU, including cyber-security; b) the interconnection of Research and Education Networks through e-infrastructure; and c) the enhancement of ICT capacities for all, particularly in order to improve </w:t>
      </w:r>
      <w:r w:rsidR="00B07531">
        <w:t>I</w:t>
      </w:r>
      <w:r w:rsidRPr="008456C6">
        <w:t xml:space="preserve">nternet </w:t>
      </w:r>
      <w:r w:rsidR="00B07531" w:rsidRPr="008456C6">
        <w:t xml:space="preserve">access </w:t>
      </w:r>
      <w:r w:rsidRPr="008456C6">
        <w:t>and an open and inclusive governance, in line with the Tunis Agend</w:t>
      </w:r>
      <w:r>
        <w:t>a for the Information Society.</w:t>
      </w:r>
    </w:p>
    <w:p w:rsidR="006A1666" w:rsidRDefault="006A1666" w:rsidP="006A1666">
      <w:r w:rsidRPr="008456C6">
        <w:t xml:space="preserve">The European Commission and the African Union Commission convened in February 2016 to discuss sustainable infrastructure development under the aegis of the </w:t>
      </w:r>
      <w:r w:rsidR="00B07531">
        <w:t xml:space="preserve">Joint </w:t>
      </w:r>
      <w:r w:rsidRPr="008456C6">
        <w:t xml:space="preserve">Africa-EU </w:t>
      </w:r>
      <w:r w:rsidR="00B07531">
        <w:t xml:space="preserve">Strategy Reference Meeting Group on </w:t>
      </w:r>
      <w:r w:rsidRPr="008E2470">
        <w:t>Infrastructure.</w:t>
      </w:r>
      <w:r w:rsidR="00084D41" w:rsidRPr="008E2470">
        <w:t xml:space="preserve"> ICT was one of the four sector</w:t>
      </w:r>
      <w:r w:rsidRPr="008E2470">
        <w:t>al areas a</w:t>
      </w:r>
      <w:r w:rsidRPr="008456C6">
        <w:t>longside water, energy and transport with one of the discussion points being the Comprehensive Integrated ICT Strategy for Africa (CISA).</w:t>
      </w:r>
    </w:p>
    <w:p w:rsidR="006A1666" w:rsidRDefault="006A1666" w:rsidP="006A1666">
      <w:r>
        <w:t xml:space="preserve">The EU-Africa High Level Policy Dialogue on science, technology and innovation brings together the </w:t>
      </w:r>
      <w:r w:rsidR="00B07531">
        <w:t>EC</w:t>
      </w:r>
      <w:r>
        <w:t>, the African Union Commission</w:t>
      </w:r>
      <w:r w:rsidR="00B07531">
        <w:t>,</w:t>
      </w:r>
      <w:r>
        <w:t xml:space="preserve"> all EU </w:t>
      </w:r>
      <w:r w:rsidR="00B07531">
        <w:t xml:space="preserve">MS </w:t>
      </w:r>
      <w:r>
        <w:t>and African countries. At its third meeting in April 2016, it adopted a roadmap towards a jointly funded EU-Africa Research and Innovation Partnership on food and nutrition security and sustainable agriculture which integrates the use of ICT in support of innovation processes. The EU research and innovation programme Horizon 2020 and the development programme (African Union Research Grants) will support the implementation of this roadmap.</w:t>
      </w:r>
    </w:p>
    <w:p w:rsidR="006A1666" w:rsidRDefault="00D50AFC" w:rsidP="003C14FD">
      <w:r>
        <w:t>The 2014 Communication ‘</w:t>
      </w:r>
      <w:r w:rsidR="006A1666" w:rsidRPr="006A1666">
        <w:t>A Stronger Role of the Private Sector in Achieving Inclusive and Sustainable</w:t>
      </w:r>
      <w:r>
        <w:t xml:space="preserve"> Growth in Developing Countries’</w:t>
      </w:r>
      <w:r>
        <w:rPr>
          <w:rStyle w:val="FootnoteReference"/>
        </w:rPr>
        <w:footnoteReference w:id="11"/>
      </w:r>
      <w:r w:rsidR="006A1666" w:rsidRPr="006A1666">
        <w:t xml:space="preserve"> highlights the importance of ICT </w:t>
      </w:r>
      <w:r w:rsidR="006A1666">
        <w:t>in</w:t>
      </w:r>
      <w:r w:rsidR="006A1666" w:rsidRPr="006A1666">
        <w:t xml:space="preserve"> promot</w:t>
      </w:r>
      <w:r w:rsidR="006A1666">
        <w:t>ing</w:t>
      </w:r>
      <w:r w:rsidR="006A1666" w:rsidRPr="006A1666">
        <w:t xml:space="preserve"> financial inclusion of the poorest, especially in Africa.</w:t>
      </w:r>
      <w:r w:rsidR="006A1666">
        <w:t xml:space="preserve"> The Commission is currently looking into </w:t>
      </w:r>
      <w:r w:rsidR="003C14FD">
        <w:t xml:space="preserve">digital finance </w:t>
      </w:r>
      <w:r w:rsidR="00C37249">
        <w:t>as a new</w:t>
      </w:r>
      <w:r w:rsidR="003C14FD">
        <w:t xml:space="preserve"> area of work including the championing of </w:t>
      </w:r>
      <w:r w:rsidR="00C37249">
        <w:t>front-end technological</w:t>
      </w:r>
      <w:r w:rsidR="003C14FD">
        <w:t xml:space="preserve"> solutions </w:t>
      </w:r>
      <w:r w:rsidR="006A1666">
        <w:t>and us</w:t>
      </w:r>
      <w:r w:rsidR="003C14FD">
        <w:t>e</w:t>
      </w:r>
      <w:r w:rsidR="006A1666">
        <w:t xml:space="preserve"> </w:t>
      </w:r>
      <w:r w:rsidR="00B07531">
        <w:t xml:space="preserve">of </w:t>
      </w:r>
      <w:r w:rsidR="006A1666">
        <w:t>the private sector as a vehicle for growth.</w:t>
      </w:r>
    </w:p>
    <w:p w:rsidR="000E2E7A" w:rsidRDefault="000E2E7A" w:rsidP="000E2E7A">
      <w:r w:rsidRPr="000E2E7A">
        <w:t xml:space="preserve">In the context of the EU-CELAC Partnership, access to research infrastructure, including e-infrastructures </w:t>
      </w:r>
      <w:r>
        <w:t>was</w:t>
      </w:r>
      <w:r w:rsidRPr="000E2E7A">
        <w:t xml:space="preserve"> </w:t>
      </w:r>
      <w:r>
        <w:t>adopted</w:t>
      </w:r>
      <w:r w:rsidRPr="000E2E7A">
        <w:t xml:space="preserve"> in March 2016 as one of the three key pillars on which to build an EU-CELAC Common Research Area. In this sense, the enhancement of the broadband connectivity between Latin America and the EU through direct new op</w:t>
      </w:r>
      <w:r>
        <w:t xml:space="preserve">tic fibre cables has received </w:t>
      </w:r>
      <w:r w:rsidRPr="000E2E7A">
        <w:t>strong political support of the European</w:t>
      </w:r>
      <w:r w:rsidR="00B07531">
        <w:t>,</w:t>
      </w:r>
      <w:r w:rsidRPr="000E2E7A">
        <w:t xml:space="preserve"> Latin-American</w:t>
      </w:r>
      <w:r w:rsidR="00410BE3">
        <w:t xml:space="preserve"> and</w:t>
      </w:r>
      <w:r w:rsidRPr="000E2E7A">
        <w:t xml:space="preserve"> </w:t>
      </w:r>
      <w:r w:rsidR="00B07531">
        <w:t xml:space="preserve">Caribbean </w:t>
      </w:r>
      <w:r w:rsidRPr="000E2E7A">
        <w:t>Heads of State</w:t>
      </w:r>
      <w:r>
        <w:t>.</w:t>
      </w:r>
    </w:p>
    <w:p w:rsidR="00992C2B" w:rsidRPr="00705F94" w:rsidRDefault="00084D41" w:rsidP="00F94903">
      <w:pPr>
        <w:pStyle w:val="Heading2"/>
      </w:pPr>
      <w:bookmarkStart w:id="12" w:name="_Toc454294895"/>
      <w:r>
        <w:t>European Union stakeholders</w:t>
      </w:r>
      <w:bookmarkEnd w:id="12"/>
    </w:p>
    <w:p w:rsidR="006E23ED" w:rsidRDefault="002348BB" w:rsidP="005D1098">
      <w:r>
        <w:t xml:space="preserve">Within the European Commission’s internal organisation, DG DEVCO is responsible for coordinating and implementing activities </w:t>
      </w:r>
      <w:r w:rsidR="006E23ED">
        <w:t>with</w:t>
      </w:r>
      <w:r>
        <w:t>in development cooperation (</w:t>
      </w:r>
      <w:r w:rsidR="00E664A3">
        <w:t xml:space="preserve">except </w:t>
      </w:r>
      <w:r>
        <w:t>neighbourhood and accession countries</w:t>
      </w:r>
      <w:r w:rsidR="00B0255E">
        <w:t xml:space="preserve"> which are now the responsibility of DG NEAR</w:t>
      </w:r>
      <w:r>
        <w:t xml:space="preserve">), </w:t>
      </w:r>
      <w:r w:rsidRPr="00084D41">
        <w:t>including</w:t>
      </w:r>
      <w:r>
        <w:t xml:space="preserve"> ICT initiatives. DG DEVCO</w:t>
      </w:r>
      <w:r w:rsidR="006E23ED">
        <w:t>’s</w:t>
      </w:r>
      <w:r>
        <w:t xml:space="preserve"> internal </w:t>
      </w:r>
      <w:r w:rsidRPr="00084D41">
        <w:t>expertise</w:t>
      </w:r>
      <w:r>
        <w:t xml:space="preserve"> </w:t>
      </w:r>
      <w:r w:rsidR="00E8456C" w:rsidRPr="00E8456C">
        <w:t xml:space="preserve">within ICT </w:t>
      </w:r>
      <w:r w:rsidR="00E664A3">
        <w:t xml:space="preserve">along with </w:t>
      </w:r>
      <w:r w:rsidR="00E8456C">
        <w:t xml:space="preserve">its cross-cutting application to other sectors </w:t>
      </w:r>
      <w:r w:rsidR="00E8456C" w:rsidRPr="00E8456C">
        <w:t>is dispersed among various units.</w:t>
      </w:r>
      <w:r w:rsidR="007D2020">
        <w:t xml:space="preserve"> </w:t>
      </w:r>
      <w:r w:rsidR="005D1098">
        <w:t>Comprehensive s</w:t>
      </w:r>
      <w:r w:rsidR="006E23ED">
        <w:t>pecialist</w:t>
      </w:r>
      <w:r>
        <w:t xml:space="preserve"> </w:t>
      </w:r>
      <w:r w:rsidRPr="00084D41">
        <w:t>expertise</w:t>
      </w:r>
      <w:r>
        <w:t xml:space="preserve"> is lacking in this </w:t>
      </w:r>
      <w:r w:rsidR="005D1098">
        <w:t>domain although it exists in certain areas such as digital finance and education.</w:t>
      </w:r>
    </w:p>
    <w:p w:rsidR="00F97B70" w:rsidRDefault="002348BB" w:rsidP="00687C3A">
      <w:r>
        <w:t>The situation is similar in DG NEAR whose area of responsibility covers neighb</w:t>
      </w:r>
      <w:r w:rsidR="006E23ED">
        <w:t>ourhood and accession countries t</w:t>
      </w:r>
      <w:r>
        <w:t xml:space="preserve">hough recently, DG NEAR appointed several focal points with thematic </w:t>
      </w:r>
      <w:r w:rsidRPr="00084D41">
        <w:t>exper</w:t>
      </w:r>
      <w:r w:rsidR="00E640AB" w:rsidRPr="00084D41">
        <w:t>t</w:t>
      </w:r>
      <w:r>
        <w:t xml:space="preserve"> including one for ICT. </w:t>
      </w:r>
      <w:r w:rsidR="006E23ED">
        <w:t>DG CNECT</w:t>
      </w:r>
      <w:r>
        <w:t xml:space="preserve"> possess</w:t>
      </w:r>
      <w:r w:rsidR="006E23ED">
        <w:t>es</w:t>
      </w:r>
      <w:r>
        <w:t xml:space="preserve"> </w:t>
      </w:r>
      <w:r w:rsidRPr="00084D41">
        <w:t xml:space="preserve">relevant </w:t>
      </w:r>
      <w:r w:rsidR="006E23ED" w:rsidRPr="00084D41">
        <w:t xml:space="preserve">ICT related </w:t>
      </w:r>
      <w:r w:rsidRPr="00084D41">
        <w:t>expertise</w:t>
      </w:r>
      <w:r>
        <w:t xml:space="preserve"> </w:t>
      </w:r>
      <w:r w:rsidR="006E23ED">
        <w:t xml:space="preserve">and is able to provide </w:t>
      </w:r>
      <w:r w:rsidR="00F97B70">
        <w:t xml:space="preserve">qualified </w:t>
      </w:r>
      <w:r w:rsidR="006E23ED">
        <w:t>technical support</w:t>
      </w:r>
      <w:r w:rsidR="00FF3507">
        <w:t xml:space="preserve"> in this area. </w:t>
      </w:r>
      <w:r w:rsidR="00E664A3">
        <w:t xml:space="preserve">DG CNECT </w:t>
      </w:r>
      <w:r w:rsidR="00084D41">
        <w:t>is</w:t>
      </w:r>
      <w:r w:rsidR="00FF3507">
        <w:t xml:space="preserve"> also </w:t>
      </w:r>
      <w:r w:rsidR="00687C3A">
        <w:t xml:space="preserve">the main </w:t>
      </w:r>
      <w:r w:rsidR="00E640AB">
        <w:t xml:space="preserve">DG </w:t>
      </w:r>
      <w:r w:rsidR="00FF3507">
        <w:t>responsible for implementing the Digital Single Market.</w:t>
      </w:r>
      <w:r w:rsidR="009E0C7C">
        <w:t xml:space="preserve"> </w:t>
      </w:r>
      <w:r>
        <w:t>DG RTD</w:t>
      </w:r>
      <w:r w:rsidRPr="00F73828">
        <w:t xml:space="preserve"> </w:t>
      </w:r>
      <w:r w:rsidR="009E0C7C">
        <w:t xml:space="preserve">holds </w:t>
      </w:r>
      <w:r w:rsidR="009E0C7C" w:rsidRPr="00084D41">
        <w:t>relevant expertise</w:t>
      </w:r>
      <w:r w:rsidR="009E0C7C">
        <w:t xml:space="preserve"> </w:t>
      </w:r>
      <w:r w:rsidR="00F97B70">
        <w:t xml:space="preserve">within innovation </w:t>
      </w:r>
      <w:r w:rsidR="009E0C7C">
        <w:t xml:space="preserve">through the </w:t>
      </w:r>
      <w:r w:rsidR="00F97B70">
        <w:t xml:space="preserve">management </w:t>
      </w:r>
      <w:r w:rsidR="009E0C7C">
        <w:t>of the Horizon 2020 (H2020) programme</w:t>
      </w:r>
      <w:r w:rsidR="00E640AB">
        <w:t xml:space="preserve"> which funds</w:t>
      </w:r>
      <w:r w:rsidR="009E0C7C">
        <w:t xml:space="preserve"> development related activities</w:t>
      </w:r>
      <w:r w:rsidR="00E640AB">
        <w:t xml:space="preserve"> and research</w:t>
      </w:r>
      <w:r w:rsidR="009E0C7C">
        <w:t>.</w:t>
      </w:r>
      <w:r w:rsidR="006C3549">
        <w:t xml:space="preserve"> DG RTD has a </w:t>
      </w:r>
      <w:r w:rsidR="006C3549" w:rsidRPr="006C3549">
        <w:t xml:space="preserve">directorate for international cooperation </w:t>
      </w:r>
      <w:r w:rsidR="006C3549">
        <w:t xml:space="preserve">which </w:t>
      </w:r>
      <w:r w:rsidR="006C3549" w:rsidRPr="006C3549">
        <w:t>coordinat</w:t>
      </w:r>
      <w:r w:rsidR="006C3549">
        <w:t>es</w:t>
      </w:r>
      <w:r w:rsidR="006C3549" w:rsidRPr="006C3549">
        <w:t xml:space="preserve"> the research and innovation activities incl</w:t>
      </w:r>
      <w:r w:rsidR="006C3549">
        <w:t>uding research infrastructures,</w:t>
      </w:r>
      <w:r w:rsidR="006C3549" w:rsidRPr="006C3549">
        <w:t xml:space="preserve"> </w:t>
      </w:r>
      <w:r w:rsidR="006C3549">
        <w:t xml:space="preserve">in </w:t>
      </w:r>
      <w:r w:rsidR="006C3549" w:rsidRPr="006C3549">
        <w:t>the context of the existing S</w:t>
      </w:r>
      <w:r w:rsidR="006C3549">
        <w:t>cience and Technology Agreements with the EU partner c</w:t>
      </w:r>
      <w:r w:rsidR="006C3549" w:rsidRPr="006C3549">
        <w:t>ountries</w:t>
      </w:r>
      <w:r w:rsidR="006C3549">
        <w:t>.</w:t>
      </w:r>
      <w:r w:rsidR="00E640AB" w:rsidRPr="00E640AB">
        <w:t xml:space="preserve"> </w:t>
      </w:r>
      <w:r w:rsidR="00E640AB">
        <w:t>The H2020 work programme for 2016-2017 also contains several components for ICT that are managed by DG CNECT.</w:t>
      </w:r>
    </w:p>
    <w:p w:rsidR="002348BB" w:rsidRDefault="007E3D80" w:rsidP="00F97B70">
      <w:r w:rsidRPr="007E3D80">
        <w:t xml:space="preserve">EEAS engagement in ICT development cooperation activities mainly covers cybersecurity and human rights-related issues. The EEAS </w:t>
      </w:r>
      <w:r w:rsidR="008A6466">
        <w:t>also</w:t>
      </w:r>
      <w:r w:rsidRPr="007E3D80">
        <w:t xml:space="preserve"> </w:t>
      </w:r>
      <w:r w:rsidR="008A6466">
        <w:t>focuses on</w:t>
      </w:r>
      <w:r w:rsidRPr="007E3D80">
        <w:t xml:space="preserve"> the development impact of the </w:t>
      </w:r>
      <w:r w:rsidR="00E664A3">
        <w:t xml:space="preserve">Internet </w:t>
      </w:r>
      <w:r w:rsidRPr="007E3D80">
        <w:t>governance structures</w:t>
      </w:r>
      <w:r w:rsidR="002348BB">
        <w:t>.</w:t>
      </w:r>
    </w:p>
    <w:p w:rsidR="002348BB" w:rsidRDefault="002348BB" w:rsidP="00E10DBA">
      <w:r>
        <w:t xml:space="preserve">EU </w:t>
      </w:r>
      <w:r w:rsidR="00E10DBA">
        <w:t xml:space="preserve">development cooperation </w:t>
      </w:r>
      <w:r>
        <w:t xml:space="preserve">support </w:t>
      </w:r>
      <w:r w:rsidR="00E10DBA" w:rsidRPr="005F7E9D">
        <w:t>to</w:t>
      </w:r>
      <w:r w:rsidRPr="005F7E9D">
        <w:t xml:space="preserve"> the ICT sector has</w:t>
      </w:r>
      <w:r>
        <w:t xml:space="preserve"> been focus</w:t>
      </w:r>
      <w:r w:rsidR="00E10DBA">
        <w:t>ed</w:t>
      </w:r>
      <w:r>
        <w:t xml:space="preserve"> predominantly within two areas: infrastructure (broadband and connectivity); and </w:t>
      </w:r>
      <w:r w:rsidR="00DE6915" w:rsidRPr="00DE6915">
        <w:t xml:space="preserve">policy related </w:t>
      </w:r>
      <w:r w:rsidRPr="00DE6915">
        <w:t>issues</w:t>
      </w:r>
      <w:r w:rsidR="00E664A3">
        <w:t>,</w:t>
      </w:r>
      <w:r>
        <w:t xml:space="preserve"> such as harmonisation of policy and legal and regulatory frameworks, interconnection of research and education networks </w:t>
      </w:r>
      <w:r w:rsidR="00E664A3">
        <w:t>amongst others</w:t>
      </w:r>
      <w:r w:rsidR="00AC152D">
        <w:rPr>
          <w:rStyle w:val="FootnoteReference"/>
        </w:rPr>
        <w:footnoteReference w:id="12"/>
      </w:r>
      <w:r w:rsidR="00E664A3">
        <w:t>.</w:t>
      </w:r>
    </w:p>
    <w:p w:rsidR="00556EE6" w:rsidRDefault="002348BB" w:rsidP="00556EE6">
      <w:pPr>
        <w:rPr>
          <w:highlight w:val="yellow"/>
        </w:rPr>
      </w:pPr>
      <w:r>
        <w:t xml:space="preserve">In the </w:t>
      </w:r>
      <w:r w:rsidR="00E664A3">
        <w:t>African, Caribbean and Pacific (</w:t>
      </w:r>
      <w:r>
        <w:t>ACP</w:t>
      </w:r>
      <w:r w:rsidR="00E664A3">
        <w:t>)</w:t>
      </w:r>
      <w:r>
        <w:t xml:space="preserve"> countries, examples within the first category include the Seychelles East African Submarine Cable System (€4 million contribution), African Internet Exchange System (AXIS) project (€5.1 million contribution), the Satellite enhanced Telemedicine and e-Health for sub-Saharan Africa (4M€ EU contribution), EASSy (€2.6M EU contribution) and Africa Connect (€20 million for all components). These investments are all funded through the EU-Africa Infrastructure Trust Fund (AITF) - an important funding instrument to leverage loans for infrastructure investment </w:t>
      </w:r>
      <w:r w:rsidR="00E640AB">
        <w:t xml:space="preserve">- </w:t>
      </w:r>
      <w:r>
        <w:t>including for ICT. The AITF has allocated a total of €18.6 million, close to five percent of its portfolio, as grants in support of a number of ICT projects.</w:t>
      </w:r>
    </w:p>
    <w:p w:rsidR="00556EE6" w:rsidRPr="00556EE6" w:rsidRDefault="00E640AB" w:rsidP="00BE2E55">
      <w:r>
        <w:t>Overall, p</w:t>
      </w:r>
      <w:r w:rsidR="00556EE6" w:rsidRPr="00556EE6">
        <w:t xml:space="preserve">olicy harmonisation has been targeted </w:t>
      </w:r>
      <w:r>
        <w:t>at</w:t>
      </w:r>
      <w:r w:rsidR="00556EE6" w:rsidRPr="00556EE6">
        <w:t xml:space="preserve"> </w:t>
      </w:r>
      <w:r>
        <w:t>achieving,</w:t>
      </w:r>
      <w:r w:rsidR="00556EE6" w:rsidRPr="00556EE6">
        <w:t xml:space="preserve"> strong legal and regulatory frameworks, and independent national regulators, in order </w:t>
      </w:r>
      <w:r w:rsidR="00556EE6" w:rsidRPr="005F7E9D">
        <w:t xml:space="preserve">to further </w:t>
      </w:r>
      <w:r w:rsidR="005F7E9D" w:rsidRPr="005F7E9D">
        <w:t>enhance</w:t>
      </w:r>
      <w:r w:rsidRPr="005F7E9D">
        <w:t xml:space="preserve"> </w:t>
      </w:r>
      <w:r w:rsidR="00556EE6" w:rsidRPr="005F7E9D">
        <w:t>market liberalisation</w:t>
      </w:r>
      <w:r w:rsidR="00556EE6" w:rsidRPr="00556EE6">
        <w:t xml:space="preserve"> and subsequent private sector investment. This has been done for the ACP contents under the ‘Support for Harmonisation of ICT Policies in Sub-Saharan Africa’ (HIPSSA), its planned successor HIP Africa and the EMERG platform</w:t>
      </w:r>
      <w:r w:rsidR="006C3CF1">
        <w:t>.</w:t>
      </w:r>
      <w:r w:rsidR="00556EE6" w:rsidRPr="00556EE6">
        <w:t xml:space="preserve"> </w:t>
      </w:r>
      <w:r>
        <w:t>A</w:t>
      </w:r>
      <w:r w:rsidR="00556EE6" w:rsidRPr="00556EE6">
        <w:t xml:space="preserve"> project proposal which will support national authorities in charge of spectrum to manage spectrum allocation</w:t>
      </w:r>
      <w:r>
        <w:t xml:space="preserve"> is </w:t>
      </w:r>
      <w:r w:rsidRPr="00556EE6">
        <w:t>currently</w:t>
      </w:r>
      <w:r w:rsidRPr="00E640AB">
        <w:t xml:space="preserve"> </w:t>
      </w:r>
      <w:r w:rsidRPr="00556EE6">
        <w:t>under preparation</w:t>
      </w:r>
      <w:r>
        <w:t>.</w:t>
      </w:r>
    </w:p>
    <w:p w:rsidR="002348BB" w:rsidRDefault="00417881" w:rsidP="003268A5">
      <w:r>
        <w:t>Within the area of policy harmonisation</w:t>
      </w:r>
      <w:r w:rsidR="002348BB" w:rsidRPr="003E2103">
        <w:t xml:space="preserve"> there </w:t>
      </w:r>
      <w:r w:rsidR="007F25D2">
        <w:t>are</w:t>
      </w:r>
      <w:r w:rsidR="002348BB" w:rsidRPr="003E2103">
        <w:t xml:space="preserve"> also projects </w:t>
      </w:r>
      <w:r w:rsidR="003E2103" w:rsidRPr="003E2103">
        <w:t xml:space="preserve">concerned with </w:t>
      </w:r>
      <w:r w:rsidR="002348BB" w:rsidRPr="003E2103">
        <w:t>connecting European research and education institutions with institutions based in partnership countries.</w:t>
      </w:r>
      <w:r w:rsidR="002348BB">
        <w:t xml:space="preserve"> The GÉANT network was initially a Pan-European initiative to interconnect national research and education networking (NREN) organisations. GÉANT currently manages networking projects serving Europe (GÉANT Project), the Eastern Partnership countries (EaPConnect), the Mediterranean (EUMEDCONNECT3), Central Asia (CAREN2)</w:t>
      </w:r>
      <w:r w:rsidR="003268A5">
        <w:t xml:space="preserve">, Latin </w:t>
      </w:r>
      <w:r w:rsidR="00E664A3">
        <w:t>America</w:t>
      </w:r>
      <w:r w:rsidR="003268A5">
        <w:t xml:space="preserve"> (RedC</w:t>
      </w:r>
      <w:r w:rsidR="00E664A3">
        <w:t>LARA</w:t>
      </w:r>
      <w:r w:rsidR="003268A5">
        <w:t xml:space="preserve">), </w:t>
      </w:r>
      <w:r w:rsidR="003268A5" w:rsidRPr="003268A5">
        <w:t>the Caribbean (C@rib</w:t>
      </w:r>
      <w:r w:rsidR="00E664A3">
        <w:t>NET</w:t>
      </w:r>
      <w:r w:rsidR="003268A5" w:rsidRPr="003268A5">
        <w:t>),</w:t>
      </w:r>
      <w:r w:rsidR="002348BB">
        <w:t xml:space="preserve"> and Africa (AfricaConnect2). Initially</w:t>
      </w:r>
      <w:r w:rsidR="00E664A3">
        <w:t>,</w:t>
      </w:r>
      <w:r w:rsidR="002348BB">
        <w:t xml:space="preserve"> these were pure infrastructure networks but </w:t>
      </w:r>
      <w:r w:rsidR="000C0030">
        <w:t>over</w:t>
      </w:r>
      <w:r w:rsidR="002348BB">
        <w:t xml:space="preserve"> time they have evolved into research collaboration platforms and have the potential to expand ICT cooperation even further.</w:t>
      </w:r>
    </w:p>
    <w:p w:rsidR="005E2368" w:rsidRDefault="002348BB" w:rsidP="008446D3">
      <w:r>
        <w:t xml:space="preserve">In Asia and the Pacific, the EU has supported </w:t>
      </w:r>
      <w:r w:rsidR="008446D3">
        <w:t>t</w:t>
      </w:r>
      <w:r>
        <w:t>he Trans-Eurasia Information Network (TEIN)</w:t>
      </w:r>
      <w:r w:rsidR="008446D3">
        <w:t>, a similar initiative to G</w:t>
      </w:r>
      <w:r w:rsidR="00387C5D" w:rsidRPr="00387C5D">
        <w:t>É</w:t>
      </w:r>
      <w:r w:rsidR="00E664A3">
        <w:t>ANT</w:t>
      </w:r>
      <w:r>
        <w:t xml:space="preserve"> </w:t>
      </w:r>
      <w:r w:rsidR="008446D3">
        <w:t>for</w:t>
      </w:r>
      <w:r>
        <w:t xml:space="preserve"> the Asia-Pacific region. </w:t>
      </w:r>
      <w:r w:rsidR="000C0030">
        <w:t>TEIN</w:t>
      </w:r>
      <w:r>
        <w:t xml:space="preserve"> interconnects Asian researchers and counterparts in Europe via direct links to the GÉANT network, providing the Asia-Pacific countries with a gateway for global research collaboration. TEIN currently connects eighteen countries in the Asian and South Asia region. The current TEIN4 is the fourth generation of </w:t>
      </w:r>
      <w:r w:rsidR="000C0030">
        <w:t xml:space="preserve">the </w:t>
      </w:r>
      <w:r>
        <w:t xml:space="preserve">TEIN network. </w:t>
      </w:r>
      <w:r w:rsidR="000C0030">
        <w:t>Within the</w:t>
      </w:r>
      <w:r w:rsidR="00E664A3">
        <w:t xml:space="preserve"> </w:t>
      </w:r>
      <w:r>
        <w:t>same region</w:t>
      </w:r>
      <w:r w:rsidR="00E664A3">
        <w:t>,</w:t>
      </w:r>
      <w:r>
        <w:t xml:space="preserve"> there are also various cooperation platforms with India for research and the forthcoming EU-India co-operation on ICT-related standardi</w:t>
      </w:r>
      <w:r w:rsidR="005E2368">
        <w:t>sation, policy and legislation</w:t>
      </w:r>
      <w:r w:rsidR="000C0030">
        <w:t xml:space="preserve"> is an example of this</w:t>
      </w:r>
      <w:r w:rsidR="005E2368">
        <w:t>.</w:t>
      </w:r>
    </w:p>
    <w:p w:rsidR="00C4255A" w:rsidRDefault="003268A5" w:rsidP="00C1459F">
      <w:r w:rsidRPr="003268A5">
        <w:t xml:space="preserve">In CELAC, </w:t>
      </w:r>
      <w:r w:rsidR="00C1459F">
        <w:t>support</w:t>
      </w:r>
      <w:r w:rsidRPr="003268A5">
        <w:t xml:space="preserve"> </w:t>
      </w:r>
      <w:r w:rsidR="00C1459F">
        <w:t>is provided to the</w:t>
      </w:r>
      <w:r w:rsidRPr="003268A5">
        <w:t xml:space="preserve"> consortium Building</w:t>
      </w:r>
      <w:r w:rsidR="00C1459F">
        <w:t xml:space="preserve"> European Link to Latin America </w:t>
      </w:r>
      <w:r w:rsidR="00E664A3">
        <w:t>(</w:t>
      </w:r>
      <w:r w:rsidR="00E664A3" w:rsidRPr="003268A5">
        <w:t>BELLA</w:t>
      </w:r>
      <w:r w:rsidR="00E664A3">
        <w:t xml:space="preserve">) </w:t>
      </w:r>
      <w:r w:rsidR="000C0030">
        <w:t>for the</w:t>
      </w:r>
      <w:r w:rsidR="00C1459F">
        <w:t xml:space="preserve"> planned optic fibre cable connection between Latin America and the EU. </w:t>
      </w:r>
      <w:r w:rsidRPr="003268A5">
        <w:t>BELLA is composed of 12 European and Latin American Research and Education Networks: RedCLARA (the Latin American regional network, leader in collaboration with G</w:t>
      </w:r>
      <w:r w:rsidR="00387C5D" w:rsidRPr="00387C5D">
        <w:t>É</w:t>
      </w:r>
      <w:r w:rsidRPr="003268A5">
        <w:t>ANT), G</w:t>
      </w:r>
      <w:r w:rsidR="00387C5D" w:rsidRPr="00387C5D">
        <w:t>É</w:t>
      </w:r>
      <w:r w:rsidRPr="003268A5">
        <w:t>ANT (the European regional network), and the networks from Brazil, Colombia, Ecuador, Peru, Chile, Portugal, Spain, France, Italy and Germany</w:t>
      </w:r>
      <w:r w:rsidR="00C4255A">
        <w:t>.</w:t>
      </w:r>
    </w:p>
    <w:p w:rsidR="00C4255A" w:rsidRDefault="00C4255A" w:rsidP="00310501">
      <w:r w:rsidRPr="009C09E7">
        <w:t xml:space="preserve">Specific projects in Latin America include Alliance for the Information Society (@LIS): Consolidation of RedCLARA funded with €63 million from 2004-2009; @LIS2 with an EU contribution of €22 million between 2008 and 2013 and; Interconnectivity for Latin America €8 million which aims to improve </w:t>
      </w:r>
      <w:r w:rsidR="009144B3" w:rsidRPr="009C09E7">
        <w:t xml:space="preserve">broadband connectivity </w:t>
      </w:r>
      <w:r w:rsidR="00310501" w:rsidRPr="009C09E7">
        <w:t xml:space="preserve">and reliability </w:t>
      </w:r>
      <w:r w:rsidRPr="009C09E7">
        <w:t xml:space="preserve">within South America. A total of €93 million </w:t>
      </w:r>
      <w:r w:rsidR="000C0030">
        <w:t>was</w:t>
      </w:r>
      <w:r w:rsidRPr="009C09E7">
        <w:t xml:space="preserve"> allocated to ICT in Latin America, mainly </w:t>
      </w:r>
      <w:r w:rsidR="00310501" w:rsidRPr="009C09E7">
        <w:t>for the</w:t>
      </w:r>
      <w:r w:rsidRPr="009C09E7">
        <w:t xml:space="preserve"> institutional strengthening of RedC</w:t>
      </w:r>
      <w:r w:rsidR="00A179FD">
        <w:t>LARA</w:t>
      </w:r>
      <w:r w:rsidRPr="009C09E7">
        <w:t xml:space="preserve"> and </w:t>
      </w:r>
      <w:r w:rsidR="009C09E7">
        <w:t xml:space="preserve">for </w:t>
      </w:r>
      <w:r w:rsidRPr="009C09E7">
        <w:t xml:space="preserve">expanding </w:t>
      </w:r>
      <w:r w:rsidR="000C0030" w:rsidRPr="009C09E7">
        <w:t xml:space="preserve">broadband </w:t>
      </w:r>
      <w:r w:rsidR="00310501" w:rsidRPr="009C09E7">
        <w:t>access.</w:t>
      </w:r>
    </w:p>
    <w:p w:rsidR="00FB1495" w:rsidRDefault="00FB1495" w:rsidP="005E2368">
      <w:r>
        <w:t xml:space="preserve">Complementary actions in the area of cyber resilience include </w:t>
      </w:r>
      <w:r w:rsidR="005E2368" w:rsidRPr="006C3549">
        <w:t xml:space="preserve">a number of projects </w:t>
      </w:r>
      <w:r w:rsidRPr="006C3549">
        <w:t xml:space="preserve">focusing on </w:t>
      </w:r>
      <w:r>
        <w:t xml:space="preserve">the fight against </w:t>
      </w:r>
      <w:r w:rsidRPr="006C3549">
        <w:t>cybercrime</w:t>
      </w:r>
      <w:r>
        <w:t xml:space="preserve"> in accession and neighbourhood countries such as </w:t>
      </w:r>
      <w:r w:rsidRPr="00F65F90">
        <w:t xml:space="preserve">iPROCEEDS </w:t>
      </w:r>
      <w:r>
        <w:t>with €5 million</w:t>
      </w:r>
      <w:r w:rsidRPr="00F65F90">
        <w:t xml:space="preserve"> EU contribution</w:t>
      </w:r>
      <w:r>
        <w:t xml:space="preserve"> and </w:t>
      </w:r>
      <w:r w:rsidRPr="00F65F90">
        <w:t>Cyber@EaP</w:t>
      </w:r>
      <w:r>
        <w:t xml:space="preserve"> II and III (€1.5 million) as well as a number of global actions</w:t>
      </w:r>
      <w:r w:rsidR="00A179FD">
        <w:t>, such as</w:t>
      </w:r>
      <w:r>
        <w:t xml:space="preserve"> Global Action on Cybercrime</w:t>
      </w:r>
      <w:r w:rsidR="00A179FD">
        <w:t>,</w:t>
      </w:r>
      <w:r>
        <w:t xml:space="preserve"> GLACY and GLACY+ with a total of €12 million of EU contributions. These projects are </w:t>
      </w:r>
      <w:r w:rsidRPr="0016365F">
        <w:t xml:space="preserve">implemented </w:t>
      </w:r>
      <w:r>
        <w:t>by</w:t>
      </w:r>
      <w:r w:rsidRPr="0016365F">
        <w:t xml:space="preserve"> the Council of Europe</w:t>
      </w:r>
      <w:r>
        <w:t xml:space="preserve"> (CoE) in partnership with a number of EU M</w:t>
      </w:r>
      <w:r w:rsidR="00A179FD">
        <w:t>S</w:t>
      </w:r>
      <w:r>
        <w:t xml:space="preserve"> and the European Cybercrime </w:t>
      </w:r>
      <w:r w:rsidR="00A179FD">
        <w:t>Centre</w:t>
      </w:r>
      <w:r>
        <w:t xml:space="preserve"> at Europol (EC3).</w:t>
      </w:r>
      <w:r w:rsidR="00C3787F">
        <w:t xml:space="preserve"> The ENCYSEC</w:t>
      </w:r>
      <w:r>
        <w:t xml:space="preserve"> pilot </w:t>
      </w:r>
      <w:r w:rsidR="00C3787F">
        <w:t>programme</w:t>
      </w:r>
      <w:r>
        <w:t xml:space="preserve"> </w:t>
      </w:r>
      <w:r w:rsidR="00C3787F">
        <w:t xml:space="preserve">(€1.5 million EU contribution) ran between 2014 and 2016 </w:t>
      </w:r>
      <w:r>
        <w:t xml:space="preserve">in the </w:t>
      </w:r>
      <w:r w:rsidR="006C3CF1">
        <w:t>Former</w:t>
      </w:r>
      <w:r>
        <w:t xml:space="preserve"> Yugoslav Republic of Macedonia, </w:t>
      </w:r>
      <w:r w:rsidRPr="00F65F90">
        <w:t>Kosovo and Moldova</w:t>
      </w:r>
      <w:r>
        <w:t xml:space="preserve"> support</w:t>
      </w:r>
      <w:r w:rsidR="00290133">
        <w:t>ing the development</w:t>
      </w:r>
      <w:r w:rsidR="00C3787F">
        <w:t xml:space="preserve"> of</w:t>
      </w:r>
      <w:r>
        <w:t xml:space="preserve"> </w:t>
      </w:r>
      <w:r w:rsidRPr="00F65F90">
        <w:t>National Cybe</w:t>
      </w:r>
      <w:r w:rsidR="00290133">
        <w:t xml:space="preserve">r Security Strategies. </w:t>
      </w:r>
      <w:r>
        <w:t>Building on this experience</w:t>
      </w:r>
      <w:r w:rsidR="00290133">
        <w:t>,</w:t>
      </w:r>
      <w:r>
        <w:t xml:space="preserve"> a larger cybersecurity initiative</w:t>
      </w:r>
      <w:r w:rsidR="00290133">
        <w:t xml:space="preserve"> (€11 million contribution) with focus on the </w:t>
      </w:r>
      <w:r w:rsidR="00290133" w:rsidRPr="007E6ADA">
        <w:rPr>
          <w:lang w:eastAsia="en-US"/>
        </w:rPr>
        <w:t>cybersecurity preparedness</w:t>
      </w:r>
      <w:r w:rsidR="00290133">
        <w:rPr>
          <w:lang w:eastAsia="en-US"/>
        </w:rPr>
        <w:t xml:space="preserve"> of selected third countries, particularly in Africa and Asia, </w:t>
      </w:r>
      <w:r w:rsidR="0046354E">
        <w:t>is expected to be launched in 2017. It will follow a</w:t>
      </w:r>
      <w:r w:rsidR="00290133">
        <w:rPr>
          <w:lang w:eastAsia="en-US"/>
        </w:rPr>
        <w:t xml:space="preserve"> human rights </w:t>
      </w:r>
      <w:r w:rsidR="0046354E">
        <w:rPr>
          <w:lang w:eastAsia="en-US"/>
        </w:rPr>
        <w:t>and multi</w:t>
      </w:r>
      <w:r w:rsidR="006C3CF1">
        <w:rPr>
          <w:lang w:eastAsia="en-US"/>
        </w:rPr>
        <w:t>-</w:t>
      </w:r>
      <w:r w:rsidR="0046354E">
        <w:rPr>
          <w:lang w:eastAsia="en-US"/>
        </w:rPr>
        <w:t xml:space="preserve">stakeholder </w:t>
      </w:r>
      <w:r w:rsidR="00290133">
        <w:rPr>
          <w:lang w:eastAsia="en-US"/>
        </w:rPr>
        <w:t>approach.</w:t>
      </w:r>
    </w:p>
    <w:p w:rsidR="002348BB" w:rsidRDefault="002348BB" w:rsidP="002348BB">
      <w:r>
        <w:t>A list of on-going and planned EU-funded ICT programmes and projects worldwide (not including those in accession countries) is provided at the end of Annex I</w:t>
      </w:r>
      <w:r>
        <w:rPr>
          <w:rStyle w:val="FootnoteReference"/>
        </w:rPr>
        <w:footnoteReference w:id="13"/>
      </w:r>
      <w:r>
        <w:t xml:space="preserve">. </w:t>
      </w:r>
    </w:p>
    <w:p w:rsidR="00410BE3" w:rsidRDefault="00410BE3" w:rsidP="002348BB"/>
    <w:p w:rsidR="002348BB" w:rsidRPr="0020683A" w:rsidRDefault="002348BB" w:rsidP="001B2EB7">
      <w:pPr>
        <w:pStyle w:val="Caption"/>
        <w:keepNext/>
        <w:spacing w:after="0"/>
        <w:jc w:val="center"/>
        <w:rPr>
          <w:color w:val="auto"/>
          <w:sz w:val="21"/>
          <w:szCs w:val="21"/>
        </w:rPr>
      </w:pPr>
      <w:r w:rsidRPr="0020683A">
        <w:rPr>
          <w:color w:val="auto"/>
          <w:sz w:val="21"/>
          <w:szCs w:val="21"/>
        </w:rPr>
        <w:t xml:space="preserve">Table </w:t>
      </w:r>
      <w:r w:rsidRPr="0020683A">
        <w:rPr>
          <w:color w:val="auto"/>
          <w:sz w:val="21"/>
          <w:szCs w:val="21"/>
        </w:rPr>
        <w:fldChar w:fldCharType="begin"/>
      </w:r>
      <w:r w:rsidRPr="0020683A">
        <w:rPr>
          <w:color w:val="auto"/>
          <w:sz w:val="21"/>
          <w:szCs w:val="21"/>
        </w:rPr>
        <w:instrText xml:space="preserve"> SEQ Table \* ARABIC </w:instrText>
      </w:r>
      <w:r w:rsidRPr="0020683A">
        <w:rPr>
          <w:color w:val="auto"/>
          <w:sz w:val="21"/>
          <w:szCs w:val="21"/>
        </w:rPr>
        <w:fldChar w:fldCharType="separate"/>
      </w:r>
      <w:r w:rsidR="007870E2">
        <w:rPr>
          <w:noProof/>
          <w:color w:val="auto"/>
          <w:sz w:val="21"/>
          <w:szCs w:val="21"/>
        </w:rPr>
        <w:t>1</w:t>
      </w:r>
      <w:r w:rsidRPr="0020683A">
        <w:rPr>
          <w:noProof/>
          <w:color w:val="auto"/>
          <w:sz w:val="21"/>
          <w:szCs w:val="21"/>
        </w:rPr>
        <w:fldChar w:fldCharType="end"/>
      </w:r>
      <w:r w:rsidR="00A179FD">
        <w:rPr>
          <w:noProof/>
          <w:color w:val="auto"/>
          <w:sz w:val="21"/>
          <w:szCs w:val="21"/>
        </w:rPr>
        <w:t>:</w:t>
      </w:r>
      <w:r w:rsidRPr="0020683A">
        <w:rPr>
          <w:color w:val="auto"/>
          <w:sz w:val="21"/>
          <w:szCs w:val="21"/>
        </w:rPr>
        <w:t xml:space="preserve"> EU global disbursements i</w:t>
      </w:r>
      <w:r w:rsidR="00A179FD">
        <w:rPr>
          <w:color w:val="auto"/>
          <w:sz w:val="21"/>
          <w:szCs w:val="21"/>
        </w:rPr>
        <w:t>n</w:t>
      </w:r>
      <w:r w:rsidRPr="0020683A">
        <w:rPr>
          <w:color w:val="auto"/>
          <w:sz w:val="21"/>
          <w:szCs w:val="21"/>
        </w:rPr>
        <w:t xml:space="preserve"> support of ICT (in € million)</w:t>
      </w:r>
    </w:p>
    <w:p w:rsidR="002348BB" w:rsidRPr="008456C6" w:rsidRDefault="002348BB" w:rsidP="006C5B6D">
      <w:pPr>
        <w:pStyle w:val="Caption"/>
        <w:keepNext/>
        <w:rPr>
          <w:sz w:val="21"/>
          <w:szCs w:val="21"/>
        </w:rPr>
      </w:pPr>
    </w:p>
    <w:tbl>
      <w:tblPr>
        <w:tblStyle w:val="LightShading"/>
        <w:tblW w:w="7979" w:type="dxa"/>
        <w:tblInd w:w="720" w:type="dxa"/>
        <w:tblLook w:val="04A0" w:firstRow="1" w:lastRow="0" w:firstColumn="1" w:lastColumn="0" w:noHBand="0" w:noVBand="1"/>
      </w:tblPr>
      <w:tblGrid>
        <w:gridCol w:w="2297"/>
        <w:gridCol w:w="2297"/>
        <w:gridCol w:w="2297"/>
        <w:gridCol w:w="1088"/>
      </w:tblGrid>
      <w:tr w:rsidR="006C5B6D" w:rsidRPr="004E13CF" w:rsidTr="00410BE3">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297" w:type="dxa"/>
            <w:noWrap/>
            <w:vAlign w:val="center"/>
            <w:hideMark/>
          </w:tcPr>
          <w:p w:rsidR="002348BB" w:rsidRPr="004E13CF" w:rsidRDefault="002348BB" w:rsidP="006C5B6D">
            <w:pPr>
              <w:keepNext/>
              <w:jc w:val="left"/>
              <w:rPr>
                <w:rFonts w:eastAsia="Times New Roman"/>
                <w:color w:val="auto"/>
                <w:sz w:val="20"/>
                <w:szCs w:val="20"/>
                <w:lang w:eastAsia="en-GB"/>
              </w:rPr>
            </w:pPr>
            <w:r w:rsidRPr="004E13CF">
              <w:rPr>
                <w:rFonts w:eastAsia="Times New Roman"/>
                <w:color w:val="auto"/>
                <w:sz w:val="20"/>
                <w:szCs w:val="20"/>
                <w:lang w:eastAsia="en-GB"/>
              </w:rPr>
              <w:t>Region</w:t>
            </w:r>
          </w:p>
        </w:tc>
        <w:tc>
          <w:tcPr>
            <w:tcW w:w="2297" w:type="dxa"/>
            <w:noWrap/>
            <w:vAlign w:val="center"/>
            <w:hideMark/>
          </w:tcPr>
          <w:p w:rsidR="002348BB" w:rsidRPr="004E13CF" w:rsidRDefault="00E15FC1" w:rsidP="006C5B6D">
            <w:pPr>
              <w:keepNext/>
              <w:jc w:val="right"/>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2001-2008</w:t>
            </w:r>
          </w:p>
        </w:tc>
        <w:tc>
          <w:tcPr>
            <w:tcW w:w="2297" w:type="dxa"/>
            <w:noWrap/>
            <w:vAlign w:val="center"/>
            <w:hideMark/>
          </w:tcPr>
          <w:p w:rsidR="002348BB" w:rsidRPr="004E13CF" w:rsidRDefault="002348BB" w:rsidP="006C5B6D">
            <w:pPr>
              <w:keepNext/>
              <w:jc w:val="right"/>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2008-2013</w:t>
            </w:r>
          </w:p>
        </w:tc>
        <w:tc>
          <w:tcPr>
            <w:tcW w:w="1088" w:type="dxa"/>
            <w:noWrap/>
            <w:vAlign w:val="center"/>
            <w:hideMark/>
          </w:tcPr>
          <w:p w:rsidR="002348BB" w:rsidRPr="004E13CF" w:rsidRDefault="002348BB" w:rsidP="006C5B6D">
            <w:pPr>
              <w:keepNext/>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Total</w:t>
            </w:r>
          </w:p>
        </w:tc>
      </w:tr>
      <w:tr w:rsidR="006C5B6D" w:rsidRPr="004E13CF" w:rsidTr="00410BE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297" w:type="dxa"/>
            <w:noWrap/>
            <w:vAlign w:val="bottom"/>
            <w:hideMark/>
          </w:tcPr>
          <w:p w:rsidR="002348BB" w:rsidRPr="004E13CF" w:rsidRDefault="00677243" w:rsidP="00E15FC1">
            <w:pPr>
              <w:keepNext/>
              <w:jc w:val="left"/>
              <w:rPr>
                <w:rFonts w:eastAsia="Times New Roman"/>
                <w:b w:val="0"/>
                <w:bCs w:val="0"/>
                <w:color w:val="auto"/>
                <w:sz w:val="20"/>
                <w:szCs w:val="20"/>
                <w:lang w:eastAsia="en-GB"/>
              </w:rPr>
            </w:pPr>
            <w:r>
              <w:rPr>
                <w:rFonts w:eastAsia="Times New Roman"/>
                <w:b w:val="0"/>
                <w:bCs w:val="0"/>
                <w:color w:val="auto"/>
                <w:sz w:val="20"/>
                <w:szCs w:val="20"/>
                <w:lang w:eastAsia="en-GB"/>
              </w:rPr>
              <w:t>Africa, Caribbean &amp;</w:t>
            </w:r>
            <w:r w:rsidR="004E54E1">
              <w:rPr>
                <w:rFonts w:eastAsia="Times New Roman"/>
                <w:b w:val="0"/>
                <w:bCs w:val="0"/>
                <w:color w:val="auto"/>
                <w:sz w:val="20"/>
                <w:szCs w:val="20"/>
                <w:lang w:eastAsia="en-GB"/>
              </w:rPr>
              <w:t xml:space="preserve"> Pacific (</w:t>
            </w:r>
            <w:r w:rsidR="002348BB" w:rsidRPr="004E13CF">
              <w:rPr>
                <w:rFonts w:eastAsia="Times New Roman"/>
                <w:b w:val="0"/>
                <w:bCs w:val="0"/>
                <w:color w:val="auto"/>
                <w:sz w:val="20"/>
                <w:szCs w:val="20"/>
                <w:lang w:eastAsia="en-GB"/>
              </w:rPr>
              <w:t>ACP</w:t>
            </w:r>
            <w:r w:rsidR="004E54E1">
              <w:rPr>
                <w:rFonts w:eastAsia="Times New Roman"/>
                <w:b w:val="0"/>
                <w:bCs w:val="0"/>
                <w:color w:val="auto"/>
                <w:sz w:val="20"/>
                <w:szCs w:val="20"/>
                <w:lang w:eastAsia="en-GB"/>
              </w:rPr>
              <w:t>)</w:t>
            </w:r>
            <w:r w:rsidR="00E15FC1" w:rsidRPr="004E13CF">
              <w:rPr>
                <w:rFonts w:eastAsia="Times New Roman"/>
                <w:b w:val="0"/>
                <w:bCs w:val="0"/>
                <w:color w:val="auto"/>
                <w:sz w:val="20"/>
                <w:szCs w:val="20"/>
                <w:lang w:eastAsia="en-GB"/>
              </w:rPr>
              <w:t xml:space="preserve"> countries</w:t>
            </w:r>
          </w:p>
        </w:tc>
        <w:tc>
          <w:tcPr>
            <w:tcW w:w="2297" w:type="dxa"/>
            <w:noWrap/>
            <w:vAlign w:val="bottom"/>
            <w:hideMark/>
          </w:tcPr>
          <w:p w:rsidR="002348BB" w:rsidRPr="004E13CF" w:rsidRDefault="00E15FC1"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15.47</w:t>
            </w:r>
          </w:p>
        </w:tc>
        <w:tc>
          <w:tcPr>
            <w:tcW w:w="2297" w:type="dxa"/>
            <w:noWrap/>
            <w:vAlign w:val="bottom"/>
            <w:hideMark/>
          </w:tcPr>
          <w:p w:rsidR="002348BB" w:rsidRPr="004E13CF" w:rsidRDefault="004E54E1"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Pr>
                <w:rFonts w:eastAsia="Times New Roman"/>
                <w:color w:val="auto"/>
                <w:sz w:val="20"/>
                <w:szCs w:val="20"/>
                <w:lang w:eastAsia="en-GB"/>
              </w:rPr>
              <w:t>76.84</w:t>
            </w:r>
          </w:p>
        </w:tc>
        <w:tc>
          <w:tcPr>
            <w:tcW w:w="1088" w:type="dxa"/>
            <w:noWrap/>
            <w:vAlign w:val="bottom"/>
            <w:hideMark/>
          </w:tcPr>
          <w:p w:rsidR="002348BB" w:rsidRPr="004E13CF" w:rsidRDefault="00E15FC1"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92.31</w:t>
            </w:r>
          </w:p>
        </w:tc>
      </w:tr>
      <w:tr w:rsidR="006C5B6D" w:rsidRPr="004E13CF" w:rsidTr="00410BE3">
        <w:trPr>
          <w:trHeight w:val="457"/>
        </w:trPr>
        <w:tc>
          <w:tcPr>
            <w:cnfStyle w:val="001000000000" w:firstRow="0" w:lastRow="0" w:firstColumn="1" w:lastColumn="0" w:oddVBand="0" w:evenVBand="0" w:oddHBand="0" w:evenHBand="0" w:firstRowFirstColumn="0" w:firstRowLastColumn="0" w:lastRowFirstColumn="0" w:lastRowLastColumn="0"/>
            <w:tcW w:w="2297" w:type="dxa"/>
            <w:noWrap/>
            <w:vAlign w:val="bottom"/>
            <w:hideMark/>
          </w:tcPr>
          <w:p w:rsidR="002348BB" w:rsidRPr="004E13CF" w:rsidRDefault="002348BB" w:rsidP="00E15FC1">
            <w:pPr>
              <w:keepNext/>
              <w:jc w:val="left"/>
              <w:rPr>
                <w:rFonts w:eastAsia="Times New Roman"/>
                <w:b w:val="0"/>
                <w:bCs w:val="0"/>
                <w:color w:val="auto"/>
                <w:sz w:val="20"/>
                <w:szCs w:val="20"/>
                <w:lang w:eastAsia="en-GB"/>
              </w:rPr>
            </w:pPr>
            <w:r w:rsidRPr="004E13CF">
              <w:rPr>
                <w:rFonts w:eastAsia="Times New Roman"/>
                <w:b w:val="0"/>
                <w:bCs w:val="0"/>
                <w:color w:val="auto"/>
                <w:sz w:val="20"/>
                <w:szCs w:val="20"/>
                <w:lang w:eastAsia="en-GB"/>
              </w:rPr>
              <w:t>Asia</w:t>
            </w:r>
          </w:p>
        </w:tc>
        <w:tc>
          <w:tcPr>
            <w:tcW w:w="2297"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36.52</w:t>
            </w:r>
          </w:p>
        </w:tc>
        <w:tc>
          <w:tcPr>
            <w:tcW w:w="2297"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12.51</w:t>
            </w:r>
          </w:p>
        </w:tc>
        <w:tc>
          <w:tcPr>
            <w:tcW w:w="1088"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49.03</w:t>
            </w:r>
          </w:p>
        </w:tc>
      </w:tr>
      <w:tr w:rsidR="006C5B6D" w:rsidRPr="004E13CF" w:rsidTr="00410BE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297" w:type="dxa"/>
            <w:noWrap/>
            <w:vAlign w:val="bottom"/>
            <w:hideMark/>
          </w:tcPr>
          <w:p w:rsidR="002348BB" w:rsidRPr="004E13CF" w:rsidRDefault="002348BB" w:rsidP="00E15FC1">
            <w:pPr>
              <w:keepNext/>
              <w:jc w:val="left"/>
              <w:rPr>
                <w:rFonts w:eastAsia="Times New Roman"/>
                <w:b w:val="0"/>
                <w:bCs w:val="0"/>
                <w:color w:val="auto"/>
                <w:sz w:val="20"/>
                <w:szCs w:val="20"/>
                <w:lang w:eastAsia="en-GB"/>
              </w:rPr>
            </w:pPr>
            <w:r w:rsidRPr="004E13CF">
              <w:rPr>
                <w:rFonts w:eastAsia="Times New Roman"/>
                <w:b w:val="0"/>
                <w:bCs w:val="0"/>
                <w:color w:val="auto"/>
                <w:sz w:val="20"/>
                <w:szCs w:val="20"/>
                <w:lang w:eastAsia="en-GB"/>
              </w:rPr>
              <w:t>Latin America</w:t>
            </w:r>
          </w:p>
        </w:tc>
        <w:tc>
          <w:tcPr>
            <w:tcW w:w="2297" w:type="dxa"/>
            <w:noWrap/>
            <w:vAlign w:val="bottom"/>
            <w:hideMark/>
          </w:tcPr>
          <w:p w:rsidR="002348BB" w:rsidRPr="004E13CF" w:rsidRDefault="002348BB"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58.15</w:t>
            </w:r>
          </w:p>
        </w:tc>
        <w:tc>
          <w:tcPr>
            <w:tcW w:w="2297" w:type="dxa"/>
            <w:noWrap/>
            <w:vAlign w:val="bottom"/>
            <w:hideMark/>
          </w:tcPr>
          <w:p w:rsidR="002348BB" w:rsidRPr="004E13CF" w:rsidRDefault="002348BB"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32.16</w:t>
            </w:r>
          </w:p>
        </w:tc>
        <w:tc>
          <w:tcPr>
            <w:tcW w:w="1088" w:type="dxa"/>
            <w:noWrap/>
            <w:vAlign w:val="bottom"/>
            <w:hideMark/>
          </w:tcPr>
          <w:p w:rsidR="002348BB" w:rsidRPr="004E13CF" w:rsidRDefault="002348BB"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90.31</w:t>
            </w:r>
          </w:p>
        </w:tc>
      </w:tr>
      <w:tr w:rsidR="006C5B6D" w:rsidRPr="004E13CF" w:rsidTr="00410BE3">
        <w:trPr>
          <w:trHeight w:val="457"/>
        </w:trPr>
        <w:tc>
          <w:tcPr>
            <w:cnfStyle w:val="001000000000" w:firstRow="0" w:lastRow="0" w:firstColumn="1" w:lastColumn="0" w:oddVBand="0" w:evenVBand="0" w:oddHBand="0" w:evenHBand="0" w:firstRowFirstColumn="0" w:firstRowLastColumn="0" w:lastRowFirstColumn="0" w:lastRowLastColumn="0"/>
            <w:tcW w:w="2297" w:type="dxa"/>
            <w:noWrap/>
            <w:vAlign w:val="bottom"/>
            <w:hideMark/>
          </w:tcPr>
          <w:p w:rsidR="002348BB" w:rsidRPr="004E13CF" w:rsidRDefault="004E13CF" w:rsidP="00E15FC1">
            <w:pPr>
              <w:keepNext/>
              <w:jc w:val="left"/>
              <w:rPr>
                <w:rFonts w:eastAsia="Times New Roman"/>
                <w:b w:val="0"/>
                <w:bCs w:val="0"/>
                <w:color w:val="auto"/>
                <w:sz w:val="20"/>
                <w:szCs w:val="20"/>
                <w:lang w:eastAsia="en-GB"/>
              </w:rPr>
            </w:pPr>
            <w:r w:rsidRPr="004E13CF">
              <w:rPr>
                <w:rFonts w:eastAsia="Times New Roman"/>
                <w:b w:val="0"/>
                <w:bCs w:val="0"/>
                <w:color w:val="auto"/>
                <w:sz w:val="20"/>
                <w:szCs w:val="20"/>
                <w:lang w:eastAsia="en-GB"/>
              </w:rPr>
              <w:t>Neighbourhood</w:t>
            </w:r>
            <w:r w:rsidR="002348BB" w:rsidRPr="004E13CF">
              <w:rPr>
                <w:rFonts w:eastAsia="Times New Roman"/>
                <w:b w:val="0"/>
                <w:bCs w:val="0"/>
                <w:color w:val="auto"/>
                <w:sz w:val="20"/>
                <w:szCs w:val="20"/>
                <w:lang w:eastAsia="en-GB"/>
              </w:rPr>
              <w:t xml:space="preserve"> East</w:t>
            </w:r>
          </w:p>
        </w:tc>
        <w:tc>
          <w:tcPr>
            <w:tcW w:w="2297"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3.36</w:t>
            </w:r>
          </w:p>
        </w:tc>
        <w:tc>
          <w:tcPr>
            <w:tcW w:w="2297"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29.05</w:t>
            </w:r>
          </w:p>
        </w:tc>
        <w:tc>
          <w:tcPr>
            <w:tcW w:w="1088"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32.41</w:t>
            </w:r>
          </w:p>
        </w:tc>
      </w:tr>
      <w:tr w:rsidR="006C5B6D" w:rsidRPr="004E13CF" w:rsidTr="00410BE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297" w:type="dxa"/>
            <w:noWrap/>
            <w:vAlign w:val="bottom"/>
            <w:hideMark/>
          </w:tcPr>
          <w:p w:rsidR="002348BB" w:rsidRPr="004E13CF" w:rsidRDefault="002348BB" w:rsidP="00E15FC1">
            <w:pPr>
              <w:keepNext/>
              <w:jc w:val="left"/>
              <w:rPr>
                <w:rFonts w:eastAsia="Times New Roman"/>
                <w:b w:val="0"/>
                <w:bCs w:val="0"/>
                <w:color w:val="auto"/>
                <w:sz w:val="20"/>
                <w:szCs w:val="20"/>
                <w:lang w:eastAsia="en-GB"/>
              </w:rPr>
            </w:pPr>
            <w:r w:rsidRPr="004E13CF">
              <w:rPr>
                <w:rFonts w:eastAsia="Times New Roman"/>
                <w:b w:val="0"/>
                <w:bCs w:val="0"/>
                <w:color w:val="auto"/>
                <w:sz w:val="20"/>
                <w:szCs w:val="20"/>
                <w:lang w:eastAsia="en-GB"/>
              </w:rPr>
              <w:t>N</w:t>
            </w:r>
            <w:r w:rsidR="004E13CF" w:rsidRPr="004E13CF">
              <w:rPr>
                <w:rFonts w:eastAsia="Times New Roman"/>
                <w:b w:val="0"/>
                <w:bCs w:val="0"/>
                <w:color w:val="auto"/>
                <w:sz w:val="20"/>
                <w:szCs w:val="20"/>
                <w:lang w:eastAsia="en-GB"/>
              </w:rPr>
              <w:t>eighbourhood</w:t>
            </w:r>
            <w:r w:rsidRPr="004E13CF">
              <w:rPr>
                <w:rFonts w:eastAsia="Times New Roman"/>
                <w:b w:val="0"/>
                <w:bCs w:val="0"/>
                <w:color w:val="auto"/>
                <w:sz w:val="20"/>
                <w:szCs w:val="20"/>
                <w:lang w:eastAsia="en-GB"/>
              </w:rPr>
              <w:t xml:space="preserve"> South</w:t>
            </w:r>
          </w:p>
        </w:tc>
        <w:tc>
          <w:tcPr>
            <w:tcW w:w="2297" w:type="dxa"/>
            <w:noWrap/>
            <w:vAlign w:val="bottom"/>
            <w:hideMark/>
          </w:tcPr>
          <w:p w:rsidR="002348BB" w:rsidRPr="004E13CF" w:rsidRDefault="002348BB"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70.86</w:t>
            </w:r>
          </w:p>
        </w:tc>
        <w:tc>
          <w:tcPr>
            <w:tcW w:w="2297" w:type="dxa"/>
            <w:noWrap/>
            <w:vAlign w:val="bottom"/>
            <w:hideMark/>
          </w:tcPr>
          <w:p w:rsidR="002348BB" w:rsidRPr="004E13CF" w:rsidRDefault="002348BB"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16.05</w:t>
            </w:r>
          </w:p>
        </w:tc>
        <w:tc>
          <w:tcPr>
            <w:tcW w:w="1088" w:type="dxa"/>
            <w:noWrap/>
            <w:vAlign w:val="bottom"/>
            <w:hideMark/>
          </w:tcPr>
          <w:p w:rsidR="002348BB" w:rsidRPr="004E13CF" w:rsidRDefault="002348BB" w:rsidP="006C5B6D">
            <w:pPr>
              <w:keepNext/>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n-GB"/>
              </w:rPr>
            </w:pPr>
            <w:r w:rsidRPr="004E13CF">
              <w:rPr>
                <w:rFonts w:eastAsia="Times New Roman"/>
                <w:color w:val="auto"/>
                <w:sz w:val="20"/>
                <w:szCs w:val="20"/>
                <w:lang w:eastAsia="en-GB"/>
              </w:rPr>
              <w:t>86.91</w:t>
            </w:r>
          </w:p>
        </w:tc>
      </w:tr>
      <w:tr w:rsidR="006C5B6D" w:rsidRPr="004E13CF" w:rsidTr="00410BE3">
        <w:trPr>
          <w:trHeight w:val="457"/>
        </w:trPr>
        <w:tc>
          <w:tcPr>
            <w:cnfStyle w:val="001000000000" w:firstRow="0" w:lastRow="0" w:firstColumn="1" w:lastColumn="0" w:oddVBand="0" w:evenVBand="0" w:oddHBand="0" w:evenHBand="0" w:firstRowFirstColumn="0" w:firstRowLastColumn="0" w:lastRowFirstColumn="0" w:lastRowLastColumn="0"/>
            <w:tcW w:w="2297" w:type="dxa"/>
            <w:noWrap/>
            <w:vAlign w:val="bottom"/>
            <w:hideMark/>
          </w:tcPr>
          <w:p w:rsidR="002348BB" w:rsidRPr="004E13CF" w:rsidRDefault="002348BB" w:rsidP="00E15FC1">
            <w:pPr>
              <w:keepNext/>
              <w:jc w:val="left"/>
              <w:rPr>
                <w:rFonts w:eastAsia="Times New Roman"/>
                <w:color w:val="auto"/>
                <w:sz w:val="20"/>
                <w:szCs w:val="20"/>
                <w:lang w:eastAsia="en-GB"/>
              </w:rPr>
            </w:pPr>
            <w:r w:rsidRPr="004E13CF">
              <w:rPr>
                <w:rFonts w:eastAsia="Times New Roman"/>
                <w:color w:val="auto"/>
                <w:sz w:val="20"/>
                <w:szCs w:val="20"/>
                <w:lang w:eastAsia="en-GB"/>
              </w:rPr>
              <w:t>TOTAL</w:t>
            </w:r>
          </w:p>
        </w:tc>
        <w:tc>
          <w:tcPr>
            <w:tcW w:w="2297"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b/>
                <w:bCs/>
                <w:color w:val="auto"/>
                <w:sz w:val="20"/>
                <w:szCs w:val="20"/>
                <w:lang w:eastAsia="en-GB"/>
              </w:rPr>
            </w:pPr>
            <w:r w:rsidRPr="004E13CF">
              <w:rPr>
                <w:rFonts w:eastAsia="Times New Roman"/>
                <w:b/>
                <w:bCs/>
                <w:color w:val="auto"/>
                <w:sz w:val="20"/>
                <w:szCs w:val="20"/>
                <w:lang w:eastAsia="en-GB"/>
              </w:rPr>
              <w:t>184.36</w:t>
            </w:r>
          </w:p>
        </w:tc>
        <w:tc>
          <w:tcPr>
            <w:tcW w:w="2297"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b/>
                <w:bCs/>
                <w:color w:val="auto"/>
                <w:sz w:val="20"/>
                <w:szCs w:val="20"/>
                <w:lang w:eastAsia="en-GB"/>
              </w:rPr>
            </w:pPr>
            <w:r w:rsidRPr="004E13CF">
              <w:rPr>
                <w:rFonts w:eastAsia="Times New Roman"/>
                <w:b/>
                <w:bCs/>
                <w:color w:val="auto"/>
                <w:sz w:val="20"/>
                <w:szCs w:val="20"/>
                <w:lang w:eastAsia="en-GB"/>
              </w:rPr>
              <w:t>166.61</w:t>
            </w:r>
          </w:p>
        </w:tc>
        <w:tc>
          <w:tcPr>
            <w:tcW w:w="1088" w:type="dxa"/>
            <w:noWrap/>
            <w:vAlign w:val="bottom"/>
            <w:hideMark/>
          </w:tcPr>
          <w:p w:rsidR="002348BB" w:rsidRPr="004E13CF" w:rsidRDefault="002348BB" w:rsidP="006C5B6D">
            <w:pPr>
              <w:keepNext/>
              <w:jc w:val="right"/>
              <w:cnfStyle w:val="000000000000" w:firstRow="0" w:lastRow="0" w:firstColumn="0" w:lastColumn="0" w:oddVBand="0" w:evenVBand="0" w:oddHBand="0" w:evenHBand="0" w:firstRowFirstColumn="0" w:firstRowLastColumn="0" w:lastRowFirstColumn="0" w:lastRowLastColumn="0"/>
              <w:rPr>
                <w:rFonts w:eastAsia="Times New Roman"/>
                <w:b/>
                <w:bCs/>
                <w:color w:val="auto"/>
                <w:sz w:val="20"/>
                <w:szCs w:val="20"/>
                <w:lang w:eastAsia="en-GB"/>
              </w:rPr>
            </w:pPr>
            <w:r w:rsidRPr="004E13CF">
              <w:rPr>
                <w:rFonts w:eastAsia="Times New Roman"/>
                <w:b/>
                <w:bCs/>
                <w:color w:val="auto"/>
                <w:sz w:val="20"/>
                <w:szCs w:val="20"/>
                <w:lang w:eastAsia="en-GB"/>
              </w:rPr>
              <w:t>350.97</w:t>
            </w:r>
          </w:p>
        </w:tc>
      </w:tr>
    </w:tbl>
    <w:p w:rsidR="002348BB" w:rsidRDefault="002348BB" w:rsidP="00497D3B">
      <w:pPr>
        <w:jc w:val="center"/>
      </w:pPr>
    </w:p>
    <w:p w:rsidR="002348BB" w:rsidRDefault="002348BB" w:rsidP="00497D3B">
      <w:pPr>
        <w:keepNext/>
        <w:jc w:val="center"/>
        <w:rPr>
          <w:b/>
        </w:rPr>
      </w:pPr>
      <w:r w:rsidRPr="003D22D1">
        <w:rPr>
          <w:b/>
        </w:rPr>
        <w:t>Figure 1</w:t>
      </w:r>
      <w:r>
        <w:rPr>
          <w:b/>
        </w:rPr>
        <w:t>:</w:t>
      </w:r>
      <w:r w:rsidRPr="003D22D1">
        <w:rPr>
          <w:b/>
        </w:rPr>
        <w:t xml:space="preserve"> ICT disbursements per region 2008-2013 (in % share)</w:t>
      </w:r>
    </w:p>
    <w:p w:rsidR="002348BB" w:rsidRDefault="003D68B3" w:rsidP="002348BB">
      <w:pPr>
        <w:jc w:val="center"/>
      </w:pPr>
      <w:r>
        <w:rPr>
          <w:noProof/>
          <w:lang w:eastAsia="en-GB"/>
        </w:rPr>
        <w:drawing>
          <wp:inline distT="0" distB="0" distL="0" distR="0" wp14:anchorId="287FB35E" wp14:editId="4610D904">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2E30" w:rsidRDefault="008D2E30" w:rsidP="00F94903">
      <w:pPr>
        <w:pStyle w:val="Heading3"/>
      </w:pPr>
      <w:bookmarkStart w:id="13" w:name="_Toc454294896"/>
      <w:r>
        <w:t>H2020 programme</w:t>
      </w:r>
      <w:bookmarkEnd w:id="13"/>
    </w:p>
    <w:p w:rsidR="008D2E30" w:rsidRDefault="008D2E30" w:rsidP="00AA003B">
      <w:r>
        <w:t>In parallel to the external actions framework, important support to ICT has been channelled in the form of research grants through the H</w:t>
      </w:r>
      <w:r w:rsidR="006A681B">
        <w:t xml:space="preserve">orizon </w:t>
      </w:r>
      <w:r>
        <w:t xml:space="preserve">2020 </w:t>
      </w:r>
      <w:r w:rsidR="006A681B">
        <w:t xml:space="preserve">(H2020) </w:t>
      </w:r>
      <w:r>
        <w:t xml:space="preserve">programme. </w:t>
      </w:r>
      <w:r w:rsidR="002E5B53">
        <w:t>To date</w:t>
      </w:r>
      <w:r>
        <w:t>, approx</w:t>
      </w:r>
      <w:r w:rsidR="002E5B53">
        <w:t>imately</w:t>
      </w:r>
      <w:r>
        <w:t xml:space="preserve"> €11 million </w:t>
      </w:r>
      <w:r w:rsidR="004F2845">
        <w:t xml:space="preserve">worth </w:t>
      </w:r>
      <w:r>
        <w:t xml:space="preserve">of grants have been allocated </w:t>
      </w:r>
      <w:r w:rsidR="00AA003B">
        <w:t>to</w:t>
      </w:r>
      <w:r>
        <w:t xml:space="preserve"> four projects, all located in Sub-Saharan Africa (two within e-health, one within Big Data and one within geospatial data for land tenure</w:t>
      </w:r>
      <w:r w:rsidR="00F849B4">
        <w:rPr>
          <w:rStyle w:val="FootnoteReference"/>
        </w:rPr>
        <w:footnoteReference w:id="14"/>
      </w:r>
      <w:r>
        <w:t xml:space="preserve">). The next phase of programming (2016-2017) expands opportunities to low income </w:t>
      </w:r>
      <w:r w:rsidR="00C3517B">
        <w:t>countries</w:t>
      </w:r>
      <w:r>
        <w:t xml:space="preserve"> by way of an Inn</w:t>
      </w:r>
      <w:r w:rsidR="00AA003B">
        <w:t>ovations Action component focus</w:t>
      </w:r>
      <w:r>
        <w:t>ing on new technology adaptation.</w:t>
      </w:r>
    </w:p>
    <w:p w:rsidR="006A681B" w:rsidRDefault="006A681B" w:rsidP="00045E17">
      <w:r w:rsidRPr="006A681B">
        <w:t xml:space="preserve">The upcoming Call under Horizon 2020 on </w:t>
      </w:r>
      <w:r w:rsidR="003C378D">
        <w:t>i</w:t>
      </w:r>
      <w:r w:rsidRPr="006A681B">
        <w:t>nternational partnership</w:t>
      </w:r>
      <w:r w:rsidR="003C378D">
        <w:t>s</w:t>
      </w:r>
      <w:r w:rsidRPr="006A681B">
        <w:t xml:space="preserve"> in low</w:t>
      </w:r>
      <w:r w:rsidR="003C378D">
        <w:t xml:space="preserve">- and middle </w:t>
      </w:r>
      <w:r w:rsidRPr="006A681B">
        <w:t>income countries</w:t>
      </w:r>
      <w:r w:rsidR="003C378D">
        <w:t xml:space="preserve"> </w:t>
      </w:r>
      <w:r w:rsidR="00045E17">
        <w:t>emphasises</w:t>
      </w:r>
      <w:r w:rsidRPr="006A681B">
        <w:t xml:space="preserve"> the importance </w:t>
      </w:r>
      <w:r w:rsidR="003C378D">
        <w:t>of</w:t>
      </w:r>
      <w:r w:rsidRPr="006A681B">
        <w:t xml:space="preserve"> </w:t>
      </w:r>
      <w:r w:rsidR="003C378D">
        <w:t>innovation a</w:t>
      </w:r>
      <w:r w:rsidRPr="006A681B">
        <w:t xml:space="preserve">ctions </w:t>
      </w:r>
      <w:r w:rsidR="003C378D">
        <w:t>for</w:t>
      </w:r>
      <w:r w:rsidRPr="006A681B">
        <w:t xml:space="preserve"> end-</w:t>
      </w:r>
      <w:r w:rsidR="00045E17">
        <w:t xml:space="preserve">beneficiaries. </w:t>
      </w:r>
      <w:r w:rsidRPr="006A681B">
        <w:t>This may include technological improvements and adaptations as well as innovative service creation based on existing technologies.</w:t>
      </w:r>
      <w:r w:rsidR="00A179FD">
        <w:t xml:space="preserve"> Countries in</w:t>
      </w:r>
      <w:r w:rsidRPr="006A681B">
        <w:t xml:space="preserve"> sub-Saharan Africa and </w:t>
      </w:r>
      <w:r w:rsidR="00A179FD">
        <w:t xml:space="preserve">the </w:t>
      </w:r>
      <w:r w:rsidR="00A179FD">
        <w:rPr>
          <w:rStyle w:val="st1"/>
          <w:rFonts w:ascii="Arial" w:hAnsi="Arial" w:cs="Arial"/>
          <w:color w:val="545454"/>
        </w:rPr>
        <w:t>Association of Southeast Asian Nations (</w:t>
      </w:r>
      <w:r w:rsidRPr="006A681B">
        <w:t>ASEAN</w:t>
      </w:r>
      <w:r w:rsidR="00A179FD">
        <w:t>) are in the centre of this action</w:t>
      </w:r>
      <w:r w:rsidRPr="006A681B">
        <w:t xml:space="preserve">. The development of end-user representatives (e.g. Innovation Hubs or Living Labs) </w:t>
      </w:r>
      <w:r w:rsidR="00647016">
        <w:t>is expected to</w:t>
      </w:r>
      <w:r w:rsidRPr="006A681B">
        <w:t xml:space="preserve"> strengthen cooperati</w:t>
      </w:r>
      <w:r w:rsidR="003C378D">
        <w:t>ve research links and support</w:t>
      </w:r>
      <w:r w:rsidRPr="006A681B">
        <w:t xml:space="preserve"> greater awareness among </w:t>
      </w:r>
      <w:r w:rsidR="00647016">
        <w:t>regional stakeholders</w:t>
      </w:r>
      <w:r w:rsidRPr="006A681B">
        <w:t>.</w:t>
      </w:r>
    </w:p>
    <w:p w:rsidR="00F849B4" w:rsidRDefault="00F849B4" w:rsidP="00423DF6">
      <w:r>
        <w:t xml:space="preserve">In summary, the scope of actions under the H2020 is very broad and </w:t>
      </w:r>
      <w:r w:rsidR="00423DF6">
        <w:t>a multitude</w:t>
      </w:r>
      <w:r>
        <w:t xml:space="preserve"> of diverse initiative</w:t>
      </w:r>
      <w:r w:rsidR="00423DF6">
        <w:t>s</w:t>
      </w:r>
      <w:r>
        <w:t xml:space="preserve"> relevant to </w:t>
      </w:r>
      <w:r w:rsidR="00EB577E">
        <w:t>digital</w:t>
      </w:r>
      <w:r>
        <w:t xml:space="preserve"> development </w:t>
      </w:r>
      <w:r w:rsidR="00423DF6">
        <w:t xml:space="preserve">are </w:t>
      </w:r>
      <w:r>
        <w:t xml:space="preserve">being supported. </w:t>
      </w:r>
      <w:r w:rsidR="00EA3C95">
        <w:t xml:space="preserve">The programme structure provides a good trial and error tool for mainstreaming ICT in development cooperation. </w:t>
      </w:r>
      <w:r w:rsidR="00EB577E">
        <w:t xml:space="preserve">These types of initiatives are </w:t>
      </w:r>
      <w:r w:rsidR="009741A3">
        <w:t xml:space="preserve">also </w:t>
      </w:r>
      <w:r w:rsidR="00EB577E">
        <w:t xml:space="preserve">key to finding innovative ways of achieving the SDGs. </w:t>
      </w:r>
      <w:r>
        <w:t xml:space="preserve">A number of additional </w:t>
      </w:r>
      <w:r w:rsidR="009741A3">
        <w:t xml:space="preserve">project </w:t>
      </w:r>
      <w:r>
        <w:t xml:space="preserve">examples are provided in </w:t>
      </w:r>
      <w:r w:rsidR="005E2138">
        <w:t>the footnotes</w:t>
      </w:r>
      <w:r w:rsidR="004A1E7E">
        <w:t>.</w:t>
      </w:r>
      <w:r>
        <w:rPr>
          <w:rStyle w:val="FootnoteReference"/>
        </w:rPr>
        <w:footnoteReference w:id="15"/>
      </w:r>
    </w:p>
    <w:p w:rsidR="002348BB" w:rsidRPr="00565E5E" w:rsidRDefault="002348BB" w:rsidP="00F94903">
      <w:pPr>
        <w:pStyle w:val="Heading2"/>
      </w:pPr>
      <w:bookmarkStart w:id="14" w:name="_Toc454294897"/>
      <w:r w:rsidRPr="003D22D1">
        <w:t xml:space="preserve">Policy frameworks and initiatives by </w:t>
      </w:r>
      <w:r>
        <w:t>EU</w:t>
      </w:r>
      <w:r w:rsidR="008144B4">
        <w:t xml:space="preserve"> </w:t>
      </w:r>
      <w:r>
        <w:t>MS</w:t>
      </w:r>
      <w:bookmarkEnd w:id="14"/>
    </w:p>
    <w:p w:rsidR="002348BB" w:rsidRPr="008456C6" w:rsidRDefault="002348BB" w:rsidP="002348BB">
      <w:r w:rsidRPr="008456C6">
        <w:t>The donor community is largely recognising ICT as an important impetus for growth and the positive social and economic spill over effects that the sector generates. However</w:t>
      </w:r>
      <w:r w:rsidR="008144B4">
        <w:t>,</w:t>
      </w:r>
      <w:r w:rsidRPr="008456C6">
        <w:t xml:space="preserve"> there are some </w:t>
      </w:r>
      <w:r w:rsidR="005E2138">
        <w:t xml:space="preserve">EUMS </w:t>
      </w:r>
      <w:r w:rsidRPr="008456C6">
        <w:t xml:space="preserve">that are </w:t>
      </w:r>
      <w:r>
        <w:t xml:space="preserve">actively </w:t>
      </w:r>
      <w:r w:rsidRPr="008456C6">
        <w:t>advocating</w:t>
      </w:r>
      <w:r>
        <w:t xml:space="preserve"> </w:t>
      </w:r>
      <w:r w:rsidRPr="008456C6">
        <w:t>a more coordinated approach to ICT within development.</w:t>
      </w:r>
    </w:p>
    <w:p w:rsidR="002348BB" w:rsidRPr="00805BA9" w:rsidRDefault="00E41F1D" w:rsidP="00E41F1D">
      <w:r>
        <w:t xml:space="preserve">A number of EU </w:t>
      </w:r>
      <w:r w:rsidR="005E2138">
        <w:t>MS</w:t>
      </w:r>
      <w:r>
        <w:t xml:space="preserve"> </w:t>
      </w:r>
      <w:r w:rsidR="002348BB">
        <w:t>have developed strategies for ICT in development</w:t>
      </w:r>
      <w:r w:rsidR="00044F6D">
        <w:t>,</w:t>
      </w:r>
      <w:r w:rsidR="002348BB">
        <w:t xml:space="preserve"> </w:t>
      </w:r>
      <w:r w:rsidR="00044F6D">
        <w:t>or are in the process of rolling these out. I</w:t>
      </w:r>
      <w:r w:rsidR="002348BB">
        <w:t>n some cases implementation of the strategies are underway.</w:t>
      </w:r>
    </w:p>
    <w:p w:rsidR="002348BB" w:rsidRPr="00042BB9" w:rsidRDefault="002348BB" w:rsidP="002348BB">
      <w:pPr>
        <w:rPr>
          <w:i/>
          <w:iCs/>
          <w:u w:val="single"/>
        </w:rPr>
      </w:pPr>
      <w:r w:rsidRPr="00042BB9">
        <w:rPr>
          <w:i/>
          <w:iCs/>
          <w:u w:val="single"/>
        </w:rPr>
        <w:t>Belgium</w:t>
      </w:r>
    </w:p>
    <w:p w:rsidR="00F63AF9" w:rsidRPr="00F63AF9" w:rsidRDefault="00F63AF9" w:rsidP="00F63AF9">
      <w:pPr>
        <w:rPr>
          <w:bCs/>
        </w:rPr>
      </w:pPr>
      <w:r w:rsidRPr="00F63AF9">
        <w:t>The Belgian strategy on digital for development is currently under elaboration. The policy will build on the following four pillars:</w:t>
      </w:r>
    </w:p>
    <w:p w:rsidR="00F63AF9" w:rsidRPr="00F63AF9" w:rsidRDefault="00F63AF9" w:rsidP="00F63AF9">
      <w:pPr>
        <w:numPr>
          <w:ilvl w:val="0"/>
          <w:numId w:val="1"/>
        </w:numPr>
        <w:contextualSpacing/>
      </w:pPr>
      <w:r w:rsidRPr="00F63AF9">
        <w:rPr>
          <w:i/>
          <w:iCs/>
        </w:rPr>
        <w:t>Building new partnerships</w:t>
      </w:r>
      <w:r w:rsidRPr="00F63AF9">
        <w:t>: Need to identify partners with the right expertise as well as using innovative ways to mobilise such partnerships (e.g. through innovation calls)</w:t>
      </w:r>
      <w:r w:rsidR="005E2138">
        <w:t>;</w:t>
      </w:r>
    </w:p>
    <w:p w:rsidR="00F63AF9" w:rsidRPr="00F63AF9" w:rsidRDefault="00F63AF9" w:rsidP="00F63AF9">
      <w:pPr>
        <w:numPr>
          <w:ilvl w:val="0"/>
          <w:numId w:val="1"/>
        </w:numPr>
        <w:contextualSpacing/>
      </w:pPr>
      <w:r w:rsidRPr="00F63AF9">
        <w:rPr>
          <w:i/>
          <w:iCs/>
        </w:rPr>
        <w:t>Involving the private sector:</w:t>
      </w:r>
      <w:r w:rsidRPr="00F63AF9">
        <w:t xml:space="preserve"> Capitalising on the success of the private sector. Building private-public partnerships as required</w:t>
      </w:r>
      <w:r w:rsidR="005E2138">
        <w:t>;</w:t>
      </w:r>
    </w:p>
    <w:p w:rsidR="00F63AF9" w:rsidRPr="00F63AF9" w:rsidRDefault="00F63AF9" w:rsidP="00F63AF9">
      <w:pPr>
        <w:numPr>
          <w:ilvl w:val="0"/>
          <w:numId w:val="1"/>
        </w:numPr>
        <w:contextualSpacing/>
      </w:pPr>
      <w:r w:rsidRPr="00F63AF9">
        <w:rPr>
          <w:i/>
          <w:iCs/>
        </w:rPr>
        <w:t>Focus on limited niches</w:t>
      </w:r>
      <w:r w:rsidRPr="00F63AF9">
        <w:t>: Strategic focus on areas of strength for example:</w:t>
      </w:r>
    </w:p>
    <w:p w:rsidR="00F63AF9" w:rsidRPr="00F63AF9" w:rsidRDefault="00F63AF9" w:rsidP="00F63AF9">
      <w:pPr>
        <w:numPr>
          <w:ilvl w:val="1"/>
          <w:numId w:val="1"/>
        </w:numPr>
        <w:contextualSpacing/>
        <w:rPr>
          <w:lang w:val="en-US"/>
        </w:rPr>
      </w:pPr>
      <w:r w:rsidRPr="00F63AF9">
        <w:rPr>
          <w:lang w:val="en-US"/>
        </w:rPr>
        <w:t>Data for good: use of big data for policy making</w:t>
      </w:r>
      <w:r w:rsidR="005E2138">
        <w:rPr>
          <w:lang w:val="en-US"/>
        </w:rPr>
        <w:t>;</w:t>
      </w:r>
    </w:p>
    <w:p w:rsidR="00F63AF9" w:rsidRPr="00F63AF9" w:rsidRDefault="00F63AF9" w:rsidP="00F63AF9">
      <w:pPr>
        <w:numPr>
          <w:ilvl w:val="1"/>
          <w:numId w:val="1"/>
        </w:numPr>
        <w:contextualSpacing/>
        <w:rPr>
          <w:lang w:val="en-US"/>
        </w:rPr>
      </w:pPr>
      <w:r w:rsidRPr="00F63AF9">
        <w:rPr>
          <w:lang w:val="en-US"/>
        </w:rPr>
        <w:t>E-Health</w:t>
      </w:r>
      <w:r w:rsidR="005E2138">
        <w:rPr>
          <w:lang w:val="en-US"/>
        </w:rPr>
        <w:t>;</w:t>
      </w:r>
    </w:p>
    <w:p w:rsidR="00F63AF9" w:rsidRPr="00F63AF9" w:rsidRDefault="00F63AF9" w:rsidP="00F63AF9">
      <w:pPr>
        <w:numPr>
          <w:ilvl w:val="1"/>
          <w:numId w:val="1"/>
        </w:numPr>
        <w:contextualSpacing/>
        <w:rPr>
          <w:lang w:val="en-US"/>
        </w:rPr>
      </w:pPr>
      <w:r w:rsidRPr="00F63AF9">
        <w:rPr>
          <w:lang w:val="en-US"/>
        </w:rPr>
        <w:t>E-Government</w:t>
      </w:r>
      <w:r w:rsidR="005E2138">
        <w:rPr>
          <w:lang w:val="en-US"/>
        </w:rPr>
        <w:t>;</w:t>
      </w:r>
    </w:p>
    <w:p w:rsidR="00F63AF9" w:rsidRPr="00F63AF9" w:rsidRDefault="00F63AF9" w:rsidP="00F63AF9">
      <w:pPr>
        <w:numPr>
          <w:ilvl w:val="1"/>
          <w:numId w:val="1"/>
        </w:numPr>
        <w:contextualSpacing/>
        <w:rPr>
          <w:lang w:val="en-US"/>
        </w:rPr>
      </w:pPr>
      <w:r w:rsidRPr="00F63AF9">
        <w:rPr>
          <w:lang w:val="en-US"/>
        </w:rPr>
        <w:t>Digital and human rights</w:t>
      </w:r>
      <w:r w:rsidR="005E2138">
        <w:rPr>
          <w:lang w:val="en-US"/>
        </w:rPr>
        <w:t>;</w:t>
      </w:r>
    </w:p>
    <w:p w:rsidR="00F63AF9" w:rsidRPr="00F63AF9" w:rsidRDefault="00F63AF9" w:rsidP="00F63AF9">
      <w:pPr>
        <w:numPr>
          <w:ilvl w:val="1"/>
          <w:numId w:val="1"/>
        </w:numPr>
        <w:contextualSpacing/>
        <w:rPr>
          <w:lang w:val="en-US"/>
        </w:rPr>
      </w:pPr>
      <w:r w:rsidRPr="00F63AF9">
        <w:rPr>
          <w:lang w:val="en-US"/>
        </w:rPr>
        <w:t>Analogue requirements of digital (skills, regulations &amp; institutions)</w:t>
      </w:r>
      <w:r w:rsidR="005E2138">
        <w:rPr>
          <w:lang w:val="en-US"/>
        </w:rPr>
        <w:t>;</w:t>
      </w:r>
    </w:p>
    <w:p w:rsidR="00F63AF9" w:rsidRPr="00F63AF9" w:rsidRDefault="00F63AF9" w:rsidP="00F63AF9">
      <w:pPr>
        <w:numPr>
          <w:ilvl w:val="0"/>
          <w:numId w:val="1"/>
        </w:numPr>
        <w:ind w:left="714" w:hanging="357"/>
      </w:pPr>
      <w:r w:rsidRPr="00F63AF9">
        <w:rPr>
          <w:i/>
          <w:iCs/>
        </w:rPr>
        <w:t>Include a systematic analysis of opportunities</w:t>
      </w:r>
      <w:r w:rsidRPr="00F63AF9">
        <w:t>: Belgium requires all new interventions to be analysed in the light of digitalisation. The potential role of digital within the intervention needs to be systematically addressed.</w:t>
      </w:r>
    </w:p>
    <w:p w:rsidR="002348BB" w:rsidRPr="00675DD0" w:rsidRDefault="002348BB" w:rsidP="002348BB">
      <w:pPr>
        <w:rPr>
          <w:i/>
          <w:iCs/>
          <w:u w:val="single"/>
        </w:rPr>
      </w:pPr>
      <w:r w:rsidRPr="00675DD0">
        <w:rPr>
          <w:i/>
          <w:iCs/>
          <w:u w:val="single"/>
        </w:rPr>
        <w:t>Germany</w:t>
      </w:r>
    </w:p>
    <w:p w:rsidR="002348BB" w:rsidRDefault="002348BB" w:rsidP="002348BB">
      <w:pPr>
        <w:rPr>
          <w:rFonts w:cs="Arial"/>
          <w:bCs/>
          <w:lang w:val="en-US"/>
        </w:rPr>
      </w:pPr>
      <w:r w:rsidRPr="00675DD0">
        <w:t xml:space="preserve">The focus of German cooperation on ICT in development has traditionally been on physical infrastructure and regulatory issues. Today, focus has broadened and </w:t>
      </w:r>
      <w:r w:rsidRPr="00675DD0">
        <w:rPr>
          <w:rFonts w:ascii="Arial" w:hAnsi="Arial" w:cs="Arial"/>
          <w:lang w:val="en"/>
        </w:rPr>
        <w:t xml:space="preserve">ICT is perceived as an enabler of efficient, cost-effective and high quality development solutions across a wide range of sectors. </w:t>
      </w:r>
      <w:r w:rsidRPr="00675DD0">
        <w:rPr>
          <w:rFonts w:cs="Arial"/>
        </w:rPr>
        <w:t>On a strategic level, Germany is working on an internal strategy to systematically integrate ICT within development cooperation, for instance,</w:t>
      </w:r>
      <w:r w:rsidRPr="00675DD0">
        <w:t xml:space="preserve"> </w:t>
      </w:r>
      <w:r w:rsidRPr="00705F94">
        <w:rPr>
          <w:bCs/>
        </w:rPr>
        <w:t>promoting ICT as an enabler of greater development outcomes</w:t>
      </w:r>
      <w:r w:rsidRPr="00675DD0">
        <w:t xml:space="preserve"> within other sectors </w:t>
      </w:r>
      <w:r w:rsidR="006C3CF1">
        <w:t>(including delivering on the</w:t>
      </w:r>
      <w:r w:rsidR="00B22232">
        <w:t xml:space="preserve"> </w:t>
      </w:r>
      <w:r w:rsidRPr="00675DD0">
        <w:t>SDGs</w:t>
      </w:r>
      <w:r w:rsidR="00B22232">
        <w:t>)</w:t>
      </w:r>
      <w:r w:rsidRPr="00675DD0">
        <w:t xml:space="preserve">; </w:t>
      </w:r>
      <w:r w:rsidRPr="00705F94">
        <w:rPr>
          <w:rFonts w:cs="Arial"/>
          <w:bCs/>
          <w:lang w:val="en-US"/>
        </w:rPr>
        <w:t xml:space="preserve">making </w:t>
      </w:r>
      <w:r w:rsidRPr="00705F94">
        <w:rPr>
          <w:rFonts w:eastAsia="Times New Roman" w:cs="Arial"/>
          <w:bCs/>
          <w:lang w:val="en-US" w:eastAsia="de-DE"/>
        </w:rPr>
        <w:t xml:space="preserve">use </w:t>
      </w:r>
      <w:r w:rsidRPr="00705F94">
        <w:rPr>
          <w:rFonts w:cs="Arial"/>
          <w:bCs/>
          <w:lang w:val="en-US"/>
        </w:rPr>
        <w:t xml:space="preserve">of major digital </w:t>
      </w:r>
      <w:r w:rsidRPr="00705F94">
        <w:rPr>
          <w:rFonts w:eastAsia="Times New Roman" w:cs="Arial"/>
          <w:bCs/>
          <w:lang w:val="en-US" w:eastAsia="de-DE"/>
        </w:rPr>
        <w:t xml:space="preserve">trends </w:t>
      </w:r>
      <w:r w:rsidRPr="00705F94">
        <w:rPr>
          <w:rFonts w:cs="Arial"/>
          <w:bCs/>
          <w:lang w:val="en-US"/>
        </w:rPr>
        <w:t>within</w:t>
      </w:r>
      <w:r w:rsidRPr="00705F94">
        <w:rPr>
          <w:rFonts w:eastAsia="Times New Roman" w:cs="Arial"/>
          <w:bCs/>
          <w:lang w:val="en-US" w:eastAsia="de-DE"/>
        </w:rPr>
        <w:t xml:space="preserve"> development</w:t>
      </w:r>
      <w:r w:rsidRPr="00675DD0">
        <w:rPr>
          <w:rFonts w:cs="Arial"/>
          <w:lang w:val="en-US"/>
        </w:rPr>
        <w:t>;</w:t>
      </w:r>
      <w:r w:rsidRPr="002B5D32">
        <w:rPr>
          <w:rFonts w:eastAsia="Times New Roman" w:cs="Arial"/>
          <w:lang w:val="en-US" w:eastAsia="de-DE"/>
        </w:rPr>
        <w:t xml:space="preserve"> </w:t>
      </w:r>
      <w:r w:rsidRPr="00705F94">
        <w:rPr>
          <w:bCs/>
        </w:rPr>
        <w:t xml:space="preserve">facilitating innovative solutions </w:t>
      </w:r>
      <w:r w:rsidR="008144B4">
        <w:rPr>
          <w:bCs/>
        </w:rPr>
        <w:t>by</w:t>
      </w:r>
      <w:r w:rsidR="008144B4" w:rsidRPr="00705F94">
        <w:rPr>
          <w:bCs/>
        </w:rPr>
        <w:t xml:space="preserve"> </w:t>
      </w:r>
      <w:r w:rsidRPr="00705F94">
        <w:rPr>
          <w:bCs/>
        </w:rPr>
        <w:t xml:space="preserve">providing </w:t>
      </w:r>
      <w:r w:rsidRPr="00705F94">
        <w:rPr>
          <w:rFonts w:cs="Arial"/>
          <w:bCs/>
          <w:lang w:val="en-US"/>
        </w:rPr>
        <w:t>new technology</w:t>
      </w:r>
      <w:r w:rsidRPr="00675DD0">
        <w:rPr>
          <w:rFonts w:cs="Arial"/>
          <w:lang w:val="en-US"/>
        </w:rPr>
        <w:t xml:space="preserve">; </w:t>
      </w:r>
      <w:r w:rsidRPr="00705F94">
        <w:rPr>
          <w:rFonts w:cs="Arial"/>
          <w:bCs/>
          <w:lang w:val="en-US"/>
        </w:rPr>
        <w:t xml:space="preserve">using digital technologies for more transparency; </w:t>
      </w:r>
      <w:r w:rsidRPr="00675DD0">
        <w:rPr>
          <w:rFonts w:cs="Arial"/>
          <w:lang w:val="en-US"/>
        </w:rPr>
        <w:t>and</w:t>
      </w:r>
      <w:r w:rsidRPr="00705F94">
        <w:rPr>
          <w:rFonts w:cs="Arial"/>
          <w:bCs/>
          <w:lang w:val="en-US"/>
        </w:rPr>
        <w:t xml:space="preserve"> strengthening human rights within the digital world.</w:t>
      </w:r>
    </w:p>
    <w:p w:rsidR="009D2884" w:rsidRPr="00705F94" w:rsidRDefault="009D2884" w:rsidP="009D2884">
      <w:pPr>
        <w:rPr>
          <w:rFonts w:ascii="Courier New" w:eastAsia="Times New Roman" w:hAnsi="Courier New" w:cs="Courier New"/>
          <w:bCs/>
          <w:lang w:val="en" w:eastAsia="de-DE"/>
        </w:rPr>
      </w:pPr>
      <w:r w:rsidRPr="009D2884">
        <w:rPr>
          <w:lang w:val="en-US"/>
        </w:rPr>
        <w:t>In support of mainstreaming ICT within development cooperation,</w:t>
      </w:r>
      <w:r w:rsidRPr="009D2884">
        <w:t xml:space="preserve"> a toolkit has been developed by way of a guide for digital projects in development cooperation. This is expected to</w:t>
      </w:r>
      <w:r w:rsidRPr="009D2884">
        <w:rPr>
          <w:lang w:val="en-US"/>
        </w:rPr>
        <w:t xml:space="preserve"> </w:t>
      </w:r>
      <w:r w:rsidRPr="009D2884">
        <w:t>strengthen knowledge management and expand ICT capacity within implementing agencies,</w:t>
      </w:r>
      <w:r w:rsidRPr="00D03240">
        <w:t xml:space="preserve"> government departments and other professional bodies</w:t>
      </w:r>
      <w:r w:rsidR="008144B4">
        <w:t>.</w:t>
      </w:r>
    </w:p>
    <w:p w:rsidR="002348BB" w:rsidRPr="00E24C43" w:rsidRDefault="002348BB" w:rsidP="002348BB">
      <w:pPr>
        <w:keepNext/>
        <w:rPr>
          <w:i/>
          <w:iCs/>
          <w:u w:val="single"/>
        </w:rPr>
      </w:pPr>
      <w:r w:rsidRPr="00E24C43">
        <w:rPr>
          <w:i/>
          <w:iCs/>
          <w:u w:val="single"/>
        </w:rPr>
        <w:t>France</w:t>
      </w:r>
    </w:p>
    <w:p w:rsidR="002348BB" w:rsidRDefault="002348BB" w:rsidP="006D6ED1">
      <w:r w:rsidRPr="00863A98">
        <w:t xml:space="preserve">The French government has recently </w:t>
      </w:r>
      <w:r w:rsidRPr="009E50BF">
        <w:t xml:space="preserve">published </w:t>
      </w:r>
      <w:r w:rsidRPr="008A1BD3">
        <w:t>its</w:t>
      </w:r>
      <w:r w:rsidRPr="009E50BF">
        <w:t xml:space="preserve"> Action Plan on ‘Development and Digitalisation’ for the period 2015-2017</w:t>
      </w:r>
      <w:r w:rsidRPr="009E50BF">
        <w:rPr>
          <w:rStyle w:val="FootnoteReference"/>
        </w:rPr>
        <w:footnoteReference w:id="16"/>
      </w:r>
      <w:r w:rsidRPr="009E50BF">
        <w:t xml:space="preserve">. The French strategy clearly links its rationale with the SDGs and emphasises the importance of ICT </w:t>
      </w:r>
      <w:r w:rsidR="003B403E">
        <w:t>as a tool f</w:t>
      </w:r>
      <w:r w:rsidR="003B403E" w:rsidRPr="003B403E">
        <w:t>or monitor</w:t>
      </w:r>
      <w:r w:rsidR="003B403E">
        <w:t>ing</w:t>
      </w:r>
      <w:r w:rsidR="003B403E" w:rsidRPr="003B403E">
        <w:t xml:space="preserve"> progress as well </w:t>
      </w:r>
      <w:r w:rsidRPr="009E50BF">
        <w:t>as an enabler for other development goals. The Action Plan identifies three overall objectives such as t</w:t>
      </w:r>
      <w:r w:rsidRPr="00705F94">
        <w:rPr>
          <w:bCs/>
        </w:rPr>
        <w:t>he importance of safeguarding universal access to an affordable, open, secure and multicultural Internet</w:t>
      </w:r>
      <w:r w:rsidRPr="009E50BF">
        <w:t>; c</w:t>
      </w:r>
      <w:r w:rsidRPr="00705F94">
        <w:rPr>
          <w:bCs/>
        </w:rPr>
        <w:t>reation of a digital economy</w:t>
      </w:r>
      <w:r w:rsidRPr="009E50BF">
        <w:t xml:space="preserve"> (mobilisation of French technology and know-how in support of innovation initiatives and</w:t>
      </w:r>
      <w:r>
        <w:t xml:space="preserve"> provide technical and financial support to innovative entrepreneurs and start-ups); and </w:t>
      </w:r>
      <w:r w:rsidRPr="00FF0116">
        <w:t xml:space="preserve">ICT as </w:t>
      </w:r>
      <w:r w:rsidR="00B22232">
        <w:t xml:space="preserve">a </w:t>
      </w:r>
      <w:r w:rsidRPr="00FF0116">
        <w:t xml:space="preserve">cross-cutting enabler for achieving </w:t>
      </w:r>
      <w:r w:rsidR="00B22232">
        <w:t>the SDGs</w:t>
      </w:r>
      <w:r>
        <w:t xml:space="preserve">. </w:t>
      </w:r>
      <w:r w:rsidR="006F07FD" w:rsidRPr="006F07FD">
        <w:t xml:space="preserve">AFD is expected to publish a digital strategy in 2016 </w:t>
      </w:r>
      <w:r w:rsidR="006F07FD">
        <w:t xml:space="preserve">which will </w:t>
      </w:r>
      <w:r w:rsidR="00420F30">
        <w:t xml:space="preserve">contain specific actions that </w:t>
      </w:r>
      <w:r w:rsidR="006D6ED1">
        <w:t>aim to</w:t>
      </w:r>
      <w:r w:rsidR="006F07FD">
        <w:t xml:space="preserve"> </w:t>
      </w:r>
      <w:r w:rsidR="006F07FD" w:rsidRPr="006F07FD">
        <w:t>reduc</w:t>
      </w:r>
      <w:r w:rsidR="006D6ED1">
        <w:t>e</w:t>
      </w:r>
      <w:r w:rsidR="006F07FD" w:rsidRPr="006F07FD">
        <w:t xml:space="preserve"> </w:t>
      </w:r>
      <w:r w:rsidR="006F07FD">
        <w:t xml:space="preserve">the </w:t>
      </w:r>
      <w:r w:rsidR="006F07FD" w:rsidRPr="006F07FD">
        <w:t>digital divide</w:t>
      </w:r>
      <w:r w:rsidR="00B22232">
        <w:t>,</w:t>
      </w:r>
      <w:r w:rsidR="006F07FD" w:rsidRPr="006F07FD">
        <w:t xml:space="preserve"> leverage </w:t>
      </w:r>
      <w:r w:rsidR="006F07FD">
        <w:t xml:space="preserve">the </w:t>
      </w:r>
      <w:r w:rsidR="006F07FD" w:rsidRPr="006F07FD">
        <w:t xml:space="preserve">potential </w:t>
      </w:r>
      <w:r w:rsidR="006F07FD">
        <w:t xml:space="preserve">of </w:t>
      </w:r>
      <w:r w:rsidR="006F07FD" w:rsidRPr="006F07FD">
        <w:t xml:space="preserve">ICT </w:t>
      </w:r>
      <w:r w:rsidR="006F07FD">
        <w:t>with</w:t>
      </w:r>
      <w:r w:rsidR="00AC2541">
        <w:t>in all sector interventions</w:t>
      </w:r>
      <w:r w:rsidR="00B22232">
        <w:t xml:space="preserve"> and </w:t>
      </w:r>
      <w:r w:rsidR="006F07FD" w:rsidRPr="006F07FD">
        <w:t xml:space="preserve">use digital technologies </w:t>
      </w:r>
      <w:r w:rsidR="006F07FD">
        <w:t>for increased impact</w:t>
      </w:r>
      <w:r w:rsidR="006F07FD" w:rsidRPr="006F07FD">
        <w:t xml:space="preserve"> and support innov</w:t>
      </w:r>
      <w:r w:rsidR="006F07FD">
        <w:t>ation.</w:t>
      </w:r>
    </w:p>
    <w:p w:rsidR="002348BB" w:rsidRPr="00E24C43" w:rsidRDefault="002348BB" w:rsidP="002348BB">
      <w:pPr>
        <w:rPr>
          <w:i/>
          <w:iCs/>
          <w:u w:val="single"/>
        </w:rPr>
      </w:pPr>
      <w:r w:rsidRPr="00E24C43">
        <w:rPr>
          <w:i/>
          <w:iCs/>
          <w:u w:val="single"/>
        </w:rPr>
        <w:t>UK</w:t>
      </w:r>
    </w:p>
    <w:p w:rsidR="00FD4E59" w:rsidRDefault="002348BB" w:rsidP="002348BB">
      <w:r w:rsidRPr="008456C6">
        <w:t xml:space="preserve">The UK Department for </w:t>
      </w:r>
      <w:r w:rsidRPr="008708BC">
        <w:t>International Development</w:t>
      </w:r>
      <w:r w:rsidR="008144B4">
        <w:t xml:space="preserve"> (</w:t>
      </w:r>
      <w:r w:rsidRPr="008708BC">
        <w:t>DFID</w:t>
      </w:r>
      <w:r w:rsidR="008144B4">
        <w:t>)</w:t>
      </w:r>
      <w:r w:rsidRPr="008708BC">
        <w:t xml:space="preserve"> reviewed its 2012-2015 digital strategy in February 2015 with the main conclusion that ‘digital technologies can add value to our development interventions to help us reach greater numbers of poor and marginalised people more quickly and cost-effectively’</w:t>
      </w:r>
      <w:r w:rsidR="00C57935">
        <w:rPr>
          <w:rStyle w:val="FootnoteReference"/>
        </w:rPr>
        <w:footnoteReference w:id="17"/>
      </w:r>
      <w:r w:rsidRPr="00C57935">
        <w:t>.</w:t>
      </w:r>
      <w:r w:rsidRPr="008708BC">
        <w:t xml:space="preserve"> Three overarching issues have been selected and targeted for improvement:</w:t>
      </w:r>
      <w:r w:rsidRPr="00705F94">
        <w:rPr>
          <w:bCs/>
        </w:rPr>
        <w:t xml:space="preserve"> access to digital services and content</w:t>
      </w:r>
      <w:r w:rsidRPr="008708BC">
        <w:t xml:space="preserve"> in addition to infrastructure and affordability </w:t>
      </w:r>
      <w:r w:rsidR="00B22232">
        <w:t>(</w:t>
      </w:r>
      <w:r w:rsidRPr="008708BC">
        <w:t>access includes digital literacy and ensuring that digital communication channels, content and delivery are relevant and understandable)</w:t>
      </w:r>
      <w:r w:rsidRPr="00705F94">
        <w:rPr>
          <w:bCs/>
        </w:rPr>
        <w:t>; coordination</w:t>
      </w:r>
      <w:r w:rsidRPr="008708BC">
        <w:t xml:space="preserve"> - both within DFID and among donors - </w:t>
      </w:r>
      <w:r w:rsidRPr="00705F94">
        <w:rPr>
          <w:bCs/>
        </w:rPr>
        <w:t>knowledge and evidence sharing across sectors; and capability</w:t>
      </w:r>
      <w:r w:rsidR="00FD4E59">
        <w:t>.</w:t>
      </w:r>
    </w:p>
    <w:p w:rsidR="00FD4E59" w:rsidRDefault="00FD4E59" w:rsidP="00FD4E59">
      <w:r>
        <w:t xml:space="preserve">DFID’s </w:t>
      </w:r>
      <w:r w:rsidR="00B22232">
        <w:t>approach is to secure</w:t>
      </w:r>
      <w:r>
        <w:t xml:space="preserve"> institutional arrangements </w:t>
      </w:r>
      <w:r w:rsidR="00B22232">
        <w:t xml:space="preserve">are </w:t>
      </w:r>
      <w:r>
        <w:t>in place within the organisation before deciding upon</w:t>
      </w:r>
      <w:r w:rsidR="004C2C95">
        <w:t xml:space="preserve"> </w:t>
      </w:r>
      <w:r>
        <w:t>strategic orientation</w:t>
      </w:r>
      <w:r w:rsidR="004C2C95">
        <w:t>s</w:t>
      </w:r>
      <w:r>
        <w:t xml:space="preserve">. </w:t>
      </w:r>
      <w:r w:rsidRPr="001047C6">
        <w:t xml:space="preserve">The </w:t>
      </w:r>
      <w:r>
        <w:t>implementation strategy</w:t>
      </w:r>
      <w:r w:rsidRPr="001047C6">
        <w:t xml:space="preserve"> will focus on mapping and identifying best practices with the aim to scale up a limited number of topics in a few selected countries. Implementation is expected to take up to two years after which lessons learned can be </w:t>
      </w:r>
      <w:r>
        <w:t>drawn.</w:t>
      </w:r>
    </w:p>
    <w:p w:rsidR="002348BB" w:rsidRPr="008708BC" w:rsidRDefault="002348BB" w:rsidP="002348BB">
      <w:pPr>
        <w:rPr>
          <w:i/>
          <w:iCs/>
          <w:u w:val="single"/>
        </w:rPr>
      </w:pPr>
      <w:r w:rsidRPr="008708BC">
        <w:rPr>
          <w:i/>
          <w:iCs/>
          <w:u w:val="single"/>
        </w:rPr>
        <w:t>Estonia</w:t>
      </w:r>
    </w:p>
    <w:p w:rsidR="002348BB" w:rsidRPr="007A21A5" w:rsidRDefault="002348BB" w:rsidP="00202F7C">
      <w:r w:rsidRPr="00F478C7">
        <w:t xml:space="preserve">Estonia has </w:t>
      </w:r>
      <w:r w:rsidR="00B22232">
        <w:t>increased its focus</w:t>
      </w:r>
      <w:r w:rsidR="006753E3">
        <w:t xml:space="preserve"> </w:t>
      </w:r>
      <w:r w:rsidR="00B22232">
        <w:t>on</w:t>
      </w:r>
      <w:r w:rsidR="006753E3">
        <w:t xml:space="preserve"> developing ICT solutions within various sectors,</w:t>
      </w:r>
      <w:r>
        <w:t xml:space="preserve"> mainly</w:t>
      </w:r>
      <w:r w:rsidR="00B22232">
        <w:t xml:space="preserve"> those in</w:t>
      </w:r>
      <w:r>
        <w:t xml:space="preserve"> </w:t>
      </w:r>
      <w:r w:rsidRPr="00F478C7">
        <w:t>governance, education and digital security</w:t>
      </w:r>
      <w:r>
        <w:t xml:space="preserve">, and </w:t>
      </w:r>
      <w:r w:rsidRPr="00F478C7">
        <w:t>is now</w:t>
      </w:r>
      <w:r>
        <w:t xml:space="preserve"> looking at how to share </w:t>
      </w:r>
      <w:r w:rsidR="006753E3">
        <w:t>success</w:t>
      </w:r>
      <w:r w:rsidR="00202F7C">
        <w:t>ful</w:t>
      </w:r>
      <w:r w:rsidR="006753E3">
        <w:t xml:space="preserve"> </w:t>
      </w:r>
      <w:r w:rsidR="00202F7C">
        <w:t>concepts</w:t>
      </w:r>
      <w:r w:rsidRPr="00F478C7">
        <w:t xml:space="preserve"> with partner countries. Areas where Estonia has </w:t>
      </w:r>
      <w:r>
        <w:t xml:space="preserve">specific </w:t>
      </w:r>
      <w:r w:rsidRPr="00F478C7">
        <w:t>experie</w:t>
      </w:r>
      <w:r>
        <w:t xml:space="preserve">nce and resources include: </w:t>
      </w:r>
      <w:r w:rsidR="006A2FDE">
        <w:t>e</w:t>
      </w:r>
      <w:r w:rsidRPr="007A21A5">
        <w:t>-governance</w:t>
      </w:r>
      <w:r>
        <w:t xml:space="preserve"> (first country to hold parliamentary elections via </w:t>
      </w:r>
      <w:r w:rsidR="00B22232">
        <w:t xml:space="preserve">the </w:t>
      </w:r>
      <w:r w:rsidR="006A2FDE">
        <w:t>I</w:t>
      </w:r>
      <w:r>
        <w:t>nternet and to offer e-Residency);</w:t>
      </w:r>
      <w:r w:rsidRPr="007A21A5">
        <w:t xml:space="preserve"> e-government interoperability frameworks and open government policy</w:t>
      </w:r>
      <w:r>
        <w:t xml:space="preserve"> (e-tax board)</w:t>
      </w:r>
      <w:r w:rsidRPr="007A21A5">
        <w:t>;</w:t>
      </w:r>
      <w:r>
        <w:t xml:space="preserve"> </w:t>
      </w:r>
      <w:r w:rsidR="006A2FDE">
        <w:t>e</w:t>
      </w:r>
      <w:r w:rsidRPr="007A21A5">
        <w:t>-education;</w:t>
      </w:r>
      <w:r>
        <w:t xml:space="preserve"> advanced </w:t>
      </w:r>
      <w:r w:rsidR="006A2FDE">
        <w:t>e</w:t>
      </w:r>
      <w:r>
        <w:t>-Health systems;</w:t>
      </w:r>
      <w:r w:rsidRPr="007A21A5">
        <w:t xml:space="preserve"> and</w:t>
      </w:r>
      <w:r>
        <w:t xml:space="preserve"> </w:t>
      </w:r>
      <w:r w:rsidRPr="007A21A5">
        <w:t>Cyber</w:t>
      </w:r>
      <w:r>
        <w:t>-</w:t>
      </w:r>
      <w:r w:rsidRPr="007A21A5">
        <w:t>security</w:t>
      </w:r>
      <w:r>
        <w:t xml:space="preserve"> (</w:t>
      </w:r>
      <w:r w:rsidR="00B22232">
        <w:t xml:space="preserve">particularly </w:t>
      </w:r>
      <w:r>
        <w:t>e-banking and m-banking, security software development, defence software and systems integration, mobile security and wireless security)</w:t>
      </w:r>
      <w:r w:rsidRPr="007A21A5">
        <w:t>.</w:t>
      </w:r>
    </w:p>
    <w:p w:rsidR="002348BB" w:rsidRPr="00047D99" w:rsidRDefault="002348BB" w:rsidP="002348BB">
      <w:pPr>
        <w:rPr>
          <w:i/>
          <w:iCs/>
          <w:u w:val="single"/>
        </w:rPr>
      </w:pPr>
      <w:r w:rsidRPr="00047D99">
        <w:rPr>
          <w:i/>
          <w:iCs/>
          <w:u w:val="single"/>
        </w:rPr>
        <w:t>Finland</w:t>
      </w:r>
    </w:p>
    <w:p w:rsidR="00F14D30" w:rsidRDefault="00F14D30" w:rsidP="00F14D30">
      <w:r w:rsidRPr="001047C6">
        <w:t xml:space="preserve">The Finnish </w:t>
      </w:r>
      <w:r>
        <w:t xml:space="preserve">Ministry for Foreign Affairs </w:t>
      </w:r>
      <w:r w:rsidRPr="001047C6">
        <w:t>provided policy guidelines for ICT</w:t>
      </w:r>
      <w:r>
        <w:t xml:space="preserve"> and information society in</w:t>
      </w:r>
      <w:r w:rsidRPr="001047C6">
        <w:t xml:space="preserve"> development </w:t>
      </w:r>
      <w:r>
        <w:t>as early as</w:t>
      </w:r>
      <w:r w:rsidRPr="001047C6">
        <w:t xml:space="preserve"> in 2005. </w:t>
      </w:r>
      <w:r>
        <w:t>Within Finnish development policy, emphasis has shifted f</w:t>
      </w:r>
      <w:r w:rsidRPr="001047C6">
        <w:t xml:space="preserve">rom </w:t>
      </w:r>
      <w:r w:rsidRPr="006C3CF1">
        <w:rPr>
          <w:iCs/>
        </w:rPr>
        <w:t>Information and Communications Technology for Development (ICT4D)</w:t>
      </w:r>
      <w:r w:rsidRPr="001047C6">
        <w:t xml:space="preserve"> to </w:t>
      </w:r>
      <w:r>
        <w:t xml:space="preserve">a broader perspective </w:t>
      </w:r>
      <w:r w:rsidR="006A2FDE">
        <w:t xml:space="preserve">of </w:t>
      </w:r>
      <w:r w:rsidRPr="006C3CF1">
        <w:rPr>
          <w:iCs/>
        </w:rPr>
        <w:t>Innovation for Development (I4D</w:t>
      </w:r>
      <w:r w:rsidRPr="006A2FDE">
        <w:t>)</w:t>
      </w:r>
      <w:r>
        <w:t>. The approach is based on a c</w:t>
      </w:r>
      <w:r w:rsidRPr="001047C6">
        <w:t>ombination between local ownership and Finnish added value</w:t>
      </w:r>
      <w:r>
        <w:t xml:space="preserve">. Past work related to ICT focused </w:t>
      </w:r>
      <w:r w:rsidR="00B22232">
        <w:t xml:space="preserve">largely </w:t>
      </w:r>
      <w:r>
        <w:t>on</w:t>
      </w:r>
      <w:r w:rsidRPr="002B661B">
        <w:t xml:space="preserve"> capacity develop</w:t>
      </w:r>
      <w:r>
        <w:t>ment</w:t>
      </w:r>
      <w:r w:rsidRPr="002B661B">
        <w:t xml:space="preserve"> (human and institutional)</w:t>
      </w:r>
      <w:r>
        <w:t xml:space="preserve"> mainly within the sectors of health</w:t>
      </w:r>
      <w:r w:rsidRPr="002B661B">
        <w:t xml:space="preserve">, </w:t>
      </w:r>
      <w:r>
        <w:t xml:space="preserve">education, </w:t>
      </w:r>
      <w:r w:rsidRPr="002B661B">
        <w:t>gender</w:t>
      </w:r>
      <w:r>
        <w:t>,</w:t>
      </w:r>
      <w:r w:rsidRPr="002B661B">
        <w:t xml:space="preserve"> agr</w:t>
      </w:r>
      <w:r>
        <w:t xml:space="preserve">iculture, forestry, energy, </w:t>
      </w:r>
      <w:r w:rsidRPr="002B661B">
        <w:t>as well as private sector development</w:t>
      </w:r>
      <w:r>
        <w:t xml:space="preserve"> and innovation including providing support to</w:t>
      </w:r>
      <w:r w:rsidRPr="002B661B">
        <w:t xml:space="preserve"> entrepreneurs</w:t>
      </w:r>
      <w:r>
        <w:t xml:space="preserve"> and </w:t>
      </w:r>
      <w:r w:rsidRPr="002B661B">
        <w:t>start-ups</w:t>
      </w:r>
      <w:r>
        <w:t xml:space="preserve"> in developing countries.</w:t>
      </w:r>
    </w:p>
    <w:p w:rsidR="00DB2E67" w:rsidRDefault="00DB2E67" w:rsidP="00F14D30">
      <w:pPr>
        <w:rPr>
          <w:i/>
          <w:iCs/>
          <w:u w:val="single"/>
        </w:rPr>
      </w:pPr>
      <w:r w:rsidRPr="00DB2E67">
        <w:rPr>
          <w:i/>
          <w:iCs/>
          <w:u w:val="single"/>
        </w:rPr>
        <w:t>Sweden</w:t>
      </w:r>
    </w:p>
    <w:p w:rsidR="00985F61" w:rsidRPr="00051FCC" w:rsidRDefault="00985F61" w:rsidP="003764AF">
      <w:r>
        <w:t>The Swedish International Development Agency (S</w:t>
      </w:r>
      <w:r w:rsidR="006A2FDE">
        <w:t>ida</w:t>
      </w:r>
      <w:r>
        <w:t>) support</w:t>
      </w:r>
      <w:r w:rsidR="006A2FDE">
        <w:t>s</w:t>
      </w:r>
      <w:r>
        <w:t xml:space="preserve"> ICT within the areas of democracy and human rights, economic growth, education, humanitarian assistance, natural resources management, poverty reduction and women in development. </w:t>
      </w:r>
      <w:r w:rsidR="00141E65">
        <w:t>Sweden has been working on</w:t>
      </w:r>
      <w:r w:rsidR="00141E65" w:rsidRPr="00141E65">
        <w:t xml:space="preserve"> ICT </w:t>
      </w:r>
      <w:r w:rsidR="00141E65">
        <w:t>within d</w:t>
      </w:r>
      <w:r w:rsidR="00141E65" w:rsidRPr="00141E65">
        <w:t>evelopment sinc</w:t>
      </w:r>
      <w:r w:rsidR="00141E65">
        <w:t>e the late 90s</w:t>
      </w:r>
      <w:r w:rsidR="00141E65" w:rsidRPr="00141E65">
        <w:t>.</w:t>
      </w:r>
      <w:r w:rsidR="00141E65">
        <w:t xml:space="preserve"> </w:t>
      </w:r>
      <w:r>
        <w:t>About 20</w:t>
      </w:r>
      <w:r w:rsidR="00051FCC">
        <w:t>%</w:t>
      </w:r>
      <w:r w:rsidR="00B22232">
        <w:t xml:space="preserve"> of</w:t>
      </w:r>
      <w:r w:rsidR="006A2FDE">
        <w:t xml:space="preserve"> </w:t>
      </w:r>
      <w:r>
        <w:t xml:space="preserve">initiatives focus on ICT </w:t>
      </w:r>
      <w:r w:rsidR="00051FCC">
        <w:t xml:space="preserve">as a sector and 80% </w:t>
      </w:r>
      <w:r>
        <w:t>on ICT as a development tool.</w:t>
      </w:r>
      <w:r w:rsidR="00051FCC">
        <w:t xml:space="preserve"> </w:t>
      </w:r>
      <w:r>
        <w:t xml:space="preserve">Sida has been </w:t>
      </w:r>
      <w:r w:rsidR="00051FCC">
        <w:t>part of</w:t>
      </w:r>
      <w:r>
        <w:t xml:space="preserve"> </w:t>
      </w:r>
      <w:r w:rsidRPr="00051FCC">
        <w:t xml:space="preserve">InfoDev, a </w:t>
      </w:r>
      <w:r w:rsidR="00051FCC">
        <w:t xml:space="preserve">WB run </w:t>
      </w:r>
      <w:r w:rsidRPr="00051FCC">
        <w:t>multi-donor program</w:t>
      </w:r>
      <w:r w:rsidR="00051FCC">
        <w:t>me</w:t>
      </w:r>
      <w:r w:rsidRPr="00051FCC">
        <w:t>, assisting entrepreneurs to secure app</w:t>
      </w:r>
      <w:r w:rsidR="00051FCC" w:rsidRPr="00051FCC">
        <w:t xml:space="preserve">ropriate early-stage financing and </w:t>
      </w:r>
      <w:r w:rsidRPr="00051FCC">
        <w:t>to develop sustainable enterpris</w:t>
      </w:r>
      <w:r w:rsidR="00051FCC" w:rsidRPr="00051FCC">
        <w:t xml:space="preserve">es that meet local market needs. </w:t>
      </w:r>
      <w:r w:rsidRPr="00051FCC">
        <w:t>Sida is also supporting a number of challenge funds focused on various sectors, such as social</w:t>
      </w:r>
      <w:r w:rsidR="00462F70">
        <w:t xml:space="preserve"> innovation, poverty reduction and </w:t>
      </w:r>
      <w:r w:rsidRPr="00051FCC">
        <w:t>the role of technology. One of these initiatives has been the flagshi</w:t>
      </w:r>
      <w:r w:rsidR="00051FCC" w:rsidRPr="00051FCC">
        <w:t xml:space="preserve">p support to the Seed Alliance </w:t>
      </w:r>
      <w:r w:rsidR="00462F70">
        <w:t>through research grants recognis</w:t>
      </w:r>
      <w:r w:rsidRPr="00051FCC">
        <w:t>ing and rewarding innovative approaches in the use of ICT for development</w:t>
      </w:r>
      <w:r w:rsidR="00F04402">
        <w:t>.</w:t>
      </w:r>
    </w:p>
    <w:p w:rsidR="00DB2E67" w:rsidRDefault="00B22232" w:rsidP="00F14D30">
      <w:pPr>
        <w:rPr>
          <w:i/>
          <w:iCs/>
          <w:u w:val="single"/>
        </w:rPr>
      </w:pPr>
      <w:r>
        <w:rPr>
          <w:i/>
          <w:iCs/>
          <w:u w:val="single"/>
        </w:rPr>
        <w:t xml:space="preserve">The </w:t>
      </w:r>
      <w:r w:rsidR="00DB2E67">
        <w:rPr>
          <w:i/>
          <w:iCs/>
          <w:u w:val="single"/>
        </w:rPr>
        <w:t>Netherlands</w:t>
      </w:r>
    </w:p>
    <w:p w:rsidR="00A00570" w:rsidRPr="0008154B" w:rsidRDefault="00A00570" w:rsidP="009D2571">
      <w:r w:rsidRPr="0008154B">
        <w:t xml:space="preserve">The Netherlands integrates and applies digital technology in various ways in the implementation of its development cooperation policy. In this regard, the Netherlands invests heavily in various initiatives and </w:t>
      </w:r>
      <w:r w:rsidR="00B22232">
        <w:t xml:space="preserve">in </w:t>
      </w:r>
      <w:r w:rsidRPr="0008154B">
        <w:t xml:space="preserve">projects that promote Internet access and the application of digitalisation. Examples </w:t>
      </w:r>
      <w:r>
        <w:t xml:space="preserve">include: i) </w:t>
      </w:r>
      <w:r w:rsidRPr="0008154B">
        <w:t>the use of big data in the area of h</w:t>
      </w:r>
      <w:r>
        <w:t>umanitarian (emergency) aid; ii)</w:t>
      </w:r>
      <w:r w:rsidRPr="0008154B">
        <w:t xml:space="preserve"> Geodata for Agriculture and Water (G4AW)</w:t>
      </w:r>
      <w:r>
        <w:t>; iii)</w:t>
      </w:r>
      <w:r w:rsidRPr="0008154B">
        <w:t xml:space="preserve"> open data/International Aid Transparency Initiative (IATI)</w:t>
      </w:r>
      <w:r>
        <w:t>; iv)</w:t>
      </w:r>
      <w:r w:rsidRPr="0008154B">
        <w:t xml:space="preserve"> </w:t>
      </w:r>
      <w:r>
        <w:t xml:space="preserve">open source/AKVO; v) </w:t>
      </w:r>
      <w:r w:rsidRPr="0008154B">
        <w:t>digital implementations through Private</w:t>
      </w:r>
      <w:r>
        <w:t xml:space="preserve"> Sector Development; and vi)</w:t>
      </w:r>
      <w:r w:rsidRPr="0008154B">
        <w:t xml:space="preserve"> initiatives r</w:t>
      </w:r>
      <w:r w:rsidR="009D2571">
        <w:t xml:space="preserve">elated to cyber security issues – the Netherlands is a member of the capacity building initiative </w:t>
      </w:r>
      <w:r w:rsidR="009D2571" w:rsidRPr="009D2571">
        <w:t>Global Forum on Cyber Expertise</w:t>
      </w:r>
      <w:r w:rsidR="00E36F73">
        <w:t>.</w:t>
      </w:r>
    </w:p>
    <w:p w:rsidR="002348BB" w:rsidRDefault="002348BB" w:rsidP="00F94903">
      <w:pPr>
        <w:pStyle w:val="Heading2"/>
      </w:pPr>
      <w:bookmarkStart w:id="15" w:name="_Toc454294898"/>
      <w:r>
        <w:t xml:space="preserve">Other donors and </w:t>
      </w:r>
      <w:r w:rsidR="004E1771">
        <w:t>development actors</w:t>
      </w:r>
      <w:bookmarkEnd w:id="15"/>
    </w:p>
    <w:p w:rsidR="002348BB" w:rsidRDefault="00CE38CB" w:rsidP="002348BB">
      <w:r>
        <w:t>Owing to the significant spread and impact of digital technologies, d</w:t>
      </w:r>
      <w:r w:rsidRPr="00961EB1">
        <w:t xml:space="preserve">igitalisation is occupying an increasingly important place on the </w:t>
      </w:r>
      <w:r>
        <w:t xml:space="preserve">agenda of most major </w:t>
      </w:r>
      <w:r w:rsidRPr="00961EB1">
        <w:t>donor</w:t>
      </w:r>
      <w:r>
        <w:t>s</w:t>
      </w:r>
      <w:r w:rsidRPr="00961EB1">
        <w:t xml:space="preserve">. </w:t>
      </w:r>
      <w:r w:rsidR="002348BB">
        <w:t>Th</w:t>
      </w:r>
      <w:r>
        <w:t xml:space="preserve">e following </w:t>
      </w:r>
      <w:r w:rsidR="002348BB">
        <w:t xml:space="preserve">section does not aim to map the multitude of actors involved in ICT for development activities which would be </w:t>
      </w:r>
      <w:r w:rsidR="004C1967">
        <w:t>beyond</w:t>
      </w:r>
      <w:r w:rsidR="002348BB">
        <w:t xml:space="preserve"> the scope of this report</w:t>
      </w:r>
      <w:r w:rsidR="004C1967">
        <w:t xml:space="preserve"> but the visible actors promoting IC</w:t>
      </w:r>
      <w:r w:rsidR="00CA6627">
        <w:t>T policy cooperation are listed b</w:t>
      </w:r>
      <w:r w:rsidR="004C1967">
        <w:t>elow.</w:t>
      </w:r>
    </w:p>
    <w:p w:rsidR="002348BB" w:rsidRDefault="004C1967" w:rsidP="002348BB">
      <w:r>
        <w:t>I</w:t>
      </w:r>
      <w:r w:rsidRPr="008456C6">
        <w:t>n addition to the recently published WDR 2016</w:t>
      </w:r>
      <w:r>
        <w:t>, t</w:t>
      </w:r>
      <w:r w:rsidR="002348BB" w:rsidRPr="008456C6">
        <w:t xml:space="preserve">he </w:t>
      </w:r>
      <w:r w:rsidR="002348BB" w:rsidRPr="00705F94">
        <w:rPr>
          <w:b/>
        </w:rPr>
        <w:t>World Bank</w:t>
      </w:r>
      <w:r>
        <w:t xml:space="preserve">'s </w:t>
      </w:r>
      <w:r w:rsidR="002348BB" w:rsidRPr="008456C6">
        <w:t xml:space="preserve">ICT sector strategy </w:t>
      </w:r>
      <w:r>
        <w:t xml:space="preserve">was </w:t>
      </w:r>
      <w:r w:rsidR="002348BB" w:rsidRPr="008456C6">
        <w:t>adopted in 2012. It aims to help developing countries harness the potential of ICT to transform the delivery of public services, drive innovation and productivity gains, and imp</w:t>
      </w:r>
      <w:r w:rsidR="006B09AF">
        <w:t>rove competitiveness.</w:t>
      </w:r>
    </w:p>
    <w:p w:rsidR="00E7059C" w:rsidRPr="00E7059C" w:rsidRDefault="00E7059C" w:rsidP="002348BB">
      <w:r w:rsidRPr="00E7059C">
        <w:t xml:space="preserve">The </w:t>
      </w:r>
      <w:r w:rsidRPr="00E7059C">
        <w:rPr>
          <w:b/>
        </w:rPr>
        <w:t>Asian Development Bank</w:t>
      </w:r>
      <w:r w:rsidRPr="00E7059C">
        <w:t xml:space="preserve"> has made considerable investments in ICT-related projects including assisting telecommunication and ICT infrastructure in the Pacific islands, supporting innovative e-government solutions in Central Asia and South Asia, and developing smart power grids in East and Southeast Asia</w:t>
      </w:r>
      <w:r>
        <w:t>.</w:t>
      </w:r>
    </w:p>
    <w:p w:rsidR="00800D4D" w:rsidRDefault="009A4892" w:rsidP="00725618">
      <w:r>
        <w:t xml:space="preserve">Several UN agencies are involved in ICT4Dev initiatives. </w:t>
      </w:r>
      <w:r w:rsidRPr="009A4892">
        <w:rPr>
          <w:b/>
        </w:rPr>
        <w:t>UNCTAD</w:t>
      </w:r>
      <w:r>
        <w:t xml:space="preserve"> monitors trends related to the digital divide, and advi</w:t>
      </w:r>
      <w:r w:rsidR="004C1967">
        <w:t>ses</w:t>
      </w:r>
      <w:r>
        <w:t xml:space="preserve"> countries on how to design and implement ICT strategies and policies to better participate in the global information economy. Initiatives include ‘Aid for e-trade’ and ‘ICTs and women’s entrepreneurship’. </w:t>
      </w:r>
      <w:r w:rsidRPr="009A4892">
        <w:rPr>
          <w:b/>
        </w:rPr>
        <w:t>UNESCO</w:t>
      </w:r>
      <w:r>
        <w:t xml:space="preserve"> promotes ICT in education through key values such as access, inclusion and quality.</w:t>
      </w:r>
    </w:p>
    <w:p w:rsidR="00172AF4" w:rsidRPr="00800D4D" w:rsidRDefault="006B09AF" w:rsidP="00725618">
      <w:r w:rsidRPr="00172AF4">
        <w:t xml:space="preserve">The </w:t>
      </w:r>
      <w:r w:rsidRPr="00172AF4">
        <w:rPr>
          <w:b/>
          <w:bCs/>
        </w:rPr>
        <w:t>United Nations</w:t>
      </w:r>
      <w:r w:rsidRPr="00172AF4">
        <w:t xml:space="preserve"> </w:t>
      </w:r>
      <w:r w:rsidRPr="00800D4D">
        <w:rPr>
          <w:b/>
        </w:rPr>
        <w:t>Pulse Labs</w:t>
      </w:r>
      <w:r w:rsidR="00172AF4">
        <w:t xml:space="preserve"> are set up as multistakeholder</w:t>
      </w:r>
      <w:r w:rsidRPr="00172AF4">
        <w:t xml:space="preserve"> think tanks </w:t>
      </w:r>
      <w:r>
        <w:t xml:space="preserve">to provide actionable policy advice based on the analysis of Big Data. </w:t>
      </w:r>
      <w:r w:rsidRPr="00172AF4">
        <w:t>Understanding how different cultures and communities use digital services such as mobile phones, microloans or social media is central to being able to leverage Big Data for development purposes</w:t>
      </w:r>
      <w:r w:rsidRPr="006B09AF">
        <w:rPr>
          <w:rFonts w:ascii="Times New Roman" w:eastAsia="Times New Roman" w:hAnsi="Times New Roman" w:cs="Times New Roman"/>
          <w:sz w:val="24"/>
          <w:szCs w:val="24"/>
          <w:lang w:eastAsia="en-GB"/>
        </w:rPr>
        <w:t>.</w:t>
      </w:r>
    </w:p>
    <w:p w:rsidR="001F031C" w:rsidRPr="008456C6" w:rsidRDefault="002348BB" w:rsidP="001F031C">
      <w:r w:rsidRPr="008456C6">
        <w:t xml:space="preserve">The </w:t>
      </w:r>
      <w:r w:rsidRPr="00705F94">
        <w:rPr>
          <w:b/>
        </w:rPr>
        <w:t>Council of Europe</w:t>
      </w:r>
      <w:r w:rsidRPr="008456C6">
        <w:t xml:space="preserve"> </w:t>
      </w:r>
      <w:r w:rsidR="001F031C">
        <w:t xml:space="preserve">(CoE) assists countries worldwide with responding to the challenges presented by cybercrime and electronic evidence through the standards of the Budapest Convention on Cybercrime </w:t>
      </w:r>
      <w:r w:rsidR="001F031C" w:rsidRPr="008456C6">
        <w:t xml:space="preserve">which is </w:t>
      </w:r>
      <w:r w:rsidR="001F031C">
        <w:t>the</w:t>
      </w:r>
      <w:r w:rsidR="001F031C" w:rsidRPr="008456C6">
        <w:t xml:space="preserve"> international</w:t>
      </w:r>
      <w:r w:rsidR="001F031C">
        <w:t xml:space="preserve"> </w:t>
      </w:r>
      <w:r w:rsidR="001F031C" w:rsidRPr="008456C6">
        <w:t>legal instrument</w:t>
      </w:r>
      <w:r w:rsidR="001F031C">
        <w:t xml:space="preserve"> of reference in the fight against cybercrime. It does so through the strengthening of countries’ criminal justice capacity. </w:t>
      </w:r>
      <w:r w:rsidR="00C55582">
        <w:t>To this end, s</w:t>
      </w:r>
      <w:r w:rsidR="001F031C" w:rsidRPr="008456C6">
        <w:t xml:space="preserve">everal capacity building initiatives </w:t>
      </w:r>
      <w:r w:rsidR="001F031C">
        <w:t>are</w:t>
      </w:r>
      <w:r w:rsidR="001F031C" w:rsidRPr="008456C6">
        <w:t xml:space="preserve"> currently being implemented by the CoE many of which are jointly funded with the EU through the I</w:t>
      </w:r>
      <w:r w:rsidR="001F031C">
        <w:t>nstrument</w:t>
      </w:r>
      <w:r w:rsidR="001F031C" w:rsidRPr="00B85818">
        <w:t xml:space="preserve"> contributing to Stability and Peace</w:t>
      </w:r>
      <w:r w:rsidR="001F031C">
        <w:t xml:space="preserve"> </w:t>
      </w:r>
      <w:r w:rsidR="00A50133">
        <w:t>(Ic</w:t>
      </w:r>
      <w:r w:rsidR="001F031C" w:rsidRPr="00B85818">
        <w:t>SP</w:t>
      </w:r>
      <w:r w:rsidR="001F031C">
        <w:t xml:space="preserve">) or by </w:t>
      </w:r>
      <w:r w:rsidR="00A35290">
        <w:t xml:space="preserve">the </w:t>
      </w:r>
      <w:r w:rsidR="001F031C">
        <w:t>E</w:t>
      </w:r>
      <w:r w:rsidR="00A35290">
        <w:t xml:space="preserve">uropean </w:t>
      </w:r>
      <w:r w:rsidR="001F031C">
        <w:t>N</w:t>
      </w:r>
      <w:r w:rsidR="00A35290">
        <w:t xml:space="preserve">eighbourhood </w:t>
      </w:r>
      <w:r w:rsidR="001F031C">
        <w:t>I</w:t>
      </w:r>
      <w:r w:rsidR="00A35290">
        <w:t>nstrument</w:t>
      </w:r>
      <w:r w:rsidR="001F031C">
        <w:t xml:space="preserve"> (such as the Programmatic Cooperation Framework)</w:t>
      </w:r>
      <w:r w:rsidR="001F031C" w:rsidRPr="008456C6">
        <w:t>.</w:t>
      </w:r>
    </w:p>
    <w:p w:rsidR="00725618" w:rsidRPr="00725618" w:rsidRDefault="002348BB" w:rsidP="00725618">
      <w:r w:rsidRPr="00705F94">
        <w:rPr>
          <w:b/>
        </w:rPr>
        <w:t>USAID</w:t>
      </w:r>
      <w:r w:rsidRPr="008456C6">
        <w:t xml:space="preserve"> has launched the Broadband Partnership of the Americas (BPA)</w:t>
      </w:r>
      <w:r>
        <w:t>,</w:t>
      </w:r>
      <w:r w:rsidRPr="008456C6">
        <w:t xml:space="preserve"> a framework which aims to improve access to broadband and ICT across the Americas. It is designed to be a voluntary and flexible framework through which the donor community and the private sector can collaborate.</w:t>
      </w:r>
      <w:r w:rsidR="00725618">
        <w:t xml:space="preserve"> More recently, the US Department of State has announced the launching of ‘Global Connect’ an </w:t>
      </w:r>
      <w:r w:rsidR="00725618" w:rsidRPr="00725618">
        <w:t xml:space="preserve">initiative </w:t>
      </w:r>
      <w:r w:rsidR="00725618">
        <w:t xml:space="preserve">which seeks to bring 1.5 billion people </w:t>
      </w:r>
      <w:r w:rsidR="004C1967">
        <w:t xml:space="preserve">online by 2020 </w:t>
      </w:r>
      <w:r w:rsidR="00725618">
        <w:t xml:space="preserve">who </w:t>
      </w:r>
      <w:r w:rsidR="004C1967">
        <w:t xml:space="preserve">currently </w:t>
      </w:r>
      <w:r w:rsidR="00725618">
        <w:t>lack Internet access. It is envisaged that</w:t>
      </w:r>
      <w:r w:rsidR="00725618" w:rsidRPr="00725618">
        <w:t xml:space="preserve"> country-specific strategies </w:t>
      </w:r>
      <w:r w:rsidR="00725618">
        <w:t xml:space="preserve">will be </w:t>
      </w:r>
      <w:r w:rsidR="00725618" w:rsidRPr="00725618">
        <w:t>develop</w:t>
      </w:r>
      <w:r w:rsidR="00725618">
        <w:t>ed</w:t>
      </w:r>
      <w:r w:rsidR="00725618" w:rsidRPr="00725618">
        <w:t xml:space="preserve"> </w:t>
      </w:r>
      <w:r w:rsidR="00725618">
        <w:t xml:space="preserve">encouraging </w:t>
      </w:r>
      <w:r w:rsidR="00725618" w:rsidRPr="00725618">
        <w:t>connectivity</w:t>
      </w:r>
      <w:r w:rsidR="00725618">
        <w:t>,</w:t>
      </w:r>
      <w:r w:rsidR="00725618" w:rsidRPr="00725618">
        <w:t xml:space="preserve"> entrepreneurship, cross-border information flows and open and competitive marketplaces.</w:t>
      </w:r>
    </w:p>
    <w:p w:rsidR="002348BB" w:rsidRDefault="002348BB" w:rsidP="00EE628E">
      <w:r w:rsidRPr="00A632C3">
        <w:t>Donors</w:t>
      </w:r>
      <w:r w:rsidR="00EE628E">
        <w:t xml:space="preserve"> such as </w:t>
      </w:r>
      <w:r w:rsidR="00EE628E" w:rsidRPr="00A632C3">
        <w:rPr>
          <w:b/>
        </w:rPr>
        <w:t>USAID</w:t>
      </w:r>
      <w:r w:rsidR="00EE628E">
        <w:t xml:space="preserve"> and</w:t>
      </w:r>
      <w:r w:rsidRPr="00CB132D">
        <w:t xml:space="preserve"> </w:t>
      </w:r>
      <w:r w:rsidRPr="00A632C3">
        <w:rPr>
          <w:b/>
        </w:rPr>
        <w:t>Bill and Melinda Gates</w:t>
      </w:r>
      <w:r w:rsidR="00360CC9" w:rsidRPr="00A632C3">
        <w:rPr>
          <w:b/>
        </w:rPr>
        <w:t xml:space="preserve"> Foundation</w:t>
      </w:r>
      <w:r w:rsidR="00360CC9">
        <w:t xml:space="preserve"> </w:t>
      </w:r>
      <w:r>
        <w:t>have been</w:t>
      </w:r>
      <w:r w:rsidRPr="00CB132D">
        <w:t xml:space="preserve"> running</w:t>
      </w:r>
      <w:r>
        <w:t xml:space="preserve"> innovative, global level </w:t>
      </w:r>
      <w:r w:rsidRPr="00CB132D">
        <w:t>programmes</w:t>
      </w:r>
      <w:r>
        <w:t xml:space="preserve"> for some time, providing business incubation services and targeting entrepreneurs </w:t>
      </w:r>
      <w:r w:rsidRPr="00CB132D">
        <w:t xml:space="preserve">e.g. the </w:t>
      </w:r>
      <w:r>
        <w:t>World Bank</w:t>
      </w:r>
      <w:r w:rsidR="00A35290">
        <w:t>'</w:t>
      </w:r>
      <w:r>
        <w:t>s infoDev and the</w:t>
      </w:r>
      <w:r w:rsidRPr="00CB132D">
        <w:t xml:space="preserve"> USAID’s</w:t>
      </w:r>
      <w:r>
        <w:t xml:space="preserve"> </w:t>
      </w:r>
      <w:r w:rsidRPr="00CB132D">
        <w:t xml:space="preserve">mPowering </w:t>
      </w:r>
      <w:r w:rsidR="00A35290">
        <w:t>F</w:t>
      </w:r>
      <w:r w:rsidRPr="00CB132D">
        <w:t xml:space="preserve">rontline </w:t>
      </w:r>
      <w:r w:rsidR="00A35290">
        <w:t>H</w:t>
      </w:r>
      <w:r w:rsidRPr="00CB132D">
        <w:t xml:space="preserve">ealth </w:t>
      </w:r>
      <w:r w:rsidR="00A35290">
        <w:t>W</w:t>
      </w:r>
      <w:r w:rsidRPr="00CB132D">
        <w:t xml:space="preserve">orkers programme </w:t>
      </w:r>
      <w:r>
        <w:t>which works to improve skills and knowledge of health workers in rural locations.</w:t>
      </w:r>
    </w:p>
    <w:p w:rsidR="00A632C3" w:rsidRPr="00CB132D" w:rsidRDefault="00A632C3" w:rsidP="00EE628E">
      <w:r>
        <w:t>Multistakeholder partnership initiatives</w:t>
      </w:r>
      <w:r w:rsidR="00AC0E3D">
        <w:t>,</w:t>
      </w:r>
      <w:r>
        <w:t xml:space="preserve"> such as the </w:t>
      </w:r>
      <w:r w:rsidRPr="00F94F2E">
        <w:rPr>
          <w:b/>
        </w:rPr>
        <w:t>Global Partnership for Sustainable Development Data</w:t>
      </w:r>
      <w:r w:rsidR="00AC0E3D">
        <w:rPr>
          <w:b/>
        </w:rPr>
        <w:t>,</w:t>
      </w:r>
      <w:r>
        <w:t xml:space="preserve"> work together to address the issue of unreliable or absent data in order </w:t>
      </w:r>
      <w:r w:rsidRPr="00A632C3">
        <w:t xml:space="preserve">to </w:t>
      </w:r>
      <w:r>
        <w:t xml:space="preserve">provide a better picture of poverty and </w:t>
      </w:r>
      <w:r w:rsidR="000F6E83">
        <w:t xml:space="preserve">better </w:t>
      </w:r>
      <w:r w:rsidR="00F94F2E">
        <w:t xml:space="preserve">map </w:t>
      </w:r>
      <w:r>
        <w:t>actual needs.</w:t>
      </w:r>
    </w:p>
    <w:p w:rsidR="002348BB" w:rsidRDefault="00800D4D" w:rsidP="007F6726">
      <w:r>
        <w:t>O</w:t>
      </w:r>
      <w:r w:rsidR="002348BB" w:rsidRPr="00D06C4F">
        <w:t xml:space="preserve">ther, less traditional </w:t>
      </w:r>
      <w:r w:rsidR="002348BB">
        <w:t xml:space="preserve">development </w:t>
      </w:r>
      <w:r w:rsidR="002348BB" w:rsidRPr="00D06C4F">
        <w:t>actors</w:t>
      </w:r>
      <w:r w:rsidR="002348BB">
        <w:t xml:space="preserve"> such as the </w:t>
      </w:r>
      <w:r w:rsidR="002348BB" w:rsidRPr="002C430A">
        <w:t>Gr</w:t>
      </w:r>
      <w:r w:rsidR="002348BB">
        <w:t>o</w:t>
      </w:r>
      <w:r w:rsidR="002348BB" w:rsidRPr="002C430A">
        <w:t>upe Spécial Mobile</w:t>
      </w:r>
      <w:r w:rsidR="002348BB">
        <w:t xml:space="preserve"> Association </w:t>
      </w:r>
      <w:r w:rsidR="002348BB" w:rsidRPr="00705F94">
        <w:rPr>
          <w:b/>
        </w:rPr>
        <w:t>(GSMA)</w:t>
      </w:r>
      <w:r w:rsidR="002348BB">
        <w:t xml:space="preserve"> </w:t>
      </w:r>
      <w:r w:rsidR="007F6726" w:rsidRPr="007F6726">
        <w:t xml:space="preserve">implements </w:t>
      </w:r>
      <w:r w:rsidR="007F6726">
        <w:t>the</w:t>
      </w:r>
      <w:r w:rsidR="007F6726" w:rsidRPr="007F6726">
        <w:t xml:space="preserve"> Mobile for Development program</w:t>
      </w:r>
      <w:r w:rsidR="004C1967">
        <w:t>me</w:t>
      </w:r>
      <w:r w:rsidR="007F6726" w:rsidRPr="007F6726">
        <w:t xml:space="preserve"> </w:t>
      </w:r>
      <w:r w:rsidR="007F6726">
        <w:t>covering multiple sectors such as</w:t>
      </w:r>
      <w:r w:rsidR="007F6726" w:rsidRPr="007F6726">
        <w:t xml:space="preserve"> mBanking, digital identity, mAgri, mHealth, mUtilities and </w:t>
      </w:r>
      <w:r w:rsidR="007F6726">
        <w:t>d</w:t>
      </w:r>
      <w:r w:rsidR="007F6726" w:rsidRPr="007F6726">
        <w:t>igital inclusion.</w:t>
      </w:r>
      <w:r w:rsidR="002348BB">
        <w:t xml:space="preserve"> This</w:t>
      </w:r>
      <w:r w:rsidR="002348BB" w:rsidRPr="00D06C4F">
        <w:t xml:space="preserve"> </w:t>
      </w:r>
      <w:r w:rsidR="007F6726">
        <w:t>digital inclusion</w:t>
      </w:r>
      <w:r w:rsidR="002348BB" w:rsidRPr="00D06C4F">
        <w:t xml:space="preserve"> programme</w:t>
      </w:r>
      <w:r w:rsidR="002348BB">
        <w:t xml:space="preserve"> is</w:t>
      </w:r>
      <w:r w:rsidR="002348BB" w:rsidRPr="00D06C4F">
        <w:t xml:space="preserve"> aimed at expanding global connectivity by address</w:t>
      </w:r>
      <w:r w:rsidR="002348BB">
        <w:t xml:space="preserve">ing barriers to mobile </w:t>
      </w:r>
      <w:r w:rsidR="00A35290">
        <w:t>I</w:t>
      </w:r>
      <w:r w:rsidR="002348BB" w:rsidRPr="00D06C4F">
        <w:t>nter</w:t>
      </w:r>
      <w:r w:rsidR="002348BB">
        <w:t>net adoption, with the goal to ‘</w:t>
      </w:r>
      <w:r w:rsidR="002348BB" w:rsidRPr="00D06C4F">
        <w:t xml:space="preserve">support the connection of an additional one billion people to mobile </w:t>
      </w:r>
      <w:r w:rsidR="00A35290">
        <w:t>I</w:t>
      </w:r>
      <w:r w:rsidR="002348BB" w:rsidRPr="00D06C4F">
        <w:t>nternet</w:t>
      </w:r>
      <w:r w:rsidR="002348BB">
        <w:t>’.</w:t>
      </w:r>
    </w:p>
    <w:p w:rsidR="00800D4D" w:rsidRPr="00D06C4F" w:rsidRDefault="00800D4D" w:rsidP="007F6726">
      <w:r>
        <w:t xml:space="preserve">There is a growing interest within the </w:t>
      </w:r>
      <w:r w:rsidRPr="000F6E83">
        <w:rPr>
          <w:b/>
        </w:rPr>
        <w:t>private sec</w:t>
      </w:r>
      <w:r w:rsidR="000F6E83" w:rsidRPr="000F6E83">
        <w:rPr>
          <w:b/>
        </w:rPr>
        <w:t>tor</w:t>
      </w:r>
      <w:r>
        <w:t xml:space="preserve"> and larger multinational corporations to </w:t>
      </w:r>
      <w:r w:rsidR="000F6E83">
        <w:t>undertake</w:t>
      </w:r>
      <w:r>
        <w:t xml:space="preserve"> Corporate Social Responsibility (CSR) activities related to development. </w:t>
      </w:r>
      <w:r w:rsidR="000F6E83">
        <w:t xml:space="preserve">For example, telecoms operator Orange works in Africa to improve </w:t>
      </w:r>
      <w:r w:rsidR="00A35290">
        <w:t>I</w:t>
      </w:r>
      <w:r w:rsidR="000F6E83">
        <w:t>nternet connectivity through and IP Point of Presence.</w:t>
      </w:r>
      <w:r>
        <w:t xml:space="preserve"> </w:t>
      </w:r>
    </w:p>
    <w:p w:rsidR="007E0D2E" w:rsidRDefault="002348BB" w:rsidP="00103128">
      <w:r>
        <w:t xml:space="preserve">In </w:t>
      </w:r>
      <w:r w:rsidR="004E1771">
        <w:t>this</w:t>
      </w:r>
      <w:r>
        <w:t xml:space="preserve"> context it is also important to </w:t>
      </w:r>
      <w:r w:rsidRPr="003D22D1">
        <w:t xml:space="preserve">mention Chinese infrastructure investment in ICT taking place mainly in Africa. These activities are geared mainly towards promoting the Chinese export industry (such as Huawei and ZTE). Although carried out through diplomatic </w:t>
      </w:r>
      <w:r w:rsidR="007E0D2E" w:rsidRPr="003D22D1">
        <w:t>channels</w:t>
      </w:r>
      <w:r w:rsidRPr="003D22D1">
        <w:t xml:space="preserve"> and with</w:t>
      </w:r>
      <w:r w:rsidR="007E0D2E">
        <w:t xml:space="preserve"> </w:t>
      </w:r>
      <w:r w:rsidR="007E0D2E" w:rsidRPr="003D22D1">
        <w:t xml:space="preserve">the support of the China Development Bank, links </w:t>
      </w:r>
      <w:r w:rsidR="007E0D2E">
        <w:t>and longer term impacts between these activities and the</w:t>
      </w:r>
      <w:r w:rsidR="007E0D2E" w:rsidRPr="003D22D1">
        <w:t xml:space="preserve"> broader development policy framework</w:t>
      </w:r>
      <w:r w:rsidR="007E0D2E">
        <w:t xml:space="preserve"> need to be assessed</w:t>
      </w:r>
      <w:r w:rsidR="007E0D2E" w:rsidRPr="003D22D1">
        <w:t>.</w:t>
      </w:r>
      <w:r w:rsidR="007E0D2E">
        <w:t xml:space="preserve"> </w:t>
      </w:r>
    </w:p>
    <w:p w:rsidR="002F022A" w:rsidRPr="002F022A" w:rsidRDefault="007E0D2E" w:rsidP="00103128">
      <w:r>
        <w:t>The above example</w:t>
      </w:r>
      <w:r w:rsidR="00A35290">
        <w:t>, if</w:t>
      </w:r>
      <w:r>
        <w:t xml:space="preserve"> viewed as</w:t>
      </w:r>
      <w:r w:rsidR="002F022A">
        <w:t xml:space="preserve"> </w:t>
      </w:r>
      <w:r w:rsidR="002F022A" w:rsidRPr="003D22D1">
        <w:t>export promotion</w:t>
      </w:r>
      <w:r w:rsidR="00A35290">
        <w:t>,</w:t>
      </w:r>
      <w:r w:rsidR="002F022A" w:rsidRPr="003D22D1">
        <w:t xml:space="preserve"> </w:t>
      </w:r>
      <w:r w:rsidR="008F73D9">
        <w:t xml:space="preserve">may </w:t>
      </w:r>
      <w:r w:rsidR="00103128">
        <w:t>challenge</w:t>
      </w:r>
      <w:r w:rsidR="002F022A" w:rsidRPr="003D22D1">
        <w:t xml:space="preserve"> progress made to date </w:t>
      </w:r>
      <w:r w:rsidR="004C1967">
        <w:t>to</w:t>
      </w:r>
      <w:r w:rsidR="004C1967" w:rsidRPr="003D22D1">
        <w:t xml:space="preserve"> </w:t>
      </w:r>
      <w:r w:rsidR="002F022A">
        <w:t>harmonis</w:t>
      </w:r>
      <w:r w:rsidR="004C1967">
        <w:t>e</w:t>
      </w:r>
      <w:r w:rsidR="002F022A">
        <w:t xml:space="preserve"> </w:t>
      </w:r>
      <w:r w:rsidR="002F022A" w:rsidRPr="003D22D1">
        <w:t xml:space="preserve">legal and regulatory </w:t>
      </w:r>
      <w:r w:rsidR="002F022A">
        <w:t>frameworks</w:t>
      </w:r>
      <w:r w:rsidR="002F022A" w:rsidRPr="003D22D1">
        <w:t xml:space="preserve"> achieved through the support of EU and other </w:t>
      </w:r>
      <w:r w:rsidR="002F022A">
        <w:t>donors</w:t>
      </w:r>
      <w:r w:rsidR="002F022A" w:rsidRPr="003D22D1">
        <w:t>.</w:t>
      </w:r>
      <w:r w:rsidR="002F022A">
        <w:t xml:space="preserve"> In re</w:t>
      </w:r>
      <w:r w:rsidR="002430BC">
        <w:t>sponse to this</w:t>
      </w:r>
      <w:r w:rsidR="00A35290">
        <w:t>,</w:t>
      </w:r>
      <w:r w:rsidR="002430BC">
        <w:t xml:space="preserve"> some</w:t>
      </w:r>
      <w:r w:rsidR="002F022A">
        <w:t xml:space="preserve"> actors, such as </w:t>
      </w:r>
      <w:r w:rsidR="002F022A" w:rsidRPr="002301D6">
        <w:t>the World</w:t>
      </w:r>
      <w:r w:rsidR="002F022A">
        <w:t xml:space="preserve"> Bank,</w:t>
      </w:r>
      <w:r w:rsidR="002F022A" w:rsidRPr="002301D6">
        <w:t xml:space="preserve"> </w:t>
      </w:r>
      <w:r w:rsidR="002F022A">
        <w:t xml:space="preserve">have </w:t>
      </w:r>
      <w:r w:rsidR="00B40DC1">
        <w:t>introduced</w:t>
      </w:r>
      <w:r w:rsidR="004C1967">
        <w:t xml:space="preserve"> the</w:t>
      </w:r>
      <w:r w:rsidR="00B40DC1">
        <w:t xml:space="preserve"> requirement </w:t>
      </w:r>
      <w:r w:rsidR="004C1967">
        <w:t xml:space="preserve">to </w:t>
      </w:r>
      <w:r w:rsidR="002F022A" w:rsidRPr="002301D6">
        <w:t>link</w:t>
      </w:r>
      <w:r w:rsidR="002F022A">
        <w:t xml:space="preserve"> infrastructure d</w:t>
      </w:r>
      <w:r w:rsidR="002F022A" w:rsidRPr="002301D6">
        <w:t>i</w:t>
      </w:r>
      <w:r w:rsidR="002F022A">
        <w:t>s</w:t>
      </w:r>
      <w:r w:rsidR="002F022A" w:rsidRPr="002301D6">
        <w:t>bursement</w:t>
      </w:r>
      <w:r w:rsidR="002F022A">
        <w:t>s</w:t>
      </w:r>
      <w:r w:rsidR="002F022A" w:rsidRPr="002301D6">
        <w:t xml:space="preserve"> </w:t>
      </w:r>
      <w:r w:rsidR="002F022A" w:rsidRPr="00B74C13">
        <w:t xml:space="preserve">with </w:t>
      </w:r>
      <w:r w:rsidR="002F022A">
        <w:t xml:space="preserve">clear milestones for </w:t>
      </w:r>
      <w:r w:rsidR="002F022A" w:rsidRPr="00B74C13">
        <w:t>implement</w:t>
      </w:r>
      <w:r w:rsidR="002F022A">
        <w:t xml:space="preserve">ing </w:t>
      </w:r>
      <w:r w:rsidR="002F022A" w:rsidRPr="00B74C13">
        <w:t>policy and legislation</w:t>
      </w:r>
      <w:r w:rsidR="002430BC">
        <w:t>.</w:t>
      </w:r>
      <w:r w:rsidR="008D3D07">
        <w:t xml:space="preserve"> The African D</w:t>
      </w:r>
      <w:r w:rsidR="008D3D07" w:rsidRPr="00B74C13">
        <w:t xml:space="preserve">evelopment </w:t>
      </w:r>
      <w:r w:rsidR="008D3D07">
        <w:t>B</w:t>
      </w:r>
      <w:r w:rsidR="008D3D07" w:rsidRPr="00B74C13">
        <w:t xml:space="preserve">ank is </w:t>
      </w:r>
      <w:r w:rsidR="00AA1554">
        <w:t xml:space="preserve">currently </w:t>
      </w:r>
      <w:r w:rsidR="008D3D07">
        <w:t xml:space="preserve">looking to </w:t>
      </w:r>
      <w:r w:rsidR="008D3D07" w:rsidRPr="00B74C13">
        <w:t>adopt</w:t>
      </w:r>
      <w:r w:rsidR="008D3D07">
        <w:t xml:space="preserve"> a similar tool.</w:t>
      </w:r>
    </w:p>
    <w:p w:rsidR="002348BB" w:rsidRDefault="002D76C9" w:rsidP="002348BB">
      <w:pPr>
        <w:pStyle w:val="Heading1"/>
        <w:keepNext/>
      </w:pPr>
      <w:bookmarkStart w:id="16" w:name="_Toc447554841"/>
      <w:bookmarkStart w:id="17" w:name="_Toc454294899"/>
      <w:r>
        <w:t xml:space="preserve">Situation </w:t>
      </w:r>
      <w:r w:rsidR="002348BB">
        <w:t>Analysis</w:t>
      </w:r>
      <w:bookmarkEnd w:id="16"/>
      <w:bookmarkEnd w:id="17"/>
    </w:p>
    <w:p w:rsidR="002348BB" w:rsidRPr="00565E5E" w:rsidRDefault="00556EE6" w:rsidP="00F94903">
      <w:pPr>
        <w:pStyle w:val="Heading2"/>
      </w:pPr>
      <w:bookmarkStart w:id="18" w:name="_Toc454294900"/>
      <w:r>
        <w:t>ICT sector components</w:t>
      </w:r>
      <w:bookmarkEnd w:id="18"/>
    </w:p>
    <w:p w:rsidR="002348BB" w:rsidRDefault="002348BB" w:rsidP="002F022A">
      <w:r>
        <w:t xml:space="preserve">The question on how to approach ICT is complex </w:t>
      </w:r>
      <w:r w:rsidR="00A35290">
        <w:t xml:space="preserve">due to the fact that </w:t>
      </w:r>
      <w:r>
        <w:t xml:space="preserve">ICT is a very large </w:t>
      </w:r>
      <w:r w:rsidR="00971D69">
        <w:t xml:space="preserve">sector </w:t>
      </w:r>
      <w:r>
        <w:t xml:space="preserve">covering a multitude of elements. It is therefore useful to firstly agree on definitions and </w:t>
      </w:r>
      <w:r w:rsidR="00E53C5E">
        <w:t>classification of the</w:t>
      </w:r>
      <w:r>
        <w:t xml:space="preserve"> different types of actions.</w:t>
      </w:r>
      <w:r w:rsidR="002F022A">
        <w:t xml:space="preserve"> Within the EU</w:t>
      </w:r>
      <w:r w:rsidR="004C1967">
        <w:t>,</w:t>
      </w:r>
      <w:r w:rsidR="002F022A">
        <w:t xml:space="preserve"> ICT for development framework actions could fall within the three following categories:</w:t>
      </w:r>
    </w:p>
    <w:p w:rsidR="002348BB" w:rsidRDefault="0055742E" w:rsidP="00F94903">
      <w:pPr>
        <w:pStyle w:val="Heading3"/>
      </w:pPr>
      <w:bookmarkStart w:id="19" w:name="_Toc454294901"/>
      <w:r>
        <w:t>Supporting a d</w:t>
      </w:r>
      <w:r w:rsidR="00854DA9">
        <w:t>igital economy</w:t>
      </w:r>
      <w:bookmarkEnd w:id="19"/>
    </w:p>
    <w:p w:rsidR="006F7055" w:rsidRPr="006F7055" w:rsidRDefault="00366802" w:rsidP="00776C4E">
      <w:r>
        <w:t>A functioning digital economy</w:t>
      </w:r>
      <w:r w:rsidRPr="004A3ED7">
        <w:t xml:space="preserve"> </w:t>
      </w:r>
      <w:r w:rsidR="008E215F">
        <w:t>allows for and facilitates</w:t>
      </w:r>
      <w:r>
        <w:t xml:space="preserve"> further development of ICT services such as </w:t>
      </w:r>
      <w:r w:rsidRPr="004A3ED7">
        <w:t>mob</w:t>
      </w:r>
      <w:r>
        <w:t xml:space="preserve">ilising ICT as an enabling tool. </w:t>
      </w:r>
      <w:r w:rsidR="006F7055">
        <w:t>The main components of the digital economy are:</w:t>
      </w:r>
    </w:p>
    <w:p w:rsidR="006F7055" w:rsidRDefault="006F7055" w:rsidP="007E5D4D">
      <w:pPr>
        <w:pStyle w:val="ListParagraph"/>
        <w:numPr>
          <w:ilvl w:val="0"/>
          <w:numId w:val="6"/>
        </w:numPr>
        <w:contextualSpacing w:val="0"/>
      </w:pPr>
      <w:r w:rsidRPr="00CA6627">
        <w:rPr>
          <w:i/>
        </w:rPr>
        <w:t>Connectivity</w:t>
      </w:r>
      <w:r w:rsidR="00E53C5E" w:rsidRPr="00CA6627">
        <w:rPr>
          <w:i/>
        </w:rPr>
        <w:t>,</w:t>
      </w:r>
      <w:r w:rsidRPr="00CA6627">
        <w:rPr>
          <w:i/>
        </w:rPr>
        <w:t xml:space="preserve"> including cable and mobile broadband, </w:t>
      </w:r>
      <w:r w:rsidR="00C24905" w:rsidRPr="00CA6627">
        <w:rPr>
          <w:i/>
        </w:rPr>
        <w:t>internet exchange points</w:t>
      </w:r>
      <w:r w:rsidR="005D64BF" w:rsidRPr="00CA6627">
        <w:rPr>
          <w:i/>
        </w:rPr>
        <w:t>, d</w:t>
      </w:r>
      <w:r w:rsidR="00C24905" w:rsidRPr="00CA6627">
        <w:rPr>
          <w:i/>
        </w:rPr>
        <w:t>ata</w:t>
      </w:r>
      <w:r w:rsidR="005D64BF" w:rsidRPr="00CA6627">
        <w:rPr>
          <w:i/>
        </w:rPr>
        <w:t xml:space="preserve"> </w:t>
      </w:r>
      <w:r w:rsidR="00C24905" w:rsidRPr="00CA6627">
        <w:rPr>
          <w:i/>
        </w:rPr>
        <w:t>cent</w:t>
      </w:r>
      <w:r w:rsidR="005D64BF" w:rsidRPr="00CA6627">
        <w:rPr>
          <w:i/>
        </w:rPr>
        <w:t>res,</w:t>
      </w:r>
      <w:r w:rsidR="00C24905" w:rsidRPr="00CA6627">
        <w:rPr>
          <w:i/>
        </w:rPr>
        <w:t xml:space="preserve"> </w:t>
      </w:r>
      <w:r w:rsidRPr="00CA6627">
        <w:rPr>
          <w:i/>
        </w:rPr>
        <w:t>technology, p</w:t>
      </w:r>
      <w:r w:rsidR="00C143B7" w:rsidRPr="00CA6627">
        <w:rPr>
          <w:i/>
        </w:rPr>
        <w:t>o</w:t>
      </w:r>
      <w:r w:rsidR="007A387C" w:rsidRPr="00CA6627">
        <w:rPr>
          <w:i/>
        </w:rPr>
        <w:t>licy and regulatory frameworks</w:t>
      </w:r>
      <w:r w:rsidR="007A387C">
        <w:t>.</w:t>
      </w:r>
      <w:r w:rsidR="00C143B7">
        <w:t xml:space="preserve"> Infrastructure and connectivity frameworks provide the foundation</w:t>
      </w:r>
      <w:r w:rsidR="00D56C57">
        <w:t xml:space="preserve"> for ICT services to exist and as such</w:t>
      </w:r>
      <w:r w:rsidR="00E53C5E">
        <w:t>,</w:t>
      </w:r>
      <w:r w:rsidR="00D56C57">
        <w:t xml:space="preserve"> </w:t>
      </w:r>
      <w:r w:rsidR="00C702C5">
        <w:t xml:space="preserve">the uptake of </w:t>
      </w:r>
      <w:r w:rsidR="00D56C57">
        <w:t>digital tools and service</w:t>
      </w:r>
      <w:r w:rsidR="00C702C5">
        <w:t>s</w:t>
      </w:r>
      <w:r w:rsidR="00D56C57">
        <w:t xml:space="preserve"> </w:t>
      </w:r>
      <w:r w:rsidR="00E53C5E">
        <w:t>depends on the</w:t>
      </w:r>
      <w:r w:rsidR="00D56C57">
        <w:t xml:space="preserve"> level of connectivity </w:t>
      </w:r>
      <w:r w:rsidR="00E53C5E">
        <w:t>present in the area</w:t>
      </w:r>
      <w:r w:rsidR="00D56C57">
        <w:t xml:space="preserve">. </w:t>
      </w:r>
      <w:r w:rsidR="00776C4E" w:rsidRPr="00776C4E">
        <w:t xml:space="preserve">Broadband and improved </w:t>
      </w:r>
      <w:r w:rsidR="00E53C5E">
        <w:t>I</w:t>
      </w:r>
      <w:r w:rsidR="00E53C5E" w:rsidRPr="00776C4E">
        <w:t xml:space="preserve">nternet </w:t>
      </w:r>
      <w:r w:rsidR="00776C4E" w:rsidRPr="00776C4E">
        <w:t xml:space="preserve">access significantly increase the </w:t>
      </w:r>
      <w:r w:rsidR="00CF08AD">
        <w:t>positive externalities</w:t>
      </w:r>
      <w:r w:rsidR="00776C4E">
        <w:t xml:space="preserve"> of </w:t>
      </w:r>
      <w:r w:rsidR="001919EA">
        <w:t xml:space="preserve">the </w:t>
      </w:r>
      <w:r w:rsidR="00776C4E">
        <w:t>digital technology;</w:t>
      </w:r>
    </w:p>
    <w:p w:rsidR="00235A33" w:rsidRPr="006F7055" w:rsidRDefault="00235A33" w:rsidP="007E5D4D">
      <w:pPr>
        <w:pStyle w:val="ListParagraph"/>
        <w:numPr>
          <w:ilvl w:val="0"/>
          <w:numId w:val="6"/>
        </w:numPr>
        <w:contextualSpacing w:val="0"/>
      </w:pPr>
      <w:r w:rsidRPr="00CA6627">
        <w:rPr>
          <w:i/>
        </w:rPr>
        <w:t xml:space="preserve">Accountable </w:t>
      </w:r>
      <w:r w:rsidR="00435D9A" w:rsidRPr="00CA6627">
        <w:rPr>
          <w:i/>
        </w:rPr>
        <w:t xml:space="preserve">and strong </w:t>
      </w:r>
      <w:r w:rsidRPr="00CA6627">
        <w:rPr>
          <w:i/>
        </w:rPr>
        <w:t>institutions</w:t>
      </w:r>
      <w:r w:rsidR="00F4146D" w:rsidRPr="00CA6627">
        <w:rPr>
          <w:i/>
        </w:rPr>
        <w:t xml:space="preserve"> that issue laws and regulations </w:t>
      </w:r>
      <w:r w:rsidR="00435D9A" w:rsidRPr="00CA6627">
        <w:rPr>
          <w:i/>
        </w:rPr>
        <w:t xml:space="preserve">to </w:t>
      </w:r>
      <w:r w:rsidR="004C1127" w:rsidRPr="00CA6627">
        <w:rPr>
          <w:i/>
        </w:rPr>
        <w:t>ensure</w:t>
      </w:r>
      <w:r w:rsidR="00435D9A" w:rsidRPr="00CA6627">
        <w:rPr>
          <w:i/>
        </w:rPr>
        <w:t xml:space="preserve"> that gains and benefits are </w:t>
      </w:r>
      <w:r w:rsidR="00391066" w:rsidRPr="00CA6627">
        <w:rPr>
          <w:i/>
        </w:rPr>
        <w:t>equally distributed</w:t>
      </w:r>
      <w:r w:rsidR="007A387C" w:rsidRPr="00CA6627">
        <w:rPr>
          <w:i/>
        </w:rPr>
        <w:t>.</w:t>
      </w:r>
      <w:r w:rsidR="007A387C">
        <w:t xml:space="preserve"> The regulatory framework include</w:t>
      </w:r>
      <w:r w:rsidR="00E53C5E">
        <w:t>s</w:t>
      </w:r>
      <w:r w:rsidR="007A387C">
        <w:t xml:space="preserve"> aspects such as </w:t>
      </w:r>
      <w:r w:rsidR="007A387C" w:rsidRPr="007A387C">
        <w:t>cybersecurity, privacy protection, digital identity, platform regulation, price regulation</w:t>
      </w:r>
      <w:r w:rsidR="007A387C">
        <w:t xml:space="preserve"> and</w:t>
      </w:r>
      <w:r w:rsidR="007A387C" w:rsidRPr="007A387C">
        <w:t xml:space="preserve"> competition</w:t>
      </w:r>
      <w:r w:rsidR="007A387C">
        <w:t xml:space="preserve"> and </w:t>
      </w:r>
      <w:r w:rsidR="007A387C" w:rsidRPr="007A387C">
        <w:t xml:space="preserve">pro-innovation </w:t>
      </w:r>
      <w:r w:rsidR="007A387C">
        <w:t>law</w:t>
      </w:r>
      <w:r w:rsidR="00391066">
        <w:t>;</w:t>
      </w:r>
    </w:p>
    <w:p w:rsidR="006F7055" w:rsidRDefault="006F7055" w:rsidP="007E5D4D">
      <w:pPr>
        <w:pStyle w:val="ListParagraph"/>
        <w:numPr>
          <w:ilvl w:val="0"/>
          <w:numId w:val="6"/>
        </w:numPr>
        <w:contextualSpacing w:val="0"/>
      </w:pPr>
      <w:r w:rsidRPr="00CA6627">
        <w:rPr>
          <w:i/>
        </w:rPr>
        <w:t>Digital skills and digital literacy to enable economic participants to take full advantage of digital gains and opportunities</w:t>
      </w:r>
      <w:r w:rsidR="00E53C5E">
        <w:t>.</w:t>
      </w:r>
      <w:r w:rsidR="00C143B7">
        <w:t xml:space="preserve"> </w:t>
      </w:r>
      <w:r w:rsidR="00C143B7" w:rsidRPr="006F7055">
        <w:t>In order to fully reap the benefits of digitalisation</w:t>
      </w:r>
      <w:r w:rsidR="00E53C5E">
        <w:t>,</w:t>
      </w:r>
      <w:r w:rsidR="00C143B7" w:rsidRPr="006F7055">
        <w:t xml:space="preserve"> economies need to be equipped with the right resources, skills, frameworks and infrastructure. These </w:t>
      </w:r>
      <w:r w:rsidR="0014199D">
        <w:t>together with the institutions and regulatory frameworks make up the</w:t>
      </w:r>
      <w:r w:rsidR="00C143B7" w:rsidRPr="006F7055">
        <w:t xml:space="preserve"> ‘analogue complements’ to technology</w:t>
      </w:r>
      <w:r w:rsidR="00C143B7">
        <w:t xml:space="preserve">. </w:t>
      </w:r>
    </w:p>
    <w:p w:rsidR="00C143B7" w:rsidRDefault="006F7055" w:rsidP="007E5D4D">
      <w:pPr>
        <w:pStyle w:val="ListParagraph"/>
        <w:numPr>
          <w:ilvl w:val="0"/>
          <w:numId w:val="6"/>
        </w:numPr>
        <w:contextualSpacing w:val="0"/>
      </w:pPr>
      <w:r w:rsidRPr="00CA6627">
        <w:rPr>
          <w:i/>
        </w:rPr>
        <w:t>Digital entrepreneurships that contribute to inno</w:t>
      </w:r>
      <w:r w:rsidR="00C143B7" w:rsidRPr="00CA6627">
        <w:rPr>
          <w:i/>
        </w:rPr>
        <w:t>vation, job creation and growth</w:t>
      </w:r>
      <w:r w:rsidR="00E53C5E" w:rsidRPr="00CA6627">
        <w:rPr>
          <w:i/>
        </w:rPr>
        <w:t>.</w:t>
      </w:r>
      <w:r w:rsidR="00C143B7">
        <w:t xml:space="preserve"> Digital entrepreneurships are results of </w:t>
      </w:r>
      <w:r w:rsidR="005A1004">
        <w:t xml:space="preserve">analogue complements i.e. </w:t>
      </w:r>
      <w:r w:rsidR="003B330F">
        <w:t>enabling environment</w:t>
      </w:r>
      <w:r w:rsidR="005A1004">
        <w:t>s</w:t>
      </w:r>
      <w:r w:rsidR="003B330F">
        <w:t xml:space="preserve"> conducive to innovation and skills development</w:t>
      </w:r>
      <w:r w:rsidR="00C143B7">
        <w:t>.</w:t>
      </w:r>
    </w:p>
    <w:p w:rsidR="002348BB" w:rsidRPr="00C543F3" w:rsidRDefault="002348BB" w:rsidP="00F94903">
      <w:pPr>
        <w:pStyle w:val="Heading3"/>
      </w:pPr>
      <w:bookmarkStart w:id="20" w:name="_Toc447554843"/>
      <w:bookmarkStart w:id="21" w:name="_Toc454294902"/>
      <w:r w:rsidRPr="003D22D1">
        <w:t>ICT as a cross-sectoral enabler</w:t>
      </w:r>
      <w:r w:rsidRPr="00C543F3">
        <w:t>:</w:t>
      </w:r>
      <w:bookmarkEnd w:id="20"/>
      <w:bookmarkEnd w:id="21"/>
    </w:p>
    <w:p w:rsidR="002348BB" w:rsidRDefault="002348BB" w:rsidP="007E5D4D">
      <w:pPr>
        <w:pStyle w:val="ListParagraph"/>
        <w:numPr>
          <w:ilvl w:val="0"/>
          <w:numId w:val="7"/>
        </w:numPr>
        <w:contextualSpacing w:val="0"/>
      </w:pPr>
      <w:r>
        <w:t xml:space="preserve">This definition refers to ICT activities embedded in other types of sector support. For example, ICT can be one of many components in a project supporting sectors such as governance, water, climate </w:t>
      </w:r>
      <w:r w:rsidR="0051479A">
        <w:t xml:space="preserve">change </w:t>
      </w:r>
      <w:r>
        <w:t>etc. ICT in this context is viewed as an enab</w:t>
      </w:r>
      <w:r w:rsidR="0039530A">
        <w:t>ler.</w:t>
      </w:r>
    </w:p>
    <w:p w:rsidR="00A760D7" w:rsidRDefault="00A760D7" w:rsidP="007E5D4D">
      <w:pPr>
        <w:pStyle w:val="ListParagraph"/>
        <w:numPr>
          <w:ilvl w:val="0"/>
          <w:numId w:val="7"/>
        </w:numPr>
        <w:ind w:left="641" w:hanging="357"/>
        <w:contextualSpacing w:val="0"/>
      </w:pPr>
      <w:r>
        <w:t xml:space="preserve">As stated above, </w:t>
      </w:r>
      <w:r w:rsidR="00084FBC">
        <w:t xml:space="preserve">the existing level of connectivity and affordability should be assessed when considering the introduction of </w:t>
      </w:r>
      <w:r w:rsidR="002348BB">
        <w:t>cross-sectoral aspect</w:t>
      </w:r>
      <w:r w:rsidR="00084FBC">
        <w:t>s</w:t>
      </w:r>
      <w:r w:rsidR="002348BB">
        <w:t xml:space="preserve"> of ICT</w:t>
      </w:r>
      <w:r w:rsidR="00471F2A">
        <w:t xml:space="preserve"> in order to find out what other areas </w:t>
      </w:r>
      <w:r w:rsidR="00107EB5">
        <w:t xml:space="preserve">may </w:t>
      </w:r>
      <w:r w:rsidR="00471F2A">
        <w:t>need strengthening</w:t>
      </w:r>
      <w:r w:rsidR="002348BB">
        <w:t>.</w:t>
      </w:r>
      <w:r w:rsidR="00F85162">
        <w:t xml:space="preserve"> </w:t>
      </w:r>
      <w:r w:rsidR="00E15783">
        <w:t xml:space="preserve">Broadband and the improved </w:t>
      </w:r>
      <w:r w:rsidR="00E53C5E">
        <w:t>I</w:t>
      </w:r>
      <w:r w:rsidR="00E15783">
        <w:t xml:space="preserve">nternet access that it brings, significantly </w:t>
      </w:r>
      <w:r w:rsidR="00E53C5E">
        <w:t xml:space="preserve">boost </w:t>
      </w:r>
      <w:r w:rsidR="00E15783">
        <w:t xml:space="preserve">access to digital services. </w:t>
      </w:r>
      <w:r w:rsidR="00F85162">
        <w:t>However</w:t>
      </w:r>
      <w:r w:rsidR="00E53C5E">
        <w:t>,</w:t>
      </w:r>
      <w:r w:rsidR="00F85162">
        <w:t xml:space="preserve"> it is important to note that </w:t>
      </w:r>
      <w:r w:rsidR="00E35E14">
        <w:t>the c</w:t>
      </w:r>
      <w:r w:rsidR="00471F2A">
        <w:t>ross-sectoral</w:t>
      </w:r>
      <w:r w:rsidR="00F85162">
        <w:t xml:space="preserve"> mechanism functions even when broadband capacity is relatively low. </w:t>
      </w:r>
      <w:r>
        <w:t xml:space="preserve">To date </w:t>
      </w:r>
      <w:r w:rsidRPr="00F85162">
        <w:t xml:space="preserve">most innovative services </w:t>
      </w:r>
      <w:r>
        <w:t xml:space="preserve">in the developing world are based on </w:t>
      </w:r>
      <w:r w:rsidRPr="00F85162">
        <w:t>SMS or 2G technology.</w:t>
      </w:r>
    </w:p>
    <w:p w:rsidR="002348BB" w:rsidRDefault="002348BB" w:rsidP="007E5D4D">
      <w:pPr>
        <w:pStyle w:val="ListParagraph"/>
        <w:numPr>
          <w:ilvl w:val="0"/>
          <w:numId w:val="7"/>
        </w:numPr>
        <w:ind w:left="641" w:hanging="357"/>
        <w:contextualSpacing w:val="0"/>
      </w:pPr>
      <w:r>
        <w:t xml:space="preserve">The ICT enabling function is difficult to monitor in development interventions because ICT is not the main topic or sector and as such it is not </w:t>
      </w:r>
      <w:r w:rsidR="00351097">
        <w:t xml:space="preserve">fully </w:t>
      </w:r>
      <w:r>
        <w:t xml:space="preserve">captured within monitoring data or its impact may </w:t>
      </w:r>
      <w:r w:rsidR="00351097">
        <w:t>be convoluted by other factors.</w:t>
      </w:r>
    </w:p>
    <w:p w:rsidR="002C5C71" w:rsidRDefault="002348BB" w:rsidP="007E5D4D">
      <w:pPr>
        <w:pStyle w:val="ListParagraph"/>
        <w:numPr>
          <w:ilvl w:val="0"/>
          <w:numId w:val="7"/>
        </w:numPr>
        <w:ind w:left="641" w:hanging="357"/>
        <w:contextualSpacing w:val="0"/>
      </w:pPr>
      <w:r w:rsidRPr="004E2845">
        <w:t xml:space="preserve">In this regard, ICT </w:t>
      </w:r>
      <w:r>
        <w:t>does not feature a</w:t>
      </w:r>
      <w:r w:rsidRPr="004E2845">
        <w:t xml:space="preserve">s a sector </w:t>
      </w:r>
      <w:r>
        <w:t>or topic</w:t>
      </w:r>
      <w:r w:rsidRPr="004E2845">
        <w:t xml:space="preserve"> in its own right</w:t>
      </w:r>
      <w:r w:rsidR="005F7E9D">
        <w:t>, but as</w:t>
      </w:r>
      <w:r>
        <w:t xml:space="preserve"> a cross-sectoral tool.</w:t>
      </w:r>
      <w:r w:rsidR="003F214B">
        <w:t xml:space="preserve"> </w:t>
      </w:r>
      <w:r w:rsidRPr="004E2845">
        <w:t>ICT behaves different</w:t>
      </w:r>
      <w:r w:rsidR="00C61D48">
        <w:t>ly</w:t>
      </w:r>
      <w:r w:rsidRPr="004E2845">
        <w:t xml:space="preserve"> </w:t>
      </w:r>
      <w:r w:rsidR="00C75DE4">
        <w:t xml:space="preserve">in the sense that it is not an </w:t>
      </w:r>
      <w:r w:rsidR="0060449D">
        <w:t>end in itself -</w:t>
      </w:r>
      <w:r>
        <w:t xml:space="preserve"> ICT becomes the enabler</w:t>
      </w:r>
      <w:r w:rsidRPr="004E2845">
        <w:t>.</w:t>
      </w:r>
    </w:p>
    <w:p w:rsidR="002348BB" w:rsidRDefault="00893792" w:rsidP="007E5D4D">
      <w:pPr>
        <w:pStyle w:val="ListParagraph"/>
        <w:numPr>
          <w:ilvl w:val="0"/>
          <w:numId w:val="7"/>
        </w:numPr>
      </w:pPr>
      <w:r>
        <w:t>Compared to achieving connectivity, the introduction of cross-sectoral ICT is often less labour and capital intensive and requires less preparation,</w:t>
      </w:r>
      <w:r>
        <w:rPr>
          <w:rStyle w:val="CommentReference"/>
        </w:rPr>
        <w:t xml:space="preserve"> </w:t>
      </w:r>
      <w:r w:rsidRPr="00F351B9">
        <w:t xml:space="preserve">but </w:t>
      </w:r>
      <w:r>
        <w:t xml:space="preserve">during </w:t>
      </w:r>
      <w:r w:rsidRPr="00F351B9">
        <w:t xml:space="preserve">implementation </w:t>
      </w:r>
      <w:r>
        <w:t xml:space="preserve">it </w:t>
      </w:r>
      <w:r w:rsidRPr="00F351B9">
        <w:t xml:space="preserve">may encounter higher </w:t>
      </w:r>
      <w:r>
        <w:t xml:space="preserve">risks of </w:t>
      </w:r>
      <w:r w:rsidRPr="00F351B9">
        <w:t>failure</w:t>
      </w:r>
      <w:r>
        <w:t xml:space="preserve">. </w:t>
      </w:r>
      <w:r w:rsidR="00966075">
        <w:t xml:space="preserve">Due to ICT’s </w:t>
      </w:r>
      <w:r w:rsidR="00966075" w:rsidRPr="00893792">
        <w:t>inherent</w:t>
      </w:r>
      <w:r w:rsidR="00966075">
        <w:t xml:space="preserve"> characteristic of innovation, </w:t>
      </w:r>
      <w:r w:rsidRPr="00893792">
        <w:t>while some projects may already benefit from industry best practice and standards</w:t>
      </w:r>
      <w:r>
        <w:t>,</w:t>
      </w:r>
      <w:r w:rsidRPr="00893792">
        <w:t xml:space="preserve"> </w:t>
      </w:r>
      <w:r>
        <w:t xml:space="preserve">new upcoming areas may require a </w:t>
      </w:r>
      <w:r w:rsidRPr="00893792">
        <w:t>trial and error</w:t>
      </w:r>
      <w:r>
        <w:t xml:space="preserve"> approach. </w:t>
      </w:r>
      <w:r w:rsidR="00704184">
        <w:t xml:space="preserve">The local political and development context </w:t>
      </w:r>
      <w:r w:rsidR="00220EA9">
        <w:t>plays an important role while determining</w:t>
      </w:r>
      <w:r w:rsidR="002633CC">
        <w:t xml:space="preserve"> risk of failure.</w:t>
      </w:r>
    </w:p>
    <w:p w:rsidR="002348BB" w:rsidRPr="003D22D1" w:rsidRDefault="002348BB" w:rsidP="00F94903">
      <w:pPr>
        <w:pStyle w:val="Heading3"/>
      </w:pPr>
      <w:bookmarkStart w:id="22" w:name="_Toc447554844"/>
      <w:bookmarkStart w:id="23" w:name="_Toc454294903"/>
      <w:r w:rsidRPr="003D22D1">
        <w:t>ICT as an internal tool</w:t>
      </w:r>
      <w:bookmarkEnd w:id="22"/>
      <w:r w:rsidR="00E05B67">
        <w:t xml:space="preserve"> within development cooperation institutions</w:t>
      </w:r>
      <w:bookmarkEnd w:id="23"/>
    </w:p>
    <w:p w:rsidR="002348BB" w:rsidRDefault="002348BB" w:rsidP="007E5D4D">
      <w:pPr>
        <w:pStyle w:val="ListParagraph"/>
        <w:numPr>
          <w:ilvl w:val="0"/>
          <w:numId w:val="8"/>
        </w:numPr>
      </w:pPr>
      <w:r>
        <w:t xml:space="preserve">ICT </w:t>
      </w:r>
      <w:r w:rsidR="002621BD">
        <w:t>should be a key</w:t>
      </w:r>
      <w:r>
        <w:t xml:space="preserve"> tool within an organisation for better service delivery and outcomes.</w:t>
      </w:r>
      <w:r w:rsidR="00090016" w:rsidRPr="00090016">
        <w:t xml:space="preserve"> </w:t>
      </w:r>
      <w:r w:rsidR="00093088">
        <w:t xml:space="preserve">In line with </w:t>
      </w:r>
      <w:r w:rsidR="00984699">
        <w:t>initiatives</w:t>
      </w:r>
      <w:r w:rsidR="00984699" w:rsidRPr="00090016">
        <w:t xml:space="preserve"> </w:t>
      </w:r>
      <w:r w:rsidR="00984699">
        <w:t xml:space="preserve">on </w:t>
      </w:r>
      <w:r w:rsidR="00093088" w:rsidRPr="00090016">
        <w:t xml:space="preserve">open data and </w:t>
      </w:r>
      <w:r w:rsidR="00984699">
        <w:t xml:space="preserve">open </w:t>
      </w:r>
      <w:r w:rsidR="00093088" w:rsidRPr="00090016">
        <w:t>government</w:t>
      </w:r>
      <w:r w:rsidR="00984699">
        <w:t>,</w:t>
      </w:r>
      <w:r w:rsidR="00093088">
        <w:t xml:space="preserve"> </w:t>
      </w:r>
      <w:r w:rsidR="00090016">
        <w:t xml:space="preserve">ICT </w:t>
      </w:r>
      <w:r w:rsidR="00984699">
        <w:t xml:space="preserve">can contribute to the </w:t>
      </w:r>
      <w:r w:rsidR="00093088">
        <w:t>deliver</w:t>
      </w:r>
      <w:r w:rsidR="00984699">
        <w:t xml:space="preserve">y of </w:t>
      </w:r>
      <w:r w:rsidR="00093088">
        <w:t>mo</w:t>
      </w:r>
      <w:r w:rsidR="00090016" w:rsidRPr="00090016">
        <w:t xml:space="preserve">re </w:t>
      </w:r>
      <w:r w:rsidR="00093088">
        <w:t>transparent</w:t>
      </w:r>
      <w:r w:rsidR="00090016" w:rsidRPr="00090016">
        <w:t xml:space="preserve">, accountable and </w:t>
      </w:r>
      <w:r w:rsidR="00093088">
        <w:t>inclusive outcomes in</w:t>
      </w:r>
      <w:r w:rsidR="00090016" w:rsidRPr="00090016">
        <w:t xml:space="preserve"> development work</w:t>
      </w:r>
      <w:r w:rsidR="00494597">
        <w:t xml:space="preserve"> and elsewhere</w:t>
      </w:r>
      <w:r w:rsidR="00093088">
        <w:t>.</w:t>
      </w:r>
    </w:p>
    <w:p w:rsidR="0034223B" w:rsidRDefault="00A404A1" w:rsidP="007E5D4D">
      <w:pPr>
        <w:numPr>
          <w:ilvl w:val="0"/>
          <w:numId w:val="8"/>
        </w:numPr>
        <w:contextualSpacing/>
      </w:pPr>
      <w:r>
        <w:t xml:space="preserve">Institutional IT systems and </w:t>
      </w:r>
      <w:r w:rsidR="00104622">
        <w:t>databases are usually</w:t>
      </w:r>
      <w:r>
        <w:t xml:space="preserve"> </w:t>
      </w:r>
      <w:r w:rsidR="00E66D3F">
        <w:t>focused</w:t>
      </w:r>
      <w:r>
        <w:t xml:space="preserve"> essentially on the contractual and financial management aspects. The knowledge management function is often left behind. ICT can assist with improving this function.</w:t>
      </w:r>
    </w:p>
    <w:p w:rsidR="002348BB" w:rsidRDefault="0034223B" w:rsidP="007E5D4D">
      <w:pPr>
        <w:pStyle w:val="ListParagraph"/>
        <w:numPr>
          <w:ilvl w:val="0"/>
          <w:numId w:val="8"/>
        </w:numPr>
      </w:pPr>
      <w:r>
        <w:t xml:space="preserve">Within project management and design ICT has countless areas of application e.g. </w:t>
      </w:r>
      <w:r w:rsidR="00DD2A17">
        <w:t>improving the use of data (big data, statistics, mobile data collection, surveys etc.)</w:t>
      </w:r>
      <w:r w:rsidRPr="0034223B">
        <w:t xml:space="preserve">, technical </w:t>
      </w:r>
      <w:r>
        <w:t xml:space="preserve">design, performance monitoring and </w:t>
      </w:r>
      <w:r w:rsidRPr="0034223B">
        <w:t>impact evaluation</w:t>
      </w:r>
      <w:r>
        <w:t>.</w:t>
      </w:r>
    </w:p>
    <w:p w:rsidR="002348BB" w:rsidRDefault="002348BB" w:rsidP="002348BB">
      <w:pPr>
        <w:pStyle w:val="ListParagraph"/>
        <w:ind w:left="644"/>
      </w:pPr>
    </w:p>
    <w:p w:rsidR="002348BB" w:rsidRDefault="002348BB" w:rsidP="007E5D4D">
      <w:pPr>
        <w:pStyle w:val="ListParagraph"/>
        <w:numPr>
          <w:ilvl w:val="0"/>
          <w:numId w:val="8"/>
        </w:numPr>
      </w:pPr>
      <w:r>
        <w:t xml:space="preserve">Digitalisation can assist with implementing more </w:t>
      </w:r>
      <w:r w:rsidR="00201AD8">
        <w:t>dynamic</w:t>
      </w:r>
      <w:r>
        <w:t xml:space="preserve"> solutions to project ident</w:t>
      </w:r>
      <w:r w:rsidR="001730D2">
        <w:t>ification, piloting and scaling-</w:t>
      </w:r>
      <w:r>
        <w:t xml:space="preserve">up </w:t>
      </w:r>
      <w:r w:rsidR="001730D2">
        <w:t xml:space="preserve">of </w:t>
      </w:r>
      <w:r>
        <w:t>initiatives</w:t>
      </w:r>
      <w:r w:rsidR="00822B03">
        <w:t xml:space="preserve"> that are different to the traditional ways of programming</w:t>
      </w:r>
      <w:r>
        <w:t>. In order to realise the full potential of innovative</w:t>
      </w:r>
      <w:r w:rsidRPr="0003375E">
        <w:t xml:space="preserve"> </w:t>
      </w:r>
      <w:r>
        <w:t xml:space="preserve">interventions, a </w:t>
      </w:r>
      <w:r w:rsidR="00601672">
        <w:t>more flexible</w:t>
      </w:r>
      <w:r w:rsidR="00E24AF8">
        <w:t xml:space="preserve"> </w:t>
      </w:r>
      <w:r>
        <w:t>approach may be required</w:t>
      </w:r>
      <w:r w:rsidR="00601672">
        <w:t xml:space="preserve"> offering a range of alternatives</w:t>
      </w:r>
      <w:r>
        <w:t>.</w:t>
      </w:r>
    </w:p>
    <w:p w:rsidR="002C5CB6" w:rsidRDefault="002C5CB6" w:rsidP="002C5CB6">
      <w:pPr>
        <w:pStyle w:val="ListParagraph"/>
      </w:pPr>
    </w:p>
    <w:p w:rsidR="002C5CB6" w:rsidRDefault="002C5CB6" w:rsidP="007E5D4D">
      <w:pPr>
        <w:pStyle w:val="ListParagraph"/>
        <w:widowControl/>
        <w:numPr>
          <w:ilvl w:val="0"/>
          <w:numId w:val="8"/>
        </w:numPr>
        <w:spacing w:after="120"/>
        <w:contextualSpacing w:val="0"/>
        <w:jc w:val="left"/>
      </w:pPr>
      <w:r>
        <w:t xml:space="preserve">The </w:t>
      </w:r>
      <w:r w:rsidR="001F6EB5">
        <w:t xml:space="preserve">specific </w:t>
      </w:r>
      <w:r>
        <w:t>appl</w:t>
      </w:r>
      <w:r w:rsidR="001F6EB5">
        <w:t>ication of b</w:t>
      </w:r>
      <w:r w:rsidR="00B41388">
        <w:t xml:space="preserve">ig data within the </w:t>
      </w:r>
      <w:r>
        <w:t>project management cycle</w:t>
      </w:r>
      <w:r w:rsidR="001F6EB5">
        <w:t xml:space="preserve"> may</w:t>
      </w:r>
      <w:r>
        <w:t xml:space="preserve"> include:</w:t>
      </w:r>
    </w:p>
    <w:p w:rsidR="002C5CB6" w:rsidRDefault="002C5CB6" w:rsidP="007E5D4D">
      <w:pPr>
        <w:pStyle w:val="ListParagraph"/>
        <w:widowControl/>
        <w:numPr>
          <w:ilvl w:val="0"/>
          <w:numId w:val="11"/>
        </w:numPr>
        <w:spacing w:after="120"/>
        <w:ind w:left="1361" w:hanging="357"/>
        <w:contextualSpacing w:val="0"/>
        <w:jc w:val="left"/>
      </w:pPr>
      <w:r w:rsidRPr="00CA6627">
        <w:rPr>
          <w:i/>
        </w:rPr>
        <w:t>Design of new projects based on real time needs</w:t>
      </w:r>
      <w:r w:rsidR="00B41388" w:rsidRPr="00CA6627">
        <w:rPr>
          <w:i/>
        </w:rPr>
        <w:t xml:space="preserve"> and beneficiary feedback.</w:t>
      </w:r>
      <w:r w:rsidR="00B41388">
        <w:t xml:space="preserve"> Project design may</w:t>
      </w:r>
      <w:r w:rsidR="00193FEA">
        <w:t xml:space="preserve"> </w:t>
      </w:r>
      <w:r w:rsidR="00B41388">
        <w:t xml:space="preserve">be improved </w:t>
      </w:r>
      <w:r w:rsidR="00193FEA">
        <w:t xml:space="preserve">and made </w:t>
      </w:r>
      <w:r w:rsidR="00B41388">
        <w:t>more efficient through impact forecast</w:t>
      </w:r>
      <w:r w:rsidR="00193FEA">
        <w:t>ing,</w:t>
      </w:r>
      <w:r w:rsidR="00B41388">
        <w:t xml:space="preserve"> simulation of different theories of change and selection of best option</w:t>
      </w:r>
      <w:r w:rsidR="00193FEA">
        <w:t>s</w:t>
      </w:r>
      <w:r w:rsidR="000A4E11">
        <w:t>. This approach would be most useful to projects containing a digital component</w:t>
      </w:r>
      <w:r w:rsidR="00B41388">
        <w:t>;</w:t>
      </w:r>
    </w:p>
    <w:p w:rsidR="002C5CB6" w:rsidRDefault="002C5CB6" w:rsidP="007E5D4D">
      <w:pPr>
        <w:pStyle w:val="ListParagraph"/>
        <w:widowControl/>
        <w:numPr>
          <w:ilvl w:val="0"/>
          <w:numId w:val="11"/>
        </w:numPr>
        <w:spacing w:after="120"/>
        <w:ind w:left="1361" w:hanging="357"/>
        <w:contextualSpacing w:val="0"/>
        <w:jc w:val="left"/>
      </w:pPr>
      <w:r w:rsidRPr="00CA6627">
        <w:rPr>
          <w:i/>
        </w:rPr>
        <w:t>Project implementation monitoring</w:t>
      </w:r>
      <w:r w:rsidRPr="00E53C5E">
        <w:t>: more tim</w:t>
      </w:r>
      <w:r w:rsidR="00B41388" w:rsidRPr="00E53C5E">
        <w:t>ely feedback fr</w:t>
      </w:r>
      <w:r w:rsidRPr="00E53C5E">
        <w:t>om end users</w:t>
      </w:r>
      <w:r w:rsidR="00B41388">
        <w:t>;</w:t>
      </w:r>
    </w:p>
    <w:p w:rsidR="007066FF" w:rsidRDefault="002C5CB6" w:rsidP="007E5D4D">
      <w:pPr>
        <w:pStyle w:val="ListParagraph"/>
        <w:widowControl/>
        <w:numPr>
          <w:ilvl w:val="0"/>
          <w:numId w:val="11"/>
        </w:numPr>
        <w:spacing w:after="120"/>
        <w:ind w:left="1361" w:hanging="357"/>
        <w:contextualSpacing w:val="0"/>
        <w:jc w:val="left"/>
      </w:pPr>
      <w:r w:rsidRPr="00CA6627">
        <w:rPr>
          <w:i/>
        </w:rPr>
        <w:t>Budget efficiency:</w:t>
      </w:r>
      <w:r>
        <w:t xml:space="preserve"> data collection could allow </w:t>
      </w:r>
      <w:r w:rsidR="00201CEF">
        <w:t xml:space="preserve">for a more efficient and dynamic </w:t>
      </w:r>
      <w:r w:rsidR="00FE4F98">
        <w:t xml:space="preserve">results-based </w:t>
      </w:r>
      <w:r w:rsidR="00201CEF">
        <w:t>allocation of</w:t>
      </w:r>
      <w:r>
        <w:t xml:space="preserve"> funds within a project</w:t>
      </w:r>
      <w:r w:rsidR="00B41388">
        <w:t>.</w:t>
      </w:r>
    </w:p>
    <w:p w:rsidR="002348BB" w:rsidRPr="00565E5E" w:rsidRDefault="002348BB" w:rsidP="00F94903">
      <w:pPr>
        <w:pStyle w:val="Heading2"/>
      </w:pPr>
      <w:bookmarkStart w:id="24" w:name="_Toc454294904"/>
      <w:r w:rsidRPr="003D22D1">
        <w:t xml:space="preserve">Conclusions regarding the progress of </w:t>
      </w:r>
      <w:r>
        <w:t xml:space="preserve">the </w:t>
      </w:r>
      <w:r w:rsidRPr="003D22D1">
        <w:t>C</w:t>
      </w:r>
      <w:r>
        <w:t>ommission</w:t>
      </w:r>
      <w:r w:rsidRPr="003D22D1">
        <w:t xml:space="preserve"> and other </w:t>
      </w:r>
      <w:r>
        <w:t>EU</w:t>
      </w:r>
      <w:r w:rsidRPr="003D22D1">
        <w:t>MS</w:t>
      </w:r>
      <w:bookmarkEnd w:id="24"/>
    </w:p>
    <w:p w:rsidR="00545FB5" w:rsidRDefault="00545FB5" w:rsidP="00F94903">
      <w:pPr>
        <w:pStyle w:val="Heading3"/>
      </w:pPr>
      <w:bookmarkStart w:id="25" w:name="_Toc454294905"/>
      <w:r>
        <w:t>The Commission</w:t>
      </w:r>
      <w:bookmarkEnd w:id="25"/>
    </w:p>
    <w:p w:rsidR="002348BB" w:rsidRDefault="002348BB" w:rsidP="008A1535">
      <w:r>
        <w:t xml:space="preserve">The adoption of </w:t>
      </w:r>
      <w:r w:rsidR="009A51EC">
        <w:t xml:space="preserve">the </w:t>
      </w:r>
      <w:r>
        <w:t xml:space="preserve">2030 UN Agenda for Sustainable Development in September 2015, and the linkage to ICT made by the </w:t>
      </w:r>
      <w:r w:rsidR="008A1535">
        <w:t>WSIS+10 review</w:t>
      </w:r>
      <w:r>
        <w:t xml:space="preserve"> in December 2015, highlights the importance of ICT and digitalisation. The digital dividend was also the subject of the 2016 World Development Report. </w:t>
      </w:r>
    </w:p>
    <w:p w:rsidR="002348BB" w:rsidRDefault="002348BB" w:rsidP="00265742">
      <w:r>
        <w:t>The implementation</w:t>
      </w:r>
      <w:r w:rsidR="009A51EC">
        <w:t xml:space="preserve"> of the 2030 Development Agenda and the SDGs will certainly bring out</w:t>
      </w:r>
      <w:r>
        <w:t xml:space="preserve"> new areas of interests and the dialogue with stakeholders, both in the EU and in our partner countries, </w:t>
      </w:r>
      <w:r w:rsidR="009A51EC">
        <w:t xml:space="preserve">is expected to highlight </w:t>
      </w:r>
      <w:r w:rsidR="00F965BB">
        <w:t>new</w:t>
      </w:r>
      <w:r>
        <w:t xml:space="preserve"> needs resulting in new requests and additional pressure to </w:t>
      </w:r>
      <w:r w:rsidR="00F965BB">
        <w:t xml:space="preserve">carry out further </w:t>
      </w:r>
      <w:r>
        <w:t xml:space="preserve">work </w:t>
      </w:r>
      <w:r w:rsidR="001F0EC7">
        <w:t>in</w:t>
      </w:r>
      <w:r>
        <w:t xml:space="preserve"> </w:t>
      </w:r>
      <w:r w:rsidR="00F965BB">
        <w:t xml:space="preserve">the field of </w:t>
      </w:r>
      <w:r w:rsidR="009A51EC">
        <w:t>ICT</w:t>
      </w:r>
      <w:r>
        <w:t xml:space="preserve">. </w:t>
      </w:r>
      <w:r w:rsidR="00265742">
        <w:t>Development partnership networks</w:t>
      </w:r>
      <w:r w:rsidR="00265742" w:rsidRPr="00265742">
        <w:t xml:space="preserve"> </w:t>
      </w:r>
      <w:r w:rsidR="00265742">
        <w:t xml:space="preserve">working in the ICT4DEV field, </w:t>
      </w:r>
      <w:r w:rsidR="00265742" w:rsidRPr="00265742">
        <w:t>such as PARIS21, the Global Partnership on Sustainable Data, or the Partnership for Open Government could also provide guidance</w:t>
      </w:r>
      <w:r w:rsidR="00265742">
        <w:t xml:space="preserve">. </w:t>
      </w:r>
      <w:r>
        <w:t>Consequently</w:t>
      </w:r>
      <w:r w:rsidR="00F965BB">
        <w:t>,</w:t>
      </w:r>
      <w:r>
        <w:t xml:space="preserve"> t</w:t>
      </w:r>
      <w:r w:rsidR="001F0EC7">
        <w:t xml:space="preserve">he Commission could consider </w:t>
      </w:r>
      <w:r>
        <w:t>review</w:t>
      </w:r>
      <w:r w:rsidR="001F0EC7">
        <w:t>ing</w:t>
      </w:r>
      <w:r>
        <w:t xml:space="preserve"> its development policy framework in order to take account of all these important changes.</w:t>
      </w:r>
    </w:p>
    <w:p w:rsidR="002348BB" w:rsidRPr="0060449D" w:rsidRDefault="002348BB" w:rsidP="002348BB">
      <w:r>
        <w:t xml:space="preserve">Indeed, for the Commission, the absence of a comprehensive development strategy on ICT coupled with the limited resources </w:t>
      </w:r>
      <w:r w:rsidRPr="0060449D">
        <w:t xml:space="preserve">allocated to the sector is particularly striking while </w:t>
      </w:r>
      <w:r w:rsidR="00256238" w:rsidRPr="0060449D">
        <w:t xml:space="preserve">compared to </w:t>
      </w:r>
      <w:r w:rsidRPr="0060449D">
        <w:t xml:space="preserve">the EU Digital </w:t>
      </w:r>
      <w:r w:rsidR="00256238" w:rsidRPr="0060449D">
        <w:t xml:space="preserve">Single </w:t>
      </w:r>
      <w:r w:rsidRPr="0060449D">
        <w:t>Market Strategy, which constitute</w:t>
      </w:r>
      <w:r w:rsidR="00E53C5E" w:rsidRPr="0060449D">
        <w:t>s</w:t>
      </w:r>
      <w:r w:rsidRPr="0060449D">
        <w:t xml:space="preserve"> a very clear framework with a clear implementation strategy. So while the EU is progressing well at home with its digital strategy, there is scope to do a lot more in terms of the impact of digitalisation on development cooperation. </w:t>
      </w:r>
    </w:p>
    <w:p w:rsidR="000969FB" w:rsidRDefault="002A6BD1" w:rsidP="00A166D5">
      <w:r w:rsidRPr="0060449D">
        <w:t>Despite the absence of a clear strategy</w:t>
      </w:r>
      <w:r w:rsidR="00971D69" w:rsidRPr="0060449D">
        <w:t xml:space="preserve"> for ICT in development cooperation</w:t>
      </w:r>
      <w:r w:rsidRPr="0060449D">
        <w:t xml:space="preserve">, </w:t>
      </w:r>
      <w:r w:rsidR="000969FB" w:rsidRPr="0060449D">
        <w:t xml:space="preserve">the case can certainly be made </w:t>
      </w:r>
      <w:r w:rsidRPr="0060449D">
        <w:t>that the EU’s ongoing and past support to the sector</w:t>
      </w:r>
      <w:r>
        <w:t xml:space="preserve"> has </w:t>
      </w:r>
      <w:r w:rsidR="000969FB">
        <w:t xml:space="preserve">continued relevance. For example, while mobile voice services have achieved high rates of penetration in Africa in the last decade, mobile broadband and the associated core fibre optic network exist at a limited scale. Spectrum reform </w:t>
      </w:r>
      <w:r w:rsidR="00682239">
        <w:t xml:space="preserve">in the broad sense </w:t>
      </w:r>
      <w:r w:rsidR="000969FB">
        <w:t xml:space="preserve">is one such tool that can improve the situation and encourage operators </w:t>
      </w:r>
      <w:r w:rsidR="00A166D5">
        <w:t>to</w:t>
      </w:r>
      <w:r w:rsidR="000969FB">
        <w:t xml:space="preserve"> mak</w:t>
      </w:r>
      <w:r w:rsidR="00A166D5">
        <w:t>e</w:t>
      </w:r>
      <w:r w:rsidR="000969FB">
        <w:t xml:space="preserve"> the large investments required.</w:t>
      </w:r>
    </w:p>
    <w:p w:rsidR="000969FB" w:rsidRDefault="00E90BBA" w:rsidP="00BE3EC5">
      <w:r>
        <w:t xml:space="preserve">Continuing efforts </w:t>
      </w:r>
      <w:r w:rsidR="00971D69">
        <w:t xml:space="preserve">to </w:t>
      </w:r>
      <w:r w:rsidR="00F0040A">
        <w:t>remov</w:t>
      </w:r>
      <w:r w:rsidR="00971D69">
        <w:t>e</w:t>
      </w:r>
      <w:r w:rsidR="00F0040A">
        <w:t xml:space="preserve"> market barriers through harmonised frameworks and promoting competitive regimes is motivated by indications that private sector framework</w:t>
      </w:r>
      <w:r w:rsidR="00385201">
        <w:t>s</w:t>
      </w:r>
      <w:r w:rsidR="00F0040A">
        <w:t xml:space="preserve"> continue to be weak in many emerging markets. In addition, many develop</w:t>
      </w:r>
      <w:r w:rsidR="00DD6F3B">
        <w:t>ing</w:t>
      </w:r>
      <w:r w:rsidR="00F0040A">
        <w:t xml:space="preserve"> country regimes create an adverse environment by</w:t>
      </w:r>
      <w:r w:rsidR="00E53C5E">
        <w:t>,</w:t>
      </w:r>
      <w:r w:rsidR="00F0040A">
        <w:t xml:space="preserve"> for example</w:t>
      </w:r>
      <w:r w:rsidR="00E53C5E">
        <w:t>,</w:t>
      </w:r>
      <w:r w:rsidR="00F0040A">
        <w:t xml:space="preserve"> imposing distorting licensing conditions and disproportionate taxes and charges on electronic commu</w:t>
      </w:r>
      <w:r w:rsidR="00BE3EC5">
        <w:t>nication services and equipment.</w:t>
      </w:r>
    </w:p>
    <w:p w:rsidR="000969FB" w:rsidRDefault="00385201" w:rsidP="00902485">
      <w:r>
        <w:t>Donor funded</w:t>
      </w:r>
      <w:r w:rsidR="00517F79">
        <w:t xml:space="preserve"> s</w:t>
      </w:r>
      <w:r w:rsidR="000969FB">
        <w:t xml:space="preserve">upport to broadband infrastructure networks </w:t>
      </w:r>
      <w:r w:rsidR="00C758B2">
        <w:t>can be</w:t>
      </w:r>
      <w:r w:rsidR="000969FB">
        <w:t xml:space="preserve"> </w:t>
      </w:r>
      <w:r w:rsidR="00517F79">
        <w:t>justified</w:t>
      </w:r>
      <w:r w:rsidR="00E53C5E">
        <w:t>,</w:t>
      </w:r>
      <w:r w:rsidR="000969FB">
        <w:t xml:space="preserve"> </w:t>
      </w:r>
      <w:r w:rsidR="005B29C0">
        <w:t>for instances</w:t>
      </w:r>
      <w:r w:rsidR="00E53C5E">
        <w:t>,</w:t>
      </w:r>
      <w:r w:rsidR="00517F79">
        <w:t xml:space="preserve"> </w:t>
      </w:r>
      <w:r w:rsidR="000969FB">
        <w:t xml:space="preserve">where there is little incentive for the private sector to invest, for example when </w:t>
      </w:r>
      <w:r w:rsidR="0061656C">
        <w:t>financial</w:t>
      </w:r>
      <w:r w:rsidR="000969FB">
        <w:t xml:space="preserve"> returns are uncertain but </w:t>
      </w:r>
      <w:r w:rsidR="005B29C0">
        <w:t xml:space="preserve">potential </w:t>
      </w:r>
      <w:r w:rsidR="000969FB">
        <w:t xml:space="preserve">social </w:t>
      </w:r>
      <w:r w:rsidR="005B29C0">
        <w:t xml:space="preserve">and economic </w:t>
      </w:r>
      <w:r w:rsidR="000969FB">
        <w:t xml:space="preserve">benefits exist – e.g. </w:t>
      </w:r>
      <w:r w:rsidR="00902485">
        <w:t>for</w:t>
      </w:r>
      <w:r w:rsidR="000969FB">
        <w:t xml:space="preserve"> </w:t>
      </w:r>
      <w:r w:rsidR="00902485">
        <w:t>geographical locations</w:t>
      </w:r>
      <w:r w:rsidR="000969FB">
        <w:t xml:space="preserve"> far away from the main line of connectivity. </w:t>
      </w:r>
      <w:r w:rsidR="000F7B87">
        <w:t>The channelling of targeted p</w:t>
      </w:r>
      <w:r w:rsidR="000969FB">
        <w:t>ublic fund</w:t>
      </w:r>
      <w:r w:rsidR="000F7B87">
        <w:t>ing</w:t>
      </w:r>
      <w:r w:rsidR="000969FB">
        <w:t xml:space="preserve"> can also make a significant contribution to start-ups and innovation initiatives in emerging markets.</w:t>
      </w:r>
    </w:p>
    <w:p w:rsidR="00545FB5" w:rsidRDefault="00545FB5" w:rsidP="00F94903">
      <w:pPr>
        <w:pStyle w:val="Heading3"/>
      </w:pPr>
      <w:bookmarkStart w:id="26" w:name="_Toc454294906"/>
      <w:r>
        <w:t>EU MS</w:t>
      </w:r>
      <w:bookmarkEnd w:id="26"/>
    </w:p>
    <w:p w:rsidR="002348BB" w:rsidRPr="002E3DE8" w:rsidRDefault="00D22DBD" w:rsidP="007C5715">
      <w:r>
        <w:t>As described in section 2</w:t>
      </w:r>
      <w:r w:rsidR="002348BB" w:rsidRPr="001047C6">
        <w:t xml:space="preserve">, </w:t>
      </w:r>
      <w:r w:rsidR="002348BB">
        <w:t>EU</w:t>
      </w:r>
      <w:r w:rsidR="00E53C5E">
        <w:t xml:space="preserve"> </w:t>
      </w:r>
      <w:r w:rsidR="002348BB">
        <w:t>MS</w:t>
      </w:r>
      <w:r w:rsidR="002348BB" w:rsidRPr="001047C6">
        <w:t xml:space="preserve"> have advanced at different pace</w:t>
      </w:r>
      <w:r w:rsidR="002348BB">
        <w:t>s</w:t>
      </w:r>
      <w:r w:rsidR="002348BB" w:rsidRPr="001047C6">
        <w:t xml:space="preserve"> </w:t>
      </w:r>
      <w:r w:rsidR="002348BB">
        <w:t xml:space="preserve">and according to different </w:t>
      </w:r>
      <w:r w:rsidR="002348BB" w:rsidRPr="001047C6">
        <w:t>approach</w:t>
      </w:r>
      <w:r w:rsidR="002348BB">
        <w:t>es</w:t>
      </w:r>
      <w:r w:rsidR="002348BB" w:rsidRPr="001047C6">
        <w:t xml:space="preserve">. </w:t>
      </w:r>
      <w:r w:rsidR="002348BB">
        <w:t xml:space="preserve">It is clear that there is a gap in the ambition and progress of on the one hand the EU </w:t>
      </w:r>
      <w:r w:rsidR="00403B25">
        <w:t xml:space="preserve">Institutions </w:t>
      </w:r>
      <w:r w:rsidR="002348BB">
        <w:t>as a whole</w:t>
      </w:r>
      <w:r w:rsidR="00E53C5E">
        <w:t>, on one side</w:t>
      </w:r>
      <w:r w:rsidR="002348BB">
        <w:t xml:space="preserve"> and of some of the individual </w:t>
      </w:r>
      <w:r w:rsidR="00E53C5E">
        <w:t>MS on the other</w:t>
      </w:r>
      <w:r w:rsidR="002348BB">
        <w:t xml:space="preserve">. </w:t>
      </w:r>
      <w:r w:rsidR="002348BB" w:rsidRPr="007F01EA">
        <w:t xml:space="preserve">This opens up </w:t>
      </w:r>
      <w:r w:rsidR="002348BB">
        <w:t>for a</w:t>
      </w:r>
      <w:r w:rsidR="002348BB" w:rsidRPr="007F01EA">
        <w:t xml:space="preserve"> debate on </w:t>
      </w:r>
      <w:r w:rsidR="002348BB">
        <w:t xml:space="preserve">how to increase collaboration and </w:t>
      </w:r>
      <w:r w:rsidR="002348BB" w:rsidRPr="007F01EA">
        <w:t xml:space="preserve">synergies </w:t>
      </w:r>
      <w:r w:rsidR="002348BB">
        <w:t xml:space="preserve">between </w:t>
      </w:r>
      <w:r w:rsidR="002348BB" w:rsidRPr="007F01EA">
        <w:t xml:space="preserve">the </w:t>
      </w:r>
      <w:r w:rsidR="002348BB">
        <w:t xml:space="preserve">work of the EU institutions </w:t>
      </w:r>
      <w:r w:rsidR="002348BB" w:rsidRPr="007F01EA">
        <w:t>and the var</w:t>
      </w:r>
      <w:r w:rsidR="002348BB">
        <w:t xml:space="preserve">ious </w:t>
      </w:r>
      <w:r w:rsidR="00E53C5E">
        <w:t>MS</w:t>
      </w:r>
      <w:r w:rsidR="002348BB">
        <w:t xml:space="preserve"> initiatives.</w:t>
      </w:r>
      <w:r w:rsidR="00A92B3B">
        <w:t xml:space="preserve"> </w:t>
      </w:r>
      <w:r w:rsidR="001B46DE">
        <w:t xml:space="preserve">Considering that over 50% of global development aid is funded by the EU and its </w:t>
      </w:r>
      <w:r w:rsidR="00E53C5E">
        <w:t>MS</w:t>
      </w:r>
      <w:r w:rsidR="001B46DE">
        <w:t xml:space="preserve">, the impact </w:t>
      </w:r>
      <w:r w:rsidR="00BA6D76">
        <w:t xml:space="preserve">of a common framework and an improved division of labour </w:t>
      </w:r>
      <w:r w:rsidR="001B46DE">
        <w:t xml:space="preserve">could be significant. </w:t>
      </w:r>
      <w:r w:rsidR="00A92B3B" w:rsidRPr="002E3DE8">
        <w:t>The EU Commission</w:t>
      </w:r>
      <w:r w:rsidR="002E3DE8">
        <w:t xml:space="preserve"> is well positioned to play an </w:t>
      </w:r>
      <w:r w:rsidR="002E3DE8" w:rsidRPr="002E3DE8">
        <w:t>i</w:t>
      </w:r>
      <w:r w:rsidR="00A92B3B" w:rsidRPr="002E3DE8">
        <w:t>mportant role here.</w:t>
      </w:r>
    </w:p>
    <w:p w:rsidR="002348BB" w:rsidRPr="002E3DE8" w:rsidRDefault="002348BB" w:rsidP="002348BB">
      <w:r w:rsidRPr="002E3DE8">
        <w:t xml:space="preserve">The </w:t>
      </w:r>
      <w:r w:rsidR="002E3DE8" w:rsidRPr="002E3DE8">
        <w:t>main observations thus far are:</w:t>
      </w:r>
    </w:p>
    <w:p w:rsidR="009D2884" w:rsidRDefault="002348BB" w:rsidP="007E5D4D">
      <w:pPr>
        <w:pStyle w:val="ListParagraph"/>
        <w:numPr>
          <w:ilvl w:val="0"/>
          <w:numId w:val="2"/>
        </w:numPr>
        <w:ind w:left="714" w:hanging="357"/>
        <w:contextualSpacing w:val="0"/>
      </w:pPr>
      <w:r>
        <w:t>Both UK</w:t>
      </w:r>
      <w:r w:rsidRPr="00482E35">
        <w:t xml:space="preserve"> </w:t>
      </w:r>
      <w:r w:rsidR="00482E35" w:rsidRPr="00482E35">
        <w:t>(DFID)</w:t>
      </w:r>
      <w:r w:rsidR="00AE2765" w:rsidRPr="00482E35">
        <w:t xml:space="preserve"> </w:t>
      </w:r>
      <w:r w:rsidRPr="00482E35">
        <w:t xml:space="preserve">and Germany have adopted a type of </w:t>
      </w:r>
      <w:r w:rsidR="003A52B2">
        <w:t>iterative trial and error</w:t>
      </w:r>
      <w:r w:rsidRPr="00482E35">
        <w:t xml:space="preserve"> approach with pilots and tools to measure impact and progress. </w:t>
      </w:r>
      <w:r w:rsidR="00730D70">
        <w:t xml:space="preserve">DFID </w:t>
      </w:r>
      <w:r w:rsidR="00656670">
        <w:t>has taken the view that</w:t>
      </w:r>
      <w:r w:rsidR="00B07178">
        <w:t xml:space="preserve"> s</w:t>
      </w:r>
      <w:r w:rsidRPr="00482E35">
        <w:t xml:space="preserve">ystems and skills </w:t>
      </w:r>
      <w:r w:rsidR="00E4609D">
        <w:t xml:space="preserve">should be </w:t>
      </w:r>
      <w:r w:rsidRPr="00482E35">
        <w:t>in place before</w:t>
      </w:r>
      <w:r>
        <w:t xml:space="preserve"> rolling out</w:t>
      </w:r>
      <w:r w:rsidRPr="002F5AC4">
        <w:t xml:space="preserve"> </w:t>
      </w:r>
      <w:r w:rsidR="00E4609D">
        <w:t xml:space="preserve">the </w:t>
      </w:r>
      <w:r>
        <w:t>overall strategy.</w:t>
      </w:r>
    </w:p>
    <w:p w:rsidR="00482E35" w:rsidRDefault="00482E35" w:rsidP="007E5D4D">
      <w:pPr>
        <w:pStyle w:val="ListParagraph"/>
        <w:numPr>
          <w:ilvl w:val="0"/>
          <w:numId w:val="2"/>
        </w:numPr>
        <w:ind w:left="714" w:hanging="357"/>
        <w:contextualSpacing w:val="0"/>
      </w:pPr>
      <w:r>
        <w:t xml:space="preserve">DFID has already a </w:t>
      </w:r>
      <w:r w:rsidR="00E4609D">
        <w:t>strategic tas</w:t>
      </w:r>
      <w:r>
        <w:t>k</w:t>
      </w:r>
      <w:r w:rsidR="00E4609D">
        <w:t xml:space="preserve"> force</w:t>
      </w:r>
      <w:r>
        <w:t xml:space="preserve"> in place: the Digital Advisory Panel whose role is to take an overview of the strategy for digital and technology </w:t>
      </w:r>
      <w:r w:rsidR="00D915AE">
        <w:t>and</w:t>
      </w:r>
      <w:r w:rsidR="00730D70">
        <w:t xml:space="preserve"> advise,</w:t>
      </w:r>
      <w:r w:rsidR="00D915AE">
        <w:t xml:space="preserve"> challenge and inform D</w:t>
      </w:r>
      <w:r>
        <w:t>FID’s</w:t>
      </w:r>
      <w:r w:rsidR="00D915AE">
        <w:t xml:space="preserve"> organisation and programme development.</w:t>
      </w:r>
      <w:r w:rsidR="00E4609D">
        <w:t xml:space="preserve"> The next step is to develop and decide upon strategic priorities.</w:t>
      </w:r>
    </w:p>
    <w:p w:rsidR="002348BB" w:rsidRDefault="002348BB" w:rsidP="007E5D4D">
      <w:pPr>
        <w:pStyle w:val="ListParagraph"/>
        <w:numPr>
          <w:ilvl w:val="0"/>
          <w:numId w:val="2"/>
        </w:numPr>
        <w:ind w:left="714" w:hanging="357"/>
        <w:contextualSpacing w:val="0"/>
      </w:pPr>
      <w:r>
        <w:t xml:space="preserve">France and Belgium have adopted </w:t>
      </w:r>
      <w:r w:rsidR="00480724">
        <w:t>a different</w:t>
      </w:r>
      <w:r>
        <w:t xml:space="preserve"> </w:t>
      </w:r>
      <w:r w:rsidR="00480724">
        <w:t>process</w:t>
      </w:r>
      <w:r>
        <w:t xml:space="preserve"> whereby an overall strategy</w:t>
      </w:r>
      <w:r w:rsidRPr="00D42D6B">
        <w:t xml:space="preserve"> </w:t>
      </w:r>
      <w:r>
        <w:t xml:space="preserve">has firstly been developed </w:t>
      </w:r>
      <w:r w:rsidR="00480724">
        <w:t>through a consultative process</w:t>
      </w:r>
      <w:r>
        <w:t>. An implementation strategy is being developed subsequently.</w:t>
      </w:r>
    </w:p>
    <w:p w:rsidR="00F56425" w:rsidRDefault="00633DAE" w:rsidP="00633DAE">
      <w:r>
        <w:t xml:space="preserve">Others such as Estonia, </w:t>
      </w:r>
      <w:r w:rsidR="002348BB">
        <w:t>Finland</w:t>
      </w:r>
      <w:r>
        <w:t>, Sweden and Netherlands</w:t>
      </w:r>
      <w:r w:rsidR="002348BB">
        <w:t xml:space="preserve"> have specific focal areas. Smaller donors may focus on what they do best and where they can add value. For example, </w:t>
      </w:r>
      <w:r w:rsidR="002348BB" w:rsidRPr="006B5E6E">
        <w:t>Estonia does not look to C</w:t>
      </w:r>
      <w:r w:rsidR="002348BB">
        <w:t>onnectivity</w:t>
      </w:r>
      <w:r w:rsidR="00F53D90">
        <w:t xml:space="preserve"> </w:t>
      </w:r>
      <w:r w:rsidR="005E6C6D">
        <w:t xml:space="preserve">rather </w:t>
      </w:r>
      <w:r w:rsidR="00F53D90">
        <w:t>focu</w:t>
      </w:r>
      <w:r w:rsidR="002348BB" w:rsidRPr="006B5E6E">
        <w:t>s</w:t>
      </w:r>
      <w:r w:rsidR="005E6C6D">
        <w:t>ing</w:t>
      </w:r>
      <w:r w:rsidR="002348BB" w:rsidRPr="006B5E6E">
        <w:t xml:space="preserve"> its efforts on what it feels it can deliver best taking into account its strengths and </w:t>
      </w:r>
      <w:r w:rsidR="00556EE6">
        <w:t>weaknesses.</w:t>
      </w:r>
    </w:p>
    <w:p w:rsidR="001B46DE" w:rsidRDefault="002348BB" w:rsidP="00F94903">
      <w:pPr>
        <w:pStyle w:val="Heading2"/>
      </w:pPr>
      <w:bookmarkStart w:id="27" w:name="_Toc454294907"/>
      <w:r w:rsidRPr="003D22D1">
        <w:t>The role of monitoring</w:t>
      </w:r>
      <w:bookmarkEnd w:id="27"/>
    </w:p>
    <w:p w:rsidR="002348BB" w:rsidRPr="001B46DE" w:rsidRDefault="0060449D" w:rsidP="00A039B0">
      <w:pPr>
        <w:rPr>
          <w:b/>
          <w:bCs/>
        </w:rPr>
      </w:pPr>
      <w:r>
        <w:t>Since</w:t>
      </w:r>
      <w:r w:rsidR="00757B47" w:rsidRPr="00C668FC">
        <w:t xml:space="preserve"> the impact of ICT can be difficult to capture and that the indicators within existing monitoring frameworks are insufficient for monitoring these types of interventions</w:t>
      </w:r>
      <w:r w:rsidR="00757B47">
        <w:t>, this paper gives a short summary on the role of ICT monitoring</w:t>
      </w:r>
      <w:r w:rsidR="00A64A49">
        <w:t>.</w:t>
      </w:r>
    </w:p>
    <w:p w:rsidR="002348BB" w:rsidRDefault="002348BB" w:rsidP="007E5D4D">
      <w:pPr>
        <w:pStyle w:val="ListParagraph"/>
        <w:numPr>
          <w:ilvl w:val="0"/>
          <w:numId w:val="12"/>
        </w:numPr>
        <w:spacing w:after="120"/>
        <w:ind w:left="714" w:hanging="357"/>
        <w:contextualSpacing w:val="0"/>
      </w:pPr>
      <w:r>
        <w:t>Monitoring the infrastructure sector is relatively easy because indicators exist.</w:t>
      </w:r>
    </w:p>
    <w:p w:rsidR="002348BB" w:rsidRDefault="002348BB" w:rsidP="007E5D4D">
      <w:pPr>
        <w:pStyle w:val="ListParagraph"/>
        <w:numPr>
          <w:ilvl w:val="0"/>
          <w:numId w:val="12"/>
        </w:numPr>
        <w:spacing w:after="120"/>
        <w:ind w:left="714" w:hanging="357"/>
        <w:contextualSpacing w:val="0"/>
      </w:pPr>
      <w:r>
        <w:t xml:space="preserve">Monitoring cross-sectoral interventions is difficult because often there are no specific indicators (OECD </w:t>
      </w:r>
      <w:r w:rsidR="004B1F4A">
        <w:t xml:space="preserve">DAC </w:t>
      </w:r>
      <w:r>
        <w:t>codes do not help when ICT interventions are</w:t>
      </w:r>
      <w:r w:rsidR="00E95159">
        <w:t xml:space="preserve"> </w:t>
      </w:r>
      <w:r>
        <w:t>embedded under the sector for which ICT is the enabler</w:t>
      </w:r>
      <w:r w:rsidR="004B1F4A">
        <w:t>)</w:t>
      </w:r>
      <w:r>
        <w:t xml:space="preserve">. This issue exists for the Commission as well as all the </w:t>
      </w:r>
      <w:r w:rsidR="00757B47">
        <w:t>EU</w:t>
      </w:r>
      <w:r w:rsidR="00CA6627">
        <w:t xml:space="preserve"> </w:t>
      </w:r>
      <w:r w:rsidR="00730D70">
        <w:t>MS</w:t>
      </w:r>
      <w:r>
        <w:t xml:space="preserve">. </w:t>
      </w:r>
    </w:p>
    <w:p w:rsidR="002348BB" w:rsidRDefault="002348BB" w:rsidP="007E5D4D">
      <w:pPr>
        <w:pStyle w:val="ListParagraph"/>
        <w:numPr>
          <w:ilvl w:val="0"/>
          <w:numId w:val="12"/>
        </w:numPr>
        <w:spacing w:after="120"/>
        <w:ind w:left="714" w:hanging="357"/>
        <w:contextualSpacing w:val="0"/>
      </w:pPr>
      <w:r>
        <w:t xml:space="preserve">Better monitoring could assist </w:t>
      </w:r>
      <w:r w:rsidR="00757B47">
        <w:t>in order to</w:t>
      </w:r>
      <w:r>
        <w:t xml:space="preserve"> showcas</w:t>
      </w:r>
      <w:r w:rsidR="00757B47">
        <w:t>e</w:t>
      </w:r>
      <w:r>
        <w:t xml:space="preserve"> success stories</w:t>
      </w:r>
      <w:r w:rsidR="00757B47">
        <w:t xml:space="preserve"> which could</w:t>
      </w:r>
      <w:r>
        <w:t xml:space="preserve"> subsequently attract more attention </w:t>
      </w:r>
      <w:r w:rsidR="00757B47">
        <w:t xml:space="preserve">to </w:t>
      </w:r>
      <w:r>
        <w:t xml:space="preserve">ICT, </w:t>
      </w:r>
      <w:r w:rsidR="00730D70">
        <w:t xml:space="preserve">and therefore, </w:t>
      </w:r>
      <w:r w:rsidR="00757B47">
        <w:t>stimulate</w:t>
      </w:r>
      <w:r>
        <w:t xml:space="preserve"> new projects.</w:t>
      </w:r>
    </w:p>
    <w:p w:rsidR="00F47DAF" w:rsidRDefault="00F47DAF" w:rsidP="007E5D4D">
      <w:pPr>
        <w:pStyle w:val="ListParagraph"/>
        <w:numPr>
          <w:ilvl w:val="0"/>
          <w:numId w:val="12"/>
        </w:numPr>
        <w:spacing w:after="120"/>
        <w:ind w:left="714" w:hanging="357"/>
        <w:contextualSpacing w:val="0"/>
      </w:pPr>
      <w:r>
        <w:t>ICT is also a key tool for measuring progress towards achieving the SDGs</w:t>
      </w:r>
      <w:r w:rsidR="000B4280">
        <w:t>.</w:t>
      </w:r>
    </w:p>
    <w:p w:rsidR="002348BB" w:rsidRPr="00565E5E" w:rsidRDefault="002B0A68" w:rsidP="00F94903">
      <w:pPr>
        <w:pStyle w:val="Heading2"/>
      </w:pPr>
      <w:bookmarkStart w:id="28" w:name="_Toc454294908"/>
      <w:r>
        <w:t>The</w:t>
      </w:r>
      <w:r w:rsidR="002348BB" w:rsidRPr="003D22D1">
        <w:t xml:space="preserve"> risks</w:t>
      </w:r>
      <w:r w:rsidR="00E5488D">
        <w:t>: ICT as a disabler</w:t>
      </w:r>
      <w:bookmarkEnd w:id="28"/>
    </w:p>
    <w:p w:rsidR="002348BB" w:rsidRDefault="002348BB" w:rsidP="00A43152">
      <w:r w:rsidRPr="00E1312A">
        <w:t>A lot has been said for the positive effects and impacts of ICT on development. However,</w:t>
      </w:r>
      <w:r w:rsidR="00946EED">
        <w:t xml:space="preserve"> this needs to be balanced with </w:t>
      </w:r>
      <w:r w:rsidR="0091469B">
        <w:t xml:space="preserve">some </w:t>
      </w:r>
      <w:r w:rsidR="00946EED">
        <w:t>caution</w:t>
      </w:r>
      <w:r w:rsidR="0091469B">
        <w:t>.</w:t>
      </w:r>
      <w:r>
        <w:t xml:space="preserve"> Both risks and opportunities should be identified ahead of any planned intervention</w:t>
      </w:r>
      <w:r w:rsidR="00A14809">
        <w:t xml:space="preserve"> in order to mitigate potential adverse effect</w:t>
      </w:r>
      <w:r w:rsidR="00124980">
        <w:t>s</w:t>
      </w:r>
      <w:r>
        <w:t>.</w:t>
      </w:r>
    </w:p>
    <w:p w:rsidR="002348BB" w:rsidRDefault="002348BB" w:rsidP="007E5D4D">
      <w:pPr>
        <w:pStyle w:val="ListParagraph"/>
        <w:numPr>
          <w:ilvl w:val="0"/>
          <w:numId w:val="3"/>
        </w:numPr>
        <w:contextualSpacing w:val="0"/>
      </w:pPr>
      <w:r w:rsidRPr="00496C1B">
        <w:t xml:space="preserve">Introducing an ICT </w:t>
      </w:r>
      <w:r w:rsidR="0068044B">
        <w:t>tool within a development intervention</w:t>
      </w:r>
      <w:r w:rsidRPr="00496C1B">
        <w:t xml:space="preserve"> can exacerbate </w:t>
      </w:r>
      <w:r>
        <w:t xml:space="preserve">the negative effects of </w:t>
      </w:r>
      <w:r w:rsidRPr="00496C1B">
        <w:t>poorly designed programmes</w:t>
      </w:r>
      <w:r w:rsidR="0068044B">
        <w:t xml:space="preserve"> e.g.</w:t>
      </w:r>
      <w:r w:rsidR="00243707">
        <w:t xml:space="preserve"> if </w:t>
      </w:r>
      <w:r w:rsidR="00730D70">
        <w:t xml:space="preserve">there is lack of </w:t>
      </w:r>
      <w:r w:rsidR="00243707">
        <w:t>institutional accountability</w:t>
      </w:r>
      <w:r w:rsidR="0068044B">
        <w:t xml:space="preserve"> </w:t>
      </w:r>
      <w:r w:rsidR="00243707">
        <w:t xml:space="preserve">or if skills and accompanying frameworks are not </w:t>
      </w:r>
      <w:r w:rsidR="00730D70">
        <w:t>in place</w:t>
      </w:r>
      <w:r w:rsidR="0048749E">
        <w:t>,</w:t>
      </w:r>
      <w:r w:rsidR="00243707">
        <w:t xml:space="preserve"> an e-government </w:t>
      </w:r>
      <w:r w:rsidR="0048749E">
        <w:t xml:space="preserve">tool </w:t>
      </w:r>
      <w:r w:rsidR="00243707">
        <w:t xml:space="preserve">may worsen the outcome </w:t>
      </w:r>
      <w:r w:rsidR="0068044B">
        <w:t>by facilitating and multiplying the impact of the intervention</w:t>
      </w:r>
      <w:r w:rsidR="00243707">
        <w:t>. Another example is the scaling-up of a private sector initiative without a competitive environment in place</w:t>
      </w:r>
      <w:r w:rsidR="00071422">
        <w:t>,</w:t>
      </w:r>
      <w:r w:rsidR="00243707">
        <w:t xml:space="preserve"> result</w:t>
      </w:r>
      <w:r w:rsidR="0048749E">
        <w:t>ing</w:t>
      </w:r>
      <w:r w:rsidR="00243707">
        <w:t xml:space="preserve"> in market concentration.</w:t>
      </w:r>
    </w:p>
    <w:p w:rsidR="002348BB" w:rsidRDefault="00E41469" w:rsidP="007E5D4D">
      <w:pPr>
        <w:pStyle w:val="ListParagraph"/>
        <w:numPr>
          <w:ilvl w:val="0"/>
          <w:numId w:val="3"/>
        </w:numPr>
        <w:contextualSpacing w:val="0"/>
      </w:pPr>
      <w:r>
        <w:t>In oppressive</w:t>
      </w:r>
      <w:r w:rsidR="005473EA">
        <w:t xml:space="preserve"> </w:t>
      </w:r>
      <w:r w:rsidR="002348BB">
        <w:t>regime</w:t>
      </w:r>
      <w:r>
        <w:t>s</w:t>
      </w:r>
      <w:r w:rsidR="002348BB">
        <w:t>, tools such as e-</w:t>
      </w:r>
      <w:r w:rsidR="00730D70">
        <w:t>g</w:t>
      </w:r>
      <w:r w:rsidR="002348BB">
        <w:t>overnment services</w:t>
      </w:r>
      <w:r w:rsidR="00730D70">
        <w:t>,</w:t>
      </w:r>
      <w:r w:rsidR="002348BB">
        <w:t xml:space="preserve"> public databases and </w:t>
      </w:r>
      <w:r w:rsidR="00730D70">
        <w:t xml:space="preserve">civil </w:t>
      </w:r>
      <w:r w:rsidR="002348BB">
        <w:t xml:space="preserve">registers can be used in anti-democratic ways to control the </w:t>
      </w:r>
      <w:r w:rsidR="00730D70">
        <w:t xml:space="preserve">closely linked to cultural rights </w:t>
      </w:r>
      <w:r w:rsidR="002348BB">
        <w:t>freedom of pres</w:t>
      </w:r>
      <w:r w:rsidR="00071422">
        <w:t>s</w:t>
      </w:r>
      <w:r w:rsidR="008A039B">
        <w:t>, freedom of expression</w:t>
      </w:r>
      <w:r w:rsidR="00071422">
        <w:t xml:space="preserve"> and violate citizen</w:t>
      </w:r>
      <w:r w:rsidR="00D21C2C">
        <w:t>s</w:t>
      </w:r>
      <w:r w:rsidR="00071422">
        <w:t>’</w:t>
      </w:r>
      <w:r w:rsidR="00D21C2C">
        <w:t xml:space="preserve"> </w:t>
      </w:r>
      <w:r w:rsidR="004F1212">
        <w:t xml:space="preserve">human </w:t>
      </w:r>
      <w:r w:rsidR="00D21C2C">
        <w:t xml:space="preserve">rights. This point should be viewed in the light of accountable institutions and legal and regulatory frameworks. </w:t>
      </w:r>
      <w:r w:rsidR="00730D70">
        <w:t xml:space="preserve"> </w:t>
      </w:r>
    </w:p>
    <w:p w:rsidR="00C7102D" w:rsidRDefault="00D21C2C" w:rsidP="007E5D4D">
      <w:pPr>
        <w:pStyle w:val="ListParagraph"/>
        <w:numPr>
          <w:ilvl w:val="0"/>
          <w:numId w:val="3"/>
        </w:numPr>
        <w:contextualSpacing w:val="0"/>
      </w:pPr>
      <w:r w:rsidRPr="00D21C2C">
        <w:t xml:space="preserve">Today it is by large the </w:t>
      </w:r>
      <w:r>
        <w:t>W</w:t>
      </w:r>
      <w:r w:rsidRPr="00D21C2C">
        <w:t xml:space="preserve">est and </w:t>
      </w:r>
      <w:r w:rsidR="002C294C">
        <w:t xml:space="preserve">the </w:t>
      </w:r>
      <w:r w:rsidRPr="00D21C2C">
        <w:t>European countries that suffer the costs of cyber</w:t>
      </w:r>
      <w:r>
        <w:t>-</w:t>
      </w:r>
      <w:r w:rsidRPr="00D21C2C">
        <w:t xml:space="preserve">criminality and other </w:t>
      </w:r>
      <w:r w:rsidR="00E82FD2">
        <w:t>cyber-</w:t>
      </w:r>
      <w:r w:rsidR="00E82FD2" w:rsidRPr="00D21C2C">
        <w:t>attacks</w:t>
      </w:r>
      <w:r w:rsidR="009362D0">
        <w:t>. However,</w:t>
      </w:r>
      <w:r>
        <w:t xml:space="preserve"> due to </w:t>
      </w:r>
      <w:r w:rsidR="007E36F9">
        <w:t xml:space="preserve">increased levels of connectivity and </w:t>
      </w:r>
      <w:r>
        <w:t xml:space="preserve">the high number of domains coupled with weak network and information security frameworks, these issues are steadily on the rise </w:t>
      </w:r>
      <w:r w:rsidR="009362D0">
        <w:t xml:space="preserve">also </w:t>
      </w:r>
      <w:r>
        <w:t>in developing countries.</w:t>
      </w:r>
      <w:r w:rsidR="007E36F9">
        <w:t xml:space="preserve"> </w:t>
      </w:r>
      <w:r w:rsidR="00D54BF5">
        <w:t>With more</w:t>
      </w:r>
      <w:r w:rsidR="007E36F9">
        <w:t xml:space="preserve"> </w:t>
      </w:r>
      <w:r w:rsidR="00D54BF5">
        <w:t>people</w:t>
      </w:r>
      <w:r w:rsidR="00E15F85">
        <w:t xml:space="preserve"> ‘moving </w:t>
      </w:r>
      <w:r w:rsidR="00D54BF5">
        <w:t>online’</w:t>
      </w:r>
      <w:r w:rsidR="00E41469" w:rsidRPr="00D21C2C">
        <w:t xml:space="preserve"> </w:t>
      </w:r>
      <w:r w:rsidR="00D54BF5">
        <w:t>there is a greater</w:t>
      </w:r>
      <w:r w:rsidR="00006D5F">
        <w:t xml:space="preserve"> need for resilient </w:t>
      </w:r>
      <w:r w:rsidR="00E41469" w:rsidRPr="00D21C2C">
        <w:t>ICT solutions</w:t>
      </w:r>
      <w:r w:rsidR="00EF6B05">
        <w:t xml:space="preserve">, </w:t>
      </w:r>
      <w:r w:rsidR="00E41469" w:rsidRPr="00D21C2C">
        <w:t xml:space="preserve">increased awareness and cyber hygiene among people. </w:t>
      </w:r>
      <w:r w:rsidR="007E36F9">
        <w:t xml:space="preserve">As such, </w:t>
      </w:r>
      <w:r w:rsidR="00E41469" w:rsidRPr="00D21C2C">
        <w:t xml:space="preserve">'resilience' </w:t>
      </w:r>
      <w:r w:rsidR="007E36F9">
        <w:t>and</w:t>
      </w:r>
      <w:r w:rsidR="00E41469" w:rsidRPr="00D21C2C">
        <w:t xml:space="preserve"> 'cybersecurity' dimension</w:t>
      </w:r>
      <w:r w:rsidR="007E36F9">
        <w:t xml:space="preserve">s are </w:t>
      </w:r>
      <w:r w:rsidR="00D22FBC">
        <w:t>indispensable</w:t>
      </w:r>
      <w:r w:rsidR="007E36F9">
        <w:t xml:space="preserve"> components with</w:t>
      </w:r>
      <w:r w:rsidR="00E41469" w:rsidRPr="00D21C2C">
        <w:t xml:space="preserve">in ICT </w:t>
      </w:r>
      <w:r w:rsidR="00D54BF5">
        <w:t xml:space="preserve">for </w:t>
      </w:r>
      <w:r w:rsidR="00E41469" w:rsidRPr="00D21C2C">
        <w:t>development</w:t>
      </w:r>
      <w:r w:rsidR="00D54BF5">
        <w:t xml:space="preserve"> work</w:t>
      </w:r>
      <w:r w:rsidR="00E41469" w:rsidRPr="00D21C2C">
        <w:t>.</w:t>
      </w:r>
      <w:r w:rsidR="00C7102D">
        <w:t xml:space="preserve"> The opportunities for developing countries to put in place </w:t>
      </w:r>
      <w:r w:rsidR="00C7102D" w:rsidRPr="00C7102D">
        <w:t xml:space="preserve">adequate cybersecurity measures </w:t>
      </w:r>
      <w:r w:rsidR="00C7102D">
        <w:t>in the early stages of digitalisation should be considered.</w:t>
      </w:r>
    </w:p>
    <w:p w:rsidR="006E5A6D" w:rsidRDefault="0083779E" w:rsidP="007E5D4D">
      <w:pPr>
        <w:pStyle w:val="ListParagraph"/>
        <w:numPr>
          <w:ilvl w:val="0"/>
          <w:numId w:val="3"/>
        </w:numPr>
        <w:contextualSpacing w:val="0"/>
      </w:pPr>
      <w:r>
        <w:t xml:space="preserve">The use of ICT presupposes electronic communication devices which are consumable over a period of time. </w:t>
      </w:r>
      <w:r w:rsidR="00491A82">
        <w:t>E-waste</w:t>
      </w:r>
      <w:r>
        <w:t xml:space="preserve"> presents huge environmental hazards and</w:t>
      </w:r>
      <w:r w:rsidR="00491A82">
        <w:t xml:space="preserve"> releases heavy metals such as lead, cadmium and mercury into </w:t>
      </w:r>
      <w:r>
        <w:t>the environment.</w:t>
      </w:r>
      <w:r w:rsidR="008D2848">
        <w:t xml:space="preserve"> The storage and handling of hazardous waste is a great challenge which should be incorporated into any policy framework.</w:t>
      </w:r>
      <w:r w:rsidR="006E5A6D">
        <w:t xml:space="preserve"> </w:t>
      </w:r>
      <w:r w:rsidR="00952E63">
        <w:t>In addition</w:t>
      </w:r>
      <w:r w:rsidR="00730D70">
        <w:t>,</w:t>
      </w:r>
      <w:r w:rsidR="00952E63">
        <w:t xml:space="preserve"> </w:t>
      </w:r>
      <w:r w:rsidR="006E5A6D">
        <w:t xml:space="preserve">environmental </w:t>
      </w:r>
      <w:r w:rsidR="00952E63">
        <w:t>and</w:t>
      </w:r>
      <w:r w:rsidR="006E5A6D">
        <w:t xml:space="preserve"> social impact </w:t>
      </w:r>
      <w:r w:rsidR="00952E63">
        <w:t xml:space="preserve">assessment </w:t>
      </w:r>
      <w:r w:rsidR="006E5A6D">
        <w:t xml:space="preserve">of ICT </w:t>
      </w:r>
      <w:r w:rsidR="00952E63">
        <w:t>should be made including mapping conflict resources such as minerals commonly used as mobile phone components.</w:t>
      </w:r>
    </w:p>
    <w:p w:rsidR="0000365D" w:rsidRDefault="008B3DDA" w:rsidP="007E5D4D">
      <w:pPr>
        <w:pStyle w:val="ListParagraph"/>
        <w:numPr>
          <w:ilvl w:val="0"/>
          <w:numId w:val="3"/>
        </w:numPr>
        <w:contextualSpacing w:val="0"/>
      </w:pPr>
      <w:r>
        <w:t xml:space="preserve">The risk that </w:t>
      </w:r>
      <w:r w:rsidR="005D4637">
        <w:t>b</w:t>
      </w:r>
      <w:r>
        <w:t xml:space="preserve">ig data incurs should also be mentioned here. Storing and handling large data sets containing personal and sensitive information can </w:t>
      </w:r>
      <w:r w:rsidR="008750CB">
        <w:t>pose</w:t>
      </w:r>
      <w:r>
        <w:t xml:space="preserve"> a significant human rights threat</w:t>
      </w:r>
      <w:r w:rsidR="005D4637">
        <w:t xml:space="preserve"> </w:t>
      </w:r>
      <w:r w:rsidR="005D4637" w:rsidRPr="005D4637">
        <w:t>if it is no</w:t>
      </w:r>
      <w:r w:rsidR="005D4637">
        <w:t>t</w:t>
      </w:r>
      <w:r w:rsidR="005D4637" w:rsidRPr="005D4637">
        <w:t xml:space="preserve"> accompanied by </w:t>
      </w:r>
      <w:r w:rsidR="00FB76A7">
        <w:t xml:space="preserve">appropriate </w:t>
      </w:r>
      <w:r w:rsidR="005E5695">
        <w:t>safeguarding</w:t>
      </w:r>
      <w:r w:rsidR="005D4637" w:rsidRPr="005D4637">
        <w:t xml:space="preserve"> </w:t>
      </w:r>
      <w:r w:rsidR="005E5695" w:rsidRPr="005D4637">
        <w:t>measures</w:t>
      </w:r>
      <w:r w:rsidR="005D4637" w:rsidRPr="005D4637">
        <w:t>.</w:t>
      </w:r>
      <w:r>
        <w:t xml:space="preserve"> With the use of mobile phone applications on the rise, the risk linked to inadequate storing of private data that has not been </w:t>
      </w:r>
      <w:r w:rsidR="006754F2">
        <w:t xml:space="preserve">properly </w:t>
      </w:r>
      <w:r w:rsidR="005E5695">
        <w:t>anonymised increases.</w:t>
      </w:r>
    </w:p>
    <w:p w:rsidR="00A471BB" w:rsidRDefault="00A471BB" w:rsidP="007E5D4D">
      <w:pPr>
        <w:pStyle w:val="ListParagraph"/>
        <w:numPr>
          <w:ilvl w:val="0"/>
          <w:numId w:val="3"/>
        </w:numPr>
      </w:pPr>
      <w:r>
        <w:t xml:space="preserve">In order to ensure that the potential risks (some of which are listed above) are tackled, ICT initiatives or components need to include safeguards by designing appropriate checks and balances to prevent abuse, take into account environmental concerns, prevent inappropriate implementation, mishandling of data </w:t>
      </w:r>
      <w:r w:rsidR="00730D70">
        <w:t xml:space="preserve">sets </w:t>
      </w:r>
      <w:r>
        <w:t xml:space="preserve">and information </w:t>
      </w:r>
      <w:r w:rsidR="00730D70">
        <w:t>amongst others</w:t>
      </w:r>
      <w:r>
        <w:t xml:space="preserve">.  </w:t>
      </w:r>
    </w:p>
    <w:p w:rsidR="00F864BA" w:rsidRPr="00774145" w:rsidRDefault="00774145" w:rsidP="008A0A80">
      <w:pPr>
        <w:pStyle w:val="Heading1"/>
        <w:keepNext/>
      </w:pPr>
      <w:bookmarkStart w:id="29" w:name="_Toc454294909"/>
      <w:r w:rsidRPr="00774145">
        <w:t>Recommendations</w:t>
      </w:r>
      <w:bookmarkEnd w:id="29"/>
    </w:p>
    <w:p w:rsidR="008A0A80" w:rsidRPr="008A0A80" w:rsidRDefault="008A0A80" w:rsidP="00DB328D">
      <w:r w:rsidRPr="008A0A80">
        <w:t xml:space="preserve">The </w:t>
      </w:r>
      <w:r>
        <w:t xml:space="preserve">key conclusion of this review </w:t>
      </w:r>
      <w:r w:rsidR="00CF33BB">
        <w:t xml:space="preserve">is that digital technologies have fundamentally shifted the goal posts for every activity in human life including within development work. Their impact is so significant that the argument can be reversed to pose the question: </w:t>
      </w:r>
      <w:r w:rsidR="00CF33BB" w:rsidRPr="00E82FD2">
        <w:rPr>
          <w:b/>
        </w:rPr>
        <w:t>How do you practice development in a digital world?</w:t>
      </w:r>
      <w:r w:rsidR="00DB328D">
        <w:t xml:space="preserve"> </w:t>
      </w:r>
      <w:r w:rsidR="00167516">
        <w:t xml:space="preserve">A shift in thinking </w:t>
      </w:r>
      <w:r w:rsidR="00DB328D">
        <w:t xml:space="preserve">is essential </w:t>
      </w:r>
      <w:r w:rsidR="00167516">
        <w:t>in order</w:t>
      </w:r>
      <w:r w:rsidR="00DB328D">
        <w:t xml:space="preserve"> to mainstream this concept into everyday actions.</w:t>
      </w:r>
    </w:p>
    <w:p w:rsidR="00CF33BB" w:rsidRDefault="00CF33BB" w:rsidP="00DB328D">
      <w:r w:rsidRPr="00FE6DD6">
        <w:t xml:space="preserve">The need for a </w:t>
      </w:r>
      <w:r w:rsidR="00DB328D">
        <w:t>comprehensive</w:t>
      </w:r>
      <w:r w:rsidRPr="00FE6DD6">
        <w:t xml:space="preserve"> approach </w:t>
      </w:r>
      <w:r w:rsidR="00730D70">
        <w:t xml:space="preserve">towards digital technologies relies on </w:t>
      </w:r>
      <w:r w:rsidRPr="00FE6DD6">
        <w:t xml:space="preserve">making the best use of a </w:t>
      </w:r>
      <w:r w:rsidRPr="00E82FD2">
        <w:rPr>
          <w:b/>
        </w:rPr>
        <w:t>tool</w:t>
      </w:r>
      <w:r w:rsidRPr="00FE6DD6">
        <w:t xml:space="preserve"> which can improve the delivery of existing </w:t>
      </w:r>
      <w:r w:rsidR="00730D70">
        <w:t xml:space="preserve">and future </w:t>
      </w:r>
      <w:r w:rsidRPr="00FE6DD6">
        <w:t>development interventions</w:t>
      </w:r>
      <w:r w:rsidR="00730D70">
        <w:t>,</w:t>
      </w:r>
      <w:r w:rsidRPr="00FE6DD6">
        <w:t xml:space="preserve"> increase value for money and </w:t>
      </w:r>
      <w:r w:rsidR="00730D70">
        <w:t>provide</w:t>
      </w:r>
      <w:r w:rsidR="00730D70" w:rsidRPr="00FE6DD6">
        <w:t xml:space="preserve"> </w:t>
      </w:r>
      <w:r w:rsidRPr="00FE6DD6">
        <w:t>solutions in a more efficient way.</w:t>
      </w:r>
    </w:p>
    <w:p w:rsidR="00F864BA" w:rsidRDefault="00774145" w:rsidP="00212F65">
      <w:r>
        <w:t>As set out in the introduction, t</w:t>
      </w:r>
      <w:r w:rsidR="00D00A86">
        <w:t>he recommendations</w:t>
      </w:r>
      <w:r w:rsidR="00212F65">
        <w:t xml:space="preserve"> </w:t>
      </w:r>
      <w:r>
        <w:t xml:space="preserve">in this note </w:t>
      </w:r>
      <w:r w:rsidR="00212F65">
        <w:t xml:space="preserve">have been formulated </w:t>
      </w:r>
      <w:r w:rsidR="00D00A86">
        <w:t xml:space="preserve">with the aim </w:t>
      </w:r>
      <w:r w:rsidR="001C621C">
        <w:t>of</w:t>
      </w:r>
      <w:r w:rsidR="00D00A86">
        <w:t xml:space="preserve"> provid</w:t>
      </w:r>
      <w:r w:rsidR="001C621C">
        <w:t>ing</w:t>
      </w:r>
      <w:r w:rsidR="00D00A86">
        <w:t xml:space="preserve"> guidance </w:t>
      </w:r>
      <w:r w:rsidR="00212F65">
        <w:t>on</w:t>
      </w:r>
      <w:r w:rsidR="00260146">
        <w:t xml:space="preserve"> how </w:t>
      </w:r>
      <w:r w:rsidR="004804A3">
        <w:t xml:space="preserve">the EU </w:t>
      </w:r>
      <w:r w:rsidR="00260146">
        <w:t>can work</w:t>
      </w:r>
      <w:r w:rsidR="004804A3">
        <w:t xml:space="preserve"> </w:t>
      </w:r>
      <w:r w:rsidR="00260146">
        <w:t xml:space="preserve">more strategically </w:t>
      </w:r>
      <w:r w:rsidR="004804A3">
        <w:t>within</w:t>
      </w:r>
      <w:r w:rsidR="00260146">
        <w:t xml:space="preserve"> digital</w:t>
      </w:r>
      <w:r w:rsidR="001207A6">
        <w:t xml:space="preserve"> development and how EU</w:t>
      </w:r>
      <w:r>
        <w:t xml:space="preserve">MS collaboration and synergies can be </w:t>
      </w:r>
      <w:r w:rsidR="0063549E">
        <w:t>strengthened</w:t>
      </w:r>
      <w:r>
        <w:t>.</w:t>
      </w:r>
      <w:r w:rsidR="00A92157">
        <w:t xml:space="preserve"> The</w:t>
      </w:r>
      <w:r w:rsidR="0063549E">
        <w:t xml:space="preserve"> recommendations</w:t>
      </w:r>
      <w:r w:rsidR="00F864BA">
        <w:t xml:space="preserve"> are expected to be </w:t>
      </w:r>
      <w:r w:rsidR="00260146">
        <w:t xml:space="preserve">narrowed down and </w:t>
      </w:r>
      <w:r w:rsidR="00F864BA">
        <w:t xml:space="preserve">further </w:t>
      </w:r>
      <w:r w:rsidR="00260146">
        <w:t xml:space="preserve">developed </w:t>
      </w:r>
      <w:r w:rsidR="001207A6">
        <w:t>once</w:t>
      </w:r>
      <w:r w:rsidR="00F864BA">
        <w:t xml:space="preserve"> </w:t>
      </w:r>
      <w:r w:rsidR="00D62C18">
        <w:t>strategic</w:t>
      </w:r>
      <w:r w:rsidR="00DB328D">
        <w:t xml:space="preserve"> </w:t>
      </w:r>
      <w:r w:rsidR="00F864BA">
        <w:t xml:space="preserve">priorities have been </w:t>
      </w:r>
      <w:r w:rsidR="00556EFD">
        <w:t>established</w:t>
      </w:r>
      <w:r w:rsidR="00F864BA">
        <w:t>.</w:t>
      </w:r>
    </w:p>
    <w:p w:rsidR="00F864BA" w:rsidRDefault="00F864BA" w:rsidP="00F94903">
      <w:pPr>
        <w:pStyle w:val="Heading2"/>
      </w:pPr>
      <w:bookmarkStart w:id="30" w:name="_Toc449045574"/>
      <w:bookmarkStart w:id="31" w:name="_Toc454294910"/>
      <w:r>
        <w:t>Review of high level strategic frameworks</w:t>
      </w:r>
      <w:bookmarkEnd w:id="30"/>
      <w:bookmarkEnd w:id="31"/>
    </w:p>
    <w:p w:rsidR="008A7E3D" w:rsidRDefault="00EC69D1" w:rsidP="008A7E3D">
      <w:pPr>
        <w:pBdr>
          <w:top w:val="single" w:sz="12" w:space="1" w:color="auto"/>
          <w:left w:val="single" w:sz="12" w:space="4" w:color="auto"/>
          <w:bottom w:val="single" w:sz="12" w:space="1" w:color="auto"/>
          <w:right w:val="single" w:sz="12" w:space="4" w:color="auto"/>
        </w:pBdr>
        <w:shd w:val="clear" w:color="auto" w:fill="DBE5F1" w:themeFill="accent1" w:themeFillTint="33"/>
      </w:pPr>
      <w:r>
        <w:rPr>
          <w:b/>
          <w:bCs/>
        </w:rPr>
        <w:t>RECOMMENDATION</w:t>
      </w:r>
      <w:r w:rsidR="008A7E3D">
        <w:rPr>
          <w:b/>
          <w:bCs/>
        </w:rPr>
        <w:t xml:space="preserve"> 1: </w:t>
      </w:r>
      <w:r w:rsidR="008A7E3D">
        <w:t>Promote the importance of mainstreaming ICT within development cooperation in ongoing high level policy discussion such as ‘The European C</w:t>
      </w:r>
      <w:r w:rsidR="008A7E3D" w:rsidRPr="00E2214E">
        <w:t>onsensus on Development</w:t>
      </w:r>
      <w:r w:rsidR="008A7E3D">
        <w:t xml:space="preserve">’ and the UN 2030 Agenda for </w:t>
      </w:r>
      <w:r w:rsidR="001C621C">
        <w:t>S</w:t>
      </w:r>
      <w:r w:rsidR="008A7E3D">
        <w:t>ustainable D</w:t>
      </w:r>
      <w:r w:rsidR="008A7E3D" w:rsidRPr="00E2214E">
        <w:t>evelopment</w:t>
      </w:r>
      <w:r w:rsidR="008A7E3D">
        <w:t>.</w:t>
      </w:r>
    </w:p>
    <w:p w:rsidR="00F864BA" w:rsidRDefault="00F864BA" w:rsidP="00DF3CC7">
      <w:r>
        <w:t xml:space="preserve">A </w:t>
      </w:r>
      <w:r w:rsidR="00512D8E">
        <w:t>key</w:t>
      </w:r>
      <w:r>
        <w:t xml:space="preserve"> conclusion of the review is that there is great potential to expand the role of ICT in the policy frameworks guiding EU development cooperation.</w:t>
      </w:r>
      <w:r w:rsidR="0060449D">
        <w:t xml:space="preserve"> </w:t>
      </w:r>
      <w:r>
        <w:t>This should not be limited to emphasising the importance of sound ICT infrastructure and accompanying enabling environment but also highlight the significant potential of ICT as an enabler and multiplier of other development priorities.</w:t>
      </w:r>
    </w:p>
    <w:p w:rsidR="00F864BA" w:rsidRDefault="00F864BA" w:rsidP="00F864BA">
      <w:r>
        <w:t>With the recent adoption of the UN 2030 Agenda and the resulting discussions on aligned EU frameworks, the opportunity could be seized to place digitalisation high on the agenda. The discussion should emphasise the importance of ICT as an enabling tool to deliver the SDGs.</w:t>
      </w:r>
    </w:p>
    <w:p w:rsidR="00802606" w:rsidRDefault="00F864BA" w:rsidP="00DF3CC7">
      <w:r>
        <w:t xml:space="preserve">The </w:t>
      </w:r>
      <w:r w:rsidR="00DF3CC7">
        <w:t>relevant</w:t>
      </w:r>
      <w:r>
        <w:t xml:space="preserve"> EU frameworks would include the EU Agenda for Change and ‘The European Consensus on Development’ </w:t>
      </w:r>
      <w:r w:rsidR="00DF3CC7">
        <w:t xml:space="preserve">which </w:t>
      </w:r>
      <w:r>
        <w:t xml:space="preserve">both are currently </w:t>
      </w:r>
      <w:r w:rsidR="00D73BA9">
        <w:t>under revision in order to reflect the EU’s commitment to the UN’s 2030 Agenda for Sustainable Development</w:t>
      </w:r>
      <w:r>
        <w:t>.</w:t>
      </w:r>
      <w:r w:rsidR="00802606">
        <w:t xml:space="preserve"> </w:t>
      </w:r>
      <w:r w:rsidR="00730D70">
        <w:t>It</w:t>
      </w:r>
      <w:r w:rsidR="00802606">
        <w:t xml:space="preserve"> is recommended that </w:t>
      </w:r>
      <w:r w:rsidR="000B5C31">
        <w:t>experience</w:t>
      </w:r>
      <w:r w:rsidR="00802606">
        <w:t xml:space="preserve"> from the development of the Digital Single Market strategy </w:t>
      </w:r>
      <w:r w:rsidR="001C621C">
        <w:t>is</w:t>
      </w:r>
      <w:r w:rsidR="00802606">
        <w:t xml:space="preserve"> </w:t>
      </w:r>
      <w:r w:rsidR="000B5C31">
        <w:t>capitalised on</w:t>
      </w:r>
      <w:r w:rsidR="00730D70">
        <w:t xml:space="preserve"> in this process</w:t>
      </w:r>
      <w:r w:rsidR="00802606">
        <w:t>.</w:t>
      </w:r>
    </w:p>
    <w:p w:rsidR="004A5DE1" w:rsidRPr="004A5DE1" w:rsidRDefault="004A5DE1" w:rsidP="004A5DE1">
      <w:r>
        <w:t xml:space="preserve">Clear principles that provide guidance </w:t>
      </w:r>
      <w:r w:rsidRPr="00E22EB4">
        <w:t xml:space="preserve">for designing future policies, projects and instruments </w:t>
      </w:r>
      <w:r>
        <w:t xml:space="preserve">in the field of ICT </w:t>
      </w:r>
      <w:r w:rsidRPr="00E22EB4">
        <w:t>based on European values</w:t>
      </w:r>
      <w:r w:rsidRPr="004A5DE1">
        <w:t xml:space="preserve"> </w:t>
      </w:r>
      <w:r>
        <w:t>are required</w:t>
      </w:r>
      <w:r w:rsidRPr="00E22EB4">
        <w:t>.</w:t>
      </w:r>
    </w:p>
    <w:p w:rsidR="00EA1E4B" w:rsidRDefault="00EA1E4B" w:rsidP="00D444D7">
      <w:r>
        <w:t xml:space="preserve">In addition, </w:t>
      </w:r>
      <w:r w:rsidR="00D444D7">
        <w:t>work will be required</w:t>
      </w:r>
      <w:r>
        <w:t xml:space="preserve"> in the context of the Joint Africa-EU Strategy (JAES) framework, </w:t>
      </w:r>
      <w:r w:rsidR="00D444D7">
        <w:t xml:space="preserve">in </w:t>
      </w:r>
      <w:r>
        <w:t>prepar</w:t>
      </w:r>
      <w:r w:rsidR="00D444D7">
        <w:t>ation</w:t>
      </w:r>
      <w:r>
        <w:t xml:space="preserve"> of the EU-Africa Summit in 2017.</w:t>
      </w:r>
    </w:p>
    <w:p w:rsidR="00F864BA" w:rsidRDefault="00206E0A" w:rsidP="00F94903">
      <w:pPr>
        <w:pStyle w:val="Heading2"/>
      </w:pPr>
      <w:bookmarkStart w:id="32" w:name="_Toc449045575"/>
      <w:bookmarkStart w:id="33" w:name="_Toc454294911"/>
      <w:r>
        <w:t>As</w:t>
      </w:r>
      <w:r w:rsidR="00EC69D1">
        <w:t>sess</w:t>
      </w:r>
      <w:r>
        <w:t xml:space="preserve">ing </w:t>
      </w:r>
      <w:r w:rsidR="00D20D5A">
        <w:t xml:space="preserve">the </w:t>
      </w:r>
      <w:r w:rsidR="007E530D">
        <w:t>state</w:t>
      </w:r>
      <w:r w:rsidR="00D20D5A">
        <w:t xml:space="preserve"> of the</w:t>
      </w:r>
      <w:r>
        <w:t xml:space="preserve"> digital economy</w:t>
      </w:r>
      <w:bookmarkEnd w:id="32"/>
      <w:r w:rsidR="00D20D5A">
        <w:t xml:space="preserve"> to ensure the effectiveness of cross-sectoral ICT</w:t>
      </w:r>
      <w:bookmarkEnd w:id="33"/>
    </w:p>
    <w:p w:rsidR="008A7E3D" w:rsidRPr="005234AD" w:rsidRDefault="00A43478" w:rsidP="008A7E3D">
      <w:pPr>
        <w:pBdr>
          <w:top w:val="single" w:sz="12" w:space="1" w:color="auto"/>
          <w:left w:val="single" w:sz="12" w:space="4" w:color="auto"/>
          <w:bottom w:val="single" w:sz="12" w:space="1" w:color="auto"/>
          <w:right w:val="single" w:sz="12" w:space="4" w:color="auto"/>
        </w:pBdr>
        <w:shd w:val="clear" w:color="auto" w:fill="DBE5F1" w:themeFill="accent1" w:themeFillTint="33"/>
      </w:pPr>
      <w:r>
        <w:rPr>
          <w:b/>
          <w:bCs/>
        </w:rPr>
        <w:t>RECOMMENDATION</w:t>
      </w:r>
      <w:r w:rsidR="008A7E3D">
        <w:rPr>
          <w:b/>
          <w:bCs/>
        </w:rPr>
        <w:t xml:space="preserve"> 2: </w:t>
      </w:r>
      <w:r w:rsidR="00730D70" w:rsidRPr="00EC69D1">
        <w:t>Promo</w:t>
      </w:r>
      <w:r w:rsidR="00730D70">
        <w:t>te</w:t>
      </w:r>
      <w:r w:rsidR="00730D70" w:rsidRPr="00EC69D1">
        <w:t xml:space="preserve"> </w:t>
      </w:r>
      <w:r w:rsidR="00EC69D1" w:rsidRPr="00EC69D1">
        <w:t xml:space="preserve">the role of ICT </w:t>
      </w:r>
      <w:r w:rsidR="00730D70">
        <w:t>by</w:t>
      </w:r>
      <w:r w:rsidR="00EC69D1" w:rsidRPr="00EC69D1">
        <w:t xml:space="preserve"> strengthening connectivity and other </w:t>
      </w:r>
      <w:r w:rsidR="00EC69D1">
        <w:t>essential supporting frameworks</w:t>
      </w:r>
    </w:p>
    <w:p w:rsidR="00F864BA" w:rsidRDefault="00D95A76" w:rsidP="00CC2FBF">
      <w:r>
        <w:t xml:space="preserve">In order to ensure the </w:t>
      </w:r>
      <w:r w:rsidRPr="00D95A76">
        <w:t>effectiveness of cross-sectoral ICT</w:t>
      </w:r>
      <w:r>
        <w:t>, the main components of the digital economy need to be considered.</w:t>
      </w:r>
    </w:p>
    <w:p w:rsidR="00F864BA" w:rsidRDefault="00D95A76" w:rsidP="001C6C8E">
      <w:r>
        <w:t xml:space="preserve">Any planned cross-sectoral intervention </w:t>
      </w:r>
      <w:r w:rsidR="0021556E">
        <w:t xml:space="preserve">should </w:t>
      </w:r>
      <w:r>
        <w:t xml:space="preserve">assess the existing level of connectivity to ensure that the services or tools are appropriate </w:t>
      </w:r>
      <w:r w:rsidR="000D2BAD">
        <w:t>to</w:t>
      </w:r>
      <w:r>
        <w:t xml:space="preserve"> the local environment</w:t>
      </w:r>
      <w:r w:rsidR="00F864BA">
        <w:t xml:space="preserve">. </w:t>
      </w:r>
      <w:r w:rsidR="008750CB">
        <w:t>C</w:t>
      </w:r>
      <w:r w:rsidR="00F864BA">
        <w:t xml:space="preserve">onnectivity </w:t>
      </w:r>
      <w:r w:rsidR="008750CB">
        <w:t xml:space="preserve">here refers to </w:t>
      </w:r>
      <w:r w:rsidR="00F864BA">
        <w:t>infrastructure and legal and regulatory frameworks as defined above. This is an area where the E</w:t>
      </w:r>
      <w:r w:rsidR="001C6C8E">
        <w:t>U and the European Commission are</w:t>
      </w:r>
      <w:r w:rsidR="00F864BA">
        <w:t xml:space="preserve"> already active </w:t>
      </w:r>
      <w:r w:rsidR="00F864BA" w:rsidRPr="00E82FD2">
        <w:t>but</w:t>
      </w:r>
      <w:r w:rsidR="00F864BA">
        <w:t xml:space="preserve"> where interventions may benefit from a more strategic approach. Some key points for improving connectivity include:</w:t>
      </w:r>
    </w:p>
    <w:p w:rsidR="00F864BA" w:rsidRDefault="00F864BA" w:rsidP="007E5D4D">
      <w:pPr>
        <w:pStyle w:val="ListParagraph"/>
        <w:numPr>
          <w:ilvl w:val="0"/>
          <w:numId w:val="9"/>
        </w:numPr>
      </w:pPr>
      <w:r>
        <w:t>Promot</w:t>
      </w:r>
      <w:r w:rsidR="00733F3E">
        <w:t>ing</w:t>
      </w:r>
      <w:r>
        <w:t xml:space="preserve"> competition through sound legal and regulatory framework allowing the private sector to provide non-dist</w:t>
      </w:r>
      <w:r w:rsidR="00C85480">
        <w:t>orted market oriented solutions.</w:t>
      </w:r>
    </w:p>
    <w:p w:rsidR="00A533CC" w:rsidRDefault="00A533CC" w:rsidP="007E5D4D">
      <w:pPr>
        <w:pStyle w:val="ListParagraph"/>
        <w:numPr>
          <w:ilvl w:val="0"/>
          <w:numId w:val="9"/>
        </w:numPr>
      </w:pPr>
      <w:r w:rsidRPr="00A533CC">
        <w:t>Promoting the adoption of strategic, operational and technical measures in order to increase the cyber resilience of information security systems a</w:t>
      </w:r>
      <w:r>
        <w:t>nd the networks connecting them. This should be accompanied by strengthening of national skills</w:t>
      </w:r>
      <w:r w:rsidRPr="00A533CC">
        <w:t xml:space="preserve"> in order to adequately prevent, respond to and address cyber-attacks </w:t>
      </w:r>
      <w:r>
        <w:t>or</w:t>
      </w:r>
      <w:r w:rsidRPr="00A533CC">
        <w:t xml:space="preserve"> accidental failures</w:t>
      </w:r>
      <w:r>
        <w:t>.</w:t>
      </w:r>
    </w:p>
    <w:p w:rsidR="00F864BA" w:rsidRPr="009672E9" w:rsidRDefault="00D550F1" w:rsidP="007E5D4D">
      <w:pPr>
        <w:pStyle w:val="ListParagraph"/>
        <w:numPr>
          <w:ilvl w:val="0"/>
          <w:numId w:val="9"/>
        </w:numPr>
      </w:pPr>
      <w:r>
        <w:t>For areas where the private sector is absent, a specific funding strategy should be developed</w:t>
      </w:r>
      <w:r w:rsidR="00F864BA">
        <w:t xml:space="preserve">. </w:t>
      </w:r>
      <w:r w:rsidR="009672E9">
        <w:t xml:space="preserve">When deciding on a funding strategy it will be essential to have a better view of who does what in order to assess where EU support </w:t>
      </w:r>
      <w:r w:rsidR="00C427D0">
        <w:t>c</w:t>
      </w:r>
      <w:r w:rsidR="009672E9">
        <w:t>ould add the most value</w:t>
      </w:r>
      <w:r w:rsidR="009672E9" w:rsidRPr="009672E9">
        <w:t xml:space="preserve">. Private sector investments in the </w:t>
      </w:r>
      <w:r w:rsidR="00C427D0">
        <w:t xml:space="preserve">ICT </w:t>
      </w:r>
      <w:r w:rsidR="009672E9" w:rsidRPr="009672E9">
        <w:t>sector have been significant and made at a fast rate compared to other infrastructure sectors</w:t>
      </w:r>
      <w:r w:rsidR="00901D8A">
        <w:t xml:space="preserve"> and the dynamics of these investments are important to understand</w:t>
      </w:r>
      <w:r w:rsidR="009672E9" w:rsidRPr="009672E9">
        <w:t>. Funding options</w:t>
      </w:r>
      <w:r w:rsidR="00F864BA" w:rsidRPr="009672E9">
        <w:t xml:space="preserve"> could consist of:</w:t>
      </w:r>
    </w:p>
    <w:p w:rsidR="00F864BA" w:rsidRDefault="00F864BA" w:rsidP="007E5D4D">
      <w:pPr>
        <w:pStyle w:val="ListParagraph"/>
        <w:numPr>
          <w:ilvl w:val="1"/>
          <w:numId w:val="9"/>
        </w:numPr>
      </w:pPr>
      <w:r>
        <w:t>direct EU funding – with blending mechanisms</w:t>
      </w:r>
      <w:r w:rsidR="00CA289B">
        <w:t xml:space="preserve"> </w:t>
      </w:r>
      <w:r w:rsidR="00CA289B" w:rsidRPr="00CA289B">
        <w:t xml:space="preserve">as </w:t>
      </w:r>
      <w:r w:rsidR="00CA289B">
        <w:t xml:space="preserve">the </w:t>
      </w:r>
      <w:r w:rsidR="00CA289B" w:rsidRPr="00CA289B">
        <w:t>preferred modality</w:t>
      </w:r>
      <w:r w:rsidR="00E82FD2">
        <w:t xml:space="preserve"> if appropriate;</w:t>
      </w:r>
    </w:p>
    <w:p w:rsidR="00F864BA" w:rsidRPr="00C85480" w:rsidRDefault="00F864BA" w:rsidP="007E5D4D">
      <w:pPr>
        <w:pStyle w:val="ListParagraph"/>
        <w:numPr>
          <w:ilvl w:val="1"/>
          <w:numId w:val="9"/>
        </w:numPr>
      </w:pPr>
      <w:r>
        <w:t xml:space="preserve">Public-private </w:t>
      </w:r>
      <w:r w:rsidRPr="00C85480">
        <w:t>partnerships (PPPs);</w:t>
      </w:r>
    </w:p>
    <w:p w:rsidR="00F864BA" w:rsidRDefault="00F864BA" w:rsidP="007E5D4D">
      <w:pPr>
        <w:pStyle w:val="ListParagraph"/>
        <w:numPr>
          <w:ilvl w:val="1"/>
          <w:numId w:val="9"/>
        </w:numPr>
      </w:pPr>
      <w:r>
        <w:t>A revision of the utilisation of the existing Universal Services Funds to increase accountability of fund management.</w:t>
      </w:r>
    </w:p>
    <w:p w:rsidR="00F864BA" w:rsidRDefault="00493173" w:rsidP="00F864BA">
      <w:r>
        <w:t>Along with</w:t>
      </w:r>
      <w:r w:rsidR="007E530D">
        <w:t xml:space="preserve"> connectivity, </w:t>
      </w:r>
      <w:r w:rsidR="00F864BA" w:rsidRPr="001A0CA9">
        <w:t>digital literacy and digital skills</w:t>
      </w:r>
      <w:r w:rsidR="00F864BA">
        <w:t xml:space="preserve"> need to be in place in order to ensure sufficient take-up</w:t>
      </w:r>
      <w:r w:rsidR="002E2229">
        <w:t xml:space="preserve"> and inclusiveness</w:t>
      </w:r>
      <w:r w:rsidR="00F864BA">
        <w:t>.</w:t>
      </w:r>
    </w:p>
    <w:p w:rsidR="00F864BA" w:rsidRDefault="00A1519C" w:rsidP="00F864BA">
      <w:r>
        <w:t>Finally</w:t>
      </w:r>
      <w:r w:rsidR="00F864BA">
        <w:t xml:space="preserve">, support to </w:t>
      </w:r>
      <w:r w:rsidR="00562045">
        <w:t xml:space="preserve">advanced digital skills and </w:t>
      </w:r>
      <w:r w:rsidR="00F864BA">
        <w:t xml:space="preserve">digital entrepreneurship such as business start-ups is essential for </w:t>
      </w:r>
      <w:r w:rsidR="00F965E2">
        <w:t>the</w:t>
      </w:r>
      <w:r w:rsidR="00F864BA">
        <w:t xml:space="preserve"> digital economy</w:t>
      </w:r>
      <w:r w:rsidR="00F965E2">
        <w:t xml:space="preserve"> to contribute to sustainable growth</w:t>
      </w:r>
      <w:r w:rsidR="00F864BA">
        <w:t>.</w:t>
      </w:r>
    </w:p>
    <w:p w:rsidR="00F864BA" w:rsidRDefault="00F864BA" w:rsidP="00F94903">
      <w:pPr>
        <w:pStyle w:val="Heading2"/>
      </w:pPr>
      <w:bookmarkStart w:id="34" w:name="_Toc449045576"/>
      <w:bookmarkStart w:id="35" w:name="_Toc454294912"/>
      <w:r>
        <w:t>Launching ICT as a cross-sectoral enabling tool</w:t>
      </w:r>
      <w:bookmarkEnd w:id="34"/>
      <w:bookmarkEnd w:id="35"/>
    </w:p>
    <w:p w:rsidR="008A7E3D" w:rsidRDefault="00935CBE" w:rsidP="008A7E3D">
      <w:pPr>
        <w:widowControl/>
        <w:pBdr>
          <w:top w:val="single" w:sz="12" w:space="1" w:color="auto"/>
          <w:left w:val="single" w:sz="12" w:space="4" w:color="auto"/>
          <w:bottom w:val="single" w:sz="12" w:space="1" w:color="auto"/>
          <w:right w:val="single" w:sz="12" w:space="4" w:color="auto"/>
        </w:pBdr>
        <w:shd w:val="clear" w:color="auto" w:fill="DBE5F1" w:themeFill="accent1" w:themeFillTint="33"/>
        <w:spacing w:after="120"/>
      </w:pPr>
      <w:r>
        <w:rPr>
          <w:b/>
          <w:bCs/>
        </w:rPr>
        <w:t>REC</w:t>
      </w:r>
      <w:r w:rsidR="00A43478">
        <w:rPr>
          <w:b/>
          <w:bCs/>
        </w:rPr>
        <w:t>OMMENDATION</w:t>
      </w:r>
      <w:r w:rsidR="008A7E3D" w:rsidRPr="000444C0">
        <w:rPr>
          <w:b/>
          <w:bCs/>
        </w:rPr>
        <w:t xml:space="preserve"> 3</w:t>
      </w:r>
      <w:r w:rsidR="008A7E3D">
        <w:rPr>
          <w:b/>
          <w:bCs/>
        </w:rPr>
        <w:t xml:space="preserve">: </w:t>
      </w:r>
      <w:r w:rsidR="008A7E3D" w:rsidRPr="00B1224D">
        <w:t xml:space="preserve">Define </w:t>
      </w:r>
      <w:r w:rsidR="008A7E3D">
        <w:t xml:space="preserve">a strategy for launching ICT as a cross-sectoral enabling tool appropriate to the needs and expectations of the </w:t>
      </w:r>
      <w:r w:rsidR="008C0585">
        <w:t>partner countries</w:t>
      </w:r>
    </w:p>
    <w:p w:rsidR="00245E98" w:rsidRPr="00680AF4" w:rsidRDefault="00026699" w:rsidP="000B251D">
      <w:pPr>
        <w:rPr>
          <w:color w:val="FF0000"/>
        </w:rPr>
      </w:pPr>
      <w:r>
        <w:t>The</w:t>
      </w:r>
      <w:r w:rsidR="00F864BA">
        <w:t xml:space="preserve"> strategy for utilising ICT as an enabling tool </w:t>
      </w:r>
      <w:r>
        <w:t xml:space="preserve">must take into account that </w:t>
      </w:r>
      <w:r w:rsidR="00F864BA">
        <w:t>cr</w:t>
      </w:r>
      <w:r>
        <w:t>oss-sectoral ICT is transversal. I</w:t>
      </w:r>
      <w:r w:rsidR="00F864BA">
        <w:t xml:space="preserve">t will </w:t>
      </w:r>
      <w:r>
        <w:t xml:space="preserve">thus </w:t>
      </w:r>
      <w:r w:rsidR="00F864BA">
        <w:t xml:space="preserve">be necessary to select an entry point of where and how to launch the ICT enabling initiative. </w:t>
      </w:r>
      <w:r w:rsidR="00245E98">
        <w:t xml:space="preserve">The main challenge is how to adopt the </w:t>
      </w:r>
      <w:r w:rsidR="00245E98" w:rsidRPr="00245E98">
        <w:t>horizontal approach</w:t>
      </w:r>
      <w:r w:rsidR="00245E98">
        <w:rPr>
          <w:color w:val="FF0000"/>
        </w:rPr>
        <w:t>.</w:t>
      </w:r>
    </w:p>
    <w:p w:rsidR="00F864BA" w:rsidRDefault="00245E98" w:rsidP="00DF2573">
      <w:r>
        <w:t xml:space="preserve"> </w:t>
      </w:r>
      <w:r w:rsidR="00DF2573">
        <w:t>Four</w:t>
      </w:r>
      <w:r w:rsidR="00F864BA">
        <w:t xml:space="preserve"> options are proposed as follows:</w:t>
      </w:r>
    </w:p>
    <w:p w:rsidR="00F864BA" w:rsidRPr="00DF2573" w:rsidRDefault="00F864BA" w:rsidP="007E5D4D">
      <w:pPr>
        <w:pStyle w:val="ListParagraph"/>
        <w:widowControl/>
        <w:numPr>
          <w:ilvl w:val="0"/>
          <w:numId w:val="10"/>
        </w:numPr>
        <w:spacing w:after="120"/>
        <w:ind w:left="714" w:hanging="357"/>
        <w:contextualSpacing w:val="0"/>
      </w:pPr>
      <w:r w:rsidRPr="001D1A76">
        <w:rPr>
          <w:b/>
          <w:bCs/>
        </w:rPr>
        <w:t xml:space="preserve">Enhancing ICT </w:t>
      </w:r>
      <w:r>
        <w:rPr>
          <w:b/>
          <w:bCs/>
        </w:rPr>
        <w:t>across the entire EU development portfolio:</w:t>
      </w:r>
      <w:r>
        <w:t xml:space="preserve"> This would imply an overall strategic approach whereby each sectoral department would undertake an assessment of the impact of digitalisation on their actions and subsequently assess how ICT could allow for doing things differently, more efficiently or introduce new approaches.</w:t>
      </w:r>
      <w:r w:rsidR="00DF2573">
        <w:t xml:space="preserve"> It should be emphasised that adopting a more strategic focus does </w:t>
      </w:r>
      <w:r w:rsidR="00DF2573" w:rsidRPr="00DF2573">
        <w:t xml:space="preserve">not necessarily </w:t>
      </w:r>
      <w:r w:rsidR="00DF2573">
        <w:t>mean</w:t>
      </w:r>
      <w:r w:rsidR="00DF2573" w:rsidRPr="00DF2573">
        <w:t xml:space="preserve"> implementing a complex strategy or sourcing additional funds.</w:t>
      </w:r>
    </w:p>
    <w:p w:rsidR="00F864BA" w:rsidRPr="001D1A76" w:rsidRDefault="00F864BA" w:rsidP="007E5D4D">
      <w:pPr>
        <w:pStyle w:val="ListParagraph"/>
        <w:widowControl/>
        <w:numPr>
          <w:ilvl w:val="0"/>
          <w:numId w:val="10"/>
        </w:numPr>
        <w:spacing w:after="120"/>
        <w:contextualSpacing w:val="0"/>
      </w:pPr>
      <w:r w:rsidRPr="001D1A76">
        <w:rPr>
          <w:b/>
          <w:bCs/>
        </w:rPr>
        <w:t xml:space="preserve">Selection of a few </w:t>
      </w:r>
      <w:r>
        <w:rPr>
          <w:b/>
          <w:bCs/>
        </w:rPr>
        <w:t>pre-</w:t>
      </w:r>
      <w:r w:rsidRPr="00942009">
        <w:rPr>
          <w:b/>
          <w:bCs/>
        </w:rPr>
        <w:t xml:space="preserve">identified </w:t>
      </w:r>
      <w:r w:rsidRPr="001D1A76">
        <w:rPr>
          <w:b/>
          <w:bCs/>
        </w:rPr>
        <w:t xml:space="preserve">flagship initiatives </w:t>
      </w:r>
      <w:r>
        <w:t xml:space="preserve">where </w:t>
      </w:r>
      <w:r w:rsidRPr="001D1A76">
        <w:t xml:space="preserve">ICT could </w:t>
      </w:r>
      <w:r>
        <w:t>have a significant impact.</w:t>
      </w:r>
      <w:r w:rsidRPr="001D1A76">
        <w:t xml:space="preserve"> This could cover</w:t>
      </w:r>
      <w:r>
        <w:t xml:space="preserve"> e.g.</w:t>
      </w:r>
      <w:r w:rsidRPr="001D1A76">
        <w:t>: e-Government (</w:t>
      </w:r>
      <w:r w:rsidR="00DD0093">
        <w:t>civil registers</w:t>
      </w:r>
      <w:r w:rsidRPr="001D1A76">
        <w:t>, police, justice, taxation, customs etc</w:t>
      </w:r>
      <w:r>
        <w:t xml:space="preserve">.); </w:t>
      </w:r>
      <w:r w:rsidR="004518CD">
        <w:t>smart c</w:t>
      </w:r>
      <w:r w:rsidR="004518CD" w:rsidRPr="004518CD">
        <w:t>ities (with smart energy grids and smart water and sanitation networks)</w:t>
      </w:r>
      <w:r w:rsidR="004518CD">
        <w:t xml:space="preserve">; </w:t>
      </w:r>
      <w:r>
        <w:t>education; health;</w:t>
      </w:r>
      <w:r w:rsidRPr="001D1A76">
        <w:t xml:space="preserve"> </w:t>
      </w:r>
      <w:r>
        <w:t>small- and medium enterprises (business start-ups) cost effective solutions etc.</w:t>
      </w:r>
      <w:r w:rsidRPr="001D1A76">
        <w:t xml:space="preserve"> </w:t>
      </w:r>
      <w:r>
        <w:t>From these pilot initiatives an overall implementation strategy would be fine-tuned and developed over time.</w:t>
      </w:r>
    </w:p>
    <w:p w:rsidR="00C85480" w:rsidRDefault="00F864BA" w:rsidP="007E5D4D">
      <w:pPr>
        <w:pStyle w:val="ListParagraph"/>
        <w:widowControl/>
        <w:numPr>
          <w:ilvl w:val="0"/>
          <w:numId w:val="10"/>
        </w:numPr>
        <w:ind w:left="714" w:hanging="357"/>
        <w:contextualSpacing w:val="0"/>
      </w:pPr>
      <w:r w:rsidRPr="00942009">
        <w:rPr>
          <w:b/>
          <w:bCs/>
        </w:rPr>
        <w:t>Launching innovation cal</w:t>
      </w:r>
      <w:r w:rsidRPr="00E82FD2">
        <w:rPr>
          <w:b/>
          <w:bCs/>
        </w:rPr>
        <w:t>l</w:t>
      </w:r>
      <w:r w:rsidR="0060449D">
        <w:rPr>
          <w:b/>
          <w:bCs/>
        </w:rPr>
        <w:t>s</w:t>
      </w:r>
      <w:r w:rsidRPr="00942009">
        <w:rPr>
          <w:b/>
          <w:bCs/>
        </w:rPr>
        <w:t xml:space="preserve"> for proposals</w:t>
      </w:r>
      <w:r>
        <w:t xml:space="preserve">. This would be the </w:t>
      </w:r>
      <w:r w:rsidR="00E82FD2">
        <w:t xml:space="preserve">better suited </w:t>
      </w:r>
      <w:r>
        <w:t>option in terms of scope whereby a comprehensive call for proposals would be rolled out. It would be expected that such a call would generate innovative ideas and give entrepreneurs the opportunity to access dedicated funding. Although this option would allow for a broad scope and a wide range of possibilities, the risk is that the EU would no longer be in the driver’s seat and the implementation strategy may take an unexpected turn.</w:t>
      </w:r>
    </w:p>
    <w:p w:rsidR="00723747" w:rsidRPr="00723747" w:rsidRDefault="00F864BA" w:rsidP="007E5D4D">
      <w:pPr>
        <w:pStyle w:val="ListParagraph"/>
        <w:widowControl/>
        <w:numPr>
          <w:ilvl w:val="0"/>
          <w:numId w:val="10"/>
        </w:numPr>
        <w:ind w:left="714" w:hanging="357"/>
        <w:contextualSpacing w:val="0"/>
      </w:pPr>
      <w:r w:rsidRPr="00723747">
        <w:rPr>
          <w:b/>
          <w:bCs/>
        </w:rPr>
        <w:t>A combination of the above options</w:t>
      </w:r>
    </w:p>
    <w:p w:rsidR="008607A7" w:rsidRDefault="00536FC6" w:rsidP="008607A7">
      <w:r>
        <w:t>T</w:t>
      </w:r>
      <w:r w:rsidR="00723747">
        <w:t xml:space="preserve">he choice of funding mechanism </w:t>
      </w:r>
      <w:r>
        <w:t xml:space="preserve">needs to be given some thought. </w:t>
      </w:r>
      <w:r w:rsidR="00723747" w:rsidRPr="00C85480">
        <w:t xml:space="preserve">The creation of a fund is a strong signal </w:t>
      </w:r>
      <w:r w:rsidR="00176D3E" w:rsidRPr="00C85480">
        <w:t xml:space="preserve">of commitment to a strategy </w:t>
      </w:r>
      <w:r w:rsidR="00723747" w:rsidRPr="00C85480">
        <w:t xml:space="preserve">since </w:t>
      </w:r>
      <w:r w:rsidR="00B5029C">
        <w:t xml:space="preserve">dedicated </w:t>
      </w:r>
      <w:r w:rsidR="00723747" w:rsidRPr="00C85480">
        <w:t xml:space="preserve">financial means </w:t>
      </w:r>
      <w:r w:rsidR="00B5029C">
        <w:t>are put at its disposal</w:t>
      </w:r>
      <w:r w:rsidR="00723747" w:rsidRPr="00C85480">
        <w:t>. It also offers concrete means to test and implement</w:t>
      </w:r>
      <w:r>
        <w:t xml:space="preserve"> ideas</w:t>
      </w:r>
      <w:r w:rsidR="00723747" w:rsidRPr="00C85480">
        <w:t>. ICT as an enabl</w:t>
      </w:r>
      <w:r w:rsidR="00B5029C">
        <w:t>ing tool</w:t>
      </w:r>
      <w:r w:rsidR="00723747" w:rsidRPr="00C85480">
        <w:t xml:space="preserve"> is less capital intensive </w:t>
      </w:r>
      <w:r w:rsidR="00DE50B0">
        <w:t>compared to</w:t>
      </w:r>
      <w:r w:rsidR="00723747" w:rsidRPr="00C85480">
        <w:t xml:space="preserve"> infrastructure </w:t>
      </w:r>
      <w:r w:rsidR="00DE50B0">
        <w:t xml:space="preserve">and </w:t>
      </w:r>
      <w:r w:rsidR="00723747" w:rsidRPr="00C85480">
        <w:t xml:space="preserve">connectivity </w:t>
      </w:r>
      <w:r w:rsidR="00DE50B0">
        <w:t>ventures</w:t>
      </w:r>
      <w:r w:rsidR="00723747" w:rsidRPr="00C85480">
        <w:t>. However</w:t>
      </w:r>
      <w:r w:rsidR="008C0585">
        <w:t>,</w:t>
      </w:r>
      <w:r w:rsidR="00723747" w:rsidRPr="00C85480">
        <w:t xml:space="preserve"> </w:t>
      </w:r>
      <w:r w:rsidR="00DE50B0">
        <w:t>it</w:t>
      </w:r>
      <w:r w:rsidR="00723747" w:rsidRPr="00C85480">
        <w:t xml:space="preserve"> </w:t>
      </w:r>
      <w:r w:rsidR="00DE50B0">
        <w:t>carries more risk</w:t>
      </w:r>
      <w:r w:rsidR="00723747" w:rsidRPr="00C85480">
        <w:t xml:space="preserve"> since the inhere</w:t>
      </w:r>
      <w:r w:rsidR="00DE50B0">
        <w:t>nt innovation component makes the outcome</w:t>
      </w:r>
      <w:r w:rsidR="00723747" w:rsidRPr="00C85480">
        <w:t xml:space="preserve"> less predictable. The response to this challenge may take</w:t>
      </w:r>
      <w:r w:rsidR="00DE50B0">
        <w:t xml:space="preserve"> the form of </w:t>
      </w:r>
      <w:r w:rsidR="00DE50B0" w:rsidRPr="008607A7">
        <w:t xml:space="preserve">an </w:t>
      </w:r>
      <w:bookmarkStart w:id="36" w:name="_Toc449045577"/>
      <w:r w:rsidR="008607A7" w:rsidRPr="008607A7">
        <w:t>Innovation Fund with a limited budget allocated to innovative project</w:t>
      </w:r>
      <w:r w:rsidR="0060449D">
        <w:t>s</w:t>
      </w:r>
      <w:r w:rsidR="008607A7" w:rsidRPr="008607A7">
        <w:t xml:space="preserve"> through a call for proposals mechanism. Alternatively, the funding mechanism may be institutionalised as a component within a large-scale budget.</w:t>
      </w:r>
    </w:p>
    <w:p w:rsidR="0078151C" w:rsidRPr="00BC6523" w:rsidRDefault="0078151C" w:rsidP="00F94903">
      <w:pPr>
        <w:pStyle w:val="Heading2"/>
      </w:pPr>
      <w:bookmarkStart w:id="37" w:name="_Toc454294913"/>
      <w:r>
        <w:t>Promoting the establishment of indicators for cross-sectoral ICT</w:t>
      </w:r>
      <w:bookmarkEnd w:id="36"/>
      <w:bookmarkEnd w:id="37"/>
      <w:r>
        <w:t xml:space="preserve"> </w:t>
      </w:r>
    </w:p>
    <w:p w:rsidR="008A7E3D" w:rsidRPr="004158EC" w:rsidRDefault="00A43478" w:rsidP="008A7E3D">
      <w:pPr>
        <w:pBdr>
          <w:top w:val="single" w:sz="12" w:space="1" w:color="auto"/>
          <w:left w:val="single" w:sz="12" w:space="4" w:color="auto"/>
          <w:bottom w:val="single" w:sz="12" w:space="1" w:color="auto"/>
          <w:right w:val="single" w:sz="12" w:space="4" w:color="auto"/>
        </w:pBdr>
        <w:shd w:val="clear" w:color="auto" w:fill="DBE5F1" w:themeFill="accent1" w:themeFillTint="33"/>
      </w:pPr>
      <w:r>
        <w:rPr>
          <w:b/>
          <w:bCs/>
        </w:rPr>
        <w:t>RECOMMENDATION</w:t>
      </w:r>
      <w:r w:rsidR="008A7E3D">
        <w:rPr>
          <w:b/>
          <w:bCs/>
        </w:rPr>
        <w:t xml:space="preserve"> 4: </w:t>
      </w:r>
      <w:r w:rsidR="008A7E3D">
        <w:t>Develop and establish indicators to measure the impact of cross-sectoral ICT.</w:t>
      </w:r>
    </w:p>
    <w:p w:rsidR="0078151C" w:rsidRDefault="0078151C" w:rsidP="0078151C">
      <w:r>
        <w:t>The issue of capturing the impact of cross-sectoral ICT has been highlighted throughout the report. Better monitoring could assist with showcasing success stories and creating more awareness on ICT which could lead to increased political buy-in.</w:t>
      </w:r>
    </w:p>
    <w:p w:rsidR="0078151C" w:rsidRDefault="0078151C" w:rsidP="00BA2C77">
      <w:r>
        <w:t xml:space="preserve">In view of implementing Recommendation 3, it is recommended to </w:t>
      </w:r>
      <w:r w:rsidR="00BA2C77">
        <w:t>adapt existing</w:t>
      </w:r>
      <w:r w:rsidR="0011252D">
        <w:t xml:space="preserve"> EU</w:t>
      </w:r>
      <w:r w:rsidR="00BA2C77">
        <w:t xml:space="preserve"> monitoring tools</w:t>
      </w:r>
      <w:r>
        <w:t xml:space="preserve"> </w:t>
      </w:r>
      <w:r w:rsidR="00BA2C77">
        <w:t xml:space="preserve">so that the </w:t>
      </w:r>
      <w:r>
        <w:t>effect of ICT actions that are embedded within other development objectives</w:t>
      </w:r>
      <w:r w:rsidR="00BA2C77">
        <w:t xml:space="preserve"> can be measured</w:t>
      </w:r>
      <w:r>
        <w:t>. This is not straightforward and needs to be given some thought in order to avoid creating an additional layer.</w:t>
      </w:r>
      <w:r w:rsidR="00D50F8E">
        <w:t xml:space="preserve"> </w:t>
      </w:r>
      <w:r w:rsidR="00BA2C77">
        <w:t xml:space="preserve">To the extent possible </w:t>
      </w:r>
      <w:r w:rsidR="00D50F8E">
        <w:t xml:space="preserve">pre-existing </w:t>
      </w:r>
      <w:r w:rsidR="00BA2C77">
        <w:t>frameworks</w:t>
      </w:r>
      <w:r w:rsidR="00D50F8E">
        <w:t xml:space="preserve"> such as </w:t>
      </w:r>
      <w:r w:rsidR="00BA2C77">
        <w:t xml:space="preserve">the </w:t>
      </w:r>
      <w:r w:rsidR="00D50F8E">
        <w:t>SDG</w:t>
      </w:r>
      <w:r w:rsidR="00BA2C77">
        <w:t xml:space="preserve"> indicators</w:t>
      </w:r>
      <w:r w:rsidR="00D50F8E">
        <w:t xml:space="preserve"> should be used.</w:t>
      </w:r>
      <w:r w:rsidR="00362F77">
        <w:t xml:space="preserve"> </w:t>
      </w:r>
      <w:r w:rsidR="00D50F8E">
        <w:t>Other approaches could be considered too such as empirical comparative studies.</w:t>
      </w:r>
    </w:p>
    <w:p w:rsidR="00F864BA" w:rsidRDefault="00F864BA" w:rsidP="00F94903">
      <w:pPr>
        <w:pStyle w:val="Heading2"/>
      </w:pPr>
      <w:bookmarkStart w:id="38" w:name="_Toc449045578"/>
      <w:bookmarkStart w:id="39" w:name="_Toc454294914"/>
      <w:r>
        <w:t>Intra-EU ICT-coordination</w:t>
      </w:r>
      <w:bookmarkEnd w:id="38"/>
      <w:bookmarkEnd w:id="39"/>
    </w:p>
    <w:p w:rsidR="008A7E3D" w:rsidRDefault="00935CBE" w:rsidP="008A7E3D">
      <w:pPr>
        <w:pBdr>
          <w:top w:val="single" w:sz="12" w:space="1" w:color="auto"/>
          <w:left w:val="single" w:sz="12" w:space="4" w:color="auto"/>
          <w:bottom w:val="single" w:sz="12" w:space="1" w:color="auto"/>
          <w:right w:val="single" w:sz="12" w:space="4" w:color="auto"/>
        </w:pBdr>
        <w:shd w:val="clear" w:color="auto" w:fill="DBE5F1" w:themeFill="accent1" w:themeFillTint="33"/>
      </w:pPr>
      <w:r>
        <w:rPr>
          <w:b/>
          <w:bCs/>
        </w:rPr>
        <w:t>RECOMMENDATION</w:t>
      </w:r>
      <w:r w:rsidR="008A7E3D">
        <w:rPr>
          <w:b/>
          <w:bCs/>
        </w:rPr>
        <w:t xml:space="preserve"> 5: </w:t>
      </w:r>
      <w:r w:rsidR="008A7E3D" w:rsidRPr="00BC6523">
        <w:t>Create</w:t>
      </w:r>
      <w:r w:rsidR="008A7E3D">
        <w:t xml:space="preserve"> and maintain a </w:t>
      </w:r>
      <w:r w:rsidR="00F152D4">
        <w:t xml:space="preserve">dedicated </w:t>
      </w:r>
      <w:r w:rsidR="008A7E3D">
        <w:t>knowledge exchange platform for ICT</w:t>
      </w:r>
      <w:r w:rsidR="00603290">
        <w:t>4DEV</w:t>
      </w:r>
      <w:r w:rsidR="008A7E3D">
        <w:t xml:space="preserve"> and put in place guidelines to enforce systematic knowledge sharing within the EU Institutions.</w:t>
      </w:r>
    </w:p>
    <w:p w:rsidR="00F864BA" w:rsidRDefault="00F864BA" w:rsidP="008A4865">
      <w:r>
        <w:t xml:space="preserve">The effective implementation of a cross-sectoral enabling tool will require the European Commission to further enhance its internal </w:t>
      </w:r>
      <w:r w:rsidR="00E46018">
        <w:t xml:space="preserve">awareness and </w:t>
      </w:r>
      <w:r>
        <w:t>knowledge sharing</w:t>
      </w:r>
      <w:r w:rsidR="008A4865">
        <w:t xml:space="preserve"> </w:t>
      </w:r>
      <w:r w:rsidR="008A4865" w:rsidRPr="008A4865">
        <w:t xml:space="preserve">and also </w:t>
      </w:r>
      <w:r w:rsidR="008A4865">
        <w:t xml:space="preserve">to </w:t>
      </w:r>
      <w:r w:rsidR="008A4865" w:rsidRPr="008A4865">
        <w:t>lin</w:t>
      </w:r>
      <w:r w:rsidR="00E46018">
        <w:t>k it</w:t>
      </w:r>
      <w:r w:rsidR="00821B93">
        <w:t>s work</w:t>
      </w:r>
      <w:r w:rsidR="00E46018">
        <w:t xml:space="preserve"> with external stakeholders</w:t>
      </w:r>
      <w:r>
        <w:t>. This will facilitate support across departments and to implementing partners and improve the delivery of the overall strategy.</w:t>
      </w:r>
    </w:p>
    <w:p w:rsidR="00F864BA" w:rsidRDefault="00F864BA" w:rsidP="00F864BA">
      <w:r>
        <w:t>In parallel, a number of Member States are developing strategies to mainstream ICT in their development cooperation providing a unique opportunity to share experiences with the Commission and between Member States via the creation of a knowledge exchange/ coordinating platform for ICT in development. This pre-supposes:</w:t>
      </w:r>
    </w:p>
    <w:p w:rsidR="00F864BA" w:rsidRDefault="00F864BA" w:rsidP="007E5D4D">
      <w:pPr>
        <w:pStyle w:val="ListParagraph"/>
        <w:numPr>
          <w:ilvl w:val="0"/>
          <w:numId w:val="3"/>
        </w:numPr>
      </w:pPr>
      <w:r>
        <w:t>Clearly defined objectives for knowledge sharing; and</w:t>
      </w:r>
    </w:p>
    <w:p w:rsidR="00F864BA" w:rsidRDefault="00F864BA" w:rsidP="007E5D4D">
      <w:pPr>
        <w:pStyle w:val="ListParagraph"/>
        <w:numPr>
          <w:ilvl w:val="0"/>
          <w:numId w:val="3"/>
        </w:numPr>
      </w:pPr>
      <w:r>
        <w:t>Identifying ‘knowledge champions’  to encourage a dynamic framework</w:t>
      </w:r>
    </w:p>
    <w:p w:rsidR="00BC24CF" w:rsidRDefault="00703239" w:rsidP="00B5029C">
      <w:r>
        <w:t>E</w:t>
      </w:r>
      <w:r w:rsidR="00F864BA" w:rsidRPr="009B5ADC">
        <w:t xml:space="preserve">xisting platforms such as </w:t>
      </w:r>
      <w:r w:rsidR="00DA35E5">
        <w:t>c</w:t>
      </w:r>
      <w:r w:rsidR="00F864BA" w:rsidRPr="009B5ADC">
        <w:t>apacity</w:t>
      </w:r>
      <w:r w:rsidR="00DA35E5">
        <w:t>4d</w:t>
      </w:r>
      <w:r w:rsidR="00F864BA" w:rsidRPr="009B5ADC">
        <w:t xml:space="preserve">ev </w:t>
      </w:r>
      <w:r w:rsidR="00F864BA">
        <w:t xml:space="preserve">could be used for the specific purpose of ICT </w:t>
      </w:r>
      <w:r w:rsidR="00DA35E5">
        <w:t>knowledge sharing among stakeholders on ICT4DEV</w:t>
      </w:r>
      <w:r w:rsidR="008A4865">
        <w:t xml:space="preserve">. It is anticipated that this initiative would </w:t>
      </w:r>
      <w:r w:rsidR="008A4865" w:rsidRPr="008A4865">
        <w:t>lead</w:t>
      </w:r>
      <w:r w:rsidR="001B46DE" w:rsidRPr="008A4865">
        <w:rPr>
          <w:color w:val="FF0000"/>
        </w:rPr>
        <w:t xml:space="preserve"> </w:t>
      </w:r>
      <w:r w:rsidR="008A4865" w:rsidRPr="008A4865">
        <w:t>to MS and EU services conv</w:t>
      </w:r>
      <w:r w:rsidR="008A4865">
        <w:t>e</w:t>
      </w:r>
      <w:r w:rsidR="008A4865" w:rsidRPr="008A4865">
        <w:t>ning more frequently on ICT</w:t>
      </w:r>
      <w:r w:rsidR="00DA35E5">
        <w:t>4DEV</w:t>
      </w:r>
      <w:r w:rsidR="008A4865" w:rsidRPr="008A4865">
        <w:t xml:space="preserve"> policy and that this would increase </w:t>
      </w:r>
      <w:r w:rsidR="001B46DE" w:rsidRPr="008A4865">
        <w:t>coordinat</w:t>
      </w:r>
      <w:r w:rsidR="008A4865" w:rsidRPr="008A4865">
        <w:t>ion</w:t>
      </w:r>
      <w:r w:rsidR="001B46DE" w:rsidRPr="008A4865">
        <w:t xml:space="preserve"> on impleme</w:t>
      </w:r>
      <w:r w:rsidR="003A3AFA">
        <w:t>ntation and future programming.</w:t>
      </w:r>
      <w:r w:rsidR="001D0105">
        <w:t xml:space="preserve"> The stakeholder consultations </w:t>
      </w:r>
      <w:r w:rsidR="00BC24CF">
        <w:t xml:space="preserve">carried </w:t>
      </w:r>
      <w:r w:rsidR="005776F4">
        <w:t>out for this note indicated a general</w:t>
      </w:r>
      <w:r w:rsidR="00BC24CF">
        <w:t xml:space="preserve"> interest </w:t>
      </w:r>
      <w:r w:rsidR="008B6225">
        <w:t xml:space="preserve">in </w:t>
      </w:r>
      <w:r w:rsidR="005776F4">
        <w:t>meeting more regularly</w:t>
      </w:r>
      <w:r w:rsidR="00BC24CF">
        <w:t>.</w:t>
      </w:r>
    </w:p>
    <w:p w:rsidR="003A3AFA" w:rsidRPr="008A4865" w:rsidRDefault="003A3AFA" w:rsidP="00B5029C">
      <w:r>
        <w:t xml:space="preserve">A possible option for capacity building could </w:t>
      </w:r>
      <w:r w:rsidR="005738A1">
        <w:t xml:space="preserve">be </w:t>
      </w:r>
      <w:r>
        <w:t>to develop and implement a training module on Digital4Development designed for staff in EU Delegations based in developing countr</w:t>
      </w:r>
      <w:r w:rsidR="00B72C09">
        <w:t>ies with the long term aim to have dedicated expertise on digital development.</w:t>
      </w:r>
    </w:p>
    <w:p w:rsidR="002A65A9" w:rsidRDefault="002A65A9" w:rsidP="002A65A9"/>
    <w:p w:rsidR="002A65A9" w:rsidRDefault="002A65A9" w:rsidP="002A65A9"/>
    <w:p w:rsidR="002A65A9" w:rsidRPr="00305AC9" w:rsidRDefault="002A65A9" w:rsidP="002A65A9">
      <w:pPr>
        <w:sectPr w:rsidR="002A65A9" w:rsidRPr="00305AC9" w:rsidSect="00D430F2">
          <w:footerReference w:type="default" r:id="rId12"/>
          <w:pgSz w:w="11906" w:h="16838"/>
          <w:pgMar w:top="1417" w:right="1417" w:bottom="1276" w:left="1417" w:header="708" w:footer="708" w:gutter="0"/>
          <w:pgNumType w:start="1"/>
          <w:cols w:space="708"/>
          <w:docGrid w:linePitch="360"/>
        </w:sectPr>
      </w:pPr>
    </w:p>
    <w:p w:rsidR="006F2D0D" w:rsidRDefault="00341238" w:rsidP="000121FB">
      <w:pPr>
        <w:rPr>
          <w:b/>
          <w:bCs/>
          <w:sz w:val="24"/>
          <w:szCs w:val="24"/>
        </w:rPr>
      </w:pPr>
      <w:r w:rsidRPr="000121FB">
        <w:rPr>
          <w:b/>
          <w:bCs/>
          <w:sz w:val="24"/>
          <w:szCs w:val="24"/>
        </w:rPr>
        <w:t xml:space="preserve">ANNEX I: </w:t>
      </w:r>
      <w:r w:rsidR="00B65456" w:rsidRPr="000121FB">
        <w:rPr>
          <w:b/>
          <w:bCs/>
          <w:sz w:val="24"/>
          <w:szCs w:val="24"/>
        </w:rPr>
        <w:t xml:space="preserve">LIST OF MAJOR </w:t>
      </w:r>
      <w:r w:rsidRPr="000121FB">
        <w:rPr>
          <w:b/>
          <w:bCs/>
          <w:sz w:val="24"/>
          <w:szCs w:val="24"/>
        </w:rPr>
        <w:t>ON-GOING ICT</w:t>
      </w:r>
      <w:r w:rsidR="006C0E51">
        <w:rPr>
          <w:b/>
          <w:bCs/>
          <w:sz w:val="24"/>
          <w:szCs w:val="24"/>
        </w:rPr>
        <w:t xml:space="preserve">4DEV </w:t>
      </w:r>
      <w:r w:rsidRPr="000121FB">
        <w:rPr>
          <w:b/>
          <w:bCs/>
          <w:sz w:val="24"/>
          <w:szCs w:val="24"/>
        </w:rPr>
        <w:t>PROJECTS</w:t>
      </w:r>
    </w:p>
    <w:tbl>
      <w:tblPr>
        <w:tblW w:w="9180" w:type="dxa"/>
        <w:tblInd w:w="108" w:type="dxa"/>
        <w:tblLook w:val="00A0" w:firstRow="1" w:lastRow="0" w:firstColumn="1" w:lastColumn="0" w:noHBand="0" w:noVBand="0"/>
      </w:tblPr>
      <w:tblGrid>
        <w:gridCol w:w="5235"/>
        <w:gridCol w:w="1824"/>
        <w:gridCol w:w="2093"/>
        <w:gridCol w:w="28"/>
      </w:tblGrid>
      <w:tr w:rsidR="002D4EC6" w:rsidRPr="007870E2" w:rsidTr="00E80646">
        <w:trPr>
          <w:gridAfter w:val="1"/>
          <w:wAfter w:w="28" w:type="dxa"/>
          <w:trHeight w:val="600"/>
        </w:trPr>
        <w:tc>
          <w:tcPr>
            <w:tcW w:w="5235" w:type="dxa"/>
            <w:tcBorders>
              <w:top w:val="nil"/>
              <w:left w:val="single" w:sz="4" w:space="0" w:color="000000"/>
              <w:bottom w:val="single" w:sz="4" w:space="0" w:color="000000"/>
              <w:right w:val="single" w:sz="4" w:space="0" w:color="000000"/>
            </w:tcBorders>
            <w:shd w:val="clear" w:color="auto" w:fill="C0C0C0"/>
            <w:vAlign w:val="center"/>
          </w:tcPr>
          <w:p w:rsidR="002D4EC6" w:rsidRPr="007870E2" w:rsidRDefault="002D4EC6" w:rsidP="00E80646">
            <w:pPr>
              <w:spacing w:before="60" w:after="60"/>
              <w:rPr>
                <w:rFonts w:ascii="Arial" w:eastAsia="SimSun" w:hAnsi="Arial" w:cs="Arial"/>
                <w:sz w:val="18"/>
                <w:szCs w:val="18"/>
                <w:lang w:eastAsia="en-GB"/>
              </w:rPr>
            </w:pPr>
            <w:r w:rsidRPr="007870E2">
              <w:rPr>
                <w:rFonts w:ascii="Arial" w:eastAsia="SimSun" w:hAnsi="Arial" w:cs="Arial"/>
                <w:sz w:val="18"/>
                <w:szCs w:val="18"/>
                <w:lang w:eastAsia="en-GB"/>
              </w:rPr>
              <w:t>TITLE</w:t>
            </w:r>
          </w:p>
        </w:tc>
        <w:tc>
          <w:tcPr>
            <w:tcW w:w="1824" w:type="dxa"/>
            <w:tcBorders>
              <w:top w:val="nil"/>
              <w:left w:val="nil"/>
              <w:bottom w:val="single" w:sz="4" w:space="0" w:color="000000"/>
              <w:right w:val="single" w:sz="4" w:space="0" w:color="000000"/>
            </w:tcBorders>
            <w:shd w:val="clear" w:color="auto" w:fill="C0C0C0"/>
            <w:vAlign w:val="center"/>
          </w:tcPr>
          <w:p w:rsidR="002D4EC6" w:rsidRPr="007870E2" w:rsidRDefault="002D4EC6" w:rsidP="00E80646">
            <w:pPr>
              <w:spacing w:before="60" w:after="60"/>
              <w:rPr>
                <w:rFonts w:ascii="Arial" w:eastAsia="SimSun" w:hAnsi="Arial" w:cs="Arial"/>
                <w:sz w:val="18"/>
                <w:szCs w:val="18"/>
                <w:lang w:eastAsia="en-GB"/>
              </w:rPr>
            </w:pPr>
            <w:r w:rsidRPr="007870E2">
              <w:rPr>
                <w:rFonts w:ascii="Arial" w:eastAsia="SimSun" w:hAnsi="Arial" w:cs="Arial"/>
                <w:sz w:val="18"/>
                <w:szCs w:val="18"/>
                <w:lang w:eastAsia="en-GB"/>
              </w:rPr>
              <w:t xml:space="preserve">Geographical zone </w:t>
            </w:r>
          </w:p>
        </w:tc>
        <w:tc>
          <w:tcPr>
            <w:tcW w:w="2093" w:type="dxa"/>
            <w:tcBorders>
              <w:top w:val="nil"/>
              <w:left w:val="nil"/>
              <w:bottom w:val="single" w:sz="4" w:space="0" w:color="000000"/>
              <w:right w:val="single" w:sz="4" w:space="0" w:color="000000"/>
            </w:tcBorders>
            <w:shd w:val="clear" w:color="auto" w:fill="C0C0C0"/>
            <w:vAlign w:val="center"/>
          </w:tcPr>
          <w:p w:rsidR="002D4EC6" w:rsidRPr="007870E2" w:rsidRDefault="002D4EC6" w:rsidP="00E80646">
            <w:pPr>
              <w:spacing w:before="60" w:after="60"/>
              <w:rPr>
                <w:rFonts w:ascii="Arial" w:eastAsia="SimSun" w:hAnsi="Arial" w:cs="Arial"/>
                <w:sz w:val="18"/>
                <w:szCs w:val="18"/>
                <w:lang w:eastAsia="en-GB"/>
              </w:rPr>
            </w:pPr>
            <w:r w:rsidRPr="007870E2">
              <w:rPr>
                <w:rFonts w:ascii="Arial" w:eastAsia="SimSun" w:hAnsi="Arial" w:cs="Arial"/>
                <w:sz w:val="18"/>
                <w:szCs w:val="18"/>
                <w:lang w:eastAsia="en-GB"/>
              </w:rPr>
              <w:t>EU contribution</w:t>
            </w:r>
          </w:p>
          <w:p w:rsidR="002D4EC6" w:rsidRPr="007870E2" w:rsidRDefault="002D4EC6" w:rsidP="00E80646">
            <w:pPr>
              <w:spacing w:before="60" w:after="60"/>
              <w:rPr>
                <w:rFonts w:ascii="Arial" w:eastAsia="SimSun" w:hAnsi="Arial" w:cs="Arial"/>
                <w:sz w:val="18"/>
                <w:szCs w:val="18"/>
                <w:lang w:eastAsia="en-GB"/>
              </w:rPr>
            </w:pPr>
            <w:r w:rsidRPr="007870E2">
              <w:rPr>
                <w:rFonts w:ascii="Arial" w:eastAsia="SimSun" w:hAnsi="Arial" w:cs="Arial"/>
                <w:sz w:val="18"/>
                <w:szCs w:val="18"/>
                <w:lang w:eastAsia="en-GB"/>
              </w:rPr>
              <w:t>(in €)</w:t>
            </w:r>
          </w:p>
        </w:tc>
      </w:tr>
      <w:tr w:rsidR="002D4EC6" w:rsidRPr="007870E2" w:rsidTr="00E80646">
        <w:trPr>
          <w:gridAfter w:val="1"/>
          <w:wAfter w:w="28" w:type="dxa"/>
          <w:trHeight w:val="471"/>
        </w:trPr>
        <w:tc>
          <w:tcPr>
            <w:tcW w:w="9152" w:type="dxa"/>
            <w:gridSpan w:val="3"/>
            <w:tcBorders>
              <w:top w:val="nil"/>
              <w:left w:val="single" w:sz="4" w:space="0" w:color="000000"/>
              <w:bottom w:val="single" w:sz="4" w:space="0" w:color="000000"/>
              <w:right w:val="single" w:sz="4" w:space="0" w:color="000000"/>
            </w:tcBorders>
            <w:shd w:val="clear" w:color="auto" w:fill="DDD9C3"/>
            <w:vAlign w:val="center"/>
          </w:tcPr>
          <w:p w:rsidR="002D4EC6" w:rsidRPr="007870E2" w:rsidRDefault="002D4EC6" w:rsidP="00E80646">
            <w:pPr>
              <w:spacing w:before="60" w:after="60"/>
              <w:rPr>
                <w:rFonts w:ascii="Arial" w:eastAsia="SimSun" w:hAnsi="Arial" w:cs="Arial"/>
                <w:sz w:val="18"/>
                <w:szCs w:val="18"/>
                <w:lang w:eastAsia="en-GB"/>
              </w:rPr>
            </w:pPr>
            <w:r w:rsidRPr="007870E2">
              <w:rPr>
                <w:rFonts w:ascii="Arial" w:eastAsia="SimSun" w:hAnsi="Arial" w:cs="Arial"/>
                <w:sz w:val="18"/>
                <w:szCs w:val="18"/>
                <w:lang w:eastAsia="en-GB"/>
              </w:rPr>
              <w:t>European Neighbourhood</w:t>
            </w:r>
          </w:p>
        </w:tc>
      </w:tr>
      <w:tr w:rsidR="002D4EC6" w:rsidRPr="007870E2" w:rsidTr="00372652">
        <w:trPr>
          <w:gridAfter w:val="1"/>
          <w:wAfter w:w="28" w:type="dxa"/>
          <w:trHeight w:val="315"/>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A928C7">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E@P Connect</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Eastern Europe</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13,000,000</w:t>
            </w:r>
          </w:p>
        </w:tc>
      </w:tr>
      <w:tr w:rsidR="002D4EC6" w:rsidRPr="007870E2" w:rsidTr="00372652">
        <w:trPr>
          <w:gridAfter w:val="1"/>
          <w:wAfter w:w="28" w:type="dxa"/>
          <w:trHeight w:val="60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A928C7">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EUMEDCONNECT 3</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Mediterranean Region</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3,290,000</w:t>
            </w:r>
          </w:p>
        </w:tc>
      </w:tr>
      <w:tr w:rsidR="002D4EC6" w:rsidRPr="007870E2" w:rsidTr="00372652">
        <w:trPr>
          <w:gridAfter w:val="1"/>
          <w:wAfter w:w="28" w:type="dxa"/>
          <w:trHeight w:val="60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A928C7">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Dasaran 2.0</w:t>
            </w:r>
            <w:r w:rsidRPr="007870E2">
              <w:rPr>
                <w:rFonts w:ascii="Arial" w:eastAsia="SimSun" w:hAnsi="Arial" w:cs="Arial"/>
                <w:sz w:val="18"/>
                <w:szCs w:val="18"/>
                <w:lang w:eastAsia="en-GB"/>
              </w:rPr>
              <w:tab/>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372652"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Armenia</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372652"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2</w:t>
            </w:r>
            <w:r w:rsidR="002D4EC6" w:rsidRPr="007870E2">
              <w:rPr>
                <w:rFonts w:ascii="Arial" w:eastAsia="SimSun" w:hAnsi="Arial" w:cs="Arial"/>
                <w:sz w:val="18"/>
                <w:szCs w:val="18"/>
                <w:lang w:eastAsia="en-GB"/>
              </w:rPr>
              <w:t>97,000</w:t>
            </w:r>
          </w:p>
        </w:tc>
      </w:tr>
      <w:tr w:rsidR="002D4EC6" w:rsidRPr="007870E2" w:rsidTr="00372652">
        <w:trPr>
          <w:gridAfter w:val="1"/>
          <w:wAfter w:w="28" w:type="dxa"/>
          <w:trHeight w:val="66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A928C7">
            <w:pPr>
              <w:spacing w:before="60" w:after="60"/>
              <w:jc w:val="left"/>
              <w:rPr>
                <w:rFonts w:ascii="Arial" w:eastAsia="SimSun" w:hAnsi="Arial" w:cs="Arial"/>
                <w:sz w:val="18"/>
                <w:szCs w:val="18"/>
                <w:lang w:val="fr-BE" w:eastAsia="en-GB"/>
              </w:rPr>
            </w:pPr>
            <w:r w:rsidRPr="007870E2">
              <w:rPr>
                <w:rFonts w:ascii="Arial" w:eastAsia="SimSun" w:hAnsi="Arial" w:cs="Arial"/>
                <w:sz w:val="18"/>
                <w:szCs w:val="18"/>
                <w:lang w:val="fr-BE" w:eastAsia="en-GB"/>
              </w:rPr>
              <w:t>Contrat de jumelage traditionnel ''Appui à l’Instance Nationale des Télécommunications (INT)''</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Maghreb</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1,200,000</w:t>
            </w:r>
          </w:p>
        </w:tc>
      </w:tr>
      <w:tr w:rsidR="002D4EC6" w:rsidRPr="007870E2" w:rsidTr="00372652">
        <w:trPr>
          <w:gridAfter w:val="1"/>
          <w:wAfter w:w="28" w:type="dxa"/>
          <w:trHeight w:val="69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A928C7">
            <w:pPr>
              <w:spacing w:before="60" w:after="60"/>
              <w:jc w:val="left"/>
              <w:rPr>
                <w:rFonts w:ascii="Arial" w:eastAsia="SimSun" w:hAnsi="Arial" w:cs="Arial"/>
                <w:sz w:val="18"/>
                <w:szCs w:val="18"/>
                <w:lang w:val="fr-BE" w:eastAsia="en-GB"/>
              </w:rPr>
            </w:pPr>
            <w:r w:rsidRPr="007870E2">
              <w:rPr>
                <w:rFonts w:ascii="Arial" w:eastAsia="SimSun" w:hAnsi="Arial" w:cs="Arial"/>
                <w:sz w:val="18"/>
                <w:szCs w:val="18"/>
                <w:lang w:val="fr-BE" w:eastAsia="en-GB"/>
              </w:rPr>
              <w:t>Contrat de jumelage traditionnel ''Appui à l’Instance Nationale des Télécommunications (INT)''</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Tunisia</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1,200,000</w:t>
            </w:r>
          </w:p>
        </w:tc>
      </w:tr>
      <w:tr w:rsidR="002D4EC6" w:rsidRPr="007870E2" w:rsidTr="00372652">
        <w:trPr>
          <w:gridAfter w:val="1"/>
          <w:wAfter w:w="28" w:type="dxa"/>
          <w:trHeight w:val="69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A928C7">
            <w:pPr>
              <w:spacing w:before="60" w:after="60"/>
              <w:jc w:val="left"/>
              <w:rPr>
                <w:rFonts w:ascii="Arial" w:eastAsia="SimSun" w:hAnsi="Arial" w:cs="Arial"/>
                <w:sz w:val="18"/>
                <w:szCs w:val="18"/>
              </w:rPr>
            </w:pPr>
            <w:r w:rsidRPr="007870E2">
              <w:rPr>
                <w:rFonts w:ascii="Arial" w:eastAsia="SimSun" w:hAnsi="Arial" w:cs="Arial"/>
                <w:sz w:val="18"/>
                <w:szCs w:val="18"/>
              </w:rPr>
              <w:t>Supply of ICT Equipment to the Ministry of Environment</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jc w:val="center"/>
              <w:rPr>
                <w:rFonts w:ascii="Arial" w:eastAsia="SimSun" w:hAnsi="Arial" w:cs="Arial"/>
                <w:sz w:val="18"/>
                <w:szCs w:val="18"/>
              </w:rPr>
            </w:pPr>
            <w:r w:rsidRPr="007870E2">
              <w:rPr>
                <w:rFonts w:ascii="Arial" w:eastAsia="SimSun" w:hAnsi="Arial" w:cs="Arial"/>
                <w:sz w:val="18"/>
                <w:szCs w:val="18"/>
              </w:rPr>
              <w:t>Lebanon</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jc w:val="right"/>
              <w:rPr>
                <w:rFonts w:ascii="Arial" w:eastAsia="SimSun" w:hAnsi="Arial" w:cs="Arial"/>
                <w:sz w:val="18"/>
                <w:szCs w:val="18"/>
              </w:rPr>
            </w:pPr>
            <w:r w:rsidRPr="007870E2">
              <w:rPr>
                <w:rFonts w:ascii="Arial" w:eastAsia="SimSun" w:hAnsi="Arial" w:cs="Arial"/>
                <w:sz w:val="18"/>
                <w:szCs w:val="18"/>
              </w:rPr>
              <w:t>618,251</w:t>
            </w:r>
          </w:p>
        </w:tc>
      </w:tr>
      <w:tr w:rsidR="002D4EC6" w:rsidRPr="007870E2" w:rsidTr="00372652">
        <w:trPr>
          <w:gridAfter w:val="1"/>
          <w:wAfter w:w="28" w:type="dxa"/>
          <w:trHeight w:val="69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A928C7">
            <w:pPr>
              <w:spacing w:before="60" w:after="60"/>
              <w:jc w:val="left"/>
              <w:rPr>
                <w:rFonts w:ascii="Arial" w:eastAsia="SimSun" w:hAnsi="Arial" w:cs="Arial"/>
                <w:sz w:val="18"/>
                <w:szCs w:val="18"/>
              </w:rPr>
            </w:pPr>
            <w:r w:rsidRPr="007870E2">
              <w:rPr>
                <w:rFonts w:ascii="Arial" w:eastAsia="SimSun" w:hAnsi="Arial" w:cs="Arial"/>
                <w:sz w:val="18"/>
                <w:szCs w:val="18"/>
              </w:rPr>
              <w:t>TA support to the Lebanese Ministry of Agriculture for Designing and Developing the Agriculture Management information system (AMIS)</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jc w:val="center"/>
              <w:rPr>
                <w:rFonts w:ascii="Arial" w:eastAsia="SimSun" w:hAnsi="Arial" w:cs="Arial"/>
                <w:sz w:val="18"/>
                <w:szCs w:val="18"/>
              </w:rPr>
            </w:pPr>
            <w:r w:rsidRPr="007870E2">
              <w:rPr>
                <w:rFonts w:ascii="Arial" w:eastAsia="SimSun" w:hAnsi="Arial" w:cs="Arial"/>
                <w:sz w:val="18"/>
                <w:szCs w:val="18"/>
              </w:rPr>
              <w:t>Lebanon</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jc w:val="right"/>
              <w:rPr>
                <w:rFonts w:ascii="Arial" w:eastAsia="SimSun" w:hAnsi="Arial" w:cs="Arial"/>
                <w:sz w:val="18"/>
                <w:szCs w:val="18"/>
              </w:rPr>
            </w:pPr>
            <w:r w:rsidRPr="007870E2">
              <w:rPr>
                <w:rFonts w:ascii="Arial" w:eastAsia="SimSun" w:hAnsi="Arial" w:cs="Arial"/>
                <w:sz w:val="18"/>
                <w:szCs w:val="18"/>
              </w:rPr>
              <w:t>138,170</w:t>
            </w:r>
          </w:p>
        </w:tc>
      </w:tr>
      <w:tr w:rsidR="002D4EC6" w:rsidRPr="007870E2" w:rsidTr="00E80646">
        <w:trPr>
          <w:gridAfter w:val="1"/>
          <w:wAfter w:w="28" w:type="dxa"/>
          <w:trHeight w:val="380"/>
        </w:trPr>
        <w:tc>
          <w:tcPr>
            <w:tcW w:w="9152" w:type="dxa"/>
            <w:gridSpan w:val="3"/>
            <w:tcBorders>
              <w:top w:val="nil"/>
              <w:left w:val="single" w:sz="4" w:space="0" w:color="000000"/>
              <w:bottom w:val="single" w:sz="4" w:space="0" w:color="000000"/>
              <w:right w:val="single" w:sz="4" w:space="0" w:color="000000"/>
            </w:tcBorders>
            <w:shd w:val="clear" w:color="auto" w:fill="DDD9C3"/>
            <w:vAlign w:val="center"/>
          </w:tcPr>
          <w:p w:rsidR="002D4EC6" w:rsidRPr="007870E2" w:rsidRDefault="002D4EC6" w:rsidP="00E80646">
            <w:pPr>
              <w:spacing w:before="60" w:after="60"/>
              <w:rPr>
                <w:rFonts w:ascii="Arial" w:eastAsia="SimSun" w:hAnsi="Arial" w:cs="Arial"/>
                <w:sz w:val="18"/>
                <w:szCs w:val="18"/>
                <w:lang w:eastAsia="en-GB"/>
              </w:rPr>
            </w:pPr>
            <w:r w:rsidRPr="007870E2">
              <w:rPr>
                <w:rFonts w:ascii="Arial" w:eastAsia="SimSun" w:hAnsi="Arial" w:cs="Arial"/>
                <w:sz w:val="18"/>
                <w:szCs w:val="18"/>
                <w:lang w:eastAsia="en-GB"/>
              </w:rPr>
              <w:t>Africa</w:t>
            </w:r>
          </w:p>
        </w:tc>
      </w:tr>
      <w:tr w:rsidR="002D4EC6" w:rsidRPr="007870E2" w:rsidTr="00372652">
        <w:trPr>
          <w:gridAfter w:val="1"/>
          <w:wAfter w:w="28" w:type="dxa"/>
          <w:trHeight w:val="585"/>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372652">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 xml:space="preserve">AfricaConnect 2 - Cluster 1 </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Eastern and Southern Africa</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7,500,000</w:t>
            </w:r>
          </w:p>
        </w:tc>
      </w:tr>
      <w:tr w:rsidR="002D4EC6" w:rsidRPr="007870E2" w:rsidTr="00372652">
        <w:trPr>
          <w:gridAfter w:val="1"/>
          <w:wAfter w:w="28" w:type="dxa"/>
          <w:trHeight w:val="630"/>
        </w:trPr>
        <w:tc>
          <w:tcPr>
            <w:tcW w:w="5235" w:type="dxa"/>
            <w:tcBorders>
              <w:top w:val="single" w:sz="4" w:space="0" w:color="000000"/>
              <w:left w:val="single" w:sz="4" w:space="0" w:color="auto"/>
              <w:bottom w:val="single" w:sz="4" w:space="0" w:color="000000"/>
              <w:right w:val="single" w:sz="4" w:space="0" w:color="000000"/>
            </w:tcBorders>
            <w:shd w:val="clear" w:color="auto" w:fill="FFFFFF"/>
            <w:vAlign w:val="center"/>
          </w:tcPr>
          <w:p w:rsidR="002D4EC6" w:rsidRPr="007870E2" w:rsidRDefault="002D4EC6" w:rsidP="00372652">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 xml:space="preserve">AfricaConnect2- Clusters 2 and 3 </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West, Central and North Africa</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12,500,000</w:t>
            </w:r>
          </w:p>
        </w:tc>
      </w:tr>
      <w:tr w:rsidR="002D4EC6" w:rsidRPr="007870E2" w:rsidTr="00372652">
        <w:trPr>
          <w:gridAfter w:val="1"/>
          <w:wAfter w:w="28" w:type="dxa"/>
          <w:trHeight w:val="60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372652">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ICT tools for the enhancement of irrigation efficiency in West Africa</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West Africa</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748,636</w:t>
            </w:r>
          </w:p>
        </w:tc>
      </w:tr>
      <w:tr w:rsidR="002D4EC6" w:rsidRPr="007870E2" w:rsidTr="00372652">
        <w:trPr>
          <w:gridAfter w:val="1"/>
          <w:wAfter w:w="28" w:type="dxa"/>
          <w:trHeight w:val="60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372652">
            <w:pPr>
              <w:spacing w:before="60" w:after="60"/>
              <w:jc w:val="left"/>
              <w:rPr>
                <w:rFonts w:ascii="Arial" w:eastAsia="SimSun" w:hAnsi="Arial" w:cs="Arial"/>
                <w:sz w:val="18"/>
                <w:szCs w:val="18"/>
                <w:lang w:val="fr-BE" w:eastAsia="en-GB"/>
              </w:rPr>
            </w:pPr>
            <w:r w:rsidRPr="007870E2">
              <w:rPr>
                <w:rFonts w:ascii="Arial" w:eastAsia="SimSun" w:hAnsi="Arial" w:cs="Arial"/>
                <w:sz w:val="18"/>
                <w:szCs w:val="18"/>
                <w:lang w:val="fr-BE" w:eastAsia="en-GB"/>
              </w:rPr>
              <w:t>Contrat de fourniture</w:t>
            </w:r>
            <w:r w:rsidR="00B24BC8" w:rsidRPr="007870E2">
              <w:rPr>
                <w:rFonts w:ascii="Arial" w:eastAsia="SimSun" w:hAnsi="Arial" w:cs="Arial"/>
                <w:sz w:val="18"/>
                <w:szCs w:val="18"/>
                <w:lang w:val="fr-BE" w:eastAsia="en-GB"/>
              </w:rPr>
              <w:t>s matériel informatique - PAMEC</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val="fr-BE" w:eastAsia="en-GB"/>
              </w:rPr>
            </w:pPr>
            <w:r w:rsidRPr="007870E2">
              <w:rPr>
                <w:rFonts w:ascii="Arial" w:eastAsia="SimSun" w:hAnsi="Arial" w:cs="Arial"/>
                <w:sz w:val="18"/>
                <w:szCs w:val="18"/>
                <w:lang w:eastAsia="en-GB"/>
              </w:rPr>
              <w:t>Senegal</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val="fr-BE" w:eastAsia="en-GB"/>
              </w:rPr>
            </w:pPr>
            <w:r w:rsidRPr="007870E2">
              <w:rPr>
                <w:rFonts w:ascii="Arial" w:eastAsia="SimSun" w:hAnsi="Arial" w:cs="Arial"/>
                <w:sz w:val="18"/>
                <w:szCs w:val="18"/>
                <w:lang w:val="fr-BE" w:eastAsia="en-GB"/>
              </w:rPr>
              <w:t>285,773</w:t>
            </w:r>
          </w:p>
        </w:tc>
      </w:tr>
      <w:tr w:rsidR="002D4EC6" w:rsidRPr="007870E2" w:rsidTr="00E80646">
        <w:trPr>
          <w:gridAfter w:val="1"/>
          <w:wAfter w:w="28" w:type="dxa"/>
          <w:trHeight w:val="380"/>
        </w:trPr>
        <w:tc>
          <w:tcPr>
            <w:tcW w:w="9152" w:type="dxa"/>
            <w:gridSpan w:val="3"/>
            <w:tcBorders>
              <w:top w:val="nil"/>
              <w:left w:val="single" w:sz="4" w:space="0" w:color="000000"/>
              <w:bottom w:val="single" w:sz="4" w:space="0" w:color="000000"/>
              <w:right w:val="single" w:sz="4" w:space="0" w:color="000000"/>
            </w:tcBorders>
            <w:shd w:val="clear" w:color="auto" w:fill="DDD9C3"/>
            <w:vAlign w:val="center"/>
          </w:tcPr>
          <w:p w:rsidR="002D4EC6" w:rsidRPr="007870E2" w:rsidRDefault="002D4EC6" w:rsidP="00E80646">
            <w:pPr>
              <w:spacing w:before="60" w:after="60"/>
              <w:rPr>
                <w:rFonts w:ascii="Arial" w:eastAsia="SimSun" w:hAnsi="Arial" w:cs="Arial"/>
                <w:sz w:val="18"/>
                <w:szCs w:val="18"/>
                <w:lang w:eastAsia="en-GB"/>
              </w:rPr>
            </w:pPr>
            <w:r w:rsidRPr="007870E2">
              <w:rPr>
                <w:rFonts w:ascii="Arial" w:eastAsia="SimSun" w:hAnsi="Arial" w:cs="Arial"/>
                <w:sz w:val="18"/>
                <w:szCs w:val="18"/>
                <w:lang w:eastAsia="en-GB"/>
              </w:rPr>
              <w:t>Asia</w:t>
            </w:r>
          </w:p>
        </w:tc>
      </w:tr>
      <w:tr w:rsidR="002D4EC6" w:rsidRPr="007870E2" w:rsidTr="00372652">
        <w:trPr>
          <w:gridAfter w:val="1"/>
          <w:wAfter w:w="28" w:type="dxa"/>
          <w:trHeight w:val="345"/>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2D4EC6" w:rsidP="00372652">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TEIN (Trans-Eurasia Information Network) 4</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Asia</w:t>
            </w:r>
          </w:p>
        </w:tc>
        <w:tc>
          <w:tcPr>
            <w:tcW w:w="2093" w:type="dxa"/>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11,880,000</w:t>
            </w:r>
          </w:p>
        </w:tc>
      </w:tr>
      <w:tr w:rsidR="002D4EC6" w:rsidRPr="007870E2" w:rsidTr="00372652">
        <w:trPr>
          <w:trHeight w:val="315"/>
        </w:trPr>
        <w:tc>
          <w:tcPr>
            <w:tcW w:w="5235" w:type="dxa"/>
            <w:tcBorders>
              <w:top w:val="nil"/>
              <w:left w:val="single" w:sz="4" w:space="0" w:color="auto"/>
              <w:bottom w:val="single" w:sz="4" w:space="0" w:color="auto"/>
              <w:right w:val="single" w:sz="4" w:space="0" w:color="auto"/>
            </w:tcBorders>
            <w:shd w:val="clear" w:color="auto" w:fill="FFFFFF"/>
            <w:vAlign w:val="center"/>
          </w:tcPr>
          <w:p w:rsidR="002D4EC6" w:rsidRPr="007870E2" w:rsidRDefault="002D4EC6" w:rsidP="00442E66">
            <w:pPr>
              <w:spacing w:before="60" w:after="60"/>
              <w:jc w:val="left"/>
              <w:rPr>
                <w:rFonts w:ascii="Arial" w:eastAsia="SimSun" w:hAnsi="Arial" w:cs="Arial"/>
                <w:sz w:val="18"/>
                <w:szCs w:val="18"/>
                <w:lang w:val="de-DE" w:eastAsia="en-GB"/>
              </w:rPr>
            </w:pPr>
            <w:r w:rsidRPr="007870E2">
              <w:rPr>
                <w:rFonts w:ascii="Arial" w:eastAsia="SimSun" w:hAnsi="Arial" w:cs="Arial"/>
                <w:sz w:val="18"/>
                <w:szCs w:val="18"/>
                <w:lang w:val="de-DE" w:eastAsia="en-GB"/>
              </w:rPr>
              <w:t>TEIN (Trans-Eurasia Information Network) 5</w:t>
            </w:r>
          </w:p>
        </w:tc>
        <w:tc>
          <w:tcPr>
            <w:tcW w:w="1824" w:type="dxa"/>
            <w:tcBorders>
              <w:top w:val="nil"/>
              <w:left w:val="nil"/>
              <w:bottom w:val="single" w:sz="4" w:space="0" w:color="auto"/>
              <w:right w:val="single" w:sz="4" w:space="0" w:color="auto"/>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Asia</w:t>
            </w:r>
          </w:p>
        </w:tc>
        <w:tc>
          <w:tcPr>
            <w:tcW w:w="2121" w:type="dxa"/>
            <w:gridSpan w:val="2"/>
            <w:tcBorders>
              <w:top w:val="nil"/>
              <w:left w:val="nil"/>
              <w:bottom w:val="single" w:sz="4" w:space="0" w:color="auto"/>
              <w:right w:val="single" w:sz="4" w:space="0" w:color="auto"/>
            </w:tcBorders>
            <w:shd w:val="clear" w:color="auto" w:fill="FFFFFF"/>
            <w:vAlign w:val="center"/>
          </w:tcPr>
          <w:p w:rsidR="002D4EC6" w:rsidRPr="007870E2" w:rsidRDefault="00442E66" w:rsidP="00442E66">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20,000,000</w:t>
            </w:r>
          </w:p>
        </w:tc>
      </w:tr>
      <w:tr w:rsidR="002D4EC6" w:rsidRPr="007870E2" w:rsidTr="00372652">
        <w:trPr>
          <w:trHeight w:val="345"/>
        </w:trPr>
        <w:tc>
          <w:tcPr>
            <w:tcW w:w="5235" w:type="dxa"/>
            <w:tcBorders>
              <w:top w:val="nil"/>
              <w:left w:val="single" w:sz="4" w:space="0" w:color="auto"/>
              <w:bottom w:val="single" w:sz="4" w:space="0" w:color="auto"/>
              <w:right w:val="single" w:sz="4" w:space="0" w:color="auto"/>
            </w:tcBorders>
            <w:shd w:val="clear" w:color="auto" w:fill="FFFFFF"/>
            <w:vAlign w:val="center"/>
          </w:tcPr>
          <w:p w:rsidR="002D4EC6" w:rsidRPr="007870E2" w:rsidRDefault="002D4EC6" w:rsidP="00372652">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CAREN (Central Asia Research and Education Network) 3</w:t>
            </w:r>
          </w:p>
        </w:tc>
        <w:tc>
          <w:tcPr>
            <w:tcW w:w="1824" w:type="dxa"/>
            <w:tcBorders>
              <w:top w:val="nil"/>
              <w:left w:val="nil"/>
              <w:bottom w:val="single" w:sz="4" w:space="0" w:color="auto"/>
              <w:right w:val="single" w:sz="4" w:space="0" w:color="auto"/>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Central Asia</w:t>
            </w:r>
          </w:p>
        </w:tc>
        <w:tc>
          <w:tcPr>
            <w:tcW w:w="2121" w:type="dxa"/>
            <w:gridSpan w:val="2"/>
            <w:tcBorders>
              <w:top w:val="nil"/>
              <w:left w:val="nil"/>
              <w:bottom w:val="single" w:sz="4" w:space="0" w:color="auto"/>
              <w:right w:val="single" w:sz="4" w:space="0" w:color="auto"/>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10,000,000</w:t>
            </w:r>
          </w:p>
        </w:tc>
      </w:tr>
      <w:tr w:rsidR="002D4EC6" w:rsidRPr="007870E2" w:rsidTr="00372652">
        <w:trPr>
          <w:trHeight w:val="345"/>
        </w:trPr>
        <w:tc>
          <w:tcPr>
            <w:tcW w:w="5235" w:type="dxa"/>
            <w:tcBorders>
              <w:top w:val="nil"/>
              <w:left w:val="single" w:sz="4" w:space="0" w:color="auto"/>
              <w:bottom w:val="single" w:sz="4" w:space="0" w:color="auto"/>
              <w:right w:val="single" w:sz="4" w:space="0" w:color="auto"/>
            </w:tcBorders>
            <w:shd w:val="clear" w:color="auto" w:fill="FFFFFF"/>
            <w:vAlign w:val="center"/>
          </w:tcPr>
          <w:p w:rsidR="002D4EC6" w:rsidRPr="007870E2" w:rsidRDefault="002D4EC6" w:rsidP="00372652">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EU-India cooperation on ICT-related standardisation, policy and legislation</w:t>
            </w:r>
          </w:p>
        </w:tc>
        <w:tc>
          <w:tcPr>
            <w:tcW w:w="1824" w:type="dxa"/>
            <w:tcBorders>
              <w:top w:val="nil"/>
              <w:left w:val="nil"/>
              <w:bottom w:val="single" w:sz="4" w:space="0" w:color="auto"/>
              <w:right w:val="single" w:sz="4" w:space="0" w:color="auto"/>
            </w:tcBorders>
            <w:shd w:val="clear" w:color="auto" w:fill="FFFFFF"/>
            <w:vAlign w:val="center"/>
          </w:tcPr>
          <w:p w:rsidR="002D4EC6" w:rsidRPr="007870E2" w:rsidRDefault="002D4EC6"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India</w:t>
            </w:r>
          </w:p>
        </w:tc>
        <w:tc>
          <w:tcPr>
            <w:tcW w:w="2121" w:type="dxa"/>
            <w:gridSpan w:val="2"/>
            <w:tcBorders>
              <w:top w:val="nil"/>
              <w:left w:val="nil"/>
              <w:bottom w:val="single" w:sz="4" w:space="0" w:color="auto"/>
              <w:right w:val="single" w:sz="4" w:space="0" w:color="auto"/>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2,400,000</w:t>
            </w:r>
          </w:p>
        </w:tc>
      </w:tr>
      <w:tr w:rsidR="002D4EC6" w:rsidRPr="007870E2" w:rsidTr="00372652">
        <w:trPr>
          <w:trHeight w:val="345"/>
        </w:trPr>
        <w:tc>
          <w:tcPr>
            <w:tcW w:w="5235" w:type="dxa"/>
            <w:tcBorders>
              <w:top w:val="nil"/>
              <w:left w:val="single" w:sz="4" w:space="0" w:color="auto"/>
              <w:bottom w:val="single" w:sz="4" w:space="0" w:color="auto"/>
              <w:right w:val="single" w:sz="4" w:space="0" w:color="auto"/>
            </w:tcBorders>
            <w:shd w:val="clear" w:color="auto" w:fill="FFFFFF"/>
            <w:vAlign w:val="center"/>
          </w:tcPr>
          <w:p w:rsidR="002D4EC6" w:rsidRPr="007870E2" w:rsidRDefault="00425AAC" w:rsidP="00425AAC">
            <w:pPr>
              <w:spacing w:before="60" w:after="60"/>
              <w:jc w:val="left"/>
              <w:rPr>
                <w:rFonts w:ascii="Arial" w:eastAsia="SimSun" w:hAnsi="Arial" w:cs="Arial"/>
                <w:sz w:val="18"/>
                <w:szCs w:val="18"/>
              </w:rPr>
            </w:pPr>
            <w:r w:rsidRPr="007870E2">
              <w:rPr>
                <w:rFonts w:ascii="Arial" w:eastAsia="SimSun" w:hAnsi="Arial" w:cs="Arial"/>
                <w:sz w:val="18"/>
                <w:szCs w:val="18"/>
              </w:rPr>
              <w:t>REACH-Rural broadband intE</w:t>
            </w:r>
            <w:r w:rsidR="002D4EC6" w:rsidRPr="007870E2">
              <w:rPr>
                <w:rFonts w:ascii="Arial" w:eastAsia="SimSun" w:hAnsi="Arial" w:cs="Arial"/>
                <w:sz w:val="18"/>
                <w:szCs w:val="18"/>
              </w:rPr>
              <w:t>rnet Access using Cooperative mesh networking in w</w:t>
            </w:r>
            <w:r w:rsidRPr="007870E2">
              <w:rPr>
                <w:rFonts w:ascii="Arial" w:eastAsia="SimSun" w:hAnsi="Arial" w:cs="Arial"/>
                <w:sz w:val="18"/>
                <w:szCs w:val="18"/>
              </w:rPr>
              <w:t>H</w:t>
            </w:r>
            <w:r w:rsidR="002D4EC6" w:rsidRPr="007870E2">
              <w:rPr>
                <w:rFonts w:ascii="Arial" w:eastAsia="SimSun" w:hAnsi="Arial" w:cs="Arial"/>
                <w:sz w:val="18"/>
                <w:szCs w:val="18"/>
              </w:rPr>
              <w:t>ite space spectrum</w:t>
            </w:r>
          </w:p>
        </w:tc>
        <w:tc>
          <w:tcPr>
            <w:tcW w:w="1824" w:type="dxa"/>
            <w:tcBorders>
              <w:top w:val="nil"/>
              <w:left w:val="nil"/>
              <w:bottom w:val="single" w:sz="4" w:space="0" w:color="auto"/>
              <w:right w:val="single" w:sz="4" w:space="0" w:color="auto"/>
            </w:tcBorders>
            <w:shd w:val="clear" w:color="auto" w:fill="FFFFFF"/>
            <w:vAlign w:val="center"/>
          </w:tcPr>
          <w:p w:rsidR="002D4EC6" w:rsidRPr="007870E2" w:rsidRDefault="002D4EC6" w:rsidP="00A928C7">
            <w:pPr>
              <w:spacing w:before="60" w:after="60"/>
              <w:jc w:val="center"/>
              <w:rPr>
                <w:rFonts w:ascii="Arial" w:eastAsia="SimSun" w:hAnsi="Arial" w:cs="Arial"/>
                <w:sz w:val="18"/>
                <w:szCs w:val="18"/>
              </w:rPr>
            </w:pPr>
            <w:r w:rsidRPr="007870E2">
              <w:rPr>
                <w:rFonts w:ascii="Arial" w:eastAsia="SimSun" w:hAnsi="Arial" w:cs="Arial"/>
                <w:sz w:val="18"/>
                <w:szCs w:val="18"/>
              </w:rPr>
              <w:t>India</w:t>
            </w:r>
          </w:p>
        </w:tc>
        <w:tc>
          <w:tcPr>
            <w:tcW w:w="2121" w:type="dxa"/>
            <w:gridSpan w:val="2"/>
            <w:tcBorders>
              <w:top w:val="nil"/>
              <w:left w:val="nil"/>
              <w:bottom w:val="single" w:sz="4" w:space="0" w:color="auto"/>
              <w:right w:val="single" w:sz="4" w:space="0" w:color="auto"/>
            </w:tcBorders>
            <w:shd w:val="clear" w:color="auto" w:fill="FFFFFF"/>
            <w:vAlign w:val="center"/>
          </w:tcPr>
          <w:p w:rsidR="002D4EC6" w:rsidRPr="007870E2" w:rsidRDefault="002D4EC6" w:rsidP="00A928C7">
            <w:pPr>
              <w:spacing w:before="60" w:after="60"/>
              <w:jc w:val="right"/>
              <w:rPr>
                <w:rFonts w:ascii="Arial" w:eastAsia="SimSun" w:hAnsi="Arial" w:cs="Arial"/>
                <w:sz w:val="18"/>
                <w:szCs w:val="18"/>
              </w:rPr>
            </w:pPr>
            <w:r w:rsidRPr="007870E2">
              <w:rPr>
                <w:rFonts w:ascii="Arial" w:eastAsia="SimSun" w:hAnsi="Arial" w:cs="Arial"/>
                <w:sz w:val="18"/>
                <w:szCs w:val="18"/>
              </w:rPr>
              <w:t>319,500</w:t>
            </w:r>
          </w:p>
        </w:tc>
      </w:tr>
      <w:tr w:rsidR="002D4EC6" w:rsidRPr="007870E2" w:rsidTr="00372652">
        <w:trPr>
          <w:trHeight w:val="345"/>
        </w:trPr>
        <w:tc>
          <w:tcPr>
            <w:tcW w:w="5235" w:type="dxa"/>
            <w:tcBorders>
              <w:top w:val="nil"/>
              <w:left w:val="single" w:sz="4" w:space="0" w:color="auto"/>
              <w:bottom w:val="single" w:sz="4" w:space="0" w:color="auto"/>
              <w:right w:val="single" w:sz="4" w:space="0" w:color="auto"/>
            </w:tcBorders>
            <w:shd w:val="clear" w:color="auto" w:fill="FFFFFF"/>
            <w:vAlign w:val="center"/>
          </w:tcPr>
          <w:p w:rsidR="002D4EC6" w:rsidRPr="007870E2" w:rsidRDefault="002D4EC6" w:rsidP="00A928C7">
            <w:pPr>
              <w:spacing w:before="60" w:after="60"/>
              <w:jc w:val="left"/>
              <w:rPr>
                <w:rFonts w:ascii="Arial" w:eastAsia="SimSun" w:hAnsi="Arial" w:cs="Arial"/>
                <w:sz w:val="18"/>
                <w:szCs w:val="18"/>
              </w:rPr>
            </w:pPr>
            <w:r w:rsidRPr="007870E2">
              <w:rPr>
                <w:rFonts w:ascii="Arial" w:eastAsia="SimSun" w:hAnsi="Arial" w:cs="Arial"/>
                <w:sz w:val="18"/>
                <w:szCs w:val="18"/>
              </w:rPr>
              <w:t>Support to the inception phase of the project ''EU-India co-operation on ICT-related standardisation, policy and legislation''</w:t>
            </w:r>
            <w:r w:rsidRPr="007870E2">
              <w:rPr>
                <w:rFonts w:ascii="Arial" w:eastAsia="SimSun" w:hAnsi="Arial" w:cs="Arial"/>
                <w:sz w:val="18"/>
                <w:szCs w:val="18"/>
              </w:rPr>
              <w:tab/>
            </w:r>
          </w:p>
        </w:tc>
        <w:tc>
          <w:tcPr>
            <w:tcW w:w="1824" w:type="dxa"/>
            <w:tcBorders>
              <w:top w:val="nil"/>
              <w:left w:val="nil"/>
              <w:bottom w:val="single" w:sz="4" w:space="0" w:color="auto"/>
              <w:right w:val="single" w:sz="4" w:space="0" w:color="auto"/>
            </w:tcBorders>
            <w:shd w:val="clear" w:color="auto" w:fill="FFFFFF"/>
            <w:vAlign w:val="center"/>
          </w:tcPr>
          <w:p w:rsidR="002D4EC6" w:rsidRPr="007870E2" w:rsidRDefault="00372652" w:rsidP="00A928C7">
            <w:pPr>
              <w:spacing w:before="60" w:after="60"/>
              <w:jc w:val="center"/>
              <w:rPr>
                <w:rFonts w:ascii="Arial" w:eastAsia="SimSun" w:hAnsi="Arial" w:cs="Arial"/>
                <w:sz w:val="18"/>
                <w:szCs w:val="18"/>
              </w:rPr>
            </w:pPr>
            <w:r w:rsidRPr="007870E2">
              <w:rPr>
                <w:rFonts w:ascii="Arial" w:eastAsia="SimSun" w:hAnsi="Arial" w:cs="Arial"/>
                <w:sz w:val="18"/>
                <w:szCs w:val="18"/>
              </w:rPr>
              <w:t>India</w:t>
            </w:r>
          </w:p>
        </w:tc>
        <w:tc>
          <w:tcPr>
            <w:tcW w:w="2121" w:type="dxa"/>
            <w:gridSpan w:val="2"/>
            <w:tcBorders>
              <w:top w:val="nil"/>
              <w:left w:val="nil"/>
              <w:bottom w:val="single" w:sz="4" w:space="0" w:color="auto"/>
              <w:right w:val="single" w:sz="4" w:space="0" w:color="auto"/>
            </w:tcBorders>
            <w:shd w:val="clear" w:color="auto" w:fill="FFFFFF"/>
            <w:vAlign w:val="center"/>
          </w:tcPr>
          <w:p w:rsidR="002D4EC6" w:rsidRPr="007870E2" w:rsidRDefault="002D4EC6" w:rsidP="00A928C7">
            <w:pPr>
              <w:spacing w:before="60" w:after="60"/>
              <w:jc w:val="right"/>
              <w:rPr>
                <w:rFonts w:ascii="Arial" w:eastAsia="SimSun" w:hAnsi="Arial" w:cs="Arial"/>
                <w:sz w:val="18"/>
                <w:szCs w:val="18"/>
              </w:rPr>
            </w:pPr>
            <w:r w:rsidRPr="007870E2">
              <w:rPr>
                <w:rFonts w:ascii="Arial" w:eastAsia="SimSun" w:hAnsi="Arial" w:cs="Arial"/>
                <w:sz w:val="18"/>
                <w:szCs w:val="18"/>
              </w:rPr>
              <w:t>251,000</w:t>
            </w:r>
          </w:p>
        </w:tc>
      </w:tr>
      <w:tr w:rsidR="002D4EC6" w:rsidRPr="007870E2" w:rsidTr="00E80646">
        <w:trPr>
          <w:trHeight w:val="380"/>
        </w:trPr>
        <w:tc>
          <w:tcPr>
            <w:tcW w:w="9180" w:type="dxa"/>
            <w:gridSpan w:val="4"/>
            <w:tcBorders>
              <w:top w:val="nil"/>
              <w:left w:val="single" w:sz="4" w:space="0" w:color="000000"/>
              <w:bottom w:val="single" w:sz="4" w:space="0" w:color="000000"/>
              <w:right w:val="single" w:sz="4" w:space="0" w:color="000000"/>
            </w:tcBorders>
            <w:shd w:val="clear" w:color="auto" w:fill="DDD9C3"/>
            <w:vAlign w:val="center"/>
          </w:tcPr>
          <w:p w:rsidR="002D4EC6" w:rsidRPr="007870E2" w:rsidRDefault="002D4EC6" w:rsidP="00E80646">
            <w:pPr>
              <w:spacing w:before="60" w:after="60"/>
              <w:rPr>
                <w:rFonts w:ascii="Arial" w:eastAsia="SimSun" w:hAnsi="Arial" w:cs="Arial"/>
                <w:sz w:val="18"/>
                <w:szCs w:val="18"/>
                <w:lang w:eastAsia="en-GB"/>
              </w:rPr>
            </w:pPr>
            <w:r w:rsidRPr="007870E2">
              <w:rPr>
                <w:rFonts w:ascii="Arial" w:eastAsia="SimSun" w:hAnsi="Arial" w:cs="Arial"/>
                <w:sz w:val="18"/>
                <w:szCs w:val="18"/>
                <w:lang w:eastAsia="en-GB"/>
              </w:rPr>
              <w:t>Latin America</w:t>
            </w:r>
          </w:p>
        </w:tc>
      </w:tr>
      <w:tr w:rsidR="002D4EC6" w:rsidRPr="007870E2" w:rsidTr="00372652">
        <w:trPr>
          <w:trHeight w:val="570"/>
        </w:trPr>
        <w:tc>
          <w:tcPr>
            <w:tcW w:w="5235" w:type="dxa"/>
            <w:tcBorders>
              <w:top w:val="nil"/>
              <w:left w:val="single" w:sz="4" w:space="0" w:color="000000"/>
              <w:bottom w:val="single" w:sz="4" w:space="0" w:color="000000"/>
              <w:right w:val="single" w:sz="4" w:space="0" w:color="000000"/>
            </w:tcBorders>
            <w:shd w:val="clear" w:color="auto" w:fill="FFFFFF"/>
            <w:vAlign w:val="center"/>
          </w:tcPr>
          <w:p w:rsidR="002D4EC6" w:rsidRPr="007870E2" w:rsidRDefault="00954F38" w:rsidP="00372652">
            <w:pPr>
              <w:spacing w:before="60" w:after="60"/>
              <w:jc w:val="left"/>
              <w:rPr>
                <w:rFonts w:ascii="Arial" w:eastAsia="SimSun" w:hAnsi="Arial" w:cs="Arial"/>
                <w:sz w:val="18"/>
                <w:szCs w:val="18"/>
                <w:lang w:eastAsia="en-GB"/>
              </w:rPr>
            </w:pPr>
            <w:r w:rsidRPr="007870E2">
              <w:rPr>
                <w:rFonts w:ascii="Arial" w:eastAsia="SimSun" w:hAnsi="Arial" w:cs="Arial"/>
                <w:sz w:val="18"/>
                <w:szCs w:val="18"/>
                <w:lang w:eastAsia="en-GB"/>
              </w:rPr>
              <w:t>Interconnection in Latin America</w:t>
            </w:r>
          </w:p>
        </w:tc>
        <w:tc>
          <w:tcPr>
            <w:tcW w:w="1824" w:type="dxa"/>
            <w:tcBorders>
              <w:top w:val="nil"/>
              <w:left w:val="nil"/>
              <w:bottom w:val="single" w:sz="4" w:space="0" w:color="000000"/>
              <w:right w:val="single" w:sz="4" w:space="0" w:color="000000"/>
            </w:tcBorders>
            <w:shd w:val="clear" w:color="auto" w:fill="FFFFFF"/>
            <w:vAlign w:val="center"/>
          </w:tcPr>
          <w:p w:rsidR="002D4EC6" w:rsidRPr="007870E2" w:rsidRDefault="00954F38" w:rsidP="00372652">
            <w:pPr>
              <w:spacing w:before="60" w:after="60"/>
              <w:jc w:val="center"/>
              <w:rPr>
                <w:rFonts w:ascii="Arial" w:eastAsia="SimSun" w:hAnsi="Arial" w:cs="Arial"/>
                <w:sz w:val="18"/>
                <w:szCs w:val="18"/>
                <w:lang w:eastAsia="en-GB"/>
              </w:rPr>
            </w:pPr>
            <w:r w:rsidRPr="007870E2">
              <w:rPr>
                <w:rFonts w:ascii="Arial" w:eastAsia="SimSun" w:hAnsi="Arial" w:cs="Arial"/>
                <w:sz w:val="18"/>
                <w:szCs w:val="18"/>
                <w:lang w:eastAsia="en-GB"/>
              </w:rPr>
              <w:t>Latin America and the Caribbean</w:t>
            </w:r>
          </w:p>
        </w:tc>
        <w:tc>
          <w:tcPr>
            <w:tcW w:w="2121" w:type="dxa"/>
            <w:gridSpan w:val="2"/>
            <w:tcBorders>
              <w:top w:val="nil"/>
              <w:left w:val="nil"/>
              <w:bottom w:val="single" w:sz="4" w:space="0" w:color="000000"/>
              <w:right w:val="single" w:sz="4" w:space="0" w:color="000000"/>
            </w:tcBorders>
            <w:shd w:val="clear" w:color="auto" w:fill="FFFFFF"/>
            <w:vAlign w:val="center"/>
          </w:tcPr>
          <w:p w:rsidR="002D4EC6" w:rsidRPr="007870E2" w:rsidRDefault="002D4EC6" w:rsidP="00372652">
            <w:pPr>
              <w:spacing w:before="60" w:after="60"/>
              <w:jc w:val="right"/>
              <w:rPr>
                <w:rFonts w:ascii="Arial" w:eastAsia="SimSun" w:hAnsi="Arial" w:cs="Arial"/>
                <w:sz w:val="18"/>
                <w:szCs w:val="18"/>
                <w:lang w:eastAsia="en-GB"/>
              </w:rPr>
            </w:pPr>
            <w:r w:rsidRPr="007870E2">
              <w:rPr>
                <w:rFonts w:ascii="Arial" w:eastAsia="SimSun" w:hAnsi="Arial" w:cs="Arial"/>
                <w:sz w:val="18"/>
                <w:szCs w:val="18"/>
                <w:lang w:eastAsia="en-GB"/>
              </w:rPr>
              <w:t>8,000,000</w:t>
            </w:r>
          </w:p>
        </w:tc>
      </w:tr>
      <w:tr w:rsidR="002D4EC6" w:rsidRPr="007870E2" w:rsidTr="00A928C7">
        <w:trPr>
          <w:trHeight w:val="375"/>
        </w:trPr>
        <w:tc>
          <w:tcPr>
            <w:tcW w:w="5235" w:type="dxa"/>
            <w:noWrap/>
            <w:vAlign w:val="center"/>
          </w:tcPr>
          <w:p w:rsidR="002D4EC6" w:rsidRPr="007870E2" w:rsidRDefault="002D4EC6" w:rsidP="00E80646">
            <w:pPr>
              <w:spacing w:before="60" w:after="60"/>
              <w:rPr>
                <w:rFonts w:ascii="Arial" w:eastAsia="SimSun" w:hAnsi="Arial" w:cs="Arial"/>
                <w:sz w:val="18"/>
                <w:szCs w:val="18"/>
                <w:lang w:eastAsia="en-GB"/>
              </w:rPr>
            </w:pPr>
          </w:p>
        </w:tc>
        <w:tc>
          <w:tcPr>
            <w:tcW w:w="1824" w:type="dxa"/>
            <w:tcBorders>
              <w:top w:val="nil"/>
              <w:left w:val="single" w:sz="4" w:space="0" w:color="auto"/>
              <w:bottom w:val="single" w:sz="4" w:space="0" w:color="auto"/>
              <w:right w:val="single" w:sz="4" w:space="0" w:color="auto"/>
            </w:tcBorders>
            <w:noWrap/>
            <w:vAlign w:val="center"/>
          </w:tcPr>
          <w:p w:rsidR="002D4EC6" w:rsidRPr="007870E2" w:rsidRDefault="002D4EC6" w:rsidP="00A928C7">
            <w:pPr>
              <w:spacing w:before="60" w:after="60"/>
              <w:jc w:val="left"/>
              <w:rPr>
                <w:rFonts w:ascii="Arial" w:eastAsia="SimSun" w:hAnsi="Arial" w:cs="Arial"/>
                <w:b/>
                <w:bCs/>
                <w:sz w:val="18"/>
                <w:szCs w:val="18"/>
                <w:lang w:eastAsia="en-GB"/>
              </w:rPr>
            </w:pPr>
            <w:r w:rsidRPr="007870E2">
              <w:rPr>
                <w:rFonts w:ascii="Arial" w:eastAsia="SimSun" w:hAnsi="Arial" w:cs="Arial"/>
                <w:b/>
                <w:bCs/>
                <w:sz w:val="18"/>
                <w:szCs w:val="18"/>
                <w:lang w:eastAsia="en-GB"/>
              </w:rPr>
              <w:t>TOTAL</w:t>
            </w:r>
          </w:p>
        </w:tc>
        <w:tc>
          <w:tcPr>
            <w:tcW w:w="2121" w:type="dxa"/>
            <w:gridSpan w:val="2"/>
            <w:tcBorders>
              <w:top w:val="nil"/>
              <w:left w:val="nil"/>
              <w:bottom w:val="single" w:sz="4" w:space="0" w:color="auto"/>
              <w:right w:val="single" w:sz="4" w:space="0" w:color="auto"/>
            </w:tcBorders>
            <w:noWrap/>
            <w:vAlign w:val="center"/>
          </w:tcPr>
          <w:p w:rsidR="002D4EC6" w:rsidRPr="007870E2" w:rsidRDefault="00442E66" w:rsidP="00A928C7">
            <w:pPr>
              <w:spacing w:before="60" w:after="60"/>
              <w:jc w:val="right"/>
              <w:rPr>
                <w:rFonts w:ascii="Arial" w:eastAsia="SimSun" w:hAnsi="Arial" w:cs="Arial"/>
                <w:b/>
                <w:bCs/>
                <w:sz w:val="18"/>
                <w:szCs w:val="18"/>
              </w:rPr>
            </w:pPr>
            <w:r w:rsidRPr="007870E2">
              <w:rPr>
                <w:rFonts w:ascii="Arial" w:eastAsia="SimSun" w:hAnsi="Arial" w:cs="Arial"/>
                <w:b/>
                <w:bCs/>
                <w:sz w:val="18"/>
                <w:szCs w:val="18"/>
                <w:lang w:eastAsia="en-GB"/>
              </w:rPr>
              <w:t>93,628,330</w:t>
            </w:r>
          </w:p>
        </w:tc>
      </w:tr>
    </w:tbl>
    <w:p w:rsidR="002D4EC6" w:rsidRPr="007870E2" w:rsidRDefault="007870E2" w:rsidP="000121FB">
      <w:pPr>
        <w:rPr>
          <w:b/>
          <w:bCs/>
          <w:sz w:val="22"/>
          <w:szCs w:val="22"/>
          <w:u w:val="single"/>
        </w:rPr>
      </w:pPr>
      <w:r w:rsidRPr="007870E2">
        <w:rPr>
          <w:rFonts w:eastAsia="SimSun"/>
          <w:b/>
          <w:bCs/>
          <w:color w:val="000000"/>
          <w:sz w:val="22"/>
          <w:szCs w:val="22"/>
          <w:u w:val="single"/>
          <w:lang w:eastAsia="en-GB"/>
        </w:rPr>
        <w:t>EU SUPPORTED ICT PROJECTS BY BLENDING EU GRANTS WITH LOANS FROM IFIs</w:t>
      </w:r>
    </w:p>
    <w:tbl>
      <w:tblPr>
        <w:tblW w:w="9300" w:type="dxa"/>
        <w:tblLook w:val="00A0" w:firstRow="1" w:lastRow="0" w:firstColumn="1" w:lastColumn="0" w:noHBand="0" w:noVBand="0"/>
      </w:tblPr>
      <w:tblGrid>
        <w:gridCol w:w="3960"/>
        <w:gridCol w:w="1420"/>
        <w:gridCol w:w="1500"/>
        <w:gridCol w:w="2420"/>
      </w:tblGrid>
      <w:tr w:rsidR="00A115ED" w:rsidRPr="00A115ED" w:rsidTr="00924637">
        <w:trPr>
          <w:trHeight w:val="375"/>
        </w:trPr>
        <w:tc>
          <w:tcPr>
            <w:tcW w:w="3960" w:type="dxa"/>
            <w:tcBorders>
              <w:top w:val="nil"/>
              <w:left w:val="single" w:sz="4" w:space="0" w:color="auto"/>
              <w:bottom w:val="single" w:sz="4" w:space="0" w:color="auto"/>
              <w:right w:val="single" w:sz="4" w:space="0" w:color="auto"/>
            </w:tcBorders>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PROJECT</w:t>
            </w:r>
          </w:p>
        </w:tc>
        <w:tc>
          <w:tcPr>
            <w:tcW w:w="1420" w:type="dxa"/>
            <w:tcBorders>
              <w:top w:val="nil"/>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REGION</w:t>
            </w:r>
          </w:p>
        </w:tc>
        <w:tc>
          <w:tcPr>
            <w:tcW w:w="1500" w:type="dxa"/>
            <w:tcBorders>
              <w:top w:val="nil"/>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STATUS</w:t>
            </w:r>
          </w:p>
        </w:tc>
        <w:tc>
          <w:tcPr>
            <w:tcW w:w="2420" w:type="dxa"/>
            <w:tcBorders>
              <w:top w:val="nil"/>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EU CONTRIBUTION</w:t>
            </w:r>
          </w:p>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(Grant, in €)</w:t>
            </w:r>
          </w:p>
        </w:tc>
      </w:tr>
      <w:tr w:rsidR="00A115ED" w:rsidRPr="00A115ED" w:rsidTr="00924637">
        <w:trPr>
          <w:trHeight w:val="375"/>
        </w:trPr>
        <w:tc>
          <w:tcPr>
            <w:tcW w:w="3960" w:type="dxa"/>
            <w:tcBorders>
              <w:top w:val="nil"/>
              <w:left w:val="single" w:sz="4" w:space="0" w:color="auto"/>
              <w:bottom w:val="single" w:sz="4" w:space="0" w:color="auto"/>
              <w:right w:val="single" w:sz="4" w:space="0" w:color="auto"/>
            </w:tcBorders>
            <w:vAlign w:val="center"/>
          </w:tcPr>
          <w:p w:rsidR="00A115ED" w:rsidRPr="007870E2" w:rsidRDefault="00A115ED" w:rsidP="00924637">
            <w:pPr>
              <w:widowControl/>
              <w:spacing w:before="60" w:after="60" w:line="240" w:lineRule="auto"/>
              <w:jc w:val="left"/>
              <w:rPr>
                <w:rFonts w:eastAsia="SimSun"/>
                <w:color w:val="444444"/>
                <w:sz w:val="18"/>
                <w:szCs w:val="18"/>
                <w:lang w:eastAsia="en-GB"/>
              </w:rPr>
            </w:pPr>
            <w:r w:rsidRPr="007870E2">
              <w:rPr>
                <w:rFonts w:eastAsia="SimSun"/>
                <w:color w:val="444444"/>
                <w:sz w:val="18"/>
                <w:szCs w:val="18"/>
                <w:lang w:eastAsia="en-GB"/>
              </w:rPr>
              <w:t>Mauritania Submarine Cable Connection</w:t>
            </w:r>
          </w:p>
        </w:tc>
        <w:tc>
          <w:tcPr>
            <w:tcW w:w="1420" w:type="dxa"/>
            <w:tcBorders>
              <w:top w:val="nil"/>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Mauritania</w:t>
            </w:r>
          </w:p>
        </w:tc>
        <w:tc>
          <w:tcPr>
            <w:tcW w:w="1500" w:type="dxa"/>
            <w:tcBorders>
              <w:top w:val="nil"/>
              <w:left w:val="nil"/>
              <w:bottom w:val="single" w:sz="4" w:space="0" w:color="auto"/>
              <w:right w:val="single" w:sz="4" w:space="0" w:color="auto"/>
            </w:tcBorders>
            <w:noWrap/>
          </w:tcPr>
          <w:p w:rsidR="00A115ED" w:rsidRPr="007870E2" w:rsidRDefault="00A115ED" w:rsidP="00924637">
            <w:pPr>
              <w:widowControl/>
              <w:spacing w:before="60" w:after="60" w:line="240" w:lineRule="auto"/>
              <w:jc w:val="left"/>
              <w:rPr>
                <w:rFonts w:eastAsia="SimSun"/>
                <w:color w:val="000000"/>
                <w:sz w:val="18"/>
                <w:szCs w:val="18"/>
                <w:lang w:eastAsia="en-GB"/>
              </w:rPr>
            </w:pPr>
            <w:r w:rsidRPr="007870E2">
              <w:rPr>
                <w:rFonts w:eastAsia="SimSun"/>
                <w:color w:val="000000"/>
                <w:sz w:val="18"/>
                <w:szCs w:val="18"/>
                <w:lang w:eastAsia="en-GB"/>
              </w:rPr>
              <w:t>Completed</w:t>
            </w:r>
          </w:p>
        </w:tc>
        <w:tc>
          <w:tcPr>
            <w:tcW w:w="2420" w:type="dxa"/>
            <w:tcBorders>
              <w:top w:val="nil"/>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right"/>
              <w:rPr>
                <w:rFonts w:eastAsia="SimSun"/>
                <w:color w:val="000000"/>
                <w:sz w:val="18"/>
                <w:szCs w:val="18"/>
                <w:lang w:eastAsia="en-GB"/>
              </w:rPr>
            </w:pPr>
            <w:r w:rsidRPr="007870E2">
              <w:rPr>
                <w:rFonts w:eastAsia="SimSun"/>
                <w:color w:val="000000"/>
                <w:sz w:val="18"/>
                <w:szCs w:val="18"/>
                <w:lang w:eastAsia="en-GB"/>
              </w:rPr>
              <w:t>1,626,791</w:t>
            </w:r>
          </w:p>
        </w:tc>
      </w:tr>
      <w:tr w:rsidR="00A115ED" w:rsidRPr="00A115ED" w:rsidTr="00924637">
        <w:trPr>
          <w:trHeight w:val="1335"/>
        </w:trPr>
        <w:tc>
          <w:tcPr>
            <w:tcW w:w="3960" w:type="dxa"/>
            <w:tcBorders>
              <w:top w:val="nil"/>
              <w:left w:val="single" w:sz="4" w:space="0" w:color="auto"/>
              <w:bottom w:val="single" w:sz="4" w:space="0" w:color="auto"/>
              <w:right w:val="single" w:sz="4" w:space="0" w:color="auto"/>
            </w:tcBorders>
            <w:vAlign w:val="center"/>
          </w:tcPr>
          <w:p w:rsidR="00A115ED" w:rsidRPr="007870E2" w:rsidRDefault="00A115ED" w:rsidP="00924637">
            <w:pPr>
              <w:widowControl/>
              <w:spacing w:before="60" w:after="60" w:line="240" w:lineRule="auto"/>
              <w:jc w:val="left"/>
              <w:rPr>
                <w:rFonts w:eastAsia="SimSun"/>
                <w:color w:val="444444"/>
                <w:sz w:val="18"/>
                <w:szCs w:val="18"/>
                <w:lang w:eastAsia="en-GB"/>
              </w:rPr>
            </w:pPr>
            <w:r w:rsidRPr="007870E2">
              <w:rPr>
                <w:rFonts w:eastAsia="SimSun"/>
                <w:color w:val="444444"/>
                <w:sz w:val="18"/>
                <w:szCs w:val="18"/>
                <w:lang w:eastAsia="en-GB"/>
              </w:rPr>
              <w:t>TA for the Feasibility Study on the terrestrial Segment of the NEPAD ICT Broadband Infrastructure Network for West, Central and North Africa</w:t>
            </w:r>
          </w:p>
        </w:tc>
        <w:tc>
          <w:tcPr>
            <w:tcW w:w="1420" w:type="dxa"/>
            <w:tcBorders>
              <w:top w:val="nil"/>
              <w:left w:val="nil"/>
              <w:bottom w:val="single" w:sz="4" w:space="0" w:color="auto"/>
              <w:right w:val="single" w:sz="4" w:space="0" w:color="auto"/>
            </w:tcBorders>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West, Central &amp; North Africa</w:t>
            </w:r>
          </w:p>
        </w:tc>
        <w:tc>
          <w:tcPr>
            <w:tcW w:w="1500" w:type="dxa"/>
            <w:tcBorders>
              <w:top w:val="nil"/>
              <w:left w:val="nil"/>
              <w:bottom w:val="single" w:sz="4" w:space="0" w:color="auto"/>
              <w:right w:val="single" w:sz="4" w:space="0" w:color="auto"/>
            </w:tcBorders>
            <w:noWrap/>
          </w:tcPr>
          <w:p w:rsidR="00A115ED" w:rsidRPr="007870E2" w:rsidRDefault="00A115ED" w:rsidP="00924637">
            <w:pPr>
              <w:widowControl/>
              <w:spacing w:before="60" w:after="60" w:line="240" w:lineRule="auto"/>
              <w:jc w:val="left"/>
              <w:rPr>
                <w:rFonts w:eastAsia="SimSun"/>
                <w:color w:val="000000"/>
                <w:sz w:val="18"/>
                <w:szCs w:val="18"/>
                <w:lang w:eastAsia="en-GB"/>
              </w:rPr>
            </w:pPr>
            <w:r w:rsidRPr="007870E2">
              <w:rPr>
                <w:rFonts w:eastAsia="SimSun"/>
                <w:color w:val="000000"/>
                <w:sz w:val="18"/>
                <w:szCs w:val="18"/>
                <w:lang w:eastAsia="en-GB"/>
              </w:rPr>
              <w:t>Completed</w:t>
            </w:r>
          </w:p>
        </w:tc>
        <w:tc>
          <w:tcPr>
            <w:tcW w:w="2420" w:type="dxa"/>
            <w:tcBorders>
              <w:top w:val="nil"/>
              <w:left w:val="nil"/>
              <w:bottom w:val="single" w:sz="4" w:space="0" w:color="auto"/>
              <w:right w:val="single" w:sz="4" w:space="0" w:color="auto"/>
            </w:tcBorders>
            <w:vAlign w:val="center"/>
          </w:tcPr>
          <w:p w:rsidR="00A115ED" w:rsidRPr="007870E2" w:rsidRDefault="00A115ED" w:rsidP="00924637">
            <w:pPr>
              <w:widowControl/>
              <w:spacing w:before="60" w:after="60" w:line="240" w:lineRule="auto"/>
              <w:jc w:val="right"/>
              <w:rPr>
                <w:rFonts w:eastAsia="SimSun"/>
                <w:color w:val="000000"/>
                <w:sz w:val="18"/>
                <w:szCs w:val="18"/>
                <w:lang w:eastAsia="en-GB"/>
              </w:rPr>
            </w:pPr>
            <w:r w:rsidRPr="007870E2">
              <w:rPr>
                <w:rFonts w:eastAsia="SimSun"/>
                <w:color w:val="000000"/>
                <w:sz w:val="18"/>
                <w:szCs w:val="18"/>
                <w:lang w:eastAsia="en-GB"/>
              </w:rPr>
              <w:t>1,350,000</w:t>
            </w:r>
          </w:p>
        </w:tc>
      </w:tr>
      <w:tr w:rsidR="00A115ED" w:rsidRPr="00A115ED" w:rsidTr="00924637">
        <w:trPr>
          <w:trHeight w:val="375"/>
        </w:trPr>
        <w:tc>
          <w:tcPr>
            <w:tcW w:w="3960" w:type="dxa"/>
            <w:tcBorders>
              <w:top w:val="nil"/>
              <w:left w:val="single" w:sz="4" w:space="0" w:color="auto"/>
              <w:bottom w:val="single" w:sz="4" w:space="0" w:color="auto"/>
              <w:right w:val="single" w:sz="4" w:space="0" w:color="auto"/>
            </w:tcBorders>
            <w:vAlign w:val="center"/>
          </w:tcPr>
          <w:p w:rsidR="00A115ED" w:rsidRPr="007870E2" w:rsidRDefault="00A115ED" w:rsidP="00924637">
            <w:pPr>
              <w:widowControl/>
              <w:spacing w:before="60" w:after="60" w:line="240" w:lineRule="auto"/>
              <w:jc w:val="left"/>
              <w:rPr>
                <w:rFonts w:eastAsia="SimSun"/>
                <w:color w:val="444444"/>
                <w:sz w:val="18"/>
                <w:szCs w:val="18"/>
                <w:lang w:eastAsia="en-GB"/>
              </w:rPr>
            </w:pPr>
            <w:r w:rsidRPr="007870E2">
              <w:rPr>
                <w:rFonts w:eastAsia="SimSun"/>
                <w:color w:val="444444"/>
                <w:sz w:val="18"/>
                <w:szCs w:val="18"/>
                <w:lang w:eastAsia="en-GB"/>
              </w:rPr>
              <w:t>Seychelles East Africa Submarine Cable</w:t>
            </w:r>
          </w:p>
        </w:tc>
        <w:tc>
          <w:tcPr>
            <w:tcW w:w="1420" w:type="dxa"/>
            <w:tcBorders>
              <w:top w:val="nil"/>
              <w:left w:val="nil"/>
              <w:bottom w:val="nil"/>
              <w:right w:val="nil"/>
            </w:tcBorders>
            <w:noWrap/>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Seychelles</w:t>
            </w:r>
          </w:p>
        </w:tc>
        <w:tc>
          <w:tcPr>
            <w:tcW w:w="1500" w:type="dxa"/>
            <w:tcBorders>
              <w:top w:val="nil"/>
              <w:left w:val="single" w:sz="4" w:space="0" w:color="auto"/>
              <w:bottom w:val="nil"/>
              <w:right w:val="single" w:sz="4" w:space="0" w:color="auto"/>
            </w:tcBorders>
            <w:noWrap/>
          </w:tcPr>
          <w:p w:rsidR="00A115ED" w:rsidRPr="007870E2" w:rsidRDefault="00A115ED" w:rsidP="00924637">
            <w:pPr>
              <w:widowControl/>
              <w:spacing w:before="60" w:after="60" w:line="240" w:lineRule="auto"/>
              <w:jc w:val="left"/>
              <w:rPr>
                <w:rFonts w:eastAsia="SimSun"/>
                <w:color w:val="000000"/>
                <w:sz w:val="18"/>
                <w:szCs w:val="18"/>
                <w:lang w:eastAsia="en-GB"/>
              </w:rPr>
            </w:pPr>
            <w:r w:rsidRPr="007870E2">
              <w:rPr>
                <w:rFonts w:eastAsia="SimSun"/>
                <w:color w:val="000000"/>
                <w:sz w:val="18"/>
                <w:szCs w:val="18"/>
                <w:lang w:eastAsia="en-GB"/>
              </w:rPr>
              <w:t>Completed</w:t>
            </w:r>
          </w:p>
        </w:tc>
        <w:tc>
          <w:tcPr>
            <w:tcW w:w="2420" w:type="dxa"/>
            <w:tcBorders>
              <w:top w:val="nil"/>
              <w:left w:val="nil"/>
              <w:bottom w:val="nil"/>
              <w:right w:val="single" w:sz="4" w:space="0" w:color="auto"/>
            </w:tcBorders>
            <w:vAlign w:val="center"/>
          </w:tcPr>
          <w:p w:rsidR="00A115ED" w:rsidRPr="007870E2" w:rsidRDefault="00A115ED" w:rsidP="00924637">
            <w:pPr>
              <w:widowControl/>
              <w:spacing w:before="60" w:after="60" w:line="240" w:lineRule="auto"/>
              <w:jc w:val="right"/>
              <w:rPr>
                <w:rFonts w:eastAsia="SimSun"/>
                <w:color w:val="000000"/>
                <w:sz w:val="18"/>
                <w:szCs w:val="18"/>
                <w:lang w:eastAsia="en-GB"/>
              </w:rPr>
            </w:pPr>
            <w:r w:rsidRPr="007870E2">
              <w:rPr>
                <w:rFonts w:eastAsia="SimSun"/>
                <w:color w:val="000000"/>
                <w:sz w:val="18"/>
                <w:szCs w:val="18"/>
                <w:lang w:eastAsia="en-GB"/>
              </w:rPr>
              <w:t>4,000,000</w:t>
            </w:r>
          </w:p>
        </w:tc>
      </w:tr>
      <w:tr w:rsidR="00A115ED" w:rsidRPr="00A115ED" w:rsidTr="00924637">
        <w:trPr>
          <w:trHeight w:val="600"/>
        </w:trPr>
        <w:tc>
          <w:tcPr>
            <w:tcW w:w="3960" w:type="dxa"/>
            <w:tcBorders>
              <w:top w:val="nil"/>
              <w:left w:val="single" w:sz="4" w:space="0" w:color="auto"/>
              <w:bottom w:val="single" w:sz="4" w:space="0" w:color="auto"/>
              <w:right w:val="single" w:sz="4" w:space="0" w:color="auto"/>
            </w:tcBorders>
            <w:vAlign w:val="center"/>
          </w:tcPr>
          <w:p w:rsidR="00A115ED" w:rsidRPr="007870E2" w:rsidRDefault="00A115ED" w:rsidP="00924637">
            <w:pPr>
              <w:widowControl/>
              <w:spacing w:before="60" w:after="60" w:line="240" w:lineRule="auto"/>
              <w:jc w:val="left"/>
              <w:rPr>
                <w:rFonts w:eastAsia="SimSun"/>
                <w:color w:val="444444"/>
                <w:sz w:val="18"/>
                <w:szCs w:val="18"/>
                <w:lang w:eastAsia="en-GB"/>
              </w:rPr>
            </w:pPr>
            <w:r w:rsidRPr="007870E2">
              <w:rPr>
                <w:rFonts w:eastAsia="SimSun"/>
                <w:color w:val="444444"/>
                <w:sz w:val="18"/>
                <w:szCs w:val="18"/>
                <w:lang w:eastAsia="en-GB"/>
              </w:rPr>
              <w:t>Satellite enhanced Telemedicine and e-Health for sub-Saharan Africa</w:t>
            </w:r>
          </w:p>
        </w:tc>
        <w:tc>
          <w:tcPr>
            <w:tcW w:w="1420" w:type="dxa"/>
            <w:tcBorders>
              <w:top w:val="single" w:sz="4" w:space="0" w:color="auto"/>
              <w:left w:val="nil"/>
              <w:bottom w:val="single" w:sz="4" w:space="0" w:color="auto"/>
              <w:right w:val="single" w:sz="4" w:space="0" w:color="auto"/>
            </w:tcBorders>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Sub-Saharan Africa</w:t>
            </w:r>
          </w:p>
        </w:tc>
        <w:tc>
          <w:tcPr>
            <w:tcW w:w="1500" w:type="dxa"/>
            <w:tcBorders>
              <w:top w:val="single" w:sz="4" w:space="0" w:color="auto"/>
              <w:left w:val="nil"/>
              <w:bottom w:val="single" w:sz="4" w:space="0" w:color="auto"/>
              <w:right w:val="single" w:sz="4" w:space="0" w:color="auto"/>
            </w:tcBorders>
          </w:tcPr>
          <w:p w:rsidR="00A115ED" w:rsidRPr="007870E2" w:rsidRDefault="00A115ED" w:rsidP="00924637">
            <w:pPr>
              <w:widowControl/>
              <w:spacing w:before="60" w:after="60" w:line="240" w:lineRule="auto"/>
              <w:jc w:val="left"/>
              <w:rPr>
                <w:rFonts w:eastAsia="SimSun"/>
                <w:color w:val="000000"/>
                <w:sz w:val="18"/>
                <w:szCs w:val="18"/>
                <w:lang w:eastAsia="en-GB"/>
              </w:rPr>
            </w:pPr>
            <w:r w:rsidRPr="007870E2">
              <w:rPr>
                <w:rFonts w:eastAsia="SimSun"/>
                <w:color w:val="000000"/>
                <w:sz w:val="18"/>
                <w:szCs w:val="18"/>
                <w:lang w:eastAsia="en-GB"/>
              </w:rPr>
              <w:t>On-going</w:t>
            </w:r>
          </w:p>
        </w:tc>
        <w:tc>
          <w:tcPr>
            <w:tcW w:w="2420" w:type="dxa"/>
            <w:tcBorders>
              <w:top w:val="single" w:sz="4" w:space="0" w:color="auto"/>
              <w:left w:val="nil"/>
              <w:bottom w:val="single" w:sz="4" w:space="0" w:color="auto"/>
              <w:right w:val="single" w:sz="4" w:space="0" w:color="auto"/>
            </w:tcBorders>
            <w:vAlign w:val="center"/>
          </w:tcPr>
          <w:p w:rsidR="00A115ED" w:rsidRPr="007870E2" w:rsidRDefault="00A115ED" w:rsidP="00924637">
            <w:pPr>
              <w:widowControl/>
              <w:spacing w:before="60" w:after="60" w:line="240" w:lineRule="auto"/>
              <w:jc w:val="right"/>
              <w:rPr>
                <w:rFonts w:eastAsia="SimSun"/>
                <w:color w:val="000000"/>
                <w:sz w:val="18"/>
                <w:szCs w:val="18"/>
                <w:lang w:eastAsia="en-GB"/>
              </w:rPr>
            </w:pPr>
            <w:r w:rsidRPr="007870E2">
              <w:rPr>
                <w:rFonts w:eastAsia="SimSun"/>
                <w:color w:val="000000"/>
                <w:sz w:val="18"/>
                <w:szCs w:val="18"/>
                <w:lang w:eastAsia="en-GB"/>
              </w:rPr>
              <w:t>4,000,000</w:t>
            </w:r>
          </w:p>
        </w:tc>
      </w:tr>
      <w:tr w:rsidR="00A115ED" w:rsidRPr="00A115ED" w:rsidTr="00924637">
        <w:trPr>
          <w:trHeight w:val="375"/>
        </w:trPr>
        <w:tc>
          <w:tcPr>
            <w:tcW w:w="3960" w:type="dxa"/>
            <w:tcBorders>
              <w:top w:val="nil"/>
              <w:left w:val="single" w:sz="4" w:space="0" w:color="auto"/>
              <w:bottom w:val="single" w:sz="4" w:space="0" w:color="auto"/>
              <w:right w:val="single" w:sz="4" w:space="0" w:color="auto"/>
            </w:tcBorders>
            <w:vAlign w:val="center"/>
          </w:tcPr>
          <w:p w:rsidR="00A115ED" w:rsidRPr="007870E2" w:rsidRDefault="00A115ED" w:rsidP="00924637">
            <w:pPr>
              <w:widowControl/>
              <w:spacing w:before="60" w:after="60" w:line="240" w:lineRule="auto"/>
              <w:jc w:val="left"/>
              <w:rPr>
                <w:rFonts w:eastAsia="SimSun"/>
                <w:color w:val="000000"/>
                <w:sz w:val="18"/>
                <w:szCs w:val="18"/>
                <w:lang w:eastAsia="en-GB"/>
              </w:rPr>
            </w:pPr>
            <w:r w:rsidRPr="007870E2">
              <w:rPr>
                <w:rFonts w:eastAsia="SimSun"/>
                <w:color w:val="000000"/>
                <w:sz w:val="18"/>
                <w:szCs w:val="18"/>
                <w:lang w:eastAsia="en-GB"/>
              </w:rPr>
              <w:t>African Internet Exchange System (AXIS)</w:t>
            </w:r>
          </w:p>
        </w:tc>
        <w:tc>
          <w:tcPr>
            <w:tcW w:w="1420" w:type="dxa"/>
            <w:tcBorders>
              <w:top w:val="nil"/>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Africa</w:t>
            </w:r>
          </w:p>
        </w:tc>
        <w:tc>
          <w:tcPr>
            <w:tcW w:w="1500" w:type="dxa"/>
            <w:tcBorders>
              <w:top w:val="nil"/>
              <w:left w:val="nil"/>
              <w:bottom w:val="single" w:sz="4" w:space="0" w:color="auto"/>
              <w:right w:val="single" w:sz="4" w:space="0" w:color="auto"/>
            </w:tcBorders>
          </w:tcPr>
          <w:p w:rsidR="00A115ED" w:rsidRPr="007870E2" w:rsidRDefault="00A115ED" w:rsidP="00924637">
            <w:pPr>
              <w:widowControl/>
              <w:spacing w:before="60" w:after="60" w:line="240" w:lineRule="auto"/>
              <w:jc w:val="left"/>
              <w:rPr>
                <w:rFonts w:eastAsia="SimSun"/>
                <w:color w:val="000000"/>
                <w:sz w:val="18"/>
                <w:szCs w:val="18"/>
                <w:lang w:eastAsia="en-GB"/>
              </w:rPr>
            </w:pPr>
            <w:r w:rsidRPr="007870E2">
              <w:rPr>
                <w:rFonts w:eastAsia="SimSun"/>
                <w:color w:val="000000"/>
                <w:sz w:val="18"/>
                <w:szCs w:val="18"/>
                <w:lang w:eastAsia="en-GB"/>
              </w:rPr>
              <w:t>On-going</w:t>
            </w:r>
          </w:p>
        </w:tc>
        <w:tc>
          <w:tcPr>
            <w:tcW w:w="2420" w:type="dxa"/>
            <w:tcBorders>
              <w:top w:val="nil"/>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right"/>
              <w:rPr>
                <w:rFonts w:eastAsia="SimSun"/>
                <w:color w:val="000000"/>
                <w:sz w:val="18"/>
                <w:szCs w:val="18"/>
                <w:lang w:eastAsia="en-GB"/>
              </w:rPr>
            </w:pPr>
            <w:r w:rsidRPr="007870E2">
              <w:rPr>
                <w:rFonts w:eastAsia="SimSun"/>
                <w:color w:val="000000"/>
                <w:sz w:val="18"/>
                <w:szCs w:val="18"/>
                <w:lang w:eastAsia="en-GB"/>
              </w:rPr>
              <w:t>5,100,000</w:t>
            </w:r>
          </w:p>
        </w:tc>
      </w:tr>
      <w:tr w:rsidR="00A115ED" w:rsidRPr="00A115ED" w:rsidTr="00924637">
        <w:trPr>
          <w:trHeight w:val="519"/>
        </w:trPr>
        <w:tc>
          <w:tcPr>
            <w:tcW w:w="3960" w:type="dxa"/>
            <w:tcBorders>
              <w:top w:val="nil"/>
              <w:left w:val="single" w:sz="4" w:space="0" w:color="auto"/>
              <w:bottom w:val="single" w:sz="4" w:space="0" w:color="auto"/>
              <w:right w:val="single" w:sz="4" w:space="0" w:color="auto"/>
            </w:tcBorders>
            <w:vAlign w:val="center"/>
          </w:tcPr>
          <w:p w:rsidR="00A115ED" w:rsidRPr="007870E2" w:rsidRDefault="00A115ED" w:rsidP="00924637">
            <w:pPr>
              <w:widowControl/>
              <w:spacing w:before="60" w:after="60" w:line="240" w:lineRule="auto"/>
              <w:jc w:val="left"/>
              <w:rPr>
                <w:rFonts w:eastAsia="SimSun"/>
                <w:color w:val="000000"/>
                <w:sz w:val="18"/>
                <w:szCs w:val="18"/>
                <w:lang w:eastAsia="en-GB"/>
              </w:rPr>
            </w:pPr>
            <w:r w:rsidRPr="007870E2">
              <w:rPr>
                <w:rFonts w:eastAsia="SimSun"/>
                <w:color w:val="000000"/>
                <w:sz w:val="18"/>
                <w:szCs w:val="18"/>
                <w:lang w:eastAsia="en-GB"/>
              </w:rPr>
              <w:t>East African Submarine Cable System (EASSy)</w:t>
            </w:r>
          </w:p>
        </w:tc>
        <w:tc>
          <w:tcPr>
            <w:tcW w:w="1420" w:type="dxa"/>
            <w:tcBorders>
              <w:top w:val="nil"/>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center"/>
              <w:rPr>
                <w:rFonts w:eastAsia="SimSun"/>
                <w:color w:val="000000"/>
                <w:sz w:val="18"/>
                <w:szCs w:val="18"/>
                <w:lang w:eastAsia="en-GB"/>
              </w:rPr>
            </w:pPr>
            <w:r w:rsidRPr="007870E2">
              <w:rPr>
                <w:rFonts w:eastAsia="SimSun"/>
                <w:color w:val="000000"/>
                <w:sz w:val="18"/>
                <w:szCs w:val="18"/>
                <w:lang w:eastAsia="en-GB"/>
              </w:rPr>
              <w:t>East Africa</w:t>
            </w:r>
          </w:p>
        </w:tc>
        <w:tc>
          <w:tcPr>
            <w:tcW w:w="1500" w:type="dxa"/>
            <w:tcBorders>
              <w:top w:val="nil"/>
              <w:left w:val="nil"/>
              <w:bottom w:val="nil"/>
              <w:right w:val="single" w:sz="4" w:space="0" w:color="auto"/>
            </w:tcBorders>
            <w:noWrap/>
          </w:tcPr>
          <w:p w:rsidR="00A115ED" w:rsidRPr="007870E2" w:rsidRDefault="00A115ED" w:rsidP="00924637">
            <w:pPr>
              <w:widowControl/>
              <w:spacing w:before="60" w:after="60" w:line="240" w:lineRule="auto"/>
              <w:jc w:val="left"/>
              <w:rPr>
                <w:rFonts w:eastAsia="SimSun"/>
                <w:color w:val="000000"/>
                <w:sz w:val="18"/>
                <w:szCs w:val="18"/>
                <w:lang w:eastAsia="en-GB"/>
              </w:rPr>
            </w:pPr>
            <w:r w:rsidRPr="007870E2">
              <w:rPr>
                <w:rFonts w:eastAsia="SimSun"/>
                <w:color w:val="000000"/>
                <w:sz w:val="18"/>
                <w:szCs w:val="18"/>
                <w:lang w:eastAsia="en-GB"/>
              </w:rPr>
              <w:t>Completed</w:t>
            </w:r>
          </w:p>
        </w:tc>
        <w:tc>
          <w:tcPr>
            <w:tcW w:w="2420" w:type="dxa"/>
            <w:tcBorders>
              <w:top w:val="nil"/>
              <w:left w:val="nil"/>
              <w:bottom w:val="nil"/>
              <w:right w:val="single" w:sz="4" w:space="0" w:color="auto"/>
            </w:tcBorders>
            <w:noWrap/>
            <w:vAlign w:val="center"/>
          </w:tcPr>
          <w:p w:rsidR="00A115ED" w:rsidRPr="007870E2" w:rsidRDefault="00A115ED" w:rsidP="00924637">
            <w:pPr>
              <w:widowControl/>
              <w:spacing w:before="60" w:after="60" w:line="240" w:lineRule="auto"/>
              <w:jc w:val="right"/>
              <w:rPr>
                <w:rFonts w:eastAsia="SimSun"/>
                <w:color w:val="000000"/>
                <w:sz w:val="18"/>
                <w:szCs w:val="18"/>
                <w:lang w:eastAsia="en-GB"/>
              </w:rPr>
            </w:pPr>
            <w:r w:rsidRPr="007870E2">
              <w:rPr>
                <w:rFonts w:eastAsia="SimSun"/>
                <w:color w:val="000000"/>
                <w:sz w:val="18"/>
                <w:szCs w:val="18"/>
                <w:lang w:eastAsia="en-GB"/>
              </w:rPr>
              <w:t>2,600,000</w:t>
            </w:r>
          </w:p>
        </w:tc>
      </w:tr>
      <w:tr w:rsidR="00A115ED" w:rsidRPr="00A115ED" w:rsidTr="00924637">
        <w:trPr>
          <w:trHeight w:val="420"/>
        </w:trPr>
        <w:tc>
          <w:tcPr>
            <w:tcW w:w="3960" w:type="dxa"/>
            <w:tcBorders>
              <w:top w:val="nil"/>
              <w:left w:val="nil"/>
              <w:bottom w:val="nil"/>
              <w:right w:val="nil"/>
            </w:tcBorders>
          </w:tcPr>
          <w:p w:rsidR="00A115ED" w:rsidRPr="007870E2" w:rsidRDefault="00A115ED" w:rsidP="00924637">
            <w:pPr>
              <w:widowControl/>
              <w:spacing w:before="60" w:after="60" w:line="240" w:lineRule="auto"/>
              <w:jc w:val="left"/>
              <w:rPr>
                <w:rFonts w:eastAsia="SimSun"/>
                <w:color w:val="000000"/>
                <w:sz w:val="18"/>
                <w:szCs w:val="18"/>
                <w:lang w:eastAsia="en-GB"/>
              </w:rPr>
            </w:pPr>
          </w:p>
        </w:tc>
        <w:tc>
          <w:tcPr>
            <w:tcW w:w="1420" w:type="dxa"/>
            <w:tcBorders>
              <w:top w:val="nil"/>
              <w:left w:val="nil"/>
              <w:bottom w:val="nil"/>
              <w:right w:val="nil"/>
            </w:tcBorders>
            <w:noWrap/>
          </w:tcPr>
          <w:p w:rsidR="00A115ED" w:rsidRPr="007870E2" w:rsidRDefault="00A115ED" w:rsidP="00924637">
            <w:pPr>
              <w:widowControl/>
              <w:spacing w:before="60" w:after="60" w:line="240" w:lineRule="auto"/>
              <w:jc w:val="left"/>
              <w:rPr>
                <w:rFonts w:eastAsia="SimSun"/>
                <w:color w:val="000000"/>
                <w:sz w:val="18"/>
                <w:szCs w:val="18"/>
                <w:lang w:eastAsia="en-GB"/>
              </w:rPr>
            </w:pPr>
          </w:p>
        </w:tc>
        <w:tc>
          <w:tcPr>
            <w:tcW w:w="1500" w:type="dxa"/>
            <w:tcBorders>
              <w:top w:val="single" w:sz="4" w:space="0" w:color="auto"/>
              <w:left w:val="single" w:sz="4" w:space="0" w:color="auto"/>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left"/>
              <w:rPr>
                <w:rFonts w:eastAsia="SimSun"/>
                <w:b/>
                <w:bCs/>
                <w:color w:val="000000"/>
                <w:sz w:val="18"/>
                <w:szCs w:val="18"/>
                <w:lang w:eastAsia="en-GB"/>
              </w:rPr>
            </w:pPr>
            <w:r w:rsidRPr="007870E2">
              <w:rPr>
                <w:rFonts w:eastAsia="SimSun"/>
                <w:b/>
                <w:bCs/>
                <w:color w:val="000000"/>
                <w:sz w:val="18"/>
                <w:szCs w:val="18"/>
                <w:lang w:eastAsia="en-GB"/>
              </w:rPr>
              <w:t>TOTAL</w:t>
            </w:r>
          </w:p>
        </w:tc>
        <w:tc>
          <w:tcPr>
            <w:tcW w:w="2420" w:type="dxa"/>
            <w:tcBorders>
              <w:top w:val="single" w:sz="4" w:space="0" w:color="auto"/>
              <w:left w:val="nil"/>
              <w:bottom w:val="single" w:sz="4" w:space="0" w:color="auto"/>
              <w:right w:val="single" w:sz="4" w:space="0" w:color="auto"/>
            </w:tcBorders>
            <w:noWrap/>
            <w:vAlign w:val="center"/>
          </w:tcPr>
          <w:p w:rsidR="00A115ED" w:rsidRPr="007870E2" w:rsidRDefault="00A115ED" w:rsidP="00924637">
            <w:pPr>
              <w:widowControl/>
              <w:spacing w:before="60" w:after="60" w:line="240" w:lineRule="auto"/>
              <w:jc w:val="right"/>
              <w:rPr>
                <w:rFonts w:eastAsia="SimSun"/>
                <w:b/>
                <w:bCs/>
                <w:color w:val="000000"/>
                <w:sz w:val="18"/>
                <w:szCs w:val="18"/>
                <w:lang w:eastAsia="en-GB"/>
              </w:rPr>
            </w:pPr>
            <w:r w:rsidRPr="007870E2">
              <w:rPr>
                <w:rFonts w:eastAsia="SimSun"/>
                <w:b/>
                <w:bCs/>
                <w:color w:val="000000"/>
                <w:sz w:val="18"/>
                <w:szCs w:val="18"/>
                <w:lang w:eastAsia="en-GB"/>
              </w:rPr>
              <w:t>18,676,791</w:t>
            </w:r>
          </w:p>
        </w:tc>
      </w:tr>
    </w:tbl>
    <w:p w:rsidR="002D4EC6" w:rsidRDefault="002D4EC6" w:rsidP="000121FB">
      <w:pPr>
        <w:rPr>
          <w:b/>
          <w:bCs/>
          <w:sz w:val="24"/>
          <w:szCs w:val="24"/>
        </w:rPr>
      </w:pPr>
    </w:p>
    <w:p w:rsidR="001C5612" w:rsidRPr="00F661EF" w:rsidRDefault="001C5612" w:rsidP="00D72036">
      <w:pPr>
        <w:rPr>
          <w:caps/>
          <w:sz w:val="20"/>
          <w:szCs w:val="20"/>
        </w:rPr>
      </w:pPr>
    </w:p>
    <w:sectPr w:rsidR="001C5612" w:rsidRPr="00F661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338" w:rsidRDefault="00267338" w:rsidP="00E24C43">
      <w:r>
        <w:separator/>
      </w:r>
    </w:p>
  </w:endnote>
  <w:endnote w:type="continuationSeparator" w:id="0">
    <w:p w:rsidR="00267338" w:rsidRDefault="00267338" w:rsidP="00E2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35" w:rsidRDefault="00C57935" w:rsidP="00D430F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35" w:rsidRPr="00D430F2" w:rsidRDefault="00C57935" w:rsidP="00D43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35" w:rsidRDefault="00C57935" w:rsidP="00D430F2">
    <w:pPr>
      <w:pStyle w:val="Footer"/>
      <w:jc w:val="right"/>
    </w:pPr>
    <w:r>
      <w:fldChar w:fldCharType="begin"/>
    </w:r>
    <w:r>
      <w:instrText xml:space="preserve"> PAGE   \* MERGEFORMAT </w:instrText>
    </w:r>
    <w:r>
      <w:fldChar w:fldCharType="separate"/>
    </w:r>
    <w:r w:rsidR="002F303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338" w:rsidRDefault="00267338" w:rsidP="00E24C43">
      <w:r>
        <w:separator/>
      </w:r>
    </w:p>
  </w:footnote>
  <w:footnote w:type="continuationSeparator" w:id="0">
    <w:p w:rsidR="00267338" w:rsidRDefault="00267338" w:rsidP="00E24C43">
      <w:r>
        <w:continuationSeparator/>
      </w:r>
    </w:p>
  </w:footnote>
  <w:footnote w:id="1">
    <w:p w:rsidR="00C57935" w:rsidRDefault="00C57935">
      <w:pPr>
        <w:pStyle w:val="FootnoteText"/>
      </w:pPr>
      <w:r>
        <w:rPr>
          <w:rStyle w:val="FootnoteReference"/>
        </w:rPr>
        <w:footnoteRef/>
      </w:r>
      <w:r>
        <w:t xml:space="preserve"> World Development Report 2016 - Digital Dividends. The World Bank. 2016. </w:t>
      </w:r>
    </w:p>
  </w:footnote>
  <w:footnote w:id="2">
    <w:p w:rsidR="00C57935" w:rsidRDefault="00C57935">
      <w:pPr>
        <w:pStyle w:val="FootnoteText"/>
      </w:pPr>
      <w:r>
        <w:rPr>
          <w:rStyle w:val="FootnoteReference"/>
        </w:rPr>
        <w:footnoteRef/>
      </w:r>
      <w:r>
        <w:t xml:space="preserve"> Ibid 1</w:t>
      </w:r>
    </w:p>
  </w:footnote>
  <w:footnote w:id="3">
    <w:p w:rsidR="00C57935" w:rsidRPr="005C273F" w:rsidRDefault="00C57935">
      <w:pPr>
        <w:pStyle w:val="FootnoteText"/>
      </w:pPr>
      <w:r>
        <w:rPr>
          <w:rStyle w:val="FootnoteReference"/>
        </w:rPr>
        <w:footnoteRef/>
      </w:r>
      <w:r>
        <w:t xml:space="preserve"> </w:t>
      </w:r>
      <w:r w:rsidRPr="005C273F">
        <w:t>See WDR 2016, page 4.</w:t>
      </w:r>
    </w:p>
  </w:footnote>
  <w:footnote w:id="4">
    <w:p w:rsidR="00C57935" w:rsidRPr="00E01633" w:rsidRDefault="00C57935">
      <w:pPr>
        <w:pStyle w:val="FootnoteText"/>
      </w:pPr>
      <w:r>
        <w:rPr>
          <w:rStyle w:val="FootnoteReference"/>
        </w:rPr>
        <w:footnoteRef/>
      </w:r>
      <w:r>
        <w:t xml:space="preserve"> ‘A World that Counts: </w:t>
      </w:r>
      <w:r w:rsidRPr="00E01633">
        <w:t>Mobilising The Data Revolution for Sustainable Development</w:t>
      </w:r>
      <w:r>
        <w:t xml:space="preserve">’. United Nations. </w:t>
      </w:r>
      <w:r w:rsidRPr="00E01633">
        <w:t>The Secretary-General’s Independent Expert Advisory Group on a Data Revolution for Sustainable Development</w:t>
      </w:r>
      <w:r>
        <w:t>. UN. November 2014.</w:t>
      </w:r>
    </w:p>
  </w:footnote>
  <w:footnote w:id="5">
    <w:p w:rsidR="00C57935" w:rsidRDefault="00C57935">
      <w:pPr>
        <w:pStyle w:val="FootnoteText"/>
      </w:pPr>
      <w:r>
        <w:rPr>
          <w:rStyle w:val="FootnoteReference"/>
        </w:rPr>
        <w:footnoteRef/>
      </w:r>
      <w:r>
        <w:t xml:space="preserve"> </w:t>
      </w:r>
      <w:r w:rsidRPr="006A6047">
        <w:t>UN Broadband Commission – Final Report of the Working Group on Broadband and Science</w:t>
      </w:r>
    </w:p>
  </w:footnote>
  <w:footnote w:id="6">
    <w:p w:rsidR="00C57935" w:rsidRPr="003D22D1" w:rsidRDefault="00C57935" w:rsidP="002348BB">
      <w:pPr>
        <w:pStyle w:val="FootnoteText"/>
      </w:pPr>
      <w:r>
        <w:rPr>
          <w:rStyle w:val="FootnoteReference"/>
        </w:rPr>
        <w:footnoteRef/>
      </w:r>
      <w:r>
        <w:t xml:space="preserve"> ‘</w:t>
      </w:r>
      <w:r w:rsidRPr="00167555">
        <w:t>Reshaping Cultural Policies: A Decade Promoting the Diversity of Cultural expressions for Development</w:t>
      </w:r>
      <w:r>
        <w:t xml:space="preserve">’ UNESCO. </w:t>
      </w:r>
      <w:r w:rsidRPr="003D22D1">
        <w:t>2005</w:t>
      </w:r>
    </w:p>
  </w:footnote>
  <w:footnote w:id="7">
    <w:p w:rsidR="00C57935" w:rsidRPr="003D22D1" w:rsidRDefault="00C57935" w:rsidP="00F94903">
      <w:pPr>
        <w:pStyle w:val="FootnoteText"/>
      </w:pPr>
      <w:r>
        <w:rPr>
          <w:rStyle w:val="FootnoteReference"/>
        </w:rPr>
        <w:footnoteRef/>
      </w:r>
      <w:r w:rsidRPr="003D22D1">
        <w:t xml:space="preserve"> COM(2015) 192 final</w:t>
      </w:r>
      <w:r>
        <w:t>.</w:t>
      </w:r>
      <w:r w:rsidRPr="003D22D1">
        <w:t xml:space="preserve"> A Digital Sing</w:t>
      </w:r>
      <w:r>
        <w:t>le Market Strategy for Europe</w:t>
      </w:r>
    </w:p>
  </w:footnote>
  <w:footnote w:id="8">
    <w:p w:rsidR="00C57935" w:rsidRDefault="00C57935">
      <w:pPr>
        <w:pStyle w:val="FootnoteText"/>
      </w:pPr>
      <w:r>
        <w:rPr>
          <w:rStyle w:val="FootnoteReference"/>
        </w:rPr>
        <w:footnoteRef/>
      </w:r>
      <w:r>
        <w:t xml:space="preserve"> Directive </w:t>
      </w:r>
      <w:hyperlink r:id="rId1" w:history="1">
        <w:r>
          <w:rPr>
            <w:rStyle w:val="Hyperlink"/>
          </w:rPr>
          <w:t>95/46/EC</w:t>
        </w:r>
      </w:hyperlink>
      <w:r>
        <w:t xml:space="preserve"> Protection of personal data</w:t>
      </w:r>
    </w:p>
  </w:footnote>
  <w:footnote w:id="9">
    <w:p w:rsidR="00C57935" w:rsidRDefault="00C57935">
      <w:pPr>
        <w:pStyle w:val="FootnoteText"/>
      </w:pPr>
      <w:r>
        <w:rPr>
          <w:rStyle w:val="FootnoteReference"/>
        </w:rPr>
        <w:footnoteRef/>
      </w:r>
      <w:r>
        <w:t xml:space="preserve"> </w:t>
      </w:r>
      <w:r w:rsidRPr="00503599">
        <w:t>COM</w:t>
      </w:r>
      <w:r>
        <w:t xml:space="preserve">(2001) 770 Final. </w:t>
      </w:r>
      <w:r w:rsidRPr="00503599">
        <w:t>Information and Communication Technologies in Development - The role of ICTs in EC development policy</w:t>
      </w:r>
      <w:r>
        <w:t>.</w:t>
      </w:r>
    </w:p>
  </w:footnote>
  <w:footnote w:id="10">
    <w:p w:rsidR="00C57935" w:rsidRDefault="00C57935">
      <w:pPr>
        <w:pStyle w:val="FootnoteText"/>
      </w:pPr>
      <w:r>
        <w:rPr>
          <w:rStyle w:val="FootnoteReference"/>
        </w:rPr>
        <w:footnoteRef/>
      </w:r>
      <w:r>
        <w:t xml:space="preserve"> COM(2011) 637 final. Increasing the impact of EU Development Policy: an Agenda for Change</w:t>
      </w:r>
    </w:p>
  </w:footnote>
  <w:footnote w:id="11">
    <w:p w:rsidR="00C57935" w:rsidRDefault="00C57935" w:rsidP="00D50AFC">
      <w:pPr>
        <w:pStyle w:val="FootnoteText"/>
      </w:pPr>
      <w:r>
        <w:rPr>
          <w:rStyle w:val="FootnoteReference"/>
        </w:rPr>
        <w:footnoteRef/>
      </w:r>
      <w:r>
        <w:t xml:space="preserve"> COM(2014) 263 final. A Stronger Role of the Private Sector in Achieving Inclusive and Sustainable Growth in Developing Countries.</w:t>
      </w:r>
    </w:p>
  </w:footnote>
  <w:footnote w:id="12">
    <w:p w:rsidR="00C57935" w:rsidRDefault="00C57935">
      <w:pPr>
        <w:pStyle w:val="FootnoteText"/>
      </w:pPr>
      <w:r>
        <w:rPr>
          <w:rStyle w:val="FootnoteReference"/>
        </w:rPr>
        <w:footnoteRef/>
      </w:r>
      <w:r>
        <w:t xml:space="preserve"> Programmes within other sectors will often contain ICT components or elements however these can be more difficult to identify, see further down.</w:t>
      </w:r>
    </w:p>
  </w:footnote>
  <w:footnote w:id="13">
    <w:p w:rsidR="00C57935" w:rsidRPr="00176F4E" w:rsidRDefault="00C57935" w:rsidP="002348BB">
      <w:pPr>
        <w:pStyle w:val="FootnoteText"/>
      </w:pPr>
      <w:r>
        <w:rPr>
          <w:rStyle w:val="FootnoteReference"/>
        </w:rPr>
        <w:footnoteRef/>
      </w:r>
      <w:r w:rsidRPr="00176F4E">
        <w:t xml:space="preserve"> </w:t>
      </w:r>
      <w:r>
        <w:t>It should be noted</w:t>
      </w:r>
      <w:r w:rsidRPr="003D22D1">
        <w:t xml:space="preserve"> that the list of ICT activities may be incomplete, since they have been </w:t>
      </w:r>
      <w:r w:rsidRPr="00176F4E">
        <w:t>retrieved</w:t>
      </w:r>
      <w:r>
        <w:t xml:space="preserve"> using the European Commission’s CRIS database, where most programmes and projects are registered according to their focal sector DAC code (for example health, agriculture etc.). As such, it is often very difficult to isolate the</w:t>
      </w:r>
      <w:r w:rsidRPr="00AE6E24">
        <w:t xml:space="preserve"> ICT component</w:t>
      </w:r>
      <w:r>
        <w:t xml:space="preserve"> of an action as these</w:t>
      </w:r>
      <w:r w:rsidRPr="00AE6E24">
        <w:t xml:space="preserve"> are in many cases likely to have been mainstreamed into </w:t>
      </w:r>
      <w:r>
        <w:t>the main</w:t>
      </w:r>
      <w:r w:rsidRPr="00AE6E24">
        <w:t xml:space="preserve"> programme </w:t>
      </w:r>
      <w:r>
        <w:t>focal area.</w:t>
      </w:r>
      <w:r w:rsidRPr="003D22D1">
        <w:t xml:space="preserve"> </w:t>
      </w:r>
    </w:p>
  </w:footnote>
  <w:footnote w:id="14">
    <w:p w:rsidR="00C57935" w:rsidRDefault="00C57935" w:rsidP="00F849B4">
      <w:pPr>
        <w:pStyle w:val="FootnoteText"/>
        <w:jc w:val="left"/>
      </w:pPr>
      <w:r>
        <w:rPr>
          <w:rStyle w:val="FootnoteReference"/>
        </w:rPr>
        <w:footnoteRef/>
      </w:r>
      <w:r>
        <w:t xml:space="preserve"> See: </w:t>
      </w:r>
      <w:hyperlink r:id="rId2" w:history="1">
        <w:r w:rsidRPr="00A85A43">
          <w:rPr>
            <w:rStyle w:val="Hyperlink"/>
          </w:rPr>
          <w:t>http://www.hahn-schickard.de/projekte-publikationen/projekte/dmc-malvec/</w:t>
        </w:r>
      </w:hyperlink>
      <w:r>
        <w:t xml:space="preserve">; </w:t>
      </w:r>
      <w:hyperlink r:id="rId3" w:history="1">
        <w:r w:rsidR="00410BE3" w:rsidRPr="007859E7">
          <w:rPr>
            <w:rStyle w:val="Hyperlink"/>
          </w:rPr>
          <w:t>https://www.create-net.org/news/waziup-first-opensource-platform-internet-things-and-big-data-africa</w:t>
        </w:r>
      </w:hyperlink>
      <w:r w:rsidR="00410BE3">
        <w:t xml:space="preserve">; </w:t>
      </w:r>
      <w:r w:rsidRPr="00F849B4">
        <w:t xml:space="preserve"> </w:t>
      </w:r>
      <w:hyperlink r:id="rId4" w:history="1">
        <w:r w:rsidRPr="00A85A43">
          <w:rPr>
            <w:rStyle w:val="Hyperlink"/>
          </w:rPr>
          <w:t>https://www.itc.nl/Pub/services/Major-projects/its4land.html</w:t>
        </w:r>
      </w:hyperlink>
      <w:r>
        <w:t xml:space="preserve"> </w:t>
      </w:r>
      <w:r w:rsidR="00410BE3">
        <w:t>(accessed 21 June 2016)</w:t>
      </w:r>
    </w:p>
  </w:footnote>
  <w:footnote w:id="15">
    <w:p w:rsidR="00C57935" w:rsidRPr="00410BE3" w:rsidRDefault="00C57935" w:rsidP="00F849B4">
      <w:pPr>
        <w:pStyle w:val="FootnoteText"/>
        <w:rPr>
          <w:color w:val="auto"/>
        </w:rPr>
      </w:pPr>
      <w:r>
        <w:rPr>
          <w:rStyle w:val="FootnoteReference"/>
        </w:rPr>
        <w:footnoteRef/>
      </w:r>
      <w:r>
        <w:t xml:space="preserve"> </w:t>
      </w:r>
      <w:hyperlink r:id="rId5" w:history="1">
        <w:r w:rsidRPr="00A85A43">
          <w:rPr>
            <w:rStyle w:val="Hyperlink"/>
          </w:rPr>
          <w:t>http://www.magic-project.eu/index.php/about/about-magic</w:t>
        </w:r>
      </w:hyperlink>
      <w:r>
        <w:t xml:space="preserve">; </w:t>
      </w:r>
      <w:hyperlink r:id="rId6" w:history="1">
        <w:r w:rsidRPr="00A85A43">
          <w:rPr>
            <w:rStyle w:val="Hyperlink"/>
          </w:rPr>
          <w:t>http://www.sci-gaia.eu/</w:t>
        </w:r>
      </w:hyperlink>
      <w:r>
        <w:t xml:space="preserve">; </w:t>
      </w:r>
      <w:hyperlink r:id="rId7" w:history="1">
        <w:r w:rsidRPr="00A85A43">
          <w:rPr>
            <w:rStyle w:val="Hyperlink"/>
          </w:rPr>
          <w:t>http://www.tandem-wacren.eu/about-tandem/project-key-facts/</w:t>
        </w:r>
      </w:hyperlink>
      <w:r>
        <w:t xml:space="preserve">; </w:t>
      </w:r>
      <w:hyperlink r:id="rId8" w:anchor="/" w:history="1">
        <w:r>
          <w:rPr>
            <w:rStyle w:val="Hyperlink"/>
          </w:rPr>
          <w:t>https://www.indiegogo.com/projects/the-biggest-solar-powered-computer-in-the-world#/</w:t>
        </w:r>
      </w:hyperlink>
      <w:r w:rsidR="00410BE3">
        <w:rPr>
          <w:rStyle w:val="Hyperlink"/>
          <w:u w:val="none"/>
        </w:rPr>
        <w:t xml:space="preserve"> </w:t>
      </w:r>
      <w:r w:rsidR="00410BE3">
        <w:rPr>
          <w:rStyle w:val="Hyperlink"/>
          <w:color w:val="auto"/>
          <w:u w:val="none"/>
        </w:rPr>
        <w:t>(accessed 21 June 2016)</w:t>
      </w:r>
    </w:p>
  </w:footnote>
  <w:footnote w:id="16">
    <w:p w:rsidR="00C57935" w:rsidRPr="00C57935" w:rsidRDefault="00C57935" w:rsidP="002348BB">
      <w:pPr>
        <w:pStyle w:val="FootnoteText"/>
        <w:rPr>
          <w:lang w:val="fr-FR"/>
        </w:rPr>
      </w:pPr>
      <w:r w:rsidRPr="005E2D47">
        <w:rPr>
          <w:rStyle w:val="FootnoteReference"/>
          <w:rFonts w:asciiTheme="minorBidi" w:hAnsiTheme="minorBidi" w:cstheme="minorBidi"/>
          <w:sz w:val="18"/>
          <w:szCs w:val="18"/>
        </w:rPr>
        <w:footnoteRef/>
      </w:r>
      <w:r w:rsidRPr="00C07380">
        <w:rPr>
          <w:lang w:val="fr-FR"/>
        </w:rPr>
        <w:t xml:space="preserve"> </w:t>
      </w:r>
      <w:r w:rsidRPr="005E2D47">
        <w:rPr>
          <w:lang w:val="fr-FR"/>
        </w:rPr>
        <w:t>“Plan d’Action du Gouvernement “Dévelop</w:t>
      </w:r>
      <w:r w:rsidR="00410BE3">
        <w:rPr>
          <w:lang w:val="fr-FR"/>
        </w:rPr>
        <w:t>pement et Numérique” 2015-2017,</w:t>
      </w:r>
      <w:r w:rsidRPr="005E2D47">
        <w:rPr>
          <w:lang w:val="fr-FR"/>
        </w:rPr>
        <w:t xml:space="preserve"> </w:t>
      </w:r>
      <w:r w:rsidR="00410BE3">
        <w:rPr>
          <w:lang w:val="fr-FR"/>
        </w:rPr>
        <w:t>December 2015.</w:t>
      </w:r>
    </w:p>
  </w:footnote>
  <w:footnote w:id="17">
    <w:p w:rsidR="00C57935" w:rsidRPr="00C57935" w:rsidRDefault="00C57935" w:rsidP="00C57935">
      <w:pPr>
        <w:pStyle w:val="FootnoteText"/>
      </w:pPr>
      <w:r>
        <w:rPr>
          <w:rStyle w:val="FootnoteReference"/>
        </w:rPr>
        <w:footnoteRef/>
      </w:r>
      <w:r>
        <w:t xml:space="preserve"> </w:t>
      </w:r>
      <w:r w:rsidR="00410BE3">
        <w:t>"</w:t>
      </w:r>
      <w:r>
        <w:t>Corporate report Review of Digi</w:t>
      </w:r>
      <w:r w:rsidR="00410BE3">
        <w:t xml:space="preserve">tal in DFID Programmes: Summary", March 2015, </w:t>
      </w:r>
      <w:hyperlink r:id="rId9" w:history="1">
        <w:r w:rsidR="00410BE3" w:rsidRPr="007859E7">
          <w:rPr>
            <w:rStyle w:val="Hyperlink"/>
          </w:rPr>
          <w:t>https://www.gov.uk/government/publications/dfid-review-of-digital-in-development-programmes/review-of-digital-in-dfid-programmes-summary</w:t>
        </w:r>
      </w:hyperlink>
      <w:r w:rsidR="00410BE3">
        <w:t xml:space="preserve">  (accessed 22 June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544A"/>
    <w:multiLevelType w:val="multilevel"/>
    <w:tmpl w:val="89A63272"/>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14"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1428" w:hanging="357"/>
      </w:pPr>
      <w:rPr>
        <w:rFonts w:hint="default"/>
      </w:rPr>
    </w:lvl>
    <w:lvl w:ilvl="4">
      <w:start w:val="1"/>
      <w:numFmt w:val="decimal"/>
      <w:pStyle w:val="Heading5"/>
      <w:lvlText w:val="%1.%2.%3.%4.%5"/>
      <w:lvlJc w:val="left"/>
      <w:pPr>
        <w:ind w:left="1785" w:hanging="357"/>
      </w:pPr>
      <w:rPr>
        <w:rFonts w:hint="default"/>
      </w:rPr>
    </w:lvl>
    <w:lvl w:ilvl="5">
      <w:start w:val="1"/>
      <w:numFmt w:val="decimal"/>
      <w:pStyle w:val="Heading6"/>
      <w:lvlText w:val="%1.%2.%3.%4.%5.%6"/>
      <w:lvlJc w:val="left"/>
      <w:pPr>
        <w:ind w:left="2142" w:hanging="357"/>
      </w:pPr>
      <w:rPr>
        <w:rFonts w:hint="default"/>
      </w:rPr>
    </w:lvl>
    <w:lvl w:ilvl="6">
      <w:start w:val="1"/>
      <w:numFmt w:val="decimal"/>
      <w:pStyle w:val="Heading7"/>
      <w:lvlText w:val="%1.%2.%3.%4.%5.%6.%7"/>
      <w:lvlJc w:val="left"/>
      <w:pPr>
        <w:ind w:left="2499" w:hanging="357"/>
      </w:pPr>
      <w:rPr>
        <w:rFonts w:hint="default"/>
      </w:rPr>
    </w:lvl>
    <w:lvl w:ilvl="7">
      <w:start w:val="1"/>
      <w:numFmt w:val="decimal"/>
      <w:pStyle w:val="Heading8"/>
      <w:lvlText w:val="%1.%2.%3.%4.%5.%6.%7.%8"/>
      <w:lvlJc w:val="left"/>
      <w:pPr>
        <w:ind w:left="2856" w:hanging="357"/>
      </w:pPr>
      <w:rPr>
        <w:rFonts w:hint="default"/>
      </w:rPr>
    </w:lvl>
    <w:lvl w:ilvl="8">
      <w:start w:val="1"/>
      <w:numFmt w:val="decimal"/>
      <w:pStyle w:val="Heading9"/>
      <w:lvlText w:val="%1.%2.%3.%4.%5.%6.%7.%8.%9"/>
      <w:lvlJc w:val="left"/>
      <w:pPr>
        <w:ind w:left="3213" w:hanging="357"/>
      </w:pPr>
      <w:rPr>
        <w:rFonts w:hint="default"/>
      </w:rPr>
    </w:lvl>
  </w:abstractNum>
  <w:abstractNum w:abstractNumId="1">
    <w:nsid w:val="13985A32"/>
    <w:multiLevelType w:val="hybridMultilevel"/>
    <w:tmpl w:val="E9DA1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25768F"/>
    <w:multiLevelType w:val="multilevel"/>
    <w:tmpl w:val="89A63272"/>
    <w:numStyleLink w:val="Headings"/>
  </w:abstractNum>
  <w:abstractNum w:abstractNumId="3">
    <w:nsid w:val="1E5E233B"/>
    <w:multiLevelType w:val="hybridMultilevel"/>
    <w:tmpl w:val="96748B8C"/>
    <w:lvl w:ilvl="0" w:tplc="08090003">
      <w:start w:val="1"/>
      <w:numFmt w:val="bullet"/>
      <w:lvlText w:val="o"/>
      <w:lvlJc w:val="left"/>
      <w:pPr>
        <w:ind w:left="1364" w:hanging="360"/>
      </w:pPr>
      <w:rPr>
        <w:rFonts w:ascii="Courier New" w:hAnsi="Courier New" w:cs="Courier New"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
    <w:nsid w:val="278B2D09"/>
    <w:multiLevelType w:val="hybridMultilevel"/>
    <w:tmpl w:val="DB7E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9B36C7"/>
    <w:multiLevelType w:val="hybridMultilevel"/>
    <w:tmpl w:val="FC6C7B34"/>
    <w:lvl w:ilvl="0" w:tplc="DE90F0FE">
      <w:start w:val="1"/>
      <w:numFmt w:val="lowerRoman"/>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B50001"/>
    <w:multiLevelType w:val="hybridMultilevel"/>
    <w:tmpl w:val="85CE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7151DB"/>
    <w:multiLevelType w:val="hybridMultilevel"/>
    <w:tmpl w:val="BDAAB2D6"/>
    <w:lvl w:ilvl="0" w:tplc="08090019">
      <w:start w:val="1"/>
      <w:numFmt w:val="lowerLetter"/>
      <w:lvlText w:val="%1."/>
      <w:lvlJc w:val="left"/>
      <w:pPr>
        <w:ind w:left="720" w:hanging="360"/>
      </w:pPr>
    </w:lvl>
    <w:lvl w:ilvl="1" w:tplc="30860A8C">
      <w:start w:val="1"/>
      <w:numFmt w:val="lowerRoman"/>
      <w:lvlText w:val="%2."/>
      <w:lvlJc w:val="left"/>
      <w:pPr>
        <w:ind w:left="1440" w:hanging="360"/>
      </w:pPr>
      <w:rPr>
        <w:rFonts w:hint="default"/>
        <w:color w:val="auto"/>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2F71358"/>
    <w:multiLevelType w:val="hybridMultilevel"/>
    <w:tmpl w:val="25046290"/>
    <w:lvl w:ilvl="0" w:tplc="8FF059E8">
      <w:start w:val="1"/>
      <w:numFmt w:val="lowerRoman"/>
      <w:lvlText w:val="%1."/>
      <w:lvlJc w:val="left"/>
      <w:pPr>
        <w:ind w:left="644" w:hanging="360"/>
      </w:pPr>
      <w:rPr>
        <w:rFonts w:hint="default"/>
        <w:color w:val="auto"/>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536463F6"/>
    <w:multiLevelType w:val="hybridMultilevel"/>
    <w:tmpl w:val="628E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0B2445"/>
    <w:multiLevelType w:val="hybridMultilevel"/>
    <w:tmpl w:val="6CC07F72"/>
    <w:lvl w:ilvl="0" w:tplc="9D0A1880">
      <w:start w:val="1"/>
      <w:numFmt w:val="lowerRoman"/>
      <w:lvlText w:val="%1."/>
      <w:lvlJc w:val="left"/>
      <w:pPr>
        <w:ind w:left="644" w:hanging="360"/>
      </w:pPr>
      <w:rPr>
        <w:rFonts w:hint="default"/>
        <w:color w:val="auto"/>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56CC1C00"/>
    <w:multiLevelType w:val="hybridMultilevel"/>
    <w:tmpl w:val="4156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1F5A9B"/>
    <w:multiLevelType w:val="hybridMultilevel"/>
    <w:tmpl w:val="F2426D4C"/>
    <w:lvl w:ilvl="0" w:tplc="786AFAA0">
      <w:start w:val="1"/>
      <w:numFmt w:val="lowerRoman"/>
      <w:lvlText w:val="%1."/>
      <w:lvlJc w:val="left"/>
      <w:pPr>
        <w:ind w:left="644" w:hanging="360"/>
      </w:pPr>
      <w:rPr>
        <w:rFonts w:hint="default"/>
        <w:color w:val="auto"/>
        <w:sz w:val="2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
  </w:num>
  <w:num w:numId="2">
    <w:abstractNumId w:val="9"/>
  </w:num>
  <w:num w:numId="3">
    <w:abstractNumId w:val="11"/>
  </w:num>
  <w:num w:numId="4">
    <w:abstractNumId w:val="0"/>
  </w:num>
  <w:num w:numId="5">
    <w:abstractNumId w:val="2"/>
  </w:num>
  <w:num w:numId="6">
    <w:abstractNumId w:val="10"/>
  </w:num>
  <w:num w:numId="7">
    <w:abstractNumId w:val="8"/>
  </w:num>
  <w:num w:numId="8">
    <w:abstractNumId w:val="12"/>
  </w:num>
  <w:num w:numId="9">
    <w:abstractNumId w:val="7"/>
  </w:num>
  <w:num w:numId="10">
    <w:abstractNumId w:val="5"/>
  </w:num>
  <w:num w:numId="11">
    <w:abstractNumId w:val="3"/>
  </w:num>
  <w:num w:numId="12">
    <w:abstractNumId w:val="6"/>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E410C"/>
    <w:rsid w:val="0000010B"/>
    <w:rsid w:val="000006DD"/>
    <w:rsid w:val="00000FCB"/>
    <w:rsid w:val="0000166F"/>
    <w:rsid w:val="0000365D"/>
    <w:rsid w:val="000039A0"/>
    <w:rsid w:val="00003B38"/>
    <w:rsid w:val="00003BFB"/>
    <w:rsid w:val="00003DA2"/>
    <w:rsid w:val="00004D4F"/>
    <w:rsid w:val="00005C30"/>
    <w:rsid w:val="000063C4"/>
    <w:rsid w:val="00006B13"/>
    <w:rsid w:val="00006D5F"/>
    <w:rsid w:val="00007189"/>
    <w:rsid w:val="0001096E"/>
    <w:rsid w:val="00010C75"/>
    <w:rsid w:val="00011521"/>
    <w:rsid w:val="000121FB"/>
    <w:rsid w:val="00012335"/>
    <w:rsid w:val="000123F5"/>
    <w:rsid w:val="00013C72"/>
    <w:rsid w:val="0001623D"/>
    <w:rsid w:val="00017746"/>
    <w:rsid w:val="0001796A"/>
    <w:rsid w:val="00017ECB"/>
    <w:rsid w:val="0002042E"/>
    <w:rsid w:val="00023EDD"/>
    <w:rsid w:val="00026699"/>
    <w:rsid w:val="000269AC"/>
    <w:rsid w:val="000270F8"/>
    <w:rsid w:val="00031397"/>
    <w:rsid w:val="000314E4"/>
    <w:rsid w:val="00031660"/>
    <w:rsid w:val="0003375E"/>
    <w:rsid w:val="000338D0"/>
    <w:rsid w:val="00035CBF"/>
    <w:rsid w:val="00035FB8"/>
    <w:rsid w:val="000378D9"/>
    <w:rsid w:val="00042BB9"/>
    <w:rsid w:val="0004354E"/>
    <w:rsid w:val="00043B83"/>
    <w:rsid w:val="000444C0"/>
    <w:rsid w:val="000447C5"/>
    <w:rsid w:val="00044A5A"/>
    <w:rsid w:val="00044F6D"/>
    <w:rsid w:val="00045E17"/>
    <w:rsid w:val="00047773"/>
    <w:rsid w:val="00047D99"/>
    <w:rsid w:val="00047E84"/>
    <w:rsid w:val="00051269"/>
    <w:rsid w:val="00051FCC"/>
    <w:rsid w:val="00053EAD"/>
    <w:rsid w:val="00055AF3"/>
    <w:rsid w:val="000561CC"/>
    <w:rsid w:val="00057B75"/>
    <w:rsid w:val="00060337"/>
    <w:rsid w:val="00060DA0"/>
    <w:rsid w:val="000614EC"/>
    <w:rsid w:val="000617CF"/>
    <w:rsid w:val="000618E3"/>
    <w:rsid w:val="0006283A"/>
    <w:rsid w:val="00062C54"/>
    <w:rsid w:val="00062C99"/>
    <w:rsid w:val="00062E37"/>
    <w:rsid w:val="00064870"/>
    <w:rsid w:val="0006554F"/>
    <w:rsid w:val="000664EC"/>
    <w:rsid w:val="00067026"/>
    <w:rsid w:val="00067062"/>
    <w:rsid w:val="00071422"/>
    <w:rsid w:val="0007227F"/>
    <w:rsid w:val="000744DD"/>
    <w:rsid w:val="00075682"/>
    <w:rsid w:val="000759E3"/>
    <w:rsid w:val="000771D8"/>
    <w:rsid w:val="00080207"/>
    <w:rsid w:val="00080631"/>
    <w:rsid w:val="00080A0B"/>
    <w:rsid w:val="00081B77"/>
    <w:rsid w:val="000820D0"/>
    <w:rsid w:val="00083100"/>
    <w:rsid w:val="00083113"/>
    <w:rsid w:val="000843C1"/>
    <w:rsid w:val="00084D41"/>
    <w:rsid w:val="00084FBC"/>
    <w:rsid w:val="000854A2"/>
    <w:rsid w:val="00085C97"/>
    <w:rsid w:val="00086FC4"/>
    <w:rsid w:val="00090016"/>
    <w:rsid w:val="0009052D"/>
    <w:rsid w:val="00090564"/>
    <w:rsid w:val="00093088"/>
    <w:rsid w:val="0009357A"/>
    <w:rsid w:val="00093C90"/>
    <w:rsid w:val="000969FB"/>
    <w:rsid w:val="00097B3F"/>
    <w:rsid w:val="00097BA9"/>
    <w:rsid w:val="00097D43"/>
    <w:rsid w:val="000A027E"/>
    <w:rsid w:val="000A08D7"/>
    <w:rsid w:val="000A0F71"/>
    <w:rsid w:val="000A15E7"/>
    <w:rsid w:val="000A2418"/>
    <w:rsid w:val="000A3CEF"/>
    <w:rsid w:val="000A4E11"/>
    <w:rsid w:val="000A5EE0"/>
    <w:rsid w:val="000A656E"/>
    <w:rsid w:val="000A77E3"/>
    <w:rsid w:val="000B0B9A"/>
    <w:rsid w:val="000B0BAB"/>
    <w:rsid w:val="000B14F9"/>
    <w:rsid w:val="000B15BC"/>
    <w:rsid w:val="000B1BD3"/>
    <w:rsid w:val="000B251D"/>
    <w:rsid w:val="000B4280"/>
    <w:rsid w:val="000B47B5"/>
    <w:rsid w:val="000B5266"/>
    <w:rsid w:val="000B5455"/>
    <w:rsid w:val="000B55B1"/>
    <w:rsid w:val="000B5708"/>
    <w:rsid w:val="000B5C31"/>
    <w:rsid w:val="000B6B05"/>
    <w:rsid w:val="000B6BF0"/>
    <w:rsid w:val="000B74F5"/>
    <w:rsid w:val="000B771D"/>
    <w:rsid w:val="000C0030"/>
    <w:rsid w:val="000C0253"/>
    <w:rsid w:val="000C0385"/>
    <w:rsid w:val="000C222D"/>
    <w:rsid w:val="000C23D2"/>
    <w:rsid w:val="000C31D9"/>
    <w:rsid w:val="000C3567"/>
    <w:rsid w:val="000C4DBE"/>
    <w:rsid w:val="000C554C"/>
    <w:rsid w:val="000C61C3"/>
    <w:rsid w:val="000C6A9A"/>
    <w:rsid w:val="000C74BB"/>
    <w:rsid w:val="000D04E3"/>
    <w:rsid w:val="000D0F53"/>
    <w:rsid w:val="000D1F9C"/>
    <w:rsid w:val="000D2BAD"/>
    <w:rsid w:val="000D4AA3"/>
    <w:rsid w:val="000D4C49"/>
    <w:rsid w:val="000D71E4"/>
    <w:rsid w:val="000D7F56"/>
    <w:rsid w:val="000E0890"/>
    <w:rsid w:val="000E2E7A"/>
    <w:rsid w:val="000E2FD0"/>
    <w:rsid w:val="000E410C"/>
    <w:rsid w:val="000E6004"/>
    <w:rsid w:val="000E7379"/>
    <w:rsid w:val="000E7E54"/>
    <w:rsid w:val="000F073B"/>
    <w:rsid w:val="000F4762"/>
    <w:rsid w:val="000F5185"/>
    <w:rsid w:val="000F6E83"/>
    <w:rsid w:val="000F7B87"/>
    <w:rsid w:val="001014A5"/>
    <w:rsid w:val="001018B3"/>
    <w:rsid w:val="0010303F"/>
    <w:rsid w:val="00103128"/>
    <w:rsid w:val="001038F4"/>
    <w:rsid w:val="00103BF7"/>
    <w:rsid w:val="00104622"/>
    <w:rsid w:val="001047C6"/>
    <w:rsid w:val="00104B77"/>
    <w:rsid w:val="00104F12"/>
    <w:rsid w:val="0010526D"/>
    <w:rsid w:val="001060EC"/>
    <w:rsid w:val="001063AB"/>
    <w:rsid w:val="00106889"/>
    <w:rsid w:val="00107AB4"/>
    <w:rsid w:val="00107EB5"/>
    <w:rsid w:val="00110353"/>
    <w:rsid w:val="00110EDC"/>
    <w:rsid w:val="00111524"/>
    <w:rsid w:val="00111763"/>
    <w:rsid w:val="0011252D"/>
    <w:rsid w:val="00112939"/>
    <w:rsid w:val="00114167"/>
    <w:rsid w:val="00116662"/>
    <w:rsid w:val="00117A67"/>
    <w:rsid w:val="001207A6"/>
    <w:rsid w:val="00121575"/>
    <w:rsid w:val="001220D2"/>
    <w:rsid w:val="001222FB"/>
    <w:rsid w:val="001230C1"/>
    <w:rsid w:val="0012423D"/>
    <w:rsid w:val="00124980"/>
    <w:rsid w:val="0013085A"/>
    <w:rsid w:val="0013144D"/>
    <w:rsid w:val="001314DE"/>
    <w:rsid w:val="0013238F"/>
    <w:rsid w:val="00133CAA"/>
    <w:rsid w:val="0013481B"/>
    <w:rsid w:val="00135E93"/>
    <w:rsid w:val="00136DD7"/>
    <w:rsid w:val="001373D5"/>
    <w:rsid w:val="0014018B"/>
    <w:rsid w:val="00140A86"/>
    <w:rsid w:val="0014199D"/>
    <w:rsid w:val="00141E65"/>
    <w:rsid w:val="00145762"/>
    <w:rsid w:val="001457F1"/>
    <w:rsid w:val="00145A25"/>
    <w:rsid w:val="00145A45"/>
    <w:rsid w:val="00145BAC"/>
    <w:rsid w:val="00145F7D"/>
    <w:rsid w:val="00146D9D"/>
    <w:rsid w:val="00147360"/>
    <w:rsid w:val="00147A7E"/>
    <w:rsid w:val="00150875"/>
    <w:rsid w:val="00150A3A"/>
    <w:rsid w:val="00153787"/>
    <w:rsid w:val="001547C0"/>
    <w:rsid w:val="00156A58"/>
    <w:rsid w:val="0015715B"/>
    <w:rsid w:val="001572E3"/>
    <w:rsid w:val="00157989"/>
    <w:rsid w:val="001615DC"/>
    <w:rsid w:val="00162E1E"/>
    <w:rsid w:val="0016365F"/>
    <w:rsid w:val="00164246"/>
    <w:rsid w:val="001644BF"/>
    <w:rsid w:val="00165887"/>
    <w:rsid w:val="00167516"/>
    <w:rsid w:val="00167555"/>
    <w:rsid w:val="00167D82"/>
    <w:rsid w:val="00167EC5"/>
    <w:rsid w:val="00171F9E"/>
    <w:rsid w:val="001723BF"/>
    <w:rsid w:val="00172AF4"/>
    <w:rsid w:val="001730D2"/>
    <w:rsid w:val="001732AA"/>
    <w:rsid w:val="001738B0"/>
    <w:rsid w:val="00176D3E"/>
    <w:rsid w:val="00177345"/>
    <w:rsid w:val="00177371"/>
    <w:rsid w:val="001778E8"/>
    <w:rsid w:val="00180E71"/>
    <w:rsid w:val="00181DC9"/>
    <w:rsid w:val="00182102"/>
    <w:rsid w:val="00182221"/>
    <w:rsid w:val="001839F6"/>
    <w:rsid w:val="00183D51"/>
    <w:rsid w:val="00184273"/>
    <w:rsid w:val="00184396"/>
    <w:rsid w:val="00184A7F"/>
    <w:rsid w:val="00186D1C"/>
    <w:rsid w:val="00187276"/>
    <w:rsid w:val="001908BE"/>
    <w:rsid w:val="00190D56"/>
    <w:rsid w:val="001919EA"/>
    <w:rsid w:val="00192E26"/>
    <w:rsid w:val="00193FEA"/>
    <w:rsid w:val="00195639"/>
    <w:rsid w:val="00195B27"/>
    <w:rsid w:val="001968B3"/>
    <w:rsid w:val="00197661"/>
    <w:rsid w:val="001A0CA9"/>
    <w:rsid w:val="001A2785"/>
    <w:rsid w:val="001A2DFB"/>
    <w:rsid w:val="001A3A3F"/>
    <w:rsid w:val="001A49B5"/>
    <w:rsid w:val="001A70CF"/>
    <w:rsid w:val="001A78B5"/>
    <w:rsid w:val="001B0321"/>
    <w:rsid w:val="001B1A1D"/>
    <w:rsid w:val="001B2325"/>
    <w:rsid w:val="001B2EB7"/>
    <w:rsid w:val="001B31C1"/>
    <w:rsid w:val="001B41F2"/>
    <w:rsid w:val="001B46DE"/>
    <w:rsid w:val="001B54ED"/>
    <w:rsid w:val="001B5E89"/>
    <w:rsid w:val="001B702D"/>
    <w:rsid w:val="001B74B1"/>
    <w:rsid w:val="001C0DEB"/>
    <w:rsid w:val="001C2AA3"/>
    <w:rsid w:val="001C3214"/>
    <w:rsid w:val="001C51C6"/>
    <w:rsid w:val="001C526D"/>
    <w:rsid w:val="001C5612"/>
    <w:rsid w:val="001C5806"/>
    <w:rsid w:val="001C621C"/>
    <w:rsid w:val="001C6946"/>
    <w:rsid w:val="001C6C8E"/>
    <w:rsid w:val="001D0105"/>
    <w:rsid w:val="001D1A76"/>
    <w:rsid w:val="001D22E4"/>
    <w:rsid w:val="001D5701"/>
    <w:rsid w:val="001D6909"/>
    <w:rsid w:val="001E140C"/>
    <w:rsid w:val="001E15CE"/>
    <w:rsid w:val="001E1746"/>
    <w:rsid w:val="001E18D4"/>
    <w:rsid w:val="001E35B3"/>
    <w:rsid w:val="001E3D8E"/>
    <w:rsid w:val="001E5BE4"/>
    <w:rsid w:val="001E61C8"/>
    <w:rsid w:val="001E6D00"/>
    <w:rsid w:val="001E7417"/>
    <w:rsid w:val="001F031C"/>
    <w:rsid w:val="001F0EC7"/>
    <w:rsid w:val="001F4C51"/>
    <w:rsid w:val="001F546E"/>
    <w:rsid w:val="001F5AD6"/>
    <w:rsid w:val="001F61A9"/>
    <w:rsid w:val="001F6E34"/>
    <w:rsid w:val="001F6EB5"/>
    <w:rsid w:val="001F7C09"/>
    <w:rsid w:val="0020013C"/>
    <w:rsid w:val="002008EE"/>
    <w:rsid w:val="002016FF"/>
    <w:rsid w:val="00201AD8"/>
    <w:rsid w:val="00201C46"/>
    <w:rsid w:val="00201CEF"/>
    <w:rsid w:val="00202F7C"/>
    <w:rsid w:val="00203ECB"/>
    <w:rsid w:val="00204D6A"/>
    <w:rsid w:val="00204DC4"/>
    <w:rsid w:val="00206E0A"/>
    <w:rsid w:val="00207B49"/>
    <w:rsid w:val="00207D4E"/>
    <w:rsid w:val="00210A2E"/>
    <w:rsid w:val="00211F62"/>
    <w:rsid w:val="00212034"/>
    <w:rsid w:val="00212F65"/>
    <w:rsid w:val="002131C3"/>
    <w:rsid w:val="002138C0"/>
    <w:rsid w:val="0021556E"/>
    <w:rsid w:val="00220EA9"/>
    <w:rsid w:val="0022198F"/>
    <w:rsid w:val="00222C1D"/>
    <w:rsid w:val="00223035"/>
    <w:rsid w:val="0022517A"/>
    <w:rsid w:val="00225363"/>
    <w:rsid w:val="00225625"/>
    <w:rsid w:val="002263B3"/>
    <w:rsid w:val="0022691E"/>
    <w:rsid w:val="002279B4"/>
    <w:rsid w:val="002301D6"/>
    <w:rsid w:val="002310FF"/>
    <w:rsid w:val="002312BC"/>
    <w:rsid w:val="002348BB"/>
    <w:rsid w:val="002350C0"/>
    <w:rsid w:val="00235A33"/>
    <w:rsid w:val="00235A79"/>
    <w:rsid w:val="00235B4D"/>
    <w:rsid w:val="002373BB"/>
    <w:rsid w:val="002429CE"/>
    <w:rsid w:val="002430BC"/>
    <w:rsid w:val="002433EB"/>
    <w:rsid w:val="00243707"/>
    <w:rsid w:val="00245AB3"/>
    <w:rsid w:val="00245E98"/>
    <w:rsid w:val="002471A8"/>
    <w:rsid w:val="00250071"/>
    <w:rsid w:val="0025033E"/>
    <w:rsid w:val="00254F19"/>
    <w:rsid w:val="0025508B"/>
    <w:rsid w:val="002550EC"/>
    <w:rsid w:val="00256238"/>
    <w:rsid w:val="00257CCC"/>
    <w:rsid w:val="00257FAB"/>
    <w:rsid w:val="0026011E"/>
    <w:rsid w:val="00260146"/>
    <w:rsid w:val="002621BD"/>
    <w:rsid w:val="002623C6"/>
    <w:rsid w:val="002633CC"/>
    <w:rsid w:val="0026390D"/>
    <w:rsid w:val="002644AB"/>
    <w:rsid w:val="002652C3"/>
    <w:rsid w:val="002653C9"/>
    <w:rsid w:val="00265742"/>
    <w:rsid w:val="00267338"/>
    <w:rsid w:val="00270A28"/>
    <w:rsid w:val="00270CD9"/>
    <w:rsid w:val="00271340"/>
    <w:rsid w:val="00271D90"/>
    <w:rsid w:val="0027224A"/>
    <w:rsid w:val="0027245C"/>
    <w:rsid w:val="00272902"/>
    <w:rsid w:val="00272CB4"/>
    <w:rsid w:val="00273CB1"/>
    <w:rsid w:val="00274266"/>
    <w:rsid w:val="0028056D"/>
    <w:rsid w:val="0028058C"/>
    <w:rsid w:val="002807DA"/>
    <w:rsid w:val="00280B31"/>
    <w:rsid w:val="002819A2"/>
    <w:rsid w:val="00282526"/>
    <w:rsid w:val="002830F7"/>
    <w:rsid w:val="0028322E"/>
    <w:rsid w:val="00284151"/>
    <w:rsid w:val="00290133"/>
    <w:rsid w:val="00290714"/>
    <w:rsid w:val="00290AE9"/>
    <w:rsid w:val="002923F2"/>
    <w:rsid w:val="00292DE2"/>
    <w:rsid w:val="00292F52"/>
    <w:rsid w:val="00293A8B"/>
    <w:rsid w:val="00294637"/>
    <w:rsid w:val="00295A79"/>
    <w:rsid w:val="002A1386"/>
    <w:rsid w:val="002A19B7"/>
    <w:rsid w:val="002A1E4D"/>
    <w:rsid w:val="002A276C"/>
    <w:rsid w:val="002A29A4"/>
    <w:rsid w:val="002A4513"/>
    <w:rsid w:val="002A65A9"/>
    <w:rsid w:val="002A69BB"/>
    <w:rsid w:val="002A6BD1"/>
    <w:rsid w:val="002A788A"/>
    <w:rsid w:val="002B0591"/>
    <w:rsid w:val="002B0A68"/>
    <w:rsid w:val="002B1201"/>
    <w:rsid w:val="002B1E4D"/>
    <w:rsid w:val="002B1E7C"/>
    <w:rsid w:val="002B1E84"/>
    <w:rsid w:val="002B23C8"/>
    <w:rsid w:val="002B2DE6"/>
    <w:rsid w:val="002B3270"/>
    <w:rsid w:val="002B3CB6"/>
    <w:rsid w:val="002B46D1"/>
    <w:rsid w:val="002B5E83"/>
    <w:rsid w:val="002B6618"/>
    <w:rsid w:val="002B771B"/>
    <w:rsid w:val="002C0AA9"/>
    <w:rsid w:val="002C294C"/>
    <w:rsid w:val="002C2A8E"/>
    <w:rsid w:val="002C31F3"/>
    <w:rsid w:val="002C430A"/>
    <w:rsid w:val="002C56F1"/>
    <w:rsid w:val="002C5C71"/>
    <w:rsid w:val="002C5CB6"/>
    <w:rsid w:val="002C5D73"/>
    <w:rsid w:val="002D10E7"/>
    <w:rsid w:val="002D47D3"/>
    <w:rsid w:val="002D4EC6"/>
    <w:rsid w:val="002D67E0"/>
    <w:rsid w:val="002D6A48"/>
    <w:rsid w:val="002D6D7D"/>
    <w:rsid w:val="002D6E09"/>
    <w:rsid w:val="002D7395"/>
    <w:rsid w:val="002D76C9"/>
    <w:rsid w:val="002D7F3A"/>
    <w:rsid w:val="002D7F75"/>
    <w:rsid w:val="002E03BA"/>
    <w:rsid w:val="002E2229"/>
    <w:rsid w:val="002E2D60"/>
    <w:rsid w:val="002E3DE8"/>
    <w:rsid w:val="002E3E21"/>
    <w:rsid w:val="002E496F"/>
    <w:rsid w:val="002E4E95"/>
    <w:rsid w:val="002E5731"/>
    <w:rsid w:val="002E5B53"/>
    <w:rsid w:val="002E760A"/>
    <w:rsid w:val="002E78AC"/>
    <w:rsid w:val="002E7FC6"/>
    <w:rsid w:val="002F0154"/>
    <w:rsid w:val="002F022A"/>
    <w:rsid w:val="002F1D6C"/>
    <w:rsid w:val="002F23E5"/>
    <w:rsid w:val="002F28BB"/>
    <w:rsid w:val="002F2A45"/>
    <w:rsid w:val="002F2AE7"/>
    <w:rsid w:val="002F303A"/>
    <w:rsid w:val="002F32F4"/>
    <w:rsid w:val="002F3417"/>
    <w:rsid w:val="002F44C9"/>
    <w:rsid w:val="002F4930"/>
    <w:rsid w:val="002F5112"/>
    <w:rsid w:val="002F5AC4"/>
    <w:rsid w:val="002F68FC"/>
    <w:rsid w:val="002F757E"/>
    <w:rsid w:val="00300791"/>
    <w:rsid w:val="00303217"/>
    <w:rsid w:val="00303C3F"/>
    <w:rsid w:val="00305AC9"/>
    <w:rsid w:val="0030601C"/>
    <w:rsid w:val="00310501"/>
    <w:rsid w:val="003107E6"/>
    <w:rsid w:val="00313762"/>
    <w:rsid w:val="003143A5"/>
    <w:rsid w:val="003156AE"/>
    <w:rsid w:val="00315939"/>
    <w:rsid w:val="00315C93"/>
    <w:rsid w:val="00317370"/>
    <w:rsid w:val="00320DDF"/>
    <w:rsid w:val="0032269E"/>
    <w:rsid w:val="0032299A"/>
    <w:rsid w:val="003237BA"/>
    <w:rsid w:val="00323933"/>
    <w:rsid w:val="003242A3"/>
    <w:rsid w:val="0032551C"/>
    <w:rsid w:val="00326391"/>
    <w:rsid w:val="003268A5"/>
    <w:rsid w:val="00326B10"/>
    <w:rsid w:val="00327071"/>
    <w:rsid w:val="003275F7"/>
    <w:rsid w:val="00327E50"/>
    <w:rsid w:val="00330564"/>
    <w:rsid w:val="0033058A"/>
    <w:rsid w:val="00330BE1"/>
    <w:rsid w:val="00332400"/>
    <w:rsid w:val="00335499"/>
    <w:rsid w:val="0033576D"/>
    <w:rsid w:val="00335829"/>
    <w:rsid w:val="0034009F"/>
    <w:rsid w:val="0034011C"/>
    <w:rsid w:val="003406A9"/>
    <w:rsid w:val="00341238"/>
    <w:rsid w:val="0034159D"/>
    <w:rsid w:val="0034203E"/>
    <w:rsid w:val="00342215"/>
    <w:rsid w:val="0034223B"/>
    <w:rsid w:val="0034356C"/>
    <w:rsid w:val="003439EE"/>
    <w:rsid w:val="003464D9"/>
    <w:rsid w:val="00346821"/>
    <w:rsid w:val="00347E97"/>
    <w:rsid w:val="00350936"/>
    <w:rsid w:val="00351097"/>
    <w:rsid w:val="0035263F"/>
    <w:rsid w:val="003540C3"/>
    <w:rsid w:val="003540DE"/>
    <w:rsid w:val="003543D7"/>
    <w:rsid w:val="00356B36"/>
    <w:rsid w:val="003571BD"/>
    <w:rsid w:val="00357DCF"/>
    <w:rsid w:val="00357EB1"/>
    <w:rsid w:val="00360ACD"/>
    <w:rsid w:val="00360CC9"/>
    <w:rsid w:val="00360DD6"/>
    <w:rsid w:val="00361F64"/>
    <w:rsid w:val="00362F77"/>
    <w:rsid w:val="00362FE1"/>
    <w:rsid w:val="00363E40"/>
    <w:rsid w:val="00364328"/>
    <w:rsid w:val="003662E9"/>
    <w:rsid w:val="00366802"/>
    <w:rsid w:val="00370C02"/>
    <w:rsid w:val="00371E29"/>
    <w:rsid w:val="00372652"/>
    <w:rsid w:val="00373B0B"/>
    <w:rsid w:val="003743D0"/>
    <w:rsid w:val="00374FC0"/>
    <w:rsid w:val="0037540C"/>
    <w:rsid w:val="00375B04"/>
    <w:rsid w:val="003764AF"/>
    <w:rsid w:val="00376A34"/>
    <w:rsid w:val="0037750B"/>
    <w:rsid w:val="003807BF"/>
    <w:rsid w:val="003816A9"/>
    <w:rsid w:val="0038334B"/>
    <w:rsid w:val="00383C9B"/>
    <w:rsid w:val="00383FCD"/>
    <w:rsid w:val="00384C0D"/>
    <w:rsid w:val="00385201"/>
    <w:rsid w:val="0038699F"/>
    <w:rsid w:val="00386E8A"/>
    <w:rsid w:val="00387B28"/>
    <w:rsid w:val="00387C2A"/>
    <w:rsid w:val="00387C5D"/>
    <w:rsid w:val="003900AB"/>
    <w:rsid w:val="0039027B"/>
    <w:rsid w:val="00390D16"/>
    <w:rsid w:val="00391048"/>
    <w:rsid w:val="00391066"/>
    <w:rsid w:val="00391DCE"/>
    <w:rsid w:val="00393EC5"/>
    <w:rsid w:val="00394A3B"/>
    <w:rsid w:val="0039530A"/>
    <w:rsid w:val="00395D05"/>
    <w:rsid w:val="0039627C"/>
    <w:rsid w:val="0039628C"/>
    <w:rsid w:val="00396DF1"/>
    <w:rsid w:val="003A1995"/>
    <w:rsid w:val="003A3AFA"/>
    <w:rsid w:val="003A433D"/>
    <w:rsid w:val="003A52B2"/>
    <w:rsid w:val="003A5D0B"/>
    <w:rsid w:val="003A6B46"/>
    <w:rsid w:val="003A6F5F"/>
    <w:rsid w:val="003A6FC9"/>
    <w:rsid w:val="003A7764"/>
    <w:rsid w:val="003A78EC"/>
    <w:rsid w:val="003B0685"/>
    <w:rsid w:val="003B27A8"/>
    <w:rsid w:val="003B29BB"/>
    <w:rsid w:val="003B330F"/>
    <w:rsid w:val="003B3E3B"/>
    <w:rsid w:val="003B403E"/>
    <w:rsid w:val="003B4D44"/>
    <w:rsid w:val="003B696C"/>
    <w:rsid w:val="003B7B4E"/>
    <w:rsid w:val="003B7D75"/>
    <w:rsid w:val="003C08F4"/>
    <w:rsid w:val="003C14FD"/>
    <w:rsid w:val="003C2431"/>
    <w:rsid w:val="003C2958"/>
    <w:rsid w:val="003C378D"/>
    <w:rsid w:val="003C390F"/>
    <w:rsid w:val="003C3FA1"/>
    <w:rsid w:val="003C54DF"/>
    <w:rsid w:val="003C5709"/>
    <w:rsid w:val="003C5912"/>
    <w:rsid w:val="003C596F"/>
    <w:rsid w:val="003C66AA"/>
    <w:rsid w:val="003C7232"/>
    <w:rsid w:val="003D06A5"/>
    <w:rsid w:val="003D0BB0"/>
    <w:rsid w:val="003D0E0E"/>
    <w:rsid w:val="003D100A"/>
    <w:rsid w:val="003D1461"/>
    <w:rsid w:val="003D16A1"/>
    <w:rsid w:val="003D1AB2"/>
    <w:rsid w:val="003D2FDF"/>
    <w:rsid w:val="003D5329"/>
    <w:rsid w:val="003D68B3"/>
    <w:rsid w:val="003D7179"/>
    <w:rsid w:val="003D750C"/>
    <w:rsid w:val="003E035D"/>
    <w:rsid w:val="003E08EE"/>
    <w:rsid w:val="003E2103"/>
    <w:rsid w:val="003E2449"/>
    <w:rsid w:val="003E307B"/>
    <w:rsid w:val="003E6768"/>
    <w:rsid w:val="003E6EE9"/>
    <w:rsid w:val="003E7B14"/>
    <w:rsid w:val="003F08C4"/>
    <w:rsid w:val="003F137C"/>
    <w:rsid w:val="003F1EA7"/>
    <w:rsid w:val="003F214B"/>
    <w:rsid w:val="003F26DC"/>
    <w:rsid w:val="003F30ED"/>
    <w:rsid w:val="003F53BE"/>
    <w:rsid w:val="003F5A9A"/>
    <w:rsid w:val="003F642F"/>
    <w:rsid w:val="003F6CD2"/>
    <w:rsid w:val="004002AA"/>
    <w:rsid w:val="004005C4"/>
    <w:rsid w:val="00400B9E"/>
    <w:rsid w:val="00403B25"/>
    <w:rsid w:val="00405B29"/>
    <w:rsid w:val="00406F2A"/>
    <w:rsid w:val="00407BA5"/>
    <w:rsid w:val="00410128"/>
    <w:rsid w:val="00410348"/>
    <w:rsid w:val="00410BE3"/>
    <w:rsid w:val="00411FFC"/>
    <w:rsid w:val="00412065"/>
    <w:rsid w:val="00415435"/>
    <w:rsid w:val="004158EC"/>
    <w:rsid w:val="00415F06"/>
    <w:rsid w:val="00417100"/>
    <w:rsid w:val="00417881"/>
    <w:rsid w:val="00417982"/>
    <w:rsid w:val="00417A3E"/>
    <w:rsid w:val="00417CD1"/>
    <w:rsid w:val="0042009D"/>
    <w:rsid w:val="00420F30"/>
    <w:rsid w:val="00421F78"/>
    <w:rsid w:val="00422011"/>
    <w:rsid w:val="004220B0"/>
    <w:rsid w:val="004235E1"/>
    <w:rsid w:val="00423DF6"/>
    <w:rsid w:val="00425AAC"/>
    <w:rsid w:val="00426E56"/>
    <w:rsid w:val="00427E34"/>
    <w:rsid w:val="00432C78"/>
    <w:rsid w:val="00435D9A"/>
    <w:rsid w:val="004361E7"/>
    <w:rsid w:val="00437179"/>
    <w:rsid w:val="004408E1"/>
    <w:rsid w:val="00441BCD"/>
    <w:rsid w:val="00441E26"/>
    <w:rsid w:val="0044206F"/>
    <w:rsid w:val="00442E66"/>
    <w:rsid w:val="0044418C"/>
    <w:rsid w:val="00445E35"/>
    <w:rsid w:val="0044621B"/>
    <w:rsid w:val="00446C3E"/>
    <w:rsid w:val="004475D3"/>
    <w:rsid w:val="00447F7F"/>
    <w:rsid w:val="00450734"/>
    <w:rsid w:val="00450ACE"/>
    <w:rsid w:val="004516E8"/>
    <w:rsid w:val="004518CD"/>
    <w:rsid w:val="004520C4"/>
    <w:rsid w:val="00453B98"/>
    <w:rsid w:val="00456517"/>
    <w:rsid w:val="00460444"/>
    <w:rsid w:val="00462F70"/>
    <w:rsid w:val="0046303B"/>
    <w:rsid w:val="0046354E"/>
    <w:rsid w:val="00463651"/>
    <w:rsid w:val="00463C64"/>
    <w:rsid w:val="00464BB2"/>
    <w:rsid w:val="00464ED3"/>
    <w:rsid w:val="004669A7"/>
    <w:rsid w:val="00471165"/>
    <w:rsid w:val="00471F2A"/>
    <w:rsid w:val="00473400"/>
    <w:rsid w:val="00474325"/>
    <w:rsid w:val="004749ED"/>
    <w:rsid w:val="00476012"/>
    <w:rsid w:val="00476D9C"/>
    <w:rsid w:val="0047762A"/>
    <w:rsid w:val="00477F3E"/>
    <w:rsid w:val="0048008D"/>
    <w:rsid w:val="00480450"/>
    <w:rsid w:val="004804A3"/>
    <w:rsid w:val="00480724"/>
    <w:rsid w:val="00481298"/>
    <w:rsid w:val="00482E25"/>
    <w:rsid w:val="00482E35"/>
    <w:rsid w:val="004836A0"/>
    <w:rsid w:val="00486AC0"/>
    <w:rsid w:val="00486E7A"/>
    <w:rsid w:val="0048749E"/>
    <w:rsid w:val="004874E9"/>
    <w:rsid w:val="00487824"/>
    <w:rsid w:val="004907FB"/>
    <w:rsid w:val="00490F84"/>
    <w:rsid w:val="00491A82"/>
    <w:rsid w:val="00493173"/>
    <w:rsid w:val="0049375D"/>
    <w:rsid w:val="00493FED"/>
    <w:rsid w:val="00494597"/>
    <w:rsid w:val="004949CF"/>
    <w:rsid w:val="00494B23"/>
    <w:rsid w:val="004966BF"/>
    <w:rsid w:val="00496C1B"/>
    <w:rsid w:val="00497039"/>
    <w:rsid w:val="00497D3B"/>
    <w:rsid w:val="00497F1B"/>
    <w:rsid w:val="00497FAC"/>
    <w:rsid w:val="004A1778"/>
    <w:rsid w:val="004A17F7"/>
    <w:rsid w:val="004A1B2A"/>
    <w:rsid w:val="004A1BA4"/>
    <w:rsid w:val="004A1E7E"/>
    <w:rsid w:val="004A1F82"/>
    <w:rsid w:val="004A230E"/>
    <w:rsid w:val="004A273B"/>
    <w:rsid w:val="004A5DE1"/>
    <w:rsid w:val="004A69A1"/>
    <w:rsid w:val="004A74A6"/>
    <w:rsid w:val="004A76C1"/>
    <w:rsid w:val="004B0001"/>
    <w:rsid w:val="004B0C78"/>
    <w:rsid w:val="004B0E90"/>
    <w:rsid w:val="004B1F4A"/>
    <w:rsid w:val="004B2E3E"/>
    <w:rsid w:val="004B2FB7"/>
    <w:rsid w:val="004B3EF9"/>
    <w:rsid w:val="004B3F6A"/>
    <w:rsid w:val="004B43AB"/>
    <w:rsid w:val="004B593E"/>
    <w:rsid w:val="004B5FD7"/>
    <w:rsid w:val="004C0CC7"/>
    <w:rsid w:val="004C0D77"/>
    <w:rsid w:val="004C1127"/>
    <w:rsid w:val="004C1967"/>
    <w:rsid w:val="004C1FF4"/>
    <w:rsid w:val="004C22EF"/>
    <w:rsid w:val="004C2C95"/>
    <w:rsid w:val="004C6062"/>
    <w:rsid w:val="004C6EC5"/>
    <w:rsid w:val="004D105D"/>
    <w:rsid w:val="004D1244"/>
    <w:rsid w:val="004D2531"/>
    <w:rsid w:val="004D2E8D"/>
    <w:rsid w:val="004D33DC"/>
    <w:rsid w:val="004D395E"/>
    <w:rsid w:val="004D3DCA"/>
    <w:rsid w:val="004D5531"/>
    <w:rsid w:val="004D66EB"/>
    <w:rsid w:val="004D796B"/>
    <w:rsid w:val="004E011D"/>
    <w:rsid w:val="004E028A"/>
    <w:rsid w:val="004E062C"/>
    <w:rsid w:val="004E0F0A"/>
    <w:rsid w:val="004E13CF"/>
    <w:rsid w:val="004E1771"/>
    <w:rsid w:val="004E2845"/>
    <w:rsid w:val="004E28CF"/>
    <w:rsid w:val="004E2F7A"/>
    <w:rsid w:val="004E46A5"/>
    <w:rsid w:val="004E54E1"/>
    <w:rsid w:val="004E7288"/>
    <w:rsid w:val="004F1212"/>
    <w:rsid w:val="004F257B"/>
    <w:rsid w:val="004F2845"/>
    <w:rsid w:val="004F2BD1"/>
    <w:rsid w:val="004F4B3C"/>
    <w:rsid w:val="00500396"/>
    <w:rsid w:val="005016AF"/>
    <w:rsid w:val="00503599"/>
    <w:rsid w:val="00503790"/>
    <w:rsid w:val="0050459B"/>
    <w:rsid w:val="00504E6D"/>
    <w:rsid w:val="0050560A"/>
    <w:rsid w:val="0050590C"/>
    <w:rsid w:val="00507AB2"/>
    <w:rsid w:val="00507B35"/>
    <w:rsid w:val="005107DD"/>
    <w:rsid w:val="00510D3B"/>
    <w:rsid w:val="0051290E"/>
    <w:rsid w:val="00512A9C"/>
    <w:rsid w:val="00512D8E"/>
    <w:rsid w:val="005138BF"/>
    <w:rsid w:val="00513F3E"/>
    <w:rsid w:val="0051479A"/>
    <w:rsid w:val="005147E2"/>
    <w:rsid w:val="0051592E"/>
    <w:rsid w:val="00515F40"/>
    <w:rsid w:val="00516369"/>
    <w:rsid w:val="00517534"/>
    <w:rsid w:val="00517F79"/>
    <w:rsid w:val="00522822"/>
    <w:rsid w:val="00523416"/>
    <w:rsid w:val="005234AD"/>
    <w:rsid w:val="00523A86"/>
    <w:rsid w:val="00523E45"/>
    <w:rsid w:val="0052424A"/>
    <w:rsid w:val="0052440A"/>
    <w:rsid w:val="00524A4A"/>
    <w:rsid w:val="005251FD"/>
    <w:rsid w:val="00525EE7"/>
    <w:rsid w:val="00527F01"/>
    <w:rsid w:val="005305C3"/>
    <w:rsid w:val="005318B2"/>
    <w:rsid w:val="00531A63"/>
    <w:rsid w:val="00533B88"/>
    <w:rsid w:val="00536FC6"/>
    <w:rsid w:val="005406BD"/>
    <w:rsid w:val="00542984"/>
    <w:rsid w:val="00542F3A"/>
    <w:rsid w:val="00545FB5"/>
    <w:rsid w:val="00546083"/>
    <w:rsid w:val="00546422"/>
    <w:rsid w:val="005473EA"/>
    <w:rsid w:val="00547514"/>
    <w:rsid w:val="0055082B"/>
    <w:rsid w:val="00550EA0"/>
    <w:rsid w:val="005519CE"/>
    <w:rsid w:val="00552033"/>
    <w:rsid w:val="00552269"/>
    <w:rsid w:val="0055244E"/>
    <w:rsid w:val="0055319C"/>
    <w:rsid w:val="00553FD0"/>
    <w:rsid w:val="00554A39"/>
    <w:rsid w:val="00556EE6"/>
    <w:rsid w:val="00556EFD"/>
    <w:rsid w:val="0055742E"/>
    <w:rsid w:val="00560CA7"/>
    <w:rsid w:val="00561AEA"/>
    <w:rsid w:val="00562045"/>
    <w:rsid w:val="00562289"/>
    <w:rsid w:val="005624F6"/>
    <w:rsid w:val="00562DD8"/>
    <w:rsid w:val="0056304B"/>
    <w:rsid w:val="00564415"/>
    <w:rsid w:val="005653AE"/>
    <w:rsid w:val="00565884"/>
    <w:rsid w:val="00567E5E"/>
    <w:rsid w:val="0057004A"/>
    <w:rsid w:val="005705C0"/>
    <w:rsid w:val="005705EC"/>
    <w:rsid w:val="00571EE9"/>
    <w:rsid w:val="005738A1"/>
    <w:rsid w:val="00574A43"/>
    <w:rsid w:val="005765BF"/>
    <w:rsid w:val="00577403"/>
    <w:rsid w:val="005776F4"/>
    <w:rsid w:val="00577A67"/>
    <w:rsid w:val="00581F08"/>
    <w:rsid w:val="005829C3"/>
    <w:rsid w:val="00583552"/>
    <w:rsid w:val="00583C66"/>
    <w:rsid w:val="00584263"/>
    <w:rsid w:val="00584C7D"/>
    <w:rsid w:val="00585241"/>
    <w:rsid w:val="00585BF1"/>
    <w:rsid w:val="0058613F"/>
    <w:rsid w:val="005866F7"/>
    <w:rsid w:val="005905BB"/>
    <w:rsid w:val="00590745"/>
    <w:rsid w:val="00590B7A"/>
    <w:rsid w:val="00592E56"/>
    <w:rsid w:val="0059532C"/>
    <w:rsid w:val="00597511"/>
    <w:rsid w:val="00597EC8"/>
    <w:rsid w:val="005A1004"/>
    <w:rsid w:val="005A2078"/>
    <w:rsid w:val="005A2E79"/>
    <w:rsid w:val="005A3883"/>
    <w:rsid w:val="005A74AF"/>
    <w:rsid w:val="005B0256"/>
    <w:rsid w:val="005B2690"/>
    <w:rsid w:val="005B29C0"/>
    <w:rsid w:val="005B3329"/>
    <w:rsid w:val="005B536C"/>
    <w:rsid w:val="005B5E3F"/>
    <w:rsid w:val="005B6E22"/>
    <w:rsid w:val="005B7964"/>
    <w:rsid w:val="005C0215"/>
    <w:rsid w:val="005C273F"/>
    <w:rsid w:val="005C4ECB"/>
    <w:rsid w:val="005C4FDF"/>
    <w:rsid w:val="005C5F44"/>
    <w:rsid w:val="005C7EE9"/>
    <w:rsid w:val="005D052D"/>
    <w:rsid w:val="005D078D"/>
    <w:rsid w:val="005D1098"/>
    <w:rsid w:val="005D1D02"/>
    <w:rsid w:val="005D241E"/>
    <w:rsid w:val="005D2852"/>
    <w:rsid w:val="005D2E18"/>
    <w:rsid w:val="005D32A7"/>
    <w:rsid w:val="005D4637"/>
    <w:rsid w:val="005D4EFC"/>
    <w:rsid w:val="005D64BF"/>
    <w:rsid w:val="005D6569"/>
    <w:rsid w:val="005D6632"/>
    <w:rsid w:val="005D6CE1"/>
    <w:rsid w:val="005D6FF8"/>
    <w:rsid w:val="005D7440"/>
    <w:rsid w:val="005D7D70"/>
    <w:rsid w:val="005E0958"/>
    <w:rsid w:val="005E2138"/>
    <w:rsid w:val="005E2368"/>
    <w:rsid w:val="005E23C9"/>
    <w:rsid w:val="005E247A"/>
    <w:rsid w:val="005E2AD2"/>
    <w:rsid w:val="005E2D47"/>
    <w:rsid w:val="005E3129"/>
    <w:rsid w:val="005E365B"/>
    <w:rsid w:val="005E4120"/>
    <w:rsid w:val="005E4A90"/>
    <w:rsid w:val="005E5695"/>
    <w:rsid w:val="005E6065"/>
    <w:rsid w:val="005E6144"/>
    <w:rsid w:val="005E6807"/>
    <w:rsid w:val="005E6C6D"/>
    <w:rsid w:val="005E721E"/>
    <w:rsid w:val="005F063C"/>
    <w:rsid w:val="005F0AA9"/>
    <w:rsid w:val="005F0DB8"/>
    <w:rsid w:val="005F163A"/>
    <w:rsid w:val="005F19F3"/>
    <w:rsid w:val="005F1B76"/>
    <w:rsid w:val="005F1D2E"/>
    <w:rsid w:val="005F4628"/>
    <w:rsid w:val="005F69EA"/>
    <w:rsid w:val="005F6C1A"/>
    <w:rsid w:val="005F7E9D"/>
    <w:rsid w:val="0060058E"/>
    <w:rsid w:val="00600F75"/>
    <w:rsid w:val="00601461"/>
    <w:rsid w:val="00601672"/>
    <w:rsid w:val="00601B09"/>
    <w:rsid w:val="00603290"/>
    <w:rsid w:val="00603DDB"/>
    <w:rsid w:val="0060449D"/>
    <w:rsid w:val="006051B4"/>
    <w:rsid w:val="00605A62"/>
    <w:rsid w:val="00606CBC"/>
    <w:rsid w:val="00606F23"/>
    <w:rsid w:val="006071A4"/>
    <w:rsid w:val="006078D6"/>
    <w:rsid w:val="00610B14"/>
    <w:rsid w:val="00611B8A"/>
    <w:rsid w:val="00612480"/>
    <w:rsid w:val="00614277"/>
    <w:rsid w:val="00614708"/>
    <w:rsid w:val="00615715"/>
    <w:rsid w:val="00615723"/>
    <w:rsid w:val="0061656C"/>
    <w:rsid w:val="0061727B"/>
    <w:rsid w:val="006213C8"/>
    <w:rsid w:val="006215FC"/>
    <w:rsid w:val="00622C26"/>
    <w:rsid w:val="00622EEA"/>
    <w:rsid w:val="0062495D"/>
    <w:rsid w:val="00631AB2"/>
    <w:rsid w:val="006324F9"/>
    <w:rsid w:val="00633509"/>
    <w:rsid w:val="006335D3"/>
    <w:rsid w:val="00633DAE"/>
    <w:rsid w:val="0063549E"/>
    <w:rsid w:val="00637843"/>
    <w:rsid w:val="006378A7"/>
    <w:rsid w:val="00637C9E"/>
    <w:rsid w:val="00640689"/>
    <w:rsid w:val="00640F0D"/>
    <w:rsid w:val="00641366"/>
    <w:rsid w:val="00641E15"/>
    <w:rsid w:val="00643A2B"/>
    <w:rsid w:val="00643AFF"/>
    <w:rsid w:val="006448C8"/>
    <w:rsid w:val="00644FC7"/>
    <w:rsid w:val="00645F60"/>
    <w:rsid w:val="00646A37"/>
    <w:rsid w:val="00646D13"/>
    <w:rsid w:val="00646DA2"/>
    <w:rsid w:val="00647016"/>
    <w:rsid w:val="0064777D"/>
    <w:rsid w:val="00650191"/>
    <w:rsid w:val="0065125C"/>
    <w:rsid w:val="006516C2"/>
    <w:rsid w:val="00653C7F"/>
    <w:rsid w:val="0065523D"/>
    <w:rsid w:val="00656670"/>
    <w:rsid w:val="00656A3C"/>
    <w:rsid w:val="00657267"/>
    <w:rsid w:val="00657F3D"/>
    <w:rsid w:val="006603A2"/>
    <w:rsid w:val="0066450C"/>
    <w:rsid w:val="0066453B"/>
    <w:rsid w:val="006646A8"/>
    <w:rsid w:val="00664845"/>
    <w:rsid w:val="00665A4C"/>
    <w:rsid w:val="00665D21"/>
    <w:rsid w:val="00665F04"/>
    <w:rsid w:val="0066606B"/>
    <w:rsid w:val="006664EE"/>
    <w:rsid w:val="006705C6"/>
    <w:rsid w:val="00670A26"/>
    <w:rsid w:val="00671225"/>
    <w:rsid w:val="0067467A"/>
    <w:rsid w:val="006753E3"/>
    <w:rsid w:val="006754F2"/>
    <w:rsid w:val="00677243"/>
    <w:rsid w:val="0068044B"/>
    <w:rsid w:val="00680AF4"/>
    <w:rsid w:val="00682239"/>
    <w:rsid w:val="006824D5"/>
    <w:rsid w:val="00682B13"/>
    <w:rsid w:val="0068349E"/>
    <w:rsid w:val="00683ABD"/>
    <w:rsid w:val="00683FBB"/>
    <w:rsid w:val="006849E9"/>
    <w:rsid w:val="00684A12"/>
    <w:rsid w:val="006860EE"/>
    <w:rsid w:val="006863D8"/>
    <w:rsid w:val="00687C3A"/>
    <w:rsid w:val="006907CD"/>
    <w:rsid w:val="00690E8D"/>
    <w:rsid w:val="0069494F"/>
    <w:rsid w:val="006951FF"/>
    <w:rsid w:val="00695999"/>
    <w:rsid w:val="00696702"/>
    <w:rsid w:val="006A09C2"/>
    <w:rsid w:val="006A0DCF"/>
    <w:rsid w:val="006A1666"/>
    <w:rsid w:val="006A2271"/>
    <w:rsid w:val="006A2655"/>
    <w:rsid w:val="006A2FDE"/>
    <w:rsid w:val="006A3C7F"/>
    <w:rsid w:val="006A3FE7"/>
    <w:rsid w:val="006A4453"/>
    <w:rsid w:val="006A44A5"/>
    <w:rsid w:val="006A4A23"/>
    <w:rsid w:val="006A603E"/>
    <w:rsid w:val="006A6047"/>
    <w:rsid w:val="006A681B"/>
    <w:rsid w:val="006A75AF"/>
    <w:rsid w:val="006A76AA"/>
    <w:rsid w:val="006B076F"/>
    <w:rsid w:val="006B09AF"/>
    <w:rsid w:val="006B15D9"/>
    <w:rsid w:val="006B2026"/>
    <w:rsid w:val="006B2C0A"/>
    <w:rsid w:val="006B2E91"/>
    <w:rsid w:val="006B5DE3"/>
    <w:rsid w:val="006B5E6E"/>
    <w:rsid w:val="006B6207"/>
    <w:rsid w:val="006B6CF2"/>
    <w:rsid w:val="006B71E1"/>
    <w:rsid w:val="006C090F"/>
    <w:rsid w:val="006C0E51"/>
    <w:rsid w:val="006C2AC3"/>
    <w:rsid w:val="006C3549"/>
    <w:rsid w:val="006C3773"/>
    <w:rsid w:val="006C3CF1"/>
    <w:rsid w:val="006C5B6D"/>
    <w:rsid w:val="006C763E"/>
    <w:rsid w:val="006D184D"/>
    <w:rsid w:val="006D20F3"/>
    <w:rsid w:val="006D26FC"/>
    <w:rsid w:val="006D456D"/>
    <w:rsid w:val="006D558D"/>
    <w:rsid w:val="006D6ED1"/>
    <w:rsid w:val="006E0322"/>
    <w:rsid w:val="006E07FA"/>
    <w:rsid w:val="006E0C56"/>
    <w:rsid w:val="006E0CBE"/>
    <w:rsid w:val="006E23ED"/>
    <w:rsid w:val="006E27A6"/>
    <w:rsid w:val="006E30C2"/>
    <w:rsid w:val="006E3CC8"/>
    <w:rsid w:val="006E3F8F"/>
    <w:rsid w:val="006E40D8"/>
    <w:rsid w:val="006E431E"/>
    <w:rsid w:val="006E465E"/>
    <w:rsid w:val="006E472B"/>
    <w:rsid w:val="006E5545"/>
    <w:rsid w:val="006E5A6D"/>
    <w:rsid w:val="006F07FD"/>
    <w:rsid w:val="006F2D0D"/>
    <w:rsid w:val="006F2D80"/>
    <w:rsid w:val="006F645D"/>
    <w:rsid w:val="006F65EB"/>
    <w:rsid w:val="006F7055"/>
    <w:rsid w:val="006F7699"/>
    <w:rsid w:val="006F7F9A"/>
    <w:rsid w:val="00700165"/>
    <w:rsid w:val="00702A5E"/>
    <w:rsid w:val="0070300C"/>
    <w:rsid w:val="00703239"/>
    <w:rsid w:val="00704184"/>
    <w:rsid w:val="007058FE"/>
    <w:rsid w:val="007066FF"/>
    <w:rsid w:val="00706900"/>
    <w:rsid w:val="00707D76"/>
    <w:rsid w:val="0071031C"/>
    <w:rsid w:val="007103BC"/>
    <w:rsid w:val="00711104"/>
    <w:rsid w:val="00713568"/>
    <w:rsid w:val="00714136"/>
    <w:rsid w:val="0071683E"/>
    <w:rsid w:val="007168ED"/>
    <w:rsid w:val="00716B6B"/>
    <w:rsid w:val="00717535"/>
    <w:rsid w:val="007205C1"/>
    <w:rsid w:val="007222A3"/>
    <w:rsid w:val="00722CB4"/>
    <w:rsid w:val="00723747"/>
    <w:rsid w:val="00723CAE"/>
    <w:rsid w:val="00723DEC"/>
    <w:rsid w:val="00724955"/>
    <w:rsid w:val="00724B7E"/>
    <w:rsid w:val="00725618"/>
    <w:rsid w:val="00725FAA"/>
    <w:rsid w:val="00726013"/>
    <w:rsid w:val="007263A8"/>
    <w:rsid w:val="007264CA"/>
    <w:rsid w:val="00726736"/>
    <w:rsid w:val="0072722B"/>
    <w:rsid w:val="00727D1F"/>
    <w:rsid w:val="0073052D"/>
    <w:rsid w:val="007306CA"/>
    <w:rsid w:val="00730D70"/>
    <w:rsid w:val="007316F1"/>
    <w:rsid w:val="007318C2"/>
    <w:rsid w:val="0073293A"/>
    <w:rsid w:val="007330B0"/>
    <w:rsid w:val="00733F3E"/>
    <w:rsid w:val="007348AE"/>
    <w:rsid w:val="007349E9"/>
    <w:rsid w:val="00737383"/>
    <w:rsid w:val="00737A29"/>
    <w:rsid w:val="007404E0"/>
    <w:rsid w:val="007406AB"/>
    <w:rsid w:val="00740D02"/>
    <w:rsid w:val="00741465"/>
    <w:rsid w:val="00741612"/>
    <w:rsid w:val="00742452"/>
    <w:rsid w:val="00743F4D"/>
    <w:rsid w:val="007449D3"/>
    <w:rsid w:val="00745028"/>
    <w:rsid w:val="0074747F"/>
    <w:rsid w:val="00747F8A"/>
    <w:rsid w:val="00753145"/>
    <w:rsid w:val="007557AD"/>
    <w:rsid w:val="007557E4"/>
    <w:rsid w:val="00756E9E"/>
    <w:rsid w:val="00757B47"/>
    <w:rsid w:val="00761AF1"/>
    <w:rsid w:val="00762360"/>
    <w:rsid w:val="0076260C"/>
    <w:rsid w:val="00763765"/>
    <w:rsid w:val="007639E5"/>
    <w:rsid w:val="007647FC"/>
    <w:rsid w:val="00764900"/>
    <w:rsid w:val="00764B69"/>
    <w:rsid w:val="00766C14"/>
    <w:rsid w:val="00767EBC"/>
    <w:rsid w:val="007710C3"/>
    <w:rsid w:val="007721E6"/>
    <w:rsid w:val="00774145"/>
    <w:rsid w:val="007750F2"/>
    <w:rsid w:val="00776C4E"/>
    <w:rsid w:val="00777533"/>
    <w:rsid w:val="00777E78"/>
    <w:rsid w:val="00780842"/>
    <w:rsid w:val="007811F0"/>
    <w:rsid w:val="0078151C"/>
    <w:rsid w:val="00782C44"/>
    <w:rsid w:val="007836A9"/>
    <w:rsid w:val="00783B57"/>
    <w:rsid w:val="007870E2"/>
    <w:rsid w:val="007879AE"/>
    <w:rsid w:val="0079071E"/>
    <w:rsid w:val="007917D1"/>
    <w:rsid w:val="00791B8A"/>
    <w:rsid w:val="00792F2B"/>
    <w:rsid w:val="0079333F"/>
    <w:rsid w:val="0079349D"/>
    <w:rsid w:val="007970B8"/>
    <w:rsid w:val="007A1390"/>
    <w:rsid w:val="007A1AE6"/>
    <w:rsid w:val="007A1DCF"/>
    <w:rsid w:val="007A21A5"/>
    <w:rsid w:val="007A2BC2"/>
    <w:rsid w:val="007A32CA"/>
    <w:rsid w:val="007A387C"/>
    <w:rsid w:val="007A3A6E"/>
    <w:rsid w:val="007A714B"/>
    <w:rsid w:val="007A73A9"/>
    <w:rsid w:val="007A73DB"/>
    <w:rsid w:val="007A79E7"/>
    <w:rsid w:val="007A7B99"/>
    <w:rsid w:val="007A7FDB"/>
    <w:rsid w:val="007B059D"/>
    <w:rsid w:val="007B0AA9"/>
    <w:rsid w:val="007B0D5F"/>
    <w:rsid w:val="007B0EAE"/>
    <w:rsid w:val="007B10BE"/>
    <w:rsid w:val="007B2259"/>
    <w:rsid w:val="007B24F0"/>
    <w:rsid w:val="007B308C"/>
    <w:rsid w:val="007B358A"/>
    <w:rsid w:val="007B381A"/>
    <w:rsid w:val="007B41DF"/>
    <w:rsid w:val="007B4D4F"/>
    <w:rsid w:val="007B6C65"/>
    <w:rsid w:val="007B6EF3"/>
    <w:rsid w:val="007C0B60"/>
    <w:rsid w:val="007C36AA"/>
    <w:rsid w:val="007C477B"/>
    <w:rsid w:val="007C5715"/>
    <w:rsid w:val="007C5F0F"/>
    <w:rsid w:val="007C6AF5"/>
    <w:rsid w:val="007D0BB4"/>
    <w:rsid w:val="007D2020"/>
    <w:rsid w:val="007D256E"/>
    <w:rsid w:val="007D2F94"/>
    <w:rsid w:val="007D328A"/>
    <w:rsid w:val="007D377C"/>
    <w:rsid w:val="007D558F"/>
    <w:rsid w:val="007D6E4E"/>
    <w:rsid w:val="007E0D2E"/>
    <w:rsid w:val="007E125F"/>
    <w:rsid w:val="007E16C6"/>
    <w:rsid w:val="007E2BAF"/>
    <w:rsid w:val="007E36F9"/>
    <w:rsid w:val="007E3D80"/>
    <w:rsid w:val="007E530D"/>
    <w:rsid w:val="007E5500"/>
    <w:rsid w:val="007E5615"/>
    <w:rsid w:val="007E5D4D"/>
    <w:rsid w:val="007E6044"/>
    <w:rsid w:val="007E6267"/>
    <w:rsid w:val="007E728E"/>
    <w:rsid w:val="007F01EA"/>
    <w:rsid w:val="007F11D7"/>
    <w:rsid w:val="007F1B5C"/>
    <w:rsid w:val="007F25D2"/>
    <w:rsid w:val="007F478E"/>
    <w:rsid w:val="007F4C7D"/>
    <w:rsid w:val="007F53C6"/>
    <w:rsid w:val="007F6726"/>
    <w:rsid w:val="00800546"/>
    <w:rsid w:val="00800D4D"/>
    <w:rsid w:val="00801903"/>
    <w:rsid w:val="00802606"/>
    <w:rsid w:val="00803A2F"/>
    <w:rsid w:val="0080488B"/>
    <w:rsid w:val="0080518D"/>
    <w:rsid w:val="00805BA9"/>
    <w:rsid w:val="008072B7"/>
    <w:rsid w:val="00807721"/>
    <w:rsid w:val="00807722"/>
    <w:rsid w:val="008079EA"/>
    <w:rsid w:val="00807D24"/>
    <w:rsid w:val="00810A12"/>
    <w:rsid w:val="00811778"/>
    <w:rsid w:val="00812D6B"/>
    <w:rsid w:val="00813DF3"/>
    <w:rsid w:val="008144B4"/>
    <w:rsid w:val="00815562"/>
    <w:rsid w:val="008172D2"/>
    <w:rsid w:val="00817E84"/>
    <w:rsid w:val="00820F13"/>
    <w:rsid w:val="0082133E"/>
    <w:rsid w:val="00821B0A"/>
    <w:rsid w:val="00821B93"/>
    <w:rsid w:val="0082244F"/>
    <w:rsid w:val="00822A0F"/>
    <w:rsid w:val="00822B03"/>
    <w:rsid w:val="00823872"/>
    <w:rsid w:val="00826420"/>
    <w:rsid w:val="00830E6A"/>
    <w:rsid w:val="00831A91"/>
    <w:rsid w:val="00834E36"/>
    <w:rsid w:val="00834FB9"/>
    <w:rsid w:val="00835EC0"/>
    <w:rsid w:val="0083779E"/>
    <w:rsid w:val="008378A8"/>
    <w:rsid w:val="00841C75"/>
    <w:rsid w:val="00843F69"/>
    <w:rsid w:val="008446D3"/>
    <w:rsid w:val="00845471"/>
    <w:rsid w:val="008456C6"/>
    <w:rsid w:val="0084776F"/>
    <w:rsid w:val="00850548"/>
    <w:rsid w:val="008520CE"/>
    <w:rsid w:val="0085232C"/>
    <w:rsid w:val="0085260C"/>
    <w:rsid w:val="00854DA9"/>
    <w:rsid w:val="0085591A"/>
    <w:rsid w:val="00855A04"/>
    <w:rsid w:val="008607A7"/>
    <w:rsid w:val="00860A8A"/>
    <w:rsid w:val="00862352"/>
    <w:rsid w:val="00862FE7"/>
    <w:rsid w:val="00863A98"/>
    <w:rsid w:val="00863D42"/>
    <w:rsid w:val="0086414D"/>
    <w:rsid w:val="00864AEE"/>
    <w:rsid w:val="00865369"/>
    <w:rsid w:val="00865628"/>
    <w:rsid w:val="00865A8F"/>
    <w:rsid w:val="0087062D"/>
    <w:rsid w:val="00870743"/>
    <w:rsid w:val="008707C5"/>
    <w:rsid w:val="00870C60"/>
    <w:rsid w:val="00873499"/>
    <w:rsid w:val="00874A5A"/>
    <w:rsid w:val="008750CB"/>
    <w:rsid w:val="008762F0"/>
    <w:rsid w:val="00880593"/>
    <w:rsid w:val="0088069D"/>
    <w:rsid w:val="00882187"/>
    <w:rsid w:val="00885923"/>
    <w:rsid w:val="008900EA"/>
    <w:rsid w:val="00890235"/>
    <w:rsid w:val="00890A8F"/>
    <w:rsid w:val="0089115E"/>
    <w:rsid w:val="00891F4B"/>
    <w:rsid w:val="00892315"/>
    <w:rsid w:val="008926C9"/>
    <w:rsid w:val="00892D19"/>
    <w:rsid w:val="00893792"/>
    <w:rsid w:val="00893ED5"/>
    <w:rsid w:val="008949AD"/>
    <w:rsid w:val="0089593F"/>
    <w:rsid w:val="00897B06"/>
    <w:rsid w:val="008A0086"/>
    <w:rsid w:val="008A039B"/>
    <w:rsid w:val="008A061F"/>
    <w:rsid w:val="008A0A80"/>
    <w:rsid w:val="008A0BBF"/>
    <w:rsid w:val="008A1535"/>
    <w:rsid w:val="008A4851"/>
    <w:rsid w:val="008A4865"/>
    <w:rsid w:val="008A500C"/>
    <w:rsid w:val="008A6466"/>
    <w:rsid w:val="008A7CCA"/>
    <w:rsid w:val="008A7E3D"/>
    <w:rsid w:val="008A7F90"/>
    <w:rsid w:val="008B06BB"/>
    <w:rsid w:val="008B3DDA"/>
    <w:rsid w:val="008B41A6"/>
    <w:rsid w:val="008B5DF6"/>
    <w:rsid w:val="008B611B"/>
    <w:rsid w:val="008B6225"/>
    <w:rsid w:val="008B6C4A"/>
    <w:rsid w:val="008C0585"/>
    <w:rsid w:val="008C08E9"/>
    <w:rsid w:val="008C20EA"/>
    <w:rsid w:val="008C221C"/>
    <w:rsid w:val="008C248D"/>
    <w:rsid w:val="008C327D"/>
    <w:rsid w:val="008C3513"/>
    <w:rsid w:val="008C40C4"/>
    <w:rsid w:val="008C4683"/>
    <w:rsid w:val="008C56A5"/>
    <w:rsid w:val="008C5853"/>
    <w:rsid w:val="008C5916"/>
    <w:rsid w:val="008C5AEE"/>
    <w:rsid w:val="008C7708"/>
    <w:rsid w:val="008D06A3"/>
    <w:rsid w:val="008D0DFD"/>
    <w:rsid w:val="008D1FC6"/>
    <w:rsid w:val="008D27D9"/>
    <w:rsid w:val="008D2848"/>
    <w:rsid w:val="008D2E30"/>
    <w:rsid w:val="008D3D07"/>
    <w:rsid w:val="008D45F7"/>
    <w:rsid w:val="008D5155"/>
    <w:rsid w:val="008D61D0"/>
    <w:rsid w:val="008E215F"/>
    <w:rsid w:val="008E2470"/>
    <w:rsid w:val="008E2613"/>
    <w:rsid w:val="008E2B0A"/>
    <w:rsid w:val="008E3383"/>
    <w:rsid w:val="008E497B"/>
    <w:rsid w:val="008E60CB"/>
    <w:rsid w:val="008E6B75"/>
    <w:rsid w:val="008F0BD5"/>
    <w:rsid w:val="008F0F48"/>
    <w:rsid w:val="008F13B9"/>
    <w:rsid w:val="008F14CA"/>
    <w:rsid w:val="008F61D4"/>
    <w:rsid w:val="008F6F26"/>
    <w:rsid w:val="008F73D9"/>
    <w:rsid w:val="00900EA0"/>
    <w:rsid w:val="00901D8A"/>
    <w:rsid w:val="00902485"/>
    <w:rsid w:val="00903288"/>
    <w:rsid w:val="00904700"/>
    <w:rsid w:val="0090530D"/>
    <w:rsid w:val="00906856"/>
    <w:rsid w:val="009076E5"/>
    <w:rsid w:val="0091041E"/>
    <w:rsid w:val="0091135A"/>
    <w:rsid w:val="009144B3"/>
    <w:rsid w:val="00914645"/>
    <w:rsid w:val="0091469B"/>
    <w:rsid w:val="00917947"/>
    <w:rsid w:val="00920A8D"/>
    <w:rsid w:val="00920B26"/>
    <w:rsid w:val="00921D76"/>
    <w:rsid w:val="00921DED"/>
    <w:rsid w:val="0092214F"/>
    <w:rsid w:val="00924637"/>
    <w:rsid w:val="009252D9"/>
    <w:rsid w:val="00926F87"/>
    <w:rsid w:val="00927616"/>
    <w:rsid w:val="009279AA"/>
    <w:rsid w:val="009279C7"/>
    <w:rsid w:val="009309E8"/>
    <w:rsid w:val="00931657"/>
    <w:rsid w:val="00932E18"/>
    <w:rsid w:val="00934E13"/>
    <w:rsid w:val="00935B3E"/>
    <w:rsid w:val="00935CBE"/>
    <w:rsid w:val="009362D0"/>
    <w:rsid w:val="009366CC"/>
    <w:rsid w:val="00936F33"/>
    <w:rsid w:val="009415C5"/>
    <w:rsid w:val="00942009"/>
    <w:rsid w:val="00942266"/>
    <w:rsid w:val="009425AB"/>
    <w:rsid w:val="00942BB9"/>
    <w:rsid w:val="00946EED"/>
    <w:rsid w:val="00946F1E"/>
    <w:rsid w:val="0094702F"/>
    <w:rsid w:val="00947408"/>
    <w:rsid w:val="00947F6E"/>
    <w:rsid w:val="00950897"/>
    <w:rsid w:val="009512E7"/>
    <w:rsid w:val="00952E63"/>
    <w:rsid w:val="00954A13"/>
    <w:rsid w:val="00954F38"/>
    <w:rsid w:val="00955D4C"/>
    <w:rsid w:val="00955E7B"/>
    <w:rsid w:val="00955FF6"/>
    <w:rsid w:val="00957648"/>
    <w:rsid w:val="00961EB1"/>
    <w:rsid w:val="00962586"/>
    <w:rsid w:val="00963CC1"/>
    <w:rsid w:val="009640B8"/>
    <w:rsid w:val="00964120"/>
    <w:rsid w:val="009649E2"/>
    <w:rsid w:val="00966075"/>
    <w:rsid w:val="00967039"/>
    <w:rsid w:val="009672E9"/>
    <w:rsid w:val="0097181F"/>
    <w:rsid w:val="00971D69"/>
    <w:rsid w:val="009723ED"/>
    <w:rsid w:val="00973217"/>
    <w:rsid w:val="00973474"/>
    <w:rsid w:val="009741A3"/>
    <w:rsid w:val="00974AA8"/>
    <w:rsid w:val="009754AE"/>
    <w:rsid w:val="00975F1E"/>
    <w:rsid w:val="009761A9"/>
    <w:rsid w:val="00976E95"/>
    <w:rsid w:val="0097796D"/>
    <w:rsid w:val="00980F20"/>
    <w:rsid w:val="00981C9A"/>
    <w:rsid w:val="009827EF"/>
    <w:rsid w:val="00983961"/>
    <w:rsid w:val="00984699"/>
    <w:rsid w:val="00985F61"/>
    <w:rsid w:val="009861B8"/>
    <w:rsid w:val="00986B97"/>
    <w:rsid w:val="0098702F"/>
    <w:rsid w:val="00987CE7"/>
    <w:rsid w:val="00987DE0"/>
    <w:rsid w:val="00990E36"/>
    <w:rsid w:val="0099183B"/>
    <w:rsid w:val="009922F2"/>
    <w:rsid w:val="009924BB"/>
    <w:rsid w:val="009924CB"/>
    <w:rsid w:val="00992B7F"/>
    <w:rsid w:val="00992C2B"/>
    <w:rsid w:val="00993854"/>
    <w:rsid w:val="00993CB6"/>
    <w:rsid w:val="009950BF"/>
    <w:rsid w:val="00995C16"/>
    <w:rsid w:val="00995E3F"/>
    <w:rsid w:val="00997737"/>
    <w:rsid w:val="009A001A"/>
    <w:rsid w:val="009A0DDC"/>
    <w:rsid w:val="009A0EDB"/>
    <w:rsid w:val="009A2F1A"/>
    <w:rsid w:val="009A3F5A"/>
    <w:rsid w:val="009A478B"/>
    <w:rsid w:val="009A4892"/>
    <w:rsid w:val="009A5156"/>
    <w:rsid w:val="009A51EC"/>
    <w:rsid w:val="009A63AC"/>
    <w:rsid w:val="009A7399"/>
    <w:rsid w:val="009A7A11"/>
    <w:rsid w:val="009B02DA"/>
    <w:rsid w:val="009B1460"/>
    <w:rsid w:val="009B1A98"/>
    <w:rsid w:val="009B24AB"/>
    <w:rsid w:val="009B25B8"/>
    <w:rsid w:val="009B700D"/>
    <w:rsid w:val="009B7314"/>
    <w:rsid w:val="009B7505"/>
    <w:rsid w:val="009B7572"/>
    <w:rsid w:val="009B798C"/>
    <w:rsid w:val="009B7D84"/>
    <w:rsid w:val="009C09E7"/>
    <w:rsid w:val="009C25AE"/>
    <w:rsid w:val="009C264E"/>
    <w:rsid w:val="009C29F5"/>
    <w:rsid w:val="009C2D32"/>
    <w:rsid w:val="009C378D"/>
    <w:rsid w:val="009C3D50"/>
    <w:rsid w:val="009C4174"/>
    <w:rsid w:val="009C4CA7"/>
    <w:rsid w:val="009C4F6E"/>
    <w:rsid w:val="009C5B63"/>
    <w:rsid w:val="009C6744"/>
    <w:rsid w:val="009C7088"/>
    <w:rsid w:val="009C7759"/>
    <w:rsid w:val="009C7A20"/>
    <w:rsid w:val="009C7BF6"/>
    <w:rsid w:val="009C7D53"/>
    <w:rsid w:val="009C7DDF"/>
    <w:rsid w:val="009D0725"/>
    <w:rsid w:val="009D13FA"/>
    <w:rsid w:val="009D1CDB"/>
    <w:rsid w:val="009D2571"/>
    <w:rsid w:val="009D2884"/>
    <w:rsid w:val="009D34DB"/>
    <w:rsid w:val="009D35BF"/>
    <w:rsid w:val="009D434A"/>
    <w:rsid w:val="009D454B"/>
    <w:rsid w:val="009E0C7C"/>
    <w:rsid w:val="009E3D16"/>
    <w:rsid w:val="009E519E"/>
    <w:rsid w:val="009E5E2E"/>
    <w:rsid w:val="009E6224"/>
    <w:rsid w:val="009E646C"/>
    <w:rsid w:val="009E768B"/>
    <w:rsid w:val="009E76C8"/>
    <w:rsid w:val="009E7D43"/>
    <w:rsid w:val="009E7E19"/>
    <w:rsid w:val="009F0AE8"/>
    <w:rsid w:val="009F15E6"/>
    <w:rsid w:val="009F1B80"/>
    <w:rsid w:val="009F3434"/>
    <w:rsid w:val="009F3E91"/>
    <w:rsid w:val="009F48C6"/>
    <w:rsid w:val="009F59C4"/>
    <w:rsid w:val="009F6136"/>
    <w:rsid w:val="009F65E3"/>
    <w:rsid w:val="009F77E8"/>
    <w:rsid w:val="00A00570"/>
    <w:rsid w:val="00A00F16"/>
    <w:rsid w:val="00A01F32"/>
    <w:rsid w:val="00A037C7"/>
    <w:rsid w:val="00A039B0"/>
    <w:rsid w:val="00A10065"/>
    <w:rsid w:val="00A10EB8"/>
    <w:rsid w:val="00A115ED"/>
    <w:rsid w:val="00A14809"/>
    <w:rsid w:val="00A150F0"/>
    <w:rsid w:val="00A1519C"/>
    <w:rsid w:val="00A1542B"/>
    <w:rsid w:val="00A1656F"/>
    <w:rsid w:val="00A166D5"/>
    <w:rsid w:val="00A179FD"/>
    <w:rsid w:val="00A21269"/>
    <w:rsid w:val="00A21928"/>
    <w:rsid w:val="00A21ADB"/>
    <w:rsid w:val="00A22AF0"/>
    <w:rsid w:val="00A24161"/>
    <w:rsid w:val="00A24C28"/>
    <w:rsid w:val="00A304D5"/>
    <w:rsid w:val="00A30B79"/>
    <w:rsid w:val="00A30D5B"/>
    <w:rsid w:val="00A3245B"/>
    <w:rsid w:val="00A3344B"/>
    <w:rsid w:val="00A34A33"/>
    <w:rsid w:val="00A34F50"/>
    <w:rsid w:val="00A35290"/>
    <w:rsid w:val="00A3558C"/>
    <w:rsid w:val="00A37284"/>
    <w:rsid w:val="00A404A1"/>
    <w:rsid w:val="00A4063C"/>
    <w:rsid w:val="00A40FE7"/>
    <w:rsid w:val="00A41148"/>
    <w:rsid w:val="00A43152"/>
    <w:rsid w:val="00A43478"/>
    <w:rsid w:val="00A43A29"/>
    <w:rsid w:val="00A43AA8"/>
    <w:rsid w:val="00A44801"/>
    <w:rsid w:val="00A471BB"/>
    <w:rsid w:val="00A474AF"/>
    <w:rsid w:val="00A50133"/>
    <w:rsid w:val="00A50620"/>
    <w:rsid w:val="00A5185B"/>
    <w:rsid w:val="00A52D9A"/>
    <w:rsid w:val="00A533CC"/>
    <w:rsid w:val="00A5398A"/>
    <w:rsid w:val="00A5447F"/>
    <w:rsid w:val="00A554F4"/>
    <w:rsid w:val="00A55FDF"/>
    <w:rsid w:val="00A56231"/>
    <w:rsid w:val="00A567E9"/>
    <w:rsid w:val="00A579FB"/>
    <w:rsid w:val="00A60982"/>
    <w:rsid w:val="00A60D3F"/>
    <w:rsid w:val="00A619EF"/>
    <w:rsid w:val="00A61D14"/>
    <w:rsid w:val="00A632C3"/>
    <w:rsid w:val="00A6379B"/>
    <w:rsid w:val="00A64A49"/>
    <w:rsid w:val="00A70C1B"/>
    <w:rsid w:val="00A71A68"/>
    <w:rsid w:val="00A71E00"/>
    <w:rsid w:val="00A72014"/>
    <w:rsid w:val="00A72992"/>
    <w:rsid w:val="00A7505E"/>
    <w:rsid w:val="00A760D7"/>
    <w:rsid w:val="00A76985"/>
    <w:rsid w:val="00A76B65"/>
    <w:rsid w:val="00A81A05"/>
    <w:rsid w:val="00A81FF3"/>
    <w:rsid w:val="00A8237B"/>
    <w:rsid w:val="00A8274B"/>
    <w:rsid w:val="00A827F7"/>
    <w:rsid w:val="00A82CD8"/>
    <w:rsid w:val="00A85A9D"/>
    <w:rsid w:val="00A87112"/>
    <w:rsid w:val="00A9011F"/>
    <w:rsid w:val="00A906C7"/>
    <w:rsid w:val="00A90885"/>
    <w:rsid w:val="00A909C2"/>
    <w:rsid w:val="00A92157"/>
    <w:rsid w:val="00A926FA"/>
    <w:rsid w:val="00A928C7"/>
    <w:rsid w:val="00A92B3B"/>
    <w:rsid w:val="00A93E85"/>
    <w:rsid w:val="00A95338"/>
    <w:rsid w:val="00A95390"/>
    <w:rsid w:val="00A954D2"/>
    <w:rsid w:val="00A96034"/>
    <w:rsid w:val="00A96987"/>
    <w:rsid w:val="00AA003B"/>
    <w:rsid w:val="00AA1554"/>
    <w:rsid w:val="00AA28F2"/>
    <w:rsid w:val="00AA3132"/>
    <w:rsid w:val="00AA4889"/>
    <w:rsid w:val="00AA6D32"/>
    <w:rsid w:val="00AA72C4"/>
    <w:rsid w:val="00AB04E4"/>
    <w:rsid w:val="00AB561F"/>
    <w:rsid w:val="00AB68B5"/>
    <w:rsid w:val="00AB6F0F"/>
    <w:rsid w:val="00AC029F"/>
    <w:rsid w:val="00AC0E3D"/>
    <w:rsid w:val="00AC0EC9"/>
    <w:rsid w:val="00AC0F21"/>
    <w:rsid w:val="00AC124A"/>
    <w:rsid w:val="00AC152D"/>
    <w:rsid w:val="00AC184D"/>
    <w:rsid w:val="00AC2541"/>
    <w:rsid w:val="00AC3368"/>
    <w:rsid w:val="00AC3F28"/>
    <w:rsid w:val="00AC4074"/>
    <w:rsid w:val="00AC543B"/>
    <w:rsid w:val="00AC56AC"/>
    <w:rsid w:val="00AC6760"/>
    <w:rsid w:val="00AD10AD"/>
    <w:rsid w:val="00AD3268"/>
    <w:rsid w:val="00AD44DD"/>
    <w:rsid w:val="00AD63E3"/>
    <w:rsid w:val="00AD68B8"/>
    <w:rsid w:val="00AE005A"/>
    <w:rsid w:val="00AE0358"/>
    <w:rsid w:val="00AE11BB"/>
    <w:rsid w:val="00AE256E"/>
    <w:rsid w:val="00AE2765"/>
    <w:rsid w:val="00AE31F7"/>
    <w:rsid w:val="00AE353A"/>
    <w:rsid w:val="00AE438A"/>
    <w:rsid w:val="00AE5921"/>
    <w:rsid w:val="00AE6669"/>
    <w:rsid w:val="00AF0C77"/>
    <w:rsid w:val="00AF13D3"/>
    <w:rsid w:val="00AF2879"/>
    <w:rsid w:val="00AF2FF8"/>
    <w:rsid w:val="00AF311E"/>
    <w:rsid w:val="00AF32F9"/>
    <w:rsid w:val="00AF47A9"/>
    <w:rsid w:val="00AF4EEF"/>
    <w:rsid w:val="00AF59F4"/>
    <w:rsid w:val="00AF6393"/>
    <w:rsid w:val="00AF6A72"/>
    <w:rsid w:val="00AF6B82"/>
    <w:rsid w:val="00AF6CE6"/>
    <w:rsid w:val="00AF6D59"/>
    <w:rsid w:val="00AF6EBC"/>
    <w:rsid w:val="00AF6F2D"/>
    <w:rsid w:val="00AF781E"/>
    <w:rsid w:val="00AF789E"/>
    <w:rsid w:val="00B0070C"/>
    <w:rsid w:val="00B01E13"/>
    <w:rsid w:val="00B0255E"/>
    <w:rsid w:val="00B029D2"/>
    <w:rsid w:val="00B029F5"/>
    <w:rsid w:val="00B02FA3"/>
    <w:rsid w:val="00B030B0"/>
    <w:rsid w:val="00B03A59"/>
    <w:rsid w:val="00B03BCC"/>
    <w:rsid w:val="00B03C92"/>
    <w:rsid w:val="00B04099"/>
    <w:rsid w:val="00B05184"/>
    <w:rsid w:val="00B05592"/>
    <w:rsid w:val="00B07178"/>
    <w:rsid w:val="00B07531"/>
    <w:rsid w:val="00B07A77"/>
    <w:rsid w:val="00B10B8D"/>
    <w:rsid w:val="00B1113F"/>
    <w:rsid w:val="00B119EA"/>
    <w:rsid w:val="00B1224D"/>
    <w:rsid w:val="00B132E2"/>
    <w:rsid w:val="00B13345"/>
    <w:rsid w:val="00B14F8E"/>
    <w:rsid w:val="00B15019"/>
    <w:rsid w:val="00B16F15"/>
    <w:rsid w:val="00B17B6F"/>
    <w:rsid w:val="00B201AD"/>
    <w:rsid w:val="00B20454"/>
    <w:rsid w:val="00B21DAD"/>
    <w:rsid w:val="00B22232"/>
    <w:rsid w:val="00B225DD"/>
    <w:rsid w:val="00B243E6"/>
    <w:rsid w:val="00B2489C"/>
    <w:rsid w:val="00B24BC8"/>
    <w:rsid w:val="00B2501F"/>
    <w:rsid w:val="00B25D8A"/>
    <w:rsid w:val="00B2618E"/>
    <w:rsid w:val="00B26B4B"/>
    <w:rsid w:val="00B303B6"/>
    <w:rsid w:val="00B303E2"/>
    <w:rsid w:val="00B34095"/>
    <w:rsid w:val="00B341A3"/>
    <w:rsid w:val="00B3457D"/>
    <w:rsid w:val="00B34EF7"/>
    <w:rsid w:val="00B35073"/>
    <w:rsid w:val="00B3571A"/>
    <w:rsid w:val="00B359A8"/>
    <w:rsid w:val="00B36946"/>
    <w:rsid w:val="00B400D2"/>
    <w:rsid w:val="00B40DC1"/>
    <w:rsid w:val="00B4131B"/>
    <w:rsid w:val="00B41388"/>
    <w:rsid w:val="00B41EB3"/>
    <w:rsid w:val="00B431D2"/>
    <w:rsid w:val="00B43E42"/>
    <w:rsid w:val="00B440BC"/>
    <w:rsid w:val="00B45BBA"/>
    <w:rsid w:val="00B4699B"/>
    <w:rsid w:val="00B46F2C"/>
    <w:rsid w:val="00B47D43"/>
    <w:rsid w:val="00B5029C"/>
    <w:rsid w:val="00B502D5"/>
    <w:rsid w:val="00B51876"/>
    <w:rsid w:val="00B522D6"/>
    <w:rsid w:val="00B538EF"/>
    <w:rsid w:val="00B5417C"/>
    <w:rsid w:val="00B54D54"/>
    <w:rsid w:val="00B550D9"/>
    <w:rsid w:val="00B552C7"/>
    <w:rsid w:val="00B554E4"/>
    <w:rsid w:val="00B555CD"/>
    <w:rsid w:val="00B558E9"/>
    <w:rsid w:val="00B55DA6"/>
    <w:rsid w:val="00B62F87"/>
    <w:rsid w:val="00B631D2"/>
    <w:rsid w:val="00B632BE"/>
    <w:rsid w:val="00B6344D"/>
    <w:rsid w:val="00B641B0"/>
    <w:rsid w:val="00B65456"/>
    <w:rsid w:val="00B6546A"/>
    <w:rsid w:val="00B66C6F"/>
    <w:rsid w:val="00B67D81"/>
    <w:rsid w:val="00B707D7"/>
    <w:rsid w:val="00B707FE"/>
    <w:rsid w:val="00B71717"/>
    <w:rsid w:val="00B72C09"/>
    <w:rsid w:val="00B73AEE"/>
    <w:rsid w:val="00B742F0"/>
    <w:rsid w:val="00B74C13"/>
    <w:rsid w:val="00B7522A"/>
    <w:rsid w:val="00B754BC"/>
    <w:rsid w:val="00B757CC"/>
    <w:rsid w:val="00B75D4B"/>
    <w:rsid w:val="00B75D60"/>
    <w:rsid w:val="00B76B6A"/>
    <w:rsid w:val="00B76BE3"/>
    <w:rsid w:val="00B771C2"/>
    <w:rsid w:val="00B80654"/>
    <w:rsid w:val="00B8109A"/>
    <w:rsid w:val="00B822D9"/>
    <w:rsid w:val="00B8235D"/>
    <w:rsid w:val="00B852C3"/>
    <w:rsid w:val="00B85818"/>
    <w:rsid w:val="00B85DC8"/>
    <w:rsid w:val="00B85DF6"/>
    <w:rsid w:val="00B871B7"/>
    <w:rsid w:val="00B87AFF"/>
    <w:rsid w:val="00B87FB2"/>
    <w:rsid w:val="00B90F63"/>
    <w:rsid w:val="00B9187B"/>
    <w:rsid w:val="00B91998"/>
    <w:rsid w:val="00B9389B"/>
    <w:rsid w:val="00B95281"/>
    <w:rsid w:val="00B953AA"/>
    <w:rsid w:val="00B9584F"/>
    <w:rsid w:val="00B967A3"/>
    <w:rsid w:val="00B96A15"/>
    <w:rsid w:val="00BA082D"/>
    <w:rsid w:val="00BA145B"/>
    <w:rsid w:val="00BA2C77"/>
    <w:rsid w:val="00BA337A"/>
    <w:rsid w:val="00BA3497"/>
    <w:rsid w:val="00BA6D76"/>
    <w:rsid w:val="00BB07A3"/>
    <w:rsid w:val="00BB08CE"/>
    <w:rsid w:val="00BB1CB4"/>
    <w:rsid w:val="00BB1D92"/>
    <w:rsid w:val="00BB279A"/>
    <w:rsid w:val="00BB39D6"/>
    <w:rsid w:val="00BB3FEF"/>
    <w:rsid w:val="00BB5188"/>
    <w:rsid w:val="00BC01D0"/>
    <w:rsid w:val="00BC10AA"/>
    <w:rsid w:val="00BC21DB"/>
    <w:rsid w:val="00BC24CF"/>
    <w:rsid w:val="00BC2FB2"/>
    <w:rsid w:val="00BC31E7"/>
    <w:rsid w:val="00BC37CE"/>
    <w:rsid w:val="00BC6523"/>
    <w:rsid w:val="00BC6B84"/>
    <w:rsid w:val="00BC70F7"/>
    <w:rsid w:val="00BC738E"/>
    <w:rsid w:val="00BC764E"/>
    <w:rsid w:val="00BD02FA"/>
    <w:rsid w:val="00BD0EEE"/>
    <w:rsid w:val="00BD374F"/>
    <w:rsid w:val="00BD4BC3"/>
    <w:rsid w:val="00BD4F5B"/>
    <w:rsid w:val="00BE076D"/>
    <w:rsid w:val="00BE16E1"/>
    <w:rsid w:val="00BE188F"/>
    <w:rsid w:val="00BE2E55"/>
    <w:rsid w:val="00BE3715"/>
    <w:rsid w:val="00BE3EC5"/>
    <w:rsid w:val="00BE3ECF"/>
    <w:rsid w:val="00BE7B49"/>
    <w:rsid w:val="00BF0707"/>
    <w:rsid w:val="00BF1208"/>
    <w:rsid w:val="00BF18AF"/>
    <w:rsid w:val="00BF1A4E"/>
    <w:rsid w:val="00BF1E2D"/>
    <w:rsid w:val="00BF30CC"/>
    <w:rsid w:val="00BF324A"/>
    <w:rsid w:val="00BF32E9"/>
    <w:rsid w:val="00BF4496"/>
    <w:rsid w:val="00BF65EA"/>
    <w:rsid w:val="00BF7D38"/>
    <w:rsid w:val="00C0005B"/>
    <w:rsid w:val="00C00BBA"/>
    <w:rsid w:val="00C01763"/>
    <w:rsid w:val="00C03F33"/>
    <w:rsid w:val="00C04343"/>
    <w:rsid w:val="00C046A8"/>
    <w:rsid w:val="00C04C51"/>
    <w:rsid w:val="00C04D46"/>
    <w:rsid w:val="00C05AF0"/>
    <w:rsid w:val="00C05FD7"/>
    <w:rsid w:val="00C07380"/>
    <w:rsid w:val="00C121C3"/>
    <w:rsid w:val="00C143B7"/>
    <w:rsid w:val="00C1459F"/>
    <w:rsid w:val="00C1473A"/>
    <w:rsid w:val="00C14E72"/>
    <w:rsid w:val="00C160B0"/>
    <w:rsid w:val="00C16A7F"/>
    <w:rsid w:val="00C20A14"/>
    <w:rsid w:val="00C24293"/>
    <w:rsid w:val="00C24513"/>
    <w:rsid w:val="00C24905"/>
    <w:rsid w:val="00C25906"/>
    <w:rsid w:val="00C25CF7"/>
    <w:rsid w:val="00C26885"/>
    <w:rsid w:val="00C26E2C"/>
    <w:rsid w:val="00C30216"/>
    <w:rsid w:val="00C31866"/>
    <w:rsid w:val="00C33EE2"/>
    <w:rsid w:val="00C341BA"/>
    <w:rsid w:val="00C3517B"/>
    <w:rsid w:val="00C35A32"/>
    <w:rsid w:val="00C35E82"/>
    <w:rsid w:val="00C36D1E"/>
    <w:rsid w:val="00C37249"/>
    <w:rsid w:val="00C3787F"/>
    <w:rsid w:val="00C40123"/>
    <w:rsid w:val="00C402E2"/>
    <w:rsid w:val="00C415D5"/>
    <w:rsid w:val="00C41B26"/>
    <w:rsid w:val="00C420A6"/>
    <w:rsid w:val="00C4255A"/>
    <w:rsid w:val="00C427D0"/>
    <w:rsid w:val="00C42ED0"/>
    <w:rsid w:val="00C439F7"/>
    <w:rsid w:val="00C476EF"/>
    <w:rsid w:val="00C50ED3"/>
    <w:rsid w:val="00C524E8"/>
    <w:rsid w:val="00C5345F"/>
    <w:rsid w:val="00C543F3"/>
    <w:rsid w:val="00C5482B"/>
    <w:rsid w:val="00C5498D"/>
    <w:rsid w:val="00C549A3"/>
    <w:rsid w:val="00C54D2A"/>
    <w:rsid w:val="00C55582"/>
    <w:rsid w:val="00C577E9"/>
    <w:rsid w:val="00C57935"/>
    <w:rsid w:val="00C57F10"/>
    <w:rsid w:val="00C61D48"/>
    <w:rsid w:val="00C61F1A"/>
    <w:rsid w:val="00C62A28"/>
    <w:rsid w:val="00C62C53"/>
    <w:rsid w:val="00C6326C"/>
    <w:rsid w:val="00C63647"/>
    <w:rsid w:val="00C63DE1"/>
    <w:rsid w:val="00C63E9D"/>
    <w:rsid w:val="00C64094"/>
    <w:rsid w:val="00C668FC"/>
    <w:rsid w:val="00C702C5"/>
    <w:rsid w:val="00C7102D"/>
    <w:rsid w:val="00C7400A"/>
    <w:rsid w:val="00C74439"/>
    <w:rsid w:val="00C748FC"/>
    <w:rsid w:val="00C74AF6"/>
    <w:rsid w:val="00C758B2"/>
    <w:rsid w:val="00C75DE4"/>
    <w:rsid w:val="00C7671C"/>
    <w:rsid w:val="00C77BD7"/>
    <w:rsid w:val="00C8039D"/>
    <w:rsid w:val="00C81755"/>
    <w:rsid w:val="00C81AE1"/>
    <w:rsid w:val="00C8270A"/>
    <w:rsid w:val="00C8336F"/>
    <w:rsid w:val="00C833C1"/>
    <w:rsid w:val="00C85480"/>
    <w:rsid w:val="00C86964"/>
    <w:rsid w:val="00C92738"/>
    <w:rsid w:val="00C93619"/>
    <w:rsid w:val="00C9432E"/>
    <w:rsid w:val="00C94597"/>
    <w:rsid w:val="00C949B8"/>
    <w:rsid w:val="00C9662F"/>
    <w:rsid w:val="00C96F89"/>
    <w:rsid w:val="00C97C15"/>
    <w:rsid w:val="00CA1469"/>
    <w:rsid w:val="00CA269C"/>
    <w:rsid w:val="00CA289B"/>
    <w:rsid w:val="00CA2A31"/>
    <w:rsid w:val="00CA2DB8"/>
    <w:rsid w:val="00CA389D"/>
    <w:rsid w:val="00CA4317"/>
    <w:rsid w:val="00CA4B76"/>
    <w:rsid w:val="00CA4D56"/>
    <w:rsid w:val="00CA5159"/>
    <w:rsid w:val="00CA5527"/>
    <w:rsid w:val="00CA61C6"/>
    <w:rsid w:val="00CA6627"/>
    <w:rsid w:val="00CA7865"/>
    <w:rsid w:val="00CB132D"/>
    <w:rsid w:val="00CB1A1F"/>
    <w:rsid w:val="00CB229B"/>
    <w:rsid w:val="00CB2E8F"/>
    <w:rsid w:val="00CB3264"/>
    <w:rsid w:val="00CB4015"/>
    <w:rsid w:val="00CB457C"/>
    <w:rsid w:val="00CC03E1"/>
    <w:rsid w:val="00CC0A5B"/>
    <w:rsid w:val="00CC289E"/>
    <w:rsid w:val="00CC2FBF"/>
    <w:rsid w:val="00CC3525"/>
    <w:rsid w:val="00CC3AAC"/>
    <w:rsid w:val="00CC5430"/>
    <w:rsid w:val="00CC733B"/>
    <w:rsid w:val="00CC79A5"/>
    <w:rsid w:val="00CD13AE"/>
    <w:rsid w:val="00CD23D6"/>
    <w:rsid w:val="00CD4BED"/>
    <w:rsid w:val="00CE02D1"/>
    <w:rsid w:val="00CE16DF"/>
    <w:rsid w:val="00CE1F9F"/>
    <w:rsid w:val="00CE27A7"/>
    <w:rsid w:val="00CE3044"/>
    <w:rsid w:val="00CE38CB"/>
    <w:rsid w:val="00CE582D"/>
    <w:rsid w:val="00CE72A3"/>
    <w:rsid w:val="00CE73C6"/>
    <w:rsid w:val="00CF04C1"/>
    <w:rsid w:val="00CF08AD"/>
    <w:rsid w:val="00CF1198"/>
    <w:rsid w:val="00CF1345"/>
    <w:rsid w:val="00CF177D"/>
    <w:rsid w:val="00CF2300"/>
    <w:rsid w:val="00CF33BB"/>
    <w:rsid w:val="00CF3F3B"/>
    <w:rsid w:val="00CF425B"/>
    <w:rsid w:val="00CF4462"/>
    <w:rsid w:val="00CF5FA4"/>
    <w:rsid w:val="00CF5FF8"/>
    <w:rsid w:val="00CF7181"/>
    <w:rsid w:val="00D00186"/>
    <w:rsid w:val="00D0079F"/>
    <w:rsid w:val="00D00A86"/>
    <w:rsid w:val="00D01B81"/>
    <w:rsid w:val="00D01DDF"/>
    <w:rsid w:val="00D03240"/>
    <w:rsid w:val="00D03696"/>
    <w:rsid w:val="00D05774"/>
    <w:rsid w:val="00D057C4"/>
    <w:rsid w:val="00D06C4F"/>
    <w:rsid w:val="00D10903"/>
    <w:rsid w:val="00D10AED"/>
    <w:rsid w:val="00D13320"/>
    <w:rsid w:val="00D13BE0"/>
    <w:rsid w:val="00D15E34"/>
    <w:rsid w:val="00D162D8"/>
    <w:rsid w:val="00D16367"/>
    <w:rsid w:val="00D20D5A"/>
    <w:rsid w:val="00D20EF7"/>
    <w:rsid w:val="00D21C2C"/>
    <w:rsid w:val="00D22690"/>
    <w:rsid w:val="00D22DBD"/>
    <w:rsid w:val="00D22FBC"/>
    <w:rsid w:val="00D251E0"/>
    <w:rsid w:val="00D277C8"/>
    <w:rsid w:val="00D27AF6"/>
    <w:rsid w:val="00D33DD4"/>
    <w:rsid w:val="00D350DE"/>
    <w:rsid w:val="00D37B16"/>
    <w:rsid w:val="00D40917"/>
    <w:rsid w:val="00D40CE3"/>
    <w:rsid w:val="00D4130E"/>
    <w:rsid w:val="00D41796"/>
    <w:rsid w:val="00D421D5"/>
    <w:rsid w:val="00D42D6B"/>
    <w:rsid w:val="00D430F2"/>
    <w:rsid w:val="00D43500"/>
    <w:rsid w:val="00D444D7"/>
    <w:rsid w:val="00D4530E"/>
    <w:rsid w:val="00D453AE"/>
    <w:rsid w:val="00D47DC8"/>
    <w:rsid w:val="00D50853"/>
    <w:rsid w:val="00D50AFC"/>
    <w:rsid w:val="00D50F26"/>
    <w:rsid w:val="00D50F8E"/>
    <w:rsid w:val="00D51AF7"/>
    <w:rsid w:val="00D51BAB"/>
    <w:rsid w:val="00D52632"/>
    <w:rsid w:val="00D53878"/>
    <w:rsid w:val="00D53BD9"/>
    <w:rsid w:val="00D54BF5"/>
    <w:rsid w:val="00D550F1"/>
    <w:rsid w:val="00D56372"/>
    <w:rsid w:val="00D56C57"/>
    <w:rsid w:val="00D56CBF"/>
    <w:rsid w:val="00D57103"/>
    <w:rsid w:val="00D61433"/>
    <w:rsid w:val="00D625F5"/>
    <w:rsid w:val="00D62769"/>
    <w:rsid w:val="00D62C18"/>
    <w:rsid w:val="00D6424A"/>
    <w:rsid w:val="00D6519F"/>
    <w:rsid w:val="00D656F0"/>
    <w:rsid w:val="00D66840"/>
    <w:rsid w:val="00D72036"/>
    <w:rsid w:val="00D72245"/>
    <w:rsid w:val="00D72933"/>
    <w:rsid w:val="00D73BA9"/>
    <w:rsid w:val="00D74950"/>
    <w:rsid w:val="00D754F5"/>
    <w:rsid w:val="00D756FD"/>
    <w:rsid w:val="00D81487"/>
    <w:rsid w:val="00D8168E"/>
    <w:rsid w:val="00D81D98"/>
    <w:rsid w:val="00D83A07"/>
    <w:rsid w:val="00D83E89"/>
    <w:rsid w:val="00D84736"/>
    <w:rsid w:val="00D8573D"/>
    <w:rsid w:val="00D866C6"/>
    <w:rsid w:val="00D86BEE"/>
    <w:rsid w:val="00D86C09"/>
    <w:rsid w:val="00D86D4A"/>
    <w:rsid w:val="00D872C4"/>
    <w:rsid w:val="00D87DC6"/>
    <w:rsid w:val="00D915AE"/>
    <w:rsid w:val="00D93C85"/>
    <w:rsid w:val="00D95A76"/>
    <w:rsid w:val="00D96D6D"/>
    <w:rsid w:val="00D97BD5"/>
    <w:rsid w:val="00DA039A"/>
    <w:rsid w:val="00DA1BC9"/>
    <w:rsid w:val="00DA1EAB"/>
    <w:rsid w:val="00DA2482"/>
    <w:rsid w:val="00DA275D"/>
    <w:rsid w:val="00DA2D37"/>
    <w:rsid w:val="00DA335A"/>
    <w:rsid w:val="00DA35E5"/>
    <w:rsid w:val="00DA3932"/>
    <w:rsid w:val="00DA3F57"/>
    <w:rsid w:val="00DA4157"/>
    <w:rsid w:val="00DA663F"/>
    <w:rsid w:val="00DA66C9"/>
    <w:rsid w:val="00DB22BF"/>
    <w:rsid w:val="00DB2E67"/>
    <w:rsid w:val="00DB328D"/>
    <w:rsid w:val="00DB3346"/>
    <w:rsid w:val="00DB3C4D"/>
    <w:rsid w:val="00DB3D9D"/>
    <w:rsid w:val="00DB4282"/>
    <w:rsid w:val="00DB5E6E"/>
    <w:rsid w:val="00DB644D"/>
    <w:rsid w:val="00DB668B"/>
    <w:rsid w:val="00DB7539"/>
    <w:rsid w:val="00DC1FFC"/>
    <w:rsid w:val="00DC3239"/>
    <w:rsid w:val="00DC41BF"/>
    <w:rsid w:val="00DC4F6F"/>
    <w:rsid w:val="00DC5507"/>
    <w:rsid w:val="00DC5E90"/>
    <w:rsid w:val="00DC65D4"/>
    <w:rsid w:val="00DC7691"/>
    <w:rsid w:val="00DD0093"/>
    <w:rsid w:val="00DD09BD"/>
    <w:rsid w:val="00DD1621"/>
    <w:rsid w:val="00DD1EBE"/>
    <w:rsid w:val="00DD2A17"/>
    <w:rsid w:val="00DD4F11"/>
    <w:rsid w:val="00DD58E5"/>
    <w:rsid w:val="00DD6252"/>
    <w:rsid w:val="00DD6F3B"/>
    <w:rsid w:val="00DD6F87"/>
    <w:rsid w:val="00DE02BF"/>
    <w:rsid w:val="00DE452A"/>
    <w:rsid w:val="00DE50B0"/>
    <w:rsid w:val="00DE5468"/>
    <w:rsid w:val="00DE6915"/>
    <w:rsid w:val="00DF018F"/>
    <w:rsid w:val="00DF0DF7"/>
    <w:rsid w:val="00DF10F4"/>
    <w:rsid w:val="00DF1A23"/>
    <w:rsid w:val="00DF20C7"/>
    <w:rsid w:val="00DF2184"/>
    <w:rsid w:val="00DF2573"/>
    <w:rsid w:val="00DF2798"/>
    <w:rsid w:val="00DF28C9"/>
    <w:rsid w:val="00DF3CC7"/>
    <w:rsid w:val="00DF46B8"/>
    <w:rsid w:val="00DF4F77"/>
    <w:rsid w:val="00DF5243"/>
    <w:rsid w:val="00E0031B"/>
    <w:rsid w:val="00E01633"/>
    <w:rsid w:val="00E01DE9"/>
    <w:rsid w:val="00E02252"/>
    <w:rsid w:val="00E04FDB"/>
    <w:rsid w:val="00E05B67"/>
    <w:rsid w:val="00E10DBA"/>
    <w:rsid w:val="00E111E0"/>
    <w:rsid w:val="00E115C3"/>
    <w:rsid w:val="00E1353E"/>
    <w:rsid w:val="00E13EA1"/>
    <w:rsid w:val="00E15054"/>
    <w:rsid w:val="00E15783"/>
    <w:rsid w:val="00E15F85"/>
    <w:rsid w:val="00E15FC1"/>
    <w:rsid w:val="00E17186"/>
    <w:rsid w:val="00E177E3"/>
    <w:rsid w:val="00E207A7"/>
    <w:rsid w:val="00E2086F"/>
    <w:rsid w:val="00E20BDA"/>
    <w:rsid w:val="00E21AC9"/>
    <w:rsid w:val="00E22B45"/>
    <w:rsid w:val="00E24AF8"/>
    <w:rsid w:val="00E24C39"/>
    <w:rsid w:val="00E24C43"/>
    <w:rsid w:val="00E24E65"/>
    <w:rsid w:val="00E25DD4"/>
    <w:rsid w:val="00E25F1C"/>
    <w:rsid w:val="00E26D3E"/>
    <w:rsid w:val="00E3039B"/>
    <w:rsid w:val="00E329DF"/>
    <w:rsid w:val="00E34B58"/>
    <w:rsid w:val="00E35E14"/>
    <w:rsid w:val="00E362D0"/>
    <w:rsid w:val="00E36A32"/>
    <w:rsid w:val="00E36F73"/>
    <w:rsid w:val="00E41469"/>
    <w:rsid w:val="00E41F1D"/>
    <w:rsid w:val="00E46018"/>
    <w:rsid w:val="00E4609D"/>
    <w:rsid w:val="00E46A6F"/>
    <w:rsid w:val="00E51DAD"/>
    <w:rsid w:val="00E52A21"/>
    <w:rsid w:val="00E53025"/>
    <w:rsid w:val="00E53C5E"/>
    <w:rsid w:val="00E5488D"/>
    <w:rsid w:val="00E57FC7"/>
    <w:rsid w:val="00E6109D"/>
    <w:rsid w:val="00E61B59"/>
    <w:rsid w:val="00E62E7E"/>
    <w:rsid w:val="00E63A74"/>
    <w:rsid w:val="00E63C13"/>
    <w:rsid w:val="00E640AB"/>
    <w:rsid w:val="00E65258"/>
    <w:rsid w:val="00E664A3"/>
    <w:rsid w:val="00E66D3F"/>
    <w:rsid w:val="00E7059C"/>
    <w:rsid w:val="00E706A5"/>
    <w:rsid w:val="00E70D1C"/>
    <w:rsid w:val="00E73ED8"/>
    <w:rsid w:val="00E7409E"/>
    <w:rsid w:val="00E76BFA"/>
    <w:rsid w:val="00E80646"/>
    <w:rsid w:val="00E8157A"/>
    <w:rsid w:val="00E81759"/>
    <w:rsid w:val="00E823A2"/>
    <w:rsid w:val="00E824D8"/>
    <w:rsid w:val="00E82ACC"/>
    <w:rsid w:val="00E82FD2"/>
    <w:rsid w:val="00E836EB"/>
    <w:rsid w:val="00E8456C"/>
    <w:rsid w:val="00E86681"/>
    <w:rsid w:val="00E87337"/>
    <w:rsid w:val="00E87774"/>
    <w:rsid w:val="00E878F8"/>
    <w:rsid w:val="00E90BBA"/>
    <w:rsid w:val="00E9130C"/>
    <w:rsid w:val="00E923E9"/>
    <w:rsid w:val="00E94C06"/>
    <w:rsid w:val="00E94C11"/>
    <w:rsid w:val="00E9504F"/>
    <w:rsid w:val="00E95159"/>
    <w:rsid w:val="00E952A3"/>
    <w:rsid w:val="00E97880"/>
    <w:rsid w:val="00EA12A8"/>
    <w:rsid w:val="00EA1C1B"/>
    <w:rsid w:val="00EA1E4B"/>
    <w:rsid w:val="00EA2144"/>
    <w:rsid w:val="00EA3419"/>
    <w:rsid w:val="00EA3C95"/>
    <w:rsid w:val="00EA3E55"/>
    <w:rsid w:val="00EA4B2F"/>
    <w:rsid w:val="00EA5036"/>
    <w:rsid w:val="00EA721F"/>
    <w:rsid w:val="00EA7DCC"/>
    <w:rsid w:val="00EB0857"/>
    <w:rsid w:val="00EB0E64"/>
    <w:rsid w:val="00EB2CAF"/>
    <w:rsid w:val="00EB4C17"/>
    <w:rsid w:val="00EB577E"/>
    <w:rsid w:val="00EB5979"/>
    <w:rsid w:val="00EB630D"/>
    <w:rsid w:val="00EB7C1F"/>
    <w:rsid w:val="00EC0C97"/>
    <w:rsid w:val="00EC213E"/>
    <w:rsid w:val="00EC285F"/>
    <w:rsid w:val="00EC2A5E"/>
    <w:rsid w:val="00EC4920"/>
    <w:rsid w:val="00EC4DA7"/>
    <w:rsid w:val="00EC572E"/>
    <w:rsid w:val="00EC69D1"/>
    <w:rsid w:val="00ED0151"/>
    <w:rsid w:val="00ED4BA7"/>
    <w:rsid w:val="00ED514E"/>
    <w:rsid w:val="00ED5C61"/>
    <w:rsid w:val="00ED5D9B"/>
    <w:rsid w:val="00ED6F46"/>
    <w:rsid w:val="00ED74A5"/>
    <w:rsid w:val="00ED75BF"/>
    <w:rsid w:val="00ED7C65"/>
    <w:rsid w:val="00EE1713"/>
    <w:rsid w:val="00EE40C7"/>
    <w:rsid w:val="00EE4122"/>
    <w:rsid w:val="00EE43B0"/>
    <w:rsid w:val="00EE5B0A"/>
    <w:rsid w:val="00EE628E"/>
    <w:rsid w:val="00EE6480"/>
    <w:rsid w:val="00EE6FFF"/>
    <w:rsid w:val="00EF0565"/>
    <w:rsid w:val="00EF1C41"/>
    <w:rsid w:val="00EF1D4F"/>
    <w:rsid w:val="00EF1FF8"/>
    <w:rsid w:val="00EF3696"/>
    <w:rsid w:val="00EF4C62"/>
    <w:rsid w:val="00EF4EB4"/>
    <w:rsid w:val="00EF5B1F"/>
    <w:rsid w:val="00EF6502"/>
    <w:rsid w:val="00EF6B05"/>
    <w:rsid w:val="00EF7037"/>
    <w:rsid w:val="00F0040A"/>
    <w:rsid w:val="00F00D80"/>
    <w:rsid w:val="00F0133D"/>
    <w:rsid w:val="00F017E6"/>
    <w:rsid w:val="00F01F20"/>
    <w:rsid w:val="00F0319B"/>
    <w:rsid w:val="00F034F2"/>
    <w:rsid w:val="00F04402"/>
    <w:rsid w:val="00F047D9"/>
    <w:rsid w:val="00F05718"/>
    <w:rsid w:val="00F07256"/>
    <w:rsid w:val="00F07CB1"/>
    <w:rsid w:val="00F07CCC"/>
    <w:rsid w:val="00F10247"/>
    <w:rsid w:val="00F1325A"/>
    <w:rsid w:val="00F13294"/>
    <w:rsid w:val="00F13994"/>
    <w:rsid w:val="00F14598"/>
    <w:rsid w:val="00F1475E"/>
    <w:rsid w:val="00F14CCB"/>
    <w:rsid w:val="00F14D30"/>
    <w:rsid w:val="00F152D4"/>
    <w:rsid w:val="00F1549B"/>
    <w:rsid w:val="00F15B5E"/>
    <w:rsid w:val="00F15F3E"/>
    <w:rsid w:val="00F1669F"/>
    <w:rsid w:val="00F16DFD"/>
    <w:rsid w:val="00F16E5F"/>
    <w:rsid w:val="00F206D5"/>
    <w:rsid w:val="00F208A6"/>
    <w:rsid w:val="00F20BFD"/>
    <w:rsid w:val="00F21283"/>
    <w:rsid w:val="00F224EE"/>
    <w:rsid w:val="00F22EDE"/>
    <w:rsid w:val="00F24731"/>
    <w:rsid w:val="00F249B2"/>
    <w:rsid w:val="00F24B1D"/>
    <w:rsid w:val="00F26FDD"/>
    <w:rsid w:val="00F27AD9"/>
    <w:rsid w:val="00F30679"/>
    <w:rsid w:val="00F30BBC"/>
    <w:rsid w:val="00F3109C"/>
    <w:rsid w:val="00F31421"/>
    <w:rsid w:val="00F31680"/>
    <w:rsid w:val="00F31854"/>
    <w:rsid w:val="00F344E3"/>
    <w:rsid w:val="00F34F50"/>
    <w:rsid w:val="00F351B9"/>
    <w:rsid w:val="00F35461"/>
    <w:rsid w:val="00F365DC"/>
    <w:rsid w:val="00F4146D"/>
    <w:rsid w:val="00F42F1B"/>
    <w:rsid w:val="00F44677"/>
    <w:rsid w:val="00F44B0A"/>
    <w:rsid w:val="00F4521F"/>
    <w:rsid w:val="00F456C4"/>
    <w:rsid w:val="00F461AB"/>
    <w:rsid w:val="00F465D6"/>
    <w:rsid w:val="00F46E4A"/>
    <w:rsid w:val="00F478C7"/>
    <w:rsid w:val="00F47DAF"/>
    <w:rsid w:val="00F5122F"/>
    <w:rsid w:val="00F513EA"/>
    <w:rsid w:val="00F51D5A"/>
    <w:rsid w:val="00F5396B"/>
    <w:rsid w:val="00F53D90"/>
    <w:rsid w:val="00F547F1"/>
    <w:rsid w:val="00F54A59"/>
    <w:rsid w:val="00F54FCF"/>
    <w:rsid w:val="00F56113"/>
    <w:rsid w:val="00F56425"/>
    <w:rsid w:val="00F57110"/>
    <w:rsid w:val="00F57E90"/>
    <w:rsid w:val="00F605E2"/>
    <w:rsid w:val="00F606EA"/>
    <w:rsid w:val="00F63522"/>
    <w:rsid w:val="00F63AF9"/>
    <w:rsid w:val="00F65C18"/>
    <w:rsid w:val="00F661EF"/>
    <w:rsid w:val="00F66958"/>
    <w:rsid w:val="00F704AD"/>
    <w:rsid w:val="00F70C94"/>
    <w:rsid w:val="00F74251"/>
    <w:rsid w:val="00F748E5"/>
    <w:rsid w:val="00F74FDD"/>
    <w:rsid w:val="00F75271"/>
    <w:rsid w:val="00F7653C"/>
    <w:rsid w:val="00F80B13"/>
    <w:rsid w:val="00F811BD"/>
    <w:rsid w:val="00F8285F"/>
    <w:rsid w:val="00F8325F"/>
    <w:rsid w:val="00F8460F"/>
    <w:rsid w:val="00F8480D"/>
    <w:rsid w:val="00F849B4"/>
    <w:rsid w:val="00F84C03"/>
    <w:rsid w:val="00F85162"/>
    <w:rsid w:val="00F85330"/>
    <w:rsid w:val="00F864BA"/>
    <w:rsid w:val="00F87FBD"/>
    <w:rsid w:val="00F91F12"/>
    <w:rsid w:val="00F92960"/>
    <w:rsid w:val="00F9463F"/>
    <w:rsid w:val="00F94903"/>
    <w:rsid w:val="00F94F2E"/>
    <w:rsid w:val="00F95CC0"/>
    <w:rsid w:val="00F963D5"/>
    <w:rsid w:val="00F965BB"/>
    <w:rsid w:val="00F965E2"/>
    <w:rsid w:val="00F97B70"/>
    <w:rsid w:val="00FA0479"/>
    <w:rsid w:val="00FA1C82"/>
    <w:rsid w:val="00FA320E"/>
    <w:rsid w:val="00FA4808"/>
    <w:rsid w:val="00FA4D87"/>
    <w:rsid w:val="00FA7211"/>
    <w:rsid w:val="00FA7E6F"/>
    <w:rsid w:val="00FB1495"/>
    <w:rsid w:val="00FB211E"/>
    <w:rsid w:val="00FB2DF7"/>
    <w:rsid w:val="00FB4D02"/>
    <w:rsid w:val="00FB76A7"/>
    <w:rsid w:val="00FC07F5"/>
    <w:rsid w:val="00FC151C"/>
    <w:rsid w:val="00FC15A2"/>
    <w:rsid w:val="00FC6D6E"/>
    <w:rsid w:val="00FC6F37"/>
    <w:rsid w:val="00FD189E"/>
    <w:rsid w:val="00FD1CED"/>
    <w:rsid w:val="00FD22C0"/>
    <w:rsid w:val="00FD2A4B"/>
    <w:rsid w:val="00FD2D59"/>
    <w:rsid w:val="00FD3C43"/>
    <w:rsid w:val="00FD4E59"/>
    <w:rsid w:val="00FD607D"/>
    <w:rsid w:val="00FD6468"/>
    <w:rsid w:val="00FE0B9D"/>
    <w:rsid w:val="00FE37F6"/>
    <w:rsid w:val="00FE4635"/>
    <w:rsid w:val="00FE4F98"/>
    <w:rsid w:val="00FE5136"/>
    <w:rsid w:val="00FE6D84"/>
    <w:rsid w:val="00FE6DD6"/>
    <w:rsid w:val="00FE7095"/>
    <w:rsid w:val="00FE7F4A"/>
    <w:rsid w:val="00FF0C8E"/>
    <w:rsid w:val="00FF1525"/>
    <w:rsid w:val="00FF2F09"/>
    <w:rsid w:val="00FF3507"/>
    <w:rsid w:val="00FF4D12"/>
    <w:rsid w:val="00FF5DBE"/>
    <w:rsid w:val="00FF6920"/>
    <w:rsid w:val="00FF6D4D"/>
    <w:rsid w:val="00FF78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43"/>
    <w:pPr>
      <w:widowControl w:val="0"/>
      <w:jc w:val="both"/>
    </w:pPr>
    <w:rPr>
      <w:rFonts w:asciiTheme="minorBidi" w:hAnsiTheme="minorBidi"/>
      <w:sz w:val="21"/>
      <w:szCs w:val="21"/>
    </w:rPr>
  </w:style>
  <w:style w:type="paragraph" w:styleId="Heading1">
    <w:name w:val="heading 1"/>
    <w:next w:val="Normal"/>
    <w:link w:val="Heading1Char"/>
    <w:uiPriority w:val="9"/>
    <w:qFormat/>
    <w:rsid w:val="00E04FDB"/>
    <w:pPr>
      <w:numPr>
        <w:numId w:val="5"/>
      </w:numPr>
      <w:spacing w:before="480"/>
      <w:outlineLvl w:val="0"/>
    </w:pPr>
    <w:rPr>
      <w:rFonts w:asciiTheme="minorBidi" w:hAnsiTheme="minorBidi"/>
      <w:b/>
      <w:bCs/>
      <w:sz w:val="24"/>
      <w:szCs w:val="24"/>
    </w:rPr>
  </w:style>
  <w:style w:type="paragraph" w:styleId="Heading2">
    <w:name w:val="heading 2"/>
    <w:basedOn w:val="Heading1"/>
    <w:next w:val="Normal"/>
    <w:link w:val="Heading2Char"/>
    <w:autoRedefine/>
    <w:uiPriority w:val="9"/>
    <w:unhideWhenUsed/>
    <w:qFormat/>
    <w:rsid w:val="00F94903"/>
    <w:pPr>
      <w:keepNext/>
      <w:numPr>
        <w:ilvl w:val="1"/>
      </w:numPr>
      <w:spacing w:before="360" w:after="240"/>
      <w:outlineLvl w:val="1"/>
    </w:pPr>
    <w:rPr>
      <w:sz w:val="22"/>
      <w:szCs w:val="22"/>
    </w:rPr>
  </w:style>
  <w:style w:type="paragraph" w:styleId="Heading3">
    <w:name w:val="heading 3"/>
    <w:basedOn w:val="Heading2"/>
    <w:next w:val="Normal"/>
    <w:link w:val="Heading3Char"/>
    <w:autoRedefine/>
    <w:uiPriority w:val="9"/>
    <w:unhideWhenUsed/>
    <w:qFormat/>
    <w:rsid w:val="006F7055"/>
    <w:pPr>
      <w:numPr>
        <w:ilvl w:val="2"/>
      </w:numPr>
      <w:spacing w:before="120"/>
      <w:ind w:left="709" w:hanging="709"/>
      <w:outlineLvl w:val="2"/>
    </w:pPr>
    <w:rPr>
      <w:i/>
      <w:iCs/>
      <w:sz w:val="21"/>
      <w:szCs w:val="21"/>
    </w:rPr>
  </w:style>
  <w:style w:type="paragraph" w:styleId="Heading4">
    <w:name w:val="heading 4"/>
    <w:basedOn w:val="Heading3"/>
    <w:next w:val="Normal"/>
    <w:link w:val="Heading4Char"/>
    <w:autoRedefine/>
    <w:uiPriority w:val="9"/>
    <w:unhideWhenUsed/>
    <w:qFormat/>
    <w:rsid w:val="004F257B"/>
    <w:pPr>
      <w:numPr>
        <w:ilvl w:val="3"/>
      </w:numPr>
      <w:outlineLvl w:val="3"/>
    </w:pPr>
    <w:rPr>
      <w:b w:val="0"/>
      <w:bCs w:val="0"/>
    </w:rPr>
  </w:style>
  <w:style w:type="paragraph" w:styleId="Heading5">
    <w:name w:val="heading 5"/>
    <w:basedOn w:val="Normal"/>
    <w:next w:val="Normal"/>
    <w:link w:val="Heading5Char"/>
    <w:uiPriority w:val="9"/>
    <w:semiHidden/>
    <w:unhideWhenUsed/>
    <w:qFormat/>
    <w:rsid w:val="00E15054"/>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054"/>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054"/>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5054"/>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5054"/>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10C"/>
    <w:pPr>
      <w:ind w:left="720"/>
      <w:contextualSpacing/>
    </w:pPr>
  </w:style>
  <w:style w:type="character" w:styleId="CommentReference">
    <w:name w:val="annotation reference"/>
    <w:basedOn w:val="DefaultParagraphFont"/>
    <w:uiPriority w:val="99"/>
    <w:semiHidden/>
    <w:unhideWhenUsed/>
    <w:rsid w:val="00417CD1"/>
    <w:rPr>
      <w:sz w:val="16"/>
      <w:szCs w:val="16"/>
    </w:rPr>
  </w:style>
  <w:style w:type="paragraph" w:styleId="CommentText">
    <w:name w:val="annotation text"/>
    <w:basedOn w:val="Normal"/>
    <w:link w:val="CommentTextChar"/>
    <w:uiPriority w:val="99"/>
    <w:unhideWhenUsed/>
    <w:rsid w:val="00417CD1"/>
    <w:pPr>
      <w:spacing w:line="240" w:lineRule="auto"/>
    </w:pPr>
    <w:rPr>
      <w:sz w:val="20"/>
      <w:szCs w:val="20"/>
    </w:rPr>
  </w:style>
  <w:style w:type="character" w:customStyle="1" w:styleId="CommentTextChar">
    <w:name w:val="Comment Text Char"/>
    <w:basedOn w:val="DefaultParagraphFont"/>
    <w:link w:val="CommentText"/>
    <w:uiPriority w:val="99"/>
    <w:rsid w:val="00417CD1"/>
    <w:rPr>
      <w:sz w:val="20"/>
      <w:szCs w:val="20"/>
    </w:rPr>
  </w:style>
  <w:style w:type="paragraph" w:styleId="CommentSubject">
    <w:name w:val="annotation subject"/>
    <w:basedOn w:val="CommentText"/>
    <w:next w:val="CommentText"/>
    <w:link w:val="CommentSubjectChar"/>
    <w:uiPriority w:val="99"/>
    <w:semiHidden/>
    <w:unhideWhenUsed/>
    <w:rsid w:val="00417CD1"/>
    <w:rPr>
      <w:b/>
      <w:bCs/>
    </w:rPr>
  </w:style>
  <w:style w:type="character" w:customStyle="1" w:styleId="CommentSubjectChar">
    <w:name w:val="Comment Subject Char"/>
    <w:basedOn w:val="CommentTextChar"/>
    <w:link w:val="CommentSubject"/>
    <w:uiPriority w:val="99"/>
    <w:semiHidden/>
    <w:rsid w:val="00417CD1"/>
    <w:rPr>
      <w:b/>
      <w:bCs/>
      <w:sz w:val="20"/>
      <w:szCs w:val="20"/>
    </w:rPr>
  </w:style>
  <w:style w:type="paragraph" w:styleId="Revision">
    <w:name w:val="Revision"/>
    <w:hidden/>
    <w:uiPriority w:val="99"/>
    <w:semiHidden/>
    <w:rsid w:val="00417CD1"/>
    <w:pPr>
      <w:spacing w:after="0" w:line="240" w:lineRule="auto"/>
    </w:pPr>
  </w:style>
  <w:style w:type="paragraph" w:styleId="BalloonText">
    <w:name w:val="Balloon Text"/>
    <w:basedOn w:val="Normal"/>
    <w:link w:val="BalloonTextChar"/>
    <w:uiPriority w:val="99"/>
    <w:semiHidden/>
    <w:unhideWhenUsed/>
    <w:rsid w:val="0041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D1"/>
    <w:rPr>
      <w:rFonts w:ascii="Tahoma" w:hAnsi="Tahoma" w:cs="Tahoma"/>
      <w:sz w:val="16"/>
      <w:szCs w:val="16"/>
    </w:rPr>
  </w:style>
  <w:style w:type="paragraph" w:styleId="FootnoteText">
    <w:name w:val="footnote text"/>
    <w:basedOn w:val="Normal"/>
    <w:link w:val="FootnoteTextChar"/>
    <w:uiPriority w:val="99"/>
    <w:unhideWhenUsed/>
    <w:rsid w:val="004B3EF9"/>
    <w:pPr>
      <w:spacing w:line="240" w:lineRule="auto"/>
    </w:pPr>
    <w:rPr>
      <w:rFonts w:ascii="Calibri" w:eastAsia="Arial" w:hAnsi="Calibri" w:cs="Arial"/>
      <w:color w:val="000000"/>
      <w:sz w:val="20"/>
      <w:szCs w:val="20"/>
      <w:lang w:eastAsia="en-US"/>
    </w:rPr>
  </w:style>
  <w:style w:type="character" w:customStyle="1" w:styleId="FootnoteTextChar">
    <w:name w:val="Footnote Text Char"/>
    <w:basedOn w:val="DefaultParagraphFont"/>
    <w:link w:val="FootnoteText"/>
    <w:uiPriority w:val="99"/>
    <w:rsid w:val="004B3EF9"/>
    <w:rPr>
      <w:rFonts w:ascii="Calibri" w:eastAsia="Arial" w:hAnsi="Calibri" w:cs="Arial"/>
      <w:color w:val="000000"/>
      <w:sz w:val="20"/>
      <w:szCs w:val="20"/>
      <w:lang w:eastAsia="en-US"/>
    </w:rPr>
  </w:style>
  <w:style w:type="character" w:styleId="FootnoteReference">
    <w:name w:val="footnote reference"/>
    <w:rsid w:val="004B3EF9"/>
    <w:rPr>
      <w:vertAlign w:val="superscript"/>
    </w:rPr>
  </w:style>
  <w:style w:type="character" w:customStyle="1" w:styleId="st">
    <w:name w:val="st"/>
    <w:rsid w:val="004B3EF9"/>
  </w:style>
  <w:style w:type="paragraph" w:styleId="Caption">
    <w:name w:val="caption"/>
    <w:basedOn w:val="Normal"/>
    <w:next w:val="Normal"/>
    <w:uiPriority w:val="35"/>
    <w:unhideWhenUsed/>
    <w:qFormat/>
    <w:rsid w:val="0034203E"/>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F94903"/>
    <w:rPr>
      <w:rFonts w:asciiTheme="minorBidi" w:hAnsiTheme="minorBidi"/>
      <w:b/>
      <w:bCs/>
    </w:rPr>
  </w:style>
  <w:style w:type="character" w:customStyle="1" w:styleId="Heading1Char">
    <w:name w:val="Heading 1 Char"/>
    <w:basedOn w:val="DefaultParagraphFont"/>
    <w:link w:val="Heading1"/>
    <w:uiPriority w:val="9"/>
    <w:rsid w:val="00E04FDB"/>
    <w:rPr>
      <w:rFonts w:asciiTheme="minorBidi" w:hAnsiTheme="minorBidi"/>
      <w:b/>
      <w:bCs/>
      <w:sz w:val="24"/>
      <w:szCs w:val="24"/>
    </w:rPr>
  </w:style>
  <w:style w:type="character" w:customStyle="1" w:styleId="Heading5Char">
    <w:name w:val="Heading 5 Char"/>
    <w:basedOn w:val="DefaultParagraphFont"/>
    <w:link w:val="Heading5"/>
    <w:uiPriority w:val="9"/>
    <w:semiHidden/>
    <w:rsid w:val="00E15054"/>
    <w:rPr>
      <w:rFonts w:asciiTheme="majorHAnsi" w:eastAsiaTheme="majorEastAsia" w:hAnsiTheme="majorHAnsi" w:cstheme="majorBidi"/>
      <w:color w:val="243F60" w:themeColor="accent1" w:themeShade="7F"/>
      <w:sz w:val="21"/>
      <w:szCs w:val="21"/>
    </w:rPr>
  </w:style>
  <w:style w:type="paragraph" w:styleId="NormalWeb">
    <w:name w:val="Normal (Web)"/>
    <w:basedOn w:val="Normal"/>
    <w:uiPriority w:val="99"/>
    <w:semiHidden/>
    <w:unhideWhenUsed/>
    <w:rsid w:val="00E950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6113"/>
    <w:rPr>
      <w:b/>
      <w:bCs/>
    </w:rPr>
  </w:style>
  <w:style w:type="paragraph" w:styleId="Header">
    <w:name w:val="header"/>
    <w:basedOn w:val="Normal"/>
    <w:link w:val="HeaderChar"/>
    <w:uiPriority w:val="99"/>
    <w:unhideWhenUsed/>
    <w:rsid w:val="00941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5C5"/>
  </w:style>
  <w:style w:type="paragraph" w:styleId="Footer">
    <w:name w:val="footer"/>
    <w:basedOn w:val="Normal"/>
    <w:link w:val="FooterChar"/>
    <w:uiPriority w:val="99"/>
    <w:unhideWhenUsed/>
    <w:rsid w:val="00941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5C5"/>
  </w:style>
  <w:style w:type="character" w:styleId="Hyperlink">
    <w:name w:val="Hyperlink"/>
    <w:basedOn w:val="DefaultParagraphFont"/>
    <w:uiPriority w:val="99"/>
    <w:unhideWhenUsed/>
    <w:rsid w:val="00935B3E"/>
    <w:rPr>
      <w:color w:val="0000FF"/>
      <w:u w:val="single"/>
    </w:rPr>
  </w:style>
  <w:style w:type="paragraph" w:styleId="PlainText">
    <w:name w:val="Plain Text"/>
    <w:basedOn w:val="Normal"/>
    <w:link w:val="PlainTextChar"/>
    <w:uiPriority w:val="99"/>
    <w:unhideWhenUsed/>
    <w:rsid w:val="00B440BC"/>
    <w:pPr>
      <w:spacing w:after="0" w:line="240" w:lineRule="auto"/>
    </w:pPr>
    <w:rPr>
      <w:rFonts w:ascii="Arial" w:eastAsiaTheme="minorHAnsi" w:hAnsi="Arial"/>
      <w:sz w:val="24"/>
      <w:lang w:val="de-DE" w:eastAsia="de-DE"/>
    </w:rPr>
  </w:style>
  <w:style w:type="character" w:customStyle="1" w:styleId="PlainTextChar">
    <w:name w:val="Plain Text Char"/>
    <w:basedOn w:val="DefaultParagraphFont"/>
    <w:link w:val="PlainText"/>
    <w:uiPriority w:val="99"/>
    <w:rsid w:val="00B440BC"/>
    <w:rPr>
      <w:rFonts w:ascii="Arial" w:eastAsiaTheme="minorHAnsi" w:hAnsi="Arial"/>
      <w:sz w:val="24"/>
      <w:szCs w:val="21"/>
      <w:lang w:val="de-DE" w:eastAsia="de-DE"/>
    </w:rPr>
  </w:style>
  <w:style w:type="character" w:styleId="PageNumber">
    <w:name w:val="page number"/>
    <w:basedOn w:val="DefaultParagraphFont"/>
    <w:uiPriority w:val="99"/>
    <w:semiHidden/>
    <w:unhideWhenUsed/>
    <w:rsid w:val="00B440BC"/>
  </w:style>
  <w:style w:type="paragraph" w:styleId="HTMLPreformatted">
    <w:name w:val="HTML Preformatted"/>
    <w:basedOn w:val="Normal"/>
    <w:link w:val="HTMLPreformattedChar"/>
    <w:uiPriority w:val="99"/>
    <w:unhideWhenUsed/>
    <w:rsid w:val="00B44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B440BC"/>
    <w:rPr>
      <w:rFonts w:ascii="Courier New" w:eastAsia="Times New Roman" w:hAnsi="Courier New" w:cs="Courier New"/>
      <w:sz w:val="20"/>
      <w:szCs w:val="20"/>
      <w:lang w:val="de-DE" w:eastAsia="de-DE"/>
    </w:rPr>
  </w:style>
  <w:style w:type="character" w:customStyle="1" w:styleId="Heading3Char">
    <w:name w:val="Heading 3 Char"/>
    <w:basedOn w:val="DefaultParagraphFont"/>
    <w:link w:val="Heading3"/>
    <w:uiPriority w:val="9"/>
    <w:rsid w:val="006F7055"/>
    <w:rPr>
      <w:rFonts w:asciiTheme="minorBidi" w:hAnsiTheme="minorBidi"/>
      <w:b/>
      <w:bCs/>
      <w:i/>
      <w:iCs/>
      <w:sz w:val="21"/>
      <w:szCs w:val="21"/>
    </w:rPr>
  </w:style>
  <w:style w:type="character" w:customStyle="1" w:styleId="Heading4Char">
    <w:name w:val="Heading 4 Char"/>
    <w:basedOn w:val="DefaultParagraphFont"/>
    <w:link w:val="Heading4"/>
    <w:uiPriority w:val="9"/>
    <w:rsid w:val="004F257B"/>
    <w:rPr>
      <w:rFonts w:asciiTheme="minorBidi" w:hAnsiTheme="minorBidi"/>
      <w:i/>
      <w:iCs/>
      <w:sz w:val="21"/>
      <w:szCs w:val="21"/>
    </w:rPr>
  </w:style>
  <w:style w:type="paragraph" w:styleId="TOCHeading">
    <w:name w:val="TOC Heading"/>
    <w:basedOn w:val="Heading1"/>
    <w:next w:val="Normal"/>
    <w:uiPriority w:val="39"/>
    <w:unhideWhenUsed/>
    <w:qFormat/>
    <w:rsid w:val="004A74A6"/>
    <w:pPr>
      <w:keepNext/>
      <w:keepLines/>
      <w:numPr>
        <w:numId w:val="0"/>
      </w:numPr>
      <w:spacing w:after="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4A74A6"/>
    <w:pPr>
      <w:spacing w:after="100"/>
    </w:pPr>
  </w:style>
  <w:style w:type="paragraph" w:styleId="TOC2">
    <w:name w:val="toc 2"/>
    <w:basedOn w:val="Normal"/>
    <w:next w:val="Normal"/>
    <w:autoRedefine/>
    <w:uiPriority w:val="39"/>
    <w:unhideWhenUsed/>
    <w:rsid w:val="008926C9"/>
    <w:pPr>
      <w:tabs>
        <w:tab w:val="left" w:pos="880"/>
        <w:tab w:val="right" w:leader="dot" w:pos="9072"/>
      </w:tabs>
      <w:spacing w:after="100"/>
      <w:ind w:left="220" w:right="850"/>
    </w:pPr>
  </w:style>
  <w:style w:type="paragraph" w:styleId="TOC3">
    <w:name w:val="toc 3"/>
    <w:basedOn w:val="Normal"/>
    <w:next w:val="Normal"/>
    <w:autoRedefine/>
    <w:uiPriority w:val="39"/>
    <w:unhideWhenUsed/>
    <w:rsid w:val="004A74A6"/>
    <w:pPr>
      <w:spacing w:after="100"/>
      <w:ind w:left="440"/>
    </w:pPr>
  </w:style>
  <w:style w:type="character" w:customStyle="1" w:styleId="Heading6Char">
    <w:name w:val="Heading 6 Char"/>
    <w:basedOn w:val="DefaultParagraphFont"/>
    <w:link w:val="Heading6"/>
    <w:uiPriority w:val="9"/>
    <w:semiHidden/>
    <w:rsid w:val="00E15054"/>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E15054"/>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E150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5054"/>
    <w:rPr>
      <w:rFonts w:asciiTheme="majorHAnsi" w:eastAsiaTheme="majorEastAsia" w:hAnsiTheme="majorHAnsi" w:cstheme="majorBidi"/>
      <w:i/>
      <w:iCs/>
      <w:color w:val="404040" w:themeColor="text1" w:themeTint="BF"/>
      <w:sz w:val="20"/>
      <w:szCs w:val="20"/>
    </w:rPr>
  </w:style>
  <w:style w:type="numbering" w:customStyle="1" w:styleId="Headings">
    <w:name w:val="Headings"/>
    <w:uiPriority w:val="99"/>
    <w:rsid w:val="00E15054"/>
    <w:pPr>
      <w:numPr>
        <w:numId w:val="4"/>
      </w:numPr>
    </w:pPr>
  </w:style>
  <w:style w:type="character" w:styleId="FollowedHyperlink">
    <w:name w:val="FollowedHyperlink"/>
    <w:basedOn w:val="DefaultParagraphFont"/>
    <w:uiPriority w:val="99"/>
    <w:semiHidden/>
    <w:unhideWhenUsed/>
    <w:rsid w:val="00496C1B"/>
    <w:rPr>
      <w:color w:val="800080" w:themeColor="followedHyperlink"/>
      <w:u w:val="single"/>
    </w:rPr>
  </w:style>
  <w:style w:type="paragraph" w:styleId="NoSpacing">
    <w:name w:val="No Spacing"/>
    <w:link w:val="NoSpacingChar"/>
    <w:uiPriority w:val="1"/>
    <w:qFormat/>
    <w:rsid w:val="002348BB"/>
    <w:pPr>
      <w:spacing w:after="0" w:line="240" w:lineRule="auto"/>
    </w:pPr>
    <w:rPr>
      <w:lang w:val="en-US" w:eastAsia="ja-JP"/>
    </w:rPr>
  </w:style>
  <w:style w:type="character" w:customStyle="1" w:styleId="NoSpacingChar">
    <w:name w:val="No Spacing Char"/>
    <w:basedOn w:val="DefaultParagraphFont"/>
    <w:link w:val="NoSpacing"/>
    <w:uiPriority w:val="1"/>
    <w:rsid w:val="002348BB"/>
    <w:rPr>
      <w:lang w:val="en-US" w:eastAsia="ja-JP"/>
    </w:rPr>
  </w:style>
  <w:style w:type="table" w:styleId="LightShading">
    <w:name w:val="Light Shading"/>
    <w:basedOn w:val="TableNormal"/>
    <w:uiPriority w:val="60"/>
    <w:rsid w:val="006C5B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85F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DGName">
    <w:name w:val="Z_DGName"/>
    <w:basedOn w:val="Normal"/>
    <w:rsid w:val="00CA1469"/>
    <w:pPr>
      <w:suppressAutoHyphens/>
      <w:autoSpaceDE w:val="0"/>
      <w:autoSpaceDN w:val="0"/>
      <w:spacing w:after="0" w:line="264" w:lineRule="auto"/>
      <w:ind w:right="85"/>
      <w:jc w:val="left"/>
    </w:pPr>
    <w:rPr>
      <w:rFonts w:ascii="Arial" w:eastAsia="Times New Roman" w:hAnsi="Arial" w:cs="Arial"/>
      <w:kern w:val="3"/>
      <w:sz w:val="16"/>
      <w:szCs w:val="16"/>
    </w:rPr>
  </w:style>
  <w:style w:type="paragraph" w:customStyle="1" w:styleId="TableContents">
    <w:name w:val="Table Contents"/>
    <w:basedOn w:val="Normal"/>
    <w:rsid w:val="00CA1469"/>
    <w:pPr>
      <w:widowControl/>
      <w:suppressLineNumbers/>
      <w:suppressAutoHyphens/>
      <w:autoSpaceDN w:val="0"/>
      <w:spacing w:after="240" w:line="264" w:lineRule="auto"/>
    </w:pPr>
    <w:rPr>
      <w:rFonts w:ascii="Times New Roman" w:eastAsia="Times New Roman" w:hAnsi="Times New Roman" w:cs="Times New Roman"/>
      <w:kern w:val="3"/>
      <w:sz w:val="24"/>
      <w:szCs w:val="20"/>
    </w:rPr>
  </w:style>
  <w:style w:type="paragraph" w:customStyle="1" w:styleId="TableHeading">
    <w:name w:val="Table Heading"/>
    <w:basedOn w:val="TableContents"/>
    <w:rsid w:val="00CA1469"/>
    <w:pPr>
      <w:jc w:val="center"/>
    </w:pPr>
    <w:rPr>
      <w:b/>
      <w:bCs/>
    </w:rPr>
  </w:style>
  <w:style w:type="character" w:styleId="Emphasis">
    <w:name w:val="Emphasis"/>
    <w:basedOn w:val="DefaultParagraphFont"/>
    <w:uiPriority w:val="20"/>
    <w:qFormat/>
    <w:rsid w:val="00E01633"/>
    <w:rPr>
      <w:i/>
      <w:iCs/>
    </w:rPr>
  </w:style>
  <w:style w:type="table" w:styleId="TableGrid">
    <w:name w:val="Table Grid"/>
    <w:basedOn w:val="TableNormal"/>
    <w:uiPriority w:val="59"/>
    <w:rsid w:val="00523E4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A17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43"/>
    <w:pPr>
      <w:widowControl w:val="0"/>
      <w:jc w:val="both"/>
    </w:pPr>
    <w:rPr>
      <w:rFonts w:asciiTheme="minorBidi" w:hAnsiTheme="minorBidi"/>
      <w:sz w:val="21"/>
      <w:szCs w:val="21"/>
    </w:rPr>
  </w:style>
  <w:style w:type="paragraph" w:styleId="Heading1">
    <w:name w:val="heading 1"/>
    <w:next w:val="Normal"/>
    <w:link w:val="Heading1Char"/>
    <w:uiPriority w:val="9"/>
    <w:qFormat/>
    <w:rsid w:val="00E04FDB"/>
    <w:pPr>
      <w:numPr>
        <w:numId w:val="5"/>
      </w:numPr>
      <w:spacing w:before="480"/>
      <w:outlineLvl w:val="0"/>
    </w:pPr>
    <w:rPr>
      <w:rFonts w:asciiTheme="minorBidi" w:hAnsiTheme="minorBidi"/>
      <w:b/>
      <w:bCs/>
      <w:sz w:val="24"/>
      <w:szCs w:val="24"/>
    </w:rPr>
  </w:style>
  <w:style w:type="paragraph" w:styleId="Heading2">
    <w:name w:val="heading 2"/>
    <w:basedOn w:val="Heading1"/>
    <w:next w:val="Normal"/>
    <w:link w:val="Heading2Char"/>
    <w:autoRedefine/>
    <w:uiPriority w:val="9"/>
    <w:unhideWhenUsed/>
    <w:qFormat/>
    <w:rsid w:val="00F94903"/>
    <w:pPr>
      <w:keepNext/>
      <w:numPr>
        <w:ilvl w:val="1"/>
      </w:numPr>
      <w:spacing w:before="360" w:after="240"/>
      <w:outlineLvl w:val="1"/>
    </w:pPr>
    <w:rPr>
      <w:sz w:val="22"/>
      <w:szCs w:val="22"/>
    </w:rPr>
  </w:style>
  <w:style w:type="paragraph" w:styleId="Heading3">
    <w:name w:val="heading 3"/>
    <w:basedOn w:val="Heading2"/>
    <w:next w:val="Normal"/>
    <w:link w:val="Heading3Char"/>
    <w:autoRedefine/>
    <w:uiPriority w:val="9"/>
    <w:unhideWhenUsed/>
    <w:qFormat/>
    <w:rsid w:val="006F7055"/>
    <w:pPr>
      <w:numPr>
        <w:ilvl w:val="2"/>
      </w:numPr>
      <w:spacing w:before="120"/>
      <w:ind w:left="709" w:hanging="709"/>
      <w:outlineLvl w:val="2"/>
    </w:pPr>
    <w:rPr>
      <w:i/>
      <w:iCs/>
      <w:sz w:val="21"/>
      <w:szCs w:val="21"/>
    </w:rPr>
  </w:style>
  <w:style w:type="paragraph" w:styleId="Heading4">
    <w:name w:val="heading 4"/>
    <w:basedOn w:val="Heading3"/>
    <w:next w:val="Normal"/>
    <w:link w:val="Heading4Char"/>
    <w:autoRedefine/>
    <w:uiPriority w:val="9"/>
    <w:unhideWhenUsed/>
    <w:qFormat/>
    <w:rsid w:val="004F257B"/>
    <w:pPr>
      <w:numPr>
        <w:ilvl w:val="3"/>
      </w:numPr>
      <w:outlineLvl w:val="3"/>
    </w:pPr>
    <w:rPr>
      <w:b w:val="0"/>
      <w:bCs w:val="0"/>
    </w:rPr>
  </w:style>
  <w:style w:type="paragraph" w:styleId="Heading5">
    <w:name w:val="heading 5"/>
    <w:basedOn w:val="Normal"/>
    <w:next w:val="Normal"/>
    <w:link w:val="Heading5Char"/>
    <w:uiPriority w:val="9"/>
    <w:semiHidden/>
    <w:unhideWhenUsed/>
    <w:qFormat/>
    <w:rsid w:val="00E15054"/>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054"/>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054"/>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5054"/>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5054"/>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10C"/>
    <w:pPr>
      <w:ind w:left="720"/>
      <w:contextualSpacing/>
    </w:pPr>
  </w:style>
  <w:style w:type="character" w:styleId="CommentReference">
    <w:name w:val="annotation reference"/>
    <w:basedOn w:val="DefaultParagraphFont"/>
    <w:uiPriority w:val="99"/>
    <w:semiHidden/>
    <w:unhideWhenUsed/>
    <w:rsid w:val="00417CD1"/>
    <w:rPr>
      <w:sz w:val="16"/>
      <w:szCs w:val="16"/>
    </w:rPr>
  </w:style>
  <w:style w:type="paragraph" w:styleId="CommentText">
    <w:name w:val="annotation text"/>
    <w:basedOn w:val="Normal"/>
    <w:link w:val="CommentTextChar"/>
    <w:uiPriority w:val="99"/>
    <w:unhideWhenUsed/>
    <w:rsid w:val="00417CD1"/>
    <w:pPr>
      <w:spacing w:line="240" w:lineRule="auto"/>
    </w:pPr>
    <w:rPr>
      <w:sz w:val="20"/>
      <w:szCs w:val="20"/>
    </w:rPr>
  </w:style>
  <w:style w:type="character" w:customStyle="1" w:styleId="CommentTextChar">
    <w:name w:val="Comment Text Char"/>
    <w:basedOn w:val="DefaultParagraphFont"/>
    <w:link w:val="CommentText"/>
    <w:uiPriority w:val="99"/>
    <w:rsid w:val="00417CD1"/>
    <w:rPr>
      <w:sz w:val="20"/>
      <w:szCs w:val="20"/>
    </w:rPr>
  </w:style>
  <w:style w:type="paragraph" w:styleId="CommentSubject">
    <w:name w:val="annotation subject"/>
    <w:basedOn w:val="CommentText"/>
    <w:next w:val="CommentText"/>
    <w:link w:val="CommentSubjectChar"/>
    <w:uiPriority w:val="99"/>
    <w:semiHidden/>
    <w:unhideWhenUsed/>
    <w:rsid w:val="00417CD1"/>
    <w:rPr>
      <w:b/>
      <w:bCs/>
    </w:rPr>
  </w:style>
  <w:style w:type="character" w:customStyle="1" w:styleId="CommentSubjectChar">
    <w:name w:val="Comment Subject Char"/>
    <w:basedOn w:val="CommentTextChar"/>
    <w:link w:val="CommentSubject"/>
    <w:uiPriority w:val="99"/>
    <w:semiHidden/>
    <w:rsid w:val="00417CD1"/>
    <w:rPr>
      <w:b/>
      <w:bCs/>
      <w:sz w:val="20"/>
      <w:szCs w:val="20"/>
    </w:rPr>
  </w:style>
  <w:style w:type="paragraph" w:styleId="Revision">
    <w:name w:val="Revision"/>
    <w:hidden/>
    <w:uiPriority w:val="99"/>
    <w:semiHidden/>
    <w:rsid w:val="00417CD1"/>
    <w:pPr>
      <w:spacing w:after="0" w:line="240" w:lineRule="auto"/>
    </w:pPr>
  </w:style>
  <w:style w:type="paragraph" w:styleId="BalloonText">
    <w:name w:val="Balloon Text"/>
    <w:basedOn w:val="Normal"/>
    <w:link w:val="BalloonTextChar"/>
    <w:uiPriority w:val="99"/>
    <w:semiHidden/>
    <w:unhideWhenUsed/>
    <w:rsid w:val="0041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D1"/>
    <w:rPr>
      <w:rFonts w:ascii="Tahoma" w:hAnsi="Tahoma" w:cs="Tahoma"/>
      <w:sz w:val="16"/>
      <w:szCs w:val="16"/>
    </w:rPr>
  </w:style>
  <w:style w:type="paragraph" w:styleId="FootnoteText">
    <w:name w:val="footnote text"/>
    <w:basedOn w:val="Normal"/>
    <w:link w:val="FootnoteTextChar"/>
    <w:uiPriority w:val="99"/>
    <w:unhideWhenUsed/>
    <w:rsid w:val="004B3EF9"/>
    <w:pPr>
      <w:spacing w:line="240" w:lineRule="auto"/>
    </w:pPr>
    <w:rPr>
      <w:rFonts w:ascii="Calibri" w:eastAsia="Arial" w:hAnsi="Calibri" w:cs="Arial"/>
      <w:color w:val="000000"/>
      <w:sz w:val="20"/>
      <w:szCs w:val="20"/>
      <w:lang w:eastAsia="en-US"/>
    </w:rPr>
  </w:style>
  <w:style w:type="character" w:customStyle="1" w:styleId="FootnoteTextChar">
    <w:name w:val="Footnote Text Char"/>
    <w:basedOn w:val="DefaultParagraphFont"/>
    <w:link w:val="FootnoteText"/>
    <w:uiPriority w:val="99"/>
    <w:rsid w:val="004B3EF9"/>
    <w:rPr>
      <w:rFonts w:ascii="Calibri" w:eastAsia="Arial" w:hAnsi="Calibri" w:cs="Arial"/>
      <w:color w:val="000000"/>
      <w:sz w:val="20"/>
      <w:szCs w:val="20"/>
      <w:lang w:eastAsia="en-US"/>
    </w:rPr>
  </w:style>
  <w:style w:type="character" w:styleId="FootnoteReference">
    <w:name w:val="footnote reference"/>
    <w:rsid w:val="004B3EF9"/>
    <w:rPr>
      <w:vertAlign w:val="superscript"/>
    </w:rPr>
  </w:style>
  <w:style w:type="character" w:customStyle="1" w:styleId="st">
    <w:name w:val="st"/>
    <w:rsid w:val="004B3EF9"/>
  </w:style>
  <w:style w:type="paragraph" w:styleId="Caption">
    <w:name w:val="caption"/>
    <w:basedOn w:val="Normal"/>
    <w:next w:val="Normal"/>
    <w:uiPriority w:val="35"/>
    <w:unhideWhenUsed/>
    <w:qFormat/>
    <w:rsid w:val="0034203E"/>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F94903"/>
    <w:rPr>
      <w:rFonts w:asciiTheme="minorBidi" w:hAnsiTheme="minorBidi"/>
      <w:b/>
      <w:bCs/>
    </w:rPr>
  </w:style>
  <w:style w:type="character" w:customStyle="1" w:styleId="Heading1Char">
    <w:name w:val="Heading 1 Char"/>
    <w:basedOn w:val="DefaultParagraphFont"/>
    <w:link w:val="Heading1"/>
    <w:uiPriority w:val="9"/>
    <w:rsid w:val="00E04FDB"/>
    <w:rPr>
      <w:rFonts w:asciiTheme="minorBidi" w:hAnsiTheme="minorBidi"/>
      <w:b/>
      <w:bCs/>
      <w:sz w:val="24"/>
      <w:szCs w:val="24"/>
    </w:rPr>
  </w:style>
  <w:style w:type="character" w:customStyle="1" w:styleId="Heading5Char">
    <w:name w:val="Heading 5 Char"/>
    <w:basedOn w:val="DefaultParagraphFont"/>
    <w:link w:val="Heading5"/>
    <w:uiPriority w:val="9"/>
    <w:semiHidden/>
    <w:rsid w:val="00E15054"/>
    <w:rPr>
      <w:rFonts w:asciiTheme="majorHAnsi" w:eastAsiaTheme="majorEastAsia" w:hAnsiTheme="majorHAnsi" w:cstheme="majorBidi"/>
      <w:color w:val="243F60" w:themeColor="accent1" w:themeShade="7F"/>
      <w:sz w:val="21"/>
      <w:szCs w:val="21"/>
    </w:rPr>
  </w:style>
  <w:style w:type="paragraph" w:styleId="NormalWeb">
    <w:name w:val="Normal (Web)"/>
    <w:basedOn w:val="Normal"/>
    <w:uiPriority w:val="99"/>
    <w:semiHidden/>
    <w:unhideWhenUsed/>
    <w:rsid w:val="00E950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6113"/>
    <w:rPr>
      <w:b/>
      <w:bCs/>
    </w:rPr>
  </w:style>
  <w:style w:type="paragraph" w:styleId="Header">
    <w:name w:val="header"/>
    <w:basedOn w:val="Normal"/>
    <w:link w:val="HeaderChar"/>
    <w:uiPriority w:val="99"/>
    <w:unhideWhenUsed/>
    <w:rsid w:val="00941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5C5"/>
  </w:style>
  <w:style w:type="paragraph" w:styleId="Footer">
    <w:name w:val="footer"/>
    <w:basedOn w:val="Normal"/>
    <w:link w:val="FooterChar"/>
    <w:uiPriority w:val="99"/>
    <w:unhideWhenUsed/>
    <w:rsid w:val="00941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5C5"/>
  </w:style>
  <w:style w:type="character" w:styleId="Hyperlink">
    <w:name w:val="Hyperlink"/>
    <w:basedOn w:val="DefaultParagraphFont"/>
    <w:uiPriority w:val="99"/>
    <w:unhideWhenUsed/>
    <w:rsid w:val="00935B3E"/>
    <w:rPr>
      <w:color w:val="0000FF"/>
      <w:u w:val="single"/>
    </w:rPr>
  </w:style>
  <w:style w:type="paragraph" w:styleId="PlainText">
    <w:name w:val="Plain Text"/>
    <w:basedOn w:val="Normal"/>
    <w:link w:val="PlainTextChar"/>
    <w:uiPriority w:val="99"/>
    <w:unhideWhenUsed/>
    <w:rsid w:val="00B440BC"/>
    <w:pPr>
      <w:spacing w:after="0" w:line="240" w:lineRule="auto"/>
    </w:pPr>
    <w:rPr>
      <w:rFonts w:ascii="Arial" w:eastAsiaTheme="minorHAnsi" w:hAnsi="Arial"/>
      <w:sz w:val="24"/>
      <w:lang w:val="de-DE" w:eastAsia="de-DE"/>
    </w:rPr>
  </w:style>
  <w:style w:type="character" w:customStyle="1" w:styleId="PlainTextChar">
    <w:name w:val="Plain Text Char"/>
    <w:basedOn w:val="DefaultParagraphFont"/>
    <w:link w:val="PlainText"/>
    <w:uiPriority w:val="99"/>
    <w:rsid w:val="00B440BC"/>
    <w:rPr>
      <w:rFonts w:ascii="Arial" w:eastAsiaTheme="minorHAnsi" w:hAnsi="Arial"/>
      <w:sz w:val="24"/>
      <w:szCs w:val="21"/>
      <w:lang w:val="de-DE" w:eastAsia="de-DE"/>
    </w:rPr>
  </w:style>
  <w:style w:type="character" w:styleId="PageNumber">
    <w:name w:val="page number"/>
    <w:basedOn w:val="DefaultParagraphFont"/>
    <w:uiPriority w:val="99"/>
    <w:semiHidden/>
    <w:unhideWhenUsed/>
    <w:rsid w:val="00B440BC"/>
  </w:style>
  <w:style w:type="paragraph" w:styleId="HTMLPreformatted">
    <w:name w:val="HTML Preformatted"/>
    <w:basedOn w:val="Normal"/>
    <w:link w:val="HTMLPreformattedChar"/>
    <w:uiPriority w:val="99"/>
    <w:unhideWhenUsed/>
    <w:rsid w:val="00B44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B440BC"/>
    <w:rPr>
      <w:rFonts w:ascii="Courier New" w:eastAsia="Times New Roman" w:hAnsi="Courier New" w:cs="Courier New"/>
      <w:sz w:val="20"/>
      <w:szCs w:val="20"/>
      <w:lang w:val="de-DE" w:eastAsia="de-DE"/>
    </w:rPr>
  </w:style>
  <w:style w:type="character" w:customStyle="1" w:styleId="Heading3Char">
    <w:name w:val="Heading 3 Char"/>
    <w:basedOn w:val="DefaultParagraphFont"/>
    <w:link w:val="Heading3"/>
    <w:uiPriority w:val="9"/>
    <w:rsid w:val="006F7055"/>
    <w:rPr>
      <w:rFonts w:asciiTheme="minorBidi" w:hAnsiTheme="minorBidi"/>
      <w:b/>
      <w:bCs/>
      <w:i/>
      <w:iCs/>
      <w:sz w:val="21"/>
      <w:szCs w:val="21"/>
    </w:rPr>
  </w:style>
  <w:style w:type="character" w:customStyle="1" w:styleId="Heading4Char">
    <w:name w:val="Heading 4 Char"/>
    <w:basedOn w:val="DefaultParagraphFont"/>
    <w:link w:val="Heading4"/>
    <w:uiPriority w:val="9"/>
    <w:rsid w:val="004F257B"/>
    <w:rPr>
      <w:rFonts w:asciiTheme="minorBidi" w:hAnsiTheme="minorBidi"/>
      <w:i/>
      <w:iCs/>
      <w:sz w:val="21"/>
      <w:szCs w:val="21"/>
    </w:rPr>
  </w:style>
  <w:style w:type="paragraph" w:styleId="TOCHeading">
    <w:name w:val="TOC Heading"/>
    <w:basedOn w:val="Heading1"/>
    <w:next w:val="Normal"/>
    <w:uiPriority w:val="39"/>
    <w:unhideWhenUsed/>
    <w:qFormat/>
    <w:rsid w:val="004A74A6"/>
    <w:pPr>
      <w:keepNext/>
      <w:keepLines/>
      <w:numPr>
        <w:numId w:val="0"/>
      </w:numPr>
      <w:spacing w:after="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4A74A6"/>
    <w:pPr>
      <w:spacing w:after="100"/>
    </w:pPr>
  </w:style>
  <w:style w:type="paragraph" w:styleId="TOC2">
    <w:name w:val="toc 2"/>
    <w:basedOn w:val="Normal"/>
    <w:next w:val="Normal"/>
    <w:autoRedefine/>
    <w:uiPriority w:val="39"/>
    <w:unhideWhenUsed/>
    <w:rsid w:val="008926C9"/>
    <w:pPr>
      <w:tabs>
        <w:tab w:val="left" w:pos="880"/>
        <w:tab w:val="right" w:leader="dot" w:pos="9072"/>
      </w:tabs>
      <w:spacing w:after="100"/>
      <w:ind w:left="220" w:right="850"/>
    </w:pPr>
  </w:style>
  <w:style w:type="paragraph" w:styleId="TOC3">
    <w:name w:val="toc 3"/>
    <w:basedOn w:val="Normal"/>
    <w:next w:val="Normal"/>
    <w:autoRedefine/>
    <w:uiPriority w:val="39"/>
    <w:unhideWhenUsed/>
    <w:rsid w:val="004A74A6"/>
    <w:pPr>
      <w:spacing w:after="100"/>
      <w:ind w:left="440"/>
    </w:pPr>
  </w:style>
  <w:style w:type="character" w:customStyle="1" w:styleId="Heading6Char">
    <w:name w:val="Heading 6 Char"/>
    <w:basedOn w:val="DefaultParagraphFont"/>
    <w:link w:val="Heading6"/>
    <w:uiPriority w:val="9"/>
    <w:semiHidden/>
    <w:rsid w:val="00E15054"/>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E15054"/>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E150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5054"/>
    <w:rPr>
      <w:rFonts w:asciiTheme="majorHAnsi" w:eastAsiaTheme="majorEastAsia" w:hAnsiTheme="majorHAnsi" w:cstheme="majorBidi"/>
      <w:i/>
      <w:iCs/>
      <w:color w:val="404040" w:themeColor="text1" w:themeTint="BF"/>
      <w:sz w:val="20"/>
      <w:szCs w:val="20"/>
    </w:rPr>
  </w:style>
  <w:style w:type="numbering" w:customStyle="1" w:styleId="Headings">
    <w:name w:val="Headings"/>
    <w:uiPriority w:val="99"/>
    <w:rsid w:val="00E15054"/>
    <w:pPr>
      <w:numPr>
        <w:numId w:val="4"/>
      </w:numPr>
    </w:pPr>
  </w:style>
  <w:style w:type="character" w:styleId="FollowedHyperlink">
    <w:name w:val="FollowedHyperlink"/>
    <w:basedOn w:val="DefaultParagraphFont"/>
    <w:uiPriority w:val="99"/>
    <w:semiHidden/>
    <w:unhideWhenUsed/>
    <w:rsid w:val="00496C1B"/>
    <w:rPr>
      <w:color w:val="800080" w:themeColor="followedHyperlink"/>
      <w:u w:val="single"/>
    </w:rPr>
  </w:style>
  <w:style w:type="paragraph" w:styleId="NoSpacing">
    <w:name w:val="No Spacing"/>
    <w:link w:val="NoSpacingChar"/>
    <w:uiPriority w:val="1"/>
    <w:qFormat/>
    <w:rsid w:val="002348BB"/>
    <w:pPr>
      <w:spacing w:after="0" w:line="240" w:lineRule="auto"/>
    </w:pPr>
    <w:rPr>
      <w:lang w:val="en-US" w:eastAsia="ja-JP"/>
    </w:rPr>
  </w:style>
  <w:style w:type="character" w:customStyle="1" w:styleId="NoSpacingChar">
    <w:name w:val="No Spacing Char"/>
    <w:basedOn w:val="DefaultParagraphFont"/>
    <w:link w:val="NoSpacing"/>
    <w:uiPriority w:val="1"/>
    <w:rsid w:val="002348BB"/>
    <w:rPr>
      <w:lang w:val="en-US" w:eastAsia="ja-JP"/>
    </w:rPr>
  </w:style>
  <w:style w:type="table" w:styleId="LightShading">
    <w:name w:val="Light Shading"/>
    <w:basedOn w:val="TableNormal"/>
    <w:uiPriority w:val="60"/>
    <w:rsid w:val="006C5B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85F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DGName">
    <w:name w:val="Z_DGName"/>
    <w:basedOn w:val="Normal"/>
    <w:rsid w:val="00CA1469"/>
    <w:pPr>
      <w:suppressAutoHyphens/>
      <w:autoSpaceDE w:val="0"/>
      <w:autoSpaceDN w:val="0"/>
      <w:spacing w:after="0" w:line="264" w:lineRule="auto"/>
      <w:ind w:right="85"/>
      <w:jc w:val="left"/>
    </w:pPr>
    <w:rPr>
      <w:rFonts w:ascii="Arial" w:eastAsia="Times New Roman" w:hAnsi="Arial" w:cs="Arial"/>
      <w:kern w:val="3"/>
      <w:sz w:val="16"/>
      <w:szCs w:val="16"/>
    </w:rPr>
  </w:style>
  <w:style w:type="paragraph" w:customStyle="1" w:styleId="TableContents">
    <w:name w:val="Table Contents"/>
    <w:basedOn w:val="Normal"/>
    <w:rsid w:val="00CA1469"/>
    <w:pPr>
      <w:widowControl/>
      <w:suppressLineNumbers/>
      <w:suppressAutoHyphens/>
      <w:autoSpaceDN w:val="0"/>
      <w:spacing w:after="240" w:line="264" w:lineRule="auto"/>
    </w:pPr>
    <w:rPr>
      <w:rFonts w:ascii="Times New Roman" w:eastAsia="Times New Roman" w:hAnsi="Times New Roman" w:cs="Times New Roman"/>
      <w:kern w:val="3"/>
      <w:sz w:val="24"/>
      <w:szCs w:val="20"/>
    </w:rPr>
  </w:style>
  <w:style w:type="paragraph" w:customStyle="1" w:styleId="TableHeading">
    <w:name w:val="Table Heading"/>
    <w:basedOn w:val="TableContents"/>
    <w:rsid w:val="00CA1469"/>
    <w:pPr>
      <w:jc w:val="center"/>
    </w:pPr>
    <w:rPr>
      <w:b/>
      <w:bCs/>
    </w:rPr>
  </w:style>
  <w:style w:type="character" w:styleId="Emphasis">
    <w:name w:val="Emphasis"/>
    <w:basedOn w:val="DefaultParagraphFont"/>
    <w:uiPriority w:val="20"/>
    <w:qFormat/>
    <w:rsid w:val="00E01633"/>
    <w:rPr>
      <w:i/>
      <w:iCs/>
    </w:rPr>
  </w:style>
  <w:style w:type="table" w:styleId="TableGrid">
    <w:name w:val="Table Grid"/>
    <w:basedOn w:val="TableNormal"/>
    <w:uiPriority w:val="59"/>
    <w:rsid w:val="00523E4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A1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132">
      <w:bodyDiv w:val="1"/>
      <w:marLeft w:val="0"/>
      <w:marRight w:val="0"/>
      <w:marTop w:val="0"/>
      <w:marBottom w:val="0"/>
      <w:divBdr>
        <w:top w:val="none" w:sz="0" w:space="0" w:color="auto"/>
        <w:left w:val="none" w:sz="0" w:space="0" w:color="auto"/>
        <w:bottom w:val="none" w:sz="0" w:space="0" w:color="auto"/>
        <w:right w:val="none" w:sz="0" w:space="0" w:color="auto"/>
      </w:divBdr>
      <w:divsChild>
        <w:div w:id="670452241">
          <w:marLeft w:val="0"/>
          <w:marRight w:val="0"/>
          <w:marTop w:val="0"/>
          <w:marBottom w:val="0"/>
          <w:divBdr>
            <w:top w:val="none" w:sz="0" w:space="0" w:color="auto"/>
            <w:left w:val="none" w:sz="0" w:space="0" w:color="auto"/>
            <w:bottom w:val="none" w:sz="0" w:space="0" w:color="auto"/>
            <w:right w:val="none" w:sz="0" w:space="0" w:color="auto"/>
          </w:divBdr>
        </w:div>
        <w:div w:id="167209912">
          <w:marLeft w:val="0"/>
          <w:marRight w:val="0"/>
          <w:marTop w:val="0"/>
          <w:marBottom w:val="0"/>
          <w:divBdr>
            <w:top w:val="none" w:sz="0" w:space="0" w:color="auto"/>
            <w:left w:val="none" w:sz="0" w:space="0" w:color="auto"/>
            <w:bottom w:val="none" w:sz="0" w:space="0" w:color="auto"/>
            <w:right w:val="none" w:sz="0" w:space="0" w:color="auto"/>
          </w:divBdr>
        </w:div>
        <w:div w:id="726412521">
          <w:marLeft w:val="0"/>
          <w:marRight w:val="0"/>
          <w:marTop w:val="0"/>
          <w:marBottom w:val="0"/>
          <w:divBdr>
            <w:top w:val="none" w:sz="0" w:space="0" w:color="auto"/>
            <w:left w:val="none" w:sz="0" w:space="0" w:color="auto"/>
            <w:bottom w:val="none" w:sz="0" w:space="0" w:color="auto"/>
            <w:right w:val="none" w:sz="0" w:space="0" w:color="auto"/>
          </w:divBdr>
        </w:div>
      </w:divsChild>
    </w:div>
    <w:div w:id="45839137">
      <w:bodyDiv w:val="1"/>
      <w:marLeft w:val="0"/>
      <w:marRight w:val="0"/>
      <w:marTop w:val="0"/>
      <w:marBottom w:val="0"/>
      <w:divBdr>
        <w:top w:val="none" w:sz="0" w:space="0" w:color="auto"/>
        <w:left w:val="none" w:sz="0" w:space="0" w:color="auto"/>
        <w:bottom w:val="none" w:sz="0" w:space="0" w:color="auto"/>
        <w:right w:val="none" w:sz="0" w:space="0" w:color="auto"/>
      </w:divBdr>
    </w:div>
    <w:div w:id="167984566">
      <w:bodyDiv w:val="1"/>
      <w:marLeft w:val="0"/>
      <w:marRight w:val="0"/>
      <w:marTop w:val="0"/>
      <w:marBottom w:val="0"/>
      <w:divBdr>
        <w:top w:val="none" w:sz="0" w:space="0" w:color="auto"/>
        <w:left w:val="none" w:sz="0" w:space="0" w:color="auto"/>
        <w:bottom w:val="none" w:sz="0" w:space="0" w:color="auto"/>
        <w:right w:val="none" w:sz="0" w:space="0" w:color="auto"/>
      </w:divBdr>
    </w:div>
    <w:div w:id="179586713">
      <w:bodyDiv w:val="1"/>
      <w:marLeft w:val="0"/>
      <w:marRight w:val="0"/>
      <w:marTop w:val="0"/>
      <w:marBottom w:val="0"/>
      <w:divBdr>
        <w:top w:val="none" w:sz="0" w:space="0" w:color="auto"/>
        <w:left w:val="none" w:sz="0" w:space="0" w:color="auto"/>
        <w:bottom w:val="none" w:sz="0" w:space="0" w:color="auto"/>
        <w:right w:val="none" w:sz="0" w:space="0" w:color="auto"/>
      </w:divBdr>
    </w:div>
    <w:div w:id="185799493">
      <w:bodyDiv w:val="1"/>
      <w:marLeft w:val="0"/>
      <w:marRight w:val="0"/>
      <w:marTop w:val="0"/>
      <w:marBottom w:val="0"/>
      <w:divBdr>
        <w:top w:val="none" w:sz="0" w:space="0" w:color="auto"/>
        <w:left w:val="none" w:sz="0" w:space="0" w:color="auto"/>
        <w:bottom w:val="none" w:sz="0" w:space="0" w:color="auto"/>
        <w:right w:val="none" w:sz="0" w:space="0" w:color="auto"/>
      </w:divBdr>
    </w:div>
    <w:div w:id="283737849">
      <w:bodyDiv w:val="1"/>
      <w:marLeft w:val="0"/>
      <w:marRight w:val="0"/>
      <w:marTop w:val="0"/>
      <w:marBottom w:val="0"/>
      <w:divBdr>
        <w:top w:val="none" w:sz="0" w:space="0" w:color="auto"/>
        <w:left w:val="none" w:sz="0" w:space="0" w:color="auto"/>
        <w:bottom w:val="none" w:sz="0" w:space="0" w:color="auto"/>
        <w:right w:val="none" w:sz="0" w:space="0" w:color="auto"/>
      </w:divBdr>
    </w:div>
    <w:div w:id="435290896">
      <w:bodyDiv w:val="1"/>
      <w:marLeft w:val="0"/>
      <w:marRight w:val="0"/>
      <w:marTop w:val="0"/>
      <w:marBottom w:val="0"/>
      <w:divBdr>
        <w:top w:val="none" w:sz="0" w:space="0" w:color="auto"/>
        <w:left w:val="none" w:sz="0" w:space="0" w:color="auto"/>
        <w:bottom w:val="none" w:sz="0" w:space="0" w:color="auto"/>
        <w:right w:val="none" w:sz="0" w:space="0" w:color="auto"/>
      </w:divBdr>
    </w:div>
    <w:div w:id="467865252">
      <w:bodyDiv w:val="1"/>
      <w:marLeft w:val="0"/>
      <w:marRight w:val="0"/>
      <w:marTop w:val="0"/>
      <w:marBottom w:val="0"/>
      <w:divBdr>
        <w:top w:val="none" w:sz="0" w:space="0" w:color="auto"/>
        <w:left w:val="none" w:sz="0" w:space="0" w:color="auto"/>
        <w:bottom w:val="none" w:sz="0" w:space="0" w:color="auto"/>
        <w:right w:val="none" w:sz="0" w:space="0" w:color="auto"/>
      </w:divBdr>
    </w:div>
    <w:div w:id="656152466">
      <w:bodyDiv w:val="1"/>
      <w:marLeft w:val="0"/>
      <w:marRight w:val="0"/>
      <w:marTop w:val="0"/>
      <w:marBottom w:val="0"/>
      <w:divBdr>
        <w:top w:val="none" w:sz="0" w:space="0" w:color="auto"/>
        <w:left w:val="none" w:sz="0" w:space="0" w:color="auto"/>
        <w:bottom w:val="none" w:sz="0" w:space="0" w:color="auto"/>
        <w:right w:val="none" w:sz="0" w:space="0" w:color="auto"/>
      </w:divBdr>
    </w:div>
    <w:div w:id="700201243">
      <w:bodyDiv w:val="1"/>
      <w:marLeft w:val="0"/>
      <w:marRight w:val="0"/>
      <w:marTop w:val="0"/>
      <w:marBottom w:val="0"/>
      <w:divBdr>
        <w:top w:val="none" w:sz="0" w:space="0" w:color="auto"/>
        <w:left w:val="none" w:sz="0" w:space="0" w:color="auto"/>
        <w:bottom w:val="none" w:sz="0" w:space="0" w:color="auto"/>
        <w:right w:val="none" w:sz="0" w:space="0" w:color="auto"/>
      </w:divBdr>
    </w:div>
    <w:div w:id="706567689">
      <w:bodyDiv w:val="1"/>
      <w:marLeft w:val="0"/>
      <w:marRight w:val="0"/>
      <w:marTop w:val="0"/>
      <w:marBottom w:val="0"/>
      <w:divBdr>
        <w:top w:val="none" w:sz="0" w:space="0" w:color="auto"/>
        <w:left w:val="none" w:sz="0" w:space="0" w:color="auto"/>
        <w:bottom w:val="none" w:sz="0" w:space="0" w:color="auto"/>
        <w:right w:val="none" w:sz="0" w:space="0" w:color="auto"/>
      </w:divBdr>
    </w:div>
    <w:div w:id="850678508">
      <w:bodyDiv w:val="1"/>
      <w:marLeft w:val="0"/>
      <w:marRight w:val="0"/>
      <w:marTop w:val="0"/>
      <w:marBottom w:val="0"/>
      <w:divBdr>
        <w:top w:val="none" w:sz="0" w:space="0" w:color="auto"/>
        <w:left w:val="none" w:sz="0" w:space="0" w:color="auto"/>
        <w:bottom w:val="none" w:sz="0" w:space="0" w:color="auto"/>
        <w:right w:val="none" w:sz="0" w:space="0" w:color="auto"/>
      </w:divBdr>
      <w:divsChild>
        <w:div w:id="877819915">
          <w:marLeft w:val="0"/>
          <w:marRight w:val="0"/>
          <w:marTop w:val="0"/>
          <w:marBottom w:val="0"/>
          <w:divBdr>
            <w:top w:val="none" w:sz="0" w:space="0" w:color="auto"/>
            <w:left w:val="none" w:sz="0" w:space="0" w:color="auto"/>
            <w:bottom w:val="none" w:sz="0" w:space="0" w:color="auto"/>
            <w:right w:val="none" w:sz="0" w:space="0" w:color="auto"/>
          </w:divBdr>
        </w:div>
        <w:div w:id="1754816121">
          <w:marLeft w:val="0"/>
          <w:marRight w:val="0"/>
          <w:marTop w:val="0"/>
          <w:marBottom w:val="0"/>
          <w:divBdr>
            <w:top w:val="none" w:sz="0" w:space="0" w:color="auto"/>
            <w:left w:val="none" w:sz="0" w:space="0" w:color="auto"/>
            <w:bottom w:val="none" w:sz="0" w:space="0" w:color="auto"/>
            <w:right w:val="none" w:sz="0" w:space="0" w:color="auto"/>
          </w:divBdr>
        </w:div>
        <w:div w:id="1856141819">
          <w:marLeft w:val="0"/>
          <w:marRight w:val="0"/>
          <w:marTop w:val="0"/>
          <w:marBottom w:val="0"/>
          <w:divBdr>
            <w:top w:val="none" w:sz="0" w:space="0" w:color="auto"/>
            <w:left w:val="none" w:sz="0" w:space="0" w:color="auto"/>
            <w:bottom w:val="none" w:sz="0" w:space="0" w:color="auto"/>
            <w:right w:val="none" w:sz="0" w:space="0" w:color="auto"/>
          </w:divBdr>
        </w:div>
      </w:divsChild>
    </w:div>
    <w:div w:id="946424601">
      <w:bodyDiv w:val="1"/>
      <w:marLeft w:val="0"/>
      <w:marRight w:val="0"/>
      <w:marTop w:val="0"/>
      <w:marBottom w:val="0"/>
      <w:divBdr>
        <w:top w:val="none" w:sz="0" w:space="0" w:color="auto"/>
        <w:left w:val="none" w:sz="0" w:space="0" w:color="auto"/>
        <w:bottom w:val="none" w:sz="0" w:space="0" w:color="auto"/>
        <w:right w:val="none" w:sz="0" w:space="0" w:color="auto"/>
      </w:divBdr>
    </w:div>
    <w:div w:id="1000423755">
      <w:bodyDiv w:val="1"/>
      <w:marLeft w:val="0"/>
      <w:marRight w:val="0"/>
      <w:marTop w:val="0"/>
      <w:marBottom w:val="0"/>
      <w:divBdr>
        <w:top w:val="none" w:sz="0" w:space="0" w:color="auto"/>
        <w:left w:val="none" w:sz="0" w:space="0" w:color="auto"/>
        <w:bottom w:val="none" w:sz="0" w:space="0" w:color="auto"/>
        <w:right w:val="none" w:sz="0" w:space="0" w:color="auto"/>
      </w:divBdr>
      <w:divsChild>
        <w:div w:id="548108575">
          <w:marLeft w:val="0"/>
          <w:marRight w:val="0"/>
          <w:marTop w:val="0"/>
          <w:marBottom w:val="0"/>
          <w:divBdr>
            <w:top w:val="none" w:sz="0" w:space="0" w:color="auto"/>
            <w:left w:val="none" w:sz="0" w:space="0" w:color="auto"/>
            <w:bottom w:val="none" w:sz="0" w:space="0" w:color="auto"/>
            <w:right w:val="none" w:sz="0" w:space="0" w:color="auto"/>
          </w:divBdr>
        </w:div>
        <w:div w:id="1367369477">
          <w:marLeft w:val="0"/>
          <w:marRight w:val="0"/>
          <w:marTop w:val="0"/>
          <w:marBottom w:val="0"/>
          <w:divBdr>
            <w:top w:val="none" w:sz="0" w:space="0" w:color="auto"/>
            <w:left w:val="none" w:sz="0" w:space="0" w:color="auto"/>
            <w:bottom w:val="none" w:sz="0" w:space="0" w:color="auto"/>
            <w:right w:val="none" w:sz="0" w:space="0" w:color="auto"/>
          </w:divBdr>
        </w:div>
        <w:div w:id="1107970513">
          <w:marLeft w:val="0"/>
          <w:marRight w:val="0"/>
          <w:marTop w:val="0"/>
          <w:marBottom w:val="0"/>
          <w:divBdr>
            <w:top w:val="none" w:sz="0" w:space="0" w:color="auto"/>
            <w:left w:val="none" w:sz="0" w:space="0" w:color="auto"/>
            <w:bottom w:val="none" w:sz="0" w:space="0" w:color="auto"/>
            <w:right w:val="none" w:sz="0" w:space="0" w:color="auto"/>
          </w:divBdr>
        </w:div>
        <w:div w:id="1959019668">
          <w:marLeft w:val="0"/>
          <w:marRight w:val="0"/>
          <w:marTop w:val="0"/>
          <w:marBottom w:val="0"/>
          <w:divBdr>
            <w:top w:val="none" w:sz="0" w:space="0" w:color="auto"/>
            <w:left w:val="none" w:sz="0" w:space="0" w:color="auto"/>
            <w:bottom w:val="none" w:sz="0" w:space="0" w:color="auto"/>
            <w:right w:val="none" w:sz="0" w:space="0" w:color="auto"/>
          </w:divBdr>
        </w:div>
        <w:div w:id="1870683804">
          <w:marLeft w:val="0"/>
          <w:marRight w:val="0"/>
          <w:marTop w:val="0"/>
          <w:marBottom w:val="0"/>
          <w:divBdr>
            <w:top w:val="none" w:sz="0" w:space="0" w:color="auto"/>
            <w:left w:val="none" w:sz="0" w:space="0" w:color="auto"/>
            <w:bottom w:val="none" w:sz="0" w:space="0" w:color="auto"/>
            <w:right w:val="none" w:sz="0" w:space="0" w:color="auto"/>
          </w:divBdr>
        </w:div>
        <w:div w:id="764500677">
          <w:marLeft w:val="0"/>
          <w:marRight w:val="0"/>
          <w:marTop w:val="0"/>
          <w:marBottom w:val="0"/>
          <w:divBdr>
            <w:top w:val="none" w:sz="0" w:space="0" w:color="auto"/>
            <w:left w:val="none" w:sz="0" w:space="0" w:color="auto"/>
            <w:bottom w:val="none" w:sz="0" w:space="0" w:color="auto"/>
            <w:right w:val="none" w:sz="0" w:space="0" w:color="auto"/>
          </w:divBdr>
        </w:div>
        <w:div w:id="1330406180">
          <w:marLeft w:val="0"/>
          <w:marRight w:val="0"/>
          <w:marTop w:val="0"/>
          <w:marBottom w:val="0"/>
          <w:divBdr>
            <w:top w:val="none" w:sz="0" w:space="0" w:color="auto"/>
            <w:left w:val="none" w:sz="0" w:space="0" w:color="auto"/>
            <w:bottom w:val="none" w:sz="0" w:space="0" w:color="auto"/>
            <w:right w:val="none" w:sz="0" w:space="0" w:color="auto"/>
          </w:divBdr>
        </w:div>
        <w:div w:id="322634089">
          <w:marLeft w:val="0"/>
          <w:marRight w:val="0"/>
          <w:marTop w:val="0"/>
          <w:marBottom w:val="0"/>
          <w:divBdr>
            <w:top w:val="none" w:sz="0" w:space="0" w:color="auto"/>
            <w:left w:val="none" w:sz="0" w:space="0" w:color="auto"/>
            <w:bottom w:val="none" w:sz="0" w:space="0" w:color="auto"/>
            <w:right w:val="none" w:sz="0" w:space="0" w:color="auto"/>
          </w:divBdr>
        </w:div>
        <w:div w:id="879706413">
          <w:marLeft w:val="0"/>
          <w:marRight w:val="0"/>
          <w:marTop w:val="0"/>
          <w:marBottom w:val="0"/>
          <w:divBdr>
            <w:top w:val="none" w:sz="0" w:space="0" w:color="auto"/>
            <w:left w:val="none" w:sz="0" w:space="0" w:color="auto"/>
            <w:bottom w:val="none" w:sz="0" w:space="0" w:color="auto"/>
            <w:right w:val="none" w:sz="0" w:space="0" w:color="auto"/>
          </w:divBdr>
        </w:div>
        <w:div w:id="1758789858">
          <w:marLeft w:val="0"/>
          <w:marRight w:val="0"/>
          <w:marTop w:val="0"/>
          <w:marBottom w:val="0"/>
          <w:divBdr>
            <w:top w:val="none" w:sz="0" w:space="0" w:color="auto"/>
            <w:left w:val="none" w:sz="0" w:space="0" w:color="auto"/>
            <w:bottom w:val="none" w:sz="0" w:space="0" w:color="auto"/>
            <w:right w:val="none" w:sz="0" w:space="0" w:color="auto"/>
          </w:divBdr>
        </w:div>
        <w:div w:id="1734811375">
          <w:marLeft w:val="0"/>
          <w:marRight w:val="0"/>
          <w:marTop w:val="0"/>
          <w:marBottom w:val="0"/>
          <w:divBdr>
            <w:top w:val="none" w:sz="0" w:space="0" w:color="auto"/>
            <w:left w:val="none" w:sz="0" w:space="0" w:color="auto"/>
            <w:bottom w:val="none" w:sz="0" w:space="0" w:color="auto"/>
            <w:right w:val="none" w:sz="0" w:space="0" w:color="auto"/>
          </w:divBdr>
        </w:div>
      </w:divsChild>
    </w:div>
    <w:div w:id="1025405601">
      <w:bodyDiv w:val="1"/>
      <w:marLeft w:val="0"/>
      <w:marRight w:val="0"/>
      <w:marTop w:val="0"/>
      <w:marBottom w:val="0"/>
      <w:divBdr>
        <w:top w:val="none" w:sz="0" w:space="0" w:color="auto"/>
        <w:left w:val="none" w:sz="0" w:space="0" w:color="auto"/>
        <w:bottom w:val="none" w:sz="0" w:space="0" w:color="auto"/>
        <w:right w:val="none" w:sz="0" w:space="0" w:color="auto"/>
      </w:divBdr>
    </w:div>
    <w:div w:id="1083601701">
      <w:bodyDiv w:val="1"/>
      <w:marLeft w:val="0"/>
      <w:marRight w:val="0"/>
      <w:marTop w:val="0"/>
      <w:marBottom w:val="0"/>
      <w:divBdr>
        <w:top w:val="none" w:sz="0" w:space="0" w:color="auto"/>
        <w:left w:val="none" w:sz="0" w:space="0" w:color="auto"/>
        <w:bottom w:val="none" w:sz="0" w:space="0" w:color="auto"/>
        <w:right w:val="none" w:sz="0" w:space="0" w:color="auto"/>
      </w:divBdr>
    </w:div>
    <w:div w:id="1202520292">
      <w:bodyDiv w:val="1"/>
      <w:marLeft w:val="0"/>
      <w:marRight w:val="0"/>
      <w:marTop w:val="0"/>
      <w:marBottom w:val="0"/>
      <w:divBdr>
        <w:top w:val="none" w:sz="0" w:space="0" w:color="auto"/>
        <w:left w:val="none" w:sz="0" w:space="0" w:color="auto"/>
        <w:bottom w:val="none" w:sz="0" w:space="0" w:color="auto"/>
        <w:right w:val="none" w:sz="0" w:space="0" w:color="auto"/>
      </w:divBdr>
    </w:div>
    <w:div w:id="1206600196">
      <w:bodyDiv w:val="1"/>
      <w:marLeft w:val="0"/>
      <w:marRight w:val="0"/>
      <w:marTop w:val="0"/>
      <w:marBottom w:val="0"/>
      <w:divBdr>
        <w:top w:val="none" w:sz="0" w:space="0" w:color="auto"/>
        <w:left w:val="none" w:sz="0" w:space="0" w:color="auto"/>
        <w:bottom w:val="none" w:sz="0" w:space="0" w:color="auto"/>
        <w:right w:val="none" w:sz="0" w:space="0" w:color="auto"/>
      </w:divBdr>
      <w:divsChild>
        <w:div w:id="1780681113">
          <w:marLeft w:val="547"/>
          <w:marRight w:val="0"/>
          <w:marTop w:val="96"/>
          <w:marBottom w:val="0"/>
          <w:divBdr>
            <w:top w:val="none" w:sz="0" w:space="0" w:color="auto"/>
            <w:left w:val="none" w:sz="0" w:space="0" w:color="auto"/>
            <w:bottom w:val="none" w:sz="0" w:space="0" w:color="auto"/>
            <w:right w:val="none" w:sz="0" w:space="0" w:color="auto"/>
          </w:divBdr>
        </w:div>
        <w:div w:id="1168863253">
          <w:marLeft w:val="547"/>
          <w:marRight w:val="0"/>
          <w:marTop w:val="86"/>
          <w:marBottom w:val="0"/>
          <w:divBdr>
            <w:top w:val="none" w:sz="0" w:space="0" w:color="auto"/>
            <w:left w:val="none" w:sz="0" w:space="0" w:color="auto"/>
            <w:bottom w:val="none" w:sz="0" w:space="0" w:color="auto"/>
            <w:right w:val="none" w:sz="0" w:space="0" w:color="auto"/>
          </w:divBdr>
        </w:div>
        <w:div w:id="940841136">
          <w:marLeft w:val="547"/>
          <w:marRight w:val="0"/>
          <w:marTop w:val="86"/>
          <w:marBottom w:val="0"/>
          <w:divBdr>
            <w:top w:val="none" w:sz="0" w:space="0" w:color="auto"/>
            <w:left w:val="none" w:sz="0" w:space="0" w:color="auto"/>
            <w:bottom w:val="none" w:sz="0" w:space="0" w:color="auto"/>
            <w:right w:val="none" w:sz="0" w:space="0" w:color="auto"/>
          </w:divBdr>
        </w:div>
        <w:div w:id="1118717019">
          <w:marLeft w:val="547"/>
          <w:marRight w:val="0"/>
          <w:marTop w:val="86"/>
          <w:marBottom w:val="0"/>
          <w:divBdr>
            <w:top w:val="none" w:sz="0" w:space="0" w:color="auto"/>
            <w:left w:val="none" w:sz="0" w:space="0" w:color="auto"/>
            <w:bottom w:val="none" w:sz="0" w:space="0" w:color="auto"/>
            <w:right w:val="none" w:sz="0" w:space="0" w:color="auto"/>
          </w:divBdr>
        </w:div>
        <w:div w:id="1643536016">
          <w:marLeft w:val="547"/>
          <w:marRight w:val="0"/>
          <w:marTop w:val="86"/>
          <w:marBottom w:val="0"/>
          <w:divBdr>
            <w:top w:val="none" w:sz="0" w:space="0" w:color="auto"/>
            <w:left w:val="none" w:sz="0" w:space="0" w:color="auto"/>
            <w:bottom w:val="none" w:sz="0" w:space="0" w:color="auto"/>
            <w:right w:val="none" w:sz="0" w:space="0" w:color="auto"/>
          </w:divBdr>
        </w:div>
        <w:div w:id="868176752">
          <w:marLeft w:val="547"/>
          <w:marRight w:val="0"/>
          <w:marTop w:val="86"/>
          <w:marBottom w:val="0"/>
          <w:divBdr>
            <w:top w:val="none" w:sz="0" w:space="0" w:color="auto"/>
            <w:left w:val="none" w:sz="0" w:space="0" w:color="auto"/>
            <w:bottom w:val="none" w:sz="0" w:space="0" w:color="auto"/>
            <w:right w:val="none" w:sz="0" w:space="0" w:color="auto"/>
          </w:divBdr>
        </w:div>
        <w:div w:id="1012799528">
          <w:marLeft w:val="547"/>
          <w:marRight w:val="0"/>
          <w:marTop w:val="86"/>
          <w:marBottom w:val="0"/>
          <w:divBdr>
            <w:top w:val="none" w:sz="0" w:space="0" w:color="auto"/>
            <w:left w:val="none" w:sz="0" w:space="0" w:color="auto"/>
            <w:bottom w:val="none" w:sz="0" w:space="0" w:color="auto"/>
            <w:right w:val="none" w:sz="0" w:space="0" w:color="auto"/>
          </w:divBdr>
        </w:div>
      </w:divsChild>
    </w:div>
    <w:div w:id="1307247344">
      <w:bodyDiv w:val="1"/>
      <w:marLeft w:val="0"/>
      <w:marRight w:val="0"/>
      <w:marTop w:val="0"/>
      <w:marBottom w:val="0"/>
      <w:divBdr>
        <w:top w:val="none" w:sz="0" w:space="0" w:color="auto"/>
        <w:left w:val="none" w:sz="0" w:space="0" w:color="auto"/>
        <w:bottom w:val="none" w:sz="0" w:space="0" w:color="auto"/>
        <w:right w:val="none" w:sz="0" w:space="0" w:color="auto"/>
      </w:divBdr>
    </w:div>
    <w:div w:id="1323119273">
      <w:bodyDiv w:val="1"/>
      <w:marLeft w:val="0"/>
      <w:marRight w:val="0"/>
      <w:marTop w:val="0"/>
      <w:marBottom w:val="0"/>
      <w:divBdr>
        <w:top w:val="none" w:sz="0" w:space="0" w:color="auto"/>
        <w:left w:val="none" w:sz="0" w:space="0" w:color="auto"/>
        <w:bottom w:val="none" w:sz="0" w:space="0" w:color="auto"/>
        <w:right w:val="none" w:sz="0" w:space="0" w:color="auto"/>
      </w:divBdr>
    </w:div>
    <w:div w:id="1381368244">
      <w:bodyDiv w:val="1"/>
      <w:marLeft w:val="0"/>
      <w:marRight w:val="0"/>
      <w:marTop w:val="0"/>
      <w:marBottom w:val="0"/>
      <w:divBdr>
        <w:top w:val="none" w:sz="0" w:space="0" w:color="auto"/>
        <w:left w:val="none" w:sz="0" w:space="0" w:color="auto"/>
        <w:bottom w:val="none" w:sz="0" w:space="0" w:color="auto"/>
        <w:right w:val="none" w:sz="0" w:space="0" w:color="auto"/>
      </w:divBdr>
    </w:div>
    <w:div w:id="1458257014">
      <w:bodyDiv w:val="1"/>
      <w:marLeft w:val="0"/>
      <w:marRight w:val="0"/>
      <w:marTop w:val="0"/>
      <w:marBottom w:val="0"/>
      <w:divBdr>
        <w:top w:val="none" w:sz="0" w:space="0" w:color="auto"/>
        <w:left w:val="none" w:sz="0" w:space="0" w:color="auto"/>
        <w:bottom w:val="none" w:sz="0" w:space="0" w:color="auto"/>
        <w:right w:val="none" w:sz="0" w:space="0" w:color="auto"/>
      </w:divBdr>
      <w:divsChild>
        <w:div w:id="1187523212">
          <w:marLeft w:val="2074"/>
          <w:marRight w:val="0"/>
          <w:marTop w:val="62"/>
          <w:marBottom w:val="0"/>
          <w:divBdr>
            <w:top w:val="none" w:sz="0" w:space="0" w:color="auto"/>
            <w:left w:val="none" w:sz="0" w:space="0" w:color="auto"/>
            <w:bottom w:val="none" w:sz="0" w:space="0" w:color="auto"/>
            <w:right w:val="none" w:sz="0" w:space="0" w:color="auto"/>
          </w:divBdr>
        </w:div>
        <w:div w:id="2098286990">
          <w:marLeft w:val="2074"/>
          <w:marRight w:val="0"/>
          <w:marTop w:val="62"/>
          <w:marBottom w:val="0"/>
          <w:divBdr>
            <w:top w:val="none" w:sz="0" w:space="0" w:color="auto"/>
            <w:left w:val="none" w:sz="0" w:space="0" w:color="auto"/>
            <w:bottom w:val="none" w:sz="0" w:space="0" w:color="auto"/>
            <w:right w:val="none" w:sz="0" w:space="0" w:color="auto"/>
          </w:divBdr>
        </w:div>
        <w:div w:id="1294940459">
          <w:marLeft w:val="2074"/>
          <w:marRight w:val="0"/>
          <w:marTop w:val="62"/>
          <w:marBottom w:val="0"/>
          <w:divBdr>
            <w:top w:val="none" w:sz="0" w:space="0" w:color="auto"/>
            <w:left w:val="none" w:sz="0" w:space="0" w:color="auto"/>
            <w:bottom w:val="none" w:sz="0" w:space="0" w:color="auto"/>
            <w:right w:val="none" w:sz="0" w:space="0" w:color="auto"/>
          </w:divBdr>
        </w:div>
        <w:div w:id="757290957">
          <w:marLeft w:val="2074"/>
          <w:marRight w:val="0"/>
          <w:marTop w:val="62"/>
          <w:marBottom w:val="0"/>
          <w:divBdr>
            <w:top w:val="none" w:sz="0" w:space="0" w:color="auto"/>
            <w:left w:val="none" w:sz="0" w:space="0" w:color="auto"/>
            <w:bottom w:val="none" w:sz="0" w:space="0" w:color="auto"/>
            <w:right w:val="none" w:sz="0" w:space="0" w:color="auto"/>
          </w:divBdr>
        </w:div>
        <w:div w:id="1636063776">
          <w:marLeft w:val="2074"/>
          <w:marRight w:val="0"/>
          <w:marTop w:val="62"/>
          <w:marBottom w:val="0"/>
          <w:divBdr>
            <w:top w:val="none" w:sz="0" w:space="0" w:color="auto"/>
            <w:left w:val="none" w:sz="0" w:space="0" w:color="auto"/>
            <w:bottom w:val="none" w:sz="0" w:space="0" w:color="auto"/>
            <w:right w:val="none" w:sz="0" w:space="0" w:color="auto"/>
          </w:divBdr>
        </w:div>
        <w:div w:id="2017610870">
          <w:marLeft w:val="2074"/>
          <w:marRight w:val="0"/>
          <w:marTop w:val="62"/>
          <w:marBottom w:val="0"/>
          <w:divBdr>
            <w:top w:val="none" w:sz="0" w:space="0" w:color="auto"/>
            <w:left w:val="none" w:sz="0" w:space="0" w:color="auto"/>
            <w:bottom w:val="none" w:sz="0" w:space="0" w:color="auto"/>
            <w:right w:val="none" w:sz="0" w:space="0" w:color="auto"/>
          </w:divBdr>
        </w:div>
      </w:divsChild>
    </w:div>
    <w:div w:id="1465275452">
      <w:bodyDiv w:val="1"/>
      <w:marLeft w:val="0"/>
      <w:marRight w:val="0"/>
      <w:marTop w:val="0"/>
      <w:marBottom w:val="0"/>
      <w:divBdr>
        <w:top w:val="none" w:sz="0" w:space="0" w:color="auto"/>
        <w:left w:val="none" w:sz="0" w:space="0" w:color="auto"/>
        <w:bottom w:val="none" w:sz="0" w:space="0" w:color="auto"/>
        <w:right w:val="none" w:sz="0" w:space="0" w:color="auto"/>
      </w:divBdr>
      <w:divsChild>
        <w:div w:id="1191918474">
          <w:marLeft w:val="0"/>
          <w:marRight w:val="0"/>
          <w:marTop w:val="0"/>
          <w:marBottom w:val="0"/>
          <w:divBdr>
            <w:top w:val="none" w:sz="0" w:space="0" w:color="auto"/>
            <w:left w:val="none" w:sz="0" w:space="0" w:color="auto"/>
            <w:bottom w:val="none" w:sz="0" w:space="0" w:color="auto"/>
            <w:right w:val="none" w:sz="0" w:space="0" w:color="auto"/>
          </w:divBdr>
        </w:div>
        <w:div w:id="654455744">
          <w:marLeft w:val="0"/>
          <w:marRight w:val="0"/>
          <w:marTop w:val="0"/>
          <w:marBottom w:val="0"/>
          <w:divBdr>
            <w:top w:val="none" w:sz="0" w:space="0" w:color="auto"/>
            <w:left w:val="none" w:sz="0" w:space="0" w:color="auto"/>
            <w:bottom w:val="none" w:sz="0" w:space="0" w:color="auto"/>
            <w:right w:val="none" w:sz="0" w:space="0" w:color="auto"/>
          </w:divBdr>
        </w:div>
        <w:div w:id="1471705730">
          <w:marLeft w:val="0"/>
          <w:marRight w:val="0"/>
          <w:marTop w:val="0"/>
          <w:marBottom w:val="0"/>
          <w:divBdr>
            <w:top w:val="none" w:sz="0" w:space="0" w:color="auto"/>
            <w:left w:val="none" w:sz="0" w:space="0" w:color="auto"/>
            <w:bottom w:val="none" w:sz="0" w:space="0" w:color="auto"/>
            <w:right w:val="none" w:sz="0" w:space="0" w:color="auto"/>
          </w:divBdr>
        </w:div>
        <w:div w:id="431516608">
          <w:marLeft w:val="0"/>
          <w:marRight w:val="0"/>
          <w:marTop w:val="0"/>
          <w:marBottom w:val="0"/>
          <w:divBdr>
            <w:top w:val="none" w:sz="0" w:space="0" w:color="auto"/>
            <w:left w:val="none" w:sz="0" w:space="0" w:color="auto"/>
            <w:bottom w:val="none" w:sz="0" w:space="0" w:color="auto"/>
            <w:right w:val="none" w:sz="0" w:space="0" w:color="auto"/>
          </w:divBdr>
        </w:div>
        <w:div w:id="1145976825">
          <w:marLeft w:val="0"/>
          <w:marRight w:val="0"/>
          <w:marTop w:val="0"/>
          <w:marBottom w:val="0"/>
          <w:divBdr>
            <w:top w:val="none" w:sz="0" w:space="0" w:color="auto"/>
            <w:left w:val="none" w:sz="0" w:space="0" w:color="auto"/>
            <w:bottom w:val="none" w:sz="0" w:space="0" w:color="auto"/>
            <w:right w:val="none" w:sz="0" w:space="0" w:color="auto"/>
          </w:divBdr>
        </w:div>
        <w:div w:id="1635715389">
          <w:marLeft w:val="0"/>
          <w:marRight w:val="0"/>
          <w:marTop w:val="0"/>
          <w:marBottom w:val="0"/>
          <w:divBdr>
            <w:top w:val="none" w:sz="0" w:space="0" w:color="auto"/>
            <w:left w:val="none" w:sz="0" w:space="0" w:color="auto"/>
            <w:bottom w:val="none" w:sz="0" w:space="0" w:color="auto"/>
            <w:right w:val="none" w:sz="0" w:space="0" w:color="auto"/>
          </w:divBdr>
        </w:div>
        <w:div w:id="2117015606">
          <w:marLeft w:val="0"/>
          <w:marRight w:val="0"/>
          <w:marTop w:val="0"/>
          <w:marBottom w:val="0"/>
          <w:divBdr>
            <w:top w:val="none" w:sz="0" w:space="0" w:color="auto"/>
            <w:left w:val="none" w:sz="0" w:space="0" w:color="auto"/>
            <w:bottom w:val="none" w:sz="0" w:space="0" w:color="auto"/>
            <w:right w:val="none" w:sz="0" w:space="0" w:color="auto"/>
          </w:divBdr>
        </w:div>
        <w:div w:id="1284533578">
          <w:marLeft w:val="0"/>
          <w:marRight w:val="0"/>
          <w:marTop w:val="0"/>
          <w:marBottom w:val="0"/>
          <w:divBdr>
            <w:top w:val="none" w:sz="0" w:space="0" w:color="auto"/>
            <w:left w:val="none" w:sz="0" w:space="0" w:color="auto"/>
            <w:bottom w:val="none" w:sz="0" w:space="0" w:color="auto"/>
            <w:right w:val="none" w:sz="0" w:space="0" w:color="auto"/>
          </w:divBdr>
        </w:div>
        <w:div w:id="1471053510">
          <w:marLeft w:val="0"/>
          <w:marRight w:val="0"/>
          <w:marTop w:val="0"/>
          <w:marBottom w:val="0"/>
          <w:divBdr>
            <w:top w:val="none" w:sz="0" w:space="0" w:color="auto"/>
            <w:left w:val="none" w:sz="0" w:space="0" w:color="auto"/>
            <w:bottom w:val="none" w:sz="0" w:space="0" w:color="auto"/>
            <w:right w:val="none" w:sz="0" w:space="0" w:color="auto"/>
          </w:divBdr>
        </w:div>
        <w:div w:id="238947015">
          <w:marLeft w:val="0"/>
          <w:marRight w:val="0"/>
          <w:marTop w:val="0"/>
          <w:marBottom w:val="0"/>
          <w:divBdr>
            <w:top w:val="none" w:sz="0" w:space="0" w:color="auto"/>
            <w:left w:val="none" w:sz="0" w:space="0" w:color="auto"/>
            <w:bottom w:val="none" w:sz="0" w:space="0" w:color="auto"/>
            <w:right w:val="none" w:sz="0" w:space="0" w:color="auto"/>
          </w:divBdr>
        </w:div>
        <w:div w:id="1959139926">
          <w:marLeft w:val="0"/>
          <w:marRight w:val="0"/>
          <w:marTop w:val="0"/>
          <w:marBottom w:val="0"/>
          <w:divBdr>
            <w:top w:val="none" w:sz="0" w:space="0" w:color="auto"/>
            <w:left w:val="none" w:sz="0" w:space="0" w:color="auto"/>
            <w:bottom w:val="none" w:sz="0" w:space="0" w:color="auto"/>
            <w:right w:val="none" w:sz="0" w:space="0" w:color="auto"/>
          </w:divBdr>
        </w:div>
        <w:div w:id="1451125767">
          <w:marLeft w:val="0"/>
          <w:marRight w:val="0"/>
          <w:marTop w:val="0"/>
          <w:marBottom w:val="0"/>
          <w:divBdr>
            <w:top w:val="none" w:sz="0" w:space="0" w:color="auto"/>
            <w:left w:val="none" w:sz="0" w:space="0" w:color="auto"/>
            <w:bottom w:val="none" w:sz="0" w:space="0" w:color="auto"/>
            <w:right w:val="none" w:sz="0" w:space="0" w:color="auto"/>
          </w:divBdr>
        </w:div>
        <w:div w:id="1573196878">
          <w:marLeft w:val="0"/>
          <w:marRight w:val="0"/>
          <w:marTop w:val="0"/>
          <w:marBottom w:val="0"/>
          <w:divBdr>
            <w:top w:val="none" w:sz="0" w:space="0" w:color="auto"/>
            <w:left w:val="none" w:sz="0" w:space="0" w:color="auto"/>
            <w:bottom w:val="none" w:sz="0" w:space="0" w:color="auto"/>
            <w:right w:val="none" w:sz="0" w:space="0" w:color="auto"/>
          </w:divBdr>
        </w:div>
        <w:div w:id="355732898">
          <w:marLeft w:val="0"/>
          <w:marRight w:val="0"/>
          <w:marTop w:val="0"/>
          <w:marBottom w:val="0"/>
          <w:divBdr>
            <w:top w:val="none" w:sz="0" w:space="0" w:color="auto"/>
            <w:left w:val="none" w:sz="0" w:space="0" w:color="auto"/>
            <w:bottom w:val="none" w:sz="0" w:space="0" w:color="auto"/>
            <w:right w:val="none" w:sz="0" w:space="0" w:color="auto"/>
          </w:divBdr>
        </w:div>
        <w:div w:id="84420423">
          <w:marLeft w:val="0"/>
          <w:marRight w:val="0"/>
          <w:marTop w:val="0"/>
          <w:marBottom w:val="0"/>
          <w:divBdr>
            <w:top w:val="none" w:sz="0" w:space="0" w:color="auto"/>
            <w:left w:val="none" w:sz="0" w:space="0" w:color="auto"/>
            <w:bottom w:val="none" w:sz="0" w:space="0" w:color="auto"/>
            <w:right w:val="none" w:sz="0" w:space="0" w:color="auto"/>
          </w:divBdr>
        </w:div>
        <w:div w:id="1750808666">
          <w:marLeft w:val="0"/>
          <w:marRight w:val="0"/>
          <w:marTop w:val="0"/>
          <w:marBottom w:val="0"/>
          <w:divBdr>
            <w:top w:val="none" w:sz="0" w:space="0" w:color="auto"/>
            <w:left w:val="none" w:sz="0" w:space="0" w:color="auto"/>
            <w:bottom w:val="none" w:sz="0" w:space="0" w:color="auto"/>
            <w:right w:val="none" w:sz="0" w:space="0" w:color="auto"/>
          </w:divBdr>
        </w:div>
        <w:div w:id="1605533146">
          <w:marLeft w:val="0"/>
          <w:marRight w:val="0"/>
          <w:marTop w:val="0"/>
          <w:marBottom w:val="0"/>
          <w:divBdr>
            <w:top w:val="none" w:sz="0" w:space="0" w:color="auto"/>
            <w:left w:val="none" w:sz="0" w:space="0" w:color="auto"/>
            <w:bottom w:val="none" w:sz="0" w:space="0" w:color="auto"/>
            <w:right w:val="none" w:sz="0" w:space="0" w:color="auto"/>
          </w:divBdr>
        </w:div>
        <w:div w:id="1308701491">
          <w:marLeft w:val="0"/>
          <w:marRight w:val="0"/>
          <w:marTop w:val="0"/>
          <w:marBottom w:val="0"/>
          <w:divBdr>
            <w:top w:val="none" w:sz="0" w:space="0" w:color="auto"/>
            <w:left w:val="none" w:sz="0" w:space="0" w:color="auto"/>
            <w:bottom w:val="none" w:sz="0" w:space="0" w:color="auto"/>
            <w:right w:val="none" w:sz="0" w:space="0" w:color="auto"/>
          </w:divBdr>
        </w:div>
        <w:div w:id="1184897645">
          <w:marLeft w:val="0"/>
          <w:marRight w:val="0"/>
          <w:marTop w:val="0"/>
          <w:marBottom w:val="0"/>
          <w:divBdr>
            <w:top w:val="none" w:sz="0" w:space="0" w:color="auto"/>
            <w:left w:val="none" w:sz="0" w:space="0" w:color="auto"/>
            <w:bottom w:val="none" w:sz="0" w:space="0" w:color="auto"/>
            <w:right w:val="none" w:sz="0" w:space="0" w:color="auto"/>
          </w:divBdr>
        </w:div>
        <w:div w:id="1320307022">
          <w:marLeft w:val="0"/>
          <w:marRight w:val="0"/>
          <w:marTop w:val="0"/>
          <w:marBottom w:val="0"/>
          <w:divBdr>
            <w:top w:val="none" w:sz="0" w:space="0" w:color="auto"/>
            <w:left w:val="none" w:sz="0" w:space="0" w:color="auto"/>
            <w:bottom w:val="none" w:sz="0" w:space="0" w:color="auto"/>
            <w:right w:val="none" w:sz="0" w:space="0" w:color="auto"/>
          </w:divBdr>
        </w:div>
        <w:div w:id="1612973912">
          <w:marLeft w:val="0"/>
          <w:marRight w:val="0"/>
          <w:marTop w:val="0"/>
          <w:marBottom w:val="0"/>
          <w:divBdr>
            <w:top w:val="none" w:sz="0" w:space="0" w:color="auto"/>
            <w:left w:val="none" w:sz="0" w:space="0" w:color="auto"/>
            <w:bottom w:val="none" w:sz="0" w:space="0" w:color="auto"/>
            <w:right w:val="none" w:sz="0" w:space="0" w:color="auto"/>
          </w:divBdr>
        </w:div>
      </w:divsChild>
    </w:div>
    <w:div w:id="1479037235">
      <w:bodyDiv w:val="1"/>
      <w:marLeft w:val="0"/>
      <w:marRight w:val="0"/>
      <w:marTop w:val="0"/>
      <w:marBottom w:val="0"/>
      <w:divBdr>
        <w:top w:val="none" w:sz="0" w:space="0" w:color="auto"/>
        <w:left w:val="none" w:sz="0" w:space="0" w:color="auto"/>
        <w:bottom w:val="none" w:sz="0" w:space="0" w:color="auto"/>
        <w:right w:val="none" w:sz="0" w:space="0" w:color="auto"/>
      </w:divBdr>
    </w:div>
    <w:div w:id="1533494624">
      <w:bodyDiv w:val="1"/>
      <w:marLeft w:val="0"/>
      <w:marRight w:val="0"/>
      <w:marTop w:val="0"/>
      <w:marBottom w:val="0"/>
      <w:divBdr>
        <w:top w:val="none" w:sz="0" w:space="0" w:color="auto"/>
        <w:left w:val="none" w:sz="0" w:space="0" w:color="auto"/>
        <w:bottom w:val="none" w:sz="0" w:space="0" w:color="auto"/>
        <w:right w:val="none" w:sz="0" w:space="0" w:color="auto"/>
      </w:divBdr>
      <w:divsChild>
        <w:div w:id="542523637">
          <w:marLeft w:val="0"/>
          <w:marRight w:val="0"/>
          <w:marTop w:val="0"/>
          <w:marBottom w:val="0"/>
          <w:divBdr>
            <w:top w:val="none" w:sz="0" w:space="0" w:color="auto"/>
            <w:left w:val="none" w:sz="0" w:space="0" w:color="auto"/>
            <w:bottom w:val="none" w:sz="0" w:space="0" w:color="auto"/>
            <w:right w:val="none" w:sz="0" w:space="0" w:color="auto"/>
          </w:divBdr>
          <w:divsChild>
            <w:div w:id="1930237804">
              <w:marLeft w:val="0"/>
              <w:marRight w:val="0"/>
              <w:marTop w:val="0"/>
              <w:marBottom w:val="0"/>
              <w:divBdr>
                <w:top w:val="none" w:sz="0" w:space="0" w:color="auto"/>
                <w:left w:val="none" w:sz="0" w:space="0" w:color="auto"/>
                <w:bottom w:val="none" w:sz="0" w:space="0" w:color="auto"/>
                <w:right w:val="none" w:sz="0" w:space="0" w:color="auto"/>
              </w:divBdr>
              <w:divsChild>
                <w:div w:id="1756397310">
                  <w:marLeft w:val="0"/>
                  <w:marRight w:val="0"/>
                  <w:marTop w:val="0"/>
                  <w:marBottom w:val="0"/>
                  <w:divBdr>
                    <w:top w:val="none" w:sz="0" w:space="0" w:color="auto"/>
                    <w:left w:val="none" w:sz="0" w:space="0" w:color="auto"/>
                    <w:bottom w:val="none" w:sz="0" w:space="0" w:color="auto"/>
                    <w:right w:val="none" w:sz="0" w:space="0" w:color="auto"/>
                  </w:divBdr>
                </w:div>
                <w:div w:id="38938333">
                  <w:marLeft w:val="0"/>
                  <w:marRight w:val="0"/>
                  <w:marTop w:val="0"/>
                  <w:marBottom w:val="0"/>
                  <w:divBdr>
                    <w:top w:val="none" w:sz="0" w:space="0" w:color="auto"/>
                    <w:left w:val="none" w:sz="0" w:space="0" w:color="auto"/>
                    <w:bottom w:val="none" w:sz="0" w:space="0" w:color="auto"/>
                    <w:right w:val="none" w:sz="0" w:space="0" w:color="auto"/>
                  </w:divBdr>
                </w:div>
                <w:div w:id="88698921">
                  <w:marLeft w:val="0"/>
                  <w:marRight w:val="0"/>
                  <w:marTop w:val="0"/>
                  <w:marBottom w:val="0"/>
                  <w:divBdr>
                    <w:top w:val="none" w:sz="0" w:space="0" w:color="auto"/>
                    <w:left w:val="none" w:sz="0" w:space="0" w:color="auto"/>
                    <w:bottom w:val="none" w:sz="0" w:space="0" w:color="auto"/>
                    <w:right w:val="none" w:sz="0" w:space="0" w:color="auto"/>
                  </w:divBdr>
                </w:div>
                <w:div w:id="112864338">
                  <w:marLeft w:val="0"/>
                  <w:marRight w:val="0"/>
                  <w:marTop w:val="0"/>
                  <w:marBottom w:val="0"/>
                  <w:divBdr>
                    <w:top w:val="none" w:sz="0" w:space="0" w:color="auto"/>
                    <w:left w:val="none" w:sz="0" w:space="0" w:color="auto"/>
                    <w:bottom w:val="none" w:sz="0" w:space="0" w:color="auto"/>
                    <w:right w:val="none" w:sz="0" w:space="0" w:color="auto"/>
                  </w:divBdr>
                </w:div>
                <w:div w:id="1587377649">
                  <w:marLeft w:val="0"/>
                  <w:marRight w:val="0"/>
                  <w:marTop w:val="0"/>
                  <w:marBottom w:val="0"/>
                  <w:divBdr>
                    <w:top w:val="none" w:sz="0" w:space="0" w:color="auto"/>
                    <w:left w:val="none" w:sz="0" w:space="0" w:color="auto"/>
                    <w:bottom w:val="none" w:sz="0" w:space="0" w:color="auto"/>
                    <w:right w:val="none" w:sz="0" w:space="0" w:color="auto"/>
                  </w:divBdr>
                </w:div>
                <w:div w:id="961304283">
                  <w:marLeft w:val="0"/>
                  <w:marRight w:val="0"/>
                  <w:marTop w:val="0"/>
                  <w:marBottom w:val="0"/>
                  <w:divBdr>
                    <w:top w:val="none" w:sz="0" w:space="0" w:color="auto"/>
                    <w:left w:val="none" w:sz="0" w:space="0" w:color="auto"/>
                    <w:bottom w:val="none" w:sz="0" w:space="0" w:color="auto"/>
                    <w:right w:val="none" w:sz="0" w:space="0" w:color="auto"/>
                  </w:divBdr>
                </w:div>
                <w:div w:id="735472642">
                  <w:marLeft w:val="0"/>
                  <w:marRight w:val="0"/>
                  <w:marTop w:val="0"/>
                  <w:marBottom w:val="0"/>
                  <w:divBdr>
                    <w:top w:val="none" w:sz="0" w:space="0" w:color="auto"/>
                    <w:left w:val="none" w:sz="0" w:space="0" w:color="auto"/>
                    <w:bottom w:val="none" w:sz="0" w:space="0" w:color="auto"/>
                    <w:right w:val="none" w:sz="0" w:space="0" w:color="auto"/>
                  </w:divBdr>
                </w:div>
                <w:div w:id="809981403">
                  <w:marLeft w:val="0"/>
                  <w:marRight w:val="0"/>
                  <w:marTop w:val="0"/>
                  <w:marBottom w:val="0"/>
                  <w:divBdr>
                    <w:top w:val="none" w:sz="0" w:space="0" w:color="auto"/>
                    <w:left w:val="none" w:sz="0" w:space="0" w:color="auto"/>
                    <w:bottom w:val="none" w:sz="0" w:space="0" w:color="auto"/>
                    <w:right w:val="none" w:sz="0" w:space="0" w:color="auto"/>
                  </w:divBdr>
                </w:div>
                <w:div w:id="1654483020">
                  <w:marLeft w:val="0"/>
                  <w:marRight w:val="0"/>
                  <w:marTop w:val="0"/>
                  <w:marBottom w:val="0"/>
                  <w:divBdr>
                    <w:top w:val="none" w:sz="0" w:space="0" w:color="auto"/>
                    <w:left w:val="none" w:sz="0" w:space="0" w:color="auto"/>
                    <w:bottom w:val="none" w:sz="0" w:space="0" w:color="auto"/>
                    <w:right w:val="none" w:sz="0" w:space="0" w:color="auto"/>
                  </w:divBdr>
                </w:div>
                <w:div w:id="1553467942">
                  <w:marLeft w:val="0"/>
                  <w:marRight w:val="0"/>
                  <w:marTop w:val="0"/>
                  <w:marBottom w:val="0"/>
                  <w:divBdr>
                    <w:top w:val="none" w:sz="0" w:space="0" w:color="auto"/>
                    <w:left w:val="none" w:sz="0" w:space="0" w:color="auto"/>
                    <w:bottom w:val="none" w:sz="0" w:space="0" w:color="auto"/>
                    <w:right w:val="none" w:sz="0" w:space="0" w:color="auto"/>
                  </w:divBdr>
                </w:div>
                <w:div w:id="1750467734">
                  <w:marLeft w:val="0"/>
                  <w:marRight w:val="0"/>
                  <w:marTop w:val="0"/>
                  <w:marBottom w:val="0"/>
                  <w:divBdr>
                    <w:top w:val="none" w:sz="0" w:space="0" w:color="auto"/>
                    <w:left w:val="none" w:sz="0" w:space="0" w:color="auto"/>
                    <w:bottom w:val="none" w:sz="0" w:space="0" w:color="auto"/>
                    <w:right w:val="none" w:sz="0" w:space="0" w:color="auto"/>
                  </w:divBdr>
                </w:div>
                <w:div w:id="2063938271">
                  <w:marLeft w:val="0"/>
                  <w:marRight w:val="0"/>
                  <w:marTop w:val="0"/>
                  <w:marBottom w:val="0"/>
                  <w:divBdr>
                    <w:top w:val="none" w:sz="0" w:space="0" w:color="auto"/>
                    <w:left w:val="none" w:sz="0" w:space="0" w:color="auto"/>
                    <w:bottom w:val="none" w:sz="0" w:space="0" w:color="auto"/>
                    <w:right w:val="none" w:sz="0" w:space="0" w:color="auto"/>
                  </w:divBdr>
                </w:div>
                <w:div w:id="737902211">
                  <w:marLeft w:val="0"/>
                  <w:marRight w:val="0"/>
                  <w:marTop w:val="0"/>
                  <w:marBottom w:val="0"/>
                  <w:divBdr>
                    <w:top w:val="none" w:sz="0" w:space="0" w:color="auto"/>
                    <w:left w:val="none" w:sz="0" w:space="0" w:color="auto"/>
                    <w:bottom w:val="none" w:sz="0" w:space="0" w:color="auto"/>
                    <w:right w:val="none" w:sz="0" w:space="0" w:color="auto"/>
                  </w:divBdr>
                </w:div>
                <w:div w:id="51276599">
                  <w:marLeft w:val="0"/>
                  <w:marRight w:val="0"/>
                  <w:marTop w:val="0"/>
                  <w:marBottom w:val="0"/>
                  <w:divBdr>
                    <w:top w:val="none" w:sz="0" w:space="0" w:color="auto"/>
                    <w:left w:val="none" w:sz="0" w:space="0" w:color="auto"/>
                    <w:bottom w:val="none" w:sz="0" w:space="0" w:color="auto"/>
                    <w:right w:val="none" w:sz="0" w:space="0" w:color="auto"/>
                  </w:divBdr>
                </w:div>
                <w:div w:id="1238898921">
                  <w:marLeft w:val="0"/>
                  <w:marRight w:val="0"/>
                  <w:marTop w:val="0"/>
                  <w:marBottom w:val="0"/>
                  <w:divBdr>
                    <w:top w:val="none" w:sz="0" w:space="0" w:color="auto"/>
                    <w:left w:val="none" w:sz="0" w:space="0" w:color="auto"/>
                    <w:bottom w:val="none" w:sz="0" w:space="0" w:color="auto"/>
                    <w:right w:val="none" w:sz="0" w:space="0" w:color="auto"/>
                  </w:divBdr>
                </w:div>
                <w:div w:id="618072561">
                  <w:marLeft w:val="0"/>
                  <w:marRight w:val="0"/>
                  <w:marTop w:val="0"/>
                  <w:marBottom w:val="0"/>
                  <w:divBdr>
                    <w:top w:val="none" w:sz="0" w:space="0" w:color="auto"/>
                    <w:left w:val="none" w:sz="0" w:space="0" w:color="auto"/>
                    <w:bottom w:val="none" w:sz="0" w:space="0" w:color="auto"/>
                    <w:right w:val="none" w:sz="0" w:space="0" w:color="auto"/>
                  </w:divBdr>
                </w:div>
                <w:div w:id="1580208310">
                  <w:marLeft w:val="0"/>
                  <w:marRight w:val="0"/>
                  <w:marTop w:val="0"/>
                  <w:marBottom w:val="0"/>
                  <w:divBdr>
                    <w:top w:val="none" w:sz="0" w:space="0" w:color="auto"/>
                    <w:left w:val="none" w:sz="0" w:space="0" w:color="auto"/>
                    <w:bottom w:val="none" w:sz="0" w:space="0" w:color="auto"/>
                    <w:right w:val="none" w:sz="0" w:space="0" w:color="auto"/>
                  </w:divBdr>
                </w:div>
                <w:div w:id="8779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6712">
          <w:marLeft w:val="0"/>
          <w:marRight w:val="0"/>
          <w:marTop w:val="0"/>
          <w:marBottom w:val="0"/>
          <w:divBdr>
            <w:top w:val="none" w:sz="0" w:space="0" w:color="auto"/>
            <w:left w:val="none" w:sz="0" w:space="0" w:color="auto"/>
            <w:bottom w:val="none" w:sz="0" w:space="0" w:color="auto"/>
            <w:right w:val="none" w:sz="0" w:space="0" w:color="auto"/>
          </w:divBdr>
        </w:div>
        <w:div w:id="1215193347">
          <w:marLeft w:val="0"/>
          <w:marRight w:val="0"/>
          <w:marTop w:val="0"/>
          <w:marBottom w:val="0"/>
          <w:divBdr>
            <w:top w:val="none" w:sz="0" w:space="0" w:color="auto"/>
            <w:left w:val="none" w:sz="0" w:space="0" w:color="auto"/>
            <w:bottom w:val="none" w:sz="0" w:space="0" w:color="auto"/>
            <w:right w:val="none" w:sz="0" w:space="0" w:color="auto"/>
          </w:divBdr>
        </w:div>
        <w:div w:id="1187526217">
          <w:marLeft w:val="0"/>
          <w:marRight w:val="0"/>
          <w:marTop w:val="0"/>
          <w:marBottom w:val="0"/>
          <w:divBdr>
            <w:top w:val="none" w:sz="0" w:space="0" w:color="auto"/>
            <w:left w:val="none" w:sz="0" w:space="0" w:color="auto"/>
            <w:bottom w:val="none" w:sz="0" w:space="0" w:color="auto"/>
            <w:right w:val="none" w:sz="0" w:space="0" w:color="auto"/>
          </w:divBdr>
        </w:div>
        <w:div w:id="831333721">
          <w:marLeft w:val="0"/>
          <w:marRight w:val="0"/>
          <w:marTop w:val="0"/>
          <w:marBottom w:val="0"/>
          <w:divBdr>
            <w:top w:val="none" w:sz="0" w:space="0" w:color="auto"/>
            <w:left w:val="none" w:sz="0" w:space="0" w:color="auto"/>
            <w:bottom w:val="none" w:sz="0" w:space="0" w:color="auto"/>
            <w:right w:val="none" w:sz="0" w:space="0" w:color="auto"/>
          </w:divBdr>
        </w:div>
        <w:div w:id="1419718985">
          <w:marLeft w:val="0"/>
          <w:marRight w:val="0"/>
          <w:marTop w:val="0"/>
          <w:marBottom w:val="0"/>
          <w:divBdr>
            <w:top w:val="none" w:sz="0" w:space="0" w:color="auto"/>
            <w:left w:val="none" w:sz="0" w:space="0" w:color="auto"/>
            <w:bottom w:val="none" w:sz="0" w:space="0" w:color="auto"/>
            <w:right w:val="none" w:sz="0" w:space="0" w:color="auto"/>
          </w:divBdr>
        </w:div>
        <w:div w:id="1314527261">
          <w:marLeft w:val="0"/>
          <w:marRight w:val="0"/>
          <w:marTop w:val="0"/>
          <w:marBottom w:val="0"/>
          <w:divBdr>
            <w:top w:val="none" w:sz="0" w:space="0" w:color="auto"/>
            <w:left w:val="none" w:sz="0" w:space="0" w:color="auto"/>
            <w:bottom w:val="none" w:sz="0" w:space="0" w:color="auto"/>
            <w:right w:val="none" w:sz="0" w:space="0" w:color="auto"/>
          </w:divBdr>
        </w:div>
        <w:div w:id="673580212">
          <w:marLeft w:val="0"/>
          <w:marRight w:val="0"/>
          <w:marTop w:val="0"/>
          <w:marBottom w:val="0"/>
          <w:divBdr>
            <w:top w:val="none" w:sz="0" w:space="0" w:color="auto"/>
            <w:left w:val="none" w:sz="0" w:space="0" w:color="auto"/>
            <w:bottom w:val="none" w:sz="0" w:space="0" w:color="auto"/>
            <w:right w:val="none" w:sz="0" w:space="0" w:color="auto"/>
          </w:divBdr>
        </w:div>
        <w:div w:id="1700928564">
          <w:marLeft w:val="0"/>
          <w:marRight w:val="0"/>
          <w:marTop w:val="0"/>
          <w:marBottom w:val="0"/>
          <w:divBdr>
            <w:top w:val="none" w:sz="0" w:space="0" w:color="auto"/>
            <w:left w:val="none" w:sz="0" w:space="0" w:color="auto"/>
            <w:bottom w:val="none" w:sz="0" w:space="0" w:color="auto"/>
            <w:right w:val="none" w:sz="0" w:space="0" w:color="auto"/>
          </w:divBdr>
        </w:div>
        <w:div w:id="2098558146">
          <w:marLeft w:val="0"/>
          <w:marRight w:val="0"/>
          <w:marTop w:val="0"/>
          <w:marBottom w:val="0"/>
          <w:divBdr>
            <w:top w:val="none" w:sz="0" w:space="0" w:color="auto"/>
            <w:left w:val="none" w:sz="0" w:space="0" w:color="auto"/>
            <w:bottom w:val="none" w:sz="0" w:space="0" w:color="auto"/>
            <w:right w:val="none" w:sz="0" w:space="0" w:color="auto"/>
          </w:divBdr>
        </w:div>
        <w:div w:id="1560824414">
          <w:marLeft w:val="0"/>
          <w:marRight w:val="0"/>
          <w:marTop w:val="0"/>
          <w:marBottom w:val="0"/>
          <w:divBdr>
            <w:top w:val="none" w:sz="0" w:space="0" w:color="auto"/>
            <w:left w:val="none" w:sz="0" w:space="0" w:color="auto"/>
            <w:bottom w:val="none" w:sz="0" w:space="0" w:color="auto"/>
            <w:right w:val="none" w:sz="0" w:space="0" w:color="auto"/>
          </w:divBdr>
        </w:div>
        <w:div w:id="479080427">
          <w:marLeft w:val="0"/>
          <w:marRight w:val="0"/>
          <w:marTop w:val="0"/>
          <w:marBottom w:val="0"/>
          <w:divBdr>
            <w:top w:val="none" w:sz="0" w:space="0" w:color="auto"/>
            <w:left w:val="none" w:sz="0" w:space="0" w:color="auto"/>
            <w:bottom w:val="none" w:sz="0" w:space="0" w:color="auto"/>
            <w:right w:val="none" w:sz="0" w:space="0" w:color="auto"/>
          </w:divBdr>
        </w:div>
        <w:div w:id="1368024877">
          <w:marLeft w:val="0"/>
          <w:marRight w:val="0"/>
          <w:marTop w:val="0"/>
          <w:marBottom w:val="0"/>
          <w:divBdr>
            <w:top w:val="none" w:sz="0" w:space="0" w:color="auto"/>
            <w:left w:val="none" w:sz="0" w:space="0" w:color="auto"/>
            <w:bottom w:val="none" w:sz="0" w:space="0" w:color="auto"/>
            <w:right w:val="none" w:sz="0" w:space="0" w:color="auto"/>
          </w:divBdr>
        </w:div>
      </w:divsChild>
    </w:div>
    <w:div w:id="1546944105">
      <w:bodyDiv w:val="1"/>
      <w:marLeft w:val="0"/>
      <w:marRight w:val="0"/>
      <w:marTop w:val="0"/>
      <w:marBottom w:val="0"/>
      <w:divBdr>
        <w:top w:val="none" w:sz="0" w:space="0" w:color="auto"/>
        <w:left w:val="none" w:sz="0" w:space="0" w:color="auto"/>
        <w:bottom w:val="none" w:sz="0" w:space="0" w:color="auto"/>
        <w:right w:val="none" w:sz="0" w:space="0" w:color="auto"/>
      </w:divBdr>
    </w:div>
    <w:div w:id="1584022437">
      <w:bodyDiv w:val="1"/>
      <w:marLeft w:val="0"/>
      <w:marRight w:val="0"/>
      <w:marTop w:val="0"/>
      <w:marBottom w:val="0"/>
      <w:divBdr>
        <w:top w:val="none" w:sz="0" w:space="0" w:color="auto"/>
        <w:left w:val="none" w:sz="0" w:space="0" w:color="auto"/>
        <w:bottom w:val="none" w:sz="0" w:space="0" w:color="auto"/>
        <w:right w:val="none" w:sz="0" w:space="0" w:color="auto"/>
      </w:divBdr>
    </w:div>
    <w:div w:id="1705402768">
      <w:bodyDiv w:val="1"/>
      <w:marLeft w:val="0"/>
      <w:marRight w:val="0"/>
      <w:marTop w:val="0"/>
      <w:marBottom w:val="0"/>
      <w:divBdr>
        <w:top w:val="none" w:sz="0" w:space="0" w:color="auto"/>
        <w:left w:val="none" w:sz="0" w:space="0" w:color="auto"/>
        <w:bottom w:val="none" w:sz="0" w:space="0" w:color="auto"/>
        <w:right w:val="none" w:sz="0" w:space="0" w:color="auto"/>
      </w:divBdr>
      <w:divsChild>
        <w:div w:id="1766807501">
          <w:marLeft w:val="0"/>
          <w:marRight w:val="0"/>
          <w:marTop w:val="0"/>
          <w:marBottom w:val="0"/>
          <w:divBdr>
            <w:top w:val="none" w:sz="0" w:space="0" w:color="auto"/>
            <w:left w:val="none" w:sz="0" w:space="0" w:color="auto"/>
            <w:bottom w:val="none" w:sz="0" w:space="0" w:color="auto"/>
            <w:right w:val="none" w:sz="0" w:space="0" w:color="auto"/>
          </w:divBdr>
        </w:div>
      </w:divsChild>
    </w:div>
    <w:div w:id="1723020172">
      <w:bodyDiv w:val="1"/>
      <w:marLeft w:val="0"/>
      <w:marRight w:val="0"/>
      <w:marTop w:val="0"/>
      <w:marBottom w:val="0"/>
      <w:divBdr>
        <w:top w:val="none" w:sz="0" w:space="0" w:color="auto"/>
        <w:left w:val="none" w:sz="0" w:space="0" w:color="auto"/>
        <w:bottom w:val="none" w:sz="0" w:space="0" w:color="auto"/>
        <w:right w:val="none" w:sz="0" w:space="0" w:color="auto"/>
      </w:divBdr>
    </w:div>
    <w:div w:id="1754623473">
      <w:bodyDiv w:val="1"/>
      <w:marLeft w:val="0"/>
      <w:marRight w:val="0"/>
      <w:marTop w:val="0"/>
      <w:marBottom w:val="0"/>
      <w:divBdr>
        <w:top w:val="none" w:sz="0" w:space="0" w:color="auto"/>
        <w:left w:val="none" w:sz="0" w:space="0" w:color="auto"/>
        <w:bottom w:val="none" w:sz="0" w:space="0" w:color="auto"/>
        <w:right w:val="none" w:sz="0" w:space="0" w:color="auto"/>
      </w:divBdr>
    </w:div>
    <w:div w:id="1787843801">
      <w:bodyDiv w:val="1"/>
      <w:marLeft w:val="0"/>
      <w:marRight w:val="0"/>
      <w:marTop w:val="0"/>
      <w:marBottom w:val="0"/>
      <w:divBdr>
        <w:top w:val="none" w:sz="0" w:space="0" w:color="auto"/>
        <w:left w:val="none" w:sz="0" w:space="0" w:color="auto"/>
        <w:bottom w:val="none" w:sz="0" w:space="0" w:color="auto"/>
        <w:right w:val="none" w:sz="0" w:space="0" w:color="auto"/>
      </w:divBdr>
      <w:divsChild>
        <w:div w:id="1160074706">
          <w:marLeft w:val="0"/>
          <w:marRight w:val="0"/>
          <w:marTop w:val="0"/>
          <w:marBottom w:val="0"/>
          <w:divBdr>
            <w:top w:val="none" w:sz="0" w:space="0" w:color="auto"/>
            <w:left w:val="none" w:sz="0" w:space="0" w:color="auto"/>
            <w:bottom w:val="none" w:sz="0" w:space="0" w:color="auto"/>
            <w:right w:val="none" w:sz="0" w:space="0" w:color="auto"/>
          </w:divBdr>
          <w:divsChild>
            <w:div w:id="1271818216">
              <w:marLeft w:val="0"/>
              <w:marRight w:val="0"/>
              <w:marTop w:val="0"/>
              <w:marBottom w:val="0"/>
              <w:divBdr>
                <w:top w:val="none" w:sz="0" w:space="0" w:color="auto"/>
                <w:left w:val="none" w:sz="0" w:space="0" w:color="auto"/>
                <w:bottom w:val="none" w:sz="0" w:space="0" w:color="auto"/>
                <w:right w:val="none" w:sz="0" w:space="0" w:color="auto"/>
              </w:divBdr>
              <w:divsChild>
                <w:div w:id="1140266911">
                  <w:marLeft w:val="0"/>
                  <w:marRight w:val="0"/>
                  <w:marTop w:val="0"/>
                  <w:marBottom w:val="0"/>
                  <w:divBdr>
                    <w:top w:val="none" w:sz="0" w:space="0" w:color="auto"/>
                    <w:left w:val="none" w:sz="0" w:space="0" w:color="auto"/>
                    <w:bottom w:val="none" w:sz="0" w:space="0" w:color="auto"/>
                    <w:right w:val="none" w:sz="0" w:space="0" w:color="auto"/>
                  </w:divBdr>
                  <w:divsChild>
                    <w:div w:id="15187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ndiegogo.com/projects/the-biggest-solar-powered-computer-in-the-world" TargetMode="External"/><Relationship Id="rId3" Type="http://schemas.openxmlformats.org/officeDocument/2006/relationships/hyperlink" Target="https://www.create-net.org/news/waziup-first-opensource-platform-internet-things-and-big-data-africa" TargetMode="External"/><Relationship Id="rId7" Type="http://schemas.openxmlformats.org/officeDocument/2006/relationships/hyperlink" Target="http://www.tandem-wacren.eu/about-tandem/project-key-facts/" TargetMode="External"/><Relationship Id="rId2" Type="http://schemas.openxmlformats.org/officeDocument/2006/relationships/hyperlink" Target="http://www.hahn-schickard.de/projekte-publikationen/projekte/dmc-malvec/" TargetMode="External"/><Relationship Id="rId1" Type="http://schemas.openxmlformats.org/officeDocument/2006/relationships/hyperlink" Target="http://eur-lex.europa.eu/legal-content/EN/AUTO/?uri=celex:31995L0046" TargetMode="External"/><Relationship Id="rId6" Type="http://schemas.openxmlformats.org/officeDocument/2006/relationships/hyperlink" Target="http://www.sci-gaia.eu/" TargetMode="External"/><Relationship Id="rId5" Type="http://schemas.openxmlformats.org/officeDocument/2006/relationships/hyperlink" Target="http://www.magic-project.eu/index.php/about/about-magic" TargetMode="External"/><Relationship Id="rId4" Type="http://schemas.openxmlformats.org/officeDocument/2006/relationships/hyperlink" Target="https://www.itc.nl/Pub/services/Major-projects/its4land.html" TargetMode="External"/><Relationship Id="rId9" Type="http://schemas.openxmlformats.org/officeDocument/2006/relationships/hyperlink" Target="https://www.gov.uk/government/publications/dfid-review-of-digital-in-development-programmes/review-of-digital-in-dfid-programmes-summar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Arial" panose="020B0604020202020204" pitchFamily="34" charset="0"/>
                <a:cs typeface="Arial" panose="020B0604020202020204" pitchFamily="34" charset="0"/>
              </a:rPr>
              <a:t>Disbursements</a:t>
            </a:r>
            <a:r>
              <a:rPr lang="en-US" sz="1600" baseline="0">
                <a:latin typeface="Arial" panose="020B0604020202020204" pitchFamily="34" charset="0"/>
                <a:cs typeface="Arial" panose="020B0604020202020204" pitchFamily="34" charset="0"/>
              </a:rPr>
              <a:t> for ICT projects </a:t>
            </a:r>
          </a:p>
          <a:p>
            <a:pPr>
              <a:defRPr/>
            </a:pPr>
            <a:r>
              <a:rPr lang="en-US" sz="1600">
                <a:latin typeface="Arial" panose="020B0604020202020204" pitchFamily="34" charset="0"/>
                <a:cs typeface="Arial" panose="020B0604020202020204" pitchFamily="34" charset="0"/>
              </a:rPr>
              <a:t>2008-2013</a:t>
            </a:r>
          </a:p>
        </c:rich>
      </c:tx>
      <c:layout>
        <c:manualLayout>
          <c:xMode val="edge"/>
          <c:yMode val="edge"/>
          <c:x val="0.16593044619422573"/>
          <c:y val="4.6296296296296294E-2"/>
        </c:manualLayout>
      </c:layout>
      <c:overlay val="0"/>
    </c:title>
    <c:autoTitleDeleted val="0"/>
    <c:plotArea>
      <c:layout/>
      <c:pieChart>
        <c:varyColors val="1"/>
        <c:ser>
          <c:idx val="0"/>
          <c:order val="0"/>
          <c:tx>
            <c:strRef>
              <c:f>Sheet1!$B$19</c:f>
              <c:strCache>
                <c:ptCount val="1"/>
                <c:pt idx="0">
                  <c:v>2008-2013</c:v>
                </c:pt>
              </c:strCache>
            </c:strRef>
          </c:tx>
          <c:dLbls>
            <c:txPr>
              <a:bodyPr/>
              <a:lstStyle/>
              <a:p>
                <a:pPr>
                  <a:defRPr sz="1200" b="1"/>
                </a:pPr>
                <a:endParaRPr lang="en-US"/>
              </a:p>
            </c:txPr>
            <c:showLegendKey val="0"/>
            <c:showVal val="0"/>
            <c:showCatName val="0"/>
            <c:showSerName val="0"/>
            <c:showPercent val="1"/>
            <c:showBubbleSize val="0"/>
            <c:showLeaderLines val="1"/>
          </c:dLbls>
          <c:cat>
            <c:strRef>
              <c:f>Sheet1!$A$20:$A$24</c:f>
              <c:strCache>
                <c:ptCount val="5"/>
                <c:pt idx="0">
                  <c:v>ACP countries                  (Africa, Caribbean, Pacific)</c:v>
                </c:pt>
                <c:pt idx="1">
                  <c:v>Asia</c:v>
                </c:pt>
                <c:pt idx="2">
                  <c:v>Latin America</c:v>
                </c:pt>
                <c:pt idx="3">
                  <c:v>Neigh. East</c:v>
                </c:pt>
                <c:pt idx="4">
                  <c:v>Neigh. South</c:v>
                </c:pt>
              </c:strCache>
            </c:strRef>
          </c:cat>
          <c:val>
            <c:numRef>
              <c:f>Sheet1!$B$20:$B$24</c:f>
              <c:numCache>
                <c:formatCode>General</c:formatCode>
                <c:ptCount val="5"/>
                <c:pt idx="0">
                  <c:v>76.84</c:v>
                </c:pt>
                <c:pt idx="1">
                  <c:v>12.51</c:v>
                </c:pt>
                <c:pt idx="2">
                  <c:v>32.159999999999997</c:v>
                </c:pt>
                <c:pt idx="3">
                  <c:v>29.05</c:v>
                </c:pt>
                <c:pt idx="4">
                  <c:v>16.05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444444444444444"/>
          <c:y val="0.30139763779527556"/>
          <c:w val="0.43888888888888888"/>
          <c:h val="0.64234361329833767"/>
        </c:manualLayout>
      </c:layout>
      <c:overlay val="0"/>
      <c:txPr>
        <a:bodyPr/>
        <a:lstStyle/>
        <a:p>
          <a:pPr>
            <a:defRPr sz="12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51840-460C-4995-9506-17FD4905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11155</Words>
  <Characters>63589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Persson</dc:creator>
  <cp:lastModifiedBy>Mariya Milenova Koleva</cp:lastModifiedBy>
  <cp:revision>2</cp:revision>
  <cp:lastPrinted>2016-06-22T09:38:00Z</cp:lastPrinted>
  <dcterms:created xsi:type="dcterms:W3CDTF">2016-07-11T12:27:00Z</dcterms:created>
  <dcterms:modified xsi:type="dcterms:W3CDTF">2016-07-11T12:27:00Z</dcterms:modified>
</cp:coreProperties>
</file>