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D8" w:rsidRDefault="00875FD8" w:rsidP="00665021">
      <w:pPr>
        <w:jc w:val="center"/>
        <w:rPr>
          <w:rFonts w:ascii="Times New Roman" w:hAnsi="Times New Roman"/>
          <w:b/>
          <w:color w:val="0F243E" w:themeColor="text2" w:themeShade="80"/>
          <w:sz w:val="32"/>
          <w:szCs w:val="32"/>
        </w:rPr>
      </w:pPr>
    </w:p>
    <w:p w:rsidR="00875FD8" w:rsidRDefault="00875FD8" w:rsidP="00665021">
      <w:pPr>
        <w:jc w:val="center"/>
        <w:rPr>
          <w:rFonts w:ascii="Times New Roman" w:hAnsi="Times New Roman"/>
          <w:b/>
          <w:color w:val="0F243E" w:themeColor="text2" w:themeShade="80"/>
          <w:sz w:val="32"/>
          <w:szCs w:val="32"/>
        </w:rPr>
      </w:pPr>
    </w:p>
    <w:p w:rsidR="007C0AE1" w:rsidRPr="00875FD8" w:rsidRDefault="00671CA8" w:rsidP="007C0AE1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/>
          <w:color w:val="0F243E" w:themeColor="text2" w:themeShade="80"/>
          <w:sz w:val="40"/>
          <w:szCs w:val="40"/>
        </w:rPr>
        <w:t>A</w:t>
      </w:r>
      <w:bookmarkStart w:id="0" w:name="_GoBack"/>
      <w:bookmarkEnd w:id="0"/>
      <w:r w:rsidR="007C0AE1" w:rsidRPr="00875FD8">
        <w:rPr>
          <w:rFonts w:ascii="Times New Roman" w:hAnsi="Times New Roman"/>
          <w:color w:val="0F243E" w:themeColor="text2" w:themeShade="80"/>
          <w:sz w:val="40"/>
          <w:szCs w:val="40"/>
        </w:rPr>
        <w:t>genda</w:t>
      </w:r>
    </w:p>
    <w:p w:rsidR="007C0AE1" w:rsidRDefault="007C0AE1" w:rsidP="00665021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</w:p>
    <w:p w:rsidR="00875FD8" w:rsidRPr="00875FD8" w:rsidRDefault="00875FD8" w:rsidP="00665021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</w:p>
    <w:p w:rsidR="007C0AE1" w:rsidRDefault="007C0AE1" w:rsidP="00665021">
      <w:pPr>
        <w:jc w:val="center"/>
        <w:rPr>
          <w:rFonts w:ascii="Times New Roman" w:hAnsi="Times New Roman"/>
          <w:color w:val="0F243E" w:themeColor="text2" w:themeShade="80"/>
          <w:sz w:val="48"/>
          <w:szCs w:val="48"/>
        </w:rPr>
      </w:pPr>
      <w:r>
        <w:rPr>
          <w:rFonts w:ascii="Times New Roman" w:hAnsi="Times New Roman"/>
          <w:color w:val="0F243E" w:themeColor="text2" w:themeShade="80"/>
          <w:sz w:val="48"/>
          <w:szCs w:val="48"/>
        </w:rPr>
        <w:t xml:space="preserve">Pacific Regional </w:t>
      </w:r>
      <w:r w:rsidR="00B048C8" w:rsidRPr="00A75BFB">
        <w:rPr>
          <w:rFonts w:ascii="Times New Roman" w:hAnsi="Times New Roman"/>
          <w:color w:val="0F243E" w:themeColor="text2" w:themeShade="80"/>
          <w:sz w:val="48"/>
          <w:szCs w:val="48"/>
        </w:rPr>
        <w:t xml:space="preserve">Training </w:t>
      </w:r>
      <w:r w:rsidR="000826AE" w:rsidRPr="00A75BFB">
        <w:rPr>
          <w:rFonts w:ascii="Times New Roman" w:hAnsi="Times New Roman"/>
          <w:color w:val="0F243E" w:themeColor="text2" w:themeShade="80"/>
          <w:sz w:val="48"/>
          <w:szCs w:val="48"/>
        </w:rPr>
        <w:t xml:space="preserve">on </w:t>
      </w:r>
    </w:p>
    <w:p w:rsidR="00A75BFB" w:rsidRDefault="000826AE" w:rsidP="00665021">
      <w:pPr>
        <w:jc w:val="center"/>
        <w:rPr>
          <w:rFonts w:ascii="Times New Roman" w:hAnsi="Times New Roman"/>
          <w:color w:val="0F243E" w:themeColor="text2" w:themeShade="80"/>
          <w:sz w:val="48"/>
          <w:szCs w:val="48"/>
        </w:rPr>
      </w:pPr>
      <w:r w:rsidRPr="00A75BFB">
        <w:rPr>
          <w:rFonts w:ascii="Times New Roman" w:hAnsi="Times New Roman"/>
          <w:color w:val="0F243E" w:themeColor="text2" w:themeShade="80"/>
          <w:sz w:val="48"/>
          <w:szCs w:val="48"/>
        </w:rPr>
        <w:t xml:space="preserve">EU Budget Support and </w:t>
      </w:r>
    </w:p>
    <w:p w:rsidR="0097076E" w:rsidRPr="00A75BFB" w:rsidRDefault="000826AE" w:rsidP="00665021">
      <w:pPr>
        <w:jc w:val="center"/>
        <w:rPr>
          <w:rFonts w:ascii="Times New Roman" w:hAnsi="Times New Roman"/>
          <w:color w:val="0F243E" w:themeColor="text2" w:themeShade="80"/>
          <w:sz w:val="48"/>
          <w:szCs w:val="48"/>
        </w:rPr>
      </w:pPr>
      <w:r w:rsidRPr="00A75BFB">
        <w:rPr>
          <w:rFonts w:ascii="Times New Roman" w:hAnsi="Times New Roman"/>
          <w:color w:val="0F243E" w:themeColor="text2" w:themeShade="80"/>
          <w:sz w:val="48"/>
          <w:szCs w:val="48"/>
        </w:rPr>
        <w:t xml:space="preserve">Blending Modalities  </w:t>
      </w:r>
    </w:p>
    <w:p w:rsidR="00EF2E31" w:rsidRPr="00875FD8" w:rsidRDefault="00EF2E31" w:rsidP="00665021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</w:p>
    <w:p w:rsidR="00875FD8" w:rsidRPr="00875FD8" w:rsidRDefault="00875FD8" w:rsidP="00665021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  <w:r w:rsidRPr="00875FD8">
        <w:rPr>
          <w:rFonts w:ascii="Times New Roman" w:hAnsi="Times New Roman"/>
          <w:color w:val="0F243E" w:themeColor="text2" w:themeShade="80"/>
          <w:sz w:val="40"/>
          <w:szCs w:val="40"/>
        </w:rPr>
        <w:t>24-28 October 2016</w:t>
      </w:r>
    </w:p>
    <w:p w:rsidR="00875FD8" w:rsidRPr="00875FD8" w:rsidRDefault="00875FD8" w:rsidP="00665021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</w:p>
    <w:p w:rsidR="00875FD8" w:rsidRPr="00875FD8" w:rsidRDefault="00875FD8" w:rsidP="00875FD8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</w:p>
    <w:p w:rsidR="00875FD8" w:rsidRDefault="00875FD8" w:rsidP="00875FD8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  <w:r w:rsidRPr="00875FD8">
        <w:rPr>
          <w:rFonts w:ascii="Times New Roman" w:hAnsi="Times New Roman"/>
          <w:color w:val="0F243E" w:themeColor="text2" w:themeShade="80"/>
          <w:sz w:val="40"/>
          <w:szCs w:val="40"/>
        </w:rPr>
        <w:t xml:space="preserve">Venue: Novotel </w:t>
      </w:r>
      <w:proofErr w:type="spellStart"/>
      <w:r w:rsidRPr="00875FD8">
        <w:rPr>
          <w:rFonts w:ascii="Times New Roman" w:hAnsi="Times New Roman"/>
          <w:color w:val="0F243E" w:themeColor="text2" w:themeShade="80"/>
          <w:sz w:val="40"/>
          <w:szCs w:val="40"/>
        </w:rPr>
        <w:t>Lami</w:t>
      </w:r>
      <w:proofErr w:type="spellEnd"/>
      <w:r w:rsidRPr="00875FD8">
        <w:rPr>
          <w:rFonts w:ascii="Times New Roman" w:hAnsi="Times New Roman"/>
          <w:color w:val="0F243E" w:themeColor="text2" w:themeShade="80"/>
          <w:sz w:val="40"/>
          <w:szCs w:val="40"/>
        </w:rPr>
        <w:t xml:space="preserve"> (near Suva, Fiji)</w:t>
      </w:r>
    </w:p>
    <w:p w:rsidR="00A75BFB" w:rsidRDefault="00A75BFB" w:rsidP="00875FD8">
      <w:pPr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</w:p>
    <w:p w:rsidR="00A75BFB" w:rsidRPr="00D37806" w:rsidRDefault="00A75BFB" w:rsidP="00875FD8">
      <w:pPr>
        <w:jc w:val="center"/>
        <w:rPr>
          <w:rFonts w:ascii="Times New Roman" w:hAnsi="Times New Roman"/>
          <w:color w:val="A6A6A6" w:themeColor="background1" w:themeShade="A6"/>
          <w:sz w:val="28"/>
          <w:szCs w:val="28"/>
        </w:rPr>
      </w:pPr>
      <w:r w:rsidRPr="00D37806">
        <w:rPr>
          <w:rFonts w:ascii="Times New Roman" w:hAnsi="Times New Roman"/>
          <w:color w:val="A6A6A6" w:themeColor="background1" w:themeShade="A6"/>
          <w:sz w:val="28"/>
          <w:szCs w:val="28"/>
        </w:rPr>
        <w:t>For EU staff in the EU Delegations in Fiji, New Caledonia, Papua New Guinea, Solomon Islands, Timor-Leste and representatives from Pacific Islands Countries and OCTs</w:t>
      </w:r>
      <w:r w:rsidR="00D76315" w:rsidRPr="00D37806">
        <w:rPr>
          <w:rFonts w:ascii="Times New Roman" w:hAnsi="Times New Roman"/>
          <w:color w:val="A6A6A6" w:themeColor="background1" w:themeShade="A6"/>
          <w:sz w:val="28"/>
          <w:szCs w:val="28"/>
        </w:rPr>
        <w:t xml:space="preserve"> with starting, ongoing or foreseen Budget Support</w:t>
      </w:r>
      <w:r w:rsidR="00D37806" w:rsidRPr="00D37806">
        <w:rPr>
          <w:rFonts w:ascii="Times New Roman" w:hAnsi="Times New Roman"/>
          <w:color w:val="A6A6A6" w:themeColor="background1" w:themeShade="A6"/>
          <w:sz w:val="28"/>
          <w:szCs w:val="28"/>
        </w:rPr>
        <w:t xml:space="preserve"> or Blending </w:t>
      </w:r>
      <w:r w:rsidR="00D76315" w:rsidRPr="00D37806">
        <w:rPr>
          <w:rFonts w:ascii="Times New Roman" w:hAnsi="Times New Roman"/>
          <w:color w:val="A6A6A6" w:themeColor="background1" w:themeShade="A6"/>
          <w:sz w:val="28"/>
          <w:szCs w:val="28"/>
        </w:rPr>
        <w:t>program</w:t>
      </w:r>
      <w:r w:rsidR="009D52F5">
        <w:rPr>
          <w:rFonts w:ascii="Times New Roman" w:hAnsi="Times New Roman"/>
          <w:color w:val="A6A6A6" w:themeColor="background1" w:themeShade="A6"/>
          <w:sz w:val="28"/>
          <w:szCs w:val="28"/>
        </w:rPr>
        <w:t>s</w:t>
      </w:r>
    </w:p>
    <w:p w:rsidR="00EF2E31" w:rsidRPr="00D37806" w:rsidRDefault="005F2686" w:rsidP="00C4796C">
      <w:pPr>
        <w:pStyle w:val="ListParagraph"/>
        <w:rPr>
          <w:color w:val="A6A6A6" w:themeColor="background1" w:themeShade="A6"/>
          <w:sz w:val="22"/>
          <w:szCs w:val="22"/>
        </w:rPr>
      </w:pPr>
      <w:r w:rsidRPr="00D37806">
        <w:rPr>
          <w:color w:val="A6A6A6" w:themeColor="background1" w:themeShade="A6"/>
          <w:sz w:val="22"/>
          <w:szCs w:val="22"/>
        </w:rPr>
        <w:t xml:space="preserve"> </w:t>
      </w:r>
    </w:p>
    <w:p w:rsidR="00EF2E31" w:rsidRPr="00D37806" w:rsidRDefault="00EF2E31">
      <w:pPr>
        <w:spacing w:line="240" w:lineRule="auto"/>
        <w:jc w:val="left"/>
        <w:rPr>
          <w:color w:val="A6A6A6" w:themeColor="background1" w:themeShade="A6"/>
        </w:rPr>
      </w:pPr>
      <w:r w:rsidRPr="00D37806">
        <w:rPr>
          <w:color w:val="A6A6A6" w:themeColor="background1" w:themeShade="A6"/>
        </w:rPr>
        <w:br w:type="page"/>
      </w:r>
    </w:p>
    <w:p w:rsidR="00875FD8" w:rsidRDefault="00875FD8">
      <w:pPr>
        <w:spacing w:line="240" w:lineRule="auto"/>
        <w:jc w:val="left"/>
      </w:pPr>
    </w:p>
    <w:p w:rsidR="00875FD8" w:rsidRDefault="00875FD8">
      <w:pPr>
        <w:spacing w:line="240" w:lineRule="auto"/>
        <w:jc w:val="left"/>
        <w:rPr>
          <w:rFonts w:ascii="Times New Roman" w:eastAsia="Times New Roman" w:hAnsi="Times New Roman"/>
          <w:lang w:eastAsia="en-GB"/>
        </w:rPr>
      </w:pPr>
    </w:p>
    <w:p w:rsidR="005F2686" w:rsidRPr="00ED7545" w:rsidRDefault="005F2686" w:rsidP="00C4796C">
      <w:pPr>
        <w:pStyle w:val="ListParagraph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415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2268"/>
        <w:gridCol w:w="6747"/>
      </w:tblGrid>
      <w:tr w:rsidR="002D7DC6" w:rsidRPr="00ED7545" w:rsidTr="00875FD8">
        <w:trPr>
          <w:trHeight w:hRule="exact" w:val="441"/>
        </w:trPr>
        <w:tc>
          <w:tcPr>
            <w:tcW w:w="1258" w:type="pct"/>
            <w:shd w:val="pct20" w:color="auto" w:fill="244061" w:themeFill="accent1" w:themeFillShade="80"/>
            <w:vAlign w:val="center"/>
          </w:tcPr>
          <w:p w:rsidR="00BF451B" w:rsidRPr="00875FD8" w:rsidRDefault="00BF451B" w:rsidP="00875FD8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BF451B" w:rsidRPr="00875FD8" w:rsidRDefault="00BF451B" w:rsidP="00875FD8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3742" w:type="pct"/>
            <w:shd w:val="pct20" w:color="auto" w:fill="244061" w:themeFill="accent1" w:themeFillShade="80"/>
            <w:vAlign w:val="center"/>
          </w:tcPr>
          <w:p w:rsidR="002D7DC6" w:rsidRPr="00875FD8" w:rsidRDefault="00B048C8" w:rsidP="00875FD8">
            <w:pPr>
              <w:jc w:val="left"/>
              <w:rPr>
                <w:rFonts w:ascii="Times New Roman" w:hAnsi="Times New Roman"/>
                <w:b/>
                <w:i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Day</w:t>
            </w:r>
            <w:r w:rsidR="007F23A0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</w:t>
            </w:r>
            <w:r w:rsidR="002D7DC6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1</w:t>
            </w:r>
            <w:r w:rsidR="00FC5370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Monday 24</w:t>
            </w:r>
            <w:r w:rsidR="00FC5370" w:rsidRPr="00875FD8">
              <w:rPr>
                <w:rFonts w:ascii="Times New Roman" w:hAnsi="Times New Roman"/>
                <w:b/>
                <w:i/>
                <w:color w:val="FFFFFF" w:themeColor="background1"/>
                <w:vertAlign w:val="superscript"/>
              </w:rPr>
              <w:t>th</w:t>
            </w:r>
            <w:r w:rsidR="00597EE6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of October</w:t>
            </w:r>
          </w:p>
          <w:p w:rsidR="00BF451B" w:rsidRPr="00875FD8" w:rsidRDefault="00BF451B" w:rsidP="00875FD8">
            <w:pPr>
              <w:jc w:val="left"/>
              <w:rPr>
                <w:rFonts w:ascii="Times New Roman" w:hAnsi="Times New Roman"/>
                <w:b/>
                <w:i/>
                <w:color w:val="FFFFFF" w:themeColor="background1"/>
              </w:rPr>
            </w:pPr>
          </w:p>
          <w:p w:rsidR="00BF451B" w:rsidRPr="00875FD8" w:rsidRDefault="00BF451B" w:rsidP="00875FD8">
            <w:pPr>
              <w:jc w:val="left"/>
              <w:rPr>
                <w:rFonts w:ascii="Times New Roman" w:hAnsi="Times New Roman"/>
                <w:b/>
                <w:i/>
                <w:color w:val="FFFFFF" w:themeColor="background1"/>
              </w:rPr>
            </w:pPr>
          </w:p>
        </w:tc>
      </w:tr>
      <w:tr w:rsidR="002D7DC6" w:rsidRPr="00ED7545" w:rsidTr="00875FD8">
        <w:trPr>
          <w:trHeight w:val="1396"/>
        </w:trPr>
        <w:tc>
          <w:tcPr>
            <w:tcW w:w="1258" w:type="pct"/>
          </w:tcPr>
          <w:p w:rsidR="002D7DC6" w:rsidRPr="00ED7545" w:rsidRDefault="00FC5370" w:rsidP="001E2BAA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08</w:t>
            </w:r>
            <w:r w:rsidR="001B4A27" w:rsidRPr="00ED7545">
              <w:rPr>
                <w:rFonts w:ascii="Times New Roman" w:hAnsi="Times New Roman"/>
                <w:b/>
              </w:rPr>
              <w:t>.3</w:t>
            </w:r>
            <w:r w:rsidR="007F23A0" w:rsidRPr="00ED7545">
              <w:rPr>
                <w:rFonts w:ascii="Times New Roman" w:hAnsi="Times New Roman"/>
                <w:b/>
              </w:rPr>
              <w:t>0 -</w:t>
            </w:r>
            <w:r w:rsidR="001E2BAA" w:rsidRPr="00ED7545">
              <w:rPr>
                <w:rFonts w:ascii="Times New Roman" w:hAnsi="Times New Roman"/>
                <w:b/>
              </w:rPr>
              <w:t xml:space="preserve"> 1</w:t>
            </w:r>
            <w:r w:rsidR="000826AE" w:rsidRPr="00ED7545">
              <w:rPr>
                <w:rFonts w:ascii="Times New Roman" w:hAnsi="Times New Roman"/>
                <w:b/>
              </w:rPr>
              <w:t>0.30</w:t>
            </w:r>
          </w:p>
          <w:p w:rsidR="00F943F0" w:rsidRPr="00ED7545" w:rsidRDefault="00F943F0" w:rsidP="001E2BAA">
            <w:pPr>
              <w:spacing w:before="20" w:after="60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742" w:type="pct"/>
          </w:tcPr>
          <w:p w:rsidR="0042251D" w:rsidRPr="00ED7545" w:rsidRDefault="002D7DC6" w:rsidP="005246A8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Module </w:t>
            </w:r>
            <w:r w:rsidR="00E2238B" w:rsidRPr="00ED7545">
              <w:rPr>
                <w:rFonts w:ascii="Times New Roman" w:hAnsi="Times New Roman"/>
                <w:b/>
              </w:rPr>
              <w:t>0</w:t>
            </w:r>
            <w:r w:rsidR="00534229" w:rsidRPr="00ED7545">
              <w:rPr>
                <w:rFonts w:ascii="Times New Roman" w:hAnsi="Times New Roman"/>
                <w:b/>
              </w:rPr>
              <w:t xml:space="preserve"> </w:t>
            </w:r>
            <w:r w:rsidR="004F1D07" w:rsidRPr="00ED7545">
              <w:rPr>
                <w:rFonts w:ascii="Times New Roman" w:hAnsi="Times New Roman"/>
                <w:b/>
              </w:rPr>
              <w:t>–</w:t>
            </w:r>
            <w:r w:rsidR="007F23A0" w:rsidRPr="00ED7545">
              <w:rPr>
                <w:rFonts w:ascii="Times New Roman" w:hAnsi="Times New Roman"/>
                <w:b/>
              </w:rPr>
              <w:t xml:space="preserve"> Introduction</w:t>
            </w:r>
          </w:p>
          <w:p w:rsidR="0019588E" w:rsidRPr="00ED7545" w:rsidRDefault="0019588E" w:rsidP="005246A8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(EUD FIJI+ DEVCO)</w:t>
            </w:r>
          </w:p>
          <w:p w:rsidR="00B048C8" w:rsidRPr="00ED7545" w:rsidRDefault="00B048C8" w:rsidP="00FC5370">
            <w:pPr>
              <w:numPr>
                <w:ilvl w:val="0"/>
                <w:numId w:val="6"/>
              </w:numPr>
              <w:jc w:val="left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>Object</w:t>
            </w:r>
            <w:r w:rsidR="00FC5370" w:rsidRPr="00ED7545">
              <w:rPr>
                <w:rFonts w:ascii="Times New Roman" w:hAnsi="Times New Roman"/>
              </w:rPr>
              <w:t>ives and programme of the training</w:t>
            </w:r>
            <w:r w:rsidRPr="00ED7545">
              <w:rPr>
                <w:rFonts w:ascii="Times New Roman" w:hAnsi="Times New Roman"/>
              </w:rPr>
              <w:t>.</w:t>
            </w:r>
          </w:p>
          <w:p w:rsidR="0042251D" w:rsidRPr="00ED7545" w:rsidRDefault="00B048C8" w:rsidP="00116215">
            <w:pPr>
              <w:numPr>
                <w:ilvl w:val="0"/>
                <w:numId w:val="6"/>
              </w:numPr>
              <w:jc w:val="left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 xml:space="preserve">Presentation </w:t>
            </w:r>
            <w:r w:rsidR="0019588E" w:rsidRPr="00ED7545">
              <w:rPr>
                <w:rFonts w:ascii="Times New Roman" w:hAnsi="Times New Roman"/>
              </w:rPr>
              <w:t>of participants, trainers and moderators</w:t>
            </w:r>
            <w:r w:rsidRPr="00ED7545">
              <w:rPr>
                <w:rFonts w:ascii="Times New Roman" w:hAnsi="Times New Roman"/>
              </w:rPr>
              <w:t>.</w:t>
            </w:r>
          </w:p>
          <w:p w:rsidR="0019588E" w:rsidRPr="00ED7545" w:rsidRDefault="003D2131" w:rsidP="003D2131">
            <w:pPr>
              <w:jc w:val="left"/>
              <w:rPr>
                <w:rFonts w:ascii="Times New Roman" w:hAnsi="Times New Roman"/>
                <w:b/>
                <w:lang w:val="fr-BE"/>
              </w:rPr>
            </w:pPr>
            <w:r w:rsidRPr="00ED7545">
              <w:rPr>
                <w:rFonts w:ascii="Times New Roman" w:hAnsi="Times New Roman"/>
                <w:b/>
                <w:lang w:val="fr-BE"/>
              </w:rPr>
              <w:t>Module 1</w:t>
            </w:r>
            <w:r w:rsidR="00534229" w:rsidRPr="00ED7545">
              <w:rPr>
                <w:rFonts w:ascii="Times New Roman" w:hAnsi="Times New Roman"/>
                <w:b/>
                <w:lang w:val="fr-BE"/>
              </w:rPr>
              <w:t xml:space="preserve"> </w:t>
            </w:r>
            <w:r w:rsidR="00B048C8" w:rsidRPr="00ED7545">
              <w:rPr>
                <w:rFonts w:ascii="Times New Roman" w:hAnsi="Times New Roman"/>
                <w:b/>
                <w:lang w:val="fr-BE"/>
              </w:rPr>
              <w:t>–</w:t>
            </w:r>
            <w:r w:rsidRPr="00ED7545">
              <w:rPr>
                <w:rFonts w:ascii="Times New Roman" w:hAnsi="Times New Roman"/>
                <w:b/>
                <w:lang w:val="fr-BE"/>
              </w:rPr>
              <w:t xml:space="preserve"> </w:t>
            </w:r>
            <w:r w:rsidR="00B048C8" w:rsidRPr="00ED7545">
              <w:rPr>
                <w:rFonts w:ascii="Times New Roman" w:hAnsi="Times New Roman"/>
                <w:b/>
                <w:lang w:val="fr-BE"/>
              </w:rPr>
              <w:t xml:space="preserve">Budget Support </w:t>
            </w:r>
            <w:r w:rsidR="00474405">
              <w:rPr>
                <w:rFonts w:ascii="Times New Roman" w:hAnsi="Times New Roman"/>
                <w:b/>
                <w:lang w:val="fr-BE"/>
              </w:rPr>
              <w:t xml:space="preserve">(BS) </w:t>
            </w:r>
            <w:r w:rsidR="000826AE" w:rsidRPr="00ED7545">
              <w:rPr>
                <w:rFonts w:ascii="Times New Roman" w:hAnsi="Times New Roman"/>
                <w:b/>
                <w:lang w:val="fr-BE"/>
              </w:rPr>
              <w:t xml:space="preserve"> – EU </w:t>
            </w:r>
            <w:proofErr w:type="spellStart"/>
            <w:r w:rsidR="000826AE" w:rsidRPr="00ED7545">
              <w:rPr>
                <w:rFonts w:ascii="Times New Roman" w:hAnsi="Times New Roman"/>
                <w:b/>
                <w:lang w:val="fr-BE"/>
              </w:rPr>
              <w:t>conceptual</w:t>
            </w:r>
            <w:proofErr w:type="spellEnd"/>
            <w:r w:rsidR="000826AE" w:rsidRPr="00ED7545">
              <w:rPr>
                <w:rFonts w:ascii="Times New Roman" w:hAnsi="Times New Roman"/>
                <w:b/>
                <w:lang w:val="fr-BE"/>
              </w:rPr>
              <w:t xml:space="preserve"> </w:t>
            </w:r>
            <w:proofErr w:type="spellStart"/>
            <w:r w:rsidR="0019588E" w:rsidRPr="00ED7545">
              <w:rPr>
                <w:rFonts w:ascii="Times New Roman" w:hAnsi="Times New Roman"/>
                <w:b/>
                <w:lang w:val="fr-BE"/>
              </w:rPr>
              <w:t>framework</w:t>
            </w:r>
            <w:proofErr w:type="spellEnd"/>
          </w:p>
          <w:p w:rsidR="0042251D" w:rsidRPr="00ED7545" w:rsidRDefault="0019588E" w:rsidP="003D2131">
            <w:pPr>
              <w:jc w:val="left"/>
              <w:rPr>
                <w:rFonts w:ascii="Times New Roman" w:hAnsi="Times New Roman"/>
                <w:b/>
                <w:i/>
                <w:lang w:val="fr-BE"/>
              </w:rPr>
            </w:pPr>
            <w:r w:rsidRPr="00ED7545">
              <w:rPr>
                <w:rFonts w:ascii="Times New Roman" w:hAnsi="Times New Roman"/>
                <w:b/>
                <w:i/>
                <w:lang w:val="fr-BE"/>
              </w:rPr>
              <w:t>(</w:t>
            </w:r>
            <w:r w:rsidR="00287CFD" w:rsidRPr="00ED7545">
              <w:rPr>
                <w:rFonts w:ascii="Times New Roman" w:hAnsi="Times New Roman"/>
                <w:b/>
                <w:i/>
                <w:lang w:val="fr-BE"/>
              </w:rPr>
              <w:t>Trainer,</w:t>
            </w:r>
            <w:r w:rsidRPr="00ED7545">
              <w:rPr>
                <w:rFonts w:ascii="Times New Roman" w:hAnsi="Times New Roman"/>
                <w:b/>
                <w:i/>
                <w:lang w:val="fr-BE"/>
              </w:rPr>
              <w:t xml:space="preserve"> F</w:t>
            </w:r>
            <w:r w:rsidR="00ED7545">
              <w:rPr>
                <w:rFonts w:ascii="Times New Roman" w:hAnsi="Times New Roman"/>
                <w:b/>
                <w:i/>
                <w:lang w:val="fr-BE"/>
              </w:rPr>
              <w:t>abrice</w:t>
            </w:r>
            <w:r w:rsidRPr="00ED7545">
              <w:rPr>
                <w:rFonts w:ascii="Times New Roman" w:hAnsi="Times New Roman"/>
                <w:b/>
                <w:i/>
                <w:lang w:val="fr-BE"/>
              </w:rPr>
              <w:t xml:space="preserve"> Ferrandes)</w:t>
            </w:r>
          </w:p>
          <w:p w:rsidR="0019588E" w:rsidRPr="00ED7545" w:rsidRDefault="0019588E" w:rsidP="003D2131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  <w:i/>
              </w:rPr>
              <w:t>(Moderators: DEVCO H 1-2 and A4</w:t>
            </w:r>
            <w:r w:rsidR="00017D3C" w:rsidRPr="00ED7545">
              <w:rPr>
                <w:rFonts w:ascii="Times New Roman" w:hAnsi="Times New Roman"/>
                <w:b/>
                <w:i/>
              </w:rPr>
              <w:t xml:space="preserve"> representatives</w:t>
            </w:r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FC5370" w:rsidRPr="00ED7545" w:rsidRDefault="00C766FD" w:rsidP="00FC537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2011/2012 </w:t>
            </w:r>
            <w:r w:rsidR="00940418" w:rsidRPr="00ED7545">
              <w:rPr>
                <w:sz w:val="22"/>
                <w:szCs w:val="22"/>
              </w:rPr>
              <w:t>EU Communication on BS</w:t>
            </w:r>
            <w:r w:rsidRPr="00ED7545">
              <w:rPr>
                <w:sz w:val="22"/>
                <w:szCs w:val="22"/>
              </w:rPr>
              <w:t xml:space="preserve"> &amp; </w:t>
            </w:r>
            <w:r w:rsidR="00597EE6" w:rsidRPr="00ED7545">
              <w:rPr>
                <w:sz w:val="22"/>
                <w:szCs w:val="22"/>
              </w:rPr>
              <w:t>EU BS Guidelines,</w:t>
            </w:r>
            <w:r w:rsidRPr="00ED7545">
              <w:rPr>
                <w:sz w:val="22"/>
                <w:szCs w:val="22"/>
              </w:rPr>
              <w:t xml:space="preserve"> </w:t>
            </w:r>
            <w:r w:rsidR="00FC5370" w:rsidRPr="00ED7545">
              <w:rPr>
                <w:sz w:val="22"/>
                <w:szCs w:val="22"/>
              </w:rPr>
              <w:t>more rigorous approach of eligibility criteria, 3 kind of contracts, political dimension/EU Fundamental Values</w:t>
            </w:r>
            <w:r w:rsidRPr="00ED7545">
              <w:rPr>
                <w:sz w:val="22"/>
                <w:szCs w:val="22"/>
              </w:rPr>
              <w:t>, DRM…</w:t>
            </w:r>
          </w:p>
          <w:p w:rsidR="003B4DF9" w:rsidRPr="00ED7545" w:rsidRDefault="00FC5370" w:rsidP="00FC537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BS definition, principles and financial devices</w:t>
            </w:r>
          </w:p>
          <w:p w:rsidR="00FC5370" w:rsidRPr="00ED7545" w:rsidRDefault="00FC5370" w:rsidP="00FC5370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Intervention logic and objectives</w:t>
            </w:r>
          </w:p>
          <w:p w:rsidR="00FC5370" w:rsidRPr="00ED7545" w:rsidRDefault="00FC5370" w:rsidP="00FC537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Nature, expected benefits and limits of BS aid modality</w:t>
            </w:r>
          </w:p>
          <w:p w:rsidR="00FC5370" w:rsidRPr="00ED7545" w:rsidRDefault="00FC5370" w:rsidP="00FC537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Peculiarities compared to other aid modalities (policy dialogue, accountability, ownership, monitoring...)</w:t>
            </w:r>
            <w:r w:rsidR="000826AE" w:rsidRPr="00ED7545">
              <w:rPr>
                <w:sz w:val="22"/>
                <w:szCs w:val="22"/>
              </w:rPr>
              <w:t xml:space="preserve"> – </w:t>
            </w:r>
            <w:r w:rsidR="000826AE" w:rsidRPr="00ED7545">
              <w:rPr>
                <w:b/>
                <w:sz w:val="22"/>
                <w:szCs w:val="22"/>
              </w:rPr>
              <w:t>Link with blending modality</w:t>
            </w:r>
            <w:r w:rsidR="000826AE" w:rsidRPr="00ED7545">
              <w:rPr>
                <w:sz w:val="22"/>
                <w:szCs w:val="22"/>
              </w:rPr>
              <w:t>.</w:t>
            </w:r>
          </w:p>
        </w:tc>
      </w:tr>
      <w:tr w:rsidR="001E2BAA" w:rsidRPr="00ED7545" w:rsidTr="00875FD8">
        <w:trPr>
          <w:trHeight w:hRule="exact" w:val="403"/>
        </w:trPr>
        <w:tc>
          <w:tcPr>
            <w:tcW w:w="1258" w:type="pct"/>
            <w:shd w:val="pct20" w:color="auto" w:fill="244061" w:themeFill="accent1" w:themeFillShade="80"/>
          </w:tcPr>
          <w:p w:rsidR="001E2BAA" w:rsidRPr="00875FD8" w:rsidRDefault="001E2BAA" w:rsidP="0026311E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</w:t>
            </w:r>
            <w:r w:rsidR="0026311E" w:rsidRPr="00875FD8">
              <w:rPr>
                <w:rFonts w:ascii="Times New Roman" w:hAnsi="Times New Roman"/>
                <w:b/>
                <w:color w:val="FFFFFF" w:themeColor="background1"/>
              </w:rPr>
              <w:t>0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.</w:t>
            </w:r>
            <w:r w:rsidR="000826AE" w:rsidRPr="00875FD8">
              <w:rPr>
                <w:rFonts w:ascii="Times New Roman" w:hAnsi="Times New Roman"/>
                <w:b/>
                <w:color w:val="FFFFFF" w:themeColor="background1"/>
              </w:rPr>
              <w:t>30</w:t>
            </w:r>
            <w:r w:rsidR="007F23A0"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- 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1</w:t>
            </w:r>
            <w:r w:rsidR="00FC5370" w:rsidRPr="00875FD8">
              <w:rPr>
                <w:rFonts w:ascii="Times New Roman" w:hAnsi="Times New Roman"/>
                <w:b/>
                <w:color w:val="FFFFFF" w:themeColor="background1"/>
              </w:rPr>
              <w:t>0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.</w:t>
            </w:r>
            <w:r w:rsidR="00FC5370" w:rsidRPr="00875FD8">
              <w:rPr>
                <w:rFonts w:ascii="Times New Roman" w:hAnsi="Times New Roman"/>
                <w:b/>
                <w:color w:val="FFFFFF" w:themeColor="background1"/>
              </w:rPr>
              <w:t>45</w:t>
            </w:r>
          </w:p>
        </w:tc>
        <w:tc>
          <w:tcPr>
            <w:tcW w:w="3742" w:type="pct"/>
            <w:shd w:val="pct20" w:color="auto" w:fill="244061" w:themeFill="accent1" w:themeFillShade="80"/>
          </w:tcPr>
          <w:p w:rsidR="001E2BAA" w:rsidRPr="00875FD8" w:rsidRDefault="00FC5370" w:rsidP="00EF2E31">
            <w:pPr>
              <w:pStyle w:val="Heading6"/>
              <w:spacing w:before="20" w:after="60"/>
              <w:jc w:val="left"/>
              <w:rPr>
                <w:rFonts w:ascii="Times New Roman" w:hAnsi="Times New Roman"/>
                <w:color w:val="FFFFFF" w:themeColor="background1"/>
                <w:szCs w:val="22"/>
              </w:rPr>
            </w:pPr>
            <w:r w:rsidRPr="00875FD8">
              <w:rPr>
                <w:rFonts w:ascii="Times New Roman" w:hAnsi="Times New Roman"/>
                <w:color w:val="FFFFFF" w:themeColor="background1"/>
                <w:szCs w:val="22"/>
              </w:rPr>
              <w:t>Coffee</w:t>
            </w:r>
            <w:r w:rsidR="00EF2E31" w:rsidRPr="00875FD8">
              <w:rPr>
                <w:rFonts w:ascii="Times New Roman" w:hAnsi="Times New Roman"/>
                <w:color w:val="FFFFFF" w:themeColor="background1"/>
                <w:szCs w:val="22"/>
              </w:rPr>
              <w:t>/tea b</w:t>
            </w:r>
            <w:r w:rsidR="00940418" w:rsidRPr="00875FD8">
              <w:rPr>
                <w:rFonts w:ascii="Times New Roman" w:hAnsi="Times New Roman"/>
                <w:color w:val="FFFFFF" w:themeColor="background1"/>
                <w:szCs w:val="22"/>
              </w:rPr>
              <w:t>reak</w:t>
            </w:r>
          </w:p>
        </w:tc>
      </w:tr>
      <w:tr w:rsidR="002D7DC6" w:rsidRPr="00ED7545" w:rsidTr="00875FD8">
        <w:trPr>
          <w:trHeight w:val="660"/>
        </w:trPr>
        <w:tc>
          <w:tcPr>
            <w:tcW w:w="1258" w:type="pct"/>
          </w:tcPr>
          <w:p w:rsidR="002D7DC6" w:rsidRPr="00ED7545" w:rsidRDefault="00FC5370" w:rsidP="007C2443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10</w:t>
            </w:r>
            <w:r w:rsidR="00860041" w:rsidRPr="00ED7545">
              <w:rPr>
                <w:rFonts w:ascii="Times New Roman" w:hAnsi="Times New Roman"/>
                <w:b/>
              </w:rPr>
              <w:t>.</w:t>
            </w:r>
            <w:r w:rsidRPr="00ED7545">
              <w:rPr>
                <w:rFonts w:ascii="Times New Roman" w:hAnsi="Times New Roman"/>
                <w:b/>
              </w:rPr>
              <w:t>45</w:t>
            </w:r>
            <w:r w:rsidR="001E2BAA" w:rsidRPr="00ED7545">
              <w:rPr>
                <w:rFonts w:ascii="Times New Roman" w:hAnsi="Times New Roman"/>
                <w:b/>
              </w:rPr>
              <w:t xml:space="preserve"> – 1</w:t>
            </w:r>
            <w:r w:rsidR="00FE62D1" w:rsidRPr="00ED7545">
              <w:rPr>
                <w:rFonts w:ascii="Times New Roman" w:hAnsi="Times New Roman"/>
                <w:b/>
              </w:rPr>
              <w:t>2</w:t>
            </w:r>
            <w:r w:rsidR="00A40B87" w:rsidRPr="00ED7545">
              <w:rPr>
                <w:rFonts w:ascii="Times New Roman" w:hAnsi="Times New Roman"/>
                <w:b/>
              </w:rPr>
              <w:t>.30</w:t>
            </w:r>
          </w:p>
          <w:p w:rsidR="002D7DC6" w:rsidRPr="00ED7545" w:rsidRDefault="002D7DC6" w:rsidP="00EF1E6A">
            <w:pPr>
              <w:spacing w:before="20" w:after="60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742" w:type="pct"/>
          </w:tcPr>
          <w:p w:rsidR="00597EE6" w:rsidRPr="00ED7545" w:rsidRDefault="00B47DFE" w:rsidP="006E3975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Module </w:t>
            </w:r>
            <w:r w:rsidR="00FC5370" w:rsidRPr="00ED7545">
              <w:rPr>
                <w:rFonts w:ascii="Times New Roman" w:hAnsi="Times New Roman"/>
                <w:b/>
              </w:rPr>
              <w:t xml:space="preserve">1 - </w:t>
            </w:r>
            <w:r w:rsidR="00597EE6" w:rsidRPr="00ED7545">
              <w:rPr>
                <w:rFonts w:ascii="Times New Roman" w:hAnsi="Times New Roman"/>
                <w:b/>
              </w:rPr>
              <w:t>(end</w:t>
            </w:r>
            <w:r w:rsidR="00FC5370" w:rsidRPr="00ED7545">
              <w:rPr>
                <w:rFonts w:ascii="Times New Roman" w:hAnsi="Times New Roman"/>
                <w:b/>
              </w:rPr>
              <w:t>)</w:t>
            </w:r>
          </w:p>
          <w:p w:rsidR="00597EE6" w:rsidRPr="00ED7545" w:rsidRDefault="00FC5370" w:rsidP="006E3975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2</w:t>
            </w:r>
            <w:r w:rsidR="00534229" w:rsidRPr="00ED7545">
              <w:rPr>
                <w:rFonts w:ascii="Times New Roman" w:hAnsi="Times New Roman"/>
                <w:b/>
              </w:rPr>
              <w:t xml:space="preserve"> </w:t>
            </w:r>
            <w:r w:rsidR="005F2686" w:rsidRPr="00ED7545">
              <w:rPr>
                <w:rFonts w:ascii="Times New Roman" w:hAnsi="Times New Roman"/>
                <w:b/>
              </w:rPr>
              <w:t>–</w:t>
            </w:r>
            <w:r w:rsidR="00940418" w:rsidRPr="00ED7545">
              <w:rPr>
                <w:rFonts w:ascii="Times New Roman" w:hAnsi="Times New Roman"/>
                <w:b/>
              </w:rPr>
              <w:t xml:space="preserve"> </w:t>
            </w:r>
            <w:r w:rsidR="000826AE" w:rsidRPr="00ED7545">
              <w:rPr>
                <w:rFonts w:ascii="Times New Roman" w:hAnsi="Times New Roman"/>
                <w:b/>
              </w:rPr>
              <w:t>Back</w:t>
            </w:r>
            <w:r w:rsidR="00C766FD" w:rsidRPr="00ED7545">
              <w:rPr>
                <w:rFonts w:ascii="Times New Roman" w:hAnsi="Times New Roman"/>
                <w:b/>
              </w:rPr>
              <w:t xml:space="preserve">ground </w:t>
            </w:r>
            <w:r w:rsidR="00DD1481">
              <w:rPr>
                <w:rFonts w:ascii="Times New Roman" w:hAnsi="Times New Roman"/>
                <w:b/>
              </w:rPr>
              <w:t>–</w:t>
            </w:r>
            <w:r w:rsidR="00C766FD" w:rsidRPr="00ED7545">
              <w:rPr>
                <w:rFonts w:ascii="Times New Roman" w:hAnsi="Times New Roman"/>
                <w:b/>
              </w:rPr>
              <w:t xml:space="preserve"> </w:t>
            </w:r>
            <w:r w:rsidRPr="00ED7545">
              <w:rPr>
                <w:rFonts w:ascii="Times New Roman" w:hAnsi="Times New Roman"/>
                <w:b/>
              </w:rPr>
              <w:t>B</w:t>
            </w:r>
            <w:r w:rsidR="00DD1481">
              <w:rPr>
                <w:rFonts w:ascii="Times New Roman" w:hAnsi="Times New Roman"/>
                <w:b/>
              </w:rPr>
              <w:t xml:space="preserve">udget </w:t>
            </w:r>
            <w:r w:rsidRPr="00ED7545">
              <w:rPr>
                <w:rFonts w:ascii="Times New Roman" w:hAnsi="Times New Roman"/>
                <w:b/>
              </w:rPr>
              <w:t>S</w:t>
            </w:r>
            <w:r w:rsidR="00DD1481">
              <w:rPr>
                <w:rFonts w:ascii="Times New Roman" w:hAnsi="Times New Roman"/>
                <w:b/>
              </w:rPr>
              <w:t>upport</w:t>
            </w:r>
            <w:r w:rsidRPr="00ED7545">
              <w:rPr>
                <w:rFonts w:ascii="Times New Roman" w:hAnsi="Times New Roman"/>
                <w:b/>
              </w:rPr>
              <w:t xml:space="preserve"> operations in the Pacific</w:t>
            </w:r>
          </w:p>
          <w:p w:rsidR="0019588E" w:rsidRPr="00ED7545" w:rsidRDefault="0019588E" w:rsidP="0019588E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</w:t>
            </w:r>
            <w:r w:rsidR="00287CFD" w:rsidRPr="00ED7545">
              <w:rPr>
                <w:rFonts w:ascii="Times New Roman" w:hAnsi="Times New Roman"/>
                <w:b/>
                <w:i/>
              </w:rPr>
              <w:t>Trainer</w:t>
            </w:r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19588E" w:rsidRPr="00ED7545" w:rsidRDefault="0019588E" w:rsidP="0019588E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  <w:i/>
              </w:rPr>
              <w:t>(Moderators: DEVCO H 1-2 and A4</w:t>
            </w:r>
            <w:r w:rsidR="00017D3C" w:rsidRPr="00ED7545">
              <w:rPr>
                <w:rFonts w:ascii="Times New Roman" w:hAnsi="Times New Roman"/>
                <w:b/>
                <w:i/>
              </w:rPr>
              <w:t xml:space="preserve"> representatives</w:t>
            </w:r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19588E" w:rsidRPr="00ED7545" w:rsidRDefault="0019588E" w:rsidP="006E3975">
            <w:pPr>
              <w:jc w:val="left"/>
              <w:rPr>
                <w:rFonts w:ascii="Times New Roman" w:hAnsi="Times New Roman"/>
                <w:b/>
              </w:rPr>
            </w:pPr>
          </w:p>
          <w:p w:rsidR="004F1BC4" w:rsidRPr="00ED7545" w:rsidRDefault="004F1BC4" w:rsidP="004F1BC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Specific Macro, PFM, DRM, institutional and social environments and challenges in the region and impact for EU BS management and policy dialogue – </w:t>
            </w:r>
            <w:r w:rsidRPr="00ED7545">
              <w:rPr>
                <w:b/>
                <w:sz w:val="22"/>
                <w:szCs w:val="22"/>
              </w:rPr>
              <w:t>link with/prospect for blending</w:t>
            </w:r>
          </w:p>
          <w:p w:rsidR="005F2686" w:rsidRPr="00ED7545" w:rsidRDefault="00CE0E8A" w:rsidP="0079227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Review of </w:t>
            </w:r>
            <w:r w:rsidR="00597EE6" w:rsidRPr="00ED7545">
              <w:rPr>
                <w:sz w:val="22"/>
                <w:szCs w:val="22"/>
              </w:rPr>
              <w:t xml:space="preserve">main </w:t>
            </w:r>
            <w:r w:rsidRPr="00ED7545">
              <w:rPr>
                <w:sz w:val="22"/>
                <w:szCs w:val="22"/>
              </w:rPr>
              <w:t>programmes/contracts in the region</w:t>
            </w:r>
          </w:p>
          <w:p w:rsidR="00CE0E8A" w:rsidRPr="00ED7545" w:rsidRDefault="00CE0E8A" w:rsidP="0079227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Sectors of intervention and key EU supported areas of reforms </w:t>
            </w:r>
          </w:p>
          <w:p w:rsidR="00CE0E8A" w:rsidRPr="00ED7545" w:rsidRDefault="00CE0E8A" w:rsidP="0079227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Performance in fulfilment of eligibility criteria</w:t>
            </w:r>
          </w:p>
          <w:p w:rsidR="00597EE6" w:rsidRPr="00ED7545" w:rsidRDefault="00597EE6" w:rsidP="0079227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Key performance indicators of BS programmes </w:t>
            </w:r>
          </w:p>
          <w:p w:rsidR="004F1BC4" w:rsidRPr="00ED7545" w:rsidRDefault="009C7BD2" w:rsidP="004F1BC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EU and the key ODA stakeholders in the region… </w:t>
            </w:r>
            <w:r w:rsidR="00597EE6" w:rsidRPr="00ED7545">
              <w:rPr>
                <w:sz w:val="22"/>
                <w:szCs w:val="22"/>
              </w:rPr>
              <w:t xml:space="preserve"> </w:t>
            </w:r>
          </w:p>
          <w:p w:rsidR="009B1F8D" w:rsidRPr="00ED7545" w:rsidRDefault="009B1F8D" w:rsidP="00FC5370">
            <w:pPr>
              <w:tabs>
                <w:tab w:val="num" w:pos="720"/>
              </w:tabs>
              <w:jc w:val="left"/>
              <w:rPr>
                <w:rFonts w:ascii="Times New Roman" w:hAnsi="Times New Roman"/>
              </w:rPr>
            </w:pPr>
          </w:p>
        </w:tc>
      </w:tr>
      <w:tr w:rsidR="002D7DC6" w:rsidRPr="00ED7545" w:rsidTr="00875FD8">
        <w:trPr>
          <w:trHeight w:hRule="exact" w:val="393"/>
        </w:trPr>
        <w:tc>
          <w:tcPr>
            <w:tcW w:w="1258" w:type="pct"/>
            <w:shd w:val="clear" w:color="auto" w:fill="244061" w:themeFill="accent1" w:themeFillShade="80"/>
          </w:tcPr>
          <w:p w:rsidR="002D7DC6" w:rsidRPr="00875FD8" w:rsidRDefault="002D7DC6" w:rsidP="005246A8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</w:t>
            </w:r>
            <w:r w:rsidR="00FE62D1" w:rsidRPr="00875FD8">
              <w:rPr>
                <w:rFonts w:ascii="Times New Roman" w:hAnsi="Times New Roman"/>
                <w:b/>
                <w:color w:val="FFFFFF" w:themeColor="background1"/>
              </w:rPr>
              <w:t>2</w:t>
            </w:r>
            <w:r w:rsidR="005246A8" w:rsidRPr="00875FD8">
              <w:rPr>
                <w:rFonts w:ascii="Times New Roman" w:hAnsi="Times New Roman"/>
                <w:b/>
                <w:color w:val="FFFFFF" w:themeColor="background1"/>
              </w:rPr>
              <w:t>.</w:t>
            </w:r>
            <w:r w:rsidR="00A40B87" w:rsidRPr="00875FD8">
              <w:rPr>
                <w:rFonts w:ascii="Times New Roman" w:hAnsi="Times New Roman"/>
                <w:b/>
                <w:color w:val="FFFFFF" w:themeColor="background1"/>
              </w:rPr>
              <w:t>30</w:t>
            </w:r>
            <w:r w:rsidR="00860041"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="00CE0E8A" w:rsidRPr="00875FD8">
              <w:rPr>
                <w:rFonts w:ascii="Times New Roman" w:hAnsi="Times New Roman"/>
                <w:b/>
                <w:color w:val="FFFFFF" w:themeColor="background1"/>
              </w:rPr>
              <w:t>-</w:t>
            </w:r>
            <w:r w:rsidR="00860041"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="00A40B87" w:rsidRPr="00875FD8">
              <w:rPr>
                <w:rFonts w:ascii="Times New Roman" w:hAnsi="Times New Roman"/>
                <w:b/>
                <w:color w:val="FFFFFF" w:themeColor="background1"/>
              </w:rPr>
              <w:t>13.45</w:t>
            </w:r>
          </w:p>
        </w:tc>
        <w:tc>
          <w:tcPr>
            <w:tcW w:w="3742" w:type="pct"/>
            <w:shd w:val="clear" w:color="auto" w:fill="244061" w:themeFill="accent1" w:themeFillShade="80"/>
          </w:tcPr>
          <w:p w:rsidR="002D7DC6" w:rsidRPr="00875FD8" w:rsidRDefault="00CE0E8A" w:rsidP="00EF2E31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Lunch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/tea b</w:t>
            </w:r>
            <w:r w:rsidR="00940418"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5246A8" w:rsidRPr="00ED7545" w:rsidTr="00875FD8">
        <w:trPr>
          <w:trHeight w:hRule="exact" w:val="2661"/>
        </w:trPr>
        <w:tc>
          <w:tcPr>
            <w:tcW w:w="1258" w:type="pct"/>
            <w:shd w:val="clear" w:color="auto" w:fill="auto"/>
          </w:tcPr>
          <w:p w:rsidR="005246A8" w:rsidRPr="00ED7545" w:rsidRDefault="00137E20" w:rsidP="006912EF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</w:t>
            </w:r>
            <w:r w:rsidR="00A40B87" w:rsidRPr="00ED7545">
              <w:rPr>
                <w:rFonts w:ascii="Times New Roman" w:hAnsi="Times New Roman"/>
                <w:b/>
              </w:rPr>
              <w:t>3.45 - 15.15</w:t>
            </w:r>
          </w:p>
        </w:tc>
        <w:tc>
          <w:tcPr>
            <w:tcW w:w="3742" w:type="pct"/>
            <w:shd w:val="clear" w:color="auto" w:fill="auto"/>
          </w:tcPr>
          <w:p w:rsidR="00597EE6" w:rsidRPr="00ED7545" w:rsidRDefault="00DE3AF2" w:rsidP="00940418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Module 3 – </w:t>
            </w:r>
            <w:r w:rsidR="005F2686" w:rsidRPr="00ED7545">
              <w:rPr>
                <w:rFonts w:ascii="Times New Roman" w:hAnsi="Times New Roman"/>
                <w:b/>
              </w:rPr>
              <w:t xml:space="preserve"> </w:t>
            </w:r>
            <w:r w:rsidR="00523F48" w:rsidRPr="00ED7545">
              <w:rPr>
                <w:rFonts w:ascii="Times New Roman" w:hAnsi="Times New Roman"/>
                <w:b/>
              </w:rPr>
              <w:t>Commonalities of EU B</w:t>
            </w:r>
            <w:r w:rsidR="00DD1481">
              <w:rPr>
                <w:rFonts w:ascii="Times New Roman" w:hAnsi="Times New Roman"/>
                <w:b/>
              </w:rPr>
              <w:t xml:space="preserve">udget </w:t>
            </w:r>
            <w:r w:rsidR="00523F48" w:rsidRPr="00ED7545">
              <w:rPr>
                <w:rFonts w:ascii="Times New Roman" w:hAnsi="Times New Roman"/>
                <w:b/>
              </w:rPr>
              <w:t>S</w:t>
            </w:r>
            <w:r w:rsidR="00DD1481">
              <w:rPr>
                <w:rFonts w:ascii="Times New Roman" w:hAnsi="Times New Roman"/>
                <w:b/>
              </w:rPr>
              <w:t>upport</w:t>
            </w:r>
            <w:r w:rsidR="00523F48" w:rsidRPr="00ED7545">
              <w:rPr>
                <w:rFonts w:ascii="Times New Roman" w:hAnsi="Times New Roman"/>
                <w:b/>
              </w:rPr>
              <w:t xml:space="preserve"> c</w:t>
            </w:r>
            <w:r w:rsidR="00940418" w:rsidRPr="00ED7545">
              <w:rPr>
                <w:rFonts w:ascii="Times New Roman" w:hAnsi="Times New Roman"/>
                <w:b/>
              </w:rPr>
              <w:t>ontracts</w:t>
            </w:r>
            <w:r w:rsidR="000826AE" w:rsidRPr="00ED7545">
              <w:rPr>
                <w:rFonts w:ascii="Times New Roman" w:hAnsi="Times New Roman"/>
                <w:b/>
              </w:rPr>
              <w:t xml:space="preserve"> – the operational framework </w:t>
            </w:r>
          </w:p>
          <w:p w:rsidR="0019588E" w:rsidRPr="00ED7545" w:rsidRDefault="0019588E" w:rsidP="0019588E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</w:t>
            </w:r>
            <w:r w:rsidR="00287CFD" w:rsidRPr="00ED7545">
              <w:rPr>
                <w:rFonts w:ascii="Times New Roman" w:hAnsi="Times New Roman"/>
                <w:b/>
                <w:i/>
              </w:rPr>
              <w:t>Trainer</w:t>
            </w:r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19588E" w:rsidRPr="00ED7545" w:rsidRDefault="0019588E" w:rsidP="0019588E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  <w:i/>
              </w:rPr>
              <w:t>(Moderators: DEVCO H 1-2 and A4</w:t>
            </w:r>
            <w:r w:rsidR="00017D3C" w:rsidRPr="00ED7545">
              <w:rPr>
                <w:rFonts w:ascii="Times New Roman" w:hAnsi="Times New Roman"/>
                <w:b/>
                <w:i/>
              </w:rPr>
              <w:t xml:space="preserve"> representatives</w:t>
            </w:r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5F2686" w:rsidRPr="00ED7545" w:rsidRDefault="00940418" w:rsidP="00792272">
            <w:pPr>
              <w:pStyle w:val="ListParagraph"/>
              <w:numPr>
                <w:ilvl w:val="0"/>
                <w:numId w:val="8"/>
              </w:numPr>
              <w:tabs>
                <w:tab w:val="left" w:pos="431"/>
              </w:tabs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EU </w:t>
            </w:r>
            <w:r w:rsidR="00CE0E8A" w:rsidRPr="00ED7545">
              <w:rPr>
                <w:sz w:val="22"/>
                <w:szCs w:val="22"/>
              </w:rPr>
              <w:t xml:space="preserve">BS </w:t>
            </w:r>
            <w:r w:rsidRPr="00ED7545">
              <w:rPr>
                <w:sz w:val="22"/>
                <w:szCs w:val="22"/>
              </w:rPr>
              <w:t>governance mechanisms</w:t>
            </w:r>
          </w:p>
          <w:p w:rsidR="00CE0E8A" w:rsidRPr="00ED7545" w:rsidRDefault="00CE0E8A" w:rsidP="00792272">
            <w:pPr>
              <w:pStyle w:val="ListParagraph"/>
              <w:numPr>
                <w:ilvl w:val="0"/>
                <w:numId w:val="8"/>
              </w:numPr>
              <w:tabs>
                <w:tab w:val="left" w:pos="431"/>
              </w:tabs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Fundamental Values </w:t>
            </w:r>
          </w:p>
          <w:p w:rsidR="005F2686" w:rsidRPr="00ED7545" w:rsidRDefault="00ED7545" w:rsidP="00116215">
            <w:pPr>
              <w:pStyle w:val="ListParagraph"/>
              <w:numPr>
                <w:ilvl w:val="0"/>
                <w:numId w:val="8"/>
              </w:numPr>
              <w:tabs>
                <w:tab w:val="left" w:pos="4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four</w:t>
            </w:r>
            <w:r w:rsidR="00597EE6" w:rsidRPr="00ED7545">
              <w:rPr>
                <w:sz w:val="22"/>
                <w:szCs w:val="22"/>
              </w:rPr>
              <w:t xml:space="preserve"> </w:t>
            </w:r>
            <w:r w:rsidR="00940418" w:rsidRPr="00ED7545">
              <w:rPr>
                <w:sz w:val="22"/>
                <w:szCs w:val="22"/>
              </w:rPr>
              <w:t>Eligibility criteria assessment</w:t>
            </w:r>
            <w:r w:rsidR="00860041" w:rsidRPr="00ED7545">
              <w:rPr>
                <w:sz w:val="22"/>
                <w:szCs w:val="22"/>
              </w:rPr>
              <w:t xml:space="preserve"> (rationale, </w:t>
            </w:r>
            <w:r w:rsidR="00597EE6" w:rsidRPr="00ED7545">
              <w:rPr>
                <w:sz w:val="22"/>
                <w:szCs w:val="22"/>
              </w:rPr>
              <w:t>related policy dialogue</w:t>
            </w:r>
            <w:r w:rsidR="00860041" w:rsidRPr="00ED7545">
              <w:rPr>
                <w:sz w:val="22"/>
                <w:szCs w:val="22"/>
              </w:rPr>
              <w:t xml:space="preserve"> and assessment methodology and tools – when and how to assess) </w:t>
            </w:r>
          </w:p>
        </w:tc>
      </w:tr>
      <w:tr w:rsidR="002D7DC6" w:rsidRPr="00ED7545" w:rsidTr="00875FD8">
        <w:trPr>
          <w:trHeight w:hRule="exact" w:val="327"/>
        </w:trPr>
        <w:tc>
          <w:tcPr>
            <w:tcW w:w="1258" w:type="pct"/>
            <w:shd w:val="pct20" w:color="auto" w:fill="244061" w:themeFill="accent1" w:themeFillShade="80"/>
          </w:tcPr>
          <w:p w:rsidR="002D7DC6" w:rsidRPr="00875FD8" w:rsidRDefault="00A40B87" w:rsidP="00CE0E8A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15.15</w:t>
            </w:r>
            <w:r w:rsidR="00860041"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="00F52001" w:rsidRPr="00875FD8">
              <w:rPr>
                <w:rFonts w:ascii="Times New Roman" w:hAnsi="Times New Roman"/>
                <w:b/>
                <w:color w:val="FFFFFF" w:themeColor="background1"/>
              </w:rPr>
              <w:t>– 1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5.30</w:t>
            </w:r>
          </w:p>
        </w:tc>
        <w:tc>
          <w:tcPr>
            <w:tcW w:w="3742" w:type="pct"/>
            <w:shd w:val="pct20" w:color="auto" w:fill="244061" w:themeFill="accent1" w:themeFillShade="80"/>
          </w:tcPr>
          <w:p w:rsidR="002D7DC6" w:rsidRPr="00875FD8" w:rsidRDefault="00CE0E8A" w:rsidP="00665021">
            <w:pPr>
              <w:pStyle w:val="Heading6"/>
              <w:spacing w:before="20" w:after="60"/>
              <w:jc w:val="left"/>
              <w:rPr>
                <w:rFonts w:ascii="Times New Roman" w:hAnsi="Times New Roman"/>
                <w:color w:val="FFFFFF" w:themeColor="background1"/>
                <w:szCs w:val="22"/>
              </w:rPr>
            </w:pPr>
            <w:r w:rsidRPr="00875FD8">
              <w:rPr>
                <w:rFonts w:ascii="Times New Roman" w:hAnsi="Times New Roman"/>
                <w:color w:val="FFFFFF" w:themeColor="background1"/>
                <w:szCs w:val="22"/>
              </w:rPr>
              <w:t>Coffee</w:t>
            </w:r>
            <w:r w:rsidR="00EF2E31" w:rsidRPr="00875FD8">
              <w:rPr>
                <w:rFonts w:ascii="Times New Roman" w:hAnsi="Times New Roman"/>
                <w:color w:val="FFFFFF" w:themeColor="background1"/>
                <w:szCs w:val="22"/>
              </w:rPr>
              <w:t>/tea</w:t>
            </w:r>
            <w:r w:rsidRPr="00875FD8">
              <w:rPr>
                <w:rFonts w:ascii="Times New Roman" w:hAnsi="Times New Roman"/>
                <w:color w:val="FFFFFF" w:themeColor="background1"/>
                <w:szCs w:val="22"/>
              </w:rPr>
              <w:t xml:space="preserve"> b</w:t>
            </w:r>
            <w:r w:rsidR="0062196E" w:rsidRPr="00875FD8">
              <w:rPr>
                <w:rFonts w:ascii="Times New Roman" w:hAnsi="Times New Roman"/>
                <w:color w:val="FFFFFF" w:themeColor="background1"/>
                <w:szCs w:val="22"/>
              </w:rPr>
              <w:t>reak</w:t>
            </w:r>
          </w:p>
        </w:tc>
      </w:tr>
      <w:tr w:rsidR="001E2BAA" w:rsidRPr="00ED7545" w:rsidTr="00875FD8">
        <w:trPr>
          <w:trHeight w:hRule="exact" w:val="1291"/>
        </w:trPr>
        <w:tc>
          <w:tcPr>
            <w:tcW w:w="1258" w:type="pct"/>
            <w:shd w:val="clear" w:color="auto" w:fill="auto"/>
          </w:tcPr>
          <w:p w:rsidR="006546C0" w:rsidRPr="00ED7545" w:rsidRDefault="00F52001" w:rsidP="00FB2A82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</w:t>
            </w:r>
            <w:r w:rsidR="00A40B87" w:rsidRPr="00ED7545">
              <w:rPr>
                <w:rFonts w:ascii="Times New Roman" w:hAnsi="Times New Roman"/>
                <w:b/>
              </w:rPr>
              <w:t>5</w:t>
            </w:r>
            <w:r w:rsidRPr="00ED7545">
              <w:rPr>
                <w:rFonts w:ascii="Times New Roman" w:hAnsi="Times New Roman"/>
                <w:b/>
              </w:rPr>
              <w:t>.</w:t>
            </w:r>
            <w:r w:rsidR="00A40B87" w:rsidRPr="00ED7545">
              <w:rPr>
                <w:rFonts w:ascii="Times New Roman" w:hAnsi="Times New Roman"/>
                <w:b/>
              </w:rPr>
              <w:t>30</w:t>
            </w:r>
            <w:r w:rsidR="00CE0E8A" w:rsidRPr="00ED7545">
              <w:rPr>
                <w:rFonts w:ascii="Times New Roman" w:hAnsi="Times New Roman"/>
                <w:b/>
              </w:rPr>
              <w:t xml:space="preserve"> – 1</w:t>
            </w:r>
            <w:r w:rsidR="00A40B87" w:rsidRPr="00ED7545">
              <w:rPr>
                <w:rFonts w:ascii="Times New Roman" w:hAnsi="Times New Roman"/>
                <w:b/>
              </w:rPr>
              <w:t>7</w:t>
            </w:r>
            <w:r w:rsidR="00860041" w:rsidRPr="00ED7545">
              <w:rPr>
                <w:rFonts w:ascii="Times New Roman" w:hAnsi="Times New Roman"/>
                <w:b/>
              </w:rPr>
              <w:t>.</w:t>
            </w:r>
            <w:r w:rsidR="008F06A1" w:rsidRPr="00ED7545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3742" w:type="pct"/>
            <w:shd w:val="clear" w:color="auto" w:fill="auto"/>
          </w:tcPr>
          <w:p w:rsidR="00CE0E8A" w:rsidRPr="00ED7545" w:rsidRDefault="00CE0E8A" w:rsidP="00001D6D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3- Commonalities of EU B</w:t>
            </w:r>
            <w:r w:rsidR="00DD1481">
              <w:rPr>
                <w:rFonts w:ascii="Times New Roman" w:hAnsi="Times New Roman"/>
                <w:b/>
              </w:rPr>
              <w:t xml:space="preserve">udget </w:t>
            </w:r>
            <w:r w:rsidRPr="00ED7545">
              <w:rPr>
                <w:rFonts w:ascii="Times New Roman" w:hAnsi="Times New Roman"/>
                <w:b/>
              </w:rPr>
              <w:t>S</w:t>
            </w:r>
            <w:r w:rsidR="00DD1481">
              <w:rPr>
                <w:rFonts w:ascii="Times New Roman" w:hAnsi="Times New Roman"/>
                <w:b/>
              </w:rPr>
              <w:t>upport</w:t>
            </w:r>
            <w:r w:rsidRPr="00ED7545">
              <w:rPr>
                <w:rFonts w:ascii="Times New Roman" w:hAnsi="Times New Roman"/>
                <w:b/>
              </w:rPr>
              <w:t xml:space="preserve"> contract </w:t>
            </w:r>
            <w:r w:rsidR="000826AE" w:rsidRPr="00ED7545">
              <w:rPr>
                <w:rFonts w:ascii="Times New Roman" w:hAnsi="Times New Roman"/>
                <w:b/>
              </w:rPr>
              <w:t xml:space="preserve"> - the operational framework </w:t>
            </w:r>
            <w:r w:rsidRPr="00ED7545">
              <w:rPr>
                <w:rFonts w:ascii="Times New Roman" w:hAnsi="Times New Roman"/>
                <w:b/>
              </w:rPr>
              <w:t xml:space="preserve">(end) </w:t>
            </w:r>
          </w:p>
          <w:p w:rsidR="005F2686" w:rsidRPr="00ED7545" w:rsidRDefault="00597EE6" w:rsidP="0019588E">
            <w:pPr>
              <w:pStyle w:val="ListParagraph"/>
              <w:ind w:left="360"/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+ Risk Management Framework (link with eligibility criteria as well as policy dialogue)</w:t>
            </w:r>
          </w:p>
        </w:tc>
      </w:tr>
    </w:tbl>
    <w:p w:rsidR="002D7DC6" w:rsidRPr="00ED7545" w:rsidRDefault="002D7DC6" w:rsidP="00D05024">
      <w:pPr>
        <w:jc w:val="both"/>
        <w:rPr>
          <w:rFonts w:ascii="Times New Roman" w:hAnsi="Times New Roman"/>
        </w:rPr>
      </w:pPr>
    </w:p>
    <w:p w:rsidR="002D7DC6" w:rsidRPr="00ED7545" w:rsidRDefault="002D7DC6">
      <w:pPr>
        <w:rPr>
          <w:rFonts w:ascii="Times New Roman" w:hAnsi="Times New Roman"/>
        </w:rPr>
      </w:pPr>
      <w:r w:rsidRPr="00ED7545">
        <w:rPr>
          <w:rFonts w:ascii="Times New Roman" w:hAnsi="Times New Roman"/>
        </w:rPr>
        <w:br w:type="page"/>
      </w:r>
    </w:p>
    <w:tbl>
      <w:tblPr>
        <w:tblpPr w:leftFromText="141" w:rightFromText="141" w:vertAnchor="text" w:horzAnchor="margin" w:tblpXSpec="center" w:tblpY="781"/>
        <w:tblOverlap w:val="never"/>
        <w:tblW w:w="3777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526"/>
        <w:gridCol w:w="6661"/>
      </w:tblGrid>
      <w:tr w:rsidR="00875FD8" w:rsidRPr="00875FD8" w:rsidTr="00875FD8">
        <w:trPr>
          <w:trHeight w:val="269"/>
        </w:trPr>
        <w:tc>
          <w:tcPr>
            <w:tcW w:w="932" w:type="pct"/>
            <w:shd w:val="clear" w:color="auto" w:fill="244061" w:themeFill="accent1" w:themeFillShade="80"/>
            <w:vAlign w:val="center"/>
          </w:tcPr>
          <w:p w:rsidR="004866AD" w:rsidRPr="00875FD8" w:rsidRDefault="004866AD" w:rsidP="00875FD8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4068" w:type="pct"/>
            <w:shd w:val="clear" w:color="auto" w:fill="244061" w:themeFill="accent1" w:themeFillShade="80"/>
            <w:vAlign w:val="center"/>
          </w:tcPr>
          <w:p w:rsidR="004866AD" w:rsidRPr="00875FD8" w:rsidRDefault="0062196E" w:rsidP="00875FD8">
            <w:pPr>
              <w:spacing w:before="120" w:after="60"/>
              <w:jc w:val="left"/>
              <w:rPr>
                <w:rFonts w:ascii="Times New Roman" w:hAnsi="Times New Roman"/>
                <w:b/>
                <w:i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Day</w:t>
            </w:r>
            <w:r w:rsidR="004866AD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2</w:t>
            </w:r>
            <w:r w:rsidR="00597EE6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Tuesday 25</w:t>
            </w:r>
            <w:r w:rsidR="00597EE6" w:rsidRPr="00875FD8">
              <w:rPr>
                <w:rFonts w:ascii="Times New Roman" w:hAnsi="Times New Roman"/>
                <w:b/>
                <w:i/>
                <w:color w:val="FFFFFF" w:themeColor="background1"/>
                <w:vertAlign w:val="superscript"/>
              </w:rPr>
              <w:t>th</w:t>
            </w:r>
            <w:r w:rsidR="00597EE6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of October</w:t>
            </w:r>
          </w:p>
        </w:tc>
      </w:tr>
      <w:tr w:rsidR="004866AD" w:rsidRPr="00ED7545" w:rsidTr="00875FD8">
        <w:trPr>
          <w:trHeight w:val="269"/>
        </w:trPr>
        <w:tc>
          <w:tcPr>
            <w:tcW w:w="932" w:type="pct"/>
          </w:tcPr>
          <w:p w:rsidR="004121E3" w:rsidRPr="00ED7545" w:rsidRDefault="000826AE" w:rsidP="00A40B87">
            <w:pPr>
              <w:pStyle w:val="ListParagraph"/>
              <w:spacing w:before="20" w:after="60"/>
              <w:ind w:left="0"/>
              <w:rPr>
                <w:b/>
                <w:sz w:val="22"/>
                <w:szCs w:val="22"/>
              </w:rPr>
            </w:pPr>
            <w:r w:rsidRPr="00ED7545">
              <w:rPr>
                <w:b/>
                <w:sz w:val="22"/>
                <w:szCs w:val="22"/>
              </w:rPr>
              <w:t>8</w:t>
            </w:r>
            <w:r w:rsidR="001B4A27" w:rsidRPr="00ED7545">
              <w:rPr>
                <w:b/>
                <w:sz w:val="22"/>
                <w:szCs w:val="22"/>
              </w:rPr>
              <w:t>:3</w:t>
            </w:r>
            <w:r w:rsidR="003B4DF9" w:rsidRPr="00ED7545">
              <w:rPr>
                <w:b/>
                <w:sz w:val="22"/>
                <w:szCs w:val="22"/>
              </w:rPr>
              <w:t xml:space="preserve">0 - </w:t>
            </w:r>
            <w:r w:rsidR="00A40B87" w:rsidRPr="00ED7545">
              <w:rPr>
                <w:b/>
                <w:sz w:val="22"/>
                <w:szCs w:val="22"/>
              </w:rPr>
              <w:t>10.15</w:t>
            </w:r>
          </w:p>
        </w:tc>
        <w:tc>
          <w:tcPr>
            <w:tcW w:w="4068" w:type="pct"/>
          </w:tcPr>
          <w:p w:rsidR="00B056DA" w:rsidRPr="00ED7545" w:rsidRDefault="00A40B87" w:rsidP="00A40B87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ED7545">
              <w:rPr>
                <w:b/>
                <w:sz w:val="22"/>
                <w:szCs w:val="22"/>
              </w:rPr>
              <w:t>EU staff morning session I</w:t>
            </w:r>
          </w:p>
        </w:tc>
      </w:tr>
      <w:tr w:rsidR="00875FD8" w:rsidRPr="00875FD8" w:rsidTr="00875FD8">
        <w:trPr>
          <w:trHeight w:val="269"/>
        </w:trPr>
        <w:tc>
          <w:tcPr>
            <w:tcW w:w="932" w:type="pct"/>
            <w:shd w:val="clear" w:color="auto" w:fill="244061" w:themeFill="accent1" w:themeFillShade="80"/>
          </w:tcPr>
          <w:p w:rsidR="004866AD" w:rsidRPr="00875FD8" w:rsidRDefault="003B4DF9" w:rsidP="005555D2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10.</w:t>
            </w:r>
            <w:r w:rsidR="00A40B87" w:rsidRPr="00875FD8">
              <w:rPr>
                <w:rFonts w:ascii="Times New Roman" w:hAnsi="Times New Roman"/>
                <w:b/>
                <w:color w:val="FFFFFF" w:themeColor="background1"/>
              </w:rPr>
              <w:t>15 - 10.30</w:t>
            </w:r>
          </w:p>
        </w:tc>
        <w:tc>
          <w:tcPr>
            <w:tcW w:w="4068" w:type="pct"/>
            <w:shd w:val="clear" w:color="auto" w:fill="244061" w:themeFill="accent1" w:themeFillShade="80"/>
          </w:tcPr>
          <w:p w:rsidR="004866AD" w:rsidRPr="00875FD8" w:rsidRDefault="00457164" w:rsidP="00EF2E31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Coffee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/tea b</w:t>
            </w:r>
            <w:r w:rsidR="00743627"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4866AD" w:rsidRPr="00ED7545" w:rsidTr="00875FD8">
        <w:trPr>
          <w:trHeight w:val="269"/>
        </w:trPr>
        <w:tc>
          <w:tcPr>
            <w:tcW w:w="932" w:type="pct"/>
          </w:tcPr>
          <w:p w:rsidR="004866AD" w:rsidRPr="00ED7545" w:rsidRDefault="00457164" w:rsidP="004866AD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10</w:t>
            </w:r>
            <w:r w:rsidR="004866AD" w:rsidRPr="00ED7545">
              <w:rPr>
                <w:rFonts w:ascii="Times New Roman" w:hAnsi="Times New Roman"/>
                <w:b/>
              </w:rPr>
              <w:t>.</w:t>
            </w:r>
            <w:r w:rsidR="00A40B87" w:rsidRPr="00ED7545">
              <w:rPr>
                <w:rFonts w:ascii="Times New Roman" w:hAnsi="Times New Roman"/>
                <w:b/>
              </w:rPr>
              <w:t>30</w:t>
            </w:r>
            <w:r w:rsidR="00453EC8" w:rsidRPr="00ED7545">
              <w:rPr>
                <w:rFonts w:ascii="Times New Roman" w:hAnsi="Times New Roman"/>
                <w:b/>
              </w:rPr>
              <w:t xml:space="preserve"> </w:t>
            </w:r>
            <w:r w:rsidR="00D269D6" w:rsidRPr="00ED7545">
              <w:rPr>
                <w:rFonts w:ascii="Times New Roman" w:hAnsi="Times New Roman"/>
                <w:b/>
              </w:rPr>
              <w:t>– 12.30</w:t>
            </w:r>
          </w:p>
          <w:p w:rsidR="004866AD" w:rsidRPr="00ED7545" w:rsidRDefault="004866AD" w:rsidP="004866AD">
            <w:pPr>
              <w:spacing w:before="20" w:after="60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068" w:type="pct"/>
          </w:tcPr>
          <w:p w:rsidR="005F2686" w:rsidRPr="00ED7545" w:rsidRDefault="004866AD" w:rsidP="004866AD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</w:t>
            </w:r>
            <w:r w:rsidR="00AD14F2" w:rsidRPr="00ED7545">
              <w:rPr>
                <w:rFonts w:ascii="Times New Roman" w:hAnsi="Times New Roman"/>
                <w:b/>
              </w:rPr>
              <w:t xml:space="preserve"> 4 </w:t>
            </w:r>
            <w:r w:rsidRPr="00ED7545">
              <w:rPr>
                <w:rFonts w:ascii="Times New Roman" w:hAnsi="Times New Roman"/>
                <w:b/>
              </w:rPr>
              <w:t xml:space="preserve"> </w:t>
            </w:r>
            <w:r w:rsidR="00743627" w:rsidRPr="00ED7545">
              <w:rPr>
                <w:rFonts w:ascii="Times New Roman" w:hAnsi="Times New Roman"/>
                <w:b/>
              </w:rPr>
              <w:t xml:space="preserve">– </w:t>
            </w:r>
            <w:r w:rsidR="00AD14F2" w:rsidRPr="00ED7545">
              <w:rPr>
                <w:rFonts w:ascii="Times New Roman" w:hAnsi="Times New Roman"/>
                <w:b/>
              </w:rPr>
              <w:t xml:space="preserve"> Design and monitoring of BS contracts</w:t>
            </w:r>
          </w:p>
          <w:p w:rsidR="0019588E" w:rsidRPr="00ED7545" w:rsidRDefault="0019588E" w:rsidP="0019588E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</w:t>
            </w:r>
            <w:r w:rsidR="00287CFD" w:rsidRPr="00ED7545">
              <w:rPr>
                <w:rFonts w:ascii="Times New Roman" w:hAnsi="Times New Roman"/>
                <w:b/>
                <w:i/>
              </w:rPr>
              <w:t>Trainer</w:t>
            </w:r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19588E" w:rsidRPr="00ED7545" w:rsidRDefault="0019588E" w:rsidP="0019588E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  <w:i/>
              </w:rPr>
              <w:t>(Moderators: DEVCO H 1-2 and A4</w:t>
            </w:r>
            <w:r w:rsidR="00017D3C" w:rsidRPr="00ED7545">
              <w:rPr>
                <w:rFonts w:ascii="Times New Roman" w:hAnsi="Times New Roman"/>
                <w:b/>
                <w:i/>
              </w:rPr>
              <w:t xml:space="preserve"> representatives</w:t>
            </w:r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A40B87" w:rsidRPr="00ED7545" w:rsidRDefault="00A40B87" w:rsidP="00A40B8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BS and the programming cycle (identification/formulation  -Action Document</w:t>
            </w:r>
            <w:r w:rsidR="00D269D6" w:rsidRPr="00ED7545">
              <w:rPr>
                <w:sz w:val="22"/>
                <w:szCs w:val="22"/>
              </w:rPr>
              <w:t>, financing agreement</w:t>
            </w:r>
            <w:r w:rsidRPr="00ED7545">
              <w:rPr>
                <w:sz w:val="22"/>
                <w:szCs w:val="22"/>
              </w:rPr>
              <w:t xml:space="preserve"> -</w:t>
            </w:r>
            <w:r w:rsidR="00D269D6" w:rsidRPr="00ED7545">
              <w:rPr>
                <w:sz w:val="22"/>
                <w:szCs w:val="22"/>
              </w:rPr>
              <w:t>)</w:t>
            </w:r>
            <w:r w:rsidRPr="00ED7545">
              <w:rPr>
                <w:sz w:val="22"/>
                <w:szCs w:val="22"/>
              </w:rPr>
              <w:t xml:space="preserve"> and implementation/monitoring</w:t>
            </w:r>
          </w:p>
          <w:p w:rsidR="00A40B87" w:rsidRPr="00ED7545" w:rsidRDefault="00A40B87" w:rsidP="00A40B8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Key issues at the design stage: </w:t>
            </w:r>
          </w:p>
          <w:p w:rsidR="00A40B87" w:rsidRPr="00ED7545" w:rsidRDefault="00A40B87" w:rsidP="00A40B87">
            <w:pPr>
              <w:pStyle w:val="ListParagraph"/>
              <w:numPr>
                <w:ilvl w:val="1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BS inputs: financial support, fixed/variable components, policy dialogue, capacity development</w:t>
            </w:r>
            <w:r w:rsidR="00D269D6" w:rsidRPr="00ED7545">
              <w:rPr>
                <w:sz w:val="22"/>
                <w:szCs w:val="22"/>
              </w:rPr>
              <w:t>/complementary support</w:t>
            </w:r>
            <w:r w:rsidRPr="00ED7545">
              <w:rPr>
                <w:sz w:val="22"/>
                <w:szCs w:val="22"/>
              </w:rPr>
              <w:t xml:space="preserve">, PAF and performance indicators </w:t>
            </w:r>
          </w:p>
          <w:p w:rsidR="00116215" w:rsidRPr="00ED7545" w:rsidRDefault="00116215" w:rsidP="00A40B87">
            <w:pPr>
              <w:pStyle w:val="ListParagraph"/>
              <w:numPr>
                <w:ilvl w:val="1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Logic of intervention</w:t>
            </w:r>
          </w:p>
          <w:p w:rsidR="00A40B87" w:rsidRPr="00ED7545" w:rsidRDefault="00A40B87" w:rsidP="00A40B87">
            <w:pPr>
              <w:pStyle w:val="ListParagraph"/>
              <w:numPr>
                <w:ilvl w:val="1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Risk assessment</w:t>
            </w:r>
          </w:p>
          <w:p w:rsidR="00A40B87" w:rsidRPr="00ED7545" w:rsidRDefault="00A40B87" w:rsidP="00A40B8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Key issues at the implementation/monitoring stage: policy dialogue, monitoring of eligibility criteria and performance measurement (fixed and variable tranches), risk management and mitigation, capitalisation on BS capacity development activities</w:t>
            </w:r>
            <w:r w:rsidR="00D269D6" w:rsidRPr="00ED7545">
              <w:rPr>
                <w:sz w:val="22"/>
                <w:szCs w:val="22"/>
              </w:rPr>
              <w:t>, donors coordination</w:t>
            </w:r>
            <w:r w:rsidRPr="00ED7545">
              <w:rPr>
                <w:sz w:val="22"/>
                <w:szCs w:val="22"/>
              </w:rPr>
              <w:t xml:space="preserve">…   </w:t>
            </w:r>
          </w:p>
          <w:p w:rsidR="00AD14F2" w:rsidRPr="00ED7545" w:rsidRDefault="00AD14F2" w:rsidP="00A40B8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Operational issues for the Government (</w:t>
            </w:r>
            <w:r w:rsidR="007B114E" w:rsidRPr="00ED7545">
              <w:rPr>
                <w:sz w:val="22"/>
                <w:szCs w:val="22"/>
              </w:rPr>
              <w:t xml:space="preserve">monitoring of public policies and macro/PFM/institutional reforms process, </w:t>
            </w:r>
            <w:r w:rsidR="0042251D" w:rsidRPr="00ED7545">
              <w:rPr>
                <w:sz w:val="22"/>
                <w:szCs w:val="22"/>
              </w:rPr>
              <w:t xml:space="preserve">communication and exchange of information with the EUD, </w:t>
            </w:r>
            <w:r w:rsidR="007B114E" w:rsidRPr="00ED7545">
              <w:rPr>
                <w:sz w:val="22"/>
                <w:szCs w:val="22"/>
              </w:rPr>
              <w:t xml:space="preserve">preparation of BS payment requests, coordination of BS donors…) </w:t>
            </w:r>
            <w:r w:rsidRPr="00ED7545">
              <w:rPr>
                <w:sz w:val="22"/>
                <w:szCs w:val="22"/>
              </w:rPr>
              <w:t xml:space="preserve">  </w:t>
            </w:r>
          </w:p>
          <w:p w:rsidR="007B114E" w:rsidRPr="00ED7545" w:rsidRDefault="007B114E" w:rsidP="00A40B8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Operational issues for the </w:t>
            </w:r>
            <w:r w:rsidR="00AD14F2" w:rsidRPr="00ED7545">
              <w:rPr>
                <w:sz w:val="22"/>
                <w:szCs w:val="22"/>
              </w:rPr>
              <w:t>EUD (</w:t>
            </w:r>
            <w:r w:rsidRPr="00ED7545">
              <w:rPr>
                <w:sz w:val="22"/>
                <w:szCs w:val="22"/>
              </w:rPr>
              <w:t>policy dialogue, continuum in BS performance monitoring, preparation of payment file, PFM annual report, RMF…)</w:t>
            </w:r>
          </w:p>
          <w:p w:rsidR="000F2535" w:rsidRPr="00ED7545" w:rsidRDefault="00AD14F2" w:rsidP="0019588E">
            <w:pPr>
              <w:numPr>
                <w:ilvl w:val="0"/>
                <w:numId w:val="16"/>
              </w:numPr>
              <w:jc w:val="left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>Brief presentation of OECD/DAC BS Evaluation methodology and lessons learnt so far from BS evaluations</w:t>
            </w:r>
            <w:r w:rsidR="0019588E" w:rsidRPr="00ED7545">
              <w:rPr>
                <w:rFonts w:ascii="Times New Roman" w:hAnsi="Times New Roman"/>
              </w:rPr>
              <w:t>.</w:t>
            </w:r>
          </w:p>
        </w:tc>
      </w:tr>
      <w:tr w:rsidR="00875FD8" w:rsidRPr="00875FD8" w:rsidTr="00875FD8">
        <w:trPr>
          <w:trHeight w:val="269"/>
        </w:trPr>
        <w:tc>
          <w:tcPr>
            <w:tcW w:w="932" w:type="pct"/>
            <w:shd w:val="clear" w:color="auto" w:fill="244061" w:themeFill="accent1" w:themeFillShade="80"/>
          </w:tcPr>
          <w:p w:rsidR="004866AD" w:rsidRPr="00875FD8" w:rsidRDefault="00860041" w:rsidP="004866AD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12.</w:t>
            </w:r>
            <w:r w:rsidR="00D269D6" w:rsidRPr="00875FD8">
              <w:rPr>
                <w:rFonts w:ascii="Times New Roman" w:hAnsi="Times New Roman"/>
                <w:b/>
                <w:color w:val="FFFFFF" w:themeColor="background1"/>
              </w:rPr>
              <w:t>30 -13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.</w:t>
            </w:r>
            <w:r w:rsidR="00D269D6" w:rsidRPr="00875FD8">
              <w:rPr>
                <w:rFonts w:ascii="Times New Roman" w:hAnsi="Times New Roman"/>
                <w:b/>
                <w:color w:val="FFFFFF" w:themeColor="background1"/>
              </w:rPr>
              <w:t>45</w:t>
            </w:r>
          </w:p>
        </w:tc>
        <w:tc>
          <w:tcPr>
            <w:tcW w:w="4068" w:type="pct"/>
            <w:shd w:val="clear" w:color="auto" w:fill="244061" w:themeFill="accent1" w:themeFillShade="80"/>
          </w:tcPr>
          <w:p w:rsidR="00100919" w:rsidRPr="00875FD8" w:rsidRDefault="00AD14F2" w:rsidP="004866AD">
            <w:pPr>
              <w:tabs>
                <w:tab w:val="num" w:pos="720"/>
              </w:tabs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Lunch 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b</w:t>
            </w:r>
            <w:r w:rsidR="00743627"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4866AD" w:rsidRPr="00ED7545" w:rsidTr="00875FD8">
        <w:trPr>
          <w:trHeight w:val="269"/>
        </w:trPr>
        <w:tc>
          <w:tcPr>
            <w:tcW w:w="932" w:type="pct"/>
          </w:tcPr>
          <w:p w:rsidR="004866AD" w:rsidRPr="00ED7545" w:rsidRDefault="00D269D6" w:rsidP="004866AD">
            <w:pPr>
              <w:spacing w:before="20" w:after="60"/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13</w:t>
            </w:r>
            <w:r w:rsidR="00860041" w:rsidRPr="00ED7545">
              <w:rPr>
                <w:rFonts w:ascii="Times New Roman" w:hAnsi="Times New Roman"/>
                <w:b/>
                <w:i/>
              </w:rPr>
              <w:t>.</w:t>
            </w:r>
            <w:r w:rsidRPr="00ED7545">
              <w:rPr>
                <w:rFonts w:ascii="Times New Roman" w:hAnsi="Times New Roman"/>
                <w:b/>
                <w:i/>
              </w:rPr>
              <w:t>45 – 15.15</w:t>
            </w:r>
          </w:p>
          <w:p w:rsidR="004866AD" w:rsidRPr="00ED7545" w:rsidRDefault="004866AD" w:rsidP="00EF1E6A">
            <w:pPr>
              <w:spacing w:before="20" w:after="6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068" w:type="pct"/>
          </w:tcPr>
          <w:p w:rsidR="00A40B87" w:rsidRPr="00ED7545" w:rsidRDefault="00A40B87" w:rsidP="006912EF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4 (End</w:t>
            </w:r>
            <w:r w:rsidR="00D269D6" w:rsidRPr="00ED7545">
              <w:rPr>
                <w:rFonts w:ascii="Times New Roman" w:hAnsi="Times New Roman"/>
                <w:b/>
              </w:rPr>
              <w:t>)</w:t>
            </w:r>
          </w:p>
          <w:p w:rsidR="000F2535" w:rsidRPr="00ED7545" w:rsidRDefault="005B1CA9" w:rsidP="000F2535">
            <w:pPr>
              <w:jc w:val="left"/>
              <w:rPr>
                <w:rFonts w:ascii="Times New Roman" w:hAnsi="Times New Roman"/>
                <w:i/>
              </w:rPr>
            </w:pPr>
            <w:r w:rsidRPr="00ED7545">
              <w:rPr>
                <w:rFonts w:ascii="Times New Roman" w:hAnsi="Times New Roman"/>
                <w:i/>
              </w:rPr>
              <w:t xml:space="preserve">+ </w:t>
            </w:r>
            <w:r w:rsidR="00D269D6" w:rsidRPr="00ED7545">
              <w:rPr>
                <w:rFonts w:ascii="Times New Roman" w:hAnsi="Times New Roman"/>
                <w:i/>
              </w:rPr>
              <w:t>Case study</w:t>
            </w:r>
            <w:r w:rsidR="008E7881" w:rsidRPr="00ED7545">
              <w:rPr>
                <w:rFonts w:ascii="Times New Roman" w:hAnsi="Times New Roman"/>
                <w:i/>
              </w:rPr>
              <w:t xml:space="preserve"> </w:t>
            </w:r>
            <w:r w:rsidR="00D269D6" w:rsidRPr="00ED7545">
              <w:rPr>
                <w:rFonts w:ascii="Times New Roman" w:hAnsi="Times New Roman"/>
                <w:i/>
              </w:rPr>
              <w:t>or presentation</w:t>
            </w:r>
            <w:r w:rsidRPr="00ED7545">
              <w:rPr>
                <w:rFonts w:ascii="Times New Roman" w:hAnsi="Times New Roman"/>
                <w:i/>
              </w:rPr>
              <w:t>s</w:t>
            </w:r>
            <w:r w:rsidR="00D269D6" w:rsidRPr="00ED7545">
              <w:rPr>
                <w:rFonts w:ascii="Times New Roman" w:hAnsi="Times New Roman"/>
                <w:i/>
              </w:rPr>
              <w:t>/sharing of</w:t>
            </w:r>
            <w:r w:rsidRPr="00ED7545">
              <w:rPr>
                <w:rFonts w:ascii="Times New Roman" w:hAnsi="Times New Roman"/>
                <w:i/>
              </w:rPr>
              <w:t xml:space="preserve"> EUD and national counterparts’ experiences on</w:t>
            </w:r>
            <w:r w:rsidR="00D269D6" w:rsidRPr="00ED7545">
              <w:rPr>
                <w:rFonts w:ascii="Times New Roman" w:hAnsi="Times New Roman"/>
                <w:i/>
              </w:rPr>
              <w:t xml:space="preserve"> BS manageme</w:t>
            </w:r>
            <w:r w:rsidRPr="00ED7545">
              <w:rPr>
                <w:rFonts w:ascii="Times New Roman" w:hAnsi="Times New Roman"/>
                <w:i/>
              </w:rPr>
              <w:t>nt</w:t>
            </w:r>
            <w:r w:rsidR="00D269D6" w:rsidRPr="00ED7545">
              <w:rPr>
                <w:rFonts w:ascii="Times New Roman" w:hAnsi="Times New Roman"/>
                <w:i/>
              </w:rPr>
              <w:t xml:space="preserve"> </w:t>
            </w:r>
          </w:p>
          <w:p w:rsidR="000F2535" w:rsidRPr="00ED7545" w:rsidRDefault="0019588E" w:rsidP="000F2535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(Presentations from EUD and national counterparts on EU B</w:t>
            </w:r>
            <w:r w:rsidR="00474405">
              <w:rPr>
                <w:rFonts w:ascii="Times New Roman" w:hAnsi="Times New Roman"/>
                <w:b/>
                <w:i/>
              </w:rPr>
              <w:t xml:space="preserve">udget </w:t>
            </w:r>
            <w:r w:rsidRPr="00ED7545">
              <w:rPr>
                <w:rFonts w:ascii="Times New Roman" w:hAnsi="Times New Roman"/>
                <w:b/>
                <w:i/>
              </w:rPr>
              <w:t>S</w:t>
            </w:r>
            <w:r w:rsidR="00474405">
              <w:rPr>
                <w:rFonts w:ascii="Times New Roman" w:hAnsi="Times New Roman"/>
                <w:b/>
                <w:i/>
              </w:rPr>
              <w:t>upport</w:t>
            </w:r>
            <w:r w:rsidRPr="00ED7545">
              <w:rPr>
                <w:rFonts w:ascii="Times New Roman" w:hAnsi="Times New Roman"/>
                <w:b/>
                <w:i/>
              </w:rPr>
              <w:t xml:space="preserve"> experiences – to be defined)</w:t>
            </w:r>
          </w:p>
          <w:p w:rsidR="00302544" w:rsidRPr="00ED7545" w:rsidRDefault="00302544" w:rsidP="000F2535">
            <w:pPr>
              <w:jc w:val="left"/>
              <w:rPr>
                <w:rFonts w:ascii="Times New Roman" w:hAnsi="Times New Roman"/>
                <w:i/>
              </w:rPr>
            </w:pPr>
          </w:p>
        </w:tc>
      </w:tr>
      <w:tr w:rsidR="00875FD8" w:rsidRPr="00875FD8" w:rsidTr="00875FD8">
        <w:trPr>
          <w:trHeight w:val="269"/>
        </w:trPr>
        <w:tc>
          <w:tcPr>
            <w:tcW w:w="932" w:type="pct"/>
            <w:shd w:val="clear" w:color="auto" w:fill="244061" w:themeFill="accent1" w:themeFillShade="80"/>
          </w:tcPr>
          <w:p w:rsidR="004866AD" w:rsidRPr="00875FD8" w:rsidRDefault="00D269D6" w:rsidP="005555D2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15</w:t>
            </w:r>
            <w:r w:rsidR="00860041" w:rsidRPr="00875FD8">
              <w:rPr>
                <w:rFonts w:ascii="Times New Roman" w:hAnsi="Times New Roman"/>
                <w:b/>
                <w:color w:val="FFFFFF" w:themeColor="background1"/>
              </w:rPr>
              <w:t>.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15 – 15.30</w:t>
            </w:r>
          </w:p>
        </w:tc>
        <w:tc>
          <w:tcPr>
            <w:tcW w:w="4068" w:type="pct"/>
            <w:shd w:val="clear" w:color="auto" w:fill="244061" w:themeFill="accent1" w:themeFillShade="80"/>
          </w:tcPr>
          <w:p w:rsidR="004866AD" w:rsidRPr="00875FD8" w:rsidRDefault="00EF2E31" w:rsidP="004866AD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Coffee/tea b</w:t>
            </w:r>
            <w:r w:rsidR="00743627"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</w:tbl>
    <w:p w:rsidR="005E012A" w:rsidRPr="00ED7545" w:rsidRDefault="005E012A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781"/>
        <w:tblOverlap w:val="never"/>
        <w:tblW w:w="3777" w:type="pct"/>
        <w:tblBorders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auto"/>
          <w:insideV w:val="single" w:sz="6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526"/>
        <w:gridCol w:w="6661"/>
      </w:tblGrid>
      <w:tr w:rsidR="005E012A" w:rsidRPr="00ED7545" w:rsidTr="00875FD8">
        <w:trPr>
          <w:trHeight w:val="836"/>
        </w:trPr>
        <w:tc>
          <w:tcPr>
            <w:tcW w:w="932" w:type="pct"/>
          </w:tcPr>
          <w:p w:rsidR="005E012A" w:rsidRPr="00ED7545" w:rsidRDefault="008F06A1" w:rsidP="00100919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15.30 – 17.00</w:t>
            </w:r>
          </w:p>
          <w:p w:rsidR="005E012A" w:rsidRPr="00ED7545" w:rsidRDefault="005E012A" w:rsidP="00100919">
            <w:pPr>
              <w:spacing w:before="20" w:after="60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068" w:type="pct"/>
          </w:tcPr>
          <w:p w:rsidR="005E012A" w:rsidRPr="00ED7545" w:rsidRDefault="007B114E" w:rsidP="00100919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5 – Update on the revision of the 2012 EU BS Guidelines</w:t>
            </w:r>
          </w:p>
          <w:p w:rsidR="005B1CA9" w:rsidRPr="00ED7545" w:rsidRDefault="00017D3C" w:rsidP="004F1BC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 xml:space="preserve">Presentation from </w:t>
            </w:r>
            <w:r w:rsidR="005B1CA9" w:rsidRPr="00ED7545">
              <w:rPr>
                <w:rFonts w:ascii="Times New Roman" w:hAnsi="Times New Roman"/>
                <w:b/>
                <w:i/>
              </w:rPr>
              <w:t>DEVCO A4</w:t>
            </w:r>
            <w:r w:rsidRPr="00ED7545">
              <w:rPr>
                <w:rFonts w:ascii="Times New Roman" w:hAnsi="Times New Roman"/>
                <w:b/>
                <w:i/>
              </w:rPr>
              <w:t xml:space="preserve"> representative</w:t>
            </w:r>
          </w:p>
          <w:p w:rsidR="00017D3C" w:rsidRPr="00ED7545" w:rsidRDefault="00017D3C" w:rsidP="004F1BC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 xml:space="preserve">Moderators: DEVCO H representatives, </w:t>
            </w:r>
            <w:r w:rsidR="00287CFD" w:rsidRPr="00ED7545">
              <w:rPr>
                <w:rFonts w:ascii="Times New Roman" w:hAnsi="Times New Roman"/>
                <w:b/>
                <w:i/>
              </w:rPr>
              <w:t>trainer</w:t>
            </w:r>
            <w:r w:rsidRPr="00ED754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4F1BC4" w:rsidRPr="00ED7545" w:rsidRDefault="004F1BC4" w:rsidP="004F1BC4">
            <w:pPr>
              <w:jc w:val="both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>Content to be defined</w:t>
            </w:r>
            <w:r w:rsidR="00866ED5" w:rsidRPr="00ED7545">
              <w:rPr>
                <w:rFonts w:ascii="Times New Roman" w:hAnsi="Times New Roman"/>
              </w:rPr>
              <w:t xml:space="preserve"> (programming cycle, Action Document, QSG process, centrality of RMF for the BSSC and simplification process for BS payments, new annexes on DRM, Policy dialogue, BS in decentralised environment….) </w:t>
            </w:r>
          </w:p>
        </w:tc>
      </w:tr>
    </w:tbl>
    <w:p w:rsidR="005F2686" w:rsidRPr="00ED7545" w:rsidRDefault="005F2686">
      <w:pPr>
        <w:rPr>
          <w:rFonts w:ascii="Times New Roman" w:hAnsi="Times New Roman"/>
        </w:rPr>
      </w:pPr>
      <w:r w:rsidRPr="00ED7545">
        <w:rPr>
          <w:rFonts w:ascii="Times New Roman" w:hAnsi="Times New Roman"/>
        </w:rPr>
        <w:br w:type="page"/>
      </w:r>
      <w:r w:rsidRPr="00ED7545">
        <w:rPr>
          <w:rFonts w:ascii="Times New Roman" w:hAnsi="Times New Roman"/>
        </w:rPr>
        <w:lastRenderedPageBreak/>
        <w:tab/>
      </w:r>
      <w:r w:rsidRPr="00ED7545">
        <w:rPr>
          <w:rFonts w:ascii="Times New Roman" w:hAnsi="Times New Roman"/>
        </w:rPr>
        <w:tab/>
      </w:r>
      <w:r w:rsidRPr="00ED7545">
        <w:rPr>
          <w:rFonts w:ascii="Times New Roman" w:hAnsi="Times New Roman"/>
        </w:rPr>
        <w:tab/>
      </w:r>
    </w:p>
    <w:p w:rsidR="00BC25B9" w:rsidRPr="00ED7545" w:rsidRDefault="00BC25B9" w:rsidP="00F129E0">
      <w:pPr>
        <w:jc w:val="both"/>
        <w:rPr>
          <w:rFonts w:ascii="Times New Roman" w:hAnsi="Times New Roman"/>
        </w:rPr>
      </w:pPr>
    </w:p>
    <w:p w:rsidR="00BC25B9" w:rsidRPr="00ED7545" w:rsidRDefault="00BC25B9" w:rsidP="00DF7271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26"/>
        <w:tblOverlap w:val="never"/>
        <w:tblW w:w="3842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526"/>
        <w:gridCol w:w="6802"/>
      </w:tblGrid>
      <w:tr w:rsidR="00A75BFB" w:rsidRPr="00875FD8" w:rsidTr="00D9035B">
        <w:trPr>
          <w:trHeight w:val="269"/>
        </w:trPr>
        <w:tc>
          <w:tcPr>
            <w:tcW w:w="916" w:type="pct"/>
            <w:shd w:val="clear" w:color="auto" w:fill="244061" w:themeFill="accent1" w:themeFillShade="80"/>
          </w:tcPr>
          <w:p w:rsidR="00A75BFB" w:rsidRPr="00875FD8" w:rsidRDefault="00A75BFB" w:rsidP="00A75BFB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4084" w:type="pct"/>
            <w:shd w:val="clear" w:color="auto" w:fill="244061" w:themeFill="accent1" w:themeFillShade="80"/>
            <w:vAlign w:val="center"/>
          </w:tcPr>
          <w:p w:rsidR="00A75BFB" w:rsidRPr="00875FD8" w:rsidRDefault="00A75BFB" w:rsidP="00A75BFB">
            <w:pPr>
              <w:spacing w:before="120" w:after="60"/>
              <w:jc w:val="left"/>
              <w:rPr>
                <w:rFonts w:ascii="Times New Roman" w:hAnsi="Times New Roman"/>
                <w:b/>
                <w:i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Day 3 Wednesday 26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  <w:vertAlign w:val="superscript"/>
              </w:rPr>
              <w:t>th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of October (Blending</w:t>
            </w:r>
            <w:r w:rsidR="00D9035B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and complementarity with Budget Support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)</w:t>
            </w:r>
          </w:p>
        </w:tc>
      </w:tr>
      <w:tr w:rsidR="00A75BFB" w:rsidRPr="00ED7545" w:rsidTr="00D9035B">
        <w:trPr>
          <w:trHeight w:val="269"/>
        </w:trPr>
        <w:tc>
          <w:tcPr>
            <w:tcW w:w="916" w:type="pct"/>
          </w:tcPr>
          <w:p w:rsidR="00A75BFB" w:rsidRPr="00ED7545" w:rsidRDefault="00A75BFB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08.30 – 10.30</w:t>
            </w:r>
          </w:p>
        </w:tc>
        <w:tc>
          <w:tcPr>
            <w:tcW w:w="4084" w:type="pct"/>
          </w:tcPr>
          <w:p w:rsidR="00A75BFB" w:rsidRDefault="00A75BFB" w:rsidP="00A75BFB">
            <w:pPr>
              <w:jc w:val="both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>Blending introduction</w:t>
            </w:r>
            <w:r w:rsidR="00D9035B">
              <w:rPr>
                <w:rFonts w:ascii="Times New Roman" w:hAnsi="Times New Roman"/>
              </w:rPr>
              <w:t xml:space="preserve"> </w:t>
            </w:r>
          </w:p>
          <w:p w:rsidR="00A75BFB" w:rsidRPr="00ED7545" w:rsidRDefault="00A75BFB" w:rsidP="00D9035B">
            <w:pPr>
              <w:jc w:val="both"/>
              <w:rPr>
                <w:rFonts w:ascii="Times New Roman" w:hAnsi="Times New Roman"/>
              </w:rPr>
            </w:pPr>
          </w:p>
        </w:tc>
      </w:tr>
      <w:tr w:rsidR="00A75BFB" w:rsidRPr="00875FD8" w:rsidTr="00D9035B">
        <w:trPr>
          <w:trHeight w:val="269"/>
        </w:trPr>
        <w:tc>
          <w:tcPr>
            <w:tcW w:w="916" w:type="pct"/>
            <w:shd w:val="clear" w:color="auto" w:fill="244061" w:themeFill="accent1" w:themeFillShade="80"/>
          </w:tcPr>
          <w:p w:rsidR="00A75BFB" w:rsidRPr="00875FD8" w:rsidRDefault="00A75BFB" w:rsidP="00A75BFB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10.30 – 10.45</w:t>
            </w:r>
          </w:p>
        </w:tc>
        <w:tc>
          <w:tcPr>
            <w:tcW w:w="4084" w:type="pct"/>
            <w:shd w:val="clear" w:color="auto" w:fill="244061" w:themeFill="accent1" w:themeFillShade="80"/>
          </w:tcPr>
          <w:p w:rsidR="00A75BFB" w:rsidRPr="00875FD8" w:rsidRDefault="00A75BFB" w:rsidP="00A75BFB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Coffee/tea break</w:t>
            </w:r>
          </w:p>
        </w:tc>
      </w:tr>
      <w:tr w:rsidR="00A75BFB" w:rsidRPr="00ED7545" w:rsidTr="00D9035B">
        <w:trPr>
          <w:trHeight w:val="269"/>
        </w:trPr>
        <w:tc>
          <w:tcPr>
            <w:tcW w:w="916" w:type="pct"/>
          </w:tcPr>
          <w:p w:rsidR="00A75BFB" w:rsidRPr="00ED7545" w:rsidRDefault="00A75BFB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10.45 - 12.30</w:t>
            </w:r>
          </w:p>
        </w:tc>
        <w:tc>
          <w:tcPr>
            <w:tcW w:w="4084" w:type="pct"/>
          </w:tcPr>
          <w:p w:rsidR="00A75BFB" w:rsidRPr="00ED7545" w:rsidRDefault="00A75BFB" w:rsidP="00A75BFB">
            <w:pPr>
              <w:jc w:val="left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>European Investment Bank</w:t>
            </w:r>
          </w:p>
          <w:p w:rsidR="00A75BFB" w:rsidRDefault="00A75BFB" w:rsidP="00A75BFB">
            <w:pPr>
              <w:jc w:val="left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>EU</w:t>
            </w:r>
          </w:p>
          <w:p w:rsidR="00A75BFB" w:rsidRDefault="00A75BFB" w:rsidP="00A75BFB">
            <w:pPr>
              <w:jc w:val="left"/>
              <w:rPr>
                <w:rFonts w:ascii="Times New Roman" w:hAnsi="Times New Roman"/>
              </w:rPr>
            </w:pPr>
          </w:p>
          <w:p w:rsidR="00A75BFB" w:rsidRPr="00ED7545" w:rsidRDefault="00A75BFB" w:rsidP="00A75BFB">
            <w:pPr>
              <w:jc w:val="left"/>
              <w:rPr>
                <w:rFonts w:ascii="Times New Roman" w:hAnsi="Times New Roman"/>
              </w:rPr>
            </w:pPr>
          </w:p>
          <w:p w:rsidR="00A75BFB" w:rsidRPr="00ED7545" w:rsidRDefault="00A75BFB" w:rsidP="00A75BFB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A75BFB" w:rsidRPr="00875FD8" w:rsidTr="00D9035B">
        <w:trPr>
          <w:trHeight w:val="269"/>
        </w:trPr>
        <w:tc>
          <w:tcPr>
            <w:tcW w:w="916" w:type="pct"/>
            <w:shd w:val="clear" w:color="auto" w:fill="244061" w:themeFill="accent1" w:themeFillShade="80"/>
          </w:tcPr>
          <w:p w:rsidR="00A75BFB" w:rsidRPr="00875FD8" w:rsidRDefault="00A75BFB" w:rsidP="00A75BFB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12:30 – 13.45</w:t>
            </w:r>
          </w:p>
        </w:tc>
        <w:tc>
          <w:tcPr>
            <w:tcW w:w="4084" w:type="pct"/>
            <w:shd w:val="clear" w:color="auto" w:fill="244061" w:themeFill="accent1" w:themeFillShade="80"/>
          </w:tcPr>
          <w:p w:rsidR="00A75BFB" w:rsidRPr="00875FD8" w:rsidRDefault="00A75BFB" w:rsidP="00A75BFB">
            <w:pPr>
              <w:tabs>
                <w:tab w:val="num" w:pos="720"/>
              </w:tabs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Lunch/tea break</w:t>
            </w:r>
          </w:p>
          <w:p w:rsidR="00A75BFB" w:rsidRPr="00875FD8" w:rsidRDefault="00A75BFB" w:rsidP="00A75BFB">
            <w:pPr>
              <w:tabs>
                <w:tab w:val="num" w:pos="720"/>
              </w:tabs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</w:tr>
      <w:tr w:rsidR="00A75BFB" w:rsidRPr="00ED7545" w:rsidTr="00D9035B">
        <w:trPr>
          <w:trHeight w:val="269"/>
        </w:trPr>
        <w:tc>
          <w:tcPr>
            <w:tcW w:w="916" w:type="pct"/>
          </w:tcPr>
          <w:p w:rsidR="00A75BFB" w:rsidRPr="00ED7545" w:rsidRDefault="00A75BFB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13.45 – 15.15</w:t>
            </w:r>
          </w:p>
        </w:tc>
        <w:tc>
          <w:tcPr>
            <w:tcW w:w="4084" w:type="pct"/>
          </w:tcPr>
          <w:p w:rsidR="00A75BFB" w:rsidRPr="00ED7545" w:rsidRDefault="00D9035B" w:rsidP="00A75BF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Advanced session Blending and complementarity with Budget Support I</w:t>
            </w:r>
          </w:p>
          <w:p w:rsidR="00A75BFB" w:rsidRDefault="00A75BFB" w:rsidP="00A75BFB">
            <w:pPr>
              <w:jc w:val="left"/>
              <w:rPr>
                <w:rFonts w:ascii="Times New Roman" w:hAnsi="Times New Roman"/>
              </w:rPr>
            </w:pPr>
          </w:p>
          <w:p w:rsidR="00A75BFB" w:rsidRDefault="00A75BFB" w:rsidP="00A75BFB">
            <w:pPr>
              <w:jc w:val="left"/>
              <w:rPr>
                <w:rFonts w:ascii="Times New Roman" w:hAnsi="Times New Roman"/>
              </w:rPr>
            </w:pPr>
          </w:p>
          <w:p w:rsidR="00A75BFB" w:rsidRPr="00ED7545" w:rsidRDefault="00A75BFB" w:rsidP="00A75BFB">
            <w:pPr>
              <w:jc w:val="left"/>
              <w:rPr>
                <w:rFonts w:ascii="Times New Roman" w:hAnsi="Times New Roman"/>
              </w:rPr>
            </w:pPr>
          </w:p>
        </w:tc>
      </w:tr>
      <w:tr w:rsidR="00A75BFB" w:rsidRPr="00875FD8" w:rsidTr="00D9035B">
        <w:trPr>
          <w:trHeight w:val="269"/>
        </w:trPr>
        <w:tc>
          <w:tcPr>
            <w:tcW w:w="916" w:type="pct"/>
            <w:shd w:val="clear" w:color="auto" w:fill="244061" w:themeFill="accent1" w:themeFillShade="80"/>
          </w:tcPr>
          <w:p w:rsidR="00A75BFB" w:rsidRPr="00875FD8" w:rsidRDefault="00A75BFB" w:rsidP="00A75BFB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15.15 – 15.30</w:t>
            </w:r>
          </w:p>
        </w:tc>
        <w:tc>
          <w:tcPr>
            <w:tcW w:w="4084" w:type="pct"/>
            <w:shd w:val="clear" w:color="auto" w:fill="244061" w:themeFill="accent1" w:themeFillShade="80"/>
          </w:tcPr>
          <w:p w:rsidR="00A75BFB" w:rsidRPr="00875FD8" w:rsidRDefault="00A75BFB" w:rsidP="00A75BFB">
            <w:pPr>
              <w:jc w:val="left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  <w:lang w:val="en-US"/>
              </w:rPr>
              <w:t>Coffee/tea break</w:t>
            </w:r>
          </w:p>
          <w:p w:rsidR="00A75BFB" w:rsidRPr="00875FD8" w:rsidRDefault="00A75BFB" w:rsidP="00A75BFB">
            <w:pPr>
              <w:jc w:val="left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</w:p>
        </w:tc>
      </w:tr>
      <w:tr w:rsidR="00A75BFB" w:rsidRPr="00ED7545" w:rsidTr="00D9035B">
        <w:trPr>
          <w:trHeight w:val="269"/>
        </w:trPr>
        <w:tc>
          <w:tcPr>
            <w:tcW w:w="916" w:type="pct"/>
            <w:shd w:val="clear" w:color="auto" w:fill="FFFFFF" w:themeFill="background1"/>
          </w:tcPr>
          <w:p w:rsidR="00A75BFB" w:rsidRPr="00ED7545" w:rsidRDefault="00A75BFB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15.30-17.00</w:t>
            </w:r>
          </w:p>
        </w:tc>
        <w:tc>
          <w:tcPr>
            <w:tcW w:w="4084" w:type="pct"/>
            <w:shd w:val="clear" w:color="auto" w:fill="FFFFFF" w:themeFill="background1"/>
          </w:tcPr>
          <w:p w:rsidR="00A75BFB" w:rsidRPr="00ED7545" w:rsidRDefault="00A75BFB" w:rsidP="00A75BFB">
            <w:pPr>
              <w:jc w:val="left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 xml:space="preserve">Advanced </w:t>
            </w:r>
            <w:r w:rsidR="00D9035B">
              <w:rPr>
                <w:rFonts w:ascii="Times New Roman" w:hAnsi="Times New Roman"/>
              </w:rPr>
              <w:t>session Blending and complementarity with Budget Support II</w:t>
            </w:r>
          </w:p>
          <w:p w:rsidR="00A75BFB" w:rsidRDefault="00A75BFB" w:rsidP="00A75BFB">
            <w:pPr>
              <w:jc w:val="left"/>
              <w:rPr>
                <w:rFonts w:ascii="Times New Roman" w:hAnsi="Times New Roman"/>
              </w:rPr>
            </w:pPr>
          </w:p>
          <w:p w:rsidR="00A75BFB" w:rsidRDefault="00A75BFB" w:rsidP="00A75BFB">
            <w:pPr>
              <w:jc w:val="left"/>
              <w:rPr>
                <w:rFonts w:ascii="Times New Roman" w:hAnsi="Times New Roman"/>
              </w:rPr>
            </w:pPr>
          </w:p>
          <w:p w:rsidR="00A75BFB" w:rsidRPr="00ED7545" w:rsidRDefault="00A75BFB" w:rsidP="00A75BFB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EF2E31" w:rsidRDefault="00017D3C" w:rsidP="00BC25B9">
      <w:pPr>
        <w:jc w:val="left"/>
        <w:rPr>
          <w:rFonts w:ascii="Times New Roman" w:hAnsi="Times New Roman"/>
        </w:rPr>
      </w:pPr>
      <w:r w:rsidRPr="00ED7545">
        <w:rPr>
          <w:rFonts w:ascii="Times New Roman" w:hAnsi="Times New Roman"/>
        </w:rPr>
        <w:t xml:space="preserve">   </w:t>
      </w:r>
    </w:p>
    <w:p w:rsidR="00DF7271" w:rsidRPr="00ED7545" w:rsidRDefault="00EF2E31" w:rsidP="00A75BF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pPr w:leftFromText="141" w:rightFromText="141" w:vertAnchor="text" w:horzAnchor="margin" w:tblpXSpec="center" w:tblpY="816"/>
        <w:tblOverlap w:val="never"/>
        <w:tblW w:w="3777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526"/>
        <w:gridCol w:w="6661"/>
      </w:tblGrid>
      <w:tr w:rsidR="00875FD8" w:rsidRPr="00875FD8" w:rsidTr="00A75BFB">
        <w:trPr>
          <w:trHeight w:val="269"/>
        </w:trPr>
        <w:tc>
          <w:tcPr>
            <w:tcW w:w="932" w:type="pct"/>
            <w:shd w:val="clear" w:color="auto" w:fill="244061" w:themeFill="accent1" w:themeFillShade="80"/>
          </w:tcPr>
          <w:p w:rsidR="008F06A1" w:rsidRPr="00875FD8" w:rsidRDefault="008F06A1" w:rsidP="00A75BFB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4068" w:type="pct"/>
            <w:shd w:val="clear" w:color="auto" w:fill="244061" w:themeFill="accent1" w:themeFillShade="80"/>
            <w:vAlign w:val="center"/>
          </w:tcPr>
          <w:p w:rsidR="008F06A1" w:rsidRPr="00875FD8" w:rsidRDefault="008F06A1" w:rsidP="00A75BFB">
            <w:pPr>
              <w:spacing w:before="120" w:after="60"/>
              <w:jc w:val="left"/>
              <w:rPr>
                <w:rFonts w:ascii="Times New Roman" w:hAnsi="Times New Roman"/>
                <w:b/>
                <w:i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Day </w:t>
            </w:r>
            <w:r w:rsidR="005858B4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4 Thursday 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2</w:t>
            </w:r>
            <w:r w:rsidR="00ED7545"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7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  <w:vertAlign w:val="superscript"/>
              </w:rPr>
              <w:t>th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of October</w:t>
            </w:r>
          </w:p>
        </w:tc>
      </w:tr>
      <w:tr w:rsidR="008F06A1" w:rsidRPr="00ED7545" w:rsidTr="00A75BFB">
        <w:trPr>
          <w:trHeight w:val="496"/>
        </w:trPr>
        <w:tc>
          <w:tcPr>
            <w:tcW w:w="932" w:type="pct"/>
          </w:tcPr>
          <w:p w:rsidR="008F06A1" w:rsidRPr="00ED7545" w:rsidRDefault="008F06A1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08.3</w:t>
            </w:r>
            <w:r w:rsidR="006229C3" w:rsidRPr="00ED7545">
              <w:rPr>
                <w:rFonts w:ascii="Times New Roman" w:hAnsi="Times New Roman"/>
                <w:b/>
              </w:rPr>
              <w:t>0 – 10.15</w:t>
            </w:r>
          </w:p>
        </w:tc>
        <w:tc>
          <w:tcPr>
            <w:tcW w:w="4068" w:type="pct"/>
          </w:tcPr>
          <w:p w:rsidR="008F06A1" w:rsidRPr="00ED7545" w:rsidRDefault="006229C3" w:rsidP="00A75BFB">
            <w:pPr>
              <w:jc w:val="both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  <w:b/>
              </w:rPr>
              <w:t>EU staff morning session II</w:t>
            </w:r>
          </w:p>
        </w:tc>
      </w:tr>
      <w:tr w:rsidR="00875FD8" w:rsidRPr="00875FD8" w:rsidTr="00A75BFB">
        <w:trPr>
          <w:trHeight w:val="269"/>
        </w:trPr>
        <w:tc>
          <w:tcPr>
            <w:tcW w:w="932" w:type="pct"/>
            <w:shd w:val="clear" w:color="auto" w:fill="244061" w:themeFill="accent1" w:themeFillShade="80"/>
          </w:tcPr>
          <w:p w:rsidR="008F06A1" w:rsidRPr="00875FD8" w:rsidRDefault="008F06A1" w:rsidP="00A75BFB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10.</w:t>
            </w:r>
            <w:r w:rsidR="006229C3" w:rsidRPr="00875FD8">
              <w:rPr>
                <w:rFonts w:ascii="Times New Roman" w:hAnsi="Times New Roman"/>
                <w:b/>
                <w:color w:val="FFFFFF" w:themeColor="background1"/>
              </w:rPr>
              <w:t>15 – 10.30</w:t>
            </w:r>
          </w:p>
        </w:tc>
        <w:tc>
          <w:tcPr>
            <w:tcW w:w="4068" w:type="pct"/>
            <w:shd w:val="clear" w:color="auto" w:fill="244061" w:themeFill="accent1" w:themeFillShade="80"/>
          </w:tcPr>
          <w:p w:rsidR="008F06A1" w:rsidRPr="00875FD8" w:rsidRDefault="008F06A1" w:rsidP="00A75BFB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Coffee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/tea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b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8F06A1" w:rsidRPr="00ED7545" w:rsidTr="00A75BFB">
        <w:trPr>
          <w:trHeight w:val="269"/>
        </w:trPr>
        <w:tc>
          <w:tcPr>
            <w:tcW w:w="932" w:type="pct"/>
          </w:tcPr>
          <w:p w:rsidR="008F06A1" w:rsidRPr="00ED7545" w:rsidRDefault="008F06A1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10.</w:t>
            </w:r>
            <w:r w:rsidR="006229C3" w:rsidRPr="00ED7545">
              <w:rPr>
                <w:rFonts w:ascii="Times New Roman" w:hAnsi="Times New Roman"/>
                <w:b/>
              </w:rPr>
              <w:t>30</w:t>
            </w:r>
            <w:r w:rsidRPr="00ED7545">
              <w:rPr>
                <w:rFonts w:ascii="Times New Roman" w:hAnsi="Times New Roman"/>
                <w:b/>
              </w:rPr>
              <w:t xml:space="preserve"> – </w:t>
            </w:r>
            <w:r w:rsidR="006229C3" w:rsidRPr="00ED7545">
              <w:rPr>
                <w:rFonts w:ascii="Times New Roman" w:hAnsi="Times New Roman"/>
                <w:b/>
              </w:rPr>
              <w:t>12.30</w:t>
            </w:r>
          </w:p>
          <w:p w:rsidR="008F06A1" w:rsidRPr="00ED7545" w:rsidRDefault="008F06A1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</w:p>
          <w:p w:rsidR="008F06A1" w:rsidRPr="00ED7545" w:rsidRDefault="008F06A1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8" w:type="pct"/>
          </w:tcPr>
          <w:p w:rsidR="003A59B2" w:rsidRPr="00ED7545" w:rsidRDefault="003A59B2" w:rsidP="00A75BFB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6: Budget Support and the Civil Society, Budget support and EU visibility issues.</w:t>
            </w:r>
          </w:p>
          <w:p w:rsidR="003A59B2" w:rsidRPr="00ED7545" w:rsidRDefault="00287CFD" w:rsidP="00A75BFB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(Trainer</w:t>
            </w:r>
            <w:r w:rsidR="003A59B2"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3A59B2" w:rsidRPr="00ED7545" w:rsidRDefault="003A59B2" w:rsidP="00A75BFB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(Moderators: DEVCO H1 &amp; 2 +</w:t>
            </w:r>
            <w:r w:rsidR="00AB2B2D">
              <w:rPr>
                <w:rFonts w:ascii="Times New Roman" w:hAnsi="Times New Roman"/>
                <w:b/>
                <w:i/>
              </w:rPr>
              <w:t xml:space="preserve"> </w:t>
            </w:r>
            <w:r w:rsidRPr="00ED7545">
              <w:rPr>
                <w:rFonts w:ascii="Times New Roman" w:hAnsi="Times New Roman"/>
                <w:b/>
                <w:i/>
              </w:rPr>
              <w:t xml:space="preserve">EUD Fiji + presentations from Tonga/Vanuatu, EU colleagues + more </w:t>
            </w:r>
            <w:proofErr w:type="spellStart"/>
            <w:r w:rsidRPr="00ED7545">
              <w:rPr>
                <w:rFonts w:ascii="Times New Roman" w:hAnsi="Times New Roman"/>
                <w:b/>
                <w:i/>
              </w:rPr>
              <w:t>tbd</w:t>
            </w:r>
            <w:proofErr w:type="spellEnd"/>
            <w:r w:rsidRPr="00ED7545">
              <w:rPr>
                <w:rFonts w:ascii="Times New Roman" w:hAnsi="Times New Roman"/>
                <w:b/>
                <w:i/>
              </w:rPr>
              <w:t>)</w:t>
            </w:r>
          </w:p>
          <w:p w:rsidR="00A2528C" w:rsidRPr="00ED7545" w:rsidRDefault="00A2528C" w:rsidP="00A75BFB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CC6C31" w:rsidRPr="00ED7545" w:rsidRDefault="003953F3" w:rsidP="00A75BF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EU </w:t>
            </w:r>
            <w:r w:rsidR="00CC6C31" w:rsidRPr="00ED7545">
              <w:rPr>
                <w:sz w:val="22"/>
                <w:szCs w:val="22"/>
              </w:rPr>
              <w:t>BS capacity development</w:t>
            </w:r>
            <w:r w:rsidRPr="00ED7545">
              <w:rPr>
                <w:sz w:val="22"/>
                <w:szCs w:val="22"/>
              </w:rPr>
              <w:t xml:space="preserve"> for and engagement with CSO (facilitation, empowerment, synergies between BS and thematic programs…)</w:t>
            </w:r>
            <w:r w:rsidR="00CC6C31" w:rsidRPr="00ED7545">
              <w:rPr>
                <w:sz w:val="22"/>
                <w:szCs w:val="22"/>
              </w:rPr>
              <w:t xml:space="preserve"> </w:t>
            </w:r>
            <w:r w:rsidR="00A2528C" w:rsidRPr="00ED7545">
              <w:rPr>
                <w:sz w:val="22"/>
                <w:szCs w:val="22"/>
              </w:rPr>
              <w:t xml:space="preserve">  </w:t>
            </w:r>
          </w:p>
          <w:p w:rsidR="003953F3" w:rsidRPr="00ED7545" w:rsidRDefault="00CC6C31" w:rsidP="00A75BF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Role of CSO in promoting transparency and accountability</w:t>
            </w:r>
            <w:r w:rsidR="003953F3" w:rsidRPr="00ED7545">
              <w:rPr>
                <w:sz w:val="22"/>
                <w:szCs w:val="22"/>
              </w:rPr>
              <w:t xml:space="preserve"> (role of CSO in domestic sector policy and budget processes …)</w:t>
            </w:r>
          </w:p>
          <w:p w:rsidR="00A2528C" w:rsidRPr="00ED7545" w:rsidRDefault="003953F3" w:rsidP="00A75BF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Role of CSO in BS policy dialogue.   </w:t>
            </w:r>
            <w:r w:rsidR="00CC6C31" w:rsidRPr="00ED7545">
              <w:rPr>
                <w:sz w:val="22"/>
                <w:szCs w:val="22"/>
              </w:rPr>
              <w:t xml:space="preserve"> </w:t>
            </w:r>
          </w:p>
          <w:p w:rsidR="008F06A1" w:rsidRPr="00ED7545" w:rsidRDefault="008F06A1" w:rsidP="00A75BFB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5FD8" w:rsidRPr="00875FD8" w:rsidTr="00A75BFB">
        <w:trPr>
          <w:trHeight w:val="440"/>
        </w:trPr>
        <w:tc>
          <w:tcPr>
            <w:tcW w:w="932" w:type="pct"/>
            <w:shd w:val="clear" w:color="auto" w:fill="244061" w:themeFill="accent1" w:themeFillShade="80"/>
          </w:tcPr>
          <w:p w:rsidR="008F06A1" w:rsidRPr="00875FD8" w:rsidRDefault="006229C3" w:rsidP="00A75BFB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12.30</w:t>
            </w:r>
            <w:r w:rsidR="008F06A1"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–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13.45</w:t>
            </w:r>
          </w:p>
        </w:tc>
        <w:tc>
          <w:tcPr>
            <w:tcW w:w="4068" w:type="pct"/>
            <w:shd w:val="clear" w:color="auto" w:fill="244061" w:themeFill="accent1" w:themeFillShade="80"/>
          </w:tcPr>
          <w:p w:rsidR="008F06A1" w:rsidRPr="00875FD8" w:rsidRDefault="00EF2E31" w:rsidP="00A75BFB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Lunch b</w:t>
            </w:r>
            <w:r w:rsidR="008F06A1"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8F06A1" w:rsidRPr="00ED7545" w:rsidTr="00A75BFB">
        <w:trPr>
          <w:trHeight w:val="440"/>
        </w:trPr>
        <w:tc>
          <w:tcPr>
            <w:tcW w:w="932" w:type="pct"/>
            <w:shd w:val="clear" w:color="auto" w:fill="auto"/>
          </w:tcPr>
          <w:p w:rsidR="008F06A1" w:rsidRPr="00ED7545" w:rsidRDefault="006229C3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13.45 – 15.15</w:t>
            </w:r>
            <w:r w:rsidR="008F06A1" w:rsidRPr="00ED754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068" w:type="pct"/>
            <w:shd w:val="clear" w:color="auto" w:fill="auto"/>
          </w:tcPr>
          <w:p w:rsidR="006229C3" w:rsidRPr="00ED7545" w:rsidRDefault="006229C3" w:rsidP="00A75BFB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7: Sector Reform Contracts in specific sectors:</w:t>
            </w:r>
          </w:p>
          <w:p w:rsidR="006229C3" w:rsidRPr="00ED7545" w:rsidRDefault="006229C3" w:rsidP="00A75BFB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Energy, productive sectors, WASH, Climate Change… </w:t>
            </w:r>
          </w:p>
          <w:p w:rsidR="006229C3" w:rsidRPr="00ED7545" w:rsidRDefault="006229C3" w:rsidP="00A75BFB">
            <w:pPr>
              <w:jc w:val="left"/>
              <w:rPr>
                <w:rFonts w:ascii="Times New Roman" w:hAnsi="Times New Roman"/>
                <w:b/>
              </w:rPr>
            </w:pPr>
          </w:p>
          <w:p w:rsidR="006229C3" w:rsidRPr="00ED7545" w:rsidRDefault="00287CFD" w:rsidP="00A75BFB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(M</w:t>
            </w:r>
            <w:r w:rsidR="006229C3" w:rsidRPr="00ED7545">
              <w:rPr>
                <w:rFonts w:ascii="Times New Roman" w:hAnsi="Times New Roman"/>
                <w:b/>
                <w:i/>
              </w:rPr>
              <w:t xml:space="preserve">oderator: </w:t>
            </w:r>
            <w:r w:rsidRPr="00ED7545">
              <w:rPr>
                <w:rFonts w:ascii="Times New Roman" w:hAnsi="Times New Roman"/>
                <w:b/>
                <w:i/>
              </w:rPr>
              <w:t xml:space="preserve">trainer </w:t>
            </w:r>
            <w:r w:rsidR="006229C3" w:rsidRPr="00ED7545">
              <w:rPr>
                <w:rFonts w:ascii="Times New Roman" w:hAnsi="Times New Roman"/>
                <w:b/>
                <w:i/>
              </w:rPr>
              <w:t>+ DEVCO H)</w:t>
            </w:r>
          </w:p>
          <w:p w:rsidR="003953F3" w:rsidRPr="00ED7545" w:rsidRDefault="00875213" w:rsidP="00A75BFB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 xml:space="preserve">Interventions </w:t>
            </w:r>
            <w:r w:rsidR="006229C3" w:rsidRPr="00ED7545">
              <w:rPr>
                <w:rFonts w:ascii="Times New Roman" w:hAnsi="Times New Roman"/>
                <w:b/>
                <w:i/>
              </w:rPr>
              <w:t>from EUD/national counterparts on experiences of SRC (Samoa/Solomon island for WASH and/or Climate change?, Tonga for Energy?, New Caledonia for vocational training/employment</w:t>
            </w:r>
            <w:r w:rsidR="003953F3" w:rsidRPr="00ED7545">
              <w:rPr>
                <w:rFonts w:ascii="Times New Roman" w:hAnsi="Times New Roman"/>
                <w:b/>
                <w:i/>
              </w:rPr>
              <w:t>?</w:t>
            </w:r>
            <w:r w:rsidR="00A2528C" w:rsidRPr="00ED7545">
              <w:rPr>
                <w:rFonts w:ascii="Times New Roman" w:hAnsi="Times New Roman"/>
                <w:b/>
                <w:i/>
              </w:rPr>
              <w:t>…</w:t>
            </w:r>
            <w:r w:rsidR="006229C3" w:rsidRPr="00ED754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6229C3" w:rsidRPr="00ED7545">
              <w:rPr>
                <w:rFonts w:ascii="Times New Roman" w:hAnsi="Times New Roman"/>
                <w:b/>
                <w:i/>
              </w:rPr>
              <w:t>tbd</w:t>
            </w:r>
            <w:proofErr w:type="spellEnd"/>
            <w:r w:rsidR="006229C3" w:rsidRPr="00ED7545">
              <w:rPr>
                <w:rFonts w:ascii="Times New Roman" w:hAnsi="Times New Roman"/>
                <w:b/>
                <w:i/>
              </w:rPr>
              <w:t xml:space="preserve">) </w:t>
            </w:r>
          </w:p>
          <w:p w:rsidR="006229C3" w:rsidRPr="00ED7545" w:rsidRDefault="006229C3" w:rsidP="00A75BF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How to apply the EU Guidelines for the critical elements of a BS programme in the particular case of a SRC with regards to specific sectors of intervention</w:t>
            </w:r>
          </w:p>
          <w:p w:rsidR="006229C3" w:rsidRPr="00ED7545" w:rsidRDefault="006229C3" w:rsidP="00A75BFB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Sector policy dialogue (incl. CSO involvement)</w:t>
            </w:r>
          </w:p>
          <w:p w:rsidR="006229C3" w:rsidRPr="00ED7545" w:rsidRDefault="006229C3" w:rsidP="00A75BFB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Sector policy analysis (sector policy instruments and sector policy planning/financing) – </w:t>
            </w:r>
            <w:r w:rsidRPr="00ED7545">
              <w:rPr>
                <w:b/>
                <w:sz w:val="22"/>
                <w:szCs w:val="22"/>
              </w:rPr>
              <w:t>link with blending</w:t>
            </w:r>
          </w:p>
          <w:p w:rsidR="006229C3" w:rsidRPr="00ED7545" w:rsidRDefault="006229C3" w:rsidP="00A75BFB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Specific sector PFM and/or macroeconomic dimensions – </w:t>
            </w:r>
            <w:r w:rsidRPr="00ED7545">
              <w:rPr>
                <w:b/>
                <w:sz w:val="22"/>
                <w:szCs w:val="22"/>
              </w:rPr>
              <w:t>link with blending</w:t>
            </w:r>
            <w:r w:rsidRPr="00ED7545">
              <w:rPr>
                <w:sz w:val="22"/>
                <w:szCs w:val="22"/>
              </w:rPr>
              <w:t>.</w:t>
            </w:r>
          </w:p>
          <w:p w:rsidR="006229C3" w:rsidRPr="00ED7545" w:rsidRDefault="006229C3" w:rsidP="00A75BFB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Sector PAF and performance indicators/measurement. </w:t>
            </w:r>
          </w:p>
          <w:p w:rsidR="006229C3" w:rsidRPr="00ED7545" w:rsidRDefault="006229C3" w:rsidP="00A75BFB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Information Systems…</w:t>
            </w:r>
          </w:p>
          <w:p w:rsidR="008F06A1" w:rsidRPr="00ED7545" w:rsidRDefault="008F06A1" w:rsidP="00A75BFB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875FD8" w:rsidRPr="00875FD8" w:rsidTr="00A75BFB">
        <w:trPr>
          <w:trHeight w:val="440"/>
        </w:trPr>
        <w:tc>
          <w:tcPr>
            <w:tcW w:w="932" w:type="pct"/>
            <w:shd w:val="clear" w:color="auto" w:fill="244061" w:themeFill="accent1" w:themeFillShade="80"/>
          </w:tcPr>
          <w:p w:rsidR="008F06A1" w:rsidRPr="00875FD8" w:rsidRDefault="006229C3" w:rsidP="00A75BFB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15.15 – 15.30</w:t>
            </w:r>
          </w:p>
        </w:tc>
        <w:tc>
          <w:tcPr>
            <w:tcW w:w="4068" w:type="pct"/>
            <w:shd w:val="clear" w:color="auto" w:fill="244061" w:themeFill="accent1" w:themeFillShade="80"/>
          </w:tcPr>
          <w:p w:rsidR="008F06A1" w:rsidRPr="00875FD8" w:rsidRDefault="008F06A1" w:rsidP="00A75BFB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Coffee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/tea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b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8F06A1" w:rsidRPr="00ED7545" w:rsidTr="00A75BFB">
        <w:trPr>
          <w:trHeight w:val="440"/>
        </w:trPr>
        <w:tc>
          <w:tcPr>
            <w:tcW w:w="932" w:type="pct"/>
            <w:shd w:val="clear" w:color="auto" w:fill="FFFFFF" w:themeFill="background1"/>
          </w:tcPr>
          <w:p w:rsidR="008F06A1" w:rsidRPr="00ED7545" w:rsidRDefault="006229C3" w:rsidP="00A75BFB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15.30 – 17</w:t>
            </w:r>
            <w:r w:rsidR="008F06A1" w:rsidRPr="00ED7545"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4068" w:type="pct"/>
            <w:shd w:val="clear" w:color="auto" w:fill="FFFFFF" w:themeFill="background1"/>
          </w:tcPr>
          <w:p w:rsidR="008F06A1" w:rsidRPr="00ED7545" w:rsidRDefault="006229C3" w:rsidP="00A75BFB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7 (end)</w:t>
            </w:r>
          </w:p>
          <w:p w:rsidR="003953F3" w:rsidRPr="00ED7545" w:rsidRDefault="003953F3" w:rsidP="00A75BFB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Intervention</w:t>
            </w:r>
            <w:r w:rsidR="00875213" w:rsidRPr="00ED7545">
              <w:rPr>
                <w:rFonts w:ascii="Times New Roman" w:hAnsi="Times New Roman"/>
                <w:b/>
              </w:rPr>
              <w:t>s</w:t>
            </w:r>
            <w:r w:rsidRPr="00ED7545">
              <w:rPr>
                <w:rFonts w:ascii="Times New Roman" w:hAnsi="Times New Roman"/>
                <w:b/>
              </w:rPr>
              <w:t xml:space="preserve"> from donors involved in </w:t>
            </w:r>
            <w:r w:rsidR="00875213" w:rsidRPr="00ED7545">
              <w:rPr>
                <w:rFonts w:ascii="Times New Roman" w:hAnsi="Times New Roman"/>
                <w:b/>
              </w:rPr>
              <w:t xml:space="preserve">EU </w:t>
            </w:r>
            <w:r w:rsidRPr="00ED7545">
              <w:rPr>
                <w:rFonts w:ascii="Times New Roman" w:hAnsi="Times New Roman"/>
                <w:b/>
              </w:rPr>
              <w:t xml:space="preserve">BS </w:t>
            </w:r>
            <w:r w:rsidR="00875213" w:rsidRPr="00ED7545">
              <w:rPr>
                <w:rFonts w:ascii="Times New Roman" w:hAnsi="Times New Roman"/>
                <w:b/>
              </w:rPr>
              <w:t>related sectors (</w:t>
            </w:r>
            <w:r w:rsidR="00AB2B2D">
              <w:rPr>
                <w:rFonts w:ascii="Times New Roman" w:hAnsi="Times New Roman"/>
                <w:b/>
              </w:rPr>
              <w:t>Australia/</w:t>
            </w:r>
            <w:r w:rsidR="00875213" w:rsidRPr="00ED7545">
              <w:rPr>
                <w:rFonts w:ascii="Times New Roman" w:hAnsi="Times New Roman"/>
                <w:b/>
              </w:rPr>
              <w:t>DFAT</w:t>
            </w:r>
            <w:r w:rsidR="00ED7545">
              <w:rPr>
                <w:rFonts w:ascii="Times New Roman" w:hAnsi="Times New Roman"/>
                <w:b/>
              </w:rPr>
              <w:t>,</w:t>
            </w:r>
            <w:r w:rsidRPr="00ED7545">
              <w:rPr>
                <w:rFonts w:ascii="Times New Roman" w:hAnsi="Times New Roman"/>
                <w:b/>
              </w:rPr>
              <w:t xml:space="preserve"> N</w:t>
            </w:r>
            <w:r w:rsidR="00AB2B2D">
              <w:rPr>
                <w:rFonts w:ascii="Times New Roman" w:hAnsi="Times New Roman"/>
                <w:b/>
              </w:rPr>
              <w:t>ew-</w:t>
            </w:r>
            <w:r w:rsidRPr="00ED7545">
              <w:rPr>
                <w:rFonts w:ascii="Times New Roman" w:hAnsi="Times New Roman"/>
                <w:b/>
              </w:rPr>
              <w:t>Z</w:t>
            </w:r>
            <w:r w:rsidR="00AB2B2D">
              <w:rPr>
                <w:rFonts w:ascii="Times New Roman" w:hAnsi="Times New Roman"/>
                <w:b/>
              </w:rPr>
              <w:t>ealand</w:t>
            </w:r>
            <w:r w:rsidR="00875213" w:rsidRPr="00ED7545">
              <w:rPr>
                <w:rFonts w:ascii="Times New Roman" w:hAnsi="Times New Roman"/>
                <w:b/>
              </w:rPr>
              <w:t>)</w:t>
            </w:r>
            <w:r w:rsidRPr="00ED7545">
              <w:rPr>
                <w:rFonts w:ascii="Times New Roman" w:hAnsi="Times New Roman"/>
                <w:b/>
              </w:rPr>
              <w:t xml:space="preserve"> </w:t>
            </w:r>
          </w:p>
          <w:p w:rsidR="006229C3" w:rsidRPr="00ED7545" w:rsidRDefault="006229C3" w:rsidP="00A75BFB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Discussions</w:t>
            </w:r>
          </w:p>
        </w:tc>
      </w:tr>
    </w:tbl>
    <w:p w:rsidR="00DF7271" w:rsidRPr="00ED7545" w:rsidRDefault="00DF7271" w:rsidP="00750796">
      <w:pPr>
        <w:jc w:val="both"/>
        <w:rPr>
          <w:rFonts w:ascii="Times New Roman" w:hAnsi="Times New Roman"/>
        </w:rPr>
      </w:pPr>
    </w:p>
    <w:p w:rsidR="00812520" w:rsidRPr="00ED7545" w:rsidRDefault="00812520" w:rsidP="00750796">
      <w:pPr>
        <w:jc w:val="both"/>
        <w:rPr>
          <w:rFonts w:ascii="Times New Roman" w:hAnsi="Times New Roman"/>
        </w:rPr>
      </w:pPr>
    </w:p>
    <w:p w:rsidR="00CB01E5" w:rsidRPr="00ED7545" w:rsidRDefault="00CB01E5">
      <w:pPr>
        <w:spacing w:line="240" w:lineRule="auto"/>
        <w:jc w:val="left"/>
        <w:rPr>
          <w:rFonts w:ascii="Times New Roman" w:hAnsi="Times New Roman"/>
        </w:rPr>
      </w:pPr>
      <w:r w:rsidRPr="00ED7545">
        <w:rPr>
          <w:rFonts w:ascii="Times New Roman" w:hAnsi="Times New Roman"/>
        </w:rPr>
        <w:br w:type="page"/>
      </w:r>
    </w:p>
    <w:p w:rsidR="00812520" w:rsidRPr="00ED7545" w:rsidRDefault="00812520" w:rsidP="00750796">
      <w:pPr>
        <w:jc w:val="both"/>
        <w:rPr>
          <w:rFonts w:ascii="Times New Roman" w:hAnsi="Times New Roman"/>
        </w:rPr>
      </w:pPr>
    </w:p>
    <w:p w:rsidR="00BC25B9" w:rsidRPr="00ED7545" w:rsidRDefault="00BC25B9" w:rsidP="00750796">
      <w:pPr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200"/>
        <w:tblOverlap w:val="never"/>
        <w:tblW w:w="3727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525"/>
        <w:gridCol w:w="6554"/>
      </w:tblGrid>
      <w:tr w:rsidR="00875FD8" w:rsidRPr="00875FD8" w:rsidTr="00875FD8">
        <w:trPr>
          <w:trHeight w:val="269"/>
        </w:trPr>
        <w:tc>
          <w:tcPr>
            <w:tcW w:w="944" w:type="pct"/>
            <w:shd w:val="clear" w:color="auto" w:fill="244061" w:themeFill="accent1" w:themeFillShade="80"/>
            <w:vAlign w:val="center"/>
          </w:tcPr>
          <w:p w:rsidR="00ED7545" w:rsidRPr="00875FD8" w:rsidRDefault="00ED7545" w:rsidP="00875FD8">
            <w:pPr>
              <w:spacing w:before="20" w:after="60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4056" w:type="pct"/>
            <w:shd w:val="clear" w:color="auto" w:fill="244061" w:themeFill="accent1" w:themeFillShade="80"/>
            <w:vAlign w:val="center"/>
          </w:tcPr>
          <w:p w:rsidR="00ED7545" w:rsidRPr="00875FD8" w:rsidRDefault="00ED7545" w:rsidP="00875FD8">
            <w:pPr>
              <w:spacing w:before="120" w:after="60"/>
              <w:jc w:val="left"/>
              <w:rPr>
                <w:rFonts w:ascii="Times New Roman" w:hAnsi="Times New Roman"/>
                <w:b/>
                <w:i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>Day 5 Friday 28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  <w:vertAlign w:val="superscript"/>
              </w:rPr>
              <w:t>th</w:t>
            </w:r>
            <w:r w:rsidRPr="00875FD8">
              <w:rPr>
                <w:rFonts w:ascii="Times New Roman" w:hAnsi="Times New Roman"/>
                <w:b/>
                <w:i/>
                <w:color w:val="FFFFFF" w:themeColor="background1"/>
              </w:rPr>
              <w:t xml:space="preserve"> of October </w:t>
            </w:r>
          </w:p>
        </w:tc>
      </w:tr>
      <w:tr w:rsidR="00ED7545" w:rsidRPr="00ED7545" w:rsidTr="00875FD8">
        <w:trPr>
          <w:trHeight w:val="269"/>
        </w:trPr>
        <w:tc>
          <w:tcPr>
            <w:tcW w:w="944" w:type="pct"/>
          </w:tcPr>
          <w:p w:rsidR="00ED7545" w:rsidRPr="00ED7545" w:rsidRDefault="00ED7545" w:rsidP="00ED7545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08.30 – 10.00</w:t>
            </w:r>
          </w:p>
        </w:tc>
        <w:tc>
          <w:tcPr>
            <w:tcW w:w="4056" w:type="pct"/>
          </w:tcPr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EU staff morning session II </w:t>
            </w:r>
          </w:p>
        </w:tc>
      </w:tr>
      <w:tr w:rsidR="00875FD8" w:rsidRPr="00875FD8" w:rsidTr="00875FD8">
        <w:trPr>
          <w:trHeight w:val="269"/>
        </w:trPr>
        <w:tc>
          <w:tcPr>
            <w:tcW w:w="944" w:type="pct"/>
            <w:shd w:val="clear" w:color="auto" w:fill="244061" w:themeFill="accent1" w:themeFillShade="80"/>
          </w:tcPr>
          <w:p w:rsidR="00ED7545" w:rsidRPr="00875FD8" w:rsidRDefault="00ED7545" w:rsidP="00ED7545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10.00 – 10.15</w:t>
            </w:r>
          </w:p>
        </w:tc>
        <w:tc>
          <w:tcPr>
            <w:tcW w:w="4056" w:type="pct"/>
            <w:shd w:val="clear" w:color="auto" w:fill="244061" w:themeFill="accent1" w:themeFillShade="80"/>
          </w:tcPr>
          <w:p w:rsidR="00ED7545" w:rsidRPr="00875FD8" w:rsidRDefault="00ED7545" w:rsidP="00ED7545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Coffee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/tea b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ED7545" w:rsidRPr="00ED7545" w:rsidTr="00875FD8">
        <w:trPr>
          <w:trHeight w:val="269"/>
        </w:trPr>
        <w:tc>
          <w:tcPr>
            <w:tcW w:w="944" w:type="pct"/>
          </w:tcPr>
          <w:p w:rsidR="00ED7545" w:rsidRPr="00ED7545" w:rsidRDefault="00ED7545" w:rsidP="00ED7545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 10.15 – 12.30</w:t>
            </w:r>
          </w:p>
          <w:p w:rsidR="00ED7545" w:rsidRPr="00ED7545" w:rsidRDefault="00ED7545" w:rsidP="00ED7545">
            <w:pPr>
              <w:spacing w:before="20" w:after="60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056" w:type="pct"/>
          </w:tcPr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Module 8: key PFM and macroeconomic challenges in the region:</w:t>
            </w:r>
          </w:p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(Moderators: Trainer, DEVCO H &amp; A4)</w:t>
            </w:r>
          </w:p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(Interventions/presentations from IMF/</w:t>
            </w:r>
            <w:r>
              <w:rPr>
                <w:rFonts w:ascii="Times New Roman" w:hAnsi="Times New Roman"/>
                <w:b/>
                <w:i/>
              </w:rPr>
              <w:t xml:space="preserve">PFTAC, </w:t>
            </w:r>
            <w:r w:rsidRPr="00ED7545">
              <w:rPr>
                <w:rFonts w:ascii="Times New Roman" w:hAnsi="Times New Roman"/>
                <w:b/>
                <w:i/>
              </w:rPr>
              <w:t xml:space="preserve">WB, ADB </w:t>
            </w:r>
            <w:proofErr w:type="gramStart"/>
            <w:r w:rsidRPr="00ED7545">
              <w:rPr>
                <w:rFonts w:ascii="Times New Roman" w:hAnsi="Times New Roman"/>
                <w:b/>
                <w:i/>
              </w:rPr>
              <w:t xml:space="preserve">-  </w:t>
            </w:r>
            <w:proofErr w:type="spellStart"/>
            <w:r w:rsidRPr="00ED7545">
              <w:rPr>
                <w:rFonts w:ascii="Times New Roman" w:hAnsi="Times New Roman"/>
                <w:b/>
                <w:i/>
              </w:rPr>
              <w:t>tbd</w:t>
            </w:r>
            <w:proofErr w:type="spellEnd"/>
            <w:proofErr w:type="gramEnd"/>
            <w:r w:rsidRPr="00ED7545">
              <w:rPr>
                <w:rFonts w:ascii="Times New Roman" w:hAnsi="Times New Roman"/>
                <w:b/>
                <w:i/>
              </w:rPr>
              <w:t>).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PFM weaknesses: review of regional PEFA scores and track records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Key macroeconomic developments in the region (remoteness, weak economy of scale, debt sustainability, DRM…) 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Key issues for PFM reform and sequencing (limited capacities)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>Relations with PFTAC/IMF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D7545">
              <w:rPr>
                <w:sz w:val="22"/>
                <w:szCs w:val="22"/>
              </w:rPr>
              <w:t xml:space="preserve">TA/Capacity developments interventions in the PFM areas </w:t>
            </w:r>
          </w:p>
          <w:p w:rsidR="00ED7545" w:rsidRPr="00ED7545" w:rsidRDefault="00ED7545" w:rsidP="00ED7545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875FD8" w:rsidRPr="00875FD8" w:rsidTr="00875FD8">
        <w:trPr>
          <w:trHeight w:val="269"/>
        </w:trPr>
        <w:tc>
          <w:tcPr>
            <w:tcW w:w="944" w:type="pct"/>
            <w:shd w:val="clear" w:color="auto" w:fill="244061" w:themeFill="accent1" w:themeFillShade="80"/>
          </w:tcPr>
          <w:p w:rsidR="00ED7545" w:rsidRPr="00875FD8" w:rsidRDefault="00ED7545" w:rsidP="00ED7545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12.30 -13.45</w:t>
            </w:r>
          </w:p>
        </w:tc>
        <w:tc>
          <w:tcPr>
            <w:tcW w:w="4056" w:type="pct"/>
            <w:shd w:val="clear" w:color="auto" w:fill="244061" w:themeFill="accent1" w:themeFillShade="80"/>
          </w:tcPr>
          <w:p w:rsidR="00ED7545" w:rsidRPr="00875FD8" w:rsidRDefault="00ED7545" w:rsidP="00EF2E31">
            <w:pPr>
              <w:tabs>
                <w:tab w:val="num" w:pos="720"/>
              </w:tabs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Lunch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/tea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="00EF2E31" w:rsidRPr="00875FD8">
              <w:rPr>
                <w:rFonts w:ascii="Times New Roman" w:hAnsi="Times New Roman"/>
                <w:b/>
                <w:color w:val="FFFFFF" w:themeColor="background1"/>
              </w:rPr>
              <w:t>b</w:t>
            </w:r>
            <w:r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ED7545" w:rsidRPr="00ED7545" w:rsidTr="00875FD8">
        <w:trPr>
          <w:trHeight w:val="923"/>
        </w:trPr>
        <w:tc>
          <w:tcPr>
            <w:tcW w:w="944" w:type="pct"/>
          </w:tcPr>
          <w:p w:rsidR="00ED7545" w:rsidRPr="00ED7545" w:rsidRDefault="00ED7545" w:rsidP="00ED7545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13.45 – 15.15</w:t>
            </w:r>
          </w:p>
          <w:p w:rsidR="00ED7545" w:rsidRPr="00ED7545" w:rsidRDefault="00ED7545" w:rsidP="00ED7545">
            <w:pPr>
              <w:spacing w:before="20" w:after="60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056" w:type="pct"/>
          </w:tcPr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Module 9: Strengthening of External Audit and oversight of the Budget and promotion of good governance practices (accountability/transparency, fight against corruption, money laundering and tax heaven).  </w:t>
            </w:r>
          </w:p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 xml:space="preserve">(Moderators: DEVCO H and A4, trainer) </w:t>
            </w:r>
          </w:p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  <w:i/>
              </w:rPr>
            </w:pPr>
            <w:r w:rsidRPr="00ED7545">
              <w:rPr>
                <w:rFonts w:ascii="Times New Roman" w:hAnsi="Times New Roman"/>
                <w:b/>
                <w:i/>
              </w:rPr>
              <w:t>(Interventions from PFTAC, UNDP, a</w:t>
            </w:r>
            <w:r w:rsidR="00474405">
              <w:rPr>
                <w:rFonts w:ascii="Times New Roman" w:hAnsi="Times New Roman"/>
                <w:b/>
                <w:i/>
              </w:rPr>
              <w:t>nd chairman of PASAI</w:t>
            </w:r>
            <w:r w:rsidRPr="00ED7545">
              <w:rPr>
                <w:rFonts w:ascii="Times New Roman" w:hAnsi="Times New Roman"/>
                <w:b/>
                <w:i/>
              </w:rPr>
              <w:t xml:space="preserve">) </w:t>
            </w:r>
          </w:p>
          <w:p w:rsidR="00ED7545" w:rsidRPr="00ED7545" w:rsidRDefault="00ED7545" w:rsidP="00ED7545">
            <w:pPr>
              <w:jc w:val="left"/>
              <w:rPr>
                <w:rFonts w:ascii="Times New Roman" w:hAnsi="Times New Roman"/>
              </w:rPr>
            </w:pPr>
            <w:r w:rsidRPr="00ED7545">
              <w:rPr>
                <w:rFonts w:ascii="Times New Roman" w:hAnsi="Times New Roman"/>
              </w:rPr>
              <w:t>Content to be further specified</w:t>
            </w:r>
          </w:p>
          <w:p w:rsidR="00ED7545" w:rsidRPr="00ED7545" w:rsidRDefault="00ED7545" w:rsidP="00ED7545">
            <w:pPr>
              <w:jc w:val="left"/>
              <w:rPr>
                <w:rFonts w:ascii="Times New Roman" w:hAnsi="Times New Roman"/>
                <w:lang w:val="en-US"/>
              </w:rPr>
            </w:pPr>
            <w:r w:rsidRPr="00ED7545">
              <w:rPr>
                <w:rFonts w:ascii="Times New Roman" w:hAnsi="Times New Roman"/>
                <w:lang w:val="en-US"/>
              </w:rPr>
              <w:t>EU BS principles (DRM, PFM</w:t>
            </w:r>
            <w:r w:rsidR="00474405">
              <w:rPr>
                <w:rFonts w:ascii="Times New Roman" w:hAnsi="Times New Roman"/>
                <w:lang w:val="en-US"/>
              </w:rPr>
              <w:t xml:space="preserve"> and fight against corruption</w:t>
            </w:r>
            <w:r w:rsidRPr="00ED7545">
              <w:rPr>
                <w:rFonts w:ascii="Times New Roman" w:hAnsi="Times New Roman"/>
                <w:lang w:val="en-US"/>
              </w:rPr>
              <w:t xml:space="preserve">) 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US"/>
              </w:rPr>
            </w:pPr>
            <w:r w:rsidRPr="00ED7545">
              <w:rPr>
                <w:sz w:val="22"/>
                <w:szCs w:val="22"/>
                <w:lang w:val="en-US"/>
              </w:rPr>
              <w:t>Situation in the region with regards to State Audit Institutions (SAI), Parliament oversight, corruption,  tax heaven and money laundering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US"/>
              </w:rPr>
            </w:pPr>
            <w:r w:rsidRPr="00ED7545">
              <w:rPr>
                <w:sz w:val="22"/>
                <w:szCs w:val="22"/>
                <w:lang w:val="en-US"/>
              </w:rPr>
              <w:t>Regional initiative PASAI</w:t>
            </w:r>
          </w:p>
          <w:p w:rsidR="00ED7545" w:rsidRPr="00ED7545" w:rsidRDefault="00ED7545" w:rsidP="00ED7545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US"/>
              </w:rPr>
            </w:pPr>
            <w:r w:rsidRPr="00ED7545">
              <w:rPr>
                <w:sz w:val="22"/>
                <w:szCs w:val="22"/>
                <w:lang w:val="en-US"/>
              </w:rPr>
              <w:t>Donors’ capacity development programs/projects</w:t>
            </w:r>
          </w:p>
          <w:p w:rsidR="00ED7545" w:rsidRPr="00ED7545" w:rsidRDefault="00ED7545" w:rsidP="00ED7545">
            <w:pPr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875FD8" w:rsidRPr="00875FD8" w:rsidTr="00875FD8">
        <w:trPr>
          <w:trHeight w:val="269"/>
        </w:trPr>
        <w:tc>
          <w:tcPr>
            <w:tcW w:w="944" w:type="pct"/>
            <w:shd w:val="clear" w:color="auto" w:fill="244061" w:themeFill="accent1" w:themeFillShade="80"/>
          </w:tcPr>
          <w:p w:rsidR="00ED7545" w:rsidRPr="00875FD8" w:rsidRDefault="00ED7545" w:rsidP="00ED7545">
            <w:pPr>
              <w:spacing w:before="20" w:after="60"/>
              <w:ind w:right="-174"/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15.15 – 15.30</w:t>
            </w:r>
          </w:p>
        </w:tc>
        <w:tc>
          <w:tcPr>
            <w:tcW w:w="4056" w:type="pct"/>
            <w:shd w:val="clear" w:color="auto" w:fill="244061" w:themeFill="accent1" w:themeFillShade="80"/>
          </w:tcPr>
          <w:p w:rsidR="00ED7545" w:rsidRPr="00875FD8" w:rsidRDefault="00EF2E31" w:rsidP="00EF2E31">
            <w:pPr>
              <w:jc w:val="left"/>
              <w:rPr>
                <w:rFonts w:ascii="Times New Roman" w:hAnsi="Times New Roman"/>
                <w:b/>
                <w:color w:val="FFFFFF" w:themeColor="background1"/>
              </w:rPr>
            </w:pPr>
            <w:r w:rsidRPr="00875FD8">
              <w:rPr>
                <w:rFonts w:ascii="Times New Roman" w:hAnsi="Times New Roman"/>
                <w:b/>
                <w:color w:val="FFFFFF" w:themeColor="background1"/>
              </w:rPr>
              <w:t>Coffee/tea b</w:t>
            </w:r>
            <w:r w:rsidR="00ED7545" w:rsidRPr="00875FD8">
              <w:rPr>
                <w:rFonts w:ascii="Times New Roman" w:hAnsi="Times New Roman"/>
                <w:b/>
                <w:color w:val="FFFFFF" w:themeColor="background1"/>
              </w:rPr>
              <w:t>reak</w:t>
            </w:r>
          </w:p>
        </w:tc>
      </w:tr>
      <w:tr w:rsidR="00ED7545" w:rsidRPr="00ED7545" w:rsidTr="00875FD8">
        <w:trPr>
          <w:trHeight w:val="269"/>
        </w:trPr>
        <w:tc>
          <w:tcPr>
            <w:tcW w:w="944" w:type="pct"/>
          </w:tcPr>
          <w:p w:rsidR="00ED7545" w:rsidRPr="00ED7545" w:rsidRDefault="00ED7545" w:rsidP="00ED7545">
            <w:pPr>
              <w:spacing w:before="20" w:after="60"/>
              <w:jc w:val="left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15.30 – 17.00</w:t>
            </w:r>
          </w:p>
          <w:p w:rsidR="00ED7545" w:rsidRPr="00ED7545" w:rsidRDefault="00ED7545" w:rsidP="00ED7545">
            <w:pPr>
              <w:spacing w:before="20" w:after="60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056" w:type="pct"/>
          </w:tcPr>
          <w:p w:rsidR="00ED7545" w:rsidRPr="00ED7545" w:rsidRDefault="00ED7545" w:rsidP="00ED7545">
            <w:pPr>
              <w:jc w:val="both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 xml:space="preserve">Module 9 Discussions </w:t>
            </w:r>
          </w:p>
          <w:p w:rsidR="00ED7545" w:rsidRPr="00ED7545" w:rsidRDefault="00ED7545" w:rsidP="00ED7545">
            <w:pPr>
              <w:jc w:val="both"/>
              <w:rPr>
                <w:rFonts w:ascii="Times New Roman" w:hAnsi="Times New Roman"/>
                <w:b/>
              </w:rPr>
            </w:pPr>
            <w:r w:rsidRPr="00ED7545">
              <w:rPr>
                <w:rFonts w:ascii="Times New Roman" w:hAnsi="Times New Roman"/>
                <w:b/>
              </w:rPr>
              <w:t>End of the training/seminar.</w:t>
            </w:r>
          </w:p>
        </w:tc>
      </w:tr>
    </w:tbl>
    <w:p w:rsidR="00BC25B9" w:rsidRPr="00ED7545" w:rsidRDefault="00BC25B9" w:rsidP="00ED7545">
      <w:pPr>
        <w:jc w:val="both"/>
        <w:rPr>
          <w:rFonts w:ascii="Times New Roman" w:hAnsi="Times New Roman"/>
        </w:rPr>
      </w:pPr>
    </w:p>
    <w:sectPr w:rsidR="00BC25B9" w:rsidRPr="00ED7545" w:rsidSect="00875FD8">
      <w:footerReference w:type="default" r:id="rId8"/>
      <w:type w:val="continuous"/>
      <w:pgSz w:w="11899" w:h="16838" w:code="9"/>
      <w:pgMar w:top="720" w:right="568" w:bottom="720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92" w:rsidRDefault="00157F92" w:rsidP="00665021">
      <w:r>
        <w:separator/>
      </w:r>
    </w:p>
  </w:endnote>
  <w:endnote w:type="continuationSeparator" w:id="0">
    <w:p w:rsidR="00157F92" w:rsidRDefault="00157F92" w:rsidP="006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9CB" w:rsidRDefault="008159CB" w:rsidP="00665021">
    <w:pPr>
      <w:pStyle w:val="Footer"/>
      <w:pBdr>
        <w:top w:val="single" w:sz="6" w:space="1" w:color="002850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1CA8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92" w:rsidRDefault="00157F92" w:rsidP="00665021">
      <w:r>
        <w:separator/>
      </w:r>
    </w:p>
  </w:footnote>
  <w:footnote w:type="continuationSeparator" w:id="0">
    <w:p w:rsidR="00157F92" w:rsidRDefault="00157F92" w:rsidP="0066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5384"/>
    <w:multiLevelType w:val="hybridMultilevel"/>
    <w:tmpl w:val="EECC9EAA"/>
    <w:lvl w:ilvl="0" w:tplc="43022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1BB8"/>
    <w:multiLevelType w:val="hybridMultilevel"/>
    <w:tmpl w:val="42D8AC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579"/>
    <w:multiLevelType w:val="hybridMultilevel"/>
    <w:tmpl w:val="FBB60850"/>
    <w:lvl w:ilvl="0" w:tplc="164CA47E">
      <w:start w:val="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E5B6E"/>
    <w:multiLevelType w:val="hybridMultilevel"/>
    <w:tmpl w:val="C388C730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13EF3"/>
    <w:multiLevelType w:val="hybridMultilevel"/>
    <w:tmpl w:val="57444494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37E36"/>
    <w:multiLevelType w:val="hybridMultilevel"/>
    <w:tmpl w:val="7B9A3E4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E0F7E"/>
    <w:multiLevelType w:val="hybridMultilevel"/>
    <w:tmpl w:val="2BA00F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737"/>
    <w:multiLevelType w:val="hybridMultilevel"/>
    <w:tmpl w:val="34B219B2"/>
    <w:lvl w:ilvl="0" w:tplc="0234E6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CC0C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E5F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654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2D8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616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6C2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2AE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45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7A94"/>
    <w:multiLevelType w:val="hybridMultilevel"/>
    <w:tmpl w:val="88AA435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03C0C"/>
    <w:multiLevelType w:val="hybridMultilevel"/>
    <w:tmpl w:val="7688A076"/>
    <w:lvl w:ilvl="0" w:tplc="A760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A6F10"/>
    <w:multiLevelType w:val="hybridMultilevel"/>
    <w:tmpl w:val="2240690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516F6"/>
    <w:multiLevelType w:val="hybridMultilevel"/>
    <w:tmpl w:val="3260F67C"/>
    <w:lvl w:ilvl="0" w:tplc="7576B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85D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A97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E9E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83B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A91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EBC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431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037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50B7"/>
    <w:multiLevelType w:val="hybridMultilevel"/>
    <w:tmpl w:val="1CB499F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B13C7"/>
    <w:multiLevelType w:val="hybridMultilevel"/>
    <w:tmpl w:val="EDA2FC4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7A7AE0"/>
    <w:multiLevelType w:val="hybridMultilevel"/>
    <w:tmpl w:val="D2D0F60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3D2B62"/>
    <w:multiLevelType w:val="hybridMultilevel"/>
    <w:tmpl w:val="1CE6FBD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C1CF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FB2199F"/>
    <w:multiLevelType w:val="hybridMultilevel"/>
    <w:tmpl w:val="048016A6"/>
    <w:lvl w:ilvl="0" w:tplc="57FA8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A27E4"/>
    <w:multiLevelType w:val="hybridMultilevel"/>
    <w:tmpl w:val="3222B39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4868DC"/>
    <w:multiLevelType w:val="hybridMultilevel"/>
    <w:tmpl w:val="26BEA516"/>
    <w:lvl w:ilvl="0" w:tplc="CCBAA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5673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E58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A40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3229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66B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A69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42A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660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A5944"/>
    <w:multiLevelType w:val="hybridMultilevel"/>
    <w:tmpl w:val="3348C7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B6013C">
      <w:start w:val="1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45CBF"/>
    <w:multiLevelType w:val="hybridMultilevel"/>
    <w:tmpl w:val="A394ECB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764AD"/>
    <w:multiLevelType w:val="hybridMultilevel"/>
    <w:tmpl w:val="FC0C1D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575F6"/>
    <w:multiLevelType w:val="hybridMultilevel"/>
    <w:tmpl w:val="5EB0F4B0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4"/>
  </w:num>
  <w:num w:numId="4">
    <w:abstractNumId w:val="13"/>
  </w:num>
  <w:num w:numId="5">
    <w:abstractNumId w:val="16"/>
  </w:num>
  <w:num w:numId="6">
    <w:abstractNumId w:val="19"/>
  </w:num>
  <w:num w:numId="7">
    <w:abstractNumId w:val="14"/>
  </w:num>
  <w:num w:numId="8">
    <w:abstractNumId w:val="17"/>
  </w:num>
  <w:num w:numId="9">
    <w:abstractNumId w:val="1"/>
  </w:num>
  <w:num w:numId="10">
    <w:abstractNumId w:val="18"/>
  </w:num>
  <w:num w:numId="11">
    <w:abstractNumId w:val="7"/>
  </w:num>
  <w:num w:numId="12">
    <w:abstractNumId w:val="11"/>
  </w:num>
  <w:num w:numId="13">
    <w:abstractNumId w:val="6"/>
  </w:num>
  <w:num w:numId="14">
    <w:abstractNumId w:val="0"/>
  </w:num>
  <w:num w:numId="15">
    <w:abstractNumId w:val="3"/>
  </w:num>
  <w:num w:numId="16">
    <w:abstractNumId w:val="5"/>
  </w:num>
  <w:num w:numId="17">
    <w:abstractNumId w:val="2"/>
  </w:num>
  <w:num w:numId="18">
    <w:abstractNumId w:val="9"/>
  </w:num>
  <w:num w:numId="19">
    <w:abstractNumId w:val="20"/>
  </w:num>
  <w:num w:numId="20">
    <w:abstractNumId w:val="10"/>
  </w:num>
  <w:num w:numId="21">
    <w:abstractNumId w:val="12"/>
  </w:num>
  <w:num w:numId="22">
    <w:abstractNumId w:val="21"/>
  </w:num>
  <w:num w:numId="2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41778"/>
    <w:rsid w:val="00000528"/>
    <w:rsid w:val="00001D6D"/>
    <w:rsid w:val="00012036"/>
    <w:rsid w:val="00017D3C"/>
    <w:rsid w:val="00017E92"/>
    <w:rsid w:val="00034858"/>
    <w:rsid w:val="000534CC"/>
    <w:rsid w:val="0005584C"/>
    <w:rsid w:val="000573B5"/>
    <w:rsid w:val="00057A18"/>
    <w:rsid w:val="00057B90"/>
    <w:rsid w:val="00060A76"/>
    <w:rsid w:val="000826AE"/>
    <w:rsid w:val="00090FAA"/>
    <w:rsid w:val="000A3DE2"/>
    <w:rsid w:val="000A65C9"/>
    <w:rsid w:val="000C1A80"/>
    <w:rsid w:val="000C4661"/>
    <w:rsid w:val="000C5B98"/>
    <w:rsid w:val="000C7D5C"/>
    <w:rsid w:val="000D4E1E"/>
    <w:rsid w:val="000E11A7"/>
    <w:rsid w:val="000E2517"/>
    <w:rsid w:val="000F2535"/>
    <w:rsid w:val="000F51D5"/>
    <w:rsid w:val="000F7311"/>
    <w:rsid w:val="00100919"/>
    <w:rsid w:val="00116215"/>
    <w:rsid w:val="00132F4D"/>
    <w:rsid w:val="00137E20"/>
    <w:rsid w:val="00144ABA"/>
    <w:rsid w:val="001452C0"/>
    <w:rsid w:val="00152B3B"/>
    <w:rsid w:val="00153D3F"/>
    <w:rsid w:val="00153FBF"/>
    <w:rsid w:val="00157F92"/>
    <w:rsid w:val="0016147F"/>
    <w:rsid w:val="001744CB"/>
    <w:rsid w:val="001862B2"/>
    <w:rsid w:val="0019588E"/>
    <w:rsid w:val="00197427"/>
    <w:rsid w:val="001A2AFE"/>
    <w:rsid w:val="001A5EAA"/>
    <w:rsid w:val="001B4A27"/>
    <w:rsid w:val="001E0883"/>
    <w:rsid w:val="001E2BAA"/>
    <w:rsid w:val="001E64A3"/>
    <w:rsid w:val="001F167A"/>
    <w:rsid w:val="001F4402"/>
    <w:rsid w:val="00201953"/>
    <w:rsid w:val="00202E55"/>
    <w:rsid w:val="00217027"/>
    <w:rsid w:val="00221F63"/>
    <w:rsid w:val="0023290C"/>
    <w:rsid w:val="002411CF"/>
    <w:rsid w:val="00242D2F"/>
    <w:rsid w:val="0026311E"/>
    <w:rsid w:val="0026751B"/>
    <w:rsid w:val="0027268A"/>
    <w:rsid w:val="00275299"/>
    <w:rsid w:val="00281D51"/>
    <w:rsid w:val="00287CFD"/>
    <w:rsid w:val="002C4139"/>
    <w:rsid w:val="002D0EAB"/>
    <w:rsid w:val="002D6803"/>
    <w:rsid w:val="002D790A"/>
    <w:rsid w:val="002D7DC6"/>
    <w:rsid w:val="002E5DEE"/>
    <w:rsid w:val="002E6E43"/>
    <w:rsid w:val="002F35D0"/>
    <w:rsid w:val="003023C8"/>
    <w:rsid w:val="00302544"/>
    <w:rsid w:val="00310E52"/>
    <w:rsid w:val="00314777"/>
    <w:rsid w:val="00314808"/>
    <w:rsid w:val="003152F8"/>
    <w:rsid w:val="00335EAD"/>
    <w:rsid w:val="00354264"/>
    <w:rsid w:val="00372412"/>
    <w:rsid w:val="00376EAF"/>
    <w:rsid w:val="0039065C"/>
    <w:rsid w:val="003953F3"/>
    <w:rsid w:val="003A59B2"/>
    <w:rsid w:val="003B4DF9"/>
    <w:rsid w:val="003B7E05"/>
    <w:rsid w:val="003C3B9B"/>
    <w:rsid w:val="003D0199"/>
    <w:rsid w:val="003D2131"/>
    <w:rsid w:val="004121E3"/>
    <w:rsid w:val="0042251D"/>
    <w:rsid w:val="004275E4"/>
    <w:rsid w:val="00431CC3"/>
    <w:rsid w:val="00436E8A"/>
    <w:rsid w:val="00440310"/>
    <w:rsid w:val="00453B89"/>
    <w:rsid w:val="00453EC8"/>
    <w:rsid w:val="004552CD"/>
    <w:rsid w:val="00457164"/>
    <w:rsid w:val="004645AE"/>
    <w:rsid w:val="004652CD"/>
    <w:rsid w:val="00470951"/>
    <w:rsid w:val="00474405"/>
    <w:rsid w:val="00477BE9"/>
    <w:rsid w:val="004817DC"/>
    <w:rsid w:val="00481BF0"/>
    <w:rsid w:val="004866AD"/>
    <w:rsid w:val="004B55A9"/>
    <w:rsid w:val="004C2BD5"/>
    <w:rsid w:val="004D2D82"/>
    <w:rsid w:val="004D364E"/>
    <w:rsid w:val="004D5CE1"/>
    <w:rsid w:val="004E43B3"/>
    <w:rsid w:val="004F1840"/>
    <w:rsid w:val="004F1BC4"/>
    <w:rsid w:val="004F1D07"/>
    <w:rsid w:val="005002E8"/>
    <w:rsid w:val="0051227C"/>
    <w:rsid w:val="005129DA"/>
    <w:rsid w:val="00523F48"/>
    <w:rsid w:val="005246A8"/>
    <w:rsid w:val="00534229"/>
    <w:rsid w:val="00550935"/>
    <w:rsid w:val="005555D2"/>
    <w:rsid w:val="00565404"/>
    <w:rsid w:val="005858B4"/>
    <w:rsid w:val="005914E1"/>
    <w:rsid w:val="00597EE6"/>
    <w:rsid w:val="005A7C8D"/>
    <w:rsid w:val="005B1CA9"/>
    <w:rsid w:val="005B1DE6"/>
    <w:rsid w:val="005B5D12"/>
    <w:rsid w:val="005D21C1"/>
    <w:rsid w:val="005E012A"/>
    <w:rsid w:val="005E3C14"/>
    <w:rsid w:val="005F178F"/>
    <w:rsid w:val="005F2686"/>
    <w:rsid w:val="006001A4"/>
    <w:rsid w:val="00607A00"/>
    <w:rsid w:val="00613574"/>
    <w:rsid w:val="00617502"/>
    <w:rsid w:val="006175C3"/>
    <w:rsid w:val="006208E7"/>
    <w:rsid w:val="0062196E"/>
    <w:rsid w:val="006229C3"/>
    <w:rsid w:val="00630E44"/>
    <w:rsid w:val="00632FF6"/>
    <w:rsid w:val="006434EB"/>
    <w:rsid w:val="00645484"/>
    <w:rsid w:val="006526BA"/>
    <w:rsid w:val="006546C0"/>
    <w:rsid w:val="00665021"/>
    <w:rsid w:val="00671CA8"/>
    <w:rsid w:val="00674EF5"/>
    <w:rsid w:val="006912EF"/>
    <w:rsid w:val="006B7B15"/>
    <w:rsid w:val="006C18CD"/>
    <w:rsid w:val="006D2161"/>
    <w:rsid w:val="006E3975"/>
    <w:rsid w:val="006E53B6"/>
    <w:rsid w:val="006F4F02"/>
    <w:rsid w:val="006F6278"/>
    <w:rsid w:val="006F760D"/>
    <w:rsid w:val="007115BE"/>
    <w:rsid w:val="00711AE6"/>
    <w:rsid w:val="00716F1C"/>
    <w:rsid w:val="007204D5"/>
    <w:rsid w:val="007348D5"/>
    <w:rsid w:val="00743627"/>
    <w:rsid w:val="00750796"/>
    <w:rsid w:val="00754769"/>
    <w:rsid w:val="00755BDF"/>
    <w:rsid w:val="00761C83"/>
    <w:rsid w:val="00762698"/>
    <w:rsid w:val="00764F66"/>
    <w:rsid w:val="007653CB"/>
    <w:rsid w:val="0078461E"/>
    <w:rsid w:val="00790AED"/>
    <w:rsid w:val="00792272"/>
    <w:rsid w:val="007924A1"/>
    <w:rsid w:val="007B114E"/>
    <w:rsid w:val="007C0047"/>
    <w:rsid w:val="007C0AE1"/>
    <w:rsid w:val="007C2443"/>
    <w:rsid w:val="007C27B5"/>
    <w:rsid w:val="007D1E71"/>
    <w:rsid w:val="007F23A0"/>
    <w:rsid w:val="007F27A4"/>
    <w:rsid w:val="007F4DBA"/>
    <w:rsid w:val="00810FB4"/>
    <w:rsid w:val="00812520"/>
    <w:rsid w:val="008159CB"/>
    <w:rsid w:val="008172BC"/>
    <w:rsid w:val="00823EFB"/>
    <w:rsid w:val="008243C9"/>
    <w:rsid w:val="00860041"/>
    <w:rsid w:val="00862FE7"/>
    <w:rsid w:val="008637F7"/>
    <w:rsid w:val="00866ED5"/>
    <w:rsid w:val="00875213"/>
    <w:rsid w:val="00875FD8"/>
    <w:rsid w:val="008871FB"/>
    <w:rsid w:val="00887433"/>
    <w:rsid w:val="008A6057"/>
    <w:rsid w:val="008B1BD6"/>
    <w:rsid w:val="008B5FC5"/>
    <w:rsid w:val="008D1B90"/>
    <w:rsid w:val="008D2DB9"/>
    <w:rsid w:val="008D6F18"/>
    <w:rsid w:val="008E7881"/>
    <w:rsid w:val="008F02B3"/>
    <w:rsid w:val="008F06A1"/>
    <w:rsid w:val="009074DE"/>
    <w:rsid w:val="0090773D"/>
    <w:rsid w:val="00925601"/>
    <w:rsid w:val="00940418"/>
    <w:rsid w:val="0095701E"/>
    <w:rsid w:val="00961B94"/>
    <w:rsid w:val="009669AA"/>
    <w:rsid w:val="0097076E"/>
    <w:rsid w:val="00973290"/>
    <w:rsid w:val="00992302"/>
    <w:rsid w:val="009A0BB4"/>
    <w:rsid w:val="009A0D04"/>
    <w:rsid w:val="009A1B99"/>
    <w:rsid w:val="009A2AA4"/>
    <w:rsid w:val="009A2AA8"/>
    <w:rsid w:val="009A5D85"/>
    <w:rsid w:val="009A6CD9"/>
    <w:rsid w:val="009B1F8D"/>
    <w:rsid w:val="009B29A7"/>
    <w:rsid w:val="009C2ACD"/>
    <w:rsid w:val="009C3CC2"/>
    <w:rsid w:val="009C7BD2"/>
    <w:rsid w:val="009D04CE"/>
    <w:rsid w:val="009D1487"/>
    <w:rsid w:val="009D52F5"/>
    <w:rsid w:val="009E0126"/>
    <w:rsid w:val="009E1A6F"/>
    <w:rsid w:val="009F620A"/>
    <w:rsid w:val="00A022D8"/>
    <w:rsid w:val="00A2528C"/>
    <w:rsid w:val="00A26E67"/>
    <w:rsid w:val="00A40B87"/>
    <w:rsid w:val="00A52318"/>
    <w:rsid w:val="00A54337"/>
    <w:rsid w:val="00A57407"/>
    <w:rsid w:val="00A606BD"/>
    <w:rsid w:val="00A61D50"/>
    <w:rsid w:val="00A6258D"/>
    <w:rsid w:val="00A63517"/>
    <w:rsid w:val="00A66B3B"/>
    <w:rsid w:val="00A74915"/>
    <w:rsid w:val="00A75BFB"/>
    <w:rsid w:val="00AA408D"/>
    <w:rsid w:val="00AA46A4"/>
    <w:rsid w:val="00AB2B2D"/>
    <w:rsid w:val="00AB38DB"/>
    <w:rsid w:val="00AB609E"/>
    <w:rsid w:val="00AC20CC"/>
    <w:rsid w:val="00AD14F2"/>
    <w:rsid w:val="00AE278C"/>
    <w:rsid w:val="00AE34B1"/>
    <w:rsid w:val="00B0035A"/>
    <w:rsid w:val="00B048C8"/>
    <w:rsid w:val="00B056DA"/>
    <w:rsid w:val="00B05BD4"/>
    <w:rsid w:val="00B078FF"/>
    <w:rsid w:val="00B14893"/>
    <w:rsid w:val="00B17458"/>
    <w:rsid w:val="00B33251"/>
    <w:rsid w:val="00B362D0"/>
    <w:rsid w:val="00B41778"/>
    <w:rsid w:val="00B44F74"/>
    <w:rsid w:val="00B47DFE"/>
    <w:rsid w:val="00B62783"/>
    <w:rsid w:val="00B7522B"/>
    <w:rsid w:val="00B80559"/>
    <w:rsid w:val="00B84C38"/>
    <w:rsid w:val="00B94724"/>
    <w:rsid w:val="00BC1AFC"/>
    <w:rsid w:val="00BC25B9"/>
    <w:rsid w:val="00BC378F"/>
    <w:rsid w:val="00BC59D6"/>
    <w:rsid w:val="00BD438B"/>
    <w:rsid w:val="00BD7128"/>
    <w:rsid w:val="00BE0439"/>
    <w:rsid w:val="00BE4ABD"/>
    <w:rsid w:val="00BF451B"/>
    <w:rsid w:val="00BF6F18"/>
    <w:rsid w:val="00C118D4"/>
    <w:rsid w:val="00C15913"/>
    <w:rsid w:val="00C177B0"/>
    <w:rsid w:val="00C203A8"/>
    <w:rsid w:val="00C333D7"/>
    <w:rsid w:val="00C36F16"/>
    <w:rsid w:val="00C409E8"/>
    <w:rsid w:val="00C456DC"/>
    <w:rsid w:val="00C46AD8"/>
    <w:rsid w:val="00C4796C"/>
    <w:rsid w:val="00C535F5"/>
    <w:rsid w:val="00C53BBD"/>
    <w:rsid w:val="00C6488D"/>
    <w:rsid w:val="00C75301"/>
    <w:rsid w:val="00C766FD"/>
    <w:rsid w:val="00C83EDB"/>
    <w:rsid w:val="00C8619F"/>
    <w:rsid w:val="00C868A6"/>
    <w:rsid w:val="00CB01E5"/>
    <w:rsid w:val="00CC3996"/>
    <w:rsid w:val="00CC3DBE"/>
    <w:rsid w:val="00CC6C31"/>
    <w:rsid w:val="00CC6CCB"/>
    <w:rsid w:val="00CD0AD5"/>
    <w:rsid w:val="00CD7065"/>
    <w:rsid w:val="00CE0E8A"/>
    <w:rsid w:val="00CF15B4"/>
    <w:rsid w:val="00CF4159"/>
    <w:rsid w:val="00D05024"/>
    <w:rsid w:val="00D07949"/>
    <w:rsid w:val="00D1256F"/>
    <w:rsid w:val="00D16C98"/>
    <w:rsid w:val="00D24546"/>
    <w:rsid w:val="00D269D6"/>
    <w:rsid w:val="00D27DC4"/>
    <w:rsid w:val="00D37806"/>
    <w:rsid w:val="00D516E6"/>
    <w:rsid w:val="00D553B7"/>
    <w:rsid w:val="00D62872"/>
    <w:rsid w:val="00D63AD6"/>
    <w:rsid w:val="00D657D5"/>
    <w:rsid w:val="00D73A2F"/>
    <w:rsid w:val="00D76315"/>
    <w:rsid w:val="00D82D8F"/>
    <w:rsid w:val="00D8638C"/>
    <w:rsid w:val="00D9035B"/>
    <w:rsid w:val="00DA3148"/>
    <w:rsid w:val="00DA6247"/>
    <w:rsid w:val="00DA7C09"/>
    <w:rsid w:val="00DB5AAC"/>
    <w:rsid w:val="00DC7ED6"/>
    <w:rsid w:val="00DD1481"/>
    <w:rsid w:val="00DE10B1"/>
    <w:rsid w:val="00DE3AF2"/>
    <w:rsid w:val="00DE62A0"/>
    <w:rsid w:val="00DF4690"/>
    <w:rsid w:val="00DF4996"/>
    <w:rsid w:val="00DF604C"/>
    <w:rsid w:val="00DF7271"/>
    <w:rsid w:val="00E0323E"/>
    <w:rsid w:val="00E2238B"/>
    <w:rsid w:val="00E32A27"/>
    <w:rsid w:val="00E4041A"/>
    <w:rsid w:val="00E52FF1"/>
    <w:rsid w:val="00E546E9"/>
    <w:rsid w:val="00E61A37"/>
    <w:rsid w:val="00E61CA7"/>
    <w:rsid w:val="00E6319E"/>
    <w:rsid w:val="00E64A0D"/>
    <w:rsid w:val="00E6646A"/>
    <w:rsid w:val="00E812E8"/>
    <w:rsid w:val="00E86C1D"/>
    <w:rsid w:val="00EA7087"/>
    <w:rsid w:val="00EB0F28"/>
    <w:rsid w:val="00EB1023"/>
    <w:rsid w:val="00EC1FCC"/>
    <w:rsid w:val="00ED35D5"/>
    <w:rsid w:val="00ED7545"/>
    <w:rsid w:val="00EF1463"/>
    <w:rsid w:val="00EF1E6A"/>
    <w:rsid w:val="00EF22CA"/>
    <w:rsid w:val="00EF2E31"/>
    <w:rsid w:val="00F01719"/>
    <w:rsid w:val="00F02B0B"/>
    <w:rsid w:val="00F03412"/>
    <w:rsid w:val="00F129E0"/>
    <w:rsid w:val="00F22A72"/>
    <w:rsid w:val="00F27550"/>
    <w:rsid w:val="00F3490B"/>
    <w:rsid w:val="00F36B14"/>
    <w:rsid w:val="00F52001"/>
    <w:rsid w:val="00F54241"/>
    <w:rsid w:val="00F569AB"/>
    <w:rsid w:val="00F644B3"/>
    <w:rsid w:val="00F813B7"/>
    <w:rsid w:val="00F943F0"/>
    <w:rsid w:val="00FA39EC"/>
    <w:rsid w:val="00FB2A82"/>
    <w:rsid w:val="00FB4584"/>
    <w:rsid w:val="00FB4D16"/>
    <w:rsid w:val="00FC1579"/>
    <w:rsid w:val="00FC5370"/>
    <w:rsid w:val="00FE5590"/>
    <w:rsid w:val="00FE62D1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56B647-5856-4FA3-A622-44C89354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B9"/>
    <w:pPr>
      <w:spacing w:line="276" w:lineRule="auto"/>
      <w:jc w:val="right"/>
    </w:pPr>
    <w:rPr>
      <w:rFonts w:ascii="Calibri" w:eastAsia="Calibri" w:hAnsi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513E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513E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13E0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A2665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B4177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9A2665"/>
    <w:rPr>
      <w:rFonts w:ascii="Arial" w:hAnsi="Arial"/>
      <w:b/>
      <w:sz w:val="22"/>
      <w:lang w:val="fr-BE" w:eastAsia="en-US" w:bidi="ar-SA"/>
    </w:rPr>
  </w:style>
  <w:style w:type="paragraph" w:styleId="Header">
    <w:name w:val="header"/>
    <w:basedOn w:val="Normal"/>
    <w:rsid w:val="002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32C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32C3C"/>
  </w:style>
  <w:style w:type="character" w:customStyle="1" w:styleId="Heading1Char">
    <w:name w:val="Heading 1 Char"/>
    <w:basedOn w:val="DefaultParagraphFont"/>
    <w:link w:val="Heading1"/>
    <w:rsid w:val="006513E0"/>
    <w:rPr>
      <w:rFonts w:ascii="Calibri" w:eastAsia="Times New Roman" w:hAnsi="Calibr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513E0"/>
    <w:rPr>
      <w:rFonts w:ascii="Calibri" w:eastAsia="Times New Roman" w:hAnsi="Calibr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513E0"/>
    <w:rPr>
      <w:rFonts w:ascii="Calibri" w:eastAsia="Times New Roman" w:hAnsi="Calibr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semiHidden/>
    <w:rsid w:val="009958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5A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C333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33D7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33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33D7"/>
    <w:rPr>
      <w:rFonts w:ascii="Calibri" w:eastAsia="Calibri" w:hAnsi="Calibri"/>
      <w:b/>
      <w:bCs/>
      <w:lang w:val="en-GB"/>
    </w:rPr>
  </w:style>
  <w:style w:type="paragraph" w:styleId="Revision">
    <w:name w:val="Revision"/>
    <w:hidden/>
    <w:uiPriority w:val="71"/>
    <w:rsid w:val="00453EC8"/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75BFB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7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2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104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41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36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69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2354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07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99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25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80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37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49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6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2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4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61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477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20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727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445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40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373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907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314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87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1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233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45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8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7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9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0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57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63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69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71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E840-D902-4F1B-87C9-A3842752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1207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Company>Quistron Inc</Company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Fabrice.Ferrandes@ade.eu</dc:creator>
  <cp:lastModifiedBy>Florence Brosset-Heckel</cp:lastModifiedBy>
  <cp:revision>15</cp:revision>
  <cp:lastPrinted>2016-09-12T06:19:00Z</cp:lastPrinted>
  <dcterms:created xsi:type="dcterms:W3CDTF">2016-09-12T04:43:00Z</dcterms:created>
  <dcterms:modified xsi:type="dcterms:W3CDTF">2016-12-08T09:23:00Z</dcterms:modified>
</cp:coreProperties>
</file>