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3880F" w14:textId="30759245" w:rsidR="009C4A3C" w:rsidRDefault="004C77F9">
      <w:pPr>
        <w:rPr>
          <w:rFonts w:ascii="Bookman Old Style" w:eastAsiaTheme="minorHAnsi" w:hAnsi="Bookman Old Style"/>
          <w:b/>
          <w:sz w:val="22"/>
          <w:szCs w:val="22"/>
          <w:lang w:eastAsia="en-US"/>
        </w:rPr>
      </w:pPr>
      <w:r w:rsidRPr="004361AB">
        <w:rPr>
          <w:rFonts w:ascii="Bookman Old Style" w:eastAsiaTheme="minorHAnsi" w:hAnsi="Bookman Old Style"/>
          <w:b/>
          <w:sz w:val="22"/>
          <w:szCs w:val="22"/>
          <w:lang w:eastAsia="en-US"/>
        </w:rPr>
        <w:t xml:space="preserve">TERMS OF REFERENCE </w:t>
      </w:r>
      <w:r w:rsidR="00FB476A">
        <w:rPr>
          <w:rFonts w:ascii="Bookman Old Style" w:eastAsiaTheme="minorHAnsi" w:hAnsi="Bookman Old Style"/>
          <w:b/>
          <w:sz w:val="22"/>
          <w:szCs w:val="22"/>
          <w:lang w:eastAsia="en-US"/>
        </w:rPr>
        <w:t>of</w:t>
      </w:r>
      <w:r w:rsidR="004361AB" w:rsidRPr="004361AB">
        <w:rPr>
          <w:rFonts w:ascii="Bookman Old Style" w:eastAsiaTheme="minorHAnsi" w:hAnsi="Bookman Old Style"/>
          <w:b/>
          <w:sz w:val="22"/>
          <w:szCs w:val="22"/>
          <w:lang w:eastAsia="en-US"/>
        </w:rPr>
        <w:t xml:space="preserve"> GENDER</w:t>
      </w:r>
      <w:r w:rsidR="00346E23">
        <w:rPr>
          <w:rFonts w:ascii="Bookman Old Style" w:eastAsiaTheme="minorHAnsi" w:hAnsi="Bookman Old Style"/>
          <w:b/>
          <w:sz w:val="22"/>
          <w:szCs w:val="22"/>
          <w:lang w:eastAsia="en-US"/>
        </w:rPr>
        <w:t xml:space="preserve"> TECHNICAL WORKING GROUP EU/</w:t>
      </w:r>
      <w:r w:rsidR="004361AB" w:rsidRPr="004361AB">
        <w:rPr>
          <w:rFonts w:ascii="Bookman Old Style" w:eastAsiaTheme="minorHAnsi" w:hAnsi="Bookman Old Style"/>
          <w:b/>
          <w:sz w:val="22"/>
          <w:szCs w:val="22"/>
          <w:lang w:eastAsia="en-US"/>
        </w:rPr>
        <w:t>MS</w:t>
      </w:r>
    </w:p>
    <w:p w14:paraId="1967609F" w14:textId="77777777" w:rsidR="00346E23" w:rsidRDefault="00346E23">
      <w:pPr>
        <w:rPr>
          <w:rFonts w:ascii="Bookman Old Style" w:eastAsiaTheme="minorHAnsi" w:hAnsi="Bookman Old Style"/>
          <w:b/>
          <w:sz w:val="22"/>
          <w:szCs w:val="22"/>
          <w:lang w:eastAsia="en-US"/>
        </w:rPr>
      </w:pPr>
    </w:p>
    <w:p w14:paraId="2DF27DF1" w14:textId="77777777" w:rsidR="00346E23" w:rsidRPr="000B5519" w:rsidRDefault="00346E23" w:rsidP="00346E23">
      <w:pPr>
        <w:rPr>
          <w:rFonts w:eastAsia="Times New Roman" w:cstheme="minorHAnsi"/>
        </w:rPr>
      </w:pPr>
      <w:r w:rsidRPr="000B5519">
        <w:rPr>
          <w:rFonts w:eastAsia="Times New Roman" w:cstheme="minorHAnsi"/>
          <w:b/>
          <w:bCs/>
          <w:u w:val="single"/>
        </w:rPr>
        <w:t>Purpose:</w:t>
      </w:r>
      <w:r w:rsidRPr="000B5519">
        <w:rPr>
          <w:rFonts w:eastAsia="Times New Roman" w:cstheme="minorHAnsi"/>
        </w:rPr>
        <w:t xml:space="preserve"> </w:t>
      </w:r>
    </w:p>
    <w:p w14:paraId="4AD659A5" w14:textId="03ED3A38" w:rsidR="00346E23" w:rsidRPr="000B5519" w:rsidRDefault="00346E23" w:rsidP="00346E23">
      <w:pPr>
        <w:rPr>
          <w:rFonts w:eastAsia="Times New Roman" w:cstheme="minorHAnsi"/>
        </w:rPr>
      </w:pPr>
      <w:bookmarkStart w:id="0" w:name="_Hlk483907141"/>
      <w:r w:rsidRPr="000B5519">
        <w:rPr>
          <w:rFonts w:eastAsia="Times New Roman" w:cstheme="minorHAnsi"/>
        </w:rPr>
        <w:t xml:space="preserve">The </w:t>
      </w:r>
      <w:r w:rsidR="008D0130" w:rsidRPr="000B5519">
        <w:rPr>
          <w:rFonts w:eastAsia="Times New Roman" w:cstheme="minorHAnsi"/>
        </w:rPr>
        <w:t xml:space="preserve">EU Informal </w:t>
      </w:r>
      <w:r w:rsidR="00311758" w:rsidRPr="000B5519">
        <w:rPr>
          <w:rFonts w:eastAsia="Times New Roman" w:cstheme="minorHAnsi"/>
        </w:rPr>
        <w:t>Gender Technical Working Group</w:t>
      </w:r>
      <w:r w:rsidRPr="000B5519">
        <w:rPr>
          <w:rFonts w:eastAsia="Times New Roman" w:cstheme="minorHAnsi"/>
        </w:rPr>
        <w:t xml:space="preserve"> (</w:t>
      </w:r>
      <w:r w:rsidR="008D0130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>)</w:t>
      </w:r>
      <w:r w:rsidR="008D0130" w:rsidRPr="000B5519">
        <w:rPr>
          <w:rFonts w:eastAsia="Times New Roman" w:cstheme="minorHAnsi"/>
        </w:rPr>
        <w:t xml:space="preserve"> </w:t>
      </w:r>
      <w:r w:rsidRPr="000B5519">
        <w:rPr>
          <w:rFonts w:eastAsia="Times New Roman" w:cstheme="minorHAnsi"/>
        </w:rPr>
        <w:t>address</w:t>
      </w:r>
      <w:r w:rsidR="008D0130" w:rsidRPr="000B5519">
        <w:rPr>
          <w:rFonts w:eastAsia="Times New Roman" w:cstheme="minorHAnsi"/>
        </w:rPr>
        <w:t>es</w:t>
      </w:r>
      <w:r w:rsidRPr="000B5519">
        <w:rPr>
          <w:rFonts w:eastAsia="Times New Roman" w:cstheme="minorHAnsi"/>
        </w:rPr>
        <w:t xml:space="preserve"> issues of gender </w:t>
      </w:r>
      <w:r w:rsidR="008D0130" w:rsidRPr="000B5519">
        <w:rPr>
          <w:rFonts w:eastAsia="Times New Roman" w:cstheme="minorHAnsi"/>
        </w:rPr>
        <w:t>to</w:t>
      </w:r>
      <w:r w:rsidRPr="000B5519">
        <w:rPr>
          <w:rFonts w:eastAsia="Times New Roman" w:cstheme="minorHAnsi"/>
        </w:rPr>
        <w:t xml:space="preserve"> promote </w:t>
      </w:r>
      <w:r w:rsidR="008D0130" w:rsidRPr="000B5519">
        <w:rPr>
          <w:rFonts w:eastAsia="Times New Roman" w:cstheme="minorHAnsi"/>
        </w:rPr>
        <w:t xml:space="preserve">harmonization and effectiveness of </w:t>
      </w:r>
      <w:proofErr w:type="spellStart"/>
      <w:r w:rsidRPr="000B5519">
        <w:rPr>
          <w:rFonts w:eastAsia="Times New Roman" w:cstheme="minorHAnsi"/>
        </w:rPr>
        <w:t>programmes</w:t>
      </w:r>
      <w:proofErr w:type="spellEnd"/>
      <w:r w:rsidRPr="000B5519">
        <w:rPr>
          <w:rFonts w:eastAsia="Times New Roman" w:cstheme="minorHAnsi"/>
        </w:rPr>
        <w:t xml:space="preserve"> and activities </w:t>
      </w:r>
      <w:r w:rsidR="008D0130" w:rsidRPr="000B5519">
        <w:rPr>
          <w:rFonts w:eastAsia="Times New Roman" w:cstheme="minorHAnsi"/>
        </w:rPr>
        <w:t>funded by EU and MS</w:t>
      </w:r>
      <w:r w:rsidR="004469B0">
        <w:rPr>
          <w:rFonts w:eastAsia="Times New Roman" w:cstheme="minorHAnsi"/>
        </w:rPr>
        <w:t xml:space="preserve"> and like-minded donors</w:t>
      </w:r>
      <w:r w:rsidR="00463D6A">
        <w:rPr>
          <w:rFonts w:eastAsia="Times New Roman" w:cstheme="minorHAnsi"/>
        </w:rPr>
        <w:t xml:space="preserve"> and</w:t>
      </w:r>
      <w:r w:rsidR="008D0130" w:rsidRPr="000B5519">
        <w:rPr>
          <w:rFonts w:eastAsia="Times New Roman" w:cstheme="minorHAnsi"/>
        </w:rPr>
        <w:t xml:space="preserve"> </w:t>
      </w:r>
      <w:r w:rsidR="00855E0A" w:rsidRPr="000B5519">
        <w:rPr>
          <w:rFonts w:eastAsia="Times New Roman" w:cstheme="minorHAnsi"/>
        </w:rPr>
        <w:t>implemented</w:t>
      </w:r>
      <w:r w:rsidRPr="000B5519">
        <w:rPr>
          <w:rFonts w:eastAsia="Times New Roman" w:cstheme="minorHAnsi"/>
        </w:rPr>
        <w:t xml:space="preserve"> by the </w:t>
      </w:r>
      <w:r w:rsidR="00855E0A" w:rsidRPr="000B5519">
        <w:rPr>
          <w:rFonts w:eastAsia="Times New Roman" w:cstheme="minorHAnsi"/>
        </w:rPr>
        <w:t>PA</w:t>
      </w:r>
      <w:r w:rsidRPr="000B5519">
        <w:rPr>
          <w:rFonts w:eastAsia="Times New Roman" w:cstheme="minorHAnsi"/>
        </w:rPr>
        <w:t xml:space="preserve">, </w:t>
      </w:r>
      <w:r w:rsidR="00855E0A" w:rsidRPr="000B5519">
        <w:rPr>
          <w:rFonts w:eastAsia="Times New Roman" w:cstheme="minorHAnsi"/>
        </w:rPr>
        <w:t>NGO</w:t>
      </w:r>
      <w:r w:rsidRPr="000B5519">
        <w:rPr>
          <w:rFonts w:eastAsia="Times New Roman" w:cstheme="minorHAnsi"/>
        </w:rPr>
        <w:t xml:space="preserve">s and </w:t>
      </w:r>
      <w:r w:rsidR="00855E0A" w:rsidRPr="000B5519">
        <w:rPr>
          <w:rFonts w:eastAsia="Times New Roman" w:cstheme="minorHAnsi"/>
        </w:rPr>
        <w:t>relevant</w:t>
      </w:r>
      <w:r w:rsidRPr="000B5519">
        <w:rPr>
          <w:rFonts w:eastAsia="Times New Roman" w:cstheme="minorHAnsi"/>
        </w:rPr>
        <w:t xml:space="preserve"> UN agencies in their work in </w:t>
      </w:r>
      <w:r w:rsidR="008D0130" w:rsidRPr="000B5519">
        <w:rPr>
          <w:rFonts w:eastAsia="Times New Roman" w:cstheme="minorHAnsi"/>
        </w:rPr>
        <w:t>Palestine.</w:t>
      </w:r>
      <w:r w:rsidRPr="000B5519">
        <w:rPr>
          <w:rFonts w:eastAsia="Times New Roman" w:cstheme="minorHAnsi"/>
        </w:rPr>
        <w:t xml:space="preserve"> </w:t>
      </w:r>
    </w:p>
    <w:bookmarkEnd w:id="0"/>
    <w:p w14:paraId="1C39F9A4" w14:textId="77777777" w:rsidR="00346E23" w:rsidRPr="000B5519" w:rsidRDefault="00346E23" w:rsidP="00346E23">
      <w:pPr>
        <w:rPr>
          <w:rFonts w:eastAsia="Times New Roman" w:cstheme="minorHAnsi"/>
        </w:rPr>
      </w:pPr>
    </w:p>
    <w:p w14:paraId="772AD53A" w14:textId="72B58BB3" w:rsidR="00346E23" w:rsidRPr="000B5519" w:rsidRDefault="00346E23" w:rsidP="00855E0A">
      <w:pPr>
        <w:rPr>
          <w:rFonts w:eastAsia="Times New Roman" w:cstheme="minorHAnsi"/>
        </w:rPr>
      </w:pPr>
      <w:r w:rsidRPr="000B5519">
        <w:rPr>
          <w:rFonts w:eastAsia="Times New Roman" w:cstheme="minorHAnsi"/>
          <w:b/>
          <w:bCs/>
          <w:u w:val="single"/>
        </w:rPr>
        <w:t>Composition:</w:t>
      </w:r>
      <w:r w:rsidR="00855E0A" w:rsidRPr="000B5519">
        <w:rPr>
          <w:rFonts w:eastAsia="Times New Roman" w:cstheme="minorHAnsi"/>
        </w:rPr>
        <w:t xml:space="preserve"> </w:t>
      </w:r>
      <w:bookmarkStart w:id="1" w:name="_GoBack"/>
      <w:r w:rsidR="00855E0A" w:rsidRPr="000B5519">
        <w:rPr>
          <w:rFonts w:eastAsia="Times New Roman" w:cstheme="minorHAnsi"/>
        </w:rPr>
        <w:t xml:space="preserve">The group is open to all MS and like-minded European donors engaged in promoting the gender agenda, as well as the EU representation in Palestine and its relevant agencies. </w:t>
      </w:r>
      <w:r w:rsidRPr="000B5519">
        <w:rPr>
          <w:rFonts w:eastAsia="Times New Roman" w:cstheme="minorHAnsi"/>
        </w:rPr>
        <w:t xml:space="preserve">The chairperson of the </w:t>
      </w:r>
      <w:r w:rsidR="00855E0A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 xml:space="preserve"> </w:t>
      </w:r>
      <w:r w:rsidR="00855E0A" w:rsidRPr="000B5519">
        <w:rPr>
          <w:rFonts w:eastAsia="Times New Roman" w:cstheme="minorHAnsi"/>
        </w:rPr>
        <w:t xml:space="preserve">is the lead donor in gender in Palestine (currently Italy) and the co-chair is the EU. </w:t>
      </w:r>
    </w:p>
    <w:bookmarkEnd w:id="1"/>
    <w:p w14:paraId="41430B4E" w14:textId="77777777" w:rsidR="00346E23" w:rsidRPr="000B5519" w:rsidRDefault="00346E23" w:rsidP="00346E23">
      <w:pPr>
        <w:rPr>
          <w:rFonts w:eastAsia="Times New Roman" w:cstheme="minorHAnsi"/>
        </w:rPr>
      </w:pPr>
    </w:p>
    <w:p w14:paraId="1B37B88F" w14:textId="77777777" w:rsidR="00855E0A" w:rsidRPr="000B5519" w:rsidRDefault="00346E23" w:rsidP="00346E23">
      <w:pPr>
        <w:rPr>
          <w:rFonts w:eastAsia="Times New Roman" w:cstheme="minorHAnsi"/>
        </w:rPr>
      </w:pPr>
      <w:r w:rsidRPr="000B5519">
        <w:rPr>
          <w:rFonts w:eastAsia="Times New Roman" w:cstheme="minorHAnsi"/>
          <w:b/>
          <w:bCs/>
          <w:u w:val="single"/>
        </w:rPr>
        <w:t>Activities:</w:t>
      </w:r>
      <w:r w:rsidRPr="000B5519">
        <w:rPr>
          <w:rFonts w:eastAsia="Times New Roman" w:cstheme="minorHAnsi"/>
        </w:rPr>
        <w:t xml:space="preserve"> The </w:t>
      </w:r>
      <w:r w:rsidR="00855E0A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 xml:space="preserve"> </w:t>
      </w:r>
      <w:r w:rsidR="00855E0A" w:rsidRPr="000B5519">
        <w:rPr>
          <w:rFonts w:eastAsia="Times New Roman" w:cstheme="minorHAnsi"/>
        </w:rPr>
        <w:t>identifies</w:t>
      </w:r>
      <w:r w:rsidRPr="000B5519">
        <w:rPr>
          <w:rFonts w:eastAsia="Times New Roman" w:cstheme="minorHAnsi"/>
        </w:rPr>
        <w:t xml:space="preserve"> a common strategy to promote the following areas of interest: </w:t>
      </w:r>
    </w:p>
    <w:p w14:paraId="1002229F" w14:textId="7EEABEAE" w:rsidR="00855E0A" w:rsidRPr="000B5519" w:rsidRDefault="00346E23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 xml:space="preserve">The </w:t>
      </w:r>
      <w:r w:rsidR="002674DA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 xml:space="preserve"> work shall be within the framework </w:t>
      </w:r>
      <w:r w:rsidR="002674DA" w:rsidRPr="000B5519">
        <w:rPr>
          <w:rFonts w:eastAsia="Times New Roman" w:cstheme="minorHAnsi"/>
        </w:rPr>
        <w:t>of the European Joint Strategy in s</w:t>
      </w:r>
      <w:r w:rsidR="000B5519" w:rsidRPr="000B5519">
        <w:rPr>
          <w:rFonts w:eastAsia="Times New Roman" w:cstheme="minorHAnsi"/>
        </w:rPr>
        <w:t xml:space="preserve">upport of Palestine (2017-2020) and the EU Plan of Action for Gender equality and Women’s empowerment (2016-2020). </w:t>
      </w:r>
    </w:p>
    <w:p w14:paraId="71CB3050" w14:textId="74D9526F" w:rsidR="00855E0A" w:rsidRPr="000B5519" w:rsidRDefault="00346E23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 xml:space="preserve">The </w:t>
      </w:r>
      <w:r w:rsidR="002674DA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 xml:space="preserve"> will identify areas of coordination between concerned to promote gender issues and develop mechanisms to do this.</w:t>
      </w:r>
    </w:p>
    <w:p w14:paraId="369D04E7" w14:textId="4A86CAA5" w:rsidR="00855E0A" w:rsidRPr="000B5519" w:rsidRDefault="00346E23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erve">nder-related issues in the framework of the </w:t>
      </w:r>
      <w:r w:rsidR="00BC282A" w:rsidRPr="000B5519">
        <w:rPr>
          <w:rFonts w:eastAsia="Times New Roman" w:cstheme="minorHAnsi"/>
        </w:rPr>
        <w:t>European Joint Strategy</w:t>
      </w:r>
      <w:r w:rsidR="00BC282A">
        <w:rPr>
          <w:rFonts w:eastAsia="Times New Roman" w:cstheme="minorHAnsi"/>
        </w:rPr>
        <w:t>.</w:t>
      </w:r>
    </w:p>
    <w:p w14:paraId="7D1E0876" w14:textId="3C1A5CB6" w:rsidR="00855E0A" w:rsidRPr="000B5519" w:rsidRDefault="00346E23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 xml:space="preserve">In considering the cross-cutting aspect of the gender issue, the </w:t>
      </w:r>
      <w:r w:rsidR="002674DA" w:rsidRPr="000B5519">
        <w:rPr>
          <w:rFonts w:eastAsia="Times New Roman" w:cstheme="minorHAnsi"/>
        </w:rPr>
        <w:t>GTWG</w:t>
      </w:r>
      <w:r w:rsidRPr="000B5519">
        <w:rPr>
          <w:rFonts w:eastAsia="Times New Roman" w:cstheme="minorHAnsi"/>
        </w:rPr>
        <w:t xml:space="preserve"> will co-ordinate with other theme groups </w:t>
      </w:r>
      <w:proofErr w:type="gramStart"/>
      <w:r w:rsidRPr="000B5519">
        <w:rPr>
          <w:rFonts w:eastAsia="Times New Roman" w:cstheme="minorHAnsi"/>
        </w:rPr>
        <w:t>in order to</w:t>
      </w:r>
      <w:proofErr w:type="gramEnd"/>
      <w:r w:rsidRPr="000B5519">
        <w:rPr>
          <w:rFonts w:eastAsia="Times New Roman" w:cstheme="minorHAnsi"/>
        </w:rPr>
        <w:t xml:space="preserve"> ensure a consistent approach of gender issues and avoid overlapping.</w:t>
      </w:r>
    </w:p>
    <w:p w14:paraId="5A6389C8" w14:textId="0788EBA5" w:rsidR="000B5519" w:rsidRPr="000B5519" w:rsidRDefault="000B5519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>The GTWG will provide technical support on gender</w:t>
      </w:r>
      <w:r w:rsidR="0039450B">
        <w:rPr>
          <w:rFonts w:eastAsia="Times New Roman" w:cstheme="minorHAnsi"/>
        </w:rPr>
        <w:t xml:space="preserve"> and raise </w:t>
      </w:r>
      <w:proofErr w:type="gramStart"/>
      <w:r w:rsidR="0039450B">
        <w:rPr>
          <w:rFonts w:eastAsia="Times New Roman" w:cstheme="minorHAnsi"/>
        </w:rPr>
        <w:t>main issues</w:t>
      </w:r>
      <w:proofErr w:type="gramEnd"/>
      <w:r w:rsidR="0039450B">
        <w:rPr>
          <w:rFonts w:eastAsia="Times New Roman" w:cstheme="minorHAnsi"/>
        </w:rPr>
        <w:t xml:space="preserve"> of concern and interest related to gender</w:t>
      </w:r>
      <w:r w:rsidRPr="000B5519">
        <w:rPr>
          <w:rFonts w:eastAsia="Times New Roman" w:cstheme="minorHAnsi"/>
        </w:rPr>
        <w:t xml:space="preserve"> to </w:t>
      </w:r>
      <w:proofErr w:type="spellStart"/>
      <w:r w:rsidRPr="000B5519">
        <w:rPr>
          <w:rFonts w:eastAsia="Times New Roman" w:cstheme="minorHAnsi"/>
        </w:rPr>
        <w:t>HoCs</w:t>
      </w:r>
      <w:proofErr w:type="spellEnd"/>
      <w:r w:rsidRPr="000B5519">
        <w:rPr>
          <w:rFonts w:eastAsia="Times New Roman" w:cstheme="minorHAnsi"/>
        </w:rPr>
        <w:t>.</w:t>
      </w:r>
    </w:p>
    <w:p w14:paraId="2D578B34" w14:textId="70AD315E" w:rsidR="00855E0A" w:rsidRPr="000B5519" w:rsidRDefault="00346E23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 xml:space="preserve">Promote networking and information sharing on </w:t>
      </w:r>
      <w:proofErr w:type="gramStart"/>
      <w:r w:rsidRPr="000B5519">
        <w:rPr>
          <w:rFonts w:eastAsia="Times New Roman" w:cstheme="minorHAnsi"/>
        </w:rPr>
        <w:t>particular gender</w:t>
      </w:r>
      <w:proofErr w:type="gramEnd"/>
      <w:r w:rsidRPr="000B5519">
        <w:rPr>
          <w:rFonts w:eastAsia="Times New Roman" w:cstheme="minorHAnsi"/>
        </w:rPr>
        <w:t xml:space="preserve"> issues </w:t>
      </w:r>
      <w:r w:rsidR="00463D6A">
        <w:rPr>
          <w:rFonts w:eastAsia="Times New Roman" w:cstheme="minorHAnsi"/>
        </w:rPr>
        <w:t>internally and externally (</w:t>
      </w:r>
      <w:r w:rsidRPr="000B5519">
        <w:rPr>
          <w:rFonts w:eastAsia="Times New Roman" w:cstheme="minorHAnsi"/>
        </w:rPr>
        <w:t>with</w:t>
      </w:r>
      <w:r w:rsidR="0039450B">
        <w:rPr>
          <w:rFonts w:eastAsia="Times New Roman" w:cstheme="minorHAnsi"/>
        </w:rPr>
        <w:t>in MS/EU, with</w:t>
      </w:r>
      <w:r w:rsidRPr="000B5519">
        <w:rPr>
          <w:rFonts w:eastAsia="Times New Roman" w:cstheme="minorHAnsi"/>
        </w:rPr>
        <w:t xml:space="preserve"> governmental institutions, other theme groups and NGOs</w:t>
      </w:r>
      <w:r w:rsidR="00463D6A">
        <w:rPr>
          <w:rFonts w:eastAsia="Times New Roman" w:cstheme="minorHAnsi"/>
        </w:rPr>
        <w:t>)</w:t>
      </w:r>
      <w:r w:rsidRPr="000B5519">
        <w:rPr>
          <w:rFonts w:eastAsia="Times New Roman" w:cstheme="minorHAnsi"/>
        </w:rPr>
        <w:t>.</w:t>
      </w:r>
    </w:p>
    <w:p w14:paraId="3550F5BC" w14:textId="4234FAF0" w:rsidR="00855E0A" w:rsidRPr="000B5519" w:rsidRDefault="000B5519" w:rsidP="00855E0A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0B5519">
        <w:rPr>
          <w:rFonts w:eastAsia="Times New Roman" w:cstheme="minorHAnsi"/>
        </w:rPr>
        <w:t>Coordination and drafting of annual reports on the implementation of the EU GAP (2016-2020).</w:t>
      </w:r>
    </w:p>
    <w:p w14:paraId="08A6DBC0" w14:textId="77777777" w:rsidR="00346E23" w:rsidRPr="000B5519" w:rsidRDefault="00346E23" w:rsidP="00346E23">
      <w:pPr>
        <w:rPr>
          <w:rFonts w:eastAsia="Times New Roman" w:cstheme="minorHAnsi"/>
        </w:rPr>
      </w:pPr>
    </w:p>
    <w:p w14:paraId="0448F7E5" w14:textId="34CB8AA3" w:rsidR="00346E23" w:rsidRPr="000B5519" w:rsidRDefault="000B5519" w:rsidP="000B5519">
      <w:pPr>
        <w:rPr>
          <w:rFonts w:eastAsia="Times New Roman" w:cstheme="minorHAnsi"/>
        </w:rPr>
      </w:pPr>
      <w:r w:rsidRPr="000B5519">
        <w:rPr>
          <w:rFonts w:eastAsia="Times New Roman" w:cstheme="minorHAnsi"/>
          <w:b/>
          <w:bCs/>
          <w:u w:val="single"/>
        </w:rPr>
        <w:t>Mechanism for implementing GTWG</w:t>
      </w:r>
      <w:r w:rsidR="00346E23" w:rsidRPr="000B5519">
        <w:rPr>
          <w:rFonts w:eastAsia="Times New Roman" w:cstheme="minorHAnsi"/>
          <w:b/>
          <w:bCs/>
          <w:u w:val="single"/>
        </w:rPr>
        <w:t>’s activities</w:t>
      </w:r>
      <w:r w:rsidRPr="000B5519">
        <w:rPr>
          <w:rFonts w:eastAsia="Times New Roman" w:cstheme="minorHAnsi"/>
        </w:rPr>
        <w:t>: Four annual meetings</w:t>
      </w:r>
      <w:r w:rsidR="00241D4F">
        <w:rPr>
          <w:rFonts w:eastAsia="Times New Roman" w:cstheme="minorHAnsi"/>
        </w:rPr>
        <w:t xml:space="preserve"> (on a quarterly basis)</w:t>
      </w:r>
      <w:r w:rsidRPr="000B5519">
        <w:rPr>
          <w:rFonts w:eastAsia="Times New Roman" w:cstheme="minorHAnsi"/>
        </w:rPr>
        <w:t xml:space="preserve"> </w:t>
      </w:r>
      <w:r w:rsidR="00346E23" w:rsidRPr="000B5519">
        <w:rPr>
          <w:rFonts w:eastAsia="Times New Roman" w:cstheme="minorHAnsi"/>
        </w:rPr>
        <w:t>serve a</w:t>
      </w:r>
      <w:r w:rsidRPr="000B5519">
        <w:rPr>
          <w:rFonts w:eastAsia="Times New Roman" w:cstheme="minorHAnsi"/>
        </w:rPr>
        <w:t>s an instrument in fulfilling GTWG</w:t>
      </w:r>
      <w:r w:rsidR="00346E23" w:rsidRPr="000B5519">
        <w:rPr>
          <w:rFonts w:eastAsia="Times New Roman" w:cstheme="minorHAnsi"/>
        </w:rPr>
        <w:t xml:space="preserve"> activities. </w:t>
      </w:r>
    </w:p>
    <w:p w14:paraId="7E5AC6EF" w14:textId="77777777" w:rsidR="00346E23" w:rsidRPr="000B5519" w:rsidRDefault="00346E23" w:rsidP="00346E23">
      <w:pPr>
        <w:rPr>
          <w:rFonts w:eastAsia="Times New Roman" w:cstheme="minorHAnsi"/>
        </w:rPr>
      </w:pPr>
    </w:p>
    <w:p w14:paraId="7B8EA83F" w14:textId="2FF85151" w:rsidR="00346E23" w:rsidRPr="000B5519" w:rsidRDefault="00346E23" w:rsidP="000B5519">
      <w:pPr>
        <w:rPr>
          <w:rFonts w:eastAsia="Times New Roman" w:cstheme="minorHAnsi"/>
        </w:rPr>
      </w:pPr>
      <w:r w:rsidRPr="000B5519">
        <w:rPr>
          <w:rFonts w:eastAsia="Times New Roman" w:cstheme="minorHAnsi"/>
          <w:b/>
          <w:bCs/>
          <w:u w:val="single"/>
        </w:rPr>
        <w:t>Reporting:</w:t>
      </w:r>
      <w:r w:rsidRPr="000B5519">
        <w:rPr>
          <w:rFonts w:eastAsia="Times New Roman" w:cstheme="minorHAnsi"/>
        </w:rPr>
        <w:t xml:space="preserve"> </w:t>
      </w:r>
      <w:r w:rsidR="000B5519" w:rsidRPr="000B5519">
        <w:rPr>
          <w:rFonts w:eastAsia="Times New Roman" w:cstheme="minorHAnsi"/>
        </w:rPr>
        <w:t>Reporting of GWTG activities will be done through minutes of meetings, action points follow up and the annual GAP reporting.</w:t>
      </w:r>
    </w:p>
    <w:p w14:paraId="2AD9689B" w14:textId="77777777" w:rsidR="00346E23" w:rsidRPr="000B5519" w:rsidRDefault="00346E23">
      <w:pPr>
        <w:rPr>
          <w:rFonts w:eastAsiaTheme="minorHAnsi" w:cstheme="minorHAnsi"/>
          <w:b/>
          <w:sz w:val="22"/>
          <w:szCs w:val="22"/>
          <w:lang w:eastAsia="en-US"/>
        </w:rPr>
      </w:pPr>
    </w:p>
    <w:sectPr w:rsidR="00346E23" w:rsidRPr="000B5519" w:rsidSect="00C46183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403"/>
    <w:multiLevelType w:val="hybridMultilevel"/>
    <w:tmpl w:val="CBFC3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F9"/>
    <w:rsid w:val="000B5519"/>
    <w:rsid w:val="00241D4F"/>
    <w:rsid w:val="002674DA"/>
    <w:rsid w:val="00311758"/>
    <w:rsid w:val="00346E23"/>
    <w:rsid w:val="0039450B"/>
    <w:rsid w:val="004361AB"/>
    <w:rsid w:val="004469B0"/>
    <w:rsid w:val="00463D6A"/>
    <w:rsid w:val="004C77F9"/>
    <w:rsid w:val="00855E0A"/>
    <w:rsid w:val="008D0130"/>
    <w:rsid w:val="00BC282A"/>
    <w:rsid w:val="00C46183"/>
    <w:rsid w:val="00CC3221"/>
    <w:rsid w:val="00EF5051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4C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Dominoni</dc:creator>
  <cp:keywords/>
  <dc:description/>
  <cp:lastModifiedBy>Sara Dominoni</cp:lastModifiedBy>
  <cp:revision>6</cp:revision>
  <cp:lastPrinted>2017-05-03T10:04:00Z</cp:lastPrinted>
  <dcterms:created xsi:type="dcterms:W3CDTF">2017-05-03T10:04:00Z</dcterms:created>
  <dcterms:modified xsi:type="dcterms:W3CDTF">2017-05-30T09:02:00Z</dcterms:modified>
</cp:coreProperties>
</file>